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黑体"/>
          <w:sz w:val="32"/>
          <w:szCs w:val="32"/>
        </w:rPr>
      </w:pPr>
      <w:bookmarkStart w:id="0" w:name="_Toc26152"/>
      <w:bookmarkStart w:id="1" w:name="_Toc25681"/>
      <w:bookmarkStart w:id="2" w:name="_Toc5180"/>
      <w:bookmarkStart w:id="3" w:name="_Toc18935"/>
      <w:bookmarkStart w:id="4" w:name="_Toc2001"/>
      <w:bookmarkStart w:id="5" w:name="_Toc11683"/>
      <w:bookmarkStart w:id="6" w:name="_Toc32673"/>
      <w:bookmarkStart w:id="7" w:name="_Toc24212"/>
      <w:bookmarkStart w:id="8" w:name="_Toc28316"/>
      <w:bookmarkStart w:id="9" w:name="_Toc11730"/>
      <w:r>
        <w:rPr>
          <w:rFonts w:cs="Microsoft JhengHei"/>
          <w:sz w:val="32"/>
          <w:szCs w:val="32"/>
        </w:rPr>
        <w:drawing>
          <wp:anchor distT="0" distB="0" distL="114300" distR="114300" simplePos="0" relativeHeight="251660288" behindDoc="0" locked="0" layoutInCell="1" allowOverlap="1">
            <wp:simplePos x="0" y="0"/>
            <wp:positionH relativeFrom="page">
              <wp:posOffset>3180715</wp:posOffset>
            </wp:positionH>
            <wp:positionV relativeFrom="page">
              <wp:posOffset>1005205</wp:posOffset>
            </wp:positionV>
            <wp:extent cx="1160780" cy="539750"/>
            <wp:effectExtent l="0" t="0" r="1270" b="12700"/>
            <wp:wrapNone/>
            <wp:docPr id="22" name="图片 3" descr="说明: G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descr="说明: GD"/>
                    <pic:cNvPicPr>
                      <a:picLocks noChangeAspect="true"/>
                    </pic:cNvPicPr>
                  </pic:nvPicPr>
                  <pic:blipFill>
                    <a:blip r:embed="rId18"/>
                    <a:stretch>
                      <a:fillRect/>
                    </a:stretch>
                  </pic:blipFill>
                  <pic:spPr>
                    <a:xfrm>
                      <a:off x="0" y="0"/>
                      <a:ext cx="1160780" cy="539750"/>
                    </a:xfrm>
                    <a:prstGeom prst="rect">
                      <a:avLst/>
                    </a:prstGeom>
                    <a:noFill/>
                    <a:ln>
                      <a:noFill/>
                    </a:ln>
                  </pic:spPr>
                </pic:pic>
              </a:graphicData>
            </a:graphic>
          </wp:anchor>
        </w:drawing>
      </w:r>
    </w:p>
    <w:p>
      <w:pPr>
        <w:ind w:firstLine="386" w:firstLineChars="100"/>
        <w:jc w:val="left"/>
        <w:rPr>
          <w:rFonts w:eastAsia="MS Gothic"/>
          <w:b/>
          <w:sz w:val="84"/>
          <w:szCs w:val="84"/>
        </w:rPr>
      </w:pPr>
      <w:r>
        <w:rPr>
          <w:rFonts w:eastAsia="黑体"/>
          <w:spacing w:val="28"/>
          <w:sz w:val="32"/>
          <w:szCs w:val="32"/>
        </w:rPr>
        <w:t>广东省</w:t>
      </w:r>
      <w:r>
        <w:rPr>
          <w:rFonts w:hint="eastAsia" w:eastAsia="黑体"/>
          <w:spacing w:val="28"/>
          <w:sz w:val="32"/>
          <w:szCs w:val="32"/>
          <w:lang w:eastAsia="zh-CN"/>
        </w:rPr>
        <w:t>地方</w:t>
      </w:r>
      <w:r>
        <w:rPr>
          <w:rFonts w:eastAsia="黑体"/>
          <w:spacing w:val="28"/>
          <w:sz w:val="32"/>
          <w:szCs w:val="32"/>
        </w:rPr>
        <w:t>标准</w:t>
      </w:r>
      <w:r>
        <w:rPr>
          <w:rFonts w:eastAsia="黑体"/>
          <w:sz w:val="32"/>
          <w:szCs w:val="32"/>
        </w:rPr>
        <w:t xml:space="preserve">            </w:t>
      </w:r>
      <w:r>
        <w:rPr>
          <w:rFonts w:hint="eastAsia"/>
          <w:color w:val="000000"/>
          <w:sz w:val="52"/>
        </w:rPr>
        <w:t xml:space="preserve">   </w:t>
      </w:r>
    </w:p>
    <w:p>
      <w:pPr>
        <w:jc w:val="right"/>
        <w:rPr>
          <w:rFonts w:hint="eastAsia"/>
          <w:sz w:val="24"/>
          <w:szCs w:val="24"/>
          <w:lang w:val="en-US" w:eastAsia="zh-CN"/>
        </w:rPr>
      </w:pPr>
      <w:r>
        <w:t xml:space="preserve">                              </w:t>
      </w:r>
      <w:bookmarkStart w:id="10" w:name="_Toc337542810"/>
      <w:r>
        <w:rPr>
          <w:rFonts w:hint="eastAsia"/>
        </w:rPr>
        <w:t xml:space="preserve">                                                                                                           </w:t>
      </w:r>
      <w:r>
        <w:rPr>
          <w:spacing w:val="23"/>
          <w:sz w:val="24"/>
          <w:szCs w:val="24"/>
        </w:rPr>
        <w:t>DBJ</w:t>
      </w:r>
      <w:r>
        <w:rPr>
          <w:rFonts w:hint="eastAsia"/>
          <w:spacing w:val="23"/>
          <w:sz w:val="24"/>
          <w:szCs w:val="24"/>
        </w:rPr>
        <w:t>15</w:t>
      </w:r>
      <w:r>
        <w:rPr>
          <w:spacing w:val="23"/>
          <w:sz w:val="24"/>
          <w:szCs w:val="24"/>
        </w:rPr>
        <w:t>-</w:t>
      </w:r>
      <w:r>
        <w:rPr>
          <w:rFonts w:hint="eastAsia"/>
          <w:spacing w:val="23"/>
          <w:sz w:val="24"/>
          <w:szCs w:val="24"/>
        </w:rPr>
        <w:t>XX</w:t>
      </w:r>
      <w:r>
        <w:rPr>
          <w:spacing w:val="23"/>
          <w:sz w:val="24"/>
          <w:szCs w:val="24"/>
        </w:rPr>
        <w:t>-</w:t>
      </w:r>
      <w:bookmarkEnd w:id="10"/>
      <w:r>
        <w:rPr>
          <w:sz w:val="24"/>
          <w:szCs w:val="24"/>
        </w:rPr>
        <w:t>20</w:t>
      </w:r>
      <w:r>
        <w:rPr>
          <w:rFonts w:hint="eastAsia"/>
          <w:sz w:val="24"/>
          <w:szCs w:val="24"/>
          <w:lang w:val="en-US" w:eastAsia="zh-CN"/>
        </w:rPr>
        <w:t>2</w:t>
      </w:r>
      <w:r>
        <w:rPr>
          <w:rFonts w:hint="eastAsia"/>
          <w:sz w:val="24"/>
          <w:szCs w:val="24"/>
        </w:rPr>
        <w:t xml:space="preserve">5                           </w:t>
      </w:r>
      <w:r>
        <w:rPr>
          <w:rFonts w:hint="eastAsia"/>
          <w:sz w:val="24"/>
          <w:szCs w:val="24"/>
          <w:lang w:val="en-US" w:eastAsia="zh-CN"/>
        </w:rPr>
        <w:t xml:space="preserve">   </w:t>
      </w:r>
    </w:p>
    <w:p>
      <w:pPr>
        <w:jc w:val="right"/>
        <w:rPr>
          <w:rFonts w:hint="default" w:eastAsia="黑体"/>
          <w:sz w:val="21"/>
          <w:szCs w:val="21"/>
          <w:lang w:val="en-US" w:eastAsia="zh-CN"/>
        </w:rPr>
      </w:pPr>
      <w:r>
        <w:rPr>
          <w:rFonts w:hint="eastAsia" w:ascii="黑体" w:hAnsi="黑体" w:eastAsia="黑体" w:cs="黑体"/>
          <w:sz w:val="21"/>
          <w:szCs w:val="21"/>
          <w:lang w:val="en-US" w:eastAsia="zh-CN"/>
        </w:rPr>
        <w:t>备</w:t>
      </w:r>
      <w:r>
        <w:rPr>
          <w:rFonts w:hint="eastAsia" w:ascii="黑体" w:hAnsi="黑体" w:eastAsia="黑体" w:cs="黑体"/>
          <w:sz w:val="21"/>
          <w:szCs w:val="21"/>
        </w:rPr>
        <w:t>案号</w:t>
      </w:r>
      <w:r>
        <w:rPr>
          <w:rFonts w:hint="eastAsia" w:ascii="黑体" w:hAnsi="黑体" w:eastAsia="黑体" w:cs="黑体"/>
          <w:sz w:val="21"/>
          <w:szCs w:val="21"/>
          <w:lang w:val="en-US" w:eastAsia="zh-CN"/>
        </w:rPr>
        <w:t xml:space="preserve"> </w:t>
      </w:r>
      <w:r>
        <w:rPr>
          <w:rFonts w:hint="eastAsia" w:ascii="黑体" w:hAnsi="黑体" w:eastAsia="黑体"/>
          <w:sz w:val="21"/>
          <w:szCs w:val="21"/>
        </w:rPr>
        <w:t>J</w:t>
      </w:r>
      <w:r>
        <w:rPr>
          <w:rFonts w:hint="eastAsia" w:ascii="黑体" w:hAnsi="黑体" w:eastAsia="黑体"/>
          <w:sz w:val="21"/>
          <w:szCs w:val="21"/>
          <w:lang w:val="en-US" w:eastAsia="zh-CN"/>
        </w:rPr>
        <w:t xml:space="preserve"> </w:t>
      </w:r>
      <w:r>
        <w:rPr>
          <w:rFonts w:hint="eastAsia" w:ascii="黑体" w:hAnsi="黑体" w:eastAsia="黑体"/>
          <w:sz w:val="21"/>
          <w:szCs w:val="21"/>
        </w:rPr>
        <w:t>XXXXX-20</w:t>
      </w:r>
      <w:r>
        <w:rPr>
          <w:rFonts w:hint="eastAsia" w:ascii="黑体" w:hAnsi="黑体" w:eastAsia="黑体"/>
          <w:sz w:val="21"/>
          <w:szCs w:val="21"/>
          <w:lang w:val="en-US" w:eastAsia="zh-CN"/>
        </w:rPr>
        <w:t>25</w:t>
      </w:r>
    </w:p>
    <w:p>
      <w:pPr>
        <w:jc w:val="center"/>
        <w:rPr>
          <w:rFonts w:hint="eastAsia" w:ascii="宋体" w:hAnsi="宋体"/>
          <w:b/>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71755</wp:posOffset>
                </wp:positionV>
                <wp:extent cx="3854450" cy="0"/>
                <wp:effectExtent l="0" t="6350" r="0" b="6350"/>
                <wp:wrapNone/>
                <wp:docPr id="34" name="直接连接符 34"/>
                <wp:cNvGraphicFramePr/>
                <a:graphic xmlns:a="http://schemas.openxmlformats.org/drawingml/2006/main">
                  <a:graphicData uri="http://schemas.microsoft.com/office/word/2010/wordprocessingShape">
                    <wps:wsp>
                      <wps:cNvCnPr/>
                      <wps:spPr>
                        <a:xfrm>
                          <a:off x="553085" y="2435860"/>
                          <a:ext cx="38544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6pt;margin-top:5.65pt;height:0pt;width:303.5pt;z-index:251661312;mso-width-relative:page;mso-height-relative:page;" filled="f" stroked="t" coordsize="21600,21600" o:gfxdata="UEsFBgAAAAAAAAAAAAAAAAAAAAAAAFBLAwQKAAAAAACHTuJAAAAAAAAAAAAAAAAABAAAAGRycy9Q&#10;SwMEFAAAAAgAh07iQNAYl/fXAAAACAEAAA8AAABkcnMvZG93bnJldi54bWxNj8FOwzAQRO9I/IO1&#10;SNxaJw3QNsSpEKjiwKmlohzdeEmixuvIdtPA17OIAxx3ZjT7pliNthMD+tA6UpBOExBIlTMt1Qp2&#10;r+vJAkSImozuHKGCTwywKi8vCp0bd6YNDttYCy6hkGsFTYx9LmWoGrQ6TF2PxN6H81ZHPn0tjddn&#10;LrednCXJnbS6Jf7Q6B4fG6yO25NV8PYwP2bj89PNOm52794N2Qt+7ZW6vkqTexARx/gXhh98RoeS&#10;mQ7uRCaITsFkOeMk62kGgv3b5ZynHH4FWRby/4DyG1BLAwQUAAAACACHTuJALkqRrNYBAABxAwAA&#10;DgAAAGRycy9lMm9Eb2MueG1srVNLjhMxEN0jcQfLe9I9SXpoteLMYqJhgyAScICK2+625J9sk04u&#10;wQWQ2MGKJXtuw8wxKDthZoAdIouK7Sq/8nv1enV1MJrsRYjKWUYvZjUlwnLXKzsw+u7tzbOWkpjA&#10;9qCdFYweRaRX66dPVpPvxNyNTvciEASxsZs8o2NKvquqyEdhIM6cFxaT0gUDCbdhqPoAE6IbXc3r&#10;+rKaXOh9cFzEiKebU5KuC76UgqfXUkaRiGYU35ZKDCXucqzWK+iGAH5U/PwM+IdXGFAWm95DbSAB&#10;eR/UX1BG8eCik2nGnamclIqLwgHZXNR/sHkzgheFC4oT/b1M8f/B8lf7bSCqZ3SxpMSCwRndfvz2&#10;48Pnu++fMN5+/UIwgzJNPnZYfW234byLfhsy54MMJv8jG3JgtGkWddtQcmR0vlw07eVZZXFIhGN+&#10;0TbLZYPD4FhRctUDhg8xvRDOkLxgVCubBYAO9i9jwr5Y+qskH1t3o7QuQ9SWTOjA+fM6QwN6SWpI&#10;uDQe2UU7UAJ6QJPyFApkdFr1+XoGimHYXetA9pCNUn6ZNLb7rSz33kAcT3UldbKQUQl9rJVhtH18&#10;W1sEydKdxMqrneuPRcNyjnMtbc4ezMZ5vC+3H76U9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Q&#10;GJf31wAAAAgBAAAPAAAAAAAAAAEAIAAAADgAAABkcnMvZG93bnJldi54bWxQSwECFAAUAAAACACH&#10;TuJALkqRrNYBAABxAwAADgAAAAAAAAABACAAAAA8AQAAZHJzL2Uyb0RvYy54bWxQSwUGAAAAAAYA&#10;BgBZAQAAhAUAAAAA&#10;">
                <v:fill on="f" focussize="0,0"/>
                <v:stroke weight="1pt" color="#000000 [3213]" miterlimit="8" joinstyle="miter"/>
                <v:imagedata o:title=""/>
                <o:lock v:ext="edit" aspectratio="f"/>
              </v:line>
            </w:pict>
          </mc:Fallback>
        </mc:AlternateContent>
      </w:r>
    </w:p>
    <w:p>
      <w:pPr>
        <w:jc w:val="center"/>
        <w:rPr>
          <w:rFonts w:ascii="宋体" w:hAnsi="宋体"/>
          <w:b/>
          <w:sz w:val="32"/>
          <w:szCs w:val="32"/>
        </w:rPr>
      </w:pPr>
      <w:bookmarkStart w:id="11" w:name="_Toc375640675"/>
      <w:r>
        <w:rPr>
          <w:rFonts w:hint="eastAsia" w:ascii="宋体" w:hAnsi="宋体"/>
          <w:b/>
          <w:sz w:val="32"/>
          <w:szCs w:val="32"/>
        </w:rPr>
        <w:t>混凝土模块化建筑技术标准</w:t>
      </w:r>
      <w:bookmarkEnd w:id="11"/>
    </w:p>
    <w:p>
      <w:pPr>
        <w:jc w:val="center"/>
        <w:rPr>
          <w:rFonts w:hint="eastAsia"/>
          <w:b/>
          <w:sz w:val="21"/>
          <w:szCs w:val="21"/>
        </w:rPr>
      </w:pPr>
      <w:r>
        <w:rPr>
          <w:rFonts w:hint="eastAsia"/>
          <w:b/>
          <w:sz w:val="21"/>
          <w:szCs w:val="21"/>
        </w:rPr>
        <w:t>Technical Standard for Concrete Modular Building</w:t>
      </w:r>
    </w:p>
    <w:p>
      <w:pPr>
        <w:jc w:val="center"/>
        <w:rPr>
          <w:rFonts w:hint="eastAsia"/>
          <w:b/>
          <w:color w:val="000000"/>
          <w:sz w:val="28"/>
          <w:szCs w:val="28"/>
        </w:rPr>
      </w:pPr>
    </w:p>
    <w:tbl>
      <w:tblPr>
        <w:tblStyle w:val="25"/>
        <w:tblpPr w:leftFromText="180" w:rightFromText="180" w:vertAnchor="text" w:horzAnchor="page" w:tblpX="8520" w:tblpY="4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420" w:type="dxa"/>
            <w:noWrap w:val="0"/>
            <w:vAlign w:val="center"/>
          </w:tcPr>
          <w:p>
            <w:pPr>
              <w:jc w:val="center"/>
              <w:rPr>
                <w:rFonts w:hint="eastAsia"/>
              </w:rPr>
            </w:pPr>
            <w:r>
              <w:rPr>
                <w:rFonts w:hint="eastAsia"/>
              </w:rPr>
              <w:t>本标准涉及/不涉及专利</w:t>
            </w:r>
          </w:p>
        </w:tc>
      </w:tr>
    </w:tbl>
    <w:p>
      <w:pPr>
        <w:jc w:val="center"/>
        <w:rPr>
          <w:b/>
          <w:color w:val="000000"/>
          <w:sz w:val="28"/>
          <w:szCs w:val="28"/>
        </w:rPr>
      </w:pPr>
      <w:r>
        <w:rPr>
          <w:rFonts w:hint="eastAsia"/>
          <w:b/>
          <w:color w:val="000000"/>
          <w:sz w:val="28"/>
          <w:szCs w:val="28"/>
        </w:rPr>
        <w:t>（</w:t>
      </w:r>
      <w:r>
        <w:rPr>
          <w:rFonts w:hint="eastAsia"/>
          <w:b/>
          <w:color w:val="000000"/>
          <w:sz w:val="28"/>
          <w:szCs w:val="28"/>
          <w:lang w:val="en-US" w:eastAsia="zh-CN"/>
        </w:rPr>
        <w:t>送审</w:t>
      </w:r>
      <w:r>
        <w:rPr>
          <w:rFonts w:hint="eastAsia"/>
          <w:b/>
          <w:color w:val="000000"/>
          <w:sz w:val="28"/>
          <w:szCs w:val="28"/>
        </w:rPr>
        <w:t>稿）</w:t>
      </w:r>
    </w:p>
    <w:p/>
    <w:p>
      <w:pPr>
        <w:jc w:val="left"/>
        <w:rPr>
          <w:b/>
          <w:bCs/>
          <w:sz w:val="32"/>
        </w:rPr>
      </w:pPr>
      <w:r>
        <w:rPr>
          <w:b/>
          <w:bCs/>
          <w:sz w:val="32"/>
        </w:rPr>
        <w:t xml:space="preserve">  </w:t>
      </w:r>
    </w:p>
    <w:p>
      <w:pPr>
        <w:jc w:val="left"/>
        <w:rPr>
          <w:b/>
          <w:bCs/>
          <w:sz w:val="32"/>
        </w:rPr>
      </w:pPr>
    </w:p>
    <w:p>
      <w:pPr>
        <w:jc w:val="center"/>
        <w:rPr>
          <w:rFonts w:eastAsia="黑体"/>
          <w:sz w:val="22"/>
          <w:szCs w:val="22"/>
        </w:rPr>
      </w:pPr>
    </w:p>
    <w:p>
      <w:pPr>
        <w:jc w:val="center"/>
        <w:rPr>
          <w:rFonts w:eastAsia="黑体"/>
          <w:sz w:val="22"/>
          <w:szCs w:val="22"/>
        </w:rPr>
      </w:pPr>
      <w:r>
        <w:rPr>
          <w:rFonts w:eastAsia="黑体"/>
          <w:sz w:val="22"/>
          <w:szCs w:val="22"/>
        </w:rPr>
        <w:t>20</w:t>
      </w:r>
      <w:r>
        <w:rPr>
          <w:rFonts w:hint="eastAsia" w:eastAsia="黑体"/>
          <w:sz w:val="22"/>
          <w:szCs w:val="22"/>
          <w:lang w:val="en-US" w:eastAsia="zh-CN"/>
        </w:rPr>
        <w:t>2</w:t>
      </w:r>
      <w:r>
        <w:rPr>
          <w:rFonts w:hint="eastAsia" w:eastAsia="黑体"/>
          <w:sz w:val="22"/>
          <w:szCs w:val="22"/>
        </w:rPr>
        <w:t>5</w:t>
      </w:r>
      <w:r>
        <w:rPr>
          <w:rFonts w:eastAsia="黑体"/>
          <w:sz w:val="22"/>
          <w:szCs w:val="22"/>
        </w:rPr>
        <w:t>-</w:t>
      </w:r>
      <w:r>
        <w:rPr>
          <w:rFonts w:hint="eastAsia" w:eastAsia="黑体"/>
          <w:sz w:val="22"/>
          <w:szCs w:val="22"/>
        </w:rPr>
        <w:t>XX</w:t>
      </w:r>
      <w:r>
        <w:rPr>
          <w:rFonts w:eastAsia="黑体"/>
          <w:sz w:val="22"/>
          <w:szCs w:val="22"/>
        </w:rPr>
        <w:t>-</w:t>
      </w:r>
      <w:r>
        <w:rPr>
          <w:rFonts w:hint="eastAsia" w:eastAsia="黑体"/>
          <w:sz w:val="22"/>
          <w:szCs w:val="22"/>
        </w:rPr>
        <w:t>XX</w:t>
      </w:r>
      <w:r>
        <w:rPr>
          <w:rFonts w:eastAsia="黑体"/>
          <w:sz w:val="22"/>
          <w:szCs w:val="22"/>
        </w:rPr>
        <w:t xml:space="preserve"> 发布   20</w:t>
      </w:r>
      <w:r>
        <w:rPr>
          <w:rFonts w:hint="eastAsia" w:eastAsia="黑体"/>
          <w:sz w:val="22"/>
          <w:szCs w:val="22"/>
          <w:lang w:val="en-US" w:eastAsia="zh-CN"/>
        </w:rPr>
        <w:t>25</w:t>
      </w:r>
      <w:r>
        <w:rPr>
          <w:rFonts w:eastAsia="黑体"/>
          <w:sz w:val="22"/>
          <w:szCs w:val="22"/>
        </w:rPr>
        <w:t>-</w:t>
      </w:r>
      <w:r>
        <w:rPr>
          <w:rFonts w:hint="eastAsia" w:eastAsia="黑体"/>
          <w:sz w:val="22"/>
          <w:szCs w:val="22"/>
        </w:rPr>
        <w:t>XX</w:t>
      </w:r>
      <w:r>
        <w:rPr>
          <w:rFonts w:eastAsia="黑体"/>
          <w:sz w:val="22"/>
          <w:szCs w:val="22"/>
        </w:rPr>
        <w:t>-</w:t>
      </w:r>
      <w:r>
        <w:rPr>
          <w:rFonts w:hint="eastAsia" w:eastAsia="黑体"/>
          <w:sz w:val="22"/>
          <w:szCs w:val="22"/>
        </w:rPr>
        <w:t xml:space="preserve">XX </w:t>
      </w:r>
      <w:r>
        <w:rPr>
          <w:rFonts w:eastAsia="黑体"/>
          <w:sz w:val="22"/>
          <w:szCs w:val="22"/>
        </w:rPr>
        <w:t>实施</w:t>
      </w:r>
    </w:p>
    <w:p>
      <w:pPr>
        <w:tabs>
          <w:tab w:val="left" w:pos="8235"/>
        </w:tabs>
        <w:rPr>
          <w:rFonts w:eastAsia="黑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89535</wp:posOffset>
                </wp:positionV>
                <wp:extent cx="3824605" cy="0"/>
                <wp:effectExtent l="0" t="6350" r="0" b="6350"/>
                <wp:wrapNone/>
                <wp:docPr id="35" name="直接连接符 35"/>
                <wp:cNvGraphicFramePr/>
                <a:graphic xmlns:a="http://schemas.openxmlformats.org/drawingml/2006/main">
                  <a:graphicData uri="http://schemas.microsoft.com/office/word/2010/wordprocessingShape">
                    <wps:wsp>
                      <wps:cNvCnPr/>
                      <wps:spPr>
                        <a:xfrm>
                          <a:off x="641350" y="5661025"/>
                          <a:ext cx="382460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05pt;margin-top:7.05pt;height:0pt;width:301.15pt;z-index:251662336;mso-width-relative:page;mso-height-relative:page;" filled="f" stroked="t" coordsize="21600,21600" o:gfxdata="UEsFBgAAAAAAAAAAAAAAAAAAAAAAAFBLAwQKAAAAAACHTuJAAAAAAAAAAAAAAAAABAAAAGRycy9Q&#10;SwMEFAAAAAgAh07iQAhDHS3UAAAABgEAAA8AAABkcnMvZG93bnJldi54bWxNjkFPwzAMhe9I/IfI&#10;SNxYsq0aqDSdEGjiwGljAo5ZY9pqjVMlWVf49fPEYVxsPT/rva9Yjq4TA4bYetIwnSgQSJW3LdUa&#10;tu+ruwcQMRmypvOEGn4wwrK8vipMbv2R1jhsUi04hGJuNDQp9bmUsWrQmTjxPRJ73z44k1iGWtpg&#10;jhzuOjlTaiGdaYkbGtPjc4PVfnNwGj6e7vfz8fUlW6X19iv4Yf6Gv59a395M1SOIhGO6PMMZn9Gh&#10;ZKadP5CNojtrkXhmvNldqFkGYvd3kGUh/+OXJ1BLAwQUAAAACACHTuJAWjL7KtgBAABxAwAADgAA&#10;AGRycy9lMm9Eb2MueG1srVNLjhMxEN0jcQfLe9KdziRErTizmGjYIIgEHKDitrst+SfbpJNLcAEk&#10;drBiyZ7bMHMMyk6YGWZ2iCwqtqvqld/z69XlwWiyFyEqZxmdTmpKhOWuU7Zn9MP76xdLSmIC24F2&#10;VjB6FJFerp8/W42+FY0bnO5EIAhiYzt6RoeUfFtVkQ/CQJw4LywmpQsGEm5DX3UBRkQ3umrqelGN&#10;LnQ+OC5ixNPNKUnXBV9KwdNbKaNIRDOKd0slhhJ3OVbrFbR9AD8ofr4G/MMtDCiLQ++gNpCAfAzq&#10;CZRRPLjoZJpwZyonpeKicEA20/oRm3cDeFG4oDjR38kU/x8sf7PfBqI6RmdzSiwYfKObzz9+ffp6&#10;+/MLxpvv3whmUKbRxxarr+w2nHfRb0PmfJDB5H9kQw6MLi6mszlqfWR0vlhM66a0QysOiXDMz5bN&#10;xaLGaRwrygtU9xg+xPRKOEPyglGtbBYAWti/jgnnYumfknxs3bXSujyitmREBzYva5zNAb0kNSRc&#10;Go/sou0pAd2jSXkKBTI6rbrcnoFi6HdXOpA9ZKOUXyaN4/4qy7M3EIdTXUmdLGRUQh9rZRhdPuzW&#10;FkGydCex8mrnumPRsJzju5YxZw9m4zzcl+77L2X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AhD&#10;HS3UAAAABgEAAA8AAAAAAAAAAQAgAAAAOAAAAGRycy9kb3ducmV2LnhtbFBLAQIUABQAAAAIAIdO&#10;4kBaMvsq2AEAAHEDAAAOAAAAAAAAAAEAIAAAADkBAABkcnMvZTJvRG9jLnhtbFBLBQYAAAAABgAG&#10;AFkBAACDBQAAAAA=&#10;">
                <v:fill on="f" focussize="0,0"/>
                <v:stroke weight="1pt" color="#000000 [3213]" miterlimit="8" joinstyle="miter"/>
                <v:imagedata o:title=""/>
                <o:lock v:ext="edit" aspectratio="f"/>
              </v:line>
            </w:pict>
          </mc:Fallback>
        </mc:AlternateContent>
      </w:r>
    </w:p>
    <w:p>
      <w:pPr>
        <w:tabs>
          <w:tab w:val="left" w:pos="8235"/>
        </w:tabs>
        <w:jc w:val="center"/>
        <w:rPr>
          <w:rFonts w:eastAsia="黑体"/>
          <w:sz w:val="24"/>
          <w:szCs w:val="24"/>
        </w:rPr>
      </w:pPr>
    </w:p>
    <w:p>
      <w:pPr>
        <w:tabs>
          <w:tab w:val="left" w:pos="8235"/>
        </w:tabs>
        <w:jc w:val="center"/>
        <w:rPr>
          <w:rFonts w:eastAsia="黑体"/>
          <w:spacing w:val="20"/>
          <w:sz w:val="24"/>
          <w:szCs w:val="24"/>
          <w:vertAlign w:val="baseline"/>
        </w:rPr>
      </w:pPr>
      <w:r>
        <w:rPr>
          <w:rFonts w:eastAsia="黑体"/>
          <w:sz w:val="24"/>
          <w:szCs w:val="24"/>
        </w:rPr>
        <w:t>广东省</w:t>
      </w:r>
      <w:r>
        <w:rPr>
          <w:rFonts w:hint="eastAsia" w:eastAsia="黑体"/>
          <w:sz w:val="24"/>
          <w:szCs w:val="24"/>
          <w:lang w:eastAsia="zh-CN"/>
        </w:rPr>
        <w:t>市场监督管理局</w:t>
      </w:r>
      <w:r>
        <w:rPr>
          <w:rFonts w:hint="eastAsia" w:eastAsia="黑体"/>
          <w:sz w:val="24"/>
          <w:szCs w:val="24"/>
          <w:lang w:val="en-US" w:eastAsia="zh-CN"/>
        </w:rPr>
        <w:t xml:space="preserve"> </w:t>
      </w:r>
      <w:r>
        <w:rPr>
          <w:rFonts w:eastAsia="黑体"/>
          <w:spacing w:val="20"/>
          <w:sz w:val="24"/>
          <w:szCs w:val="24"/>
        </w:rPr>
        <w:t>发布</w:t>
      </w:r>
    </w:p>
    <w:p>
      <w:pPr>
        <w:tabs>
          <w:tab w:val="left" w:pos="8235"/>
        </w:tabs>
        <w:jc w:val="center"/>
        <w:rPr>
          <w:rFonts w:eastAsia="黑体"/>
          <w:spacing w:val="20"/>
          <w:sz w:val="24"/>
          <w:szCs w:val="24"/>
        </w:rPr>
      </w:pPr>
    </w:p>
    <w:tbl>
      <w:tblPr>
        <w:tblStyle w:val="26"/>
        <w:tblpPr w:leftFromText="181" w:rightFromText="181" w:vertAnchor="page" w:horzAnchor="page" w:tblpX="5059" w:tblpY="100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243" w:type="dxa"/>
            <w:vAlign w:val="top"/>
          </w:tcPr>
          <w:p>
            <w:pPr>
              <w:tabs>
                <w:tab w:val="left" w:pos="8235"/>
              </w:tabs>
              <w:jc w:val="center"/>
              <w:rPr>
                <w:rFonts w:eastAsia="黑体"/>
                <w:spacing w:val="20"/>
                <w:sz w:val="24"/>
                <w:szCs w:val="24"/>
                <w:vertAlign w:val="baseline"/>
              </w:rPr>
            </w:pPr>
            <w:r>
              <w:rPr>
                <w:rFonts w:hint="eastAsia"/>
                <w:sz w:val="18"/>
                <w:szCs w:val="18"/>
              </w:rPr>
              <w:t>本标准不涉及专利</w:t>
            </w:r>
          </w:p>
        </w:tc>
      </w:tr>
    </w:tbl>
    <w:p>
      <w:pPr>
        <w:tabs>
          <w:tab w:val="left" w:pos="8235"/>
        </w:tabs>
        <w:jc w:val="center"/>
        <w:rPr>
          <w:rFonts w:eastAsia="黑体"/>
          <w:spacing w:val="20"/>
          <w:sz w:val="24"/>
          <w:szCs w:val="24"/>
        </w:rPr>
      </w:pPr>
    </w:p>
    <w:tbl>
      <w:tblPr>
        <w:tblStyle w:val="25"/>
        <w:tblpPr w:leftFromText="180" w:rightFromText="180" w:vertAnchor="text" w:horzAnchor="page" w:tblpX="8520" w:tblpY="4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420" w:type="dxa"/>
            <w:noWrap w:val="0"/>
            <w:vAlign w:val="center"/>
          </w:tcPr>
          <w:p>
            <w:pPr>
              <w:jc w:val="center"/>
              <w:rPr>
                <w:rFonts w:hint="eastAsia"/>
              </w:rPr>
            </w:pPr>
            <w:r>
              <w:rPr>
                <w:rFonts w:hint="eastAsia"/>
              </w:rPr>
              <w:t>本标准涉及/不涉及专利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420" w:type="dxa"/>
            <w:noWrap w:val="0"/>
            <w:vAlign w:val="center"/>
          </w:tcPr>
          <w:p>
            <w:pPr>
              <w:jc w:val="center"/>
              <w:rPr>
                <w:rFonts w:hint="eastAsia"/>
              </w:rPr>
            </w:pPr>
            <w:r>
              <w:rPr>
                <w:rFonts w:hint="eastAsia"/>
              </w:rPr>
              <w:t>本标准涉及/不涉及专利</w:t>
            </w:r>
          </w:p>
        </w:tc>
      </w:tr>
    </w:tbl>
    <w:p>
      <w:pPr>
        <w:spacing w:before="360" w:after="360" w:line="360" w:lineRule="exact"/>
        <w:jc w:val="center"/>
        <w:outlineLvl w:val="9"/>
        <w:rPr>
          <w:rFonts w:hint="default" w:ascii="Times New Roman" w:hAnsi="Times New Roman" w:cs="Times New Roman"/>
          <w:b/>
          <w:color w:val="000000" w:themeColor="text1"/>
          <w:sz w:val="28"/>
          <w:szCs w:val="28"/>
          <w:highlight w:val="none"/>
          <w14:textFill>
            <w14:solidFill>
              <w14:schemeClr w14:val="tx1"/>
            </w14:solidFill>
          </w14:textFill>
        </w:rPr>
      </w:pPr>
      <w:r>
        <w:rPr>
          <w:rFonts w:hint="default" w:ascii="Times New Roman" w:hAnsi="Times New Roman" w:cs="Times New Roman"/>
          <w:b/>
          <w:color w:val="000000" w:themeColor="text1"/>
          <w:sz w:val="28"/>
          <w:szCs w:val="28"/>
          <w:highlight w:val="none"/>
          <w14:textFill>
            <w14:solidFill>
              <w14:schemeClr w14:val="tx1"/>
            </w14:solidFill>
          </w14:textFill>
        </w:rPr>
        <w:t>前    言</w:t>
      </w:r>
      <w:bookmarkEnd w:id="0"/>
      <w:bookmarkEnd w:id="1"/>
      <w:bookmarkEnd w:id="2"/>
      <w:bookmarkEnd w:id="3"/>
      <w:bookmarkEnd w:id="4"/>
      <w:bookmarkEnd w:id="5"/>
      <w:bookmarkEnd w:id="6"/>
      <w:bookmarkEnd w:id="7"/>
      <w:bookmarkEnd w:id="8"/>
      <w:bookmarkEnd w:id="9"/>
    </w:p>
    <w:p>
      <w:pPr>
        <w:widowControl/>
        <w:spacing w:after="240" w:line="360" w:lineRule="exact"/>
        <w:ind w:firstLine="44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根据《广东省市场监督管理局关于批准下达2023年第二批广东省地方标准制修订计划的通知》</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粤市监标准〔2023〕591号</w:t>
      </w:r>
      <w:r>
        <w:rPr>
          <w:rFonts w:hint="default" w:ascii="Times New Roman" w:hAnsi="Times New Roman" w:cs="Times New Roman"/>
          <w:color w:val="000000" w:themeColor="text1"/>
          <w:szCs w:val="24"/>
          <w:highlight w:val="none"/>
          <w:lang w:eastAsia="zh-CN"/>
          <w14:textFill>
            <w14:solidFill>
              <w14:schemeClr w14:val="tx1"/>
            </w14:solidFill>
          </w14:textFill>
        </w:rPr>
        <w:t>）和《关于下达广东省标准</w:t>
      </w:r>
      <w:r>
        <w:rPr>
          <w:rFonts w:hint="default" w:ascii="Times New Roman" w:hAnsi="Times New Roman" w:cs="Times New Roman"/>
          <w:color w:val="000000" w:themeColor="text1"/>
          <w:szCs w:val="24"/>
          <w:highlight w:val="none"/>
          <w:lang w:val="en-US" w:eastAsia="zh-CN"/>
          <w14:textFill>
            <w14:solidFill>
              <w14:schemeClr w14:val="tx1"/>
            </w14:solidFill>
          </w14:textFill>
        </w:rPr>
        <w:t>&lt;</w:t>
      </w:r>
      <w:r>
        <w:rPr>
          <w:rFonts w:hint="default" w:ascii="Times New Roman" w:hAnsi="Times New Roman" w:cs="Times New Roman"/>
          <w:color w:val="000000" w:themeColor="text1"/>
          <w:szCs w:val="24"/>
          <w:highlight w:val="none"/>
          <w:lang w:eastAsia="zh-CN"/>
          <w14:textFill>
            <w14:solidFill>
              <w14:schemeClr w14:val="tx1"/>
            </w14:solidFill>
          </w14:textFill>
        </w:rPr>
        <w:t>高层混凝土模块化建筑施工与质量验收技术规程</w:t>
      </w:r>
      <w:r>
        <w:rPr>
          <w:rFonts w:hint="default" w:ascii="Times New Roman" w:hAnsi="Times New Roman" w:cs="Times New Roman"/>
          <w:color w:val="000000" w:themeColor="text1"/>
          <w:szCs w:val="24"/>
          <w:highlight w:val="none"/>
          <w:lang w:val="en-US" w:eastAsia="zh-CN"/>
          <w14:textFill>
            <w14:solidFill>
              <w14:schemeClr w14:val="tx1"/>
            </w14:solidFill>
          </w14:textFill>
        </w:rPr>
        <w:t>&gt;</w:t>
      </w:r>
      <w:r>
        <w:rPr>
          <w:rFonts w:hint="default" w:ascii="Times New Roman" w:hAnsi="Times New Roman" w:cs="Times New Roman"/>
          <w:color w:val="000000" w:themeColor="text1"/>
          <w:szCs w:val="24"/>
          <w:highlight w:val="none"/>
          <w:lang w:eastAsia="zh-CN"/>
          <w14:textFill>
            <w14:solidFill>
              <w14:schemeClr w14:val="tx1"/>
            </w14:solidFill>
          </w14:textFill>
        </w:rPr>
        <w:t>编制任务的通知》</w:t>
      </w:r>
      <w:r>
        <w:rPr>
          <w:rFonts w:hint="default" w:ascii="Times New Roman" w:hAnsi="Times New Roman" w:cs="Times New Roman"/>
          <w:color w:val="000000" w:themeColor="text1"/>
          <w:szCs w:val="24"/>
          <w:highlight w:val="none"/>
          <w14:textFill>
            <w14:solidFill>
              <w14:schemeClr w14:val="tx1"/>
            </w14:solidFill>
          </w14:textFill>
        </w:rPr>
        <w:t>的要求，编制组经广泛调查研究，认真总结实践经验和科研成果，参考有关国家标准和地方标准，结合广东省实际，并在广泛征求意见的基础上，</w:t>
      </w:r>
      <w:r>
        <w:rPr>
          <w:rFonts w:hint="default" w:ascii="Times New Roman" w:hAnsi="Times New Roman" w:cs="Times New Roman"/>
          <w:color w:val="000000" w:themeColor="text1"/>
          <w:szCs w:val="24"/>
          <w:highlight w:val="none"/>
          <w:lang w:val="en-US" w:eastAsia="zh-CN"/>
          <w14:textFill>
            <w14:solidFill>
              <w14:schemeClr w14:val="tx1"/>
            </w14:solidFill>
          </w14:textFill>
        </w:rPr>
        <w:t>制定</w:t>
      </w:r>
      <w:r>
        <w:rPr>
          <w:rFonts w:hint="default" w:ascii="Times New Roman" w:hAnsi="Times New Roman" w:cs="Times New Roman"/>
          <w:color w:val="000000" w:themeColor="text1"/>
          <w:szCs w:val="24"/>
          <w:highlight w:val="none"/>
          <w14:textFill>
            <w14:solidFill>
              <w14:schemeClr w14:val="tx1"/>
            </w14:solidFill>
          </w14:textFill>
        </w:rPr>
        <w:t>本标准。</w:t>
      </w:r>
    </w:p>
    <w:p>
      <w:pPr>
        <w:widowControl/>
        <w:spacing w:after="240" w:line="360" w:lineRule="exact"/>
        <w:ind w:firstLine="44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w:t>
      </w:r>
      <w:r>
        <w:rPr>
          <w:rFonts w:hint="default" w:ascii="Times New Roman" w:hAnsi="Times New Roman" w:cs="Times New Roman"/>
          <w:color w:val="000000" w:themeColor="text1"/>
          <w:szCs w:val="24"/>
          <w:highlight w:val="none"/>
          <w:lang w:val="en-US" w:eastAsia="zh-CN"/>
          <w14:textFill>
            <w14:solidFill>
              <w14:schemeClr w14:val="tx1"/>
            </w14:solidFill>
          </w14:textFill>
        </w:rPr>
        <w:t>标准</w:t>
      </w:r>
      <w:r>
        <w:rPr>
          <w:rFonts w:hint="default" w:ascii="Times New Roman" w:hAnsi="Times New Roman" w:cs="Times New Roman"/>
          <w:color w:val="000000" w:themeColor="text1"/>
          <w:szCs w:val="24"/>
          <w:highlight w:val="none"/>
          <w14:textFill>
            <w14:solidFill>
              <w14:schemeClr w14:val="tx1"/>
            </w14:solidFill>
          </w14:textFill>
        </w:rPr>
        <w:t xml:space="preserve">主要技术内容：1.总则；2.术语和符号；3.基本规定；4.材料；5.建筑设计；6.结构设计；7.设备管线与内装系8.模块单元生产与运输；9.施工安装；10.质量验收；11.智能建造与运维。 </w:t>
      </w:r>
    </w:p>
    <w:p>
      <w:pPr>
        <w:widowControl/>
        <w:spacing w:after="240" w:line="360" w:lineRule="exact"/>
        <w:ind w:firstLine="44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w:t>
      </w:r>
      <w:r>
        <w:rPr>
          <w:rFonts w:hint="default" w:ascii="Times New Roman" w:hAnsi="Times New Roman" w:cs="Times New Roman"/>
          <w:color w:val="000000" w:themeColor="text1"/>
          <w:szCs w:val="24"/>
          <w:highlight w:val="none"/>
          <w:lang w:eastAsia="zh-CN"/>
          <w14:textFill>
            <w14:solidFill>
              <w14:schemeClr w14:val="tx1"/>
            </w14:solidFill>
          </w14:textFill>
        </w:rPr>
        <w:t>标准</w:t>
      </w:r>
      <w:r>
        <w:rPr>
          <w:rFonts w:hint="default" w:ascii="Times New Roman" w:hAnsi="Times New Roman" w:cs="Times New Roman"/>
          <w:color w:val="000000" w:themeColor="text1"/>
          <w:szCs w:val="24"/>
          <w:highlight w:val="none"/>
          <w14:textFill>
            <w14:solidFill>
              <w14:schemeClr w14:val="tx1"/>
            </w14:solidFill>
          </w14:textFill>
        </w:rPr>
        <w:t>由广东省住房和城乡建设</w:t>
      </w:r>
      <w:r>
        <w:rPr>
          <w:rFonts w:hint="default" w:ascii="Times New Roman" w:hAnsi="Times New Roman" w:cs="Times New Roman"/>
          <w:color w:val="000000" w:themeColor="text1"/>
          <w:szCs w:val="24"/>
          <w:highlight w:val="none"/>
          <w:lang w:val="en-US" w:eastAsia="zh-CN"/>
          <w14:textFill>
            <w14:solidFill>
              <w14:schemeClr w14:val="tx1"/>
            </w14:solidFill>
          </w14:textFill>
        </w:rPr>
        <w:t>厅</w:t>
      </w:r>
      <w:r>
        <w:rPr>
          <w:rFonts w:hint="default" w:ascii="Times New Roman" w:hAnsi="Times New Roman" w:cs="Times New Roman"/>
          <w:color w:val="000000" w:themeColor="text1"/>
          <w:szCs w:val="24"/>
          <w:highlight w:val="none"/>
          <w14:textFill>
            <w14:solidFill>
              <w14:schemeClr w14:val="tx1"/>
            </w14:solidFill>
          </w14:textFill>
        </w:rPr>
        <w:t>负责管理，由深圳市龙华安居有限公司负责具体技术内容的解释。本</w:t>
      </w:r>
      <w:r>
        <w:rPr>
          <w:rFonts w:hint="default" w:ascii="Times New Roman" w:hAnsi="Times New Roman" w:cs="Times New Roman"/>
          <w:color w:val="000000" w:themeColor="text1"/>
          <w:szCs w:val="24"/>
          <w:highlight w:val="none"/>
          <w:lang w:eastAsia="zh-CN"/>
          <w14:textFill>
            <w14:solidFill>
              <w14:schemeClr w14:val="tx1"/>
            </w14:solidFill>
          </w14:textFill>
        </w:rPr>
        <w:t>标准</w:t>
      </w:r>
      <w:r>
        <w:rPr>
          <w:rFonts w:hint="default" w:ascii="Times New Roman" w:hAnsi="Times New Roman" w:cs="Times New Roman"/>
          <w:color w:val="000000" w:themeColor="text1"/>
          <w:szCs w:val="24"/>
          <w:highlight w:val="none"/>
          <w14:textFill>
            <w14:solidFill>
              <w14:schemeClr w14:val="tx1"/>
            </w14:solidFill>
          </w14:textFill>
        </w:rPr>
        <w:t>在执行过程中如有意见或建议，</w:t>
      </w:r>
      <w:r>
        <w:rPr>
          <w:rFonts w:hint="default" w:ascii="Times New Roman" w:hAnsi="Times New Roman" w:cs="Times New Roman"/>
          <w:color w:val="000000" w:themeColor="text1"/>
          <w:szCs w:val="24"/>
          <w:highlight w:val="none"/>
          <w:lang w:val="en-US" w:eastAsia="zh-CN"/>
          <w14:textFill>
            <w14:solidFill>
              <w14:schemeClr w14:val="tx1"/>
            </w14:solidFill>
          </w14:textFill>
        </w:rPr>
        <w:t>请</w:t>
      </w:r>
      <w:r>
        <w:rPr>
          <w:rFonts w:hint="default" w:ascii="Times New Roman" w:hAnsi="Times New Roman" w:cs="Times New Roman"/>
          <w:color w:val="000000" w:themeColor="text1"/>
          <w:szCs w:val="24"/>
          <w:highlight w:val="none"/>
          <w14:textFill>
            <w14:solidFill>
              <w14:schemeClr w14:val="tx1"/>
            </w14:solidFill>
          </w14:textFill>
        </w:rPr>
        <w:t>将有关意见和建议反馈</w:t>
      </w:r>
      <w:bookmarkStart w:id="12" w:name="OLE_LINK4"/>
      <w:r>
        <w:rPr>
          <w:rFonts w:hint="default" w:ascii="Times New Roman" w:hAnsi="Times New Roman" w:cs="Times New Roman"/>
          <w:color w:val="000000" w:themeColor="text1"/>
          <w:szCs w:val="24"/>
          <w:highlight w:val="none"/>
          <w:lang w:val="en-US" w:eastAsia="zh-CN"/>
          <w14:textFill>
            <w14:solidFill>
              <w14:schemeClr w14:val="tx1"/>
            </w14:solidFill>
          </w14:textFill>
        </w:rPr>
        <w:t>至</w:t>
      </w:r>
      <w:r>
        <w:rPr>
          <w:rFonts w:hint="default" w:ascii="Times New Roman" w:hAnsi="Times New Roman" w:cs="Times New Roman"/>
          <w:color w:val="000000" w:themeColor="text1"/>
          <w:szCs w:val="24"/>
          <w:highlight w:val="none"/>
          <w14:textFill>
            <w14:solidFill>
              <w14:schemeClr w14:val="tx1"/>
            </w14:solidFill>
          </w14:textFill>
        </w:rPr>
        <w:t>深圳市龙华安居有限公司</w:t>
      </w:r>
      <w:bookmarkEnd w:id="12"/>
      <w:r>
        <w:rPr>
          <w:rFonts w:hint="default" w:ascii="Times New Roman" w:hAnsi="Times New Roman" w:cs="Times New Roman"/>
          <w:color w:val="000000" w:themeColor="text1"/>
          <w:szCs w:val="24"/>
          <w:highlight w:val="none"/>
          <w14:textFill>
            <w14:solidFill>
              <w14:schemeClr w14:val="tx1"/>
            </w14:solidFill>
          </w14:textFill>
        </w:rPr>
        <w:t>（地址：</w:t>
      </w:r>
      <w:bookmarkStart w:id="13" w:name="OLE_LINK3"/>
      <w:r>
        <w:rPr>
          <w:rFonts w:hint="default" w:ascii="Times New Roman" w:hAnsi="Times New Roman" w:cs="Times New Roman"/>
          <w:color w:val="000000" w:themeColor="text1"/>
          <w:szCs w:val="24"/>
          <w:highlight w:val="none"/>
          <w14:textFill>
            <w14:solidFill>
              <w14:schemeClr w14:val="tx1"/>
            </w14:solidFill>
          </w14:textFill>
        </w:rPr>
        <w:t>深圳市龙华区数字创新中心</w:t>
      </w:r>
      <w:bookmarkEnd w:id="13"/>
      <w:r>
        <w:rPr>
          <w:rFonts w:hint="default" w:ascii="Times New Roman" w:hAnsi="Times New Roman" w:cs="Times New Roman"/>
          <w:color w:val="000000" w:themeColor="text1"/>
          <w:szCs w:val="24"/>
          <w:highlight w:val="none"/>
          <w14:textFill>
            <w14:solidFill>
              <w14:schemeClr w14:val="tx1"/>
            </w14:solidFill>
          </w14:textFill>
        </w:rPr>
        <w:t>A座48楼</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邮编</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518109</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邮箱</w:t>
      </w:r>
      <w:r>
        <w:rPr>
          <w:rFonts w:hint="default" w:ascii="Times New Roman" w:hAnsi="Times New Roman" w:cs="Times New Roman"/>
          <w:color w:val="000000" w:themeColor="text1"/>
          <w:szCs w:val="24"/>
          <w:highlight w:val="none"/>
          <w14:textFill>
            <w14:solidFill>
              <w14:schemeClr w14:val="tx1"/>
            </w14:solidFill>
          </w14:textFill>
        </w:rPr>
        <w:t>：</w:t>
      </w:r>
      <w:bookmarkStart w:id="14" w:name="OLE_LINK155"/>
      <w:bookmarkStart w:id="15" w:name="OLE_LINK154"/>
      <w:r>
        <w:rPr>
          <w:rFonts w:hint="default" w:ascii="Times New Roman" w:hAnsi="Times New Roman" w:cs="Times New Roman"/>
          <w:color w:val="000000" w:themeColor="text1"/>
          <w:szCs w:val="24"/>
          <w:highlight w:val="none"/>
          <w:lang w:val="en-US" w:eastAsia="zh-CN"/>
          <w14:textFill>
            <w14:solidFill>
              <w14:schemeClr w14:val="tx1"/>
            </w14:solidFill>
          </w14:textFill>
        </w:rPr>
        <w:t>1589014166@qq</w:t>
      </w:r>
      <w:r>
        <w:rPr>
          <w:rFonts w:hint="default" w:ascii="Times New Roman" w:hAnsi="Times New Roman" w:cs="Times New Roman"/>
          <w:color w:val="000000" w:themeColor="text1"/>
          <w:szCs w:val="24"/>
          <w:highlight w:val="none"/>
          <w14:textFill>
            <w14:solidFill>
              <w14:schemeClr w14:val="tx1"/>
            </w14:solidFill>
          </w14:textFill>
        </w:rPr>
        <w:t>.com</w:t>
      </w:r>
      <w:bookmarkEnd w:id="14"/>
      <w:bookmarkEnd w:id="15"/>
      <w:r>
        <w:rPr>
          <w:rFonts w:hint="default" w:ascii="Times New Roman" w:hAnsi="Times New Roman" w:cs="Times New Roman"/>
          <w:color w:val="000000" w:themeColor="text1"/>
          <w:szCs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312" w:lineRule="auto"/>
        <w:ind w:left="1760" w:hanging="1760" w:hangingChars="800"/>
        <w:jc w:val="both"/>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4"/>
          <w:highlight w:val="none"/>
          <w:lang w:val="en-US" w:eastAsia="zh-CN"/>
          <w14:textFill>
            <w14:solidFill>
              <w14:schemeClr w14:val="tx1"/>
            </w14:solidFill>
          </w14:textFill>
        </w:rPr>
        <w:t>本标准主编单位</w:t>
      </w:r>
      <w:r>
        <w:rPr>
          <w:rFonts w:hint="default" w:ascii="Times New Roman" w:hAnsi="Times New Roman" w:cs="Times New Roman"/>
          <w:color w:val="000000" w:themeColor="text1"/>
          <w:szCs w:val="24"/>
          <w:highlight w:val="none"/>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深圳市龙华安居有限公司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中建科技集团有限公司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清华大学</w:t>
      </w:r>
    </w:p>
    <w:p>
      <w:pPr>
        <w:keepNext w:val="0"/>
        <w:keepLines w:val="0"/>
        <w:pageBreakBefore w:val="0"/>
        <w:widowControl w:val="0"/>
        <w:kinsoku/>
        <w:wordWrap/>
        <w:overflowPunct/>
        <w:topLinePunct w:val="0"/>
        <w:autoSpaceDE w:val="0"/>
        <w:autoSpaceDN w:val="0"/>
        <w:bidi w:val="0"/>
        <w:adjustRightInd w:val="0"/>
        <w:snapToGrid w:val="0"/>
        <w:spacing w:line="312" w:lineRule="auto"/>
        <w:ind w:left="1760" w:hanging="1760" w:hangingChars="800"/>
        <w:jc w:val="both"/>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4"/>
          <w:highlight w:val="none"/>
          <w:lang w:val="en-US" w:eastAsia="zh-CN"/>
          <w14:textFill>
            <w14:solidFill>
              <w14:schemeClr w14:val="tx1"/>
            </w14:solidFill>
          </w14:textFill>
        </w:rPr>
        <w:t>本标准</w:t>
      </w:r>
      <w:r>
        <w:rPr>
          <w:rFonts w:hint="default" w:ascii="Times New Roman" w:hAnsi="Times New Roman" w:cs="Times New Roman"/>
          <w:color w:val="000000" w:themeColor="text1"/>
          <w:szCs w:val="24"/>
          <w:highlight w:val="none"/>
          <w14:textFill>
            <w14:solidFill>
              <w14:schemeClr w14:val="tx1"/>
            </w14:solidFill>
          </w14:textFill>
        </w:rPr>
        <w:t>参编单位：</w:t>
      </w:r>
      <w:r>
        <w:rPr>
          <w:rFonts w:hint="default" w:ascii="Times New Roman" w:hAnsi="Times New Roman" w:cs="Times New Roman"/>
          <w:color w:val="000000" w:themeColor="text1"/>
          <w:szCs w:val="24"/>
          <w:highlight w:val="none"/>
          <w:lang w:val="en-US" w:eastAsia="zh-CN"/>
          <w14:textFill>
            <w14:solidFill>
              <w14:schemeClr w14:val="tx1"/>
            </w14:solidFill>
          </w14:textFill>
        </w:rPr>
        <w:t>深圳市安居集团有限公司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香港大学</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香港理工大学</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华南理工大学</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广东省建设工程绿色与装配式发展协会</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深圳市建设科技促进中心</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中建科技华南有限公司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中冶建筑研究总院（深圳）有限公司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深圳市建筑产业化协会</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广东省建筑设计研究院有限公司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华南理工大学建筑设计研究院有限公司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深圳市前海深港现代服务业合作区管理局</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深圳市建筑工程质量安全监督总站</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建盛（亚洲）工程顾问有限公司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安保工程控股有限公司</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吕元祥建筑师事务所（RLP Asia）</w:t>
      </w:r>
      <w:r>
        <w:rPr>
          <w:rFonts w:hint="default" w:ascii="Times New Roman" w:hAnsi="Times New Roman" w:cs="Times New Roman"/>
          <w:color w:val="000000" w:themeColor="text1"/>
          <w:szCs w:val="24"/>
          <w:highlight w:val="none"/>
          <w:lang w:val="en-US" w:eastAsia="zh-CN"/>
          <w14:textFill>
            <w14:solidFill>
              <w14:schemeClr w14:val="tx1"/>
            </w14:solidFill>
          </w14:textFill>
        </w:rPr>
        <w:br w:type="textWrapping"/>
      </w:r>
      <w:r>
        <w:rPr>
          <w:rFonts w:hint="default" w:ascii="Times New Roman" w:hAnsi="Times New Roman" w:cs="Times New Roman"/>
          <w:color w:val="000000" w:themeColor="text1"/>
          <w:szCs w:val="24"/>
          <w:highlight w:val="none"/>
          <w:lang w:val="en-US" w:eastAsia="zh-CN"/>
          <w14:textFill>
            <w14:solidFill>
              <w14:schemeClr w14:val="tx1"/>
            </w14:solidFill>
          </w14:textFill>
        </w:rPr>
        <w:t>广州建筑湾区智造科技有限公司</w:t>
      </w:r>
    </w:p>
    <w:p>
      <w:pPr>
        <w:widowControl/>
        <w:adjustRightInd w:val="0"/>
        <w:snapToGrid w:val="0"/>
        <w:spacing w:after="0" w:line="312" w:lineRule="auto"/>
        <w:ind w:left="0" w:hanging="1540" w:hangingChars="70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4"/>
          <w:highlight w:val="none"/>
          <w:lang w:val="en-US" w:eastAsia="zh-CN"/>
          <w14:textFill>
            <w14:solidFill>
              <w14:schemeClr w14:val="tx1"/>
            </w14:solidFill>
          </w14:textFill>
        </w:rPr>
        <w:t>本标准</w:t>
      </w:r>
      <w:r>
        <w:rPr>
          <w:rFonts w:hint="default" w:ascii="Times New Roman" w:hAnsi="Times New Roman" w:cs="Times New Roman"/>
          <w:color w:val="000000" w:themeColor="text1"/>
          <w:szCs w:val="24"/>
          <w:highlight w:val="none"/>
          <w14:textFill>
            <w14:solidFill>
              <w14:schemeClr w14:val="tx1"/>
            </w14:solidFill>
          </w14:textFill>
        </w:rPr>
        <w:t>主要起草人员：</w:t>
      </w:r>
      <w:r>
        <w:rPr>
          <w:rFonts w:hint="default" w:ascii="Times New Roman" w:hAnsi="Times New Roman" w:cs="Times New Roman"/>
          <w:color w:val="000000" w:themeColor="text1"/>
          <w:szCs w:val="24"/>
          <w:highlight w:val="none"/>
          <w:lang w:val="en-US" w:eastAsia="zh-CN"/>
          <w14:textFill>
            <w14:solidFill>
              <w14:schemeClr w14:val="tx1"/>
            </w14:solidFill>
          </w14:textFill>
        </w:rPr>
        <w:t>杨智锋</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樊则森</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聂  鑫</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侯兆新</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田春雨  </w:t>
      </w:r>
      <w:r>
        <w:rPr>
          <w:rFonts w:hint="default" w:ascii="Times New Roman" w:hAnsi="Times New Roman" w:cs="Times New Roman"/>
          <w:color w:val="000000" w:themeColor="text1"/>
          <w:szCs w:val="24"/>
          <w:highlight w:val="none"/>
          <w:lang w:val="en-US" w:eastAsia="zh-CN"/>
          <w14:textFill>
            <w14:solidFill>
              <w14:schemeClr w14:val="tx1"/>
            </w14:solidFill>
          </w14:textFill>
        </w:rPr>
        <w:t xml:space="preserve">胡孟辉  芦静夫  庄亮东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4"/>
          <w:highlight w:val="none"/>
          <w:lang w:val="en-US" w:eastAsia="zh-CN"/>
          <w14:textFill>
            <w14:solidFill>
              <w14:schemeClr w14:val="tx1"/>
            </w14:solidFill>
          </w14:textFill>
        </w:rPr>
        <w:t xml:space="preserve">李东宁  饶少华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罗赤宇  曹大燕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王  帆  岑  岩  李  蕾  张  磊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龚  超  潘智生  吕伟生  唐耀南</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夏春颖  宋  维  申新亚  孟伟峰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朱怀涛  龙玉峰  韦  宏  刘维亚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付灿华  林春光  林生逸  胡  楠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李恒颖  吴卓文  黄晓晖  郭宇韬  </w:t>
      </w:r>
    </w:p>
    <w:p>
      <w:pPr>
        <w:widowControl/>
        <w:adjustRightInd w:val="0"/>
        <w:snapToGrid w:val="0"/>
        <w:spacing w:after="0" w:line="312" w:lineRule="auto"/>
        <w:ind w:left="0" w:leftChars="0" w:firstLine="2200" w:firstLineChars="1000"/>
        <w:jc w:val="both"/>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王  龙  郭万里</w:t>
      </w:r>
    </w:p>
    <w:p>
      <w:pPr>
        <w:widowControl/>
        <w:spacing w:after="240" w:line="360" w:lineRule="exact"/>
        <w:ind w:left="1540" w:hanging="1540" w:hangingChars="700"/>
        <w:jc w:val="both"/>
        <w:rPr>
          <w:rFonts w:hint="default" w:ascii="Times New Roman" w:hAnsi="Times New Roman" w:cs="Times New Roman"/>
          <w:color w:val="000000" w:themeColor="text1"/>
          <w:szCs w:val="24"/>
          <w:highlight w:val="none"/>
          <w14:textFill>
            <w14:solidFill>
              <w14:schemeClr w14:val="tx1"/>
            </w14:solidFill>
          </w14:textFill>
        </w:rPr>
        <w:sectPr>
          <w:headerReference r:id="rId3" w:type="default"/>
          <w:footerReference r:id="rId4" w:type="default"/>
          <w:footerReference r:id="rId5" w:type="even"/>
          <w:pgSz w:w="7937" w:h="11509"/>
          <w:pgMar w:top="1083" w:right="1009" w:bottom="1083" w:left="1009" w:header="851" w:footer="992" w:gutter="0"/>
          <w:pgNumType w:fmt="decimal" w:start="1"/>
          <w:cols w:space="0" w:num="1"/>
          <w:docGrid w:type="linesAndChars" w:linePitch="333" w:charSpace="2165"/>
        </w:sectPr>
      </w:pPr>
      <w:r>
        <w:rPr>
          <w:rFonts w:hint="default" w:ascii="Times New Roman" w:hAnsi="Times New Roman" w:cs="Times New Roman"/>
          <w:color w:val="000000" w:themeColor="text1"/>
          <w:szCs w:val="24"/>
          <w:highlight w:val="none"/>
          <w:lang w:val="en-US" w:eastAsia="zh-CN"/>
          <w14:textFill>
            <w14:solidFill>
              <w14:schemeClr w14:val="tx1"/>
            </w14:solidFill>
          </w14:textFill>
        </w:rPr>
        <w:t>本标准</w:t>
      </w:r>
      <w:r>
        <w:rPr>
          <w:rFonts w:hint="default" w:ascii="Times New Roman" w:hAnsi="Times New Roman" w:cs="Times New Roman"/>
          <w:color w:val="000000" w:themeColor="text1"/>
          <w:szCs w:val="24"/>
          <w:highlight w:val="none"/>
          <w14:textFill>
            <w14:solidFill>
              <w14:schemeClr w14:val="tx1"/>
            </w14:solidFill>
          </w14:textFill>
        </w:rPr>
        <w:t>主要审查人员：</w:t>
      </w:r>
    </w:p>
    <w:sdt>
      <w:sdtPr>
        <w:rPr>
          <w:rFonts w:hint="default" w:ascii="Times New Roman" w:hAnsi="Times New Roman" w:eastAsia="黑体" w:cs="Times New Roman"/>
          <w:b/>
          <w:bCs/>
          <w:color w:val="000000" w:themeColor="text1"/>
          <w:sz w:val="28"/>
          <w:szCs w:val="32"/>
          <w:highlight w:val="none"/>
          <w14:textFill>
            <w14:solidFill>
              <w14:schemeClr w14:val="tx1"/>
            </w14:solidFill>
          </w14:textFill>
        </w:rPr>
        <w:id w:val="147469392"/>
        <w15:color w:val="DBDBDB"/>
        <w:docPartObj>
          <w:docPartGallery w:val="Table of Contents"/>
          <w:docPartUnique/>
        </w:docPartObj>
      </w:sdtPr>
      <w:sdtEndPr>
        <w:rPr>
          <w:rFonts w:hint="default" w:ascii="Times New Roman" w:hAnsi="Times New Roman" w:eastAsia="宋体" w:cs="Times New Roman"/>
          <w:b/>
          <w:bCs/>
          <w:color w:val="000000" w:themeColor="text1"/>
          <w:sz w:val="21"/>
          <w:szCs w:val="28"/>
          <w:highlight w:val="none"/>
          <w14:textFill>
            <w14:solidFill>
              <w14:schemeClr w14:val="tx1"/>
            </w14:solidFill>
          </w14:textFill>
        </w:rPr>
      </w:sdtEndPr>
      <w:sdtContent>
        <w:p>
          <w:pPr>
            <w:jc w:val="center"/>
            <w:rPr>
              <w:rFonts w:hint="default" w:ascii="Times New Roman" w:hAnsi="Times New Roman" w:eastAsia="黑体" w:cs="Times New Roman"/>
              <w:b/>
              <w:bCs/>
              <w:color w:val="000000" w:themeColor="text1"/>
              <w:sz w:val="28"/>
              <w:szCs w:val="32"/>
              <w:highlight w:val="none"/>
              <w14:textFill>
                <w14:solidFill>
                  <w14:schemeClr w14:val="tx1"/>
                </w14:solidFill>
              </w14:textFill>
            </w:rPr>
          </w:pPr>
          <w:r>
            <w:rPr>
              <w:rFonts w:hint="default" w:ascii="Times New Roman" w:hAnsi="Times New Roman" w:eastAsia="黑体" w:cs="Times New Roman"/>
              <w:b/>
              <w:bCs/>
              <w:color w:val="000000" w:themeColor="text1"/>
              <w:sz w:val="28"/>
              <w:szCs w:val="32"/>
              <w:highlight w:val="none"/>
              <w14:textFill>
                <w14:solidFill>
                  <w14:schemeClr w14:val="tx1"/>
                </w14:solidFill>
              </w14:textFill>
            </w:rPr>
            <w:t xml:space="preserve">目 </w:t>
          </w:r>
          <w:r>
            <w:rPr>
              <w:rFonts w:hint="default" w:ascii="Times New Roman" w:hAnsi="Times New Roman" w:eastAsia="黑体" w:cs="Times New Roman"/>
              <w:b/>
              <w:bCs/>
              <w:color w:val="000000" w:themeColor="text1"/>
              <w:sz w:val="28"/>
              <w:szCs w:val="32"/>
              <w:highlight w:val="none"/>
              <w:lang w:val="en-US" w:eastAsia="zh-CN"/>
              <w14:textFill>
                <w14:solidFill>
                  <w14:schemeClr w14:val="tx1"/>
                </w14:solidFill>
              </w14:textFill>
            </w:rPr>
            <w:t>次</w:t>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bookmarkStart w:id="16" w:name="OLE_LINK14"/>
          <w:r>
            <w:rPr>
              <w:rFonts w:hint="default" w:ascii="Times New Roman" w:hAnsi="Times New Roman" w:eastAsia="宋体" w:cs="Times New Roman"/>
              <w:color w:val="000000" w:themeColor="text1"/>
              <w:sz w:val="28"/>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8"/>
              <w:szCs w:val="28"/>
              <w:highlight w:val="none"/>
              <w14:textFill>
                <w14:solidFill>
                  <w14:schemeClr w14:val="tx1"/>
                </w14:solidFill>
              </w14:textFill>
            </w:rPr>
            <w:instrText xml:space="preserve">TOC \o "1-3" \h \u </w:instrText>
          </w:r>
          <w:r>
            <w:rPr>
              <w:rFonts w:hint="default" w:ascii="Times New Roman" w:hAnsi="Times New Roman" w:eastAsia="宋体" w:cs="Times New Roman"/>
              <w:color w:val="000000" w:themeColor="text1"/>
              <w:sz w:val="28"/>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_Toc23774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  总则</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_Toc23774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_Toc16938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2  术语和符号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_Toc16938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_Toc17315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2.1  术语</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_Toc17315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2</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_Toc16335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2.2  符号</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_Toc16335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4</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_Toc19317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3  基 本 规 定</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_Toc19317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_Toc25143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4  材料</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_Toc25143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_Toc575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4.1  结构材料</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_Toc575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7</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_Toc235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4.2  装饰装修材料</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_Toc235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11</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_Toc1423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4.3  其他材料</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_Toc1423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12</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_Toc24281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5  建 筑 设 计</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_Toc24281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_Toc8649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5.1  一般规定</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_Toc8649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14</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_Toc8002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5.2  系统集成设计</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_Toc8002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15</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_Toc31724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5.3  平面设计</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_Toc31724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17</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_Toc12001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5.4  立面设计</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_Toc12001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18</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_Toc8856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5.5  建筑构造</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_Toc8856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19</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_Toc11101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6  结 构 设 计</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_Toc11101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_Toc2107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_Toc2107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24</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_Toc25422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6.2  结构布置</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_Toc25422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28</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_Toc14208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6.3  结构分析</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_Toc14208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31</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_Toc6999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模块构件及连接设计</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_Toc6999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35</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_Toc26913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模块单元结构设计</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_Toc26913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43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_Toc11679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7  设备管线与内装系统设计</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_Toc11679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48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_Toc517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7.1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_Toc517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48</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_Toc10704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7.2  给水排水系统</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_Toc10704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49</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_Toc26542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7.3  通风、空调及燃气系统</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_Toc26542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50</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_Toc25033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7.4  电气系统</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_Toc25033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51</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_Toc7687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7.5  内装系统</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_Toc7687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53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_Toc20059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8  模块单元生产与运输</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_Toc20059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_Toc25396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_Toc25396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57</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_Toc20136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模具</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及预埋件</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_Toc20136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58</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_Toc10307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钢筋</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加工及安装</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_Toc10307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61</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_Toc14783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成型、养护及脱模</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_Toc14783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_Toc5080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吊</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运</w:t>
          </w:r>
          <w:r>
            <w:rPr>
              <w:rFonts w:hint="default" w:ascii="Times New Roman" w:hAnsi="Times New Roman" w:eastAsia="宋体" w:cs="Times New Roman"/>
              <w:color w:val="000000" w:themeColor="text1"/>
              <w:sz w:val="18"/>
              <w:szCs w:val="22"/>
              <w:highlight w:val="none"/>
              <w14:textFill>
                <w14:solidFill>
                  <w14:schemeClr w14:val="tx1"/>
                </w14:solidFill>
              </w14:textFill>
            </w:rPr>
            <w:t>、存放</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_Toc5080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65</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_Toc23957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设备管线安装及装修</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_Toc23957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66</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_Toc11572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成品保护与运输</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_Toc11572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68</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_Toc22788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模块单元检验</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_Toc22788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69</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_Toc25086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资料及交付</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_Toc25086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77</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_Toc19584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9  施 工 安 装</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_Toc19584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79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_Toc15516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_Toc15516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79</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_Toc23953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9.2  施工准备</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_Toc23953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80</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_Toc26183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9.3  模块安装</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_Toc26183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82</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_Toc2837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9.4  模块连接</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_Toc2837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_Toc6854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9.5  施工安全与环境保护</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_Toc6854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85</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_Toc150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10  质 量 验 收</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_Toc150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87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_Toc8945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10.1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_Toc8945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87</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_Toc18736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10.2  模块单元进场验收</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_Toc18736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90</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_Toc21617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10.3  模块单元安装与连接</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_Toc21617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91</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_Toc1764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10.4  设备管线安装</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及内装</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_Toc1764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94</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_Toc18518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10.5  实体检验</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_Toc18518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95</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_Toc14669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11  智能建造</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_Toc14669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96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_Toc18294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11.1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_Toc18294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96</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_Toc14083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11.2  建筑信息模型</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_Toc14083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96</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_Toc8885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11.3  智能化生产和运输</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_Toc8885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97</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_Toc22336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11.4  数字化施工</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_Toc22336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97</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_Toc7850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附录A  模块单元装修质量检测报告</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_Toc7850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99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_Toc30078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附录</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B</w:t>
          </w:r>
          <w:r>
            <w:rPr>
              <w:rFonts w:hint="default" w:ascii="Times New Roman" w:hAnsi="Times New Roman" w:eastAsia="宋体" w:cs="Times New Roman"/>
              <w:color w:val="000000" w:themeColor="text1"/>
              <w:szCs w:val="28"/>
              <w:highlight w:val="none"/>
              <w14:textFill>
                <w14:solidFill>
                  <w14:schemeClr w14:val="tx1"/>
                </w14:solidFill>
              </w14:textFill>
            </w:rPr>
            <w:t xml:space="preserve">  模块单元吊装测试</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_Toc30078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szCs w:val="28"/>
              <w:highlight w:val="none"/>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_Toc5429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附录</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Cs w:val="28"/>
              <w:highlight w:val="none"/>
              <w14:textFill>
                <w14:solidFill>
                  <w14:schemeClr w14:val="tx1"/>
                </w14:solidFill>
              </w14:textFill>
            </w:rPr>
            <w:t xml:space="preserve">  模块单元出厂合格证</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_Toc5429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_Toc1830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本标准</w:t>
          </w:r>
          <w:r>
            <w:rPr>
              <w:rFonts w:hint="default" w:ascii="Times New Roman" w:hAnsi="Times New Roman" w:eastAsia="宋体" w:cs="Times New Roman"/>
              <w:color w:val="000000" w:themeColor="text1"/>
              <w:szCs w:val="28"/>
              <w:highlight w:val="none"/>
              <w14:textFill>
                <w14:solidFill>
                  <w14:schemeClr w14:val="tx1"/>
                </w14:solidFill>
              </w14:textFill>
            </w:rPr>
            <w:t>用词说明</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_Toc1830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_Toc17670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kern w:val="44"/>
              <w:szCs w:val="28"/>
              <w:highlight w:val="none"/>
              <w14:textFill>
                <w14:solidFill>
                  <w14:schemeClr w14:val="tx1"/>
                </w14:solidFill>
              </w14:textFill>
            </w:rPr>
            <w:t>引用标准名录</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_Toc17670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_Toc31618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条</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文说明</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_Toc31618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p>
        <w:p>
          <w:pPr>
            <w:pStyle w:val="17"/>
            <w:tabs>
              <w:tab w:val="right" w:leader="dot" w:pos="5919"/>
              <w:tab w:val="clear" w:pos="1050"/>
              <w:tab w:val="clear" w:pos="13948"/>
            </w:tabs>
            <w:rPr>
              <w:rFonts w:hint="default" w:ascii="Times New Roman" w:hAnsi="Times New Roman" w:eastAsia="仿宋"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bookmarkEnd w:id="16"/>
        </w:p>
      </w:sdtContent>
    </w:sdt>
    <w:p>
      <w:pPr>
        <w:pStyle w:val="40"/>
        <w:widowControl/>
        <w:spacing w:before="0" w:after="0" w:line="240" w:lineRule="auto"/>
        <w:jc w:val="both"/>
        <w:rPr>
          <w:rFonts w:hint="default" w:ascii="Times New Roman" w:hAnsi="Times New Roman" w:eastAsia="仿宋" w:cs="Times New Roman"/>
          <w:b w:val="0"/>
          <w:bCs w:val="0"/>
          <w:color w:val="000000" w:themeColor="text1"/>
          <w:kern w:val="2"/>
          <w:sz w:val="28"/>
          <w:szCs w:val="28"/>
          <w:highlight w:val="none"/>
          <w14:textFill>
            <w14:solidFill>
              <w14:schemeClr w14:val="tx1"/>
            </w14:solidFill>
          </w14:textFill>
        </w:rPr>
      </w:pPr>
      <w:bookmarkStart w:id="17" w:name="_Toc22055"/>
      <w:bookmarkStart w:id="18" w:name="_Toc18098"/>
      <w:bookmarkStart w:id="19" w:name="_Toc18171"/>
      <w:bookmarkStart w:id="20" w:name="_Toc26736"/>
      <w:bookmarkStart w:id="21" w:name="_Toc1093"/>
      <w:bookmarkStart w:id="22" w:name="_Toc17342"/>
    </w:p>
    <w:bookmarkEnd w:id="17"/>
    <w:bookmarkEnd w:id="18"/>
    <w:bookmarkEnd w:id="19"/>
    <w:bookmarkEnd w:id="20"/>
    <w:bookmarkEnd w:id="21"/>
    <w:bookmarkEnd w:id="22"/>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br w:type="page"/>
      </w:r>
    </w:p>
    <w:p>
      <w:pPr>
        <w:spacing w:line="360" w:lineRule="exact"/>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eastAsia="黑体" w:cs="Times New Roman"/>
          <w:b/>
          <w:bCs/>
          <w:color w:val="000000" w:themeColor="text1"/>
          <w:sz w:val="28"/>
          <w:szCs w:val="32"/>
          <w:highlight w:val="none"/>
          <w14:textFill>
            <w14:solidFill>
              <w14:schemeClr w14:val="tx1"/>
            </w14:solidFill>
          </w14:textFill>
        </w:rPr>
        <w:t>Content</w:t>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 w:val="0"/>
          <w:bCs w:val="0"/>
          <w:color w:val="000000" w:themeColor="text1"/>
          <w:szCs w:val="21"/>
          <w:highlight w:val="none"/>
          <w14:textFill>
            <w14:solidFill>
              <w14:schemeClr w14:val="tx1"/>
            </w14:solidFill>
          </w14:textFill>
        </w:rPr>
        <w:instrText xml:space="preserve">TOC \o "1-3" \h \u </w:instrText>
      </w:r>
      <w:r>
        <w:rPr>
          <w:rFonts w:hint="default" w:ascii="Times New Roman" w:hAnsi="Times New Roman" w:cs="Times New Roman"/>
          <w:b w:val="0"/>
          <w:bCs w:val="0"/>
          <w:color w:val="000000" w:themeColor="text1"/>
          <w:szCs w:val="21"/>
          <w:highlight w:val="none"/>
          <w14:textFill>
            <w14:solidFill>
              <w14:schemeClr w14:val="tx1"/>
            </w14:solidFill>
          </w14:textFill>
        </w:rPr>
        <w:fldChar w:fldCharType="separate"/>
      </w: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_Toc31478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1</w:t>
      </w:r>
      <w:r>
        <w:rPr>
          <w:rFonts w:hint="default" w:ascii="Times New Roman" w:hAnsi="Times New Roman" w:eastAsia="黑体" w:cs="Times New Roman"/>
          <w:color w:val="000000" w:themeColor="text1"/>
          <w:szCs w:val="28"/>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Cs w:val="21"/>
          <w:highlight w:val="none"/>
          <w14:textFill>
            <w14:solidFill>
              <w14:schemeClr w14:val="tx1"/>
            </w14:solidFill>
          </w14:textFill>
        </w:rPr>
        <w:t>General Requirements</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_Toc31478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_Toc18867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 xml:space="preserve">2  </w:t>
      </w:r>
      <w:r>
        <w:rPr>
          <w:rFonts w:hint="default" w:ascii="Times New Roman" w:hAnsi="Times New Roman" w:eastAsia="黑体" w:cs="Times New Roman"/>
          <w:color w:val="000000" w:themeColor="text1"/>
          <w:szCs w:val="21"/>
          <w:highlight w:val="none"/>
          <w14:textFill>
            <w14:solidFill>
              <w14:schemeClr w14:val="tx1"/>
            </w14:solidFill>
          </w14:textFill>
        </w:rPr>
        <w:t>Terms and Symbols</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_Toc18867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_Toc19724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2.1  Terms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_Toc19724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2</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_Toc29441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2.2  Symbols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_Toc29441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4</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_Toc13586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 xml:space="preserve">3  </w:t>
      </w:r>
      <w:r>
        <w:rPr>
          <w:rFonts w:hint="default" w:ascii="Times New Roman" w:hAnsi="Times New Roman" w:eastAsia="黑体" w:cs="Times New Roman"/>
          <w:color w:val="000000" w:themeColor="text1"/>
          <w:szCs w:val="21"/>
          <w:highlight w:val="none"/>
          <w14:textFill>
            <w14:solidFill>
              <w14:schemeClr w14:val="tx1"/>
            </w14:solidFill>
          </w14:textFill>
        </w:rPr>
        <w:t>Basic Requirements</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_Toc13586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_Toc18241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 xml:space="preserve">4  </w:t>
      </w:r>
      <w:r>
        <w:rPr>
          <w:rFonts w:hint="default" w:ascii="Times New Roman" w:hAnsi="Times New Roman" w:eastAsia="黑体" w:cs="Times New Roman"/>
          <w:color w:val="000000" w:themeColor="text1"/>
          <w:szCs w:val="21"/>
          <w:highlight w:val="none"/>
          <w14:textFill>
            <w14:solidFill>
              <w14:schemeClr w14:val="tx1"/>
            </w14:solidFill>
          </w14:textFill>
        </w:rPr>
        <w:t>Materials</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_Toc18241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_Toc27390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4.1  Structural Materials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_Toc27390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7</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_Toc1689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4.2  Decoration Materials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_Toc1689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11</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_Toc7743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4.3  Other Materials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_Toc7743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12</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_Toc23322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 xml:space="preserve">5  </w:t>
      </w:r>
      <w:r>
        <w:rPr>
          <w:rFonts w:hint="default" w:ascii="Times New Roman" w:hAnsi="Times New Roman" w:eastAsia="黑体" w:cs="Times New Roman"/>
          <w:color w:val="000000" w:themeColor="text1"/>
          <w:szCs w:val="21"/>
          <w:highlight w:val="none"/>
          <w14:textFill>
            <w14:solidFill>
              <w14:schemeClr w14:val="tx1"/>
            </w14:solidFill>
          </w14:textFill>
        </w:rPr>
        <w:t>Architectural Design</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_Toc23322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14</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_Toc3993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5.1  General Requirements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_Toc3993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14</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_Toc3485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5.2  System Integration Design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_Toc3485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15</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_Toc27387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5.3  Layout Design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_Toc27387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17</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_Toc3793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5.4  Elevation Design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_Toc3793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18</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_Toc26862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5.5  Building Construction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_Toc26862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19</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_Toc23908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 xml:space="preserve">6  </w:t>
      </w:r>
      <w:r>
        <w:rPr>
          <w:rFonts w:hint="default" w:ascii="Times New Roman" w:hAnsi="Times New Roman" w:eastAsia="Segoe UI" w:cs="Times New Roman"/>
          <w:color w:val="000000" w:themeColor="text1"/>
          <w:szCs w:val="21"/>
          <w:highlight w:val="none"/>
          <w14:textFill>
            <w14:solidFill>
              <w14:schemeClr w14:val="tx1"/>
            </w14:solidFill>
          </w14:textFill>
        </w:rPr>
        <w:t>Structural Design</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_Toc23908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24</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_Toc15502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6.1  General Requirements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_Toc15502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24</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_Toc23201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6.2  Structural Layout</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_Toc23201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28</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_Toc14885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6.3  Structural Analysis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_Toc14885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31</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_Toc17389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Modular Unit Structural Design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_Toc17389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35</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_Toc13690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Module Components and Connection Design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_Toc13690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43</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_Toc32083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 xml:space="preserve">7  </w:t>
      </w:r>
      <w:r>
        <w:rPr>
          <w:rFonts w:hint="default" w:ascii="Times New Roman" w:hAnsi="Times New Roman" w:eastAsia="Segoe UI" w:cs="Times New Roman"/>
          <w:color w:val="000000" w:themeColor="text1"/>
          <w:szCs w:val="21"/>
          <w:highlight w:val="none"/>
          <w14:textFill>
            <w14:solidFill>
              <w14:schemeClr w14:val="tx1"/>
            </w14:solidFill>
          </w14:textFill>
        </w:rPr>
        <w:t>Equipment Pipeline and Interior System Design</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_Toc32083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48</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_Toc12827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7.1 </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18"/>
          <w:szCs w:val="18"/>
          <w:highlight w:val="none"/>
          <w14:textFill>
            <w14:solidFill>
              <w14:schemeClr w14:val="tx1"/>
            </w14:solidFill>
          </w14:textFill>
        </w:rPr>
        <w:t>General Requirements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_Toc12827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48</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_Toc18368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7.2  Water Supply and Drainage System</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_Toc18368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49</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_Toc13282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7.3  Ventilation, Air Conditioning and Gas Systems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_Toc13282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50</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_Toc31038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7.4  Electrical System</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_Toc31038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51</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_Toc6419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7.5  Internal System</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_Toc6419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53</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cs="Times New Roman"/>
          <w:bCs w:val="0"/>
          <w:color w:val="000000" w:themeColor="text1"/>
          <w:szCs w:val="21"/>
          <w:highlight w:val="none"/>
          <w14:textFill>
            <w14:solidFill>
              <w14:schemeClr w14:val="tx1"/>
            </w14:solidFill>
          </w14:textFill>
        </w:rPr>
        <w:instrText xml:space="preserve"> HYPERLINK \l _Toc579 </w:instrText>
      </w:r>
      <w:r>
        <w:rPr>
          <w:rFonts w:hint="default" w:ascii="Times New Roman" w:hAnsi="Times New Roman"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8"/>
          <w:highlight w:val="none"/>
          <w14:textFill>
            <w14:solidFill>
              <w14:schemeClr w14:val="tx1"/>
            </w14:solidFill>
          </w14:textFill>
        </w:rPr>
        <w:t xml:space="preserve">8  </w:t>
      </w:r>
      <w:r>
        <w:rPr>
          <w:rFonts w:hint="default" w:ascii="Times New Roman" w:hAnsi="Times New Roman" w:eastAsia="黑体" w:cs="Times New Roman"/>
          <w:color w:val="000000" w:themeColor="text1"/>
          <w:szCs w:val="21"/>
          <w:highlight w:val="none"/>
          <w14:textFill>
            <w14:solidFill>
              <w14:schemeClr w14:val="tx1"/>
            </w14:solidFill>
          </w14:textFill>
        </w:rPr>
        <w:t>Module Unit Production and Transportation</w:t>
      </w:r>
      <w:r>
        <w:rPr>
          <w:rFonts w:hint="default" w:ascii="Times New Roman" w:hAnsi="Times New Roman" w:cs="Times New Roman"/>
          <w:color w:val="000000" w:themeColor="text1"/>
          <w:highlight w:val="none"/>
          <w14:textFill>
            <w14:solidFill>
              <w14:schemeClr w14:val="tx1"/>
            </w14:solidFill>
          </w14:textFill>
        </w:rPr>
        <w:tab/>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PAGEREF _Toc579 \h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57</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_Toc25433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8.1  General Requirements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_Toc25433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57</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_Toc17941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Molds and Embedded Parts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_Toc17941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58</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_Toc14362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Reinforcement Processing and Installation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_Toc14362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61</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_Toc20178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Forming, Curing, and Demolding</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_Toc20178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63</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_Toc20996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w:t>
      </w:r>
      <w:r>
        <w:rPr>
          <w:rFonts w:hint="default" w:ascii="Times New Roman" w:hAnsi="Times New Roman" w:eastAsia="Segoe UI" w:cs="Times New Roman"/>
          <w:i w:val="0"/>
          <w:iCs w:val="0"/>
          <w:caps w:val="0"/>
          <w:color w:val="000000" w:themeColor="text1"/>
          <w:spacing w:val="0"/>
          <w:sz w:val="18"/>
          <w:szCs w:val="18"/>
          <w:shd w:val="clear" w:fill="FFFFFF"/>
          <w14:textFill>
            <w14:solidFill>
              <w14:schemeClr w14:val="tx1"/>
            </w14:solidFill>
          </w14:textFill>
        </w:rPr>
        <w:t>Hoisting and Storage</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_Toc20996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65</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bookmarkStart w:id="23" w:name="OLE_LINK2"/>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_Toc23957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Equipment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Pipeline Installation, and Decoration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_Toc23957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66</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_Toc11572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w:t>
      </w:r>
      <w:r>
        <w:rPr>
          <w:rFonts w:hint="default" w:ascii="Times New Roman" w:hAnsi="Times New Roman" w:eastAsia="Segoe UI" w:cs="Times New Roman"/>
          <w:i w:val="0"/>
          <w:iCs w:val="0"/>
          <w:caps w:val="0"/>
          <w:color w:val="000000" w:themeColor="text1"/>
          <w:spacing w:val="0"/>
          <w:sz w:val="18"/>
          <w:szCs w:val="18"/>
          <w:shd w:val="clear" w:fill="FFFFFF"/>
          <w14:textFill>
            <w14:solidFill>
              <w14:schemeClr w14:val="tx1"/>
            </w14:solidFill>
          </w14:textFill>
        </w:rPr>
        <w:t>Product Protection and Transportation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_Toc11572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68</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_Toc22788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w:t>
      </w:r>
      <w:r>
        <w:rPr>
          <w:rFonts w:hint="default" w:ascii="Times New Roman" w:hAnsi="Times New Roman" w:eastAsia="Segoe UI" w:cs="Times New Roman"/>
          <w:i w:val="0"/>
          <w:iCs w:val="0"/>
          <w:caps w:val="0"/>
          <w:color w:val="000000" w:themeColor="text1"/>
          <w:spacing w:val="0"/>
          <w:sz w:val="18"/>
          <w:szCs w:val="18"/>
          <w:shd w:val="clear" w:fill="FFFFFF"/>
          <w14:textFill>
            <w14:solidFill>
              <w14:schemeClr w14:val="tx1"/>
            </w14:solidFill>
          </w14:textFill>
        </w:rPr>
        <w:t>Module Unit Inspection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_Toc22788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69</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_Toc25086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18"/>
          <w:highlight w:val="none"/>
          <w14:textFill>
            <w14:solidFill>
              <w14:schemeClr w14:val="tx1"/>
            </w14:solidFill>
          </w14:textFill>
        </w:rPr>
        <w:t xml:space="preserve">  </w:t>
      </w:r>
      <w:r>
        <w:rPr>
          <w:rFonts w:hint="default" w:ascii="Times New Roman" w:hAnsi="Times New Roman" w:eastAsia="Segoe UI" w:cs="Times New Roman"/>
          <w:i w:val="0"/>
          <w:iCs w:val="0"/>
          <w:caps w:val="0"/>
          <w:color w:val="000000" w:themeColor="text1"/>
          <w:spacing w:val="0"/>
          <w:sz w:val="18"/>
          <w:szCs w:val="18"/>
          <w:shd w:val="clear" w:fill="FFFFFF"/>
          <w14:textFill>
            <w14:solidFill>
              <w14:schemeClr w14:val="tx1"/>
            </w14:solidFill>
          </w14:textFill>
        </w:rPr>
        <w:t>Documentation and Delivery</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_Toc25086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77</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bookmarkEnd w:id="23"/>
    </w:p>
    <w:p>
      <w:pPr>
        <w:pStyle w:val="17"/>
        <w:tabs>
          <w:tab w:val="right" w:leader="dot" w:pos="5919"/>
          <w:tab w:val="clear" w:pos="1050"/>
          <w:tab w:val="clear" w:pos="13948"/>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_Toc10089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 xml:space="preserve">9  </w:t>
      </w:r>
      <w:r>
        <w:rPr>
          <w:rFonts w:hint="default" w:ascii="Times New Roman" w:hAnsi="Times New Roman" w:eastAsia="黑体" w:cs="Times New Roman"/>
          <w:color w:val="000000" w:themeColor="text1"/>
          <w:szCs w:val="21"/>
          <w:highlight w:val="none"/>
          <w14:textFill>
            <w14:solidFill>
              <w14:schemeClr w14:val="tx1"/>
            </w14:solidFill>
          </w14:textFill>
        </w:rPr>
        <w:t>Construction and Installation</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_Toc10089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79</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_Toc23729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9.1  General Requirements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_Toc23729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79</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_Toc1631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9.2  Construction Preparation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_Toc1631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80</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_Toc32309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9.3  Modular Unit Installation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_Toc32309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82</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_Toc964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9.4  Modular Unit Connection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_Toc964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83</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_Toc2258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9.5  Construction Safety and Environmental Protection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_Toc2258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85</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_Toc25005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 xml:space="preserve">10  </w:t>
      </w:r>
      <w:r>
        <w:rPr>
          <w:rFonts w:hint="default" w:ascii="Times New Roman" w:hAnsi="Times New Roman" w:eastAsia="黑体" w:cs="Times New Roman"/>
          <w:color w:val="000000" w:themeColor="text1"/>
          <w:szCs w:val="21"/>
          <w:highlight w:val="none"/>
          <w14:textFill>
            <w14:solidFill>
              <w14:schemeClr w14:val="tx1"/>
            </w14:solidFill>
          </w14:textFill>
        </w:rPr>
        <w:t>Quality Acceptance</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_Toc25005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87</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_Toc25463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10.1  General Requirements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_Toc25463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87</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_Toc11187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10.2  Modular Unit On-site Acceptance</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_Toc11187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90</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_Toc21027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10.3  Module Unit Installation and Connection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_Toc21027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91</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_Toc27030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10.4  Equipment Pipeline Installation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_Toc27030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94</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_Toc10853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10.5  Physical Inspection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_Toc10853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95</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_Toc7219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 xml:space="preserve">11  </w:t>
      </w:r>
      <w:r>
        <w:rPr>
          <w:rFonts w:hint="default" w:ascii="Times New Roman" w:hAnsi="Times New Roman" w:eastAsia="Segoe UI" w:cs="Times New Roman"/>
          <w:color w:val="000000" w:themeColor="text1"/>
          <w:szCs w:val="21"/>
          <w:highlight w:val="none"/>
          <w14:textFill>
            <w14:solidFill>
              <w14:schemeClr w14:val="tx1"/>
            </w14:solidFill>
          </w14:textFill>
        </w:rPr>
        <w:t>Intelligent Construction and Operation</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_Toc7219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96</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_Toc3335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11.1  General Requirements</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_Toc3335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96</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_Toc32519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11.2  Building Information Modeling</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_Toc32519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96</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_Toc22018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11.3  Intelligent Production and Transportation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_Toc22018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97</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_Toc6859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11.4  Digital Construction</w:t>
      </w:r>
      <w:r>
        <w:rPr>
          <w:rFonts w:hint="default" w:ascii="Times New Roman" w:hAnsi="Times New Roman" w:eastAsia="宋体" w:cs="Times New Roman"/>
          <w:color w:val="000000" w:themeColor="text1"/>
          <w:sz w:val="18"/>
          <w:szCs w:val="18"/>
          <w:highlight w:val="none"/>
          <w14:textFill>
            <w14:solidFill>
              <w14:schemeClr w14:val="tx1"/>
            </w14:solidFill>
          </w14:textFill>
        </w:rPr>
        <w:tab/>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PAGEREF _Toc6859 \h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97</w: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keepNext w:val="0"/>
        <w:keepLines w:val="0"/>
        <w:pageBreakBefore w:val="0"/>
        <w:widowControl w:val="0"/>
        <w:tabs>
          <w:tab w:val="right" w:leader="dot" w:pos="5919"/>
          <w:tab w:val="clear" w:pos="1050"/>
          <w:tab w:val="clear" w:pos="13948"/>
        </w:tabs>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_Toc15665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1"/>
          <w:highlight w:val="none"/>
          <w14:textFill>
            <w14:solidFill>
              <w14:schemeClr w14:val="tx1"/>
            </w14:solidFill>
          </w14:textFill>
        </w:rPr>
        <w:t>Appendix</w:t>
      </w:r>
      <w:r>
        <w:rPr>
          <w:rFonts w:hint="default" w:ascii="Times New Roman" w:hAnsi="Times New Roman" w:eastAsia="黑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Cs w:val="21"/>
          <w:highlight w:val="none"/>
          <w14:textFill>
            <w14:solidFill>
              <w14:schemeClr w14:val="tx1"/>
            </w14:solidFill>
          </w14:textFill>
        </w:rPr>
        <w:t xml:space="preserve">A </w:t>
      </w:r>
      <w:r>
        <w:rPr>
          <w:rFonts w:hint="eastAsia" w:ascii="Times New Roman" w:hAnsi="Times New Roman" w:eastAsia="黑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Segoe UI" w:cs="Times New Roman"/>
          <w:color w:val="000000" w:themeColor="text1"/>
          <w:szCs w:val="21"/>
          <w:highlight w:val="none"/>
          <w14:textFill>
            <w14:solidFill>
              <w14:schemeClr w14:val="tx1"/>
            </w14:solidFill>
          </w14:textFill>
        </w:rPr>
        <w:t>Modular Unit Decoration Quality Inspection</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Segoe UI" w:cs="Times New Roman"/>
          <w:color w:val="000000" w:themeColor="text1"/>
          <w:szCs w:val="21"/>
          <w:highlight w:val="none"/>
          <w14:textFill>
            <w14:solidFill>
              <w14:schemeClr w14:val="tx1"/>
            </w14:solidFill>
          </w14:textFill>
        </w:rPr>
        <w:t>Repor</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_Toc15665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99</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bCs w:val="0"/>
          <w:color w:val="000000" w:themeColor="text1"/>
          <w:szCs w:val="2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_Toc23024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1"/>
          <w:highlight w:val="none"/>
          <w14:textFill>
            <w14:solidFill>
              <w14:schemeClr w14:val="tx1"/>
            </w14:solidFill>
          </w14:textFill>
        </w:rPr>
        <w:t xml:space="preserve">Appendix B  </w:t>
      </w:r>
      <w:r>
        <w:rPr>
          <w:rFonts w:hint="default" w:ascii="Times New Roman" w:hAnsi="Times New Roman" w:eastAsia="Segoe UI" w:cs="Times New Roman"/>
          <w:color w:val="000000" w:themeColor="text1"/>
          <w:szCs w:val="21"/>
          <w:highlight w:val="none"/>
          <w14:textFill>
            <w14:solidFill>
              <w14:schemeClr w14:val="tx1"/>
            </w14:solidFill>
          </w14:textFill>
        </w:rPr>
        <w:t>Modular Unit Hoisting Test</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_Toc23024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104</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_Toc13648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szCs w:val="21"/>
          <w:highlight w:val="none"/>
          <w14:textFill>
            <w14:solidFill>
              <w14:schemeClr w14:val="tx1"/>
            </w14:solidFill>
          </w14:textFill>
        </w:rPr>
        <w:t xml:space="preserve">Appendix C  </w:t>
      </w:r>
      <w:r>
        <w:rPr>
          <w:rFonts w:hint="default" w:ascii="Times New Roman" w:hAnsi="Times New Roman" w:eastAsia="Segoe UI" w:cs="Times New Roman"/>
          <w:color w:val="000000" w:themeColor="text1"/>
          <w:szCs w:val="21"/>
          <w:highlight w:val="none"/>
          <w14:textFill>
            <w14:solidFill>
              <w14:schemeClr w14:val="tx1"/>
            </w14:solidFill>
          </w14:textFill>
        </w:rPr>
        <w:t>Modular Unit Factory Certificate</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lang w:val="en-US" w:eastAsia="zh-CN"/>
          <w14:textFill>
            <w14:solidFill>
              <w14:schemeClr w14:val="tx1"/>
            </w14:solidFill>
          </w14:textFill>
        </w:rPr>
        <w:t>07</w:t>
      </w:r>
    </w:p>
    <w:p>
      <w:pPr>
        <w:pStyle w:val="17"/>
        <w:tabs>
          <w:tab w:val="right" w:leader="dot" w:pos="5919"/>
          <w:tab w:val="clear" w:pos="1050"/>
          <w:tab w:val="clear" w:pos="13948"/>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_Toc5639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Style w:val="28"/>
          <w:rFonts w:hint="default" w:ascii="Times New Roman" w:hAnsi="Times New Roman" w:eastAsia="Segoe UI" w:cs="Times New Roman"/>
          <w:b w:val="0"/>
          <w:bCs w:val="0"/>
          <w:color w:val="000000" w:themeColor="text1"/>
          <w:szCs w:val="21"/>
          <w:highlight w:val="none"/>
          <w14:textFill>
            <w14:solidFill>
              <w14:schemeClr w14:val="tx1"/>
            </w14:solidFill>
          </w14:textFill>
        </w:rPr>
        <w:t>Explanatory Notes on Wording</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_Toc5639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105</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_Toc17488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Style w:val="28"/>
          <w:rFonts w:hint="default" w:ascii="Times New Roman" w:hAnsi="Times New Roman" w:eastAsia="Segoe UI" w:cs="Times New Roman"/>
          <w:b w:val="0"/>
          <w:bCs w:val="0"/>
          <w:color w:val="000000" w:themeColor="text1"/>
          <w:szCs w:val="21"/>
          <w:highlight w:val="none"/>
          <w14:textFill>
            <w14:solidFill>
              <w14:schemeClr w14:val="tx1"/>
            </w14:solidFill>
          </w14:textFill>
        </w:rPr>
        <w:t>List of Referenced Standards</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_Toc17488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106</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bCs w:val="0"/>
          <w:color w:val="000000" w:themeColor="text1"/>
          <w:szCs w:val="21"/>
          <w:highlight w:val="none"/>
          <w14:textFill>
            <w14:solidFill>
              <w14:schemeClr w14:val="tx1"/>
            </w14:solidFill>
          </w14:textFill>
        </w:rPr>
        <w:instrText xml:space="preserve"> HYPERLINK \l _Toc3413 </w:instrText>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separate"/>
      </w:r>
      <w:r>
        <w:rPr>
          <w:rStyle w:val="28"/>
          <w:rFonts w:hint="default" w:ascii="Times New Roman" w:hAnsi="Times New Roman" w:eastAsia="Segoe UI" w:cs="Times New Roman"/>
          <w:b w:val="0"/>
          <w:bCs w:val="0"/>
          <w:color w:val="000000" w:themeColor="text1"/>
          <w:szCs w:val="21"/>
          <w:highlight w:val="none"/>
          <w14:textFill>
            <w14:solidFill>
              <w14:schemeClr w14:val="tx1"/>
            </w14:solidFill>
          </w14:textFill>
        </w:rPr>
        <w:t>Technical Commentary</w:t>
      </w:r>
      <w:r>
        <w:rPr>
          <w:rFonts w:hint="default" w:ascii="Times New Roman" w:hAnsi="Times New Roman" w:eastAsia="宋体" w:cs="Times New Roman"/>
          <w:color w:val="000000" w:themeColor="text1"/>
          <w:highlight w:val="none"/>
          <w14:textFill>
            <w14:solidFill>
              <w14:schemeClr w14:val="tx1"/>
            </w14:solidFill>
          </w14:textFill>
        </w:rPr>
        <w:tab/>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PAGEREF _Toc3413 \h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109</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bCs w:val="0"/>
          <w:color w:val="000000" w:themeColor="text1"/>
          <w:szCs w:val="21"/>
          <w:highlight w:val="none"/>
          <w14:textFill>
            <w14:solidFill>
              <w14:schemeClr w14:val="tx1"/>
            </w14:solidFill>
          </w14:textFill>
        </w:rPr>
        <w:fldChar w:fldCharType="end"/>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sectPr>
          <w:pgSz w:w="7937" w:h="11509"/>
          <w:pgMar w:top="1083" w:right="1009" w:bottom="1083" w:left="1009" w:header="851" w:footer="992" w:gutter="0"/>
          <w:pgNumType w:fmt="decimal"/>
          <w:cols w:space="0" w:num="1"/>
          <w:docGrid w:type="linesAndChars" w:linePitch="333" w:charSpace="2165"/>
        </w:sectPr>
      </w:pPr>
      <w:r>
        <w:rPr>
          <w:rFonts w:hint="default" w:ascii="Times New Roman" w:hAnsi="Times New Roman" w:cs="Times New Roman"/>
          <w:bCs w:val="0"/>
          <w:color w:val="000000" w:themeColor="text1"/>
          <w:szCs w:val="21"/>
          <w:highlight w:val="none"/>
          <w14:textFill>
            <w14:solidFill>
              <w14:schemeClr w14:val="tx1"/>
            </w14:solidFill>
          </w14:textFill>
        </w:rPr>
        <w:fldChar w:fldCharType="end"/>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24" w:name="_Toc32485"/>
      <w:bookmarkStart w:id="25" w:name="_Toc10799"/>
      <w:bookmarkStart w:id="26" w:name="_Toc110958463"/>
      <w:bookmarkStart w:id="27" w:name="_Toc219"/>
      <w:bookmarkStart w:id="28" w:name="_Toc31478"/>
      <w:bookmarkStart w:id="29" w:name="_Toc5350"/>
      <w:bookmarkStart w:id="30" w:name="_Toc15869"/>
      <w:bookmarkStart w:id="31" w:name="_Toc19501"/>
      <w:bookmarkStart w:id="32" w:name="_Toc110952695"/>
      <w:bookmarkStart w:id="33" w:name="_Toc23774"/>
      <w:bookmarkStart w:id="34" w:name="_Toc5428"/>
      <w:bookmarkStart w:id="35" w:name="_Toc93999724"/>
      <w:bookmarkStart w:id="36" w:name="_Toc93998963"/>
      <w:bookmarkStart w:id="37" w:name="_Toc82523962"/>
      <w:r>
        <w:rPr>
          <w:rFonts w:hint="default" w:ascii="Times New Roman" w:hAnsi="Times New Roman" w:eastAsia="黑体" w:cs="Times New Roman"/>
          <w:color w:val="000000" w:themeColor="text1"/>
          <w:sz w:val="28"/>
          <w:szCs w:val="28"/>
          <w:highlight w:val="none"/>
          <w14:textFill>
            <w14:solidFill>
              <w14:schemeClr w14:val="tx1"/>
            </w14:solidFill>
          </w14:textFill>
        </w:rPr>
        <w:t>1  总    则</w:t>
      </w:r>
      <w:bookmarkEnd w:id="24"/>
      <w:bookmarkEnd w:id="25"/>
      <w:bookmarkEnd w:id="26"/>
      <w:bookmarkEnd w:id="27"/>
      <w:bookmarkEnd w:id="28"/>
      <w:bookmarkEnd w:id="29"/>
      <w:bookmarkEnd w:id="30"/>
      <w:bookmarkEnd w:id="31"/>
      <w:bookmarkEnd w:id="32"/>
      <w:bookmarkEnd w:id="33"/>
      <w:bookmarkEnd w:id="34"/>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1.0.1  </w:t>
      </w:r>
      <w:r>
        <w:rPr>
          <w:rFonts w:hint="default" w:ascii="Times New Roman" w:hAnsi="Times New Roman" w:cs="Times New Roman"/>
          <w:color w:val="000000" w:themeColor="text1"/>
          <w:szCs w:val="21"/>
          <w:highlight w:val="none"/>
          <w14:textFill>
            <w14:solidFill>
              <w14:schemeClr w14:val="tx1"/>
            </w14:solidFill>
          </w14:textFill>
        </w:rPr>
        <w:t>为在工业与民用建筑中合理应用混凝土模块化建筑技术，推动建筑业新质生产力的发展，做到安全适用、技术先进、</w:t>
      </w:r>
      <w:r>
        <w:rPr>
          <w:rFonts w:hint="default" w:ascii="Times New Roman" w:hAnsi="Times New Roman" w:cs="Times New Roman"/>
          <w:color w:val="000000" w:themeColor="text1"/>
          <w:szCs w:val="21"/>
          <w:highlight w:val="none"/>
          <w:lang w:val="en-US" w:eastAsia="zh-CN"/>
          <w14:textFill>
            <w14:solidFill>
              <w14:schemeClr w14:val="tx1"/>
            </w14:solidFill>
          </w14:textFill>
        </w:rPr>
        <w:t>绿色智慧、</w:t>
      </w:r>
      <w:r>
        <w:rPr>
          <w:rFonts w:hint="default" w:ascii="Times New Roman" w:hAnsi="Times New Roman" w:cs="Times New Roman"/>
          <w:color w:val="000000" w:themeColor="text1"/>
          <w:szCs w:val="21"/>
          <w:highlight w:val="none"/>
          <w14:textFill>
            <w14:solidFill>
              <w14:schemeClr w14:val="tx1"/>
            </w14:solidFill>
          </w14:textFill>
        </w:rPr>
        <w:t>经济合理、施工方便、确保质量</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保护环境</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制定本标准。</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1.0.2  </w:t>
      </w:r>
      <w:r>
        <w:rPr>
          <w:rFonts w:hint="default" w:ascii="Times New Roman" w:hAnsi="Times New Roman" w:cs="Times New Roman"/>
          <w:color w:val="000000" w:themeColor="text1"/>
          <w:szCs w:val="21"/>
          <w:highlight w:val="none"/>
          <w14:textFill>
            <w14:solidFill>
              <w14:schemeClr w14:val="tx1"/>
            </w14:solidFill>
          </w14:textFill>
        </w:rPr>
        <w:t>本标准适用于广东省混凝土模块化建筑的设计、生产、运输、施工安装、验收及运营维护。</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1.0.3</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w:t>
      </w:r>
      <w:bookmarkStart w:id="38" w:name="OLE_LINK45"/>
      <w:r>
        <w:rPr>
          <w:rFonts w:hint="default" w:ascii="Times New Roman" w:hAnsi="Times New Roman" w:cs="Times New Roman"/>
          <w:color w:val="000000" w:themeColor="text1"/>
          <w:szCs w:val="21"/>
          <w:highlight w:val="none"/>
          <w14:textFill>
            <w14:solidFill>
              <w14:schemeClr w14:val="tx1"/>
            </w14:solidFill>
          </w14:textFill>
        </w:rPr>
        <w:t>模块化建筑的材料、设计、生产、运输、施工安</w:t>
      </w:r>
      <w:bookmarkEnd w:id="38"/>
      <w:r>
        <w:rPr>
          <w:rFonts w:hint="default" w:ascii="Times New Roman" w:hAnsi="Times New Roman" w:cs="Times New Roman"/>
          <w:color w:val="000000" w:themeColor="text1"/>
          <w:szCs w:val="21"/>
          <w:highlight w:val="none"/>
          <w14:textFill>
            <w14:solidFill>
              <w14:schemeClr w14:val="tx1"/>
            </w14:solidFill>
          </w14:textFill>
        </w:rPr>
        <w:t>装、验收</w:t>
      </w:r>
      <w:bookmarkStart w:id="39" w:name="OLE_LINK46"/>
      <w:r>
        <w:rPr>
          <w:rFonts w:hint="default" w:ascii="Times New Roman" w:hAnsi="Times New Roman" w:cs="Times New Roman"/>
          <w:color w:val="000000" w:themeColor="text1"/>
          <w:szCs w:val="21"/>
          <w:highlight w:val="none"/>
          <w14:textFill>
            <w14:solidFill>
              <w14:schemeClr w14:val="tx1"/>
            </w14:solidFill>
          </w14:textFill>
        </w:rPr>
        <w:t>及运营维护，</w:t>
      </w:r>
      <w:bookmarkEnd w:id="39"/>
      <w:r>
        <w:rPr>
          <w:rFonts w:hint="default" w:ascii="Times New Roman" w:hAnsi="Times New Roman" w:cs="Times New Roman"/>
          <w:color w:val="000000" w:themeColor="text1"/>
          <w:szCs w:val="21"/>
          <w:highlight w:val="none"/>
          <w14:textFill>
            <w14:solidFill>
              <w14:schemeClr w14:val="tx1"/>
            </w14:solidFill>
          </w14:textFill>
        </w:rPr>
        <w:t>除应符合本标准外，尚应符合国家及广东省现行有关标准的规定。</w:t>
      </w:r>
    </w:p>
    <w:p>
      <w:pPr>
        <w:widowControl/>
        <w:spacing w:line="360" w:lineRule="exact"/>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40" w:name="_Toc30018"/>
      <w:bookmarkStart w:id="41" w:name="_Toc110958464"/>
      <w:bookmarkStart w:id="42" w:name="_Toc110952696"/>
      <w:bookmarkStart w:id="43" w:name="_Toc16938"/>
      <w:bookmarkStart w:id="44" w:name="_Toc18867"/>
      <w:bookmarkStart w:id="45" w:name="_Toc17912"/>
      <w:bookmarkStart w:id="46" w:name="_Toc16504"/>
      <w:bookmarkStart w:id="47" w:name="_Toc8919"/>
      <w:bookmarkStart w:id="48" w:name="_Toc10366"/>
      <w:bookmarkStart w:id="49" w:name="_Toc16502"/>
      <w:bookmarkStart w:id="50" w:name="_Toc22444"/>
      <w:r>
        <w:rPr>
          <w:rFonts w:hint="default" w:ascii="Times New Roman" w:hAnsi="Times New Roman" w:eastAsia="黑体" w:cs="Times New Roman"/>
          <w:color w:val="000000" w:themeColor="text1"/>
          <w:sz w:val="28"/>
          <w:szCs w:val="28"/>
          <w:highlight w:val="none"/>
          <w14:textFill>
            <w14:solidFill>
              <w14:schemeClr w14:val="tx1"/>
            </w14:solidFill>
          </w14:textFill>
        </w:rPr>
        <w:t>2  术语</w:t>
      </w:r>
      <w:bookmarkEnd w:id="35"/>
      <w:bookmarkEnd w:id="36"/>
      <w:bookmarkEnd w:id="37"/>
      <w:r>
        <w:rPr>
          <w:rFonts w:hint="default" w:ascii="Times New Roman" w:hAnsi="Times New Roman" w:eastAsia="黑体" w:cs="Times New Roman"/>
          <w:color w:val="000000" w:themeColor="text1"/>
          <w:sz w:val="28"/>
          <w:szCs w:val="28"/>
          <w:highlight w:val="none"/>
          <w14:textFill>
            <w14:solidFill>
              <w14:schemeClr w14:val="tx1"/>
            </w14:solidFill>
          </w14:textFill>
        </w:rPr>
        <w:t>和符号</w:t>
      </w:r>
      <w:bookmarkEnd w:id="40"/>
      <w:bookmarkEnd w:id="41"/>
      <w:bookmarkEnd w:id="42"/>
      <w:bookmarkEnd w:id="43"/>
      <w:bookmarkEnd w:id="44"/>
      <w:bookmarkEnd w:id="45"/>
      <w:bookmarkEnd w:id="46"/>
      <w:bookmarkEnd w:id="47"/>
      <w:bookmarkEnd w:id="48"/>
      <w:bookmarkEnd w:id="49"/>
      <w:bookmarkEnd w:id="50"/>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51" w:name="_Toc2824"/>
      <w:bookmarkStart w:id="52" w:name="_Toc110952697"/>
      <w:bookmarkStart w:id="53" w:name="_Toc230"/>
      <w:bookmarkStart w:id="54" w:name="_Toc21371"/>
      <w:bookmarkStart w:id="55" w:name="_Toc22629"/>
      <w:bookmarkStart w:id="56" w:name="_Toc26905"/>
      <w:bookmarkStart w:id="57" w:name="_Toc17315"/>
      <w:bookmarkStart w:id="58" w:name="_Toc17075"/>
      <w:bookmarkStart w:id="59" w:name="_Toc110958465"/>
      <w:bookmarkStart w:id="60" w:name="_Toc25353"/>
      <w:bookmarkStart w:id="61" w:name="_Toc19724"/>
      <w:bookmarkStart w:id="62" w:name="OLE_LINK59"/>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2.1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术    语</w:t>
      </w:r>
      <w:bookmarkEnd w:id="51"/>
      <w:bookmarkEnd w:id="52"/>
      <w:bookmarkEnd w:id="53"/>
      <w:bookmarkEnd w:id="54"/>
      <w:bookmarkEnd w:id="55"/>
      <w:bookmarkEnd w:id="56"/>
      <w:bookmarkEnd w:id="57"/>
      <w:bookmarkEnd w:id="58"/>
      <w:bookmarkEnd w:id="59"/>
      <w:bookmarkEnd w:id="60"/>
      <w:bookmarkEnd w:id="61"/>
    </w:p>
    <w:bookmarkEnd w:id="62"/>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2.1.1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  concrete modular buildings</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主要</w:t>
      </w:r>
      <w:r>
        <w:rPr>
          <w:rFonts w:hint="default" w:ascii="Times New Roman" w:hAnsi="Times New Roman" w:cs="Times New Roman"/>
          <w:color w:val="000000" w:themeColor="text1"/>
          <w:szCs w:val="21"/>
          <w:highlight w:val="none"/>
          <w14:textFill>
            <w14:solidFill>
              <w14:schemeClr w14:val="tx1"/>
            </w14:solidFill>
          </w14:textFill>
        </w:rPr>
        <w:t>由在工厂内制作完成的</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集成混凝土</w:t>
      </w:r>
      <w:r>
        <w:rPr>
          <w:rFonts w:hint="default" w:ascii="Times New Roman" w:hAnsi="Times New Roman" w:cs="Times New Roman"/>
          <w:color w:val="000000" w:themeColor="text1"/>
          <w14:textFill>
            <w14:solidFill>
              <w14:schemeClr w14:val="tx1"/>
            </w14:solidFill>
          </w14:textFill>
        </w:rPr>
        <w:t>结构构件、围护部品、内装部品及设备管线</w:t>
      </w:r>
      <w:r>
        <w:rPr>
          <w:rFonts w:hint="default" w:ascii="Times New Roman" w:hAnsi="Times New Roman"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szCs w:val="21"/>
          <w:highlight w:val="none"/>
          <w14:textFill>
            <w14:solidFill>
              <w14:schemeClr w14:val="tx1"/>
            </w14:solidFill>
          </w14:textFill>
        </w:rPr>
        <w:t>的预制混凝土空间模块</w:t>
      </w:r>
      <w:r>
        <w:rPr>
          <w:rFonts w:hint="default" w:ascii="Times New Roman" w:hAnsi="Times New Roman" w:cs="Times New Roman"/>
          <w:color w:val="000000" w:themeColor="text1"/>
          <w:szCs w:val="21"/>
          <w:highlight w:val="none"/>
          <w:lang w:val="en-US" w:eastAsia="zh-CN"/>
          <w14:textFill>
            <w14:solidFill>
              <w14:schemeClr w14:val="tx1"/>
            </w14:solidFill>
          </w14:textFill>
        </w:rPr>
        <w:t>单元</w:t>
      </w:r>
      <w:r>
        <w:rPr>
          <w:rFonts w:hint="default" w:ascii="Times New Roman" w:hAnsi="Times New Roman" w:cs="Times New Roman"/>
          <w:color w:val="000000" w:themeColor="text1"/>
          <w:szCs w:val="21"/>
          <w:highlight w:val="none"/>
          <w14:textFill>
            <w14:solidFill>
              <w14:schemeClr w14:val="tx1"/>
            </w14:solidFill>
          </w14:textFill>
        </w:rPr>
        <w:t>，通过现场装配连接而成的混凝土结构建筑，</w:t>
      </w:r>
      <w:bookmarkStart w:id="63" w:name="OLE_LINK107"/>
      <w:r>
        <w:rPr>
          <w:rFonts w:hint="default" w:ascii="Times New Roman" w:hAnsi="Times New Roman" w:cs="Times New Roman"/>
          <w:color w:val="000000" w:themeColor="text1"/>
          <w:szCs w:val="21"/>
          <w:highlight w:val="none"/>
          <w14:textFill>
            <w14:solidFill>
              <w14:schemeClr w14:val="tx1"/>
            </w14:solidFill>
          </w14:textFill>
        </w:rPr>
        <w:t>本标准简称为“模块化建筑”</w:t>
      </w:r>
      <w:bookmarkEnd w:id="63"/>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2</w:t>
      </w:r>
      <w:r>
        <w:rPr>
          <w:rFonts w:hint="default" w:ascii="Times New Roman" w:hAnsi="Times New Roman" w:cs="Times New Roman"/>
          <w:b/>
          <w:color w:val="000000" w:themeColor="text1"/>
          <w:szCs w:val="21"/>
          <w:highlight w:val="none"/>
          <w14:textFill>
            <w14:solidFill>
              <w14:schemeClr w14:val="tx1"/>
            </w14:solidFill>
          </w14:textFill>
        </w:rPr>
        <w:t xml:space="preserve"> </w:t>
      </w:r>
      <w:bookmarkStart w:id="64" w:name="OLE_LINK36"/>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全预制模块单元</w:t>
      </w:r>
      <w:bookmarkEnd w:id="64"/>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fully prefabricated</w:t>
      </w:r>
      <w:r>
        <w:rPr>
          <w:rFonts w:hint="default" w:ascii="Times New Roman" w:hAnsi="Times New Roman" w:cs="Times New Roman"/>
          <w:color w:val="000000" w:themeColor="text1"/>
          <w:szCs w:val="21"/>
          <w:highlight w:val="none"/>
          <w14:textFill>
            <w14:solidFill>
              <w14:schemeClr w14:val="tx1"/>
            </w14:solidFill>
          </w14:textFill>
        </w:rPr>
        <w:t xml:space="preserve"> modular unit </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在工厂预制完成，</w:t>
      </w:r>
      <w:r>
        <w:rPr>
          <w:rFonts w:hint="default" w:ascii="Times New Roman" w:hAnsi="Times New Roman" w:cs="Times New Roman"/>
          <w:color w:val="000000" w:themeColor="text1"/>
          <w:szCs w:val="21"/>
          <w:highlight w:val="none"/>
          <w:lang w:val="en-US" w:eastAsia="zh-CN"/>
          <w14:textFill>
            <w14:solidFill>
              <w14:schemeClr w14:val="tx1"/>
            </w14:solidFill>
          </w14:textFill>
        </w:rPr>
        <w:t>由</w:t>
      </w:r>
      <w:r>
        <w:rPr>
          <w:rFonts w:hint="default" w:ascii="Times New Roman" w:hAnsi="Times New Roman" w:cs="Times New Roman"/>
          <w:color w:val="000000" w:themeColor="text1"/>
          <w:szCs w:val="21"/>
          <w:highlight w:val="none"/>
          <w14:textFill>
            <w14:solidFill>
              <w14:schemeClr w14:val="tx1"/>
            </w14:solidFill>
          </w14:textFill>
        </w:rPr>
        <w:t>预制剪力墙、预制围护墙</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预制梁</w:t>
      </w:r>
      <w:r>
        <w:rPr>
          <w:rFonts w:hint="default" w:ascii="Times New Roman" w:hAnsi="Times New Roman" w:cs="Times New Roman"/>
          <w:color w:val="000000" w:themeColor="text1"/>
          <w:szCs w:val="21"/>
          <w:highlight w:val="none"/>
          <w14:textFill>
            <w14:solidFill>
              <w14:schemeClr w14:val="tx1"/>
            </w14:solidFill>
          </w14:textFill>
        </w:rPr>
        <w:t>和预制</w:t>
      </w:r>
      <w:r>
        <w:rPr>
          <w:rFonts w:hint="default" w:ascii="Times New Roman" w:hAnsi="Times New Roman" w:cs="Times New Roman"/>
          <w:color w:val="000000" w:themeColor="text1"/>
          <w:szCs w:val="21"/>
          <w:highlight w:val="none"/>
          <w:lang w:val="en-US" w:eastAsia="zh-CN"/>
          <w14:textFill>
            <w14:solidFill>
              <w14:schemeClr w14:val="tx1"/>
            </w14:solidFill>
          </w14:textFill>
        </w:rPr>
        <w:t>叠合</w:t>
      </w:r>
      <w:r>
        <w:rPr>
          <w:rFonts w:hint="default" w:ascii="Times New Roman" w:hAnsi="Times New Roman" w:cs="Times New Roman"/>
          <w:color w:val="000000" w:themeColor="text1"/>
          <w:szCs w:val="21"/>
          <w:highlight w:val="none"/>
          <w14:textFill>
            <w14:solidFill>
              <w14:schemeClr w14:val="tx1"/>
            </w14:solidFill>
          </w14:textFill>
        </w:rPr>
        <w:t>楼板等</w:t>
      </w:r>
      <w:r>
        <w:rPr>
          <w:rFonts w:hint="default" w:ascii="Times New Roman" w:hAnsi="Times New Roman" w:cs="Times New Roman"/>
          <w:color w:val="000000" w:themeColor="text1"/>
          <w:szCs w:val="21"/>
          <w:highlight w:val="none"/>
          <w:lang w:val="en-US" w:eastAsia="zh-CN"/>
          <w14:textFill>
            <w14:solidFill>
              <w14:schemeClr w14:val="tx1"/>
            </w14:solidFill>
          </w14:textFill>
        </w:rPr>
        <w:t>构件</w:t>
      </w:r>
      <w:r>
        <w:rPr>
          <w:rFonts w:hint="default" w:ascii="Times New Roman" w:hAnsi="Times New Roman" w:cs="Times New Roman"/>
          <w:color w:val="000000" w:themeColor="text1"/>
          <w:szCs w:val="21"/>
          <w:highlight w:val="none"/>
          <w14:textFill>
            <w14:solidFill>
              <w14:schemeClr w14:val="tx1"/>
            </w14:solidFill>
          </w14:textFill>
        </w:rPr>
        <w:t>组成</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并集成</w:t>
      </w:r>
      <w:r>
        <w:rPr>
          <w:rFonts w:hint="default" w:ascii="Times New Roman" w:hAnsi="Times New Roman" w:cs="Times New Roman"/>
          <w:color w:val="000000" w:themeColor="text1"/>
          <w14:textFill>
            <w14:solidFill>
              <w14:schemeClr w14:val="tx1"/>
            </w14:solidFill>
          </w14:textFill>
        </w:rPr>
        <w:t>围护部品、内装部品及设备管线</w:t>
      </w:r>
      <w:r>
        <w:rPr>
          <w:rFonts w:hint="default" w:ascii="Times New Roman" w:hAnsi="Times New Roman" w:cs="Times New Roman"/>
          <w:color w:val="000000" w:themeColor="text1"/>
          <w:szCs w:val="21"/>
          <w:highlight w:val="none"/>
          <w:lang w:eastAsia="zh-CN"/>
          <w14:textFill>
            <w14:solidFill>
              <w14:schemeClr w14:val="tx1"/>
            </w14:solidFill>
          </w14:textFill>
        </w:rPr>
        <w:t>的建筑空间模块</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65" w:name="OLE_LINK53"/>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color w:val="000000" w:themeColor="text1"/>
          <w:szCs w:val="21"/>
          <w:highlight w:val="none"/>
          <w14:textFill>
            <w14:solidFill>
              <w14:schemeClr w14:val="tx1"/>
            </w14:solidFill>
          </w14:textFill>
        </w:rPr>
        <w:t xml:space="preserve"> </w:t>
      </w:r>
      <w:bookmarkStart w:id="66" w:name="OLE_LINK81"/>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叠合模块单元</w:t>
      </w:r>
      <w:bookmarkEnd w:id="66"/>
      <w:r>
        <w:rPr>
          <w:rFonts w:hint="default" w:ascii="Times New Roman" w:hAnsi="Times New Roman" w:cs="Times New Roman"/>
          <w:color w:val="000000" w:themeColor="text1"/>
          <w:szCs w:val="21"/>
          <w:highlight w:val="none"/>
          <w14:textFill>
            <w14:solidFill>
              <w14:schemeClr w14:val="tx1"/>
            </w14:solidFill>
          </w14:textFill>
        </w:rPr>
        <w:t xml:space="preserve"> integrated modular unit </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在工厂预制完成，由</w:t>
      </w:r>
      <w:r>
        <w:rPr>
          <w:rFonts w:hint="default" w:ascii="Times New Roman" w:hAnsi="Times New Roman" w:cs="Times New Roman"/>
          <w:color w:val="000000" w:themeColor="text1"/>
          <w:szCs w:val="21"/>
          <w:highlight w:val="none"/>
          <w:lang w:val="en-US" w:eastAsia="zh-CN"/>
          <w14:textFill>
            <w14:solidFill>
              <w14:schemeClr w14:val="tx1"/>
            </w14:solidFill>
          </w14:textFill>
        </w:rPr>
        <w:t>叠合墙、叠合柱、叠合</w:t>
      </w:r>
      <w:r>
        <w:rPr>
          <w:rFonts w:hint="default" w:ascii="Times New Roman" w:hAnsi="Times New Roman" w:cs="Times New Roman"/>
          <w:color w:val="000000" w:themeColor="text1"/>
          <w:szCs w:val="21"/>
          <w:highlight w:val="none"/>
          <w14:textFill>
            <w14:solidFill>
              <w14:schemeClr w14:val="tx1"/>
            </w14:solidFill>
          </w14:textFill>
        </w:rPr>
        <w:t>板、叠合梁</w:t>
      </w:r>
      <w:r>
        <w:rPr>
          <w:rFonts w:hint="default" w:ascii="Times New Roman" w:hAnsi="Times New Roman"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Cs w:val="21"/>
          <w:highlight w:val="none"/>
          <w14:textFill>
            <w14:solidFill>
              <w14:schemeClr w14:val="tx1"/>
            </w14:solidFill>
          </w14:textFill>
        </w:rPr>
        <w:t>预制底板</w:t>
      </w:r>
      <w:r>
        <w:rPr>
          <w:rFonts w:hint="default" w:ascii="Times New Roman" w:hAnsi="Times New Roman" w:cs="Times New Roman"/>
          <w:color w:val="000000" w:themeColor="text1"/>
          <w:szCs w:val="21"/>
          <w:highlight w:val="none"/>
          <w:lang w:val="en-US" w:eastAsia="zh-CN"/>
          <w14:textFill>
            <w14:solidFill>
              <w14:schemeClr w14:val="tx1"/>
            </w14:solidFill>
          </w14:textFill>
        </w:rPr>
        <w:t>等构件组成，集成</w:t>
      </w:r>
      <w:r>
        <w:rPr>
          <w:rFonts w:hint="default" w:ascii="Times New Roman" w:hAnsi="Times New Roman" w:cs="Times New Roman"/>
          <w:color w:val="000000" w:themeColor="text1"/>
          <w:szCs w:val="21"/>
          <w:highlight w:val="none"/>
          <w14:textFill>
            <w14:solidFill>
              <w14:schemeClr w14:val="tx1"/>
            </w14:solidFill>
          </w14:textFill>
        </w:rPr>
        <w:t>机电</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装修</w:t>
      </w:r>
      <w:r>
        <w:rPr>
          <w:rFonts w:hint="default" w:ascii="Times New Roman" w:hAnsi="Times New Roman" w:cs="Times New Roman"/>
          <w:color w:val="000000" w:themeColor="text1"/>
          <w:szCs w:val="21"/>
          <w:highlight w:val="none"/>
          <w:lang w:val="en-US" w:eastAsia="zh-CN"/>
          <w14:textFill>
            <w14:solidFill>
              <w14:schemeClr w14:val="tx1"/>
            </w14:solidFill>
          </w14:textFill>
        </w:rPr>
        <w:t>和围护构件</w:t>
      </w:r>
      <w:r>
        <w:rPr>
          <w:rFonts w:hint="default" w:ascii="Times New Roman" w:hAnsi="Times New Roman" w:cs="Times New Roman"/>
          <w:color w:val="000000" w:themeColor="text1"/>
          <w:szCs w:val="21"/>
          <w:highlight w:val="none"/>
          <w14:textFill>
            <w14:solidFill>
              <w14:schemeClr w14:val="tx1"/>
            </w14:solidFill>
          </w14:textFill>
        </w:rPr>
        <w:t>的建筑空间模块</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bookmarkEnd w:id="65"/>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67" w:name="_Toc22038"/>
      <w:bookmarkStart w:id="68" w:name="_Toc19563"/>
      <w:bookmarkStart w:id="69" w:name="_Toc7254"/>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模块单元 </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14:textFill>
            <w14:solidFill>
              <w14:schemeClr w14:val="tx1"/>
            </w14:solidFill>
          </w14:textFill>
        </w:rPr>
        <w:t xml:space="preserve">odular </w:t>
      </w:r>
      <w:r>
        <w:rPr>
          <w:rFonts w:hint="default" w:ascii="Times New Roman" w:hAnsi="Times New Roman" w:cs="Times New Roman"/>
          <w:color w:val="000000" w:themeColor="text1"/>
          <w:szCs w:val="21"/>
          <w:highlight w:val="none"/>
          <w:lang w:val="en-US" w:eastAsia="zh-CN"/>
          <w14:textFill>
            <w14:solidFill>
              <w14:schemeClr w14:val="tx1"/>
            </w14:solidFill>
          </w14:textFill>
        </w:rPr>
        <w:t>u</w:t>
      </w:r>
      <w:r>
        <w:rPr>
          <w:rFonts w:hint="default" w:ascii="Times New Roman" w:hAnsi="Times New Roman" w:cs="Times New Roman"/>
          <w:color w:val="000000" w:themeColor="text1"/>
          <w:szCs w:val="21"/>
          <w:highlight w:val="none"/>
          <w14:textFill>
            <w14:solidFill>
              <w14:schemeClr w14:val="tx1"/>
            </w14:solidFill>
          </w14:textFill>
        </w:rPr>
        <w:t>nit</w:t>
      </w:r>
      <w:bookmarkEnd w:id="67"/>
      <w:bookmarkEnd w:id="68"/>
      <w:bookmarkEnd w:id="69"/>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全预制模块单元</w:t>
      </w:r>
      <w:r>
        <w:rPr>
          <w:rFonts w:hint="default" w:ascii="Times New Roman" w:hAnsi="Times New Roman"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Cs w:val="21"/>
          <w:highlight w:val="none"/>
          <w14:textFill>
            <w14:solidFill>
              <w14:schemeClr w14:val="tx1"/>
            </w14:solidFill>
          </w14:textFill>
        </w:rPr>
        <w:t>叠</w:t>
      </w:r>
      <w:bookmarkStart w:id="70" w:name="OLE_LINK57"/>
      <w:r>
        <w:rPr>
          <w:rFonts w:hint="default" w:ascii="Times New Roman" w:hAnsi="Times New Roman" w:cs="Times New Roman"/>
          <w:color w:val="000000" w:themeColor="text1"/>
          <w:szCs w:val="21"/>
          <w:highlight w:val="none"/>
          <w14:textFill>
            <w14:solidFill>
              <w14:schemeClr w14:val="tx1"/>
            </w14:solidFill>
          </w14:textFill>
        </w:rPr>
        <w:t>合模块单</w:t>
      </w:r>
      <w:bookmarkEnd w:id="70"/>
      <w:r>
        <w:rPr>
          <w:rFonts w:hint="default" w:ascii="Times New Roman" w:hAnsi="Times New Roman" w:cs="Times New Roman"/>
          <w:color w:val="000000" w:themeColor="text1"/>
          <w:szCs w:val="21"/>
          <w:highlight w:val="none"/>
          <w14:textFill>
            <w14:solidFill>
              <w14:schemeClr w14:val="tx1"/>
            </w14:solidFill>
          </w14:textFill>
        </w:rPr>
        <w:t xml:space="preserve">元的统称，是混凝土模块化建筑的基本单元。 </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5</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模块化全预制剪力墙结构 modular fully prefabricated shear wall structure</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全</w:t>
      </w:r>
      <w:r>
        <w:rPr>
          <w:rFonts w:hint="default" w:ascii="Times New Roman" w:hAnsi="Times New Roman" w:cs="Times New Roman"/>
          <w:color w:val="000000" w:themeColor="text1"/>
          <w:szCs w:val="21"/>
          <w:highlight w:val="none"/>
          <w14:textFill>
            <w14:solidFill>
              <w14:schemeClr w14:val="tx1"/>
            </w14:solidFill>
          </w14:textFill>
        </w:rPr>
        <w:t>预制模块单元在施工现场通过预制构件间连接节点形成的全预制混凝土剪力墙结构。</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6</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模块化叠合剪力墙结构 modular composite shear wall structure</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模块单元</w:t>
      </w:r>
      <w:r>
        <w:rPr>
          <w:rFonts w:hint="default" w:ascii="Times New Roman" w:hAnsi="Times New Roman" w:cs="Times New Roman"/>
          <w:color w:val="000000" w:themeColor="text1"/>
          <w:szCs w:val="21"/>
          <w:highlight w:val="none"/>
          <w:lang w:val="en-US" w:eastAsia="zh-CN"/>
          <w14:textFill>
            <w14:solidFill>
              <w14:schemeClr w14:val="tx1"/>
            </w14:solidFill>
          </w14:textFill>
        </w:rPr>
        <w:t>中剪力墙全部或部分采用叠合剪力墙，并通过可靠连接与现场后浇混凝土形成整体受力的结构，简称模块化叠合剪力墙结构</w:t>
      </w:r>
      <w:r>
        <w:rPr>
          <w:rFonts w:hint="default" w:ascii="Times New Roman" w:hAnsi="Times New Roman" w:cs="Times New Roman"/>
          <w:color w:val="000000" w:themeColor="text1"/>
          <w:szCs w:val="21"/>
          <w:highlight w:val="none"/>
          <w14:textFill>
            <w14:solidFill>
              <w14:schemeClr w14:val="tx1"/>
            </w14:solidFill>
          </w14:textFill>
        </w:rPr>
        <w:t>。</w:t>
      </w:r>
    </w:p>
    <w:p>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预制空心剪力墙 prefabricated hollow shear wall</w:t>
      </w:r>
    </w:p>
    <w:p>
      <w:pPr>
        <w:spacing w:line="360" w:lineRule="exact"/>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模块预制墙体竖直方向</w:t>
      </w:r>
      <w:r>
        <w:rPr>
          <w:rFonts w:hint="default" w:ascii="Times New Roman" w:hAnsi="Times New Roman" w:cs="Times New Roman"/>
          <w:color w:val="000000" w:themeColor="text1"/>
          <w:szCs w:val="21"/>
          <w:highlight w:val="none"/>
          <w:lang w:val="en-US" w:eastAsia="zh-CN"/>
          <w14:textFill>
            <w14:solidFill>
              <w14:schemeClr w14:val="tx1"/>
            </w14:solidFill>
          </w14:textFill>
        </w:rPr>
        <w:t>均匀</w:t>
      </w:r>
      <w:r>
        <w:rPr>
          <w:rFonts w:hint="default" w:ascii="Times New Roman" w:hAnsi="Times New Roman" w:cs="Times New Roman"/>
          <w:color w:val="000000" w:themeColor="text1"/>
          <w:szCs w:val="21"/>
          <w:highlight w:val="none"/>
          <w14:textFill>
            <w14:solidFill>
              <w14:schemeClr w14:val="tx1"/>
            </w14:solidFill>
          </w14:textFill>
        </w:rPr>
        <w:t>预留通长孔洞</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底部预留水平方向通槽</w:t>
      </w:r>
      <w:r>
        <w:rPr>
          <w:rFonts w:hint="default" w:ascii="Times New Roman" w:hAnsi="Times New Roman" w:cs="Times New Roman"/>
          <w:color w:val="000000" w:themeColor="text1"/>
          <w:szCs w:val="21"/>
          <w:highlight w:val="none"/>
          <w14:textFill>
            <w14:solidFill>
              <w14:schemeClr w14:val="tx1"/>
            </w14:solidFill>
          </w14:textFill>
        </w:rPr>
        <w:t>，墙身内部预置包含墙体竖向分布钢筋及拉筋的钢筋骨架，施工时兼作墙体模板并参与结构受力的预制混凝土空心墙板</w:t>
      </w:r>
      <w:r>
        <w:rPr>
          <w:rFonts w:hint="default" w:ascii="Times New Roman" w:hAnsi="Times New Roman" w:cs="Times New Roman"/>
          <w:color w:val="000000" w:themeColor="text1"/>
          <w:highlight w:val="none"/>
          <w14:textFill>
            <w14:solidFill>
              <w14:schemeClr w14:val="tx1"/>
            </w14:solidFill>
          </w14:textFill>
        </w:rPr>
        <w:t>。</w:t>
      </w:r>
    </w:p>
    <w:p>
      <w:pPr>
        <w:spacing w:line="360" w:lineRule="exact"/>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8 </w:t>
      </w:r>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 w:val="0"/>
          <w:bCs/>
          <w:color w:val="000000" w:themeColor="text1"/>
          <w:szCs w:val="21"/>
          <w:highlight w:val="none"/>
          <w:lang w:val="en-US" w:eastAsia="zh-CN"/>
          <w14:textFill>
            <w14:solidFill>
              <w14:schemeClr w14:val="tx1"/>
            </w14:solidFill>
          </w14:textFill>
        </w:rPr>
        <w:t>预制</w:t>
      </w:r>
      <w:r>
        <w:rPr>
          <w:rFonts w:hint="default" w:ascii="Times New Roman" w:hAnsi="Times New Roman" w:cs="Times New Roman"/>
          <w:color w:val="000000" w:themeColor="text1"/>
          <w:szCs w:val="21"/>
          <w:highlight w:val="none"/>
          <w14:textFill>
            <w14:solidFill>
              <w14:schemeClr w14:val="tx1"/>
            </w14:solidFill>
          </w14:textFill>
        </w:rPr>
        <w:t>叠合墙</w:t>
      </w:r>
      <w:r>
        <w:rPr>
          <w:rFonts w:hint="default" w:ascii="Times New Roman" w:hAnsi="Times New Roman" w:cs="Times New Roman"/>
          <w:color w:val="000000" w:themeColor="text1"/>
          <w:szCs w:val="21"/>
          <w:highlight w:val="none"/>
          <w:lang w:val="en-US" w:eastAsia="zh-CN"/>
          <w14:textFill>
            <w14:solidFill>
              <w14:schemeClr w14:val="tx1"/>
            </w14:solidFill>
          </w14:textFill>
        </w:rPr>
        <w:t>板 precast composite wall panels</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在预制工厂生产，由叶板与叶板一侧π型钢筋组合而成的预制构件，简称叠合墙板。</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bookmarkStart w:id="71" w:name="OLE_LINK92"/>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9 </w:t>
      </w:r>
      <w:bookmarkStart w:id="72" w:name="OLE_LINK89"/>
      <w:bookmarkStart w:id="73" w:name="OLE_LINK91"/>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 w:val="0"/>
          <w:bCs/>
          <w:color w:val="000000" w:themeColor="text1"/>
          <w:szCs w:val="21"/>
          <w:highlight w:val="none"/>
          <w:lang w:val="en-US" w:eastAsia="zh-CN"/>
          <w14:textFill>
            <w14:solidFill>
              <w14:schemeClr w14:val="tx1"/>
            </w14:solidFill>
          </w14:textFill>
        </w:rPr>
        <w:t>组合式</w:t>
      </w:r>
      <w:r>
        <w:rPr>
          <w:rFonts w:hint="default" w:ascii="Times New Roman" w:hAnsi="Times New Roman" w:cs="Times New Roman"/>
          <w:color w:val="000000" w:themeColor="text1"/>
          <w:szCs w:val="21"/>
          <w:highlight w:val="none"/>
          <w14:textFill>
            <w14:solidFill>
              <w14:schemeClr w14:val="tx1"/>
            </w14:solidFill>
          </w14:textFill>
        </w:rPr>
        <w:t>双面叠合剪力墙</w:t>
      </w:r>
      <w:bookmarkEnd w:id="72"/>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composite double-sided overlapping shear wall</w:t>
      </w:r>
    </w:p>
    <w:p>
      <w:pPr>
        <w:spacing w:line="360" w:lineRule="exact"/>
        <w:ind w:firstLine="420" w:firstLineChars="200"/>
        <w:rPr>
          <w:rFonts w:hint="default" w:ascii="Times New Roman" w:hAnsi="Times New Roman" w:eastAsia="宋体" w:cs="Times New Roman"/>
          <w:color w:val="000000" w:themeColor="text1"/>
          <w:szCs w:val="21"/>
          <w:highlight w:val="yellow"/>
          <w:lang w:val="en-US" w:eastAsia="zh-CN"/>
          <w14:textFill>
            <w14:solidFill>
              <w14:schemeClr w14:val="tx1"/>
            </w14:solidFill>
          </w14:textFill>
        </w:rPr>
      </w:pPr>
      <w:bookmarkStart w:id="74" w:name="OLE_LINK90"/>
      <w:r>
        <w:rPr>
          <w:rFonts w:hint="default" w:ascii="Times New Roman" w:hAnsi="Times New Roman" w:cs="Times New Roman"/>
          <w:color w:val="000000" w:themeColor="text1"/>
          <w:szCs w:val="21"/>
          <w:highlight w:val="none"/>
          <w:lang w:val="en-US" w:eastAsia="zh-CN"/>
          <w14:textFill>
            <w14:solidFill>
              <w14:schemeClr w14:val="tx1"/>
            </w14:solidFill>
          </w14:textFill>
        </w:rPr>
        <w:t>由两块分离的预制叠合墙板</w:t>
      </w:r>
      <w:r>
        <w:rPr>
          <w:rFonts w:hint="default" w:ascii="Times New Roman" w:hAnsi="Times New Roman" w:cs="Times New Roman"/>
          <w:color w:val="000000" w:themeColor="text1"/>
          <w:szCs w:val="21"/>
          <w:highlight w:val="none"/>
          <w14:textFill>
            <w14:solidFill>
              <w14:schemeClr w14:val="tx1"/>
            </w14:solidFill>
          </w14:textFill>
        </w:rPr>
        <w:t>在现场安装就位</w:t>
      </w:r>
      <w:bookmarkEnd w:id="73"/>
      <w:r>
        <w:rPr>
          <w:rFonts w:hint="default" w:ascii="Times New Roman" w:hAnsi="Times New Roman" w:cs="Times New Roman"/>
          <w:color w:val="000000" w:themeColor="text1"/>
          <w:szCs w:val="21"/>
          <w:highlight w:val="none"/>
          <w14:textFill>
            <w14:solidFill>
              <w14:schemeClr w14:val="tx1"/>
            </w14:solidFill>
          </w14:textFill>
        </w:rPr>
        <w:t>后，</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两侧</w:t>
      </w:r>
      <w:r>
        <w:rPr>
          <w:rFonts w:hint="default" w:ascii="Times New Roman" w:hAnsi="Times New Roman" w:cs="Times New Roman"/>
          <w:color w:val="000000" w:themeColor="text1"/>
          <w:szCs w:val="21"/>
          <w:highlight w:val="none"/>
          <w14:textFill>
            <w14:solidFill>
              <w14:schemeClr w14:val="tx1"/>
            </w14:solidFill>
          </w14:textFill>
        </w:rPr>
        <w:t>叶板兼作钢筋混凝土墙体</w:t>
      </w:r>
      <w:r>
        <w:rPr>
          <w:rFonts w:hint="default" w:ascii="Times New Roman" w:hAnsi="Times New Roman" w:cs="Times New Roman"/>
          <w:color w:val="000000" w:themeColor="text1"/>
          <w:szCs w:val="21"/>
          <w:highlight w:val="none"/>
          <w:lang w:val="en-US" w:eastAsia="zh-CN"/>
          <w14:textFill>
            <w14:solidFill>
              <w14:schemeClr w14:val="tx1"/>
            </w14:solidFill>
          </w14:textFill>
        </w:rPr>
        <w:t>的</w:t>
      </w:r>
      <w:r>
        <w:rPr>
          <w:rFonts w:hint="default" w:ascii="Times New Roman" w:hAnsi="Times New Roman" w:cs="Times New Roman"/>
          <w:color w:val="000000" w:themeColor="text1"/>
          <w:szCs w:val="21"/>
          <w:highlight w:val="none"/>
          <w14:textFill>
            <w14:solidFill>
              <w14:schemeClr w14:val="tx1"/>
            </w14:solidFill>
          </w14:textFill>
        </w:rPr>
        <w:t>模板使用</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在两个叶板中部空腔内浇筑混凝土，形成共同受力的装配整体式钢筋混凝土墙体</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称为组合式双面叠合剪力墙</w:t>
      </w:r>
      <w:r>
        <w:rPr>
          <w:rFonts w:hint="default" w:ascii="Times New Roman" w:hAnsi="Times New Roman" w:cs="Times New Roman"/>
          <w:color w:val="000000" w:themeColor="text1"/>
          <w:szCs w:val="21"/>
          <w:highlight w:val="none"/>
          <w14:textFill>
            <w14:solidFill>
              <w14:schemeClr w14:val="tx1"/>
            </w14:solidFill>
          </w14:textFill>
        </w:rPr>
        <w:t>。</w:t>
      </w:r>
    </w:p>
    <w:bookmarkEnd w:id="71"/>
    <w:bookmarkEnd w:id="74"/>
    <w:p>
      <w:pPr>
        <w:spacing w:line="360" w:lineRule="exact"/>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10</w:t>
      </w:r>
      <w:r>
        <w:rPr>
          <w:rFonts w:hint="default" w:ascii="Times New Roman" w:hAnsi="Times New Roman" w:cs="Times New Roman"/>
          <w:b/>
          <w:color w:val="000000" w:themeColor="text1"/>
          <w:szCs w:val="21"/>
          <w:highlight w:val="none"/>
          <w14:textFill>
            <w14:solidFill>
              <w14:schemeClr w14:val="tx1"/>
            </w14:solidFill>
          </w14:textFill>
        </w:rPr>
        <w:t xml:space="preserve"> </w:t>
      </w:r>
      <w:bookmarkStart w:id="75" w:name="_Toc21336"/>
      <w:bookmarkStart w:id="76" w:name="_Toc4889"/>
      <w:bookmarkStart w:id="77" w:name="_Toc13592"/>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模壳板  formwork shell plate</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用于形成模块单元兼作现浇混凝土构件模板使用的混凝土板。</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11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eastAsia"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接口 </w:t>
      </w:r>
      <w:bookmarkEnd w:id="75"/>
      <w:bookmarkEnd w:id="76"/>
      <w:bookmarkEnd w:id="77"/>
      <w:r>
        <w:rPr>
          <w:rFonts w:hint="default" w:ascii="Times New Roman" w:hAnsi="Times New Roman" w:cs="Times New Roman"/>
          <w:color w:val="000000" w:themeColor="text1"/>
          <w:szCs w:val="21"/>
          <w:highlight w:val="none"/>
          <w:lang w:val="en-US" w:eastAsia="zh-CN"/>
          <w14:textFill>
            <w14:solidFill>
              <w14:schemeClr w14:val="tx1"/>
            </w14:solidFill>
          </w14:textFill>
        </w:rPr>
        <w:t>joint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混凝土模块化建筑中为安装预留的</w:t>
      </w:r>
      <w:r>
        <w:rPr>
          <w:rFonts w:hint="default" w:ascii="Times New Roman" w:hAnsi="Times New Roman" w:cs="Times New Roman"/>
          <w:color w:val="000000" w:themeColor="text1"/>
          <w:szCs w:val="21"/>
          <w:highlight w:val="none"/>
          <w:lang w:val="en-US" w:eastAsia="zh-CN"/>
          <w14:textFill>
            <w14:solidFill>
              <w14:schemeClr w14:val="tx1"/>
            </w14:solidFill>
          </w14:textFill>
        </w:rPr>
        <w:t>间</w:t>
      </w:r>
      <w:r>
        <w:rPr>
          <w:rFonts w:hint="default" w:ascii="Times New Roman" w:hAnsi="Times New Roman" w:cs="Times New Roman"/>
          <w:color w:val="000000" w:themeColor="text1"/>
          <w:szCs w:val="21"/>
          <w:highlight w:val="none"/>
          <w14:textFill>
            <w14:solidFill>
              <w14:schemeClr w14:val="tx1"/>
            </w14:solidFill>
          </w14:textFill>
        </w:rPr>
        <w:t>隙，包括模块单元之间，以及模块单元与外围护系统、内装系统、设备管线系统相关部品、部件的安装基准面之间预留</w:t>
      </w:r>
      <w:bookmarkStart w:id="78" w:name="OLE_LINK37"/>
      <w:r>
        <w:rPr>
          <w:rFonts w:hint="default" w:ascii="Times New Roman" w:hAnsi="Times New Roman" w:cs="Times New Roman"/>
          <w:color w:val="000000" w:themeColor="text1"/>
          <w:szCs w:val="21"/>
          <w:highlight w:val="none"/>
          <w:lang w:val="en-US" w:eastAsia="zh-CN"/>
          <w14:textFill>
            <w14:solidFill>
              <w14:schemeClr w14:val="tx1"/>
            </w14:solidFill>
          </w14:textFill>
        </w:rPr>
        <w:t>间</w:t>
      </w:r>
      <w:bookmarkEnd w:id="78"/>
      <w:r>
        <w:rPr>
          <w:rFonts w:hint="default" w:ascii="Times New Roman" w:hAnsi="Times New Roman" w:cs="Times New Roman"/>
          <w:color w:val="000000" w:themeColor="text1"/>
          <w:szCs w:val="21"/>
          <w:highlight w:val="none"/>
          <w14:textFill>
            <w14:solidFill>
              <w14:schemeClr w14:val="tx1"/>
            </w14:solidFill>
          </w14:textFill>
        </w:rPr>
        <w:t>隙的统称，用以容纳模块单元及各系统的制作和安装公差所预留的空间。</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79" w:name="_Toc14550"/>
      <w:bookmarkStart w:id="80" w:name="_Toc110952698"/>
      <w:bookmarkStart w:id="81" w:name="_Toc16335"/>
      <w:bookmarkStart w:id="82" w:name="_Toc26107"/>
      <w:bookmarkStart w:id="83" w:name="_Toc22686"/>
      <w:bookmarkStart w:id="84" w:name="_Toc7365"/>
      <w:bookmarkStart w:id="85" w:name="_Toc110958466"/>
      <w:bookmarkStart w:id="86" w:name="_Toc17296"/>
      <w:bookmarkStart w:id="87" w:name="_Toc27497"/>
      <w:bookmarkStart w:id="88" w:name="_Toc29441"/>
      <w:bookmarkStart w:id="89" w:name="_Toc14248"/>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2.2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符    号</w:t>
      </w:r>
      <w:bookmarkEnd w:id="79"/>
      <w:bookmarkEnd w:id="80"/>
      <w:bookmarkEnd w:id="81"/>
      <w:bookmarkEnd w:id="82"/>
      <w:bookmarkEnd w:id="83"/>
      <w:bookmarkEnd w:id="84"/>
      <w:bookmarkEnd w:id="85"/>
      <w:bookmarkEnd w:id="86"/>
      <w:bookmarkEnd w:id="87"/>
      <w:bookmarkEnd w:id="88"/>
      <w:bookmarkEnd w:id="89"/>
    </w:p>
    <w:p>
      <w:pPr>
        <w:spacing w:line="360" w:lineRule="exact"/>
        <w:rPr>
          <w:rFonts w:hint="default" w:ascii="Times New Roman" w:hAnsi="Times New Roman" w:eastAsia="黑体" w:cs="Times New Roman"/>
          <w:b/>
          <w:bCs/>
          <w:color w:val="000000" w:themeColor="text1"/>
          <w:highlight w:val="none"/>
          <w14:textFill>
            <w14:solidFill>
              <w14:schemeClr w14:val="tx1"/>
            </w14:solidFill>
          </w14:textFill>
        </w:rPr>
      </w:pPr>
      <w:r>
        <w:rPr>
          <w:rFonts w:hint="default" w:ascii="Times New Roman" w:hAnsi="Times New Roman" w:eastAsia="黑体" w:cs="Times New Roman"/>
          <w:b/>
          <w:bCs/>
          <w:color w:val="000000" w:themeColor="text1"/>
          <w:highlight w:val="none"/>
          <w14:textFill>
            <w14:solidFill>
              <w14:schemeClr w14:val="tx1"/>
            </w14:solidFill>
          </w14:textFill>
        </w:rPr>
        <w:t>2.2.</w:t>
      </w:r>
      <w:r>
        <w:rPr>
          <w:rFonts w:hint="default" w:ascii="Times New Roman" w:hAnsi="Times New Roman" w:eastAsia="黑体"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黑体" w:cs="Times New Roman"/>
          <w:b/>
          <w:bCs/>
          <w:color w:val="000000" w:themeColor="text1"/>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highlight w:val="none"/>
          <w14:textFill>
            <w14:solidFill>
              <w14:schemeClr w14:val="tx1"/>
            </w14:solidFill>
          </w14:textFill>
        </w:rPr>
        <w:t>材料性能</w:t>
      </w:r>
    </w:p>
    <w:tbl>
      <w:tblPr>
        <w:tblStyle w:val="2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771"/>
        <w:gridCol w:w="5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trPr>
        <w:tc>
          <w:tcPr>
            <w:tcW w:w="645" w:type="pct"/>
          </w:tcPr>
          <w:p>
            <w:pPr>
              <w:keepNext/>
              <w:spacing w:line="360" w:lineRule="exact"/>
              <w:jc w:val="right"/>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cs="Times New Roman"/>
                <w:i/>
                <w:iCs/>
                <w:color w:val="000000" w:themeColor="text1"/>
                <w:szCs w:val="21"/>
                <w:highlight w:val="none"/>
                <w14:textFill>
                  <w14:solidFill>
                    <w14:schemeClr w14:val="tx1"/>
                  </w14:solidFill>
                </w14:textFill>
              </w:rPr>
              <w:t>fy</w:t>
            </w:r>
          </w:p>
        </w:tc>
        <w:tc>
          <w:tcPr>
            <w:tcW w:w="4354" w:type="pct"/>
          </w:tcPr>
          <w:p>
            <w:pPr>
              <w:keepNext/>
              <w:spacing w:line="360" w:lineRule="exact"/>
              <w:jc w:val="left"/>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竖向钢筋抗拉强度设计值</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trPr>
        <w:tc>
          <w:tcPr>
            <w:tcW w:w="645" w:type="pct"/>
          </w:tcPr>
          <w:p>
            <w:pPr>
              <w:keepNext/>
              <w:spacing w:line="360" w:lineRule="exact"/>
              <w:jc w:val="right"/>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cs="Times New Roman"/>
                <w:i/>
                <w:iCs/>
                <w:color w:val="000000" w:themeColor="text1"/>
                <w:szCs w:val="21"/>
                <w:highlight w:val="none"/>
                <w14:textFill>
                  <w14:solidFill>
                    <w14:schemeClr w14:val="tx1"/>
                  </w14:solidFill>
                </w14:textFill>
              </w:rPr>
              <w:t>Asd</w:t>
            </w:r>
          </w:p>
        </w:tc>
        <w:tc>
          <w:tcPr>
            <w:tcW w:w="4354" w:type="pct"/>
          </w:tcPr>
          <w:p>
            <w:pPr>
              <w:keepNext/>
              <w:spacing w:line="360" w:lineRule="exact"/>
              <w:ind w:left="420" w:hanging="420" w:hangingChars="200"/>
              <w:jc w:val="left"/>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叠合剪力墙水平接缝处竖向连接钢筋和边缘构件中的竖向钢筋总面积</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trPr>
        <w:tc>
          <w:tcPr>
            <w:tcW w:w="645" w:type="pct"/>
          </w:tcPr>
          <w:p>
            <w:pPr>
              <w:keepNext/>
              <w:spacing w:line="360" w:lineRule="exact"/>
              <w:jc w:val="right"/>
              <w:rPr>
                <w:rFonts w:hint="default" w:ascii="Times New Roman" w:hAnsi="Times New Roman" w:eastAsia="宋体" w:cs="Times New Roman"/>
                <w:bCs/>
                <w:i/>
                <w:iCs/>
                <w:color w:val="000000" w:themeColor="text1"/>
                <w:szCs w:val="21"/>
                <w:highlight w:val="none"/>
                <w:lang w:val="en-US" w:eastAsia="zh-CN"/>
                <w14:textFill>
                  <w14:solidFill>
                    <w14:schemeClr w14:val="tx1"/>
                  </w14:solidFill>
                </w14:textFill>
              </w:rPr>
            </w:pPr>
            <w:r>
              <w:rPr>
                <w:rFonts w:hint="default" w:ascii="Times New Roman" w:hAnsi="Times New Roman" w:cs="Times New Roman"/>
                <w:i/>
                <w:iCs/>
                <w:color w:val="000000" w:themeColor="text1"/>
                <w:szCs w:val="21"/>
                <w:highlight w:val="none"/>
                <w:lang w:val="en-US" w:eastAsia="zh-CN"/>
                <w14:textFill>
                  <w14:solidFill>
                    <w14:schemeClr w14:val="tx1"/>
                  </w14:solidFill>
                </w14:textFill>
              </w:rPr>
              <w:t>f</w:t>
            </w:r>
            <w:r>
              <w:rPr>
                <w:rFonts w:hint="default" w:ascii="Times New Roman" w:hAnsi="Times New Roman" w:cs="Times New Roman"/>
                <w:i/>
                <w:iCs/>
                <w:color w:val="000000" w:themeColor="text1"/>
                <w:sz w:val="20"/>
                <w:szCs w:val="20"/>
                <w:highlight w:val="none"/>
                <w:vertAlign w:val="subscript"/>
                <w:lang w:val="en-US" w:eastAsia="zh-CN"/>
                <w14:textFill>
                  <w14:solidFill>
                    <w14:schemeClr w14:val="tx1"/>
                  </w14:solidFill>
                </w14:textFill>
              </w:rPr>
              <w:t>c</w:t>
            </w:r>
          </w:p>
        </w:tc>
        <w:tc>
          <w:tcPr>
            <w:tcW w:w="4354" w:type="pct"/>
          </w:tcPr>
          <w:p>
            <w:pPr>
              <w:keepNext/>
              <w:spacing w:line="360" w:lineRule="exact"/>
              <w:jc w:val="left"/>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预制构件混凝土轴心抗压强度设计值</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trPr>
        <w:tc>
          <w:tcPr>
            <w:tcW w:w="645" w:type="pct"/>
          </w:tcPr>
          <w:p>
            <w:pPr>
              <w:keepNext/>
              <w:spacing w:line="360" w:lineRule="exact"/>
              <w:jc w:val="right"/>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cs="Times New Roman"/>
                <w:i/>
                <w:iCs/>
                <w:color w:val="000000" w:themeColor="text1"/>
                <w:szCs w:val="21"/>
                <w:highlight w:val="none"/>
                <w:lang w:val="en-US" w:eastAsia="zh-CN"/>
                <w14:textFill>
                  <w14:solidFill>
                    <w14:schemeClr w14:val="tx1"/>
                  </w14:solidFill>
                </w14:textFill>
              </w:rPr>
              <w:t>A</w:t>
            </w:r>
            <w:r>
              <w:rPr>
                <w:rFonts w:hint="default" w:ascii="Times New Roman" w:hAnsi="Times New Roman" w:cs="Times New Roman"/>
                <w:i/>
                <w:iCs/>
                <w:color w:val="000000" w:themeColor="text1"/>
                <w:sz w:val="21"/>
                <w:szCs w:val="21"/>
                <w:highlight w:val="none"/>
                <w:vertAlign w:val="subscript"/>
                <w:lang w:val="en-US" w:eastAsia="zh-CN"/>
                <w14:textFill>
                  <w14:solidFill>
                    <w14:schemeClr w14:val="tx1"/>
                  </w14:solidFill>
                </w14:textFill>
              </w:rPr>
              <w:t>cl</w:t>
            </w:r>
          </w:p>
        </w:tc>
        <w:tc>
          <w:tcPr>
            <w:tcW w:w="4354" w:type="pct"/>
          </w:tcPr>
          <w:p>
            <w:pPr>
              <w:keepNext/>
              <w:spacing w:line="360" w:lineRule="exact"/>
              <w:jc w:val="left"/>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叠合墙端截面后浇混凝土叠合层截面面积</w:t>
            </w:r>
            <w:r>
              <w:rPr>
                <w:rFonts w:hint="eastAsia" w:cs="Times New Roman"/>
                <w:color w:val="000000" w:themeColor="text1"/>
                <w:szCs w:val="21"/>
                <w:highlight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90" w:hRule="atLeast"/>
        </w:trPr>
        <w:tc>
          <w:tcPr>
            <w:tcW w:w="645" w:type="pct"/>
          </w:tcPr>
          <w:p>
            <w:pPr>
              <w:keepNext/>
              <w:spacing w:line="360" w:lineRule="exact"/>
              <w:jc w:val="right"/>
              <w:rPr>
                <w:rFonts w:hint="default" w:ascii="Times New Roman" w:hAnsi="Times New Roman" w:eastAsia="宋体" w:cs="Times New Roman"/>
                <w:bCs/>
                <w:i/>
                <w:iCs/>
                <w:color w:val="000000" w:themeColor="text1"/>
                <w:szCs w:val="21"/>
                <w:highlight w:val="none"/>
                <w:lang w:val="en-US" w:eastAsia="zh-CN"/>
                <w14:textFill>
                  <w14:solidFill>
                    <w14:schemeClr w14:val="tx1"/>
                  </w14:solidFill>
                </w14:textFill>
              </w:rPr>
            </w:pPr>
            <w:r>
              <w:rPr>
                <w:rFonts w:hint="default" w:ascii="Times New Roman" w:hAnsi="Times New Roman" w:cs="Times New Roman"/>
                <w:i/>
                <w:iCs/>
                <w:color w:val="000000" w:themeColor="text1"/>
                <w:szCs w:val="21"/>
                <w:highlight w:val="none"/>
                <w:lang w:val="en-US" w:eastAsia="zh-CN"/>
                <w14:textFill>
                  <w14:solidFill>
                    <w14:schemeClr w14:val="tx1"/>
                  </w14:solidFill>
                </w14:textFill>
              </w:rPr>
              <w:t>A</w:t>
            </w:r>
            <w:r>
              <w:rPr>
                <w:rFonts w:hint="default" w:ascii="Times New Roman" w:hAnsi="Times New Roman" w:cs="Times New Roman"/>
                <w:i/>
                <w:iCs/>
                <w:color w:val="000000" w:themeColor="text1"/>
                <w:szCs w:val="21"/>
                <w:highlight w:val="none"/>
                <w:vertAlign w:val="subscript"/>
                <w:lang w:val="en-US" w:eastAsia="zh-CN"/>
                <w14:textFill>
                  <w14:solidFill>
                    <w14:schemeClr w14:val="tx1"/>
                  </w14:solidFill>
                </w14:textFill>
              </w:rPr>
              <w:t>K</w:t>
            </w:r>
          </w:p>
        </w:tc>
        <w:tc>
          <w:tcPr>
            <w:tcW w:w="4354" w:type="pct"/>
          </w:tcPr>
          <w:p>
            <w:pPr>
              <w:keepNext/>
              <w:spacing w:line="360" w:lineRule="exact"/>
              <w:jc w:val="left"/>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键槽根部截面面积之和</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bl>
    <w:p>
      <w:pPr>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bCs/>
          <w:color w:val="000000" w:themeColor="text1"/>
          <w:highlight w:val="none"/>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w:t>
      </w:r>
      <w:r>
        <w:rPr>
          <w:rFonts w:hint="default" w:ascii="Times New Roman" w:hAnsi="Times New Roman" w:eastAsia="黑体" w:cs="Times New Roman"/>
          <w:b/>
          <w:bCs/>
          <w:color w:val="000000" w:themeColor="text1"/>
          <w:highlight w:val="none"/>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w:t>
      </w:r>
      <w:r>
        <w:rPr>
          <w:rFonts w:hint="default" w:ascii="Times New Roman" w:hAnsi="Times New Roman" w:eastAsia="黑体" w:cs="Times New Roman"/>
          <w:b/>
          <w:bCs/>
          <w:color w:val="000000" w:themeColor="text1"/>
          <w:highlight w:val="none"/>
          <w14:textFill>
            <w14:solidFill>
              <w14:schemeClr w14:val="tx1"/>
            </w14:solidFill>
          </w14:textFill>
        </w:rPr>
        <w:t>2</w:t>
      </w:r>
      <w:r>
        <w:rPr>
          <w:rFonts w:hint="default" w:ascii="Times New Roman" w:hAnsi="Times New Roman" w:eastAsia="黑体" w:cs="Times New Roman"/>
          <w:b/>
          <w:color w:val="000000" w:themeColor="text1"/>
          <w:highlight w:val="none"/>
          <w14:textFill>
            <w14:solidFill>
              <w14:schemeClr w14:val="tx1"/>
            </w14:solidFill>
          </w14:textFill>
        </w:rPr>
        <w:t xml:space="preserve"> </w:t>
      </w:r>
      <w:r>
        <w:rPr>
          <w:rFonts w:hint="default" w:ascii="Times New Roman" w:hAnsi="Times New Roman" w:eastAsia="黑体"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作用及效应</w:t>
      </w:r>
      <w:r>
        <w:rPr>
          <w:rFonts w:hint="default" w:ascii="Times New Roman" w:hAnsi="Times New Roman" w:eastAsia="黑体" w:cs="Times New Roman"/>
          <w:color w:val="000000" w:themeColor="text1"/>
          <w:highlight w:val="none"/>
          <w14:textFill>
            <w14:solidFill>
              <w14:schemeClr w14:val="tx1"/>
            </w14:solidFill>
          </w14:textFill>
        </w:rPr>
        <w:t xml:space="preserve">  </w:t>
      </w:r>
    </w:p>
    <w:tbl>
      <w:tblPr>
        <w:tblStyle w:val="26"/>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774"/>
        <w:gridCol w:w="5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jc w:val="center"/>
        </w:trPr>
        <w:tc>
          <w:tcPr>
            <w:tcW w:w="648" w:type="pct"/>
          </w:tcPr>
          <w:p>
            <w:pPr>
              <w:keepNext/>
              <w:wordWrap w:val="0"/>
              <w:spacing w:line="360" w:lineRule="exact"/>
              <w:jc w:val="right"/>
              <w:rPr>
                <w:rFonts w:hint="default" w:ascii="Times New Roman" w:hAnsi="Times New Roman" w:eastAsia="黑体" w:cs="Times New Roman"/>
                <w:bCs/>
                <w:color w:val="000000" w:themeColor="text1"/>
                <w:szCs w:val="21"/>
                <w:highlight w:val="none"/>
                <w14:textFill>
                  <w14:solidFill>
                    <w14:schemeClr w14:val="tx1"/>
                  </w14:solidFill>
                </w14:textFill>
              </w:rPr>
            </w:pPr>
            <w:r>
              <w:rPr>
                <w:rFonts w:hint="default" w:ascii="Times New Roman" w:hAnsi="Times New Roman" w:eastAsia="黑体" w:cs="Times New Roman"/>
                <w:bCs/>
                <w:i/>
                <w:iCs/>
                <w:color w:val="000000" w:themeColor="text1"/>
                <w:szCs w:val="21"/>
                <w:highlight w:val="none"/>
                <w14:textFill>
                  <w14:solidFill>
                    <w14:schemeClr w14:val="tx1"/>
                  </w14:solidFill>
                </w14:textFill>
              </w:rPr>
              <w:t xml:space="preserve">G </w:t>
            </w:r>
          </w:p>
        </w:tc>
        <w:tc>
          <w:tcPr>
            <w:tcW w:w="4351" w:type="pct"/>
          </w:tcPr>
          <w:p>
            <w:pPr>
              <w:keepNext/>
              <w:spacing w:line="360" w:lineRule="exact"/>
              <w:jc w:val="left"/>
              <w:rPr>
                <w:rFonts w:hint="default" w:ascii="Times New Roman" w:hAnsi="Times New Roman" w:eastAsia="黑体" w:cs="Times New Roman"/>
                <w:bCs/>
                <w:color w:val="000000" w:themeColor="text1"/>
                <w:szCs w:val="21"/>
                <w:highlight w:val="none"/>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模块的重力荷载标准值；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jc w:val="center"/>
        </w:trPr>
        <w:tc>
          <w:tcPr>
            <w:tcW w:w="648" w:type="pct"/>
          </w:tcPr>
          <w:p>
            <w:pPr>
              <w:keepNext/>
              <w:wordWrap w:val="0"/>
              <w:spacing w:line="360" w:lineRule="exact"/>
              <w:jc w:val="right"/>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eastAsia="黑体" w:cs="Times New Roman"/>
                <w:bCs/>
                <w:i/>
                <w:iCs/>
                <w:color w:val="000000" w:themeColor="text1"/>
                <w:szCs w:val="21"/>
                <w:highlight w:val="none"/>
                <w14:textFill>
                  <w14:solidFill>
                    <w14:schemeClr w14:val="tx1"/>
                  </w14:solidFill>
                </w14:textFill>
              </w:rPr>
              <w:t>M</w:t>
            </w:r>
            <w:r>
              <w:rPr>
                <w:rFonts w:hint="default" w:ascii="Times New Roman" w:hAnsi="Times New Roman" w:eastAsia="黑体" w:cs="Times New Roman"/>
                <w:bCs/>
                <w:i/>
                <w:iCs/>
                <w:color w:val="000000" w:themeColor="text1"/>
                <w:szCs w:val="21"/>
                <w:highlight w:val="none"/>
                <w:vertAlign w:val="subscript"/>
                <w14:textFill>
                  <w14:solidFill>
                    <w14:schemeClr w14:val="tx1"/>
                  </w14:solidFill>
                </w14:textFill>
              </w:rPr>
              <w:t xml:space="preserve">g </w:t>
            </w:r>
          </w:p>
        </w:tc>
        <w:tc>
          <w:tcPr>
            <w:tcW w:w="4351" w:type="pct"/>
          </w:tcPr>
          <w:p>
            <w:pPr>
              <w:keepNext/>
              <w:spacing w:line="360" w:lineRule="exact"/>
              <w:jc w:val="left"/>
              <w:rPr>
                <w:rFonts w:hint="default" w:ascii="Times New Roman" w:hAnsi="Times New Roman" w:eastAsia="黑体" w:cs="Times New Roman"/>
                <w:bCs/>
                <w:color w:val="000000" w:themeColor="text1"/>
                <w:szCs w:val="21"/>
                <w:highlight w:val="none"/>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模块自重标准值下的抗倾覆力矩</w:t>
            </w:r>
            <w:r>
              <w:rPr>
                <w:rFonts w:hint="default" w:ascii="Times New Roman" w:hAnsi="Times New Roman" w:cs="Times New Roman"/>
                <w:bCs/>
                <w:color w:val="000000" w:themeColor="text1"/>
                <w:szCs w:val="21"/>
                <w:highlight w:val="none"/>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90" w:hRule="atLeast"/>
          <w:jc w:val="center"/>
        </w:trPr>
        <w:tc>
          <w:tcPr>
            <w:tcW w:w="648" w:type="pct"/>
          </w:tcPr>
          <w:p>
            <w:pPr>
              <w:keepNext/>
              <w:wordWrap w:val="0"/>
              <w:spacing w:line="360" w:lineRule="exact"/>
              <w:jc w:val="right"/>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eastAsia="黑体" w:cs="Times New Roman"/>
                <w:bCs/>
                <w:i/>
                <w:iCs/>
                <w:color w:val="000000" w:themeColor="text1"/>
                <w:szCs w:val="21"/>
                <w:highlight w:val="none"/>
                <w14:textFill>
                  <w14:solidFill>
                    <w14:schemeClr w14:val="tx1"/>
                  </w14:solidFill>
                </w14:textFill>
              </w:rPr>
              <w:t>M</w:t>
            </w:r>
            <w:r>
              <w:rPr>
                <w:rFonts w:hint="default" w:ascii="Times New Roman" w:hAnsi="Times New Roman" w:eastAsia="黑体" w:cs="Times New Roman"/>
                <w:bCs/>
                <w:i/>
                <w:iCs/>
                <w:color w:val="000000" w:themeColor="text1"/>
                <w:szCs w:val="21"/>
                <w:highlight w:val="none"/>
                <w:vertAlign w:val="subscript"/>
                <w14:textFill>
                  <w14:solidFill>
                    <w14:schemeClr w14:val="tx1"/>
                  </w14:solidFill>
                </w14:textFill>
              </w:rPr>
              <w:t xml:space="preserve">w </w:t>
            </w:r>
          </w:p>
        </w:tc>
        <w:tc>
          <w:tcPr>
            <w:tcW w:w="4351" w:type="pct"/>
          </w:tcPr>
          <w:p>
            <w:pPr>
              <w:keepNext/>
              <w:spacing w:line="360" w:lineRule="exact"/>
              <w:jc w:val="left"/>
              <w:rPr>
                <w:rFonts w:hint="default" w:ascii="Times New Roman" w:hAnsi="Times New Roman" w:eastAsia="黑体" w:cs="Times New Roman"/>
                <w:bCs/>
                <w:color w:val="000000" w:themeColor="text1"/>
                <w:szCs w:val="21"/>
                <w:highlight w:val="none"/>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风荷载标准值作用下的倾覆力矩；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jc w:val="center"/>
        </w:trPr>
        <w:tc>
          <w:tcPr>
            <w:tcW w:w="648" w:type="pct"/>
          </w:tcPr>
          <w:p>
            <w:pPr>
              <w:keepNext/>
              <w:wordWrap w:val="0"/>
              <w:spacing w:line="360" w:lineRule="exact"/>
              <w:jc w:val="right"/>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eastAsia="黑体" w:cs="Times New Roman"/>
                <w:bCs/>
                <w:i/>
                <w:iCs/>
                <w:color w:val="000000" w:themeColor="text1"/>
                <w:szCs w:val="21"/>
                <w:highlight w:val="none"/>
                <w14:textFill>
                  <w14:solidFill>
                    <w14:schemeClr w14:val="tx1"/>
                  </w14:solidFill>
                </w14:textFill>
              </w:rPr>
              <w:t>N</w:t>
            </w:r>
            <w:r>
              <w:rPr>
                <w:rFonts w:hint="default" w:ascii="Times New Roman" w:hAnsi="Times New Roman" w:eastAsia="黑体" w:cs="Times New Roman"/>
                <w:bCs/>
                <w:i/>
                <w:iCs/>
                <w:color w:val="000000" w:themeColor="text1"/>
                <w:szCs w:val="21"/>
                <w:highlight w:val="none"/>
                <w:vertAlign w:val="subscript"/>
                <w14:textFill>
                  <w14:solidFill>
                    <w14:schemeClr w14:val="tx1"/>
                  </w14:solidFill>
                </w14:textFill>
              </w:rPr>
              <w:t xml:space="preserve">w </w:t>
            </w:r>
          </w:p>
        </w:tc>
        <w:tc>
          <w:tcPr>
            <w:tcW w:w="4351" w:type="pct"/>
          </w:tcPr>
          <w:p>
            <w:pPr>
              <w:keepNext/>
              <w:spacing w:line="360" w:lineRule="exact"/>
              <w:jc w:val="left"/>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风荷载标准值作用下的水平力</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jc w:val="center"/>
        </w:trPr>
        <w:tc>
          <w:tcPr>
            <w:tcW w:w="648" w:type="pct"/>
          </w:tcPr>
          <w:p>
            <w:pPr>
              <w:keepNext/>
              <w:wordWrap w:val="0"/>
              <w:spacing w:line="360" w:lineRule="exact"/>
              <w:jc w:val="right"/>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cs="Times New Roman"/>
                <w:i w:val="0"/>
                <w:iCs/>
                <w:color w:val="000000" w:themeColor="text1"/>
                <w:kern w:val="0"/>
                <w:szCs w:val="21"/>
                <w:highlight w:val="none"/>
                <w:lang w:val="en-US" w:eastAsia="zh-CN" w:bidi="ar"/>
                <w14:textFill>
                  <w14:solidFill>
                    <w14:schemeClr w14:val="tx1"/>
                  </w14:solidFill>
                </w14:textFill>
              </w:rPr>
              <w:t xml:space="preserve"> </w:t>
            </w:r>
            <m:oMath>
              <m:sSub>
                <m:sSubP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SubPr>
                <m:e>
                  <m:r>
                    <m:rPr/>
                    <w:rPr>
                      <w:rFonts w:hint="default" w:ascii="Cambria Math" w:hAnsi="Cambria Math" w:cs="Times New Roman"/>
                      <w:color w:val="000000" w:themeColor="text1"/>
                      <w:kern w:val="0"/>
                      <w:szCs w:val="21"/>
                      <w:highlight w:val="none"/>
                      <w:lang w:bidi="ar"/>
                      <w14:textFill>
                        <w14:solidFill>
                          <w14:schemeClr w14:val="tx1"/>
                        </w14:solidFill>
                      </w14:textFill>
                    </w:rPr>
                    <m:t>V</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e>
                <m:sub>
                  <m:r>
                    <m:rPr/>
                    <w:rPr>
                      <w:rFonts w:hint="default" w:ascii="Cambria Math" w:hAnsi="Cambria Math" w:cs="Times New Roman"/>
                      <w:color w:val="000000" w:themeColor="text1"/>
                      <w:kern w:val="0"/>
                      <w:szCs w:val="21"/>
                      <w:highlight w:val="none"/>
                      <w:lang w:bidi="ar"/>
                      <w14:textFill>
                        <w14:solidFill>
                          <w14:schemeClr w14:val="tx1"/>
                        </w14:solidFill>
                      </w14:textFill>
                    </w:rPr>
                    <m:t>uE</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ub>
              </m:sSub>
            </m:oMath>
          </w:p>
        </w:tc>
        <w:tc>
          <w:tcPr>
            <w:tcW w:w="4351" w:type="pct"/>
          </w:tcPr>
          <w:p>
            <w:pPr>
              <w:keepNext/>
              <w:spacing w:line="360" w:lineRule="exact"/>
              <w:jc w:val="left"/>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叠合剪力墙水平接缝处抗剪承载力设计值</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jc w:val="center"/>
        </w:trPr>
        <w:tc>
          <w:tcPr>
            <w:tcW w:w="648" w:type="pct"/>
          </w:tcPr>
          <w:p>
            <w:pPr>
              <w:keepNext/>
              <w:wordWrap w:val="0"/>
              <w:spacing w:line="360" w:lineRule="exact"/>
              <w:jc w:val="center"/>
              <w:rPr>
                <w:rFonts w:hint="default" w:ascii="Times New Roman" w:hAnsi="Times New Roman" w:eastAsia="黑体" w:cs="Times New Roman"/>
                <w:bCs/>
                <w:i/>
                <w:iCs/>
                <w:color w:val="000000" w:themeColor="text1"/>
                <w:szCs w:val="21"/>
                <w:highlight w:val="none"/>
                <w14:textFill>
                  <w14:solidFill>
                    <w14:schemeClr w14:val="tx1"/>
                  </w14:solidFill>
                </w14:textFill>
              </w:rPr>
            </w:pPr>
            <w:r>
              <w:rPr>
                <w:rFonts w:hint="default" w:ascii="Times New Roman" w:hAnsi="Times New Roman" w:cs="Times New Roman"/>
                <w:i/>
                <w:iCs/>
                <w:color w:val="000000" w:themeColor="text1"/>
                <w:kern w:val="0"/>
                <w:szCs w:val="21"/>
                <w:highlight w:val="none"/>
                <w:lang w:val="en-US" w:eastAsia="zh-CN" w:bidi="ar"/>
                <w14:textFill>
                  <w14:solidFill>
                    <w14:schemeClr w14:val="tx1"/>
                  </w14:solidFill>
                </w14:textFill>
              </w:rPr>
              <w:t xml:space="preserve">    </w:t>
            </w:r>
            <w:r>
              <w:rPr>
                <w:rFonts w:hint="default" w:ascii="Times New Roman" w:hAnsi="Times New Roman" w:cs="Times New Roman"/>
                <w:i/>
                <w:iCs/>
                <w:color w:val="000000" w:themeColor="text1"/>
                <w:kern w:val="0"/>
                <w:szCs w:val="21"/>
                <w:highlight w:val="none"/>
                <w:lang w:bidi="ar"/>
                <w14:textFill>
                  <w14:solidFill>
                    <w14:schemeClr w14:val="tx1"/>
                  </w14:solidFill>
                </w14:textFill>
              </w:rPr>
              <w:t>N</w:t>
            </w:r>
          </w:p>
        </w:tc>
        <w:tc>
          <w:tcPr>
            <w:tcW w:w="4351" w:type="pct"/>
          </w:tcPr>
          <w:p>
            <w:pPr>
              <w:keepNext/>
              <w:spacing w:line="360" w:lineRule="exact"/>
              <w:ind w:left="420" w:hanging="420" w:hangingChars="200"/>
              <w:jc w:val="left"/>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与接缝处剪力设计值相对应的垂直于水平接缝的轴向力设计值</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bl>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bookmarkStart w:id="90" w:name="_Toc93999725"/>
      <w:bookmarkStart w:id="91" w:name="_Toc15745"/>
      <w:bookmarkStart w:id="92" w:name="_Toc110952699"/>
      <w:bookmarkStart w:id="93" w:name="_Toc93998964"/>
      <w:bookmarkStart w:id="94" w:name="_Toc110958467"/>
      <w:bookmarkStart w:id="95" w:name="_Toc14071"/>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96" w:name="_Toc13586"/>
      <w:bookmarkStart w:id="97" w:name="_Toc19317"/>
      <w:bookmarkStart w:id="98" w:name="_Toc21640"/>
      <w:bookmarkStart w:id="99" w:name="_Toc5900"/>
      <w:bookmarkStart w:id="100" w:name="_Toc3826"/>
      <w:bookmarkStart w:id="101" w:name="_Toc23500"/>
      <w:bookmarkStart w:id="102" w:name="_Toc24863"/>
      <w:r>
        <w:rPr>
          <w:rFonts w:hint="default" w:ascii="Times New Roman" w:hAnsi="Times New Roman" w:eastAsia="黑体" w:cs="Times New Roman"/>
          <w:color w:val="000000" w:themeColor="text1"/>
          <w:sz w:val="28"/>
          <w:szCs w:val="28"/>
          <w:highlight w:val="none"/>
          <w14:textFill>
            <w14:solidFill>
              <w14:schemeClr w14:val="tx1"/>
            </w14:solidFill>
          </w14:textFill>
        </w:rPr>
        <w:t>3  基 本 规 定</w:t>
      </w:r>
      <w:bookmarkEnd w:id="90"/>
      <w:bookmarkEnd w:id="91"/>
      <w:bookmarkEnd w:id="92"/>
      <w:bookmarkEnd w:id="93"/>
      <w:bookmarkEnd w:id="94"/>
      <w:bookmarkEnd w:id="95"/>
      <w:bookmarkEnd w:id="96"/>
      <w:bookmarkEnd w:id="97"/>
      <w:bookmarkEnd w:id="98"/>
      <w:bookmarkEnd w:id="99"/>
      <w:bookmarkEnd w:id="100"/>
      <w:bookmarkEnd w:id="101"/>
      <w:bookmarkEnd w:id="102"/>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混凝土模块化建筑应按照全寿命期可持续发展的原则，实现标准化设计、工厂化生产、装配化施工、一体化装修、信息化管理和智能化应用。</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3.0.2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混凝土模块化建筑应采用面向制造和装配的设计方法，对模块化建筑的设计、生产、运输、</w:t>
      </w:r>
      <w:r>
        <w:rPr>
          <w:rFonts w:hint="default" w:ascii="Times New Roman" w:hAnsi="Times New Roman" w:cs="Times New Roman"/>
          <w:color w:val="000000" w:themeColor="text1"/>
          <w:szCs w:val="21"/>
          <w:highlight w:val="none"/>
          <w:lang w:val="en-US" w:eastAsia="zh-CN"/>
          <w14:textFill>
            <w14:solidFill>
              <w14:schemeClr w14:val="tx1"/>
            </w14:solidFill>
          </w14:textFill>
        </w:rPr>
        <w:t>施工</w:t>
      </w:r>
      <w:r>
        <w:rPr>
          <w:rFonts w:hint="default" w:ascii="Times New Roman" w:hAnsi="Times New Roman" w:cs="Times New Roman"/>
          <w:color w:val="000000" w:themeColor="text1"/>
          <w:szCs w:val="21"/>
          <w:highlight w:val="none"/>
          <w14:textFill>
            <w14:solidFill>
              <w14:schemeClr w14:val="tx1"/>
            </w14:solidFill>
          </w14:textFill>
        </w:rPr>
        <w:t>安装等各个环节进行统筹，实现</w:t>
      </w:r>
      <w:r>
        <w:rPr>
          <w:rFonts w:hint="default" w:ascii="Times New Roman" w:hAnsi="Times New Roman" w:cs="Times New Roman"/>
          <w:color w:val="000000" w:themeColor="text1"/>
          <w:szCs w:val="21"/>
          <w:highlight w:val="none"/>
          <w:lang w:val="en-US" w:eastAsia="zh-CN"/>
          <w14:textFill>
            <w14:solidFill>
              <w14:schemeClr w14:val="tx1"/>
            </w14:solidFill>
          </w14:textFill>
        </w:rPr>
        <w:t>模块化</w:t>
      </w:r>
      <w:r>
        <w:rPr>
          <w:rFonts w:hint="default" w:ascii="Times New Roman" w:hAnsi="Times New Roman" w:cs="Times New Roman"/>
          <w:color w:val="000000" w:themeColor="text1"/>
          <w:szCs w:val="21"/>
          <w:highlight w:val="none"/>
          <w14:textFill>
            <w14:solidFill>
              <w14:schemeClr w14:val="tx1"/>
            </w14:solidFill>
          </w14:textFill>
        </w:rPr>
        <w:t>建筑</w:t>
      </w:r>
      <w:r>
        <w:rPr>
          <w:rFonts w:hint="default" w:ascii="Times New Roman" w:hAnsi="Times New Roman" w:cs="Times New Roman"/>
          <w:color w:val="000000" w:themeColor="text1"/>
          <w:szCs w:val="21"/>
          <w:highlight w:val="none"/>
          <w:lang w:val="en-US" w:eastAsia="zh-CN"/>
          <w14:textFill>
            <w14:solidFill>
              <w14:schemeClr w14:val="tx1"/>
            </w14:solidFill>
          </w14:textFill>
        </w:rPr>
        <w:t>建造</w:t>
      </w:r>
      <w:r>
        <w:rPr>
          <w:rFonts w:hint="default" w:ascii="Times New Roman" w:hAnsi="Times New Roman" w:cs="Times New Roman"/>
          <w:color w:val="000000" w:themeColor="text1"/>
          <w:szCs w:val="21"/>
          <w:highlight w:val="none"/>
          <w14:textFill>
            <w14:solidFill>
              <w14:schemeClr w14:val="tx1"/>
            </w14:solidFill>
          </w14:textFill>
        </w:rPr>
        <w:t>的全过程协同工作。</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3.0.3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应按系统集成设计原则，对结构系统、外围护系统、设备与管线系统、内装系统等进行综合协调。混凝土模块化建筑设计应按一体化设计原则，实现给水、排水、通风、空调、燃气、电气、智能化、装饰等各个专业协同，确保模块建筑设计的系统性和完整性。模块单元设计应集成</w:t>
      </w:r>
      <w:r>
        <w:rPr>
          <w:rFonts w:hint="default" w:ascii="Times New Roman" w:hAnsi="Times New Roman" w:cs="Times New Roman"/>
          <w:color w:val="000000" w:themeColor="text1"/>
          <w14:textFill>
            <w14:solidFill>
              <w14:schemeClr w14:val="tx1"/>
            </w14:solidFill>
          </w14:textFill>
        </w:rPr>
        <w:t>结构构件、围护部品、内装部品及设备管线</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3.0.4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混凝土模块化建筑设计应在满足功能要求的基础上遵循模数协调和少规格、多组合的原则，实现模块单元</w:t>
      </w:r>
      <w:r>
        <w:rPr>
          <w:rFonts w:hint="default" w:ascii="Times New Roman" w:hAnsi="Times New Roman" w:cs="Times New Roman"/>
          <w:color w:val="000000" w:themeColor="text1"/>
          <w:szCs w:val="21"/>
          <w:highlight w:val="none"/>
          <w:lang w:val="en-US" w:eastAsia="zh-CN"/>
          <w14:textFill>
            <w14:solidFill>
              <w14:schemeClr w14:val="tx1"/>
            </w14:solidFill>
          </w14:textFill>
        </w:rPr>
        <w:t>尺寸</w:t>
      </w:r>
      <w:r>
        <w:rPr>
          <w:rFonts w:hint="default" w:ascii="Times New Roman" w:hAnsi="Times New Roman" w:cs="Times New Roman"/>
          <w:color w:val="000000" w:themeColor="text1"/>
          <w:szCs w:val="21"/>
          <w:highlight w:val="none"/>
          <w14:textFill>
            <w14:solidFill>
              <w14:schemeClr w14:val="tx1"/>
            </w14:solidFill>
          </w14:textFill>
        </w:rPr>
        <w:t>的模数化、</w:t>
      </w:r>
      <w:r>
        <w:rPr>
          <w:rFonts w:hint="default" w:ascii="Times New Roman" w:hAnsi="Times New Roman" w:cs="Times New Roman"/>
          <w:color w:val="000000" w:themeColor="text1"/>
          <w:szCs w:val="21"/>
          <w:highlight w:val="none"/>
          <w:lang w:val="en-US" w:eastAsia="zh-CN"/>
          <w14:textFill>
            <w14:solidFill>
              <w14:schemeClr w14:val="tx1"/>
            </w14:solidFill>
          </w14:textFill>
        </w:rPr>
        <w:t>标准</w:t>
      </w:r>
      <w:r>
        <w:rPr>
          <w:rFonts w:hint="default" w:ascii="Times New Roman" w:hAnsi="Times New Roman" w:cs="Times New Roman"/>
          <w:color w:val="000000" w:themeColor="text1"/>
          <w:szCs w:val="21"/>
          <w:highlight w:val="none"/>
          <w14:textFill>
            <w14:solidFill>
              <w14:schemeClr w14:val="tx1"/>
            </w14:solidFill>
          </w14:textFill>
        </w:rPr>
        <w:t>化和通用化。</w:t>
      </w:r>
    </w:p>
    <w:p>
      <w:pPr>
        <w:widowControl/>
        <w:spacing w:line="360" w:lineRule="exact"/>
        <w:jc w:val="left"/>
        <w:rPr>
          <w:rFonts w:hint="default" w:ascii="Times New Roman" w:hAnsi="Times New Roman" w:cs="Times New Roman"/>
          <w:color w:val="000000" w:themeColor="text1"/>
          <w:sz w:val="18"/>
          <w:szCs w:val="28"/>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3.0.5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混凝土模块化建筑的连接及接口应构造合理、安全可靠，</w:t>
      </w:r>
      <w:r>
        <w:rPr>
          <w:rFonts w:hint="default" w:ascii="Times New Roman" w:hAnsi="Times New Roman" w:cs="Times New Roman"/>
          <w:color w:val="000000" w:themeColor="text1"/>
          <w:szCs w:val="21"/>
          <w:highlight w:val="none"/>
          <w:lang w:val="en-US" w:eastAsia="zh-CN"/>
          <w14:textFill>
            <w14:solidFill>
              <w14:schemeClr w14:val="tx1"/>
            </w14:solidFill>
          </w14:textFill>
        </w:rPr>
        <w:t>模块单元的组成构件及其连接、接口应</w:t>
      </w:r>
      <w:r>
        <w:rPr>
          <w:rFonts w:hint="default" w:ascii="Times New Roman" w:hAnsi="Times New Roman" w:cs="Times New Roman"/>
          <w:color w:val="000000" w:themeColor="text1"/>
          <w:szCs w:val="21"/>
          <w:highlight w:val="none"/>
          <w14:textFill>
            <w14:solidFill>
              <w14:schemeClr w14:val="tx1"/>
            </w14:solidFill>
          </w14:textFill>
        </w:rPr>
        <w:t>实现标准化、通用化。</w:t>
      </w:r>
      <w:r>
        <w:rPr>
          <w:rFonts w:hint="default" w:ascii="Times New Roman" w:hAnsi="Times New Roman" w:cs="Times New Roman"/>
          <w:color w:val="000000" w:themeColor="text1"/>
          <w:sz w:val="18"/>
          <w:szCs w:val="28"/>
          <w:highlight w:val="none"/>
          <w14:textFill>
            <w14:solidFill>
              <w14:schemeClr w14:val="tx1"/>
            </w14:solidFill>
          </w14:textFill>
        </w:rPr>
        <w:t xml:space="preserve"> </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3.0.6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混凝土模块化建筑公差系统包括制作公差和安装公差，应根据模块单元的安装部位、加工制作及施工精度等要求确定。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3.0.7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混凝土模块化建筑模块单元间连接方式应充分考虑</w:t>
      </w:r>
      <w:r>
        <w:rPr>
          <w:rFonts w:hint="default" w:ascii="Times New Roman" w:hAnsi="Times New Roman" w:cs="Times New Roman"/>
          <w:color w:val="000000" w:themeColor="text1"/>
          <w:szCs w:val="21"/>
          <w:highlight w:val="none"/>
          <w:lang w:val="en-US" w:eastAsia="zh-CN"/>
          <w14:textFill>
            <w14:solidFill>
              <w14:schemeClr w14:val="tx1"/>
            </w14:solidFill>
          </w14:textFill>
        </w:rPr>
        <w:t>整体性、</w:t>
      </w:r>
      <w:r>
        <w:rPr>
          <w:rFonts w:hint="default" w:ascii="Times New Roman" w:hAnsi="Times New Roman" w:cs="Times New Roman"/>
          <w:color w:val="000000" w:themeColor="text1"/>
          <w:szCs w:val="21"/>
          <w:highlight w:val="none"/>
          <w14:textFill>
            <w14:solidFill>
              <w14:schemeClr w14:val="tx1"/>
            </w14:solidFill>
          </w14:textFill>
        </w:rPr>
        <w:t>高效性、易建性要求，宜采用</w:t>
      </w:r>
      <w:r>
        <w:rPr>
          <w:rFonts w:hint="default" w:ascii="Times New Roman" w:hAnsi="Times New Roman" w:cs="Times New Roman"/>
          <w:color w:val="000000" w:themeColor="text1"/>
          <w:szCs w:val="21"/>
          <w:highlight w:val="none"/>
          <w:lang w:val="en-US" w:eastAsia="zh-CN"/>
          <w14:textFill>
            <w14:solidFill>
              <w14:schemeClr w14:val="tx1"/>
            </w14:solidFill>
          </w14:textFill>
        </w:rPr>
        <w:t>免抹灰</w:t>
      </w:r>
      <w:r>
        <w:rPr>
          <w:rFonts w:hint="default" w:ascii="Times New Roman" w:hAnsi="Times New Roman" w:cs="Times New Roman"/>
          <w:color w:val="000000" w:themeColor="text1"/>
          <w:szCs w:val="21"/>
          <w:highlight w:val="none"/>
          <w14:textFill>
            <w14:solidFill>
              <w14:schemeClr w14:val="tx1"/>
            </w14:solidFill>
          </w14:textFill>
        </w:rPr>
        <w:t>、免支模、免支撑等建造工艺。</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3.0.8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混凝土模块化建筑设计成果应能发挥高质量、高集成度、工厂化生产、装配化施工等模块化建筑优势，体现工业化建筑品质特点，并符合广东省岭南地区建筑人文及气候特点，设计指标应符合下列规定：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使用功能合理，建筑体形系数、窗墙比、热工性能等应符合节能要求</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采光、通风、隔声、保温、隔热、防水和卫生等应符合现行</w:t>
      </w:r>
      <w:r>
        <w:rPr>
          <w:rFonts w:hint="default" w:ascii="Times New Roman" w:hAnsi="Times New Roman" w:cs="Times New Roman"/>
          <w:color w:val="000000" w:themeColor="text1"/>
          <w:szCs w:val="21"/>
          <w:highlight w:val="none"/>
          <w:lang w:val="en-US" w:eastAsia="zh-CN"/>
          <w14:textFill>
            <w14:solidFill>
              <w14:schemeClr w14:val="tx1"/>
            </w14:solidFill>
          </w14:textFill>
        </w:rPr>
        <w:t>有关</w:t>
      </w:r>
      <w:r>
        <w:rPr>
          <w:rFonts w:hint="default" w:ascii="Times New Roman" w:hAnsi="Times New Roman" w:cs="Times New Roman"/>
          <w:color w:val="000000" w:themeColor="text1"/>
          <w:szCs w:val="21"/>
          <w:highlight w:val="none"/>
          <w14:textFill>
            <w14:solidFill>
              <w14:schemeClr w14:val="tx1"/>
            </w14:solidFill>
          </w14:textFill>
        </w:rPr>
        <w:t>标准的要求</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防火、疏散、防护、抗震、抗风、防雷击等应符合防灾和安全性设计要求。</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3.0.9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生产混凝土模块单元的工厂应建立完善的生产质量管理体系，保障模块产品质量。</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3.0.10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w:t>
      </w:r>
      <w:r>
        <w:rPr>
          <w:rFonts w:hint="default" w:ascii="Times New Roman" w:hAnsi="Times New Roman" w:cs="Times New Roman"/>
          <w:color w:val="000000" w:themeColor="text1"/>
          <w:szCs w:val="21"/>
          <w:highlight w:val="none"/>
          <w:lang w:val="en-US" w:eastAsia="zh-CN"/>
          <w14:textFill>
            <w14:solidFill>
              <w14:schemeClr w14:val="tx1"/>
            </w14:solidFill>
          </w14:textFill>
        </w:rPr>
        <w:t>应</w:t>
      </w:r>
      <w:r>
        <w:rPr>
          <w:rFonts w:hint="default" w:ascii="Times New Roman" w:hAnsi="Times New Roman" w:cs="Times New Roman"/>
          <w:color w:val="000000" w:themeColor="text1"/>
          <w:szCs w:val="21"/>
          <w:highlight w:val="none"/>
          <w14:textFill>
            <w14:solidFill>
              <w14:schemeClr w14:val="tx1"/>
            </w14:solidFill>
          </w14:textFill>
        </w:rPr>
        <w:t>采用建筑信息模型（BIM）技术，实现设计、生产、施工</w:t>
      </w:r>
      <w:r>
        <w:rPr>
          <w:rFonts w:hint="default" w:ascii="Times New Roman" w:hAnsi="Times New Roman" w:cs="Times New Roman"/>
          <w:color w:val="000000" w:themeColor="text1"/>
          <w:szCs w:val="21"/>
          <w:highlight w:val="none"/>
          <w:lang w:val="en-US" w:eastAsia="zh-CN"/>
          <w14:textFill>
            <w14:solidFill>
              <w14:schemeClr w14:val="tx1"/>
            </w14:solidFill>
          </w14:textFill>
        </w:rPr>
        <w:t>安装</w:t>
      </w:r>
      <w:r>
        <w:rPr>
          <w:rFonts w:hint="default" w:ascii="Times New Roman" w:hAnsi="Times New Roman" w:cs="Times New Roman"/>
          <w:color w:val="000000" w:themeColor="text1"/>
          <w:szCs w:val="21"/>
          <w:highlight w:val="none"/>
          <w14:textFill>
            <w14:solidFill>
              <w14:schemeClr w14:val="tx1"/>
            </w14:solidFill>
          </w14:textFill>
        </w:rPr>
        <w:t>、质量验收和运维的信息交互和共享，实现建筑全过程一体化协同工作。</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p>
    <w:p>
      <w:pPr>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03" w:name="_Toc3151"/>
      <w:bookmarkStart w:id="104" w:name="_Toc18241"/>
      <w:bookmarkStart w:id="105" w:name="_Toc25143"/>
      <w:bookmarkStart w:id="106" w:name="_Toc9259"/>
      <w:bookmarkStart w:id="107" w:name="_Toc17545"/>
      <w:bookmarkStart w:id="108" w:name="_Toc4878"/>
      <w:bookmarkStart w:id="109" w:name="_Toc19864"/>
      <w:bookmarkStart w:id="110" w:name="_Toc24859"/>
      <w:bookmarkStart w:id="111" w:name="_Toc15640"/>
      <w:r>
        <w:rPr>
          <w:rFonts w:hint="default" w:ascii="Times New Roman" w:hAnsi="Times New Roman" w:eastAsia="黑体" w:cs="Times New Roman"/>
          <w:color w:val="000000" w:themeColor="text1"/>
          <w:sz w:val="28"/>
          <w:szCs w:val="28"/>
          <w:highlight w:val="none"/>
          <w14:textFill>
            <w14:solidFill>
              <w14:schemeClr w14:val="tx1"/>
            </w14:solidFill>
          </w14:textFill>
        </w:rPr>
        <w:t>4  材    料</w:t>
      </w:r>
      <w:bookmarkEnd w:id="103"/>
      <w:bookmarkEnd w:id="104"/>
      <w:bookmarkEnd w:id="105"/>
      <w:bookmarkEnd w:id="106"/>
      <w:bookmarkEnd w:id="107"/>
      <w:bookmarkEnd w:id="108"/>
      <w:bookmarkEnd w:id="109"/>
      <w:bookmarkEnd w:id="110"/>
      <w:bookmarkEnd w:id="111"/>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12" w:name="_Toc12355"/>
      <w:bookmarkStart w:id="113" w:name="_Toc18750"/>
      <w:bookmarkStart w:id="114" w:name="_Toc27390"/>
      <w:bookmarkStart w:id="115" w:name="_Toc27160"/>
      <w:bookmarkStart w:id="116" w:name="_Toc21199"/>
      <w:bookmarkStart w:id="117" w:name="_Toc25600"/>
      <w:bookmarkStart w:id="118" w:name="_Toc14382"/>
      <w:bookmarkStart w:id="119" w:name="_Toc20652"/>
      <w:bookmarkStart w:id="120" w:name="_Toc575"/>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4.1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结 构 材 料</w:t>
      </w:r>
      <w:bookmarkEnd w:id="112"/>
      <w:bookmarkEnd w:id="113"/>
      <w:bookmarkEnd w:id="114"/>
      <w:bookmarkEnd w:id="115"/>
      <w:bookmarkEnd w:id="116"/>
      <w:bookmarkEnd w:id="117"/>
      <w:bookmarkEnd w:id="118"/>
      <w:bookmarkEnd w:id="119"/>
      <w:bookmarkEnd w:id="120"/>
    </w:p>
    <w:p>
      <w:pPr>
        <w:spacing w:line="360" w:lineRule="exact"/>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4.1.1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模块化结构采用的混凝土、钢筋和钢筋机械连接接头应符合现行国家标准《混凝土结构通用规范》GB 55008、《混凝土结构设计标准》GB/T 50010和现行行业标准《装配式混凝土结构技术规程》JGJ 1的有关规定。</w:t>
      </w:r>
      <w:r>
        <w:rPr>
          <w:rFonts w:hint="default" w:ascii="Times New Roman" w:hAnsi="Times New Roman" w:cs="Times New Roman"/>
          <w:color w:val="000000" w:themeColor="text1"/>
          <w:szCs w:val="21"/>
          <w:highlight w:val="none"/>
          <w:lang w:val="en-US" w:eastAsia="zh-CN"/>
          <w14:textFill>
            <w14:solidFill>
              <w14:schemeClr w14:val="tx1"/>
            </w14:solidFill>
          </w14:textFill>
        </w:rPr>
        <w:t>对于本标准未做规定新材料，应进行论证并符合有关规范中关于性能的要求。</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4.1.2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模块化结构中采用的钢材应符合现行国家标准《钢结构通用规范》GB 55006和《钢结构设计标准》 GB 50017的有关规定。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4.1.3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模块化结构中结构构件采用的混凝土的强度等级应符合下列要求</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并应符合现行国家标准《混凝土结构设计标准》GB/T</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50010的有关规定</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121" w:name="_Toc10991"/>
      <w:bookmarkStart w:id="122" w:name="_Toc4995"/>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模块单元的混凝土强度等级不应低于C30</w:t>
      </w:r>
      <w:bookmarkEnd w:id="121"/>
      <w:bookmarkEnd w:id="12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123" w:name="_Toc23075"/>
      <w:bookmarkStart w:id="124" w:name="_Toc11393"/>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模块单元间竖向现浇拼接缝的混凝土设计强度等级不</w:t>
      </w:r>
      <w:r>
        <w:rPr>
          <w:rFonts w:hint="eastAsia" w:ascii="Times New Roman" w:hAnsi="Times New Roman" w:cs="Times New Roman"/>
          <w:color w:val="000000" w:themeColor="text1"/>
          <w:szCs w:val="21"/>
          <w:highlight w:val="none"/>
          <w:lang w:val="en-US" w:eastAsia="zh-CN"/>
          <w14:textFill>
            <w14:solidFill>
              <w14:schemeClr w14:val="tx1"/>
            </w14:solidFill>
          </w14:textFill>
        </w:rPr>
        <w:t>宜</w:t>
      </w:r>
      <w:r>
        <w:rPr>
          <w:rFonts w:hint="default" w:ascii="Times New Roman" w:hAnsi="Times New Roman" w:cs="Times New Roman"/>
          <w:color w:val="000000" w:themeColor="text1"/>
          <w:szCs w:val="21"/>
          <w:highlight w:val="none"/>
          <w14:textFill>
            <w14:solidFill>
              <w14:schemeClr w14:val="tx1"/>
            </w14:solidFill>
          </w14:textFill>
        </w:rPr>
        <w:t>低于模块单元的混凝土设计强度等级，且不应低于C3</w:t>
      </w:r>
      <w:bookmarkEnd w:id="123"/>
      <w:bookmarkEnd w:id="124"/>
      <w:r>
        <w:rPr>
          <w:rFonts w:hint="eastAsia" w:ascii="Times New Roman" w:hAnsi="Times New Roman" w:cs="Times New Roman"/>
          <w:color w:val="000000" w:themeColor="text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lang w:eastAsia="zh-CN"/>
          <w14:textFill>
            <w14:solidFill>
              <w14:schemeClr w14:val="tx1"/>
            </w14:solidFill>
          </w14:textFill>
        </w:rPr>
      </w:pPr>
      <w:bookmarkStart w:id="125" w:name="_Toc5383"/>
      <w:bookmarkStart w:id="126" w:name="_Toc24636"/>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模块单元叠合板后浇层及底板后浇拼缝的混凝土设计强度等级不应低于模块单元混凝土设计强度等级</w:t>
      </w:r>
      <w:bookmarkEnd w:id="125"/>
      <w:bookmarkEnd w:id="126"/>
      <w:r>
        <w:rPr>
          <w:rFonts w:hint="default" w:ascii="Times New Roman" w:hAnsi="Times New Roman" w:cs="Times New Roman"/>
          <w:color w:val="000000" w:themeColor="text1"/>
          <w:szCs w:val="2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1"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模块单元中竖向空腔内后浇混凝土采用自密实混凝土时</w:t>
      </w:r>
      <w:r>
        <w:rPr>
          <w:rFonts w:hint="default" w:ascii="Times New Roman" w:hAnsi="Times New Roman" w:cs="Times New Roman"/>
          <w:color w:val="000000" w:themeColor="text1"/>
          <w:sz w:val="21"/>
          <w:szCs w:val="21"/>
          <w:highlight w:val="none"/>
          <w14:textFill>
            <w14:solidFill>
              <w14:schemeClr w14:val="tx1"/>
            </w14:solidFill>
          </w14:textFill>
        </w:rPr>
        <w:t>混凝土性能应符合现行</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行业</w:t>
      </w:r>
      <w:r>
        <w:rPr>
          <w:rFonts w:hint="default" w:ascii="Times New Roman" w:hAnsi="Times New Roman" w:cs="Times New Roman"/>
          <w:color w:val="000000" w:themeColor="text1"/>
          <w:sz w:val="21"/>
          <w:szCs w:val="21"/>
          <w:highlight w:val="none"/>
          <w14:textFill>
            <w14:solidFill>
              <w14:schemeClr w14:val="tx1"/>
            </w14:solidFill>
          </w14:textFill>
        </w:rPr>
        <w:t>标准《自密实混凝土应用技术规程》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JGJ</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 283的有关</w:t>
      </w:r>
      <w:r>
        <w:rPr>
          <w:rFonts w:hint="default" w:ascii="Times New Roman" w:hAnsi="Times New Roman" w:cs="Times New Roman"/>
          <w:color w:val="000000" w:themeColor="text1"/>
          <w:sz w:val="21"/>
          <w:szCs w:val="21"/>
          <w:highlight w:val="none"/>
          <w14:textFill>
            <w14:solidFill>
              <w14:schemeClr w14:val="tx1"/>
            </w14:solidFill>
          </w14:textFill>
        </w:rPr>
        <w:t>规定；当采用普通混凝土时，混凝土骨料粒径不应大于2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mm，</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流动度和</w:t>
      </w:r>
      <w:r>
        <w:rPr>
          <w:rFonts w:hint="default" w:ascii="Times New Roman" w:hAnsi="Times New Roman" w:cs="Times New Roman"/>
          <w:color w:val="000000" w:themeColor="text1"/>
          <w:sz w:val="21"/>
          <w:szCs w:val="21"/>
          <w:highlight w:val="none"/>
          <w14:textFill>
            <w14:solidFill>
              <w14:schemeClr w14:val="tx1"/>
            </w14:solidFill>
          </w14:textFill>
        </w:rPr>
        <w:t>坍落度不应小于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18</w:t>
      </w:r>
      <w:r>
        <w:rPr>
          <w:rFonts w:hint="default" w:ascii="Times New Roman" w:hAnsi="Times New Roman" w:cs="Times New Roman"/>
          <w:color w:val="000000" w:themeColor="text1"/>
          <w:sz w:val="21"/>
          <w:szCs w:val="21"/>
          <w:highlight w:val="none"/>
          <w14:textFill>
            <w14:solidFill>
              <w14:schemeClr w14:val="tx1"/>
            </w14:solidFill>
          </w14:textFill>
        </w:rPr>
        <w:t>0mm</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127" w:name="_Toc12336"/>
      <w:bookmarkStart w:id="128" w:name="_Toc29621"/>
      <w:r>
        <w:rPr>
          <w:rFonts w:hint="default" w:ascii="Times New Roman" w:hAnsi="Times New Roman" w:cs="Times New Roman"/>
          <w:b/>
          <w:bCs/>
          <w:color w:val="000000" w:themeColor="text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混凝土强度的检验评定应符合现行国家标准《混凝土强度检验评定标准》GB/T 50107的有关规定。</w:t>
      </w:r>
      <w:bookmarkEnd w:id="127"/>
      <w:bookmarkEnd w:id="128"/>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4.1.4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模块化结构中连接用焊接材料，螺栓、锚栓和栓钉等紧固件的材料应符合国家现行标准《钢结构设计规范》GB50017、《钢结构焊接规范》GB50661和现行行业标准《钢筋焊接及验收规程》JGJ18等的</w:t>
      </w:r>
      <w:r>
        <w:rPr>
          <w:rFonts w:hint="default" w:ascii="Times New Roman" w:hAnsi="Times New Roman" w:cs="Times New Roman"/>
          <w:color w:val="000000" w:themeColor="text1"/>
          <w:szCs w:val="21"/>
          <w:highlight w:val="none"/>
          <w:lang w:val="en-US" w:eastAsia="zh-CN"/>
          <w14:textFill>
            <w14:solidFill>
              <w14:schemeClr w14:val="tx1"/>
            </w14:solidFill>
          </w14:textFill>
        </w:rPr>
        <w:t>有关</w:t>
      </w:r>
      <w:r>
        <w:rPr>
          <w:rFonts w:hint="default" w:ascii="Times New Roman" w:hAnsi="Times New Roman" w:cs="Times New Roman"/>
          <w:color w:val="000000" w:themeColor="text1"/>
          <w:szCs w:val="21"/>
          <w:highlight w:val="none"/>
          <w14:textFill>
            <w14:solidFill>
              <w14:schemeClr w14:val="tx1"/>
            </w14:solidFill>
          </w14:textFill>
        </w:rPr>
        <w:t>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4.1.5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模块化结构中受力预埋件的锚板及锚筋材料应符合现行国家标准《</w:t>
      </w:r>
      <w:r>
        <w:rPr>
          <w:rFonts w:hint="default" w:ascii="Times New Roman" w:hAnsi="Times New Roman" w:cs="Times New Roman"/>
          <w:color w:val="000000" w:themeColor="text1"/>
          <w:szCs w:val="21"/>
          <w:highlight w:val="none"/>
          <w:lang w:eastAsia="zh-CN"/>
          <w14:textFill>
            <w14:solidFill>
              <w14:schemeClr w14:val="tx1"/>
            </w14:solidFill>
          </w14:textFill>
        </w:rPr>
        <w:t>混凝土结构设计标准</w:t>
      </w:r>
      <w:r>
        <w:rPr>
          <w:rFonts w:hint="default" w:ascii="Times New Roman" w:hAnsi="Times New Roman" w:cs="Times New Roman"/>
          <w:color w:val="000000" w:themeColor="text1"/>
          <w:szCs w:val="21"/>
          <w:highlight w:val="none"/>
          <w14:textFill>
            <w14:solidFill>
              <w14:schemeClr w14:val="tx1"/>
            </w14:solidFill>
          </w14:textFill>
        </w:rPr>
        <w:t>》GB</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/T </w:t>
      </w:r>
      <w:r>
        <w:rPr>
          <w:rFonts w:hint="default" w:ascii="Times New Roman" w:hAnsi="Times New Roman" w:cs="Times New Roman"/>
          <w:color w:val="000000" w:themeColor="text1"/>
          <w:szCs w:val="21"/>
          <w:highlight w:val="none"/>
          <w14:textFill>
            <w14:solidFill>
              <w14:schemeClr w14:val="tx1"/>
            </w14:solidFill>
          </w14:textFill>
        </w:rPr>
        <w:t xml:space="preserve">50010的有关规定。专用预埋件及连接件材料应符合国家和行业现行有关标准的规定。 </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4.1.6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模块化结构中钢筋锚固板的材料应符合现行行业标准《钢筋锚固板应用技术规程》JGJ256的</w:t>
      </w:r>
      <w:r>
        <w:rPr>
          <w:rFonts w:hint="default" w:ascii="Times New Roman" w:hAnsi="Times New Roman" w:cs="Times New Roman"/>
          <w:color w:val="000000" w:themeColor="text1"/>
          <w:szCs w:val="21"/>
          <w:highlight w:val="none"/>
          <w:lang w:val="en-US" w:eastAsia="zh-CN"/>
          <w14:textFill>
            <w14:solidFill>
              <w14:schemeClr w14:val="tx1"/>
            </w14:solidFill>
          </w14:textFill>
        </w:rPr>
        <w:t>有关</w:t>
      </w:r>
      <w:r>
        <w:rPr>
          <w:rFonts w:hint="default" w:ascii="Times New Roman" w:hAnsi="Times New Roman" w:cs="Times New Roman"/>
          <w:color w:val="000000" w:themeColor="text1"/>
          <w:szCs w:val="21"/>
          <w:highlight w:val="none"/>
          <w14:textFill>
            <w14:solidFill>
              <w14:schemeClr w14:val="tx1"/>
            </w14:solidFill>
          </w14:textFill>
        </w:rPr>
        <w:t xml:space="preserve">规定。 </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4.1.</w:t>
      </w:r>
      <w:r>
        <w:rPr>
          <w:rFonts w:hint="default" w:ascii="Times New Roman" w:hAnsi="Times New Roman" w:cs="Times New Roman"/>
          <w:b/>
          <w:color w:val="000000" w:themeColor="text1"/>
          <w:szCs w:val="21"/>
          <w:highlight w:val="none"/>
          <w:lang w:val="en-US" w:eastAsia="zh-CN"/>
          <w14:textFill>
            <w14:solidFill>
              <w14:schemeClr w14:val="tx1"/>
            </w14:solidFill>
          </w14:textFill>
        </w:rPr>
        <w:t>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模块化结构中采用的钢筋应满足设计要求，并应符合下列规定：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129" w:name="_Toc19254"/>
      <w:bookmarkStart w:id="130" w:name="_Toc27886"/>
      <w:bookmarkStart w:id="131" w:name="_Toc10382"/>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纵向受力钢筋宜采用400MPa及以上等级钢筋</w:t>
      </w:r>
      <w:bookmarkEnd w:id="129"/>
      <w:bookmarkEnd w:id="130"/>
      <w:bookmarkEnd w:id="13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箍筋宜采用HPB300、HRB400、HRBF400、HRB400E、HRBF400E、HRB500、HRBF500、HRB500E、HRBF500E级钢筋</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普通热轧带肋钢筋应符合现行国家标准《钢筋混凝土用钢 第2部分：热轧带肋钢筋》GB/T 1497.2的有关规定</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热轧光圆钢筋应符合现行国家标准《钢筋混凝土用钢 第1部分热轧光圆钢筋》GB/T 1497.1的有关规定。</w:t>
      </w:r>
    </w:p>
    <w:p>
      <w:pPr>
        <w:spacing w:line="360" w:lineRule="exact"/>
        <w:ind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4.1.</w:t>
      </w:r>
      <w:r>
        <w:rPr>
          <w:rFonts w:hint="default" w:ascii="Times New Roman" w:hAnsi="Times New Roman" w:cs="Times New Roman"/>
          <w:b/>
          <w:color w:val="000000" w:themeColor="text1"/>
          <w:szCs w:val="21"/>
          <w:highlight w:val="none"/>
          <w:lang w:val="en-US" w:eastAsia="zh-CN"/>
          <w14:textFill>
            <w14:solidFill>
              <w14:schemeClr w14:val="tx1"/>
            </w14:solidFill>
          </w14:textFill>
        </w:rPr>
        <w:t>8</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当采用钢筋焊接网片时，钢筋焊接网片应符合现行国家标准《钢筋混凝土用钢 第3部分：钢筋焊接网》GB/T 1497.3的有关规定</w:t>
      </w:r>
      <w:r>
        <w:rPr>
          <w:rFonts w:hint="default" w:ascii="Times New Roman" w:hAnsi="Times New Roman" w:cs="Times New Roman"/>
          <w:color w:val="000000" w:themeColor="text1"/>
          <w:szCs w:val="21"/>
          <w:highlight w:val="none"/>
          <w:lang w:eastAsia="zh-CN"/>
          <w14:textFill>
            <w14:solidFill>
              <w14:schemeClr w14:val="tx1"/>
            </w14:solidFill>
          </w14:textFill>
        </w:rPr>
        <w:t>；当采用成型格网箍筋时，应符合现行《成型格网箍筋应用技术规程》T/CECS 673的有关规定</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rPr>
          <w:rFonts w:hint="default" w:ascii="Times New Roman" w:hAnsi="Times New Roman" w:eastAsia="宋体" w:cs="Times New Roman"/>
          <w:strike/>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4.1.9  </w:t>
      </w:r>
      <w:r>
        <w:rPr>
          <w:rFonts w:hint="default" w:ascii="Times New Roman" w:hAnsi="Times New Roman" w:cs="Times New Roman"/>
          <w:color w:val="000000" w:themeColor="text1"/>
          <w:szCs w:val="21"/>
          <w:highlight w:val="none"/>
          <w:lang w:val="en-US" w:eastAsia="zh-CN"/>
          <w14:textFill>
            <w14:solidFill>
              <w14:schemeClr w14:val="tx1"/>
            </w14:solidFill>
          </w14:textFill>
        </w:rPr>
        <w:t>模块化结构中钢筋金属波纹管浆锚搭接连接采用的金属波纹管应符合现行行业标准《预应力混凝土用金属波纹管》JG/T 225的有关规定。金属波纹管宜采用软钢带制作，性能应符合现行国家标准《碳素结构钢冷轧钢板及钢带》GB/T 11253的规定；当采用镀锌钢带时，其双面镀锌层重量不宜小于60g/m²，性能应符合现行国家标准《连续热镀锌和锌合金镀层钢板及钢带》GB/T 2518的规定。</w:t>
      </w:r>
    </w:p>
    <w:p>
      <w:pPr>
        <w:spacing w:line="360" w:lineRule="exact"/>
        <w:rPr>
          <w:rFonts w:hint="default" w:ascii="Times New Roman" w:hAnsi="Times New Roman" w:cs="Times New Roman"/>
          <w:strike w:val="0"/>
          <w:color w:val="000000" w:themeColor="text1"/>
          <w:szCs w:val="21"/>
          <w:highlight w:val="none"/>
          <w14:textFill>
            <w14:solidFill>
              <w14:schemeClr w14:val="tx1"/>
            </w14:solidFill>
          </w14:textFill>
        </w:rPr>
      </w:pPr>
      <w:r>
        <w:rPr>
          <w:rFonts w:hint="default" w:ascii="Times New Roman" w:hAnsi="Times New Roman" w:cs="Times New Roman"/>
          <w:b/>
          <w:strike w:val="0"/>
          <w:color w:val="000000" w:themeColor="text1"/>
          <w:szCs w:val="21"/>
          <w:highlight w:val="none"/>
          <w14:textFill>
            <w14:solidFill>
              <w14:schemeClr w14:val="tx1"/>
            </w14:solidFill>
          </w14:textFill>
        </w:rPr>
        <w:t xml:space="preserve">4.1.10 </w:t>
      </w:r>
      <w:r>
        <w:rPr>
          <w:rFonts w:hint="default" w:ascii="Times New Roman" w:hAnsi="Times New Roman" w:cs="Times New Roman"/>
          <w:strike w:val="0"/>
          <w:color w:val="000000" w:themeColor="text1"/>
          <w:szCs w:val="21"/>
          <w:highlight w:val="none"/>
          <w14:textFill>
            <w14:solidFill>
              <w14:schemeClr w14:val="tx1"/>
            </w14:solidFill>
          </w14:textFill>
        </w:rPr>
        <w:t xml:space="preserve"> 模块化结构中水平接缝用灌浆料、插筋预留孔连接用灌浆料应采用成品干混料，其性能要求应符合表4.1.</w:t>
      </w:r>
      <w:r>
        <w:rPr>
          <w:rFonts w:hint="default" w:ascii="Times New Roman" w:hAnsi="Times New Roman" w:cs="Times New Roman"/>
          <w:strike w:val="0"/>
          <w:color w:val="000000" w:themeColor="text1"/>
          <w:szCs w:val="21"/>
          <w:highlight w:val="none"/>
          <w:lang w:val="en-US" w:eastAsia="zh-CN"/>
          <w14:textFill>
            <w14:solidFill>
              <w14:schemeClr w14:val="tx1"/>
            </w14:solidFill>
          </w14:textFill>
        </w:rPr>
        <w:t>10</w:t>
      </w:r>
      <w:r>
        <w:rPr>
          <w:rFonts w:hint="default" w:ascii="Times New Roman" w:hAnsi="Times New Roman" w:cs="Times New Roman"/>
          <w:strike w:val="0"/>
          <w:color w:val="000000" w:themeColor="text1"/>
          <w:szCs w:val="21"/>
          <w:highlight w:val="none"/>
          <w14:textFill>
            <w14:solidFill>
              <w14:schemeClr w14:val="tx1"/>
            </w14:solidFill>
          </w14:textFill>
        </w:rPr>
        <w:t>的规定。</w:t>
      </w:r>
    </w:p>
    <w:p>
      <w:pPr>
        <w:jc w:val="center"/>
        <w:rPr>
          <w:rFonts w:hint="default" w:ascii="Times New Roman" w:hAnsi="Times New Roman" w:eastAsia="黑体" w:cs="Times New Roman"/>
          <w:strike w:val="0"/>
          <w:color w:val="000000" w:themeColor="text1"/>
          <w:sz w:val="18"/>
          <w:szCs w:val="18"/>
          <w:highlight w:val="none"/>
          <w14:textFill>
            <w14:solidFill>
              <w14:schemeClr w14:val="tx1"/>
            </w14:solidFill>
          </w14:textFill>
        </w:rPr>
      </w:pPr>
      <w:r>
        <w:rPr>
          <w:rFonts w:hint="default" w:ascii="Times New Roman" w:hAnsi="Times New Roman" w:eastAsia="黑体" w:cs="Times New Roman"/>
          <w:strike w:val="0"/>
          <w:color w:val="000000" w:themeColor="text1"/>
          <w:sz w:val="18"/>
          <w:szCs w:val="18"/>
          <w:highlight w:val="none"/>
          <w14:textFill>
            <w14:solidFill>
              <w14:schemeClr w14:val="tx1"/>
            </w14:solidFill>
          </w14:textFill>
        </w:rPr>
        <w:t>表</w:t>
      </w:r>
      <w:r>
        <w:rPr>
          <w:rFonts w:hint="default" w:ascii="Times New Roman" w:hAnsi="Times New Roman" w:eastAsia="黑体" w:cs="Times New Roman"/>
          <w:b/>
          <w:strike w:val="0"/>
          <w:color w:val="000000" w:themeColor="text1"/>
          <w:sz w:val="18"/>
          <w:szCs w:val="18"/>
          <w:highlight w:val="none"/>
          <w14:textFill>
            <w14:solidFill>
              <w14:schemeClr w14:val="tx1"/>
            </w14:solidFill>
          </w14:textFill>
        </w:rPr>
        <w:t xml:space="preserve">4.1.10 </w:t>
      </w:r>
      <w:r>
        <w:rPr>
          <w:rFonts w:hint="default" w:ascii="Times New Roman" w:hAnsi="Times New Roman" w:eastAsia="黑体" w:cs="Times New Roman"/>
          <w:strike w:val="0"/>
          <w:color w:val="000000" w:themeColor="text1"/>
          <w:sz w:val="18"/>
          <w:szCs w:val="18"/>
          <w:highlight w:val="none"/>
          <w14:textFill>
            <w14:solidFill>
              <w14:schemeClr w14:val="tx1"/>
            </w14:solidFill>
          </w14:textFill>
        </w:rPr>
        <w:t>水平接缝用灌浆料、插筋预留孔灌浆料性能要求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212"/>
        <w:gridCol w:w="1076"/>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78" w:type="dxa"/>
            <w:gridSpan w:val="2"/>
            <w:tcBorders>
              <w:top w:val="single" w:color="000000" w:sz="12" w:space="0"/>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bookmarkStart w:id="132" w:name="OLE_LINK28"/>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项目</w:t>
            </w:r>
          </w:p>
        </w:tc>
        <w:tc>
          <w:tcPr>
            <w:tcW w:w="1076"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性能指标</w:t>
            </w:r>
          </w:p>
        </w:tc>
        <w:tc>
          <w:tcPr>
            <w:tcW w:w="2681" w:type="dxa"/>
            <w:tcBorders>
              <w:top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试验方法标准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78" w:type="dxa"/>
            <w:gridSpan w:val="2"/>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泌水率</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w:t>
            </w:r>
          </w:p>
        </w:tc>
        <w:tc>
          <w:tcPr>
            <w:tcW w:w="2681" w:type="dxa"/>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《普通混凝土拌合物性能试验方法标准》GB/T50080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66" w:type="dxa"/>
            <w:vMerge w:val="restart"/>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流动度</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（mm）</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初始值</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bookmarkStart w:id="133" w:name="OLE_LINK27"/>
            <w:bookmarkStart w:id="134" w:name="OLE_LINK5"/>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w:t>
            </w:r>
            <w:bookmarkEnd w:id="133"/>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300</w:t>
            </w:r>
            <w:bookmarkEnd w:id="134"/>
          </w:p>
        </w:tc>
        <w:tc>
          <w:tcPr>
            <w:tcW w:w="2681" w:type="dxa"/>
            <w:vMerge w:val="restart"/>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《钢筋连接用套筒灌浆料》JG/T 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66" w:type="dxa"/>
            <w:vMerge w:val="continue"/>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30min</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≥260</w:t>
            </w:r>
          </w:p>
        </w:tc>
        <w:tc>
          <w:tcPr>
            <w:tcW w:w="2681" w:type="dxa"/>
            <w:vMerge w:val="continue"/>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66" w:type="dxa"/>
            <w:vMerge w:val="restart"/>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竖向膨胀率</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3h</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≥0.02</w:t>
            </w:r>
          </w:p>
        </w:tc>
        <w:tc>
          <w:tcPr>
            <w:tcW w:w="2681" w:type="dxa"/>
            <w:vMerge w:val="restart"/>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《钢筋连接用套筒灌浆料》JG/T 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66" w:type="dxa"/>
            <w:vMerge w:val="continue"/>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24h与3h差值</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0.02</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0.05</w:t>
            </w:r>
          </w:p>
        </w:tc>
        <w:tc>
          <w:tcPr>
            <w:tcW w:w="2681" w:type="dxa"/>
            <w:vMerge w:val="continue"/>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66" w:type="dxa"/>
            <w:vMerge w:val="restart"/>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抗压强度</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MPa</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1d</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≥20</w:t>
            </w:r>
          </w:p>
        </w:tc>
        <w:tc>
          <w:tcPr>
            <w:tcW w:w="2681" w:type="dxa"/>
            <w:vMerge w:val="restart"/>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《水泥基灌聚材料应用技术规程</w:t>
            </w:r>
            <w:r>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14:textFill>
                  <w14:solidFill>
                    <w14:schemeClr w14:val="tx1"/>
                  </w14:solidFill>
                </w14:textFill>
              </w:rPr>
              <w:t>GB/T 50448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66" w:type="dxa"/>
            <w:vMerge w:val="continue"/>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3d</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≥40</w:t>
            </w:r>
          </w:p>
        </w:tc>
        <w:tc>
          <w:tcPr>
            <w:tcW w:w="2681" w:type="dxa"/>
            <w:vMerge w:val="continue"/>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66" w:type="dxa"/>
            <w:vMerge w:val="continue"/>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28d</w:t>
            </w:r>
          </w:p>
        </w:tc>
        <w:tc>
          <w:tcPr>
            <w:tcW w:w="107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≥60</w:t>
            </w:r>
          </w:p>
        </w:tc>
        <w:tc>
          <w:tcPr>
            <w:tcW w:w="2681" w:type="dxa"/>
            <w:vMerge w:val="continue"/>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78" w:type="dxa"/>
            <w:gridSpan w:val="2"/>
            <w:tcBorders>
              <w:left w:val="single" w:color="000000" w:sz="12" w:space="0"/>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水溶性氯离子含量</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076"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≤0.03</w:t>
            </w:r>
          </w:p>
        </w:tc>
        <w:tc>
          <w:tcPr>
            <w:tcW w:w="2681" w:type="dxa"/>
            <w:tcBorders>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《混凝土外加剂匀质性试验方法》GB/T8077</w:t>
            </w:r>
          </w:p>
        </w:tc>
      </w:tr>
      <w:bookmarkEnd w:id="132"/>
    </w:tbl>
    <w:p>
      <w:pPr>
        <w:spacing w:line="360" w:lineRule="exact"/>
        <w:jc w:val="left"/>
        <w:rPr>
          <w:rFonts w:hint="default" w:ascii="Times New Roman" w:hAnsi="Times New Roman" w:eastAsia="黑体" w:cs="Times New Roman"/>
          <w:color w:val="000000" w:themeColor="text1"/>
          <w:sz w:val="18"/>
          <w:szCs w:val="18"/>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4.1.11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用于连接上下模块单元的座浆料性能应满足表4.1.11的要求。</w:t>
      </w:r>
    </w:p>
    <w:p>
      <w:pPr>
        <w:spacing w:line="360" w:lineRule="exact"/>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表</w:t>
      </w:r>
      <w:r>
        <w:rPr>
          <w:rFonts w:hint="default" w:ascii="Times New Roman" w:hAnsi="Times New Roman" w:eastAsia="黑体" w:cs="Times New Roman"/>
          <w:b/>
          <w:bCs/>
          <w:color w:val="000000" w:themeColor="text1"/>
          <w:sz w:val="18"/>
          <w:szCs w:val="18"/>
          <w:highlight w:val="none"/>
          <w14:textFill>
            <w14:solidFill>
              <w14:schemeClr w14:val="tx1"/>
            </w14:solidFill>
          </w14:textFill>
        </w:rPr>
        <w:t>4.1.11</w:t>
      </w:r>
      <w:r>
        <w:rPr>
          <w:rFonts w:hint="default" w:ascii="Times New Roman" w:hAnsi="Times New Roman" w:eastAsia="黑体" w:cs="Times New Roman"/>
          <w:color w:val="000000" w:themeColor="text1"/>
          <w:sz w:val="18"/>
          <w:szCs w:val="18"/>
          <w:highlight w:val="none"/>
          <w14:textFill>
            <w14:solidFill>
              <w14:schemeClr w14:val="tx1"/>
            </w14:solidFill>
          </w14:textFill>
        </w:rPr>
        <w:t xml:space="preserve"> </w:t>
      </w:r>
      <w:bookmarkStart w:id="135" w:name="OLE_LINK15"/>
      <w:r>
        <w:rPr>
          <w:rFonts w:hint="default" w:ascii="Times New Roman" w:hAnsi="Times New Roman" w:eastAsia="黑体" w:cs="Times New Roman"/>
          <w:color w:val="000000" w:themeColor="text1"/>
          <w:sz w:val="18"/>
          <w:szCs w:val="18"/>
          <w:highlight w:val="none"/>
          <w14:textFill>
            <w14:solidFill>
              <w14:schemeClr w14:val="tx1"/>
            </w14:solidFill>
          </w14:textFill>
        </w:rPr>
        <w:t>座浆料</w:t>
      </w:r>
      <w:bookmarkEnd w:id="135"/>
      <w:r>
        <w:rPr>
          <w:rFonts w:hint="default" w:ascii="Times New Roman" w:hAnsi="Times New Roman" w:eastAsia="黑体" w:cs="Times New Roman"/>
          <w:color w:val="000000" w:themeColor="text1"/>
          <w:sz w:val="18"/>
          <w:szCs w:val="18"/>
          <w:highlight w:val="none"/>
          <w14:textFill>
            <w14:solidFill>
              <w14:schemeClr w14:val="tx1"/>
            </w14:solidFill>
          </w14:textFill>
        </w:rPr>
        <w:t>性能要求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1161"/>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39" w:type="dxa"/>
            <w:tcBorders>
              <w:top w:val="single" w:color="000000" w:sz="12" w:space="0"/>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bookmarkStart w:id="136" w:name="OLE_LINK33"/>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项目</w:t>
            </w:r>
          </w:p>
        </w:tc>
        <w:tc>
          <w:tcPr>
            <w:tcW w:w="1161"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性能指标</w:t>
            </w:r>
          </w:p>
        </w:tc>
        <w:tc>
          <w:tcPr>
            <w:tcW w:w="2635" w:type="dxa"/>
            <w:tcBorders>
              <w:top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试验方法标准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jc w:val="center"/>
        </w:trPr>
        <w:tc>
          <w:tcPr>
            <w:tcW w:w="2339" w:type="dxa"/>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保水率</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16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≥88</w:t>
            </w:r>
          </w:p>
        </w:tc>
        <w:tc>
          <w:tcPr>
            <w:tcW w:w="2635" w:type="dxa"/>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《普通混凝土拌合物性能试验方法标准》GB/T50080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39" w:type="dxa"/>
            <w:tcBorders>
              <w:left w:val="single" w:color="000000" w:sz="12" w:space="0"/>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2h砂浆稠度损失率</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161"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≤20</w:t>
            </w:r>
          </w:p>
        </w:tc>
        <w:tc>
          <w:tcPr>
            <w:tcW w:w="2635" w:type="dxa"/>
            <w:tcBorders>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bookmarkStart w:id="137" w:name="OLE_LINK32"/>
            <w:r>
              <w:rPr>
                <w:rFonts w:hint="default" w:ascii="Times New Roman" w:hAnsi="Times New Roman" w:eastAsia="宋体" w:cs="Times New Roman"/>
                <w:color w:val="000000" w:themeColor="text1"/>
                <w:sz w:val="16"/>
                <w:szCs w:val="16"/>
                <w:highlight w:val="none"/>
                <w14:textFill>
                  <w14:solidFill>
                    <w14:schemeClr w14:val="tx1"/>
                  </w14:solidFill>
                </w14:textFill>
              </w:rPr>
              <w:t>《水泥基灌聚材料应用技术规程</w:t>
            </w:r>
            <w:r>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14:textFill>
                  <w14:solidFill>
                    <w14:schemeClr w14:val="tx1"/>
                  </w14:solidFill>
                </w14:textFill>
              </w:rPr>
              <w:t>GB/T 50448</w:t>
            </w:r>
            <w:bookmarkEnd w:id="137"/>
          </w:p>
        </w:tc>
      </w:tr>
      <w:bookmarkEnd w:id="136"/>
    </w:tbl>
    <w:p>
      <w:pPr>
        <w:rPr>
          <w:rFonts w:hint="default" w:ascii="Times New Roman" w:hAnsi="Times New Roman" w:eastAsia="黑体" w:cs="Times New Roman"/>
          <w:color w:val="000000" w:themeColor="text1"/>
          <w:sz w:val="18"/>
          <w:szCs w:val="18"/>
          <w:highlight w:val="none"/>
          <w14:textFill>
            <w14:solidFill>
              <w14:schemeClr w14:val="tx1"/>
            </w14:solidFill>
          </w14:textFill>
        </w:rPr>
      </w:pPr>
    </w:p>
    <w:p>
      <w:pPr>
        <w:jc w:val="center"/>
        <w:rPr>
          <w:color w:val="000000" w:themeColor="text1"/>
          <w14:textFill>
            <w14:solidFill>
              <w14:schemeClr w14:val="tx1"/>
            </w14:solidFill>
          </w14:textFill>
        </w:rPr>
      </w:pPr>
      <w:r>
        <w:rPr>
          <w:rFonts w:hint="eastAsia" w:eastAsia="黑体" w:cs="Times New Roman"/>
          <w:color w:val="000000" w:themeColor="text1"/>
          <w:sz w:val="18"/>
          <w:szCs w:val="18"/>
          <w:highlight w:val="none"/>
          <w:lang w:val="en-US" w:eastAsia="zh-CN"/>
          <w14:textFill>
            <w14:solidFill>
              <w14:schemeClr w14:val="tx1"/>
            </w14:solidFill>
          </w14:textFill>
        </w:rPr>
        <w:t>续</w:t>
      </w:r>
      <w:r>
        <w:rPr>
          <w:rFonts w:hint="default" w:ascii="Times New Roman" w:hAnsi="Times New Roman" w:eastAsia="黑体" w:cs="Times New Roman"/>
          <w:color w:val="000000" w:themeColor="text1"/>
          <w:sz w:val="18"/>
          <w:szCs w:val="18"/>
          <w:highlight w:val="none"/>
          <w14:textFill>
            <w14:solidFill>
              <w14:schemeClr w14:val="tx1"/>
            </w14:solidFill>
          </w14:textFill>
        </w:rPr>
        <w:t>表</w:t>
      </w:r>
      <w:r>
        <w:rPr>
          <w:rFonts w:hint="default" w:ascii="Times New Roman" w:hAnsi="Times New Roman" w:eastAsia="黑体" w:cs="Times New Roman"/>
          <w:b/>
          <w:bCs/>
          <w:color w:val="000000" w:themeColor="text1"/>
          <w:sz w:val="18"/>
          <w:szCs w:val="18"/>
          <w:highlight w:val="none"/>
          <w14:textFill>
            <w14:solidFill>
              <w14:schemeClr w14:val="tx1"/>
            </w14:solidFill>
          </w14:textFill>
        </w:rPr>
        <w:t>4.1.11</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197"/>
        <w:gridCol w:w="1161"/>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39" w:type="dxa"/>
            <w:gridSpan w:val="2"/>
            <w:tcBorders>
              <w:top w:val="single" w:color="000000" w:sz="12" w:space="0"/>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项目</w:t>
            </w:r>
          </w:p>
        </w:tc>
        <w:tc>
          <w:tcPr>
            <w:tcW w:w="1161"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性能指标</w:t>
            </w:r>
          </w:p>
        </w:tc>
        <w:tc>
          <w:tcPr>
            <w:tcW w:w="2635" w:type="dxa"/>
            <w:tcBorders>
              <w:top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试验方法标准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2" w:type="dxa"/>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竖向膨胀率</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1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1d</w:t>
            </w:r>
          </w:p>
        </w:tc>
        <w:tc>
          <w:tcPr>
            <w:tcW w:w="116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0.02</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0.10</w:t>
            </w:r>
          </w:p>
        </w:tc>
        <w:tc>
          <w:tcPr>
            <w:tcW w:w="2635" w:type="dxa"/>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《水泥基灌聚材料应用技术规程</w:t>
            </w:r>
            <w:r>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14:textFill>
                  <w14:solidFill>
                    <w14:schemeClr w14:val="tx1"/>
                  </w14:solidFill>
                </w14:textFill>
              </w:rPr>
              <w:t>GB/T 50448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2" w:type="dxa"/>
            <w:vMerge w:val="restart"/>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抗压强度</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MPa</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1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1d</w:t>
            </w:r>
          </w:p>
        </w:tc>
        <w:tc>
          <w:tcPr>
            <w:tcW w:w="116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≥20</w:t>
            </w:r>
          </w:p>
        </w:tc>
        <w:tc>
          <w:tcPr>
            <w:tcW w:w="2635" w:type="dxa"/>
            <w:vMerge w:val="restart"/>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w:t>
            </w:r>
            <w:r>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t>水泥胶砂强度检测方法</w:t>
            </w:r>
            <w:r>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 xml:space="preserve">GB/T </w:t>
            </w:r>
            <w:r>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t>17671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2" w:type="dxa"/>
            <w:vMerge w:val="continue"/>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c>
          <w:tcPr>
            <w:tcW w:w="11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3d</w:t>
            </w:r>
          </w:p>
        </w:tc>
        <w:tc>
          <w:tcPr>
            <w:tcW w:w="116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≥35</w:t>
            </w:r>
          </w:p>
        </w:tc>
        <w:tc>
          <w:tcPr>
            <w:tcW w:w="2635" w:type="dxa"/>
            <w:vMerge w:val="continue"/>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2" w:type="dxa"/>
            <w:vMerge w:val="continue"/>
            <w:tcBorders>
              <w:lef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c>
          <w:tcPr>
            <w:tcW w:w="11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28d</w:t>
            </w:r>
          </w:p>
        </w:tc>
        <w:tc>
          <w:tcPr>
            <w:tcW w:w="116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≥60</w:t>
            </w:r>
          </w:p>
        </w:tc>
        <w:tc>
          <w:tcPr>
            <w:tcW w:w="2635" w:type="dxa"/>
            <w:vMerge w:val="continue"/>
            <w:tcBorders>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39" w:type="dxa"/>
            <w:gridSpan w:val="2"/>
            <w:tcBorders>
              <w:left w:val="single" w:color="000000" w:sz="12" w:space="0"/>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水溶性氯离子含量</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161"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≤0.03</w:t>
            </w:r>
          </w:p>
        </w:tc>
        <w:tc>
          <w:tcPr>
            <w:tcW w:w="2635" w:type="dxa"/>
            <w:tcBorders>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《混凝土外加剂匀质性试验方法》GB/T</w:t>
            </w:r>
            <w:r>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16"/>
                <w:szCs w:val="16"/>
                <w:highlight w:val="none"/>
                <w14:textFill>
                  <w14:solidFill>
                    <w14:schemeClr w14:val="tx1"/>
                  </w14:solidFill>
                </w14:textFill>
              </w:rPr>
              <w:t>8077</w:t>
            </w:r>
          </w:p>
        </w:tc>
      </w:tr>
    </w:tbl>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4.1.12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用于连接上下模块单元的专用封浆料性能应满足表4.1.12的要求。</w:t>
      </w:r>
    </w:p>
    <w:p>
      <w:pPr>
        <w:jc w:val="center"/>
        <w:rPr>
          <w:rFonts w:hint="default" w:ascii="Times New Roman" w:hAnsi="Times New Roman" w:eastAsia="黑体"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表</w:t>
      </w:r>
      <w:r>
        <w:rPr>
          <w:rFonts w:hint="default" w:ascii="Times New Roman" w:hAnsi="Times New Roman" w:eastAsia="黑体" w:cs="Times New Roman"/>
          <w:b/>
          <w:color w:val="000000" w:themeColor="text1"/>
          <w:sz w:val="18"/>
          <w:szCs w:val="18"/>
          <w:highlight w:val="none"/>
          <w14:textFill>
            <w14:solidFill>
              <w14:schemeClr w14:val="tx1"/>
            </w14:solidFill>
          </w14:textFill>
        </w:rPr>
        <w:t xml:space="preserve">4.1.12 </w:t>
      </w:r>
      <w:r>
        <w:rPr>
          <w:rFonts w:hint="default" w:ascii="Times New Roman" w:hAnsi="Times New Roman" w:eastAsia="黑体" w:cs="Times New Roman"/>
          <w:color w:val="000000" w:themeColor="text1"/>
          <w:sz w:val="18"/>
          <w:szCs w:val="18"/>
          <w:highlight w:val="none"/>
          <w14:textFill>
            <w14:solidFill>
              <w14:schemeClr w14:val="tx1"/>
            </w14:solidFill>
          </w14:textFill>
        </w:rPr>
        <w:t>封浆料性能要求</w:t>
      </w:r>
    </w:p>
    <w:tbl>
      <w:tblPr>
        <w:tblStyle w:val="26"/>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230"/>
        <w:gridCol w:w="969"/>
        <w:gridCol w:w="274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项目</w:t>
            </w: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性能指标</w:t>
            </w:r>
          </w:p>
        </w:tc>
        <w:tc>
          <w:tcPr>
            <w:tcW w:w="274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试验方法标准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初始流动度</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（mm）</w:t>
            </w: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130</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170</w:t>
            </w:r>
          </w:p>
        </w:tc>
        <w:tc>
          <w:tcPr>
            <w:tcW w:w="274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w:t>
            </w:r>
            <w:r>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t>水泥胶砂流动度检测方法</w:t>
            </w:r>
            <w:r>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 xml:space="preserve">GB/T </w:t>
            </w:r>
            <w:r>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t>2419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抗压强度</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MPa</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23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1d</w:t>
            </w: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≥30</w:t>
            </w:r>
          </w:p>
        </w:tc>
        <w:tc>
          <w:tcPr>
            <w:tcW w:w="27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pPr>
            <w:bookmarkStart w:id="138" w:name="OLE_LINK34"/>
            <w:r>
              <w:rPr>
                <w:rFonts w:hint="default" w:ascii="Times New Roman" w:hAnsi="Times New Roman" w:eastAsia="宋体" w:cs="Times New Roman"/>
                <w:color w:val="000000" w:themeColor="text1"/>
                <w:sz w:val="16"/>
                <w:szCs w:val="16"/>
                <w:highlight w:val="none"/>
                <w14:textFill>
                  <w14:solidFill>
                    <w14:schemeClr w14:val="tx1"/>
                  </w14:solidFill>
                </w14:textFill>
              </w:rPr>
              <w:t>《</w:t>
            </w:r>
            <w:r>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t>水泥胶砂强度检测方法</w:t>
            </w:r>
            <w:r>
              <w:rPr>
                <w:rFonts w:hint="default" w:ascii="Times New Roman" w:hAnsi="Times New Roman" w:eastAsia="宋体" w:cs="Times New Roman"/>
                <w:color w:val="000000" w:themeColor="text1"/>
                <w:sz w:val="16"/>
                <w:szCs w:val="16"/>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14:textFill>
                  <w14:solidFill>
                    <w14:schemeClr w14:val="tx1"/>
                  </w14:solidFill>
                </w14:textFill>
              </w:rPr>
              <w:t xml:space="preserve">GB/T </w:t>
            </w:r>
            <w:r>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t>17671</w:t>
            </w:r>
            <w:bookmarkEnd w:id="138"/>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000000" w:themeColor="text1"/>
                <w:sz w:val="16"/>
                <w:szCs w:val="16"/>
                <w:highlight w:val="none"/>
                <w:vertAlign w:val="baseline"/>
                <w14:textFill>
                  <w14:solidFill>
                    <w14:schemeClr w14:val="tx1"/>
                  </w14:solidFill>
                </w14:textFill>
              </w:rPr>
            </w:pPr>
          </w:p>
        </w:tc>
        <w:tc>
          <w:tcPr>
            <w:tcW w:w="123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3d</w:t>
            </w: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≥45</w:t>
            </w:r>
          </w:p>
        </w:tc>
        <w:tc>
          <w:tcPr>
            <w:tcW w:w="27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000000" w:themeColor="text1"/>
                <w:sz w:val="16"/>
                <w:szCs w:val="16"/>
                <w:highlight w:val="none"/>
                <w:vertAlign w:val="baseli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000000" w:themeColor="text1"/>
                <w:sz w:val="16"/>
                <w:szCs w:val="16"/>
                <w:highlight w:val="none"/>
                <w:vertAlign w:val="baseline"/>
                <w14:textFill>
                  <w14:solidFill>
                    <w14:schemeClr w14:val="tx1"/>
                  </w14:solidFill>
                </w14:textFill>
              </w:rPr>
            </w:pPr>
          </w:p>
        </w:tc>
        <w:tc>
          <w:tcPr>
            <w:tcW w:w="123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28d</w:t>
            </w: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≥55</w:t>
            </w:r>
          </w:p>
        </w:tc>
        <w:tc>
          <w:tcPr>
            <w:tcW w:w="27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000000" w:themeColor="text1"/>
                <w:sz w:val="16"/>
                <w:szCs w:val="16"/>
                <w:highlight w:val="none"/>
                <w:vertAlign w:val="baseline"/>
                <w14:textFill>
                  <w14:solidFill>
                    <w14:schemeClr w14:val="tx1"/>
                  </w14:solidFill>
                </w14:textFill>
              </w:rPr>
            </w:pPr>
          </w:p>
        </w:tc>
      </w:tr>
    </w:tbl>
    <w:p>
      <w:pPr>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4.1.13 </w:t>
      </w:r>
      <w:r>
        <w:rPr>
          <w:rFonts w:hint="default"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自密实混凝土拌合物除应满足普通混凝土拌合物对凝结时间、凝聚性和保水性等的要求外，自密实性能还应满足表4.1.13的要求。</w:t>
      </w:r>
    </w:p>
    <w:p>
      <w:pPr>
        <w:spacing w:line="360" w:lineRule="exact"/>
        <w:jc w:val="center"/>
        <w:rPr>
          <w:rFonts w:hint="default" w:ascii="Times New Roman" w:hAnsi="Times New Roman" w:eastAsia="黑体"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表</w:t>
      </w:r>
      <w:r>
        <w:rPr>
          <w:rFonts w:hint="default" w:ascii="Times New Roman" w:hAnsi="Times New Roman" w:eastAsia="黑体" w:cs="Times New Roman"/>
          <w:b/>
          <w:color w:val="000000" w:themeColor="text1"/>
          <w:sz w:val="18"/>
          <w:szCs w:val="18"/>
          <w:highlight w:val="none"/>
          <w14:textFill>
            <w14:solidFill>
              <w14:schemeClr w14:val="tx1"/>
            </w14:solidFill>
          </w14:textFill>
        </w:rPr>
        <w:t xml:space="preserve">4.1.13 </w:t>
      </w:r>
      <w:r>
        <w:rPr>
          <w:rFonts w:hint="default" w:ascii="Times New Roman" w:hAnsi="Times New Roman" w:eastAsia="黑体" w:cs="Times New Roman"/>
          <w:color w:val="000000" w:themeColor="text1"/>
          <w:sz w:val="18"/>
          <w:szCs w:val="18"/>
          <w:highlight w:val="none"/>
          <w14:textFill>
            <w14:solidFill>
              <w14:schemeClr w14:val="tx1"/>
            </w14:solidFill>
          </w14:textFill>
        </w:rPr>
        <w:t>自密实混凝土拌合物的自密实性能及要求</w:t>
      </w:r>
    </w:p>
    <w:tbl>
      <w:tblPr>
        <w:tblStyle w:val="26"/>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246"/>
        <w:gridCol w:w="1349"/>
        <w:gridCol w:w="1173"/>
        <w:gridCol w:w="146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检测性能</w:t>
            </w:r>
          </w:p>
        </w:tc>
        <w:tc>
          <w:tcPr>
            <w:tcW w:w="124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性能指标测试方法</w:t>
            </w: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性能指标</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性能等级</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技术要求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填充性</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（mm）</w:t>
            </w:r>
          </w:p>
        </w:tc>
        <w:tc>
          <w:tcPr>
            <w:tcW w:w="124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坍落扩展度</w:t>
            </w: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bookmarkStart w:id="139" w:name="OLE_LINK26"/>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坍落扩展度</w:t>
            </w:r>
            <w:bookmarkEnd w:id="139"/>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pPr>
            <w:bookmarkStart w:id="140" w:name="OLE_LINK21"/>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SF1</w:t>
            </w:r>
            <w:bookmarkEnd w:id="140"/>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550</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650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检测性能</w:t>
            </w:r>
          </w:p>
        </w:tc>
        <w:tc>
          <w:tcPr>
            <w:tcW w:w="124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性能指标测试方法</w:t>
            </w: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性能指标</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性能等级</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技术要求</w:t>
            </w:r>
          </w:p>
        </w:tc>
      </w:tr>
    </w:tbl>
    <w:p>
      <w:pPr>
        <w:rPr>
          <w:rFonts w:hint="default" w:ascii="Times New Roman" w:hAnsi="Times New Roman" w:eastAsia="黑体" w:cs="Times New Roman"/>
          <w:color w:val="000000" w:themeColor="text1"/>
          <w:sz w:val="18"/>
          <w:szCs w:val="18"/>
          <w:highlight w:val="none"/>
          <w14:textFill>
            <w14:solidFill>
              <w14:schemeClr w14:val="tx1"/>
            </w14:solidFill>
          </w14:textFill>
        </w:rPr>
      </w:pPr>
    </w:p>
    <w:p>
      <w:pPr>
        <w:jc w:val="center"/>
        <w:rPr>
          <w:color w:val="000000" w:themeColor="text1"/>
          <w14:textFill>
            <w14:solidFill>
              <w14:schemeClr w14:val="tx1"/>
            </w14:solidFill>
          </w14:textFill>
        </w:rPr>
      </w:pPr>
      <w:r>
        <w:rPr>
          <w:rFonts w:hint="eastAsia" w:eastAsia="黑体" w:cs="Times New Roman"/>
          <w:color w:val="000000" w:themeColor="text1"/>
          <w:sz w:val="18"/>
          <w:szCs w:val="18"/>
          <w:highlight w:val="none"/>
          <w:lang w:val="en-US" w:eastAsia="zh-CN"/>
          <w14:textFill>
            <w14:solidFill>
              <w14:schemeClr w14:val="tx1"/>
            </w14:solidFill>
          </w14:textFill>
        </w:rPr>
        <w:t>续</w:t>
      </w:r>
      <w:r>
        <w:rPr>
          <w:rFonts w:hint="default" w:ascii="Times New Roman" w:hAnsi="Times New Roman" w:eastAsia="黑体" w:cs="Times New Roman"/>
          <w:color w:val="000000" w:themeColor="text1"/>
          <w:sz w:val="18"/>
          <w:szCs w:val="18"/>
          <w:highlight w:val="none"/>
          <w14:textFill>
            <w14:solidFill>
              <w14:schemeClr w14:val="tx1"/>
            </w14:solidFill>
          </w14:textFill>
        </w:rPr>
        <w:t>表</w:t>
      </w:r>
      <w:r>
        <w:rPr>
          <w:rFonts w:hint="default" w:ascii="Times New Roman" w:hAnsi="Times New Roman" w:eastAsia="黑体" w:cs="Times New Roman"/>
          <w:b/>
          <w:color w:val="000000" w:themeColor="text1"/>
          <w:sz w:val="18"/>
          <w:szCs w:val="18"/>
          <w:highlight w:val="none"/>
          <w14:textFill>
            <w14:solidFill>
              <w14:schemeClr w14:val="tx1"/>
            </w14:solidFill>
          </w14:textFill>
        </w:rPr>
        <w:t>4.1.13</w:t>
      </w:r>
    </w:p>
    <w:tbl>
      <w:tblPr>
        <w:tblStyle w:val="26"/>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246"/>
        <w:gridCol w:w="1349"/>
        <w:gridCol w:w="1173"/>
        <w:gridCol w:w="146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检测性能</w:t>
            </w:r>
          </w:p>
        </w:tc>
        <w:tc>
          <w:tcPr>
            <w:tcW w:w="124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性能指标测试方法</w:t>
            </w: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性能指标</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性能等级</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技术要求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填充性</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（mm）</w:t>
            </w:r>
          </w:p>
        </w:tc>
        <w:tc>
          <w:tcPr>
            <w:tcW w:w="12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坍落扩展度</w:t>
            </w:r>
          </w:p>
        </w:tc>
        <w:tc>
          <w:tcPr>
            <w:tcW w:w="134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坍落扩展度</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SF</w:t>
            </w:r>
            <w:r>
              <w:rPr>
                <w:rFonts w:hint="default" w:ascii="Times New Roman" w:hAnsi="Times New Roman" w:cs="Times New Roman"/>
                <w:i/>
                <w:iCs/>
                <w:color w:val="000000" w:themeColor="text1"/>
                <w:sz w:val="16"/>
                <w:szCs w:val="16"/>
                <w:highlight w:val="none"/>
                <w:u w:val="none"/>
                <w:vertAlign w:val="baseline"/>
                <w:lang w:val="en-US" w:eastAsia="zh-CN"/>
                <w14:textFill>
                  <w14:solidFill>
                    <w14:schemeClr w14:val="tx1"/>
                  </w14:solidFill>
                </w14:textFill>
              </w:rPr>
              <w:t>2</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660~750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2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34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SF</w:t>
            </w:r>
            <w:r>
              <w:rPr>
                <w:rFonts w:hint="default" w:ascii="Times New Roman" w:hAnsi="Times New Roman" w:cs="Times New Roman"/>
                <w:i/>
                <w:iCs/>
                <w:color w:val="000000" w:themeColor="text1"/>
                <w:sz w:val="16"/>
                <w:szCs w:val="16"/>
                <w:highlight w:val="none"/>
                <w:u w:val="none"/>
                <w:vertAlign w:val="baseline"/>
                <w:lang w:val="en-US" w:eastAsia="zh-CN"/>
                <w14:textFill>
                  <w14:solidFill>
                    <w14:schemeClr w14:val="tx1"/>
                  </w14:solidFill>
                </w14:textFill>
              </w:rPr>
              <w:t>3</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760~850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24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T</w:t>
            </w:r>
            <w:r>
              <w:rPr>
                <w:rFonts w:hint="default" w:ascii="Times New Roman" w:hAnsi="Times New Roman" w:eastAsia="宋体" w:cs="Times New Roman"/>
                <w:i/>
                <w:iCs/>
                <w:color w:val="000000" w:themeColor="text1"/>
                <w:sz w:val="16"/>
                <w:szCs w:val="16"/>
                <w:highlight w:val="none"/>
                <w:u w:val="none"/>
                <w:vertAlign w:val="subscript"/>
                <w:lang w:val="en-US" w:eastAsia="zh-CN"/>
                <w14:textFill>
                  <w14:solidFill>
                    <w14:schemeClr w14:val="tx1"/>
                  </w14:solidFill>
                </w14:textFill>
              </w:rPr>
              <w:t>50</w:t>
            </w: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扩展时间</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VS</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2s</w:t>
            </w: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T</w:t>
            </w:r>
            <w:r>
              <w:rPr>
                <w:rFonts w:hint="default" w:ascii="Times New Roman" w:hAnsi="Times New Roman" w:eastAsia="宋体" w:cs="Times New Roman"/>
                <w:i/>
                <w:iCs/>
                <w:color w:val="000000" w:themeColor="text1"/>
                <w:sz w:val="16"/>
                <w:szCs w:val="16"/>
                <w:highlight w:val="none"/>
                <w:u w:val="none"/>
                <w:vertAlign w:val="subscript"/>
                <w:lang w:val="en-US" w:eastAsia="zh-CN"/>
                <w14:textFill>
                  <w14:solidFill>
                    <w14:schemeClr w14:val="tx1"/>
                  </w14:solidFill>
                </w14:textFill>
              </w:rPr>
              <w:t>50</w:t>
            </w: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≤5</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s</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间隙通过性</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（mm）</w:t>
            </w:r>
          </w:p>
        </w:tc>
        <w:tc>
          <w:tcPr>
            <w:tcW w:w="12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J环扩展度</w:t>
            </w:r>
          </w:p>
        </w:tc>
        <w:tc>
          <w:tcPr>
            <w:tcW w:w="134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坍落扩展度与有利条件下的环扩展度差值</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14:textFill>
                  <w14:solidFill>
                    <w14:schemeClr w14:val="tx1"/>
                  </w14:solidFill>
                </w14:textFill>
              </w:rPr>
            </w:pPr>
            <w:r>
              <w:rPr>
                <w:rFonts w:hint="default" w:ascii="Times New Roman" w:hAnsi="Times New Roman" w:cs="Times New Roman"/>
                <w:i/>
                <w:iCs/>
                <w:color w:val="000000" w:themeColor="text1"/>
                <w:sz w:val="16"/>
                <w:szCs w:val="16"/>
                <w:highlight w:val="none"/>
                <w:u w:val="none"/>
                <w:vertAlign w:val="baseline"/>
                <w:lang w:val="en-US" w:eastAsia="zh-CN"/>
                <w14:textFill>
                  <w14:solidFill>
                    <w14:schemeClr w14:val="tx1"/>
                  </w14:solidFill>
                </w14:textFill>
              </w:rPr>
              <w:t>PA1</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14:textFill>
                  <w14:solidFill>
                    <w14:schemeClr w14:val="tx1"/>
                  </w14:solidFill>
                </w14:textFill>
              </w:rPr>
            </w:pP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25</w:t>
            </w: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cs="Times New Roman"/>
                <w:i/>
                <w:iCs/>
                <w:color w:val="000000" w:themeColor="text1"/>
                <w:sz w:val="16"/>
                <w:szCs w:val="16"/>
                <w:highlight w:val="none"/>
                <w:u w:val="none"/>
                <w:vertAlign w:val="baseline"/>
                <w:lang w:val="en-US" w:eastAsia="zh-CN"/>
                <w14:textFill>
                  <w14:solidFill>
                    <w14:schemeClr w14:val="tx1"/>
                  </w14:solidFill>
                </w14:textFill>
              </w:rPr>
              <w:t>PA1</w:t>
            </w: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50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2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34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14:textFill>
                  <w14:solidFill>
                    <w14:schemeClr w14:val="tx1"/>
                  </w14:solidFill>
                </w14:textFill>
              </w:rPr>
            </w:pPr>
            <w:r>
              <w:rPr>
                <w:rFonts w:hint="default" w:ascii="Times New Roman" w:hAnsi="Times New Roman" w:cs="Times New Roman"/>
                <w:i/>
                <w:iCs/>
                <w:color w:val="000000" w:themeColor="text1"/>
                <w:sz w:val="16"/>
                <w:szCs w:val="16"/>
                <w:highlight w:val="none"/>
                <w:u w:val="none"/>
                <w:vertAlign w:val="baseline"/>
                <w:lang w:val="en-US" w:eastAsia="zh-CN"/>
                <w14:textFill>
                  <w14:solidFill>
                    <w14:schemeClr w14:val="tx1"/>
                  </w14:solidFill>
                </w14:textFill>
              </w:rPr>
              <w:t>PA2</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14:textFill>
                  <w14:solidFill>
                    <w14:schemeClr w14:val="tx1"/>
                  </w14:solidFill>
                </w14:textFill>
              </w:rPr>
            </w:pP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0</w:t>
            </w: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cs="Times New Roman"/>
                <w:i/>
                <w:iCs/>
                <w:color w:val="000000" w:themeColor="text1"/>
                <w:sz w:val="16"/>
                <w:szCs w:val="16"/>
                <w:highlight w:val="none"/>
                <w:u w:val="none"/>
                <w:vertAlign w:val="baseline"/>
                <w:lang w:val="en-US" w:eastAsia="zh-CN"/>
                <w14:textFill>
                  <w14:solidFill>
                    <w14:schemeClr w14:val="tx1"/>
                  </w14:solidFill>
                </w14:textFill>
              </w:rPr>
              <w:t>PA2</w:t>
            </w: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91" w:hRule="atLeast"/>
          <w:jc w:val="center"/>
        </w:trPr>
        <w:tc>
          <w:tcPr>
            <w:tcW w:w="9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抗离析性</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w:t>
            </w:r>
          </w:p>
        </w:tc>
        <w:tc>
          <w:tcPr>
            <w:tcW w:w="12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筛析法</w:t>
            </w:r>
          </w:p>
        </w:tc>
        <w:tc>
          <w:tcPr>
            <w:tcW w:w="134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浮浆百分比</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SR1</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2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34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SR2</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jc w:val="center"/>
        </w:trPr>
        <w:tc>
          <w:tcPr>
            <w:tcW w:w="9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14:textFill>
                  <w14:solidFill>
                    <w14:schemeClr w14:val="tx1"/>
                  </w14:solidFill>
                </w14:textFill>
              </w:rPr>
            </w:pPr>
          </w:p>
        </w:tc>
        <w:tc>
          <w:tcPr>
            <w:tcW w:w="124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跳桌法</w:t>
            </w: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离析率</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u w:val="none"/>
                <w:vertAlign w:val="baseline"/>
                <w:lang w:val="en-US" w:eastAsia="zh-CN"/>
                <w14:textFill>
                  <w14:solidFill>
                    <w14:schemeClr w14:val="tx1"/>
                  </w14:solidFill>
                </w14:textFill>
              </w:rPr>
              <w:t>f</w:t>
            </w:r>
            <w:r>
              <w:rPr>
                <w:rFonts w:hint="default" w:ascii="Times New Roman" w:hAnsi="Times New Roman" w:eastAsia="宋体" w:cs="Times New Roman"/>
                <w:i/>
                <w:iCs/>
                <w:color w:val="000000" w:themeColor="text1"/>
                <w:sz w:val="16"/>
                <w:szCs w:val="16"/>
                <w:highlight w:val="none"/>
                <w:u w:val="none"/>
                <w:vertAlign w:val="subscript"/>
                <w:lang w:val="en-US" w:eastAsia="zh-CN"/>
                <w14:textFill>
                  <w14:solidFill>
                    <w14:schemeClr w14:val="tx1"/>
                  </w14:solidFill>
                </w14:textFill>
              </w:rPr>
              <w:t>m</w:t>
            </w:r>
          </w:p>
        </w:tc>
        <w:tc>
          <w:tcPr>
            <w:tcW w:w="14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16"/>
                <w:szCs w:val="16"/>
                <w:highlight w:val="none"/>
                <w:u w:val="none"/>
                <w:vertAlign w:val="baseline"/>
                <w:lang w:val="en-US" w:eastAsia="zh-CN"/>
                <w14:textFill>
                  <w14:solidFill>
                    <w14:schemeClr w14:val="tx1"/>
                  </w14:solidFill>
                </w14:textFill>
              </w:rPr>
              <w:t>≤</w:t>
            </w:r>
            <w:r>
              <w:rPr>
                <w:rFonts w:hint="default" w:ascii="Times New Roman" w:hAnsi="Times New Roman" w:cs="Times New Roman"/>
                <w:i w:val="0"/>
                <w:iCs w:val="0"/>
                <w:color w:val="000000" w:themeColor="text1"/>
                <w:sz w:val="16"/>
                <w:szCs w:val="16"/>
                <w:highlight w:val="none"/>
                <w:u w:val="none"/>
                <w:vertAlign w:val="baseline"/>
                <w:lang w:val="en-US" w:eastAsia="zh-CN"/>
                <w14:textFill>
                  <w14:solidFill>
                    <w14:schemeClr w14:val="tx1"/>
                  </w14:solidFill>
                </w14:textFill>
              </w:rPr>
              <w:t>10</w:t>
            </w:r>
          </w:p>
        </w:tc>
      </w:tr>
    </w:tbl>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4.1.14 </w:t>
      </w:r>
      <w:r>
        <w:rPr>
          <w:rFonts w:hint="default"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预埋件的锚板宜采用Q235、Q355级钢，并应符合现行国家标准《碳素结构钢》GB/T 700和《低合金高强度结构钢》GB</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T 1591的有关规定；预埋件的锚筋应采用HRB400或HPB300钢筋，且不应采用冷加工钢筋。</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w:t>
      </w:r>
      <w:r>
        <w:rPr>
          <w:rFonts w:hint="default" w:ascii="Times New Roman" w:hAnsi="Times New Roman" w:cs="Times New Roman"/>
          <w:b/>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color w:val="000000" w:themeColor="text1"/>
          <w:szCs w:val="21"/>
          <w:highlight w:val="none"/>
          <w14:textFill>
            <w14:solidFill>
              <w14:schemeClr w14:val="tx1"/>
            </w14:solidFill>
          </w14:textFill>
        </w:rPr>
        <w:t>.</w:t>
      </w:r>
      <w:r>
        <w:rPr>
          <w:rFonts w:hint="default" w:ascii="Times New Roman" w:hAnsi="Times New Roman" w:cs="Times New Roman"/>
          <w:b/>
          <w:color w:val="000000" w:themeColor="text1"/>
          <w:szCs w:val="21"/>
          <w:highlight w:val="none"/>
          <w:lang w:val="en-US" w:eastAsia="zh-CN"/>
          <w14:textFill>
            <w14:solidFill>
              <w14:schemeClr w14:val="tx1"/>
            </w14:solidFill>
          </w14:textFill>
        </w:rPr>
        <w:t>15</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模块的吊环应采用 HPB300钢筋或Q235B圆钢</w:t>
      </w:r>
      <w:r>
        <w:rPr>
          <w:rFonts w:hint="default" w:ascii="Times New Roman" w:hAnsi="Times New Roman" w:cs="Times New Roman"/>
          <w:color w:val="000000" w:themeColor="text1"/>
          <w:szCs w:val="21"/>
          <w:highlight w:val="none"/>
          <w:lang w:eastAsia="zh-CN"/>
          <w14:textFill>
            <w14:solidFill>
              <w14:schemeClr w14:val="tx1"/>
            </w14:solidFill>
          </w14:textFill>
        </w:rPr>
        <w:t>，且不应采用冷加工钢筋</w:t>
      </w:r>
      <w:r>
        <w:rPr>
          <w:rFonts w:hint="default" w:ascii="Times New Roman" w:hAnsi="Times New Roman" w:cs="Times New Roman"/>
          <w:color w:val="000000" w:themeColor="text1"/>
          <w:szCs w:val="21"/>
          <w:highlight w:val="none"/>
          <w14:textFill>
            <w14:solidFill>
              <w14:schemeClr w14:val="tx1"/>
            </w14:solidFill>
          </w14:textFill>
        </w:rPr>
        <w:t>。模块的其他类型预埋吊件材料应符合国家现行相关标准的</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41" w:name="_Toc9380"/>
      <w:bookmarkStart w:id="142" w:name="_Toc19187"/>
      <w:bookmarkStart w:id="143" w:name="_Toc13461"/>
      <w:bookmarkStart w:id="144" w:name="_Toc10759"/>
      <w:bookmarkStart w:id="145" w:name="_Toc12411"/>
      <w:bookmarkStart w:id="146" w:name="_Toc235"/>
      <w:bookmarkStart w:id="147" w:name="_Toc14219"/>
      <w:bookmarkStart w:id="148" w:name="_Toc1689"/>
      <w:bookmarkStart w:id="149" w:name="_Toc27737"/>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4.2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装饰装修材料</w:t>
      </w:r>
      <w:bookmarkEnd w:id="141"/>
      <w:bookmarkEnd w:id="142"/>
      <w:bookmarkEnd w:id="143"/>
      <w:bookmarkEnd w:id="144"/>
      <w:bookmarkEnd w:id="145"/>
      <w:bookmarkEnd w:id="146"/>
      <w:bookmarkEnd w:id="147"/>
      <w:bookmarkEnd w:id="148"/>
      <w:bookmarkEnd w:id="149"/>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4.2.1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混凝土模块化建筑装饰装修工程应采用节能绿色环保材料，所用材料的品种、规格和质量应符合设计要求，</w:t>
      </w:r>
      <w:r>
        <w:rPr>
          <w:rFonts w:hint="default" w:ascii="Times New Roman" w:hAnsi="Times New Roman" w:cs="Times New Roman"/>
          <w:color w:val="000000" w:themeColor="text1"/>
          <w:szCs w:val="21"/>
          <w:highlight w:val="none"/>
          <w:lang w:val="en-US" w:eastAsia="zh-CN"/>
          <w14:textFill>
            <w14:solidFill>
              <w14:schemeClr w14:val="tx1"/>
            </w14:solidFill>
          </w14:textFill>
        </w:rPr>
        <w:t>选用符合产业发展方向的新技术、新工艺和新材料，</w:t>
      </w:r>
      <w:r>
        <w:rPr>
          <w:rFonts w:hint="default" w:ascii="Times New Roman" w:hAnsi="Times New Roman" w:cs="Times New Roman"/>
          <w:color w:val="000000" w:themeColor="text1"/>
          <w:szCs w:val="21"/>
          <w:highlight w:val="none"/>
          <w14:textFill>
            <w14:solidFill>
              <w14:schemeClr w14:val="tx1"/>
            </w14:solidFill>
          </w14:textFill>
        </w:rPr>
        <w:t>符合现行国家标准《民用建筑工程室内环境污染控制标准》GB 50325</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《建筑内部装修设计防火规范》GB50222</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《建筑环境通用规范》GB 55016</w:t>
      </w:r>
      <w:r>
        <w:rPr>
          <w:rFonts w:hint="default" w:ascii="Times New Roman" w:hAnsi="Times New Roman"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Cs w:val="21"/>
          <w:highlight w:val="none"/>
          <w14:textFill>
            <w14:solidFill>
              <w14:schemeClr w14:val="tx1"/>
            </w14:solidFill>
          </w14:textFill>
        </w:rPr>
        <w:t>《住宅装饰装修工程施工规范》GB 50327</w:t>
      </w:r>
      <w:r>
        <w:rPr>
          <w:rFonts w:hint="default" w:ascii="Times New Roman" w:hAnsi="Times New Roman" w:cs="Times New Roman"/>
          <w:color w:val="000000" w:themeColor="text1"/>
          <w:szCs w:val="21"/>
          <w:highlight w:val="none"/>
          <w:lang w:val="en-US" w:eastAsia="zh-CN"/>
          <w14:textFill>
            <w14:solidFill>
              <w14:schemeClr w14:val="tx1"/>
            </w14:solidFill>
          </w14:textFill>
        </w:rPr>
        <w:t>等</w:t>
      </w:r>
      <w:r>
        <w:rPr>
          <w:rFonts w:hint="default" w:ascii="Times New Roman" w:hAnsi="Times New Roman" w:cs="Times New Roman"/>
          <w:color w:val="000000" w:themeColor="text1"/>
          <w:szCs w:val="21"/>
          <w:highlight w:val="none"/>
          <w14:textFill>
            <w14:solidFill>
              <w14:schemeClr w14:val="tx1"/>
            </w14:solidFill>
          </w14:textFill>
        </w:rPr>
        <w:t>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4.2.</w:t>
      </w:r>
      <w:r>
        <w:rPr>
          <w:rFonts w:hint="default" w:ascii="Times New Roman" w:hAnsi="Times New Roman" w:cs="Times New Roman"/>
          <w:b/>
          <w:color w:val="000000" w:themeColor="text1"/>
          <w:szCs w:val="21"/>
          <w:highlight w:val="none"/>
          <w:lang w:val="en-US" w:eastAsia="zh-CN"/>
          <w14:textFill>
            <w14:solidFill>
              <w14:schemeClr w14:val="tx1"/>
            </w14:solidFill>
          </w14:textFill>
        </w:rPr>
        <w:t>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混凝土模块化建筑装饰装修材料有害物质限量应符合现行国家标准《民用建筑工程室内环境污染控制标准》GB 50325、《室内空气质量标准》GB/T 18883和《建筑材料放射性核素限量》GB 6566的有关规定。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4.2.</w:t>
      </w:r>
      <w:r>
        <w:rPr>
          <w:rFonts w:hint="default" w:ascii="Times New Roman" w:hAnsi="Times New Roman" w:cs="Times New Roman"/>
          <w:b/>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混凝土模块化建筑装饰装修材料的节能应符合现行国家标准《建筑节能与可再生能源利用通用规范》GB 55015和《建筑节能工程施工质量验收标准》GB 50411的有关规定。</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50" w:name="_Toc4128"/>
      <w:bookmarkStart w:id="151" w:name="_Toc12854"/>
      <w:bookmarkStart w:id="152" w:name="_Toc2386"/>
      <w:bookmarkStart w:id="153" w:name="_Toc25646"/>
      <w:bookmarkStart w:id="154" w:name="_Toc5209"/>
      <w:bookmarkStart w:id="155" w:name="_Toc7743"/>
      <w:bookmarkStart w:id="156" w:name="_Toc1423"/>
      <w:bookmarkStart w:id="157" w:name="_Toc329"/>
      <w:bookmarkStart w:id="158" w:name="_Toc32350"/>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4.3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其 他 材 料</w:t>
      </w:r>
      <w:bookmarkEnd w:id="150"/>
      <w:bookmarkEnd w:id="151"/>
      <w:bookmarkEnd w:id="152"/>
      <w:bookmarkEnd w:id="153"/>
      <w:bookmarkEnd w:id="154"/>
      <w:bookmarkEnd w:id="155"/>
      <w:bookmarkEnd w:id="156"/>
      <w:bookmarkEnd w:id="157"/>
      <w:bookmarkEnd w:id="158"/>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w:t>
      </w:r>
      <w:r>
        <w:rPr>
          <w:rFonts w:hint="default" w:ascii="Times New Roman" w:hAnsi="Times New Roman" w:cs="Times New Roman"/>
          <w:b/>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color w:val="000000" w:themeColor="text1"/>
          <w:szCs w:val="21"/>
          <w:highlight w:val="none"/>
          <w14:textFill>
            <w14:solidFill>
              <w14:schemeClr w14:val="tx1"/>
            </w14:solidFill>
          </w14:textFill>
        </w:rPr>
        <w:t>.</w:t>
      </w:r>
      <w:r>
        <w:rPr>
          <w:rFonts w:hint="default" w:ascii="Times New Roman" w:hAnsi="Times New Roman" w:cs="Times New Roman"/>
          <w:b/>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模块单元中隔墙板采用轻骨料混凝土时，应符合现行行业标准《轻骨料混凝土应用技术标准》JGJ/T 12的有关规定，强度等级不宜</w:t>
      </w:r>
      <w:r>
        <w:rPr>
          <w:rFonts w:hint="default" w:ascii="Times New Roman" w:hAnsi="Times New Roman" w:cs="Times New Roman"/>
          <w:color w:val="000000" w:themeColor="text1"/>
          <w:szCs w:val="21"/>
          <w:highlight w:val="none"/>
          <w:lang w:val="en-US" w:eastAsia="zh-CN"/>
          <w14:textFill>
            <w14:solidFill>
              <w14:schemeClr w14:val="tx1"/>
            </w14:solidFill>
          </w14:textFill>
        </w:rPr>
        <w:t>低</w:t>
      </w:r>
      <w:r>
        <w:rPr>
          <w:rFonts w:hint="default" w:ascii="Times New Roman" w:hAnsi="Times New Roman" w:cs="Times New Roman"/>
          <w:color w:val="000000" w:themeColor="text1"/>
          <w:szCs w:val="21"/>
          <w:highlight w:val="none"/>
          <w14:textFill>
            <w14:solidFill>
              <w14:schemeClr w14:val="tx1"/>
            </w14:solidFill>
          </w14:textFill>
        </w:rPr>
        <w:t>于LC20。</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4</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轻质隔墙板应符合现行行业标准《建筑轻质条板隔墙技术规程》JGJ/T157 和《蒸压加气混凝土制品应用技术标准》JGJ/T17的有关规定。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4.3.</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3  </w:t>
      </w:r>
      <w:r>
        <w:rPr>
          <w:rFonts w:hint="default" w:ascii="Times New Roman" w:hAnsi="Times New Roman" w:cs="Times New Roman"/>
          <w:color w:val="000000" w:themeColor="text1"/>
          <w:szCs w:val="21"/>
          <w:highlight w:val="none"/>
          <w14:textFill>
            <w14:solidFill>
              <w14:schemeClr w14:val="tx1"/>
            </w14:solidFill>
          </w14:textFill>
        </w:rPr>
        <w:t>混凝土模块化建筑外墙用保温材料应符合现行行业标准《外墙外保温工程技术标准》JGJ 144和《外墙内保温工程技术标准》JGJ/T 261的有关规定。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4.3.</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4  </w:t>
      </w:r>
      <w:r>
        <w:rPr>
          <w:rFonts w:hint="default" w:ascii="Times New Roman" w:hAnsi="Times New Roman" w:cs="Times New Roman"/>
          <w:color w:val="000000" w:themeColor="text1"/>
          <w:szCs w:val="21"/>
          <w:highlight w:val="none"/>
          <w14:textFill>
            <w14:solidFill>
              <w14:schemeClr w14:val="tx1"/>
            </w14:solidFill>
          </w14:textFill>
        </w:rPr>
        <w:t>混凝土模块化建筑外围护墙体间的接缝用防水材料</w:t>
      </w:r>
      <w:r>
        <w:rPr>
          <w:rFonts w:hint="default" w:ascii="Times New Roman" w:hAnsi="Times New Roman" w:cs="Times New Roman"/>
          <w:color w:val="000000" w:themeColor="text1"/>
          <w:szCs w:val="21"/>
          <w:highlight w:val="none"/>
          <w:lang w:val="en-US" w:eastAsia="zh-CN"/>
          <w14:textFill>
            <w14:solidFill>
              <w14:schemeClr w14:val="tx1"/>
            </w14:solidFill>
          </w14:textFill>
        </w:rPr>
        <w:t>做法</w:t>
      </w:r>
      <w:r>
        <w:rPr>
          <w:rFonts w:hint="default" w:ascii="Times New Roman" w:hAnsi="Times New Roman" w:cs="Times New Roman"/>
          <w:color w:val="000000" w:themeColor="text1"/>
          <w:szCs w:val="21"/>
          <w:highlight w:val="none"/>
          <w14:textFill>
            <w14:solidFill>
              <w14:schemeClr w14:val="tx1"/>
            </w14:solidFill>
          </w14:textFill>
        </w:rPr>
        <w:t>应符合现行国家标准《建筑与市政工程防水通用规范》GB 55030和现行广东省标准《建筑防水工程技术规程》DBJ/T 15-19的有关规定。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4.3.</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5  </w:t>
      </w:r>
      <w:r>
        <w:rPr>
          <w:rFonts w:hint="default" w:ascii="Times New Roman" w:hAnsi="Times New Roman" w:cs="Times New Roman"/>
          <w:color w:val="000000" w:themeColor="text1"/>
          <w:szCs w:val="21"/>
          <w:highlight w:val="none"/>
          <w14:textFill>
            <w14:solidFill>
              <w14:schemeClr w14:val="tx1"/>
            </w14:solidFill>
          </w14:textFill>
        </w:rPr>
        <w:t xml:space="preserve">混凝土模块化建筑内部隔墙间接缝所用的密封材料应符合下列规定：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159" w:name="_Toc507"/>
      <w:bookmarkStart w:id="160" w:name="_Toc22528"/>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密封胶应与混凝土具有相容性以及规定的抗剪切和伸缩变形能力；尚应具有防霉、防水、耐候、环保和可涂装等性能</w:t>
      </w:r>
      <w:bookmarkEnd w:id="159"/>
      <w:bookmarkEnd w:id="160"/>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 w:val="18"/>
          <w:szCs w:val="28"/>
          <w:highlight w:val="none"/>
          <w14:textFill>
            <w14:solidFill>
              <w14:schemeClr w14:val="tx1"/>
            </w14:solidFill>
          </w14:textFill>
        </w:rPr>
      </w:pPr>
      <w:bookmarkStart w:id="161" w:name="_Toc18167"/>
      <w:bookmarkStart w:id="162" w:name="_Toc5651"/>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拼缝填充用保温材料的燃烧性能应满足现行国家标准《建筑材料及制品燃烧性能分级》GB 8624中A级的要求。</w:t>
      </w:r>
      <w:bookmarkEnd w:id="161"/>
      <w:bookmarkEnd w:id="162"/>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4.3.</w:t>
      </w:r>
      <w:r>
        <w:rPr>
          <w:rFonts w:hint="default" w:ascii="Times New Roman" w:hAnsi="Times New Roman" w:cs="Times New Roman"/>
          <w:b/>
          <w:color w:val="000000" w:themeColor="text1"/>
          <w:szCs w:val="21"/>
          <w:highlight w:val="none"/>
          <w:lang w:val="en-US" w:eastAsia="zh-CN"/>
          <w14:textFill>
            <w14:solidFill>
              <w14:schemeClr w14:val="tx1"/>
            </w14:solidFill>
          </w14:textFill>
        </w:rPr>
        <w:t>6</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模块单元中</w:t>
      </w:r>
      <w:r>
        <w:rPr>
          <w:rFonts w:hint="default" w:ascii="Times New Roman" w:hAnsi="Times New Roman" w:cs="Times New Roman"/>
          <w:color w:val="000000" w:themeColor="text1"/>
          <w:szCs w:val="21"/>
          <w:highlight w:val="none"/>
          <w:lang w:val="en-US" w:eastAsia="zh-CN"/>
          <w14:textFill>
            <w14:solidFill>
              <w14:schemeClr w14:val="tx1"/>
            </w14:solidFill>
          </w14:textFill>
        </w:rPr>
        <w:t>外露的预埋</w:t>
      </w:r>
      <w:r>
        <w:rPr>
          <w:rFonts w:hint="default" w:ascii="Times New Roman" w:hAnsi="Times New Roman" w:cs="Times New Roman"/>
          <w:color w:val="000000" w:themeColor="text1"/>
          <w:szCs w:val="21"/>
          <w:highlight w:val="none"/>
          <w14:textFill>
            <w14:solidFill>
              <w14:schemeClr w14:val="tx1"/>
            </w14:solidFill>
          </w14:textFill>
        </w:rPr>
        <w:t>钢连接件的防火涂料应符合现行国家标准《钢结构防火涂料》GB 14907的有关规定。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4.3.</w:t>
      </w:r>
      <w:r>
        <w:rPr>
          <w:rFonts w:hint="default" w:ascii="Times New Roman" w:hAnsi="Times New Roman" w:cs="Times New Roman"/>
          <w:b/>
          <w:color w:val="000000" w:themeColor="text1"/>
          <w:szCs w:val="21"/>
          <w:highlight w:val="none"/>
          <w:lang w:val="en-US" w:eastAsia="zh-CN"/>
          <w14:textFill>
            <w14:solidFill>
              <w14:schemeClr w14:val="tx1"/>
            </w14:solidFill>
          </w14:textFill>
        </w:rPr>
        <w:t>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预制构件接缝处采用聚合物改性水泥砂浆填缝时，聚合物改性水泥砂浆的质量应符合现行行业标准《聚合物水泥防水砂浆》JC/T 984 的有关规定。 </w:t>
      </w:r>
    </w:p>
    <w:p>
      <w:pPr>
        <w:widowControl/>
        <w:spacing w:line="360" w:lineRule="exact"/>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 xml:space="preserve">4.3.8  </w:t>
      </w:r>
      <w:r>
        <w:rPr>
          <w:rFonts w:hint="default" w:ascii="Times New Roman" w:hAnsi="Times New Roman" w:cs="Times New Roman"/>
          <w:color w:val="000000" w:themeColor="text1"/>
          <w:highlight w:val="none"/>
          <w:lang w:val="en-US" w:eastAsia="zh-CN"/>
          <w14:textFill>
            <w14:solidFill>
              <w14:schemeClr w14:val="tx1"/>
            </w14:solidFill>
          </w14:textFill>
        </w:rPr>
        <w:t>模块单元中的</w:t>
      </w:r>
      <w:r>
        <w:rPr>
          <w:rFonts w:hint="default" w:ascii="Times New Roman" w:hAnsi="Times New Roman" w:cs="Times New Roman"/>
          <w:color w:val="000000" w:themeColor="text1"/>
          <w:highlight w:val="none"/>
          <w14:textFill>
            <w14:solidFill>
              <w14:schemeClr w14:val="tx1"/>
            </w14:solidFill>
          </w14:textFill>
        </w:rPr>
        <w:t>机电管线材料应选用耐腐蚀、寿命长、降噪性能好、易于安装和更换的管材和管件，以及高性能的部件设备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并满足现行国家标准《建筑给水排水设计标准》GB50015、《自动喷水灭火系统施工及验收规范》GB50261、《 建筑电气与智能化通用规范》GB55024、《民用跟建筑电气设计标准》GB51348和《通风与空调工程施工质量验收规范》GB 50243等的有关规定。</w:t>
      </w:r>
    </w:p>
    <w:p>
      <w:pPr>
        <w:widowControl/>
        <w:spacing w:line="360" w:lineRule="exact"/>
        <w:jc w:val="left"/>
        <w:rPr>
          <w:rFonts w:hint="default" w:ascii="Times New Roman" w:hAnsi="Times New Roman" w:eastAsia="黑体" w:cs="Times New Roman"/>
          <w:color w:val="000000" w:themeColor="text1"/>
          <w:sz w:val="30"/>
          <w:szCs w:val="30"/>
          <w:highlight w:val="none"/>
          <w14:textFill>
            <w14:solidFill>
              <w14:schemeClr w14:val="tx1"/>
            </w14:solidFill>
          </w14:textFill>
        </w:rPr>
      </w:pPr>
      <w:r>
        <w:rPr>
          <w:rFonts w:hint="default" w:ascii="Times New Roman" w:hAnsi="Times New Roman" w:eastAsia="黑体" w:cs="Times New Roman"/>
          <w:color w:val="000000" w:themeColor="text1"/>
          <w:sz w:val="30"/>
          <w:szCs w:val="30"/>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63" w:name="_Toc23322"/>
      <w:bookmarkStart w:id="164" w:name="_Toc25597"/>
      <w:bookmarkStart w:id="165" w:name="_Toc31129"/>
      <w:bookmarkStart w:id="166" w:name="_Toc18289"/>
      <w:bookmarkStart w:id="167" w:name="_Toc22028"/>
      <w:bookmarkStart w:id="168" w:name="_Toc9129"/>
      <w:bookmarkStart w:id="169" w:name="_Toc22003"/>
      <w:bookmarkStart w:id="170" w:name="_Toc727"/>
      <w:bookmarkStart w:id="171" w:name="_Toc24281"/>
      <w:r>
        <w:rPr>
          <w:rFonts w:hint="default" w:ascii="Times New Roman" w:hAnsi="Times New Roman" w:eastAsia="黑体" w:cs="Times New Roman"/>
          <w:color w:val="000000" w:themeColor="text1"/>
          <w:sz w:val="28"/>
          <w:szCs w:val="28"/>
          <w:highlight w:val="none"/>
          <w14:textFill>
            <w14:solidFill>
              <w14:schemeClr w14:val="tx1"/>
            </w14:solidFill>
          </w14:textFill>
        </w:rPr>
        <w:t>5  建 筑 设 计</w:t>
      </w:r>
      <w:bookmarkEnd w:id="163"/>
      <w:bookmarkEnd w:id="164"/>
      <w:bookmarkEnd w:id="165"/>
      <w:bookmarkEnd w:id="166"/>
      <w:bookmarkEnd w:id="167"/>
      <w:bookmarkEnd w:id="168"/>
      <w:bookmarkEnd w:id="169"/>
      <w:bookmarkEnd w:id="170"/>
      <w:bookmarkEnd w:id="171"/>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72" w:name="_Toc7771"/>
      <w:bookmarkStart w:id="173" w:name="_Toc15827"/>
      <w:bookmarkStart w:id="174" w:name="_Toc12265"/>
      <w:bookmarkStart w:id="175" w:name="_Toc3993"/>
      <w:bookmarkStart w:id="176" w:name="_Toc8649"/>
      <w:bookmarkStart w:id="177" w:name="_Toc23858"/>
      <w:bookmarkStart w:id="178" w:name="_Toc20112"/>
      <w:bookmarkStart w:id="179" w:name="_Toc12812"/>
      <w:bookmarkStart w:id="180" w:name="_Toc6615"/>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5.1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 般 规 定</w:t>
      </w:r>
      <w:bookmarkEnd w:id="172"/>
      <w:bookmarkEnd w:id="173"/>
      <w:bookmarkEnd w:id="174"/>
      <w:bookmarkEnd w:id="175"/>
      <w:bookmarkEnd w:id="176"/>
      <w:bookmarkEnd w:id="177"/>
      <w:bookmarkEnd w:id="178"/>
      <w:bookmarkEnd w:id="179"/>
      <w:bookmarkEnd w:id="180"/>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5.1.1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混凝土模块化建筑应满足建筑的适用性能、安全性能、耐久性能</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环境性能等要求。</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5.1.2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混凝土模块化建筑设计应符合现行国家标准《民用建筑设计统一标准》GB 50352、《建筑设计防火规范》GB 50016、《建筑节能与可再生能源利用通用规范》GB55015、《民用建筑热工设计规范》GB 50176、《夏热冬暖地区居住建筑节能设计标准》JGJ 75、《民用建筑隔声设计规范》GB 50118及国家现行有关标准的规定；同时应符合现行广东省标准《建筑防水工程技术规程》DBJ/T 15-19及广东省现行有关标准</w:t>
      </w:r>
      <w:r>
        <w:rPr>
          <w:rFonts w:hint="default" w:ascii="Times New Roman" w:hAnsi="Times New Roman" w:cs="Times New Roman"/>
          <w:color w:val="000000" w:themeColor="text1"/>
          <w:szCs w:val="21"/>
          <w:highlight w:val="none"/>
          <w:lang w:val="en-US" w:eastAsia="zh-CN"/>
          <w14:textFill>
            <w14:solidFill>
              <w14:schemeClr w14:val="tx1"/>
            </w14:solidFill>
          </w14:textFill>
        </w:rPr>
        <w:t>规范</w:t>
      </w:r>
      <w:r>
        <w:rPr>
          <w:rFonts w:hint="default" w:ascii="Times New Roman" w:hAnsi="Times New Roman" w:cs="Times New Roman"/>
          <w:color w:val="000000" w:themeColor="text1"/>
          <w:szCs w:val="21"/>
          <w:highlight w:val="none"/>
          <w14:textFill>
            <w14:solidFill>
              <w14:schemeClr w14:val="tx1"/>
            </w14:solidFill>
          </w14:textFill>
        </w:rPr>
        <w:t>的规定。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5.1.3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混凝土模块化建筑设计应采用名义轴网，建筑层高</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图5.1.3</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宜取模块单元高度与模块化单元间间隙之和，其中模数协调应满足下列</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181" w:name="_Toc8405"/>
      <w:bookmarkStart w:id="182" w:name="_Toc3420"/>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设计、生产和安装中的模数数列应根据功能性和经济性原则确定，模块单元的尺寸应根据模块化建筑的建筑功能、生产设备、交通运输条件、吊装设备、现场施工安装条件等因素综合确定</w:t>
      </w:r>
      <w:bookmarkEnd w:id="181"/>
      <w:bookmarkEnd w:id="182"/>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183" w:name="_Toc11964"/>
      <w:bookmarkStart w:id="184" w:name="_Toc15425"/>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应统筹考虑模数要求与原材料基材的规格选用标准化、系列化尺寸，提高材料利用率，减少材料损耗。</w:t>
      </w:r>
      <w:bookmarkEnd w:id="183"/>
      <w:bookmarkEnd w:id="184"/>
      <w:r>
        <w:rPr>
          <w:rFonts w:hint="default" w:ascii="Times New Roman" w:hAnsi="Times New Roman" w:cs="Times New Roman"/>
          <w:color w:val="000000" w:themeColor="text1"/>
          <w:szCs w:val="21"/>
          <w:highlight w:val="none"/>
          <w14:textFill>
            <w14:solidFill>
              <w14:schemeClr w14:val="tx1"/>
            </w14:solidFill>
          </w14:textFill>
        </w:rPr>
        <w:t xml:space="preserve"> </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00" w:hRule="atLeast"/>
        </w:trPr>
        <w:tc>
          <w:tcPr>
            <w:tcW w:w="6135" w:type="dxa"/>
          </w:tcPr>
          <w:p>
            <w:pPr>
              <w:jc w:val="center"/>
              <w:rPr>
                <w:rFonts w:hint="default" w:ascii="Times New Roman" w:hAnsi="Times New Roman" w:cs="Times New Roman"/>
                <w:color w:val="000000" w:themeColor="text1"/>
                <w:szCs w:val="21"/>
                <w:highlight w:val="none"/>
                <w:vertAlign w:val="baseli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879725" cy="2354580"/>
                  <wp:effectExtent l="0" t="0" r="15875" b="7620"/>
                  <wp:docPr id="3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true"/>
                          </pic:cNvPicPr>
                        </pic:nvPicPr>
                        <pic:blipFill>
                          <a:blip r:embed="rId19"/>
                          <a:stretch>
                            <a:fillRect/>
                          </a:stretch>
                        </pic:blipFill>
                        <pic:spPr>
                          <a:xfrm>
                            <a:off x="0" y="0"/>
                            <a:ext cx="2879725" cy="23545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pPr>
              <w:spacing w:line="360" w:lineRule="exact"/>
              <w:jc w:val="center"/>
              <w:rPr>
                <w:rFonts w:hint="default" w:ascii="Times New Roman" w:hAnsi="Times New Roman" w:eastAsia="黑体" w:cs="Times New Roman"/>
                <w:color w:val="000000" w:themeColor="text1"/>
                <w:sz w:val="18"/>
                <w:szCs w:val="18"/>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18"/>
                <w:szCs w:val="18"/>
                <w:highlight w:val="none"/>
                <w:vertAlign w:val="baseline"/>
                <w:lang w:val="en-US" w:eastAsia="zh-CN"/>
                <w14:textFill>
                  <w14:solidFill>
                    <w14:schemeClr w14:val="tx1"/>
                  </w14:solidFill>
                </w14:textFill>
              </w:rPr>
              <w:t>图</w:t>
            </w:r>
            <w:r>
              <w:rPr>
                <w:rFonts w:hint="default" w:ascii="Times New Roman" w:hAnsi="Times New Roman" w:cs="Times New Roman"/>
                <w:b/>
                <w:color w:val="000000" w:themeColor="text1"/>
                <w:sz w:val="18"/>
                <w:szCs w:val="18"/>
                <w:highlight w:val="none"/>
                <w:vertAlign w:val="baseline"/>
                <w:lang w:val="en-US" w:eastAsia="zh-CN"/>
                <w14:textFill>
                  <w14:solidFill>
                    <w14:schemeClr w14:val="tx1"/>
                  </w14:solidFill>
                </w14:textFill>
              </w:rPr>
              <w:t xml:space="preserve">5.1.3 </w:t>
            </w:r>
            <w:r>
              <w:rPr>
                <w:rFonts w:hint="default" w:ascii="Times New Roman" w:hAnsi="Times New Roman" w:eastAsia="黑体" w:cs="Times New Roman"/>
                <w:color w:val="000000" w:themeColor="text1"/>
                <w:kern w:val="0"/>
                <w:sz w:val="18"/>
                <w:szCs w:val="18"/>
                <w:highlight w:val="none"/>
                <w14:textFill>
                  <w14:solidFill>
                    <w14:schemeClr w14:val="tx1"/>
                  </w14:solidFill>
                </w14:textFill>
              </w:rPr>
              <w:t>混凝土模块化建筑</w:t>
            </w:r>
            <w:r>
              <w:rPr>
                <w:rFonts w:hint="default" w:ascii="Times New Roman" w:hAnsi="Times New Roman" w:eastAsia="黑体" w:cs="Times New Roman"/>
                <w:color w:val="000000" w:themeColor="text1"/>
                <w:kern w:val="0"/>
                <w:sz w:val="18"/>
                <w:szCs w:val="18"/>
                <w:highlight w:val="none"/>
                <w:lang w:val="en-US" w:eastAsia="zh-CN"/>
                <w14:textFill>
                  <w14:solidFill>
                    <w14:schemeClr w14:val="tx1"/>
                  </w14:solidFill>
                </w14:textFill>
              </w:rPr>
              <w:t>层高示意图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pPr>
              <w:numPr>
                <w:ilvl w:val="-1"/>
                <w:numId w:val="0"/>
              </w:numPr>
              <w:spacing w:line="360" w:lineRule="exact"/>
              <w:jc w:val="center"/>
              <w:rPr>
                <w:rFonts w:hint="default" w:ascii="Times New Roman" w:hAnsi="Times New Roman" w:eastAsia="黑体" w:cs="Times New Roman"/>
                <w:color w:val="000000" w:themeColor="text1"/>
                <w:sz w:val="18"/>
                <w:szCs w:val="18"/>
                <w:highlight w:val="none"/>
                <w:vertAlign w:val="baseline"/>
                <w:lang w:val="en-US" w:eastAsia="zh-CN"/>
                <w14:textFill>
                  <w14:solidFill>
                    <w14:schemeClr w14:val="tx1"/>
                  </w14:solidFill>
                </w14:textFill>
              </w:rPr>
            </w:pP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H−</m:t>
              </m:r>
            </m:oMath>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建筑层高；</w:t>
            </w: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ℎ−</m:t>
              </m:r>
            </m:oMath>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模块高度；</w:t>
            </w:r>
            <m:oMath>
              <m:sSup>
                <m:sSupPr>
                  <m:ctrlPr>
                    <w:rPr>
                      <w:rFonts w:hint="default" w:ascii="Cambria Math" w:hAnsi="Cambria Math" w:eastAsia="黑体" w:cs="Times New Roman"/>
                      <w:b w:val="0"/>
                      <w:bCs w:val="0"/>
                      <w:i/>
                      <w:color w:val="000000" w:themeColor="text1"/>
                      <w:sz w:val="18"/>
                      <w:szCs w:val="18"/>
                      <w:highlight w:val="none"/>
                      <w:vertAlign w:val="baseline"/>
                      <w:lang w:val="en-US" w:eastAsia="zh-CN"/>
                      <w14:textFill>
                        <w14:solidFill>
                          <w14:schemeClr w14:val="tx1"/>
                        </w14:solidFill>
                      </w14:textFill>
                    </w:rPr>
                  </m:ctrlPr>
                </m:sSupPr>
                <m:e>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ℎ</m:t>
                  </m:r>
                  <m:ctrlPr>
                    <w:rPr>
                      <w:rFonts w:hint="default" w:ascii="Cambria Math" w:hAnsi="Cambria Math" w:eastAsia="黑体" w:cs="Times New Roman"/>
                      <w:b w:val="0"/>
                      <w:bCs w:val="0"/>
                      <w:i/>
                      <w:color w:val="000000" w:themeColor="text1"/>
                      <w:sz w:val="18"/>
                      <w:szCs w:val="18"/>
                      <w:highlight w:val="none"/>
                      <w:vertAlign w:val="baseline"/>
                      <w:lang w:val="en-US" w:eastAsia="zh-CN"/>
                      <w14:textFill>
                        <w14:solidFill>
                          <w14:schemeClr w14:val="tx1"/>
                        </w14:solidFill>
                      </w14:textFill>
                    </w:rPr>
                  </m:ctrlPr>
                </m:e>
                <m:sup>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m:t>
                  </m:r>
                  <m:ctrlPr>
                    <w:rPr>
                      <w:rFonts w:hint="default" w:ascii="Cambria Math" w:hAnsi="Cambria Math" w:eastAsia="黑体" w:cs="Times New Roman"/>
                      <w:b w:val="0"/>
                      <w:bCs w:val="0"/>
                      <w:i/>
                      <w:color w:val="000000" w:themeColor="text1"/>
                      <w:sz w:val="18"/>
                      <w:szCs w:val="18"/>
                      <w:highlight w:val="none"/>
                      <w:vertAlign w:val="baseline"/>
                      <w:lang w:val="en-US" w:eastAsia="zh-CN"/>
                      <w14:textFill>
                        <w14:solidFill>
                          <w14:schemeClr w14:val="tx1"/>
                        </w14:solidFill>
                      </w14:textFill>
                    </w:rPr>
                  </m:ctrlPr>
                </m:sup>
              </m:sSup>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m:t>
              </m:r>
            </m:oMath>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模块净高；</w:t>
            </w: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b−</m:t>
              </m:r>
            </m:oMath>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座浆层厚度；</w:t>
            </w: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t−</m:t>
              </m:r>
            </m:oMath>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现浇面层厚度；</w:t>
            </w:r>
            <w:r>
              <w:rPr>
                <w:rFonts w:hint="default" w:ascii="Times New Roman" w:hAnsi="Times New Roman" w:eastAsia="黑体" w:cs="Times New Roman"/>
                <w:bCs/>
                <w:color w:val="000000" w:themeColor="text1"/>
                <w:sz w:val="18"/>
                <w:szCs w:val="18"/>
                <w:highlight w:val="none"/>
                <w14:textFill>
                  <w14:solidFill>
                    <w14:schemeClr w14:val="tx1"/>
                  </w14:solidFill>
                </w14:textFill>
              </w:rPr>
              <w:t>1</w:t>
            </w: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m:t>
              </m:r>
            </m:oMath>
            <w:r>
              <w:rPr>
                <w:rFonts w:hint="default" w:ascii="Times New Roman" w:hAnsi="Times New Roman" w:eastAsia="黑体" w:cs="Times New Roman"/>
                <w:bCs/>
                <w:color w:val="000000" w:themeColor="text1"/>
                <w:sz w:val="18"/>
                <w:szCs w:val="18"/>
                <w:highlight w:val="none"/>
                <w14:textFill>
                  <w14:solidFill>
                    <w14:schemeClr w14:val="tx1"/>
                  </w14:solidFill>
                </w14:textFill>
              </w:rPr>
              <w:t>模块单元</w:t>
            </w:r>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2</w:t>
            </w: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m:t>
              </m:r>
            </m:oMath>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模块单元底板（含饰面）</w:t>
            </w:r>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3</w:t>
            </w: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m:t>
              </m:r>
            </m:oMath>
            <w:r>
              <w:rPr>
                <w:rFonts w:hint="default" w:ascii="Times New Roman" w:hAnsi="Times New Roman" w:eastAsia="黑体" w:cs="Times New Roman"/>
                <w:b w:val="0"/>
                <w:bCs w:val="0"/>
                <w:color w:val="000000" w:themeColor="text1"/>
                <w:sz w:val="18"/>
                <w:szCs w:val="18"/>
                <w:highlight w:val="none"/>
                <w:vertAlign w:val="baseline"/>
                <w:lang w:val="en-US" w:eastAsia="zh-CN"/>
                <w14:textFill>
                  <w14:solidFill>
                    <w14:schemeClr w14:val="tx1"/>
                  </w14:solidFill>
                </w14:textFill>
              </w:rPr>
              <w:t>座浆层；</w:t>
            </w: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4</w:t>
            </w:r>
            <m:oMath>
              <m:r>
                <m:rPr/>
                <w:rPr>
                  <w:rFonts w:hint="default" w:ascii="Cambria Math" w:hAnsi="Cambria Math" w:eastAsia="黑体" w:cs="Times New Roman"/>
                  <w:color w:val="000000" w:themeColor="text1"/>
                  <w:sz w:val="18"/>
                  <w:szCs w:val="18"/>
                  <w:highlight w:val="none"/>
                  <w:vertAlign w:val="baseline"/>
                  <w:lang w:val="en-US" w:eastAsia="zh-CN"/>
                  <w14:textFill>
                    <w14:solidFill>
                      <w14:schemeClr w14:val="tx1"/>
                    </w14:solidFill>
                  </w14:textFill>
                </w:rPr>
                <m:t>−</m:t>
              </m:r>
            </m:oMath>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模块单元顶板</w:t>
            </w:r>
          </w:p>
        </w:tc>
      </w:tr>
    </w:tbl>
    <w:p>
      <w:pPr>
        <w:spacing w:line="360" w:lineRule="exact"/>
        <w:ind w:firstLine="0" w:firstLineChars="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 xml:space="preserve">5.1.4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模块化建筑中厨房、卫生间和阳台等有水区域应采用高集成设计，在工厂完成基层、防水、饰面和机电等系统。</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85" w:name="_Toc8002"/>
      <w:bookmarkStart w:id="186" w:name="_Toc26235"/>
      <w:bookmarkStart w:id="187" w:name="_Toc13162"/>
      <w:bookmarkStart w:id="188" w:name="_Toc3485"/>
      <w:bookmarkStart w:id="189" w:name="_Toc21144"/>
      <w:bookmarkStart w:id="190" w:name="_Toc5467"/>
      <w:bookmarkStart w:id="191" w:name="_Toc1463"/>
      <w:bookmarkStart w:id="192" w:name="_Toc1963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5.2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系统集成设计</w:t>
      </w:r>
      <w:bookmarkEnd w:id="185"/>
      <w:bookmarkEnd w:id="186"/>
      <w:bookmarkEnd w:id="187"/>
      <w:bookmarkEnd w:id="188"/>
      <w:bookmarkEnd w:id="189"/>
      <w:bookmarkEnd w:id="190"/>
      <w:bookmarkEnd w:id="191"/>
      <w:bookmarkEnd w:id="192"/>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5.2.1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混凝土模块化建筑设计应根据模数协调的原则进行协同设计，并应符合下列规定：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193" w:name="_Toc3882"/>
      <w:bookmarkStart w:id="194" w:name="_Toc4003"/>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模数协调宜采用模数网格建立正交的三维空间模数参考系统，基本模数宜采用1M，模块单元及其内装部品在空间模数参考系统中确定模数协调的安装基准面时，宜以此为依据；</w:t>
      </w:r>
      <w:bookmarkEnd w:id="193"/>
      <w:bookmarkEnd w:id="194"/>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195" w:name="_Toc18279"/>
      <w:bookmarkStart w:id="196" w:name="_Toc18517"/>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空间模数参考系统中模数网格的扩大模数宜采用</w:t>
      </w:r>
      <w:r>
        <w:rPr>
          <w:rFonts w:hint="eastAsia" w:cs="Times New Roman"/>
          <w:color w:val="000000" w:themeColor="text1"/>
          <w:szCs w:val="21"/>
          <w:highlight w:val="none"/>
          <w:lang w:val="en-US" w:eastAsia="zh-CN"/>
          <w14:textFill>
            <w14:solidFill>
              <w14:schemeClr w14:val="tx1"/>
            </w14:solidFill>
          </w14:textFill>
        </w:rPr>
        <w:t>2M、3M</w:t>
      </w:r>
      <w:r>
        <w:rPr>
          <w:rFonts w:hint="default" w:ascii="Times New Roman" w:hAnsi="Times New Roman" w:cs="Times New Roman"/>
          <w:color w:val="000000" w:themeColor="text1"/>
          <w:szCs w:val="21"/>
          <w:highlight w:val="none"/>
          <w14:textFill>
            <w14:solidFill>
              <w14:schemeClr w14:val="tx1"/>
            </w14:solidFill>
          </w14:textFill>
        </w:rPr>
        <w:t>的扩大模数数列；</w:t>
      </w:r>
      <w:bookmarkEnd w:id="195"/>
      <w:bookmarkEnd w:id="196"/>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197" w:name="_Toc29405"/>
      <w:bookmarkStart w:id="198" w:name="_Toc26309"/>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模数协调时应采用模块单元的标志尺寸作为协调尺寸，标志尺寸宜选用本标准规定的优先扩大模数</w:t>
      </w:r>
      <w:bookmarkEnd w:id="197"/>
      <w:bookmarkEnd w:id="198"/>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199" w:name="_Toc7005"/>
      <w:bookmarkStart w:id="200" w:name="_Toc25119"/>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应明确模块单元的标志尺寸、加工尺寸、允许尺寸偏差等关键数据，应根据模块单元间接口性能、形式要求优先选择标准化接口尺寸</w:t>
      </w:r>
      <w:bookmarkEnd w:id="199"/>
      <w:bookmarkEnd w:id="200"/>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01" w:name="_Toc13565"/>
      <w:bookmarkStart w:id="202" w:name="_Toc20847"/>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每个模块单元及其内装部品的安装基准面宜在空间模数参考系统中确定，模块单元之间、模块单元与内装系统之间以及各个内装系统之间的模数协调与尺寸协调关系宜通过标准化接口和公差系统确立。</w:t>
      </w:r>
      <w:bookmarkEnd w:id="201"/>
      <w:bookmarkEnd w:id="202"/>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5.2.2 </w:t>
      </w:r>
      <w:r>
        <w:rPr>
          <w:rFonts w:hint="default" w:ascii="Times New Roman" w:hAnsi="Times New Roman" w:cs="Times New Roman"/>
          <w:color w:val="000000" w:themeColor="text1"/>
          <w:szCs w:val="21"/>
          <w:highlight w:val="none"/>
          <w14:textFill>
            <w14:solidFill>
              <w14:schemeClr w14:val="tx1"/>
            </w14:solidFill>
          </w14:textFill>
        </w:rPr>
        <w:t>混凝土模块化建筑的连接与接口设计应采用标准化接口，并应符合下列规定：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03" w:name="_Toc20444"/>
      <w:bookmarkStart w:id="204" w:name="_Toc9966"/>
      <w:bookmarkStart w:id="205" w:name="_Toc11176"/>
      <w:bookmarkStart w:id="206" w:name="_Toc21224"/>
      <w:bookmarkStart w:id="207" w:name="_Toc7428"/>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连接与接口设计应明确工厂加工与现场施工的交界面</w:t>
      </w:r>
      <w:bookmarkEnd w:id="203"/>
      <w:bookmarkEnd w:id="204"/>
      <w:bookmarkEnd w:id="205"/>
      <w:bookmarkEnd w:id="206"/>
      <w:bookmarkEnd w:id="207"/>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08" w:name="_Toc3140"/>
      <w:bookmarkStart w:id="209" w:name="_Toc24088"/>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连接与接口尺寸应考虑模块单元的制作公差、安装顺序和安装公差的影响，应具备容差的能力</w:t>
      </w:r>
      <w:bookmarkEnd w:id="208"/>
      <w:bookmarkEnd w:id="209"/>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10" w:name="_Toc5258"/>
      <w:bookmarkStart w:id="211" w:name="_Toc25285"/>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连接与接口设计应</w:t>
      </w:r>
      <w:r>
        <w:rPr>
          <w:rFonts w:hint="default" w:ascii="Times New Roman" w:hAnsi="Times New Roman" w:cs="Times New Roman"/>
          <w:color w:val="000000" w:themeColor="text1"/>
          <w:szCs w:val="21"/>
          <w:highlight w:val="none"/>
          <w:lang w:val="en-US" w:eastAsia="zh-CN"/>
          <w14:textFill>
            <w14:solidFill>
              <w14:schemeClr w14:val="tx1"/>
            </w14:solidFill>
          </w14:textFill>
        </w:rPr>
        <w:t>考虑</w:t>
      </w:r>
      <w:r>
        <w:rPr>
          <w:rFonts w:hint="default" w:ascii="Times New Roman" w:hAnsi="Times New Roman" w:cs="Times New Roman"/>
          <w:color w:val="000000" w:themeColor="text1"/>
          <w:szCs w:val="21"/>
          <w:highlight w:val="none"/>
          <w14:textFill>
            <w14:solidFill>
              <w14:schemeClr w14:val="tx1"/>
            </w14:solidFill>
          </w14:textFill>
        </w:rPr>
        <w:t>现场施工安装的施工及安全保护空间</w:t>
      </w:r>
      <w:bookmarkEnd w:id="210"/>
      <w:bookmarkEnd w:id="21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12" w:name="_Toc19186"/>
      <w:bookmarkStart w:id="213" w:name="_Toc8285"/>
      <w:bookmarkStart w:id="214" w:name="_Toc25523"/>
      <w:bookmarkStart w:id="215" w:name="_Toc15812"/>
      <w:bookmarkStart w:id="216" w:name="_Toc5301"/>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机电管线的</w:t>
      </w:r>
      <w:r>
        <w:rPr>
          <w:rFonts w:hint="default" w:ascii="Times New Roman" w:hAnsi="Times New Roman" w:cs="Times New Roman"/>
          <w:color w:val="000000" w:themeColor="text1"/>
          <w:szCs w:val="21"/>
          <w:highlight w:val="none"/>
          <w14:textFill>
            <w14:solidFill>
              <w14:schemeClr w14:val="tx1"/>
            </w14:solidFill>
          </w14:textFill>
        </w:rPr>
        <w:t>连接与接口设计</w:t>
      </w:r>
      <w:r>
        <w:rPr>
          <w:rFonts w:hint="default" w:ascii="Times New Roman" w:hAnsi="Times New Roman" w:cs="Times New Roman"/>
          <w:color w:val="000000" w:themeColor="text1"/>
          <w:szCs w:val="21"/>
          <w:highlight w:val="none"/>
          <w:lang w:val="en-US" w:eastAsia="zh-CN"/>
          <w14:textFill>
            <w14:solidFill>
              <w14:schemeClr w14:val="tx1"/>
            </w14:solidFill>
          </w14:textFill>
        </w:rPr>
        <w:t>宜</w:t>
      </w:r>
      <w:r>
        <w:rPr>
          <w:rFonts w:hint="default" w:ascii="Times New Roman" w:hAnsi="Times New Roman" w:cs="Times New Roman"/>
          <w:color w:val="000000" w:themeColor="text1"/>
          <w:szCs w:val="21"/>
          <w:highlight w:val="none"/>
          <w14:textFill>
            <w14:solidFill>
              <w14:schemeClr w14:val="tx1"/>
            </w14:solidFill>
          </w14:textFill>
        </w:rPr>
        <w:t>留有检修口，方便后期的维护及检修。</w:t>
      </w:r>
      <w:bookmarkEnd w:id="212"/>
      <w:bookmarkEnd w:id="213"/>
      <w:bookmarkEnd w:id="214"/>
      <w:bookmarkEnd w:id="215"/>
      <w:bookmarkEnd w:id="216"/>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5.2.3 </w:t>
      </w:r>
      <w:r>
        <w:rPr>
          <w:rFonts w:hint="default" w:ascii="Times New Roman" w:hAnsi="Times New Roman" w:cs="Times New Roman"/>
          <w:color w:val="000000" w:themeColor="text1"/>
          <w:szCs w:val="21"/>
          <w:highlight w:val="none"/>
          <w14:textFill>
            <w14:solidFill>
              <w14:schemeClr w14:val="tx1"/>
            </w14:solidFill>
          </w14:textFill>
        </w:rPr>
        <w:t>模块单元沿水平方向定位的标志尺寸应符合下列规定：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17" w:name="_Toc5344"/>
      <w:bookmarkStart w:id="218" w:name="_Toc28425"/>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模块单元沿水平方向的定位基准面宜采用中心线定位法与界面定位法结合的方法，中心线应定位于模块单元间接口的中间位置，界面宜定位于模块单元的两侧内表面（图5.2.3）</w:t>
      </w:r>
      <w:bookmarkEnd w:id="217"/>
      <w:bookmarkEnd w:id="218"/>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19" w:name="_Toc4296"/>
      <w:bookmarkStart w:id="220" w:name="_Toc4183"/>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混凝土模块化建筑平面中相邻中心线间距尺寸应等于模块单元内部净尺寸、模块两侧墙体厚度与模块之间接口尺寸之和</w:t>
      </w:r>
      <w:bookmarkEnd w:id="219"/>
      <w:bookmarkEnd w:id="220"/>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21" w:name="_Toc27781"/>
      <w:bookmarkStart w:id="222" w:name="_Toc22890"/>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混凝土模块化建筑平面中相邻模块单元之间的接口尺寸宜取20mm</w:t>
      </w:r>
      <w:bookmarkEnd w:id="221"/>
      <w:bookmarkEnd w:id="22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23" w:name="_Toc21099"/>
      <w:bookmarkStart w:id="224" w:name="_Toc23778"/>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混凝土模块化建筑平面中宜优先满足净尺寸模数，再满足标志尺寸模数。</w:t>
      </w:r>
      <w:bookmarkEnd w:id="223"/>
      <w:bookmarkEnd w:id="224"/>
    </w:p>
    <w:p>
      <w:pPr>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object>
          <v:shape id="_x0000_i1025" o:spt="75" type="#_x0000_t75" style="height:138.85pt;width:255.1pt;" o:ole="t" filled="f" o:preferrelative="t" stroked="f" coordsize="21600,21600">
            <v:path/>
            <v:fill on="f" focussize="0,0"/>
            <v:stroke on="f" joinstyle="miter"/>
            <v:imagedata r:id="rId20" o:title=""/>
            <o:lock v:ext="edit" aspectratio="t"/>
            <w10:wrap type="none"/>
            <w10:anchorlock/>
          </v:shape>
          <o:OLEObject Type="Embed" ProgID="Visio.Drawing.15" ShapeID="_x0000_i1025" DrawAspect="Content" ObjectID="_1468075725">
            <o:LockedField>false</o:LockedField>
          </o:OLEObject>
        </w:object>
      </w:r>
    </w:p>
    <w:p>
      <w:pPr>
        <w:ind w:left="-6"/>
        <w:jc w:val="center"/>
        <w:rPr>
          <w:rFonts w:hint="default" w:ascii="Times New Roman" w:hAnsi="Times New Roman" w:eastAsia="黑体" w:cs="Times New Roman"/>
          <w:color w:val="000000" w:themeColor="text1"/>
          <w:kern w:val="0"/>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图</w:t>
      </w:r>
      <w:r>
        <w:rPr>
          <w:rFonts w:hint="default" w:ascii="Times New Roman" w:hAnsi="Times New Roman" w:cs="Times New Roman"/>
          <w:b/>
          <w:color w:val="000000" w:themeColor="text1"/>
          <w:sz w:val="18"/>
          <w:szCs w:val="18"/>
          <w:highlight w:val="none"/>
          <w14:textFill>
            <w14:solidFill>
              <w14:schemeClr w14:val="tx1"/>
            </w14:solidFill>
          </w14:textFill>
        </w:rPr>
        <w:t xml:space="preserve">5.2.3 </w:t>
      </w:r>
      <w:r>
        <w:rPr>
          <w:rFonts w:hint="default" w:ascii="Times New Roman" w:hAnsi="Times New Roman" w:cs="Times New Roman"/>
          <w:color w:val="000000" w:themeColor="text1"/>
          <w:sz w:val="18"/>
          <w:szCs w:val="18"/>
          <w:highlight w:val="none"/>
          <w14:textFill>
            <w14:solidFill>
              <w14:schemeClr w14:val="tx1"/>
            </w14:solidFill>
          </w14:textFill>
        </w:rPr>
        <w:t xml:space="preserve"> </w:t>
      </w:r>
      <w:r>
        <w:rPr>
          <w:rFonts w:hint="default" w:ascii="Times New Roman" w:hAnsi="Times New Roman" w:eastAsia="黑体" w:cs="Times New Roman"/>
          <w:color w:val="000000" w:themeColor="text1"/>
          <w:kern w:val="0"/>
          <w:sz w:val="18"/>
          <w:szCs w:val="18"/>
          <w:highlight w:val="none"/>
          <w14:textFill>
            <w14:solidFill>
              <w14:schemeClr w14:val="tx1"/>
            </w14:solidFill>
          </w14:textFill>
        </w:rPr>
        <w:t>混凝土模块化建筑中模块单元的定位轴线示意图</w:t>
      </w:r>
    </w:p>
    <w:p>
      <w:pPr>
        <w:ind w:left="-6"/>
        <w:jc w:val="center"/>
        <w:rPr>
          <w:rFonts w:hint="default" w:ascii="Times New Roman" w:hAnsi="Times New Roman" w:eastAsia="黑体" w:cs="Times New Roman"/>
          <w:bCs/>
          <w:color w:val="000000" w:themeColor="text1"/>
          <w:sz w:val="18"/>
          <w:szCs w:val="18"/>
          <w:highlight w:val="none"/>
          <w14:textFill>
            <w14:solidFill>
              <w14:schemeClr w14:val="tx1"/>
            </w14:solidFill>
          </w14:textFill>
        </w:rPr>
      </w:pPr>
      <w:bookmarkStart w:id="225" w:name="OLE_LINK40"/>
      <w:r>
        <w:rPr>
          <w:rFonts w:hint="default" w:ascii="Times New Roman" w:hAnsi="Times New Roman" w:eastAsia="黑体" w:cs="Times New Roman"/>
          <w:bCs/>
          <w:i/>
          <w:color w:val="000000" w:themeColor="text1"/>
          <w:sz w:val="18"/>
          <w:szCs w:val="18"/>
          <w:highlight w:val="none"/>
          <w14:textFill>
            <w14:solidFill>
              <w14:schemeClr w14:val="tx1"/>
            </w14:solidFill>
          </w14:textFill>
        </w:rPr>
        <w:t>L</w:t>
      </w:r>
      <w:r>
        <w:rPr>
          <w:rFonts w:hint="default" w:ascii="Times New Roman" w:hAnsi="Times New Roman" w:eastAsia="黑体" w:cs="Times New Roman"/>
          <w:bCs/>
          <w:color w:val="000000" w:themeColor="text1"/>
          <w:sz w:val="18"/>
          <w:szCs w:val="18"/>
          <w:highlight w:val="none"/>
          <w14:textFill>
            <w14:solidFill>
              <w14:schemeClr w14:val="tx1"/>
            </w14:solidFill>
          </w14:textFill>
        </w:rPr>
        <w:t>—竖向中心</w:t>
      </w:r>
      <w:r>
        <w:rPr>
          <w:rFonts w:hint="default" w:ascii="Times New Roman" w:hAnsi="Times New Roman" w:eastAsia="黑体" w:cs="Times New Roman"/>
          <w:color w:val="000000" w:themeColor="text1"/>
          <w:kern w:val="0"/>
          <w:sz w:val="18"/>
          <w:szCs w:val="18"/>
          <w:highlight w:val="none"/>
          <w14:textFill>
            <w14:solidFill>
              <w14:schemeClr w14:val="tx1"/>
            </w14:solidFill>
          </w14:textFill>
        </w:rPr>
        <w:t>线间距</w:t>
      </w:r>
      <w:r>
        <w:rPr>
          <w:rFonts w:hint="default" w:ascii="Times New Roman" w:hAnsi="Times New Roman" w:eastAsia="黑体" w:cs="Times New Roman"/>
          <w:bCs/>
          <w:color w:val="000000" w:themeColor="text1"/>
          <w:sz w:val="18"/>
          <w:szCs w:val="18"/>
          <w:highlight w:val="none"/>
          <w14:textFill>
            <w14:solidFill>
              <w14:schemeClr w14:val="tx1"/>
            </w14:solidFill>
          </w14:textFill>
        </w:rPr>
        <w:t>；</w:t>
      </w:r>
      <w:bookmarkEnd w:id="225"/>
      <w:r>
        <w:rPr>
          <w:rFonts w:hint="default" w:ascii="Times New Roman" w:hAnsi="Times New Roman" w:eastAsia="黑体" w:cs="Times New Roman"/>
          <w:bCs/>
          <w:i/>
          <w:color w:val="000000" w:themeColor="text1"/>
          <w:sz w:val="18"/>
          <w:szCs w:val="18"/>
          <w:highlight w:val="none"/>
          <w14:textFill>
            <w14:solidFill>
              <w14:schemeClr w14:val="tx1"/>
            </w14:solidFill>
          </w14:textFill>
        </w:rPr>
        <w:t>W</w:t>
      </w:r>
      <w:r>
        <w:rPr>
          <w:rFonts w:hint="default" w:ascii="Times New Roman" w:hAnsi="Times New Roman" w:eastAsia="黑体" w:cs="Times New Roman"/>
          <w:bCs/>
          <w:color w:val="000000" w:themeColor="text1"/>
          <w:sz w:val="18"/>
          <w:szCs w:val="18"/>
          <w:highlight w:val="none"/>
          <w14:textFill>
            <w14:solidFill>
              <w14:schemeClr w14:val="tx1"/>
            </w14:solidFill>
          </w14:textFill>
        </w:rPr>
        <w:t>—横向中心线间距；</w:t>
      </w:r>
      <w:r>
        <w:rPr>
          <w:rFonts w:hint="default" w:ascii="Times New Roman" w:hAnsi="Times New Roman" w:eastAsia="黑体" w:cs="Times New Roman"/>
          <w:bCs/>
          <w:i/>
          <w:color w:val="000000" w:themeColor="text1"/>
          <w:sz w:val="18"/>
          <w:szCs w:val="18"/>
          <w:highlight w:val="none"/>
          <w14:textFill>
            <w14:solidFill>
              <w14:schemeClr w14:val="tx1"/>
            </w14:solidFill>
          </w14:textFill>
        </w:rPr>
        <w:t>L</w:t>
      </w:r>
      <w:r>
        <w:rPr>
          <w:rFonts w:hint="default" w:ascii="Times New Roman" w:hAnsi="Times New Roman" w:eastAsia="黑体" w:cs="Times New Roman"/>
          <w:bCs/>
          <w:color w:val="000000" w:themeColor="text1"/>
          <w:sz w:val="18"/>
          <w:szCs w:val="18"/>
          <w:highlight w:val="none"/>
          <w14:textFill>
            <w14:solidFill>
              <w14:schemeClr w14:val="tx1"/>
            </w14:solidFill>
          </w14:textFill>
        </w:rPr>
        <w:t>a—模块单元内部净长度；</w:t>
      </w:r>
    </w:p>
    <w:p>
      <w:pPr>
        <w:ind w:left="-6"/>
        <w:jc w:val="center"/>
        <w:rPr>
          <w:rFonts w:hint="default" w:ascii="Times New Roman" w:hAnsi="Times New Roman" w:eastAsia="黑体" w:cs="Times New Roman"/>
          <w:bCs/>
          <w:color w:val="000000" w:themeColor="text1"/>
          <w:sz w:val="16"/>
          <w:szCs w:val="16"/>
          <w:highlight w:val="none"/>
          <w:lang w:eastAsia="zh-CN"/>
          <w14:textFill>
            <w14:solidFill>
              <w14:schemeClr w14:val="tx1"/>
            </w14:solidFill>
          </w14:textFill>
        </w:rPr>
      </w:pPr>
      <w:r>
        <w:rPr>
          <w:rFonts w:hint="default" w:ascii="Times New Roman" w:hAnsi="Times New Roman" w:eastAsia="黑体" w:cs="Times New Roman"/>
          <w:bCs/>
          <w:i/>
          <w:color w:val="000000" w:themeColor="text1"/>
          <w:sz w:val="18"/>
          <w:szCs w:val="18"/>
          <w:highlight w:val="none"/>
          <w14:textFill>
            <w14:solidFill>
              <w14:schemeClr w14:val="tx1"/>
            </w14:solidFill>
          </w14:textFill>
        </w:rPr>
        <w:t>W</w:t>
      </w:r>
      <w:r>
        <w:rPr>
          <w:rFonts w:hint="default" w:ascii="Times New Roman" w:hAnsi="Times New Roman" w:eastAsia="黑体" w:cs="Times New Roman"/>
          <w:bCs/>
          <w:color w:val="000000" w:themeColor="text1"/>
          <w:sz w:val="18"/>
          <w:szCs w:val="18"/>
          <w:highlight w:val="none"/>
          <w14:textFill>
            <w14:solidFill>
              <w14:schemeClr w14:val="tx1"/>
            </w14:solidFill>
          </w14:textFill>
        </w:rPr>
        <w:t>a—模块单元内部净宽度；1—模块单元</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226" w:name="_Toc6445"/>
      <w:bookmarkStart w:id="227" w:name="_Toc27454"/>
      <w:bookmarkStart w:id="228" w:name="_Toc7052"/>
      <w:r>
        <w:rPr>
          <w:rFonts w:hint="default" w:ascii="Times New Roman" w:hAnsi="Times New Roman" w:cs="Times New Roman"/>
          <w:b/>
          <w:color w:val="000000" w:themeColor="text1"/>
          <w:szCs w:val="21"/>
          <w:highlight w:val="none"/>
          <w14:textFill>
            <w14:solidFill>
              <w14:schemeClr w14:val="tx1"/>
            </w14:solidFill>
          </w14:textFill>
        </w:rPr>
        <w:t xml:space="preserve">5.2.4 </w:t>
      </w:r>
      <w:r>
        <w:rPr>
          <w:rFonts w:hint="default" w:ascii="Times New Roman" w:hAnsi="Times New Roman" w:cs="Times New Roman"/>
          <w:color w:val="000000" w:themeColor="text1"/>
          <w:szCs w:val="21"/>
          <w:highlight w:val="none"/>
          <w14:textFill>
            <w14:solidFill>
              <w14:schemeClr w14:val="tx1"/>
            </w14:solidFill>
          </w14:textFill>
        </w:rPr>
        <w:t xml:space="preserve"> 模块单元的尺寸应符合下列规定：</w:t>
      </w:r>
      <w:bookmarkEnd w:id="226"/>
      <w:bookmarkEnd w:id="227"/>
      <w:bookmarkEnd w:id="228"/>
    </w:p>
    <w:p>
      <w:pPr>
        <w:spacing w:line="360" w:lineRule="exact"/>
        <w:ind w:firstLine="421"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bookmarkStart w:id="229" w:name="_Toc32185"/>
      <w:bookmarkStart w:id="230" w:name="_Toc30531"/>
      <w:bookmarkStart w:id="231" w:name="_Toc5778"/>
      <w:r>
        <w:rPr>
          <w:rFonts w:hint="default"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模块单元的尺寸应满足现行国家标准《住宅设计规范》GB50096和《住宅建筑规范》GB 50368等的有关规定；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模块单元的</w:t>
      </w:r>
      <w:r>
        <w:rPr>
          <w:rFonts w:hint="default" w:ascii="Times New Roman" w:hAnsi="Times New Roman" w:cs="Times New Roman"/>
          <w:color w:val="000000" w:themeColor="text1"/>
          <w:szCs w:val="21"/>
          <w:highlight w:val="none"/>
          <w:lang w:val="en-US" w:eastAsia="zh-CN"/>
          <w14:textFill>
            <w14:solidFill>
              <w14:schemeClr w14:val="tx1"/>
            </w14:solidFill>
          </w14:textFill>
        </w:rPr>
        <w:t>尺寸</w:t>
      </w:r>
      <w:r>
        <w:rPr>
          <w:rFonts w:hint="default" w:ascii="Times New Roman" w:hAnsi="Times New Roman" w:cs="Times New Roman"/>
          <w:color w:val="000000" w:themeColor="text1"/>
          <w:szCs w:val="21"/>
          <w:highlight w:val="none"/>
          <w14:textFill>
            <w14:solidFill>
              <w14:schemeClr w14:val="tx1"/>
            </w14:solidFill>
          </w14:textFill>
        </w:rPr>
        <w:t>尚应考虑道路运输条件和现场吊装条件的限制。</w:t>
      </w:r>
      <w:bookmarkEnd w:id="229"/>
      <w:bookmarkEnd w:id="230"/>
      <w:bookmarkEnd w:id="231"/>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232" w:name="_Toc365"/>
      <w:bookmarkStart w:id="233" w:name="_Toc8391"/>
      <w:bookmarkStart w:id="234" w:name="_Toc11380"/>
      <w:bookmarkStart w:id="235" w:name="_Toc10865"/>
      <w:bookmarkStart w:id="236" w:name="_Toc31724"/>
      <w:bookmarkStart w:id="237" w:name="_Toc27387"/>
      <w:bookmarkStart w:id="238" w:name="_Toc32578"/>
      <w:bookmarkStart w:id="239" w:name="_Toc8868"/>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5.3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平</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面</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设</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计</w:t>
      </w:r>
      <w:bookmarkEnd w:id="232"/>
      <w:bookmarkEnd w:id="233"/>
      <w:bookmarkEnd w:id="234"/>
      <w:bookmarkEnd w:id="235"/>
      <w:bookmarkEnd w:id="236"/>
      <w:bookmarkEnd w:id="237"/>
      <w:bookmarkEnd w:id="238"/>
      <w:bookmarkEnd w:id="239"/>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240" w:name="_Toc17268"/>
      <w:bookmarkStart w:id="241" w:name="_Toc14775"/>
      <w:bookmarkStart w:id="242" w:name="_Toc3354"/>
      <w:bookmarkStart w:id="243" w:name="_Toc26501"/>
      <w:r>
        <w:rPr>
          <w:rFonts w:hint="default" w:ascii="Times New Roman" w:hAnsi="Times New Roman" w:cs="Times New Roman"/>
          <w:b/>
          <w:color w:val="000000" w:themeColor="text1"/>
          <w:szCs w:val="21"/>
          <w:highlight w:val="none"/>
          <w14:textFill>
            <w14:solidFill>
              <w14:schemeClr w14:val="tx1"/>
            </w14:solidFill>
          </w14:textFill>
        </w:rPr>
        <w:t xml:space="preserve">5.3.1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混凝土模块化建筑的平面设计应符合下列规定：</w:t>
      </w:r>
      <w:bookmarkEnd w:id="240"/>
      <w:bookmarkEnd w:id="241"/>
      <w:bookmarkEnd w:id="242"/>
      <w:bookmarkEnd w:id="243"/>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44" w:name="_Toc13279"/>
      <w:bookmarkStart w:id="245" w:name="_Toc6679"/>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平面的功能区应通过标准模块的尺寸组合进行布置，其布置宜简洁、规则、对称</w:t>
      </w:r>
      <w:bookmarkEnd w:id="244"/>
      <w:bookmarkEnd w:id="245"/>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46" w:name="_Toc30661"/>
      <w:bookmarkStart w:id="247" w:name="_Toc15792"/>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平面中</w:t>
      </w:r>
      <w:r>
        <w:rPr>
          <w:rFonts w:hint="default" w:ascii="Times New Roman" w:hAnsi="Times New Roman" w:cs="Times New Roman"/>
          <w:color w:val="000000" w:themeColor="text1"/>
          <w:szCs w:val="21"/>
          <w:highlight w:val="none"/>
          <w14:textFill>
            <w14:solidFill>
              <w14:schemeClr w14:val="tx1"/>
            </w14:solidFill>
          </w14:textFill>
        </w:rPr>
        <w:t>模块数量应尽量少，在综合考虑重量、运输限制及减少拼缝的情况下，减少拼缝；同一功能区由多个模块组成时，功能区内的设备、门窗、固定收纳等不宜跨模块布置</w:t>
      </w:r>
      <w:bookmarkEnd w:id="246"/>
      <w:bookmarkEnd w:id="247"/>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48" w:name="_Toc22051"/>
      <w:bookmarkStart w:id="249" w:name="_Toc26604"/>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楼梯间、电梯间、卫生间、厨房等具有特定功能且管线密集区域，宜采用独立模块单元</w:t>
      </w:r>
      <w:bookmarkEnd w:id="248"/>
      <w:bookmarkEnd w:id="249"/>
      <w:r>
        <w:rPr>
          <w:rFonts w:hint="default" w:ascii="Times New Roman" w:hAnsi="Times New Roman" w:cs="Times New Roman"/>
          <w:color w:val="000000" w:themeColor="text1"/>
          <w:szCs w:val="21"/>
          <w:highlight w:val="none"/>
          <w:lang w:val="en-US" w:eastAsia="zh-CN"/>
          <w14:textFill>
            <w14:solidFill>
              <w14:schemeClr w14:val="tx1"/>
            </w14:solidFill>
          </w14:textFill>
        </w:rPr>
        <w:t>或作为独立模块单元一部分</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50" w:name="_Toc1222"/>
      <w:bookmarkStart w:id="251" w:name="_Toc15632"/>
      <w:r>
        <w:rPr>
          <w:rFonts w:hint="default" w:ascii="Times New Roman" w:hAnsi="Times New Roman" w:cs="Times New Roman"/>
          <w:b/>
          <w:bCs/>
          <w:color w:val="000000" w:themeColor="text1"/>
          <w:szCs w:val="21"/>
          <w:highlight w:val="none"/>
          <w14:textFill>
            <w14:solidFill>
              <w14:schemeClr w14:val="tx1"/>
            </w14:solidFill>
          </w14:textFill>
        </w:rPr>
        <w:t xml:space="preserve">4 </w:t>
      </w:r>
      <w:r>
        <w:rPr>
          <w:rFonts w:hint="default" w:ascii="Times New Roman" w:hAnsi="Times New Roman" w:cs="Times New Roman"/>
          <w:color w:val="000000" w:themeColor="text1"/>
          <w:szCs w:val="21"/>
          <w:highlight w:val="none"/>
          <w14:textFill>
            <w14:solidFill>
              <w14:schemeClr w14:val="tx1"/>
            </w14:solidFill>
          </w14:textFill>
        </w:rPr>
        <w:t xml:space="preserve"> 模块布置应考虑与结构支撑、剪力墙等布置的协调，当模块单元的布置方案上下层无法完全一致时，</w:t>
      </w:r>
      <w:r>
        <w:rPr>
          <w:rFonts w:hint="default" w:ascii="Times New Roman" w:hAnsi="Times New Roman" w:cs="Times New Roman"/>
          <w:color w:val="000000" w:themeColor="text1"/>
          <w:szCs w:val="21"/>
          <w:highlight w:val="none"/>
          <w:lang w:val="en-US" w:eastAsia="zh-CN"/>
          <w14:textFill>
            <w14:solidFill>
              <w14:schemeClr w14:val="tx1"/>
            </w14:solidFill>
          </w14:textFill>
        </w:rPr>
        <w:t>应</w:t>
      </w:r>
      <w:r>
        <w:rPr>
          <w:rFonts w:hint="default" w:ascii="Times New Roman" w:hAnsi="Times New Roman" w:cs="Times New Roman"/>
          <w:color w:val="000000" w:themeColor="text1"/>
          <w:szCs w:val="21"/>
          <w:highlight w:val="none"/>
          <w14:textFill>
            <w14:solidFill>
              <w14:schemeClr w14:val="tx1"/>
            </w14:solidFill>
          </w14:textFill>
        </w:rPr>
        <w:t>满足结构竖向构件连续性的要求</w:t>
      </w:r>
      <w:bookmarkEnd w:id="250"/>
      <w:bookmarkEnd w:id="25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52" w:name="_Toc984"/>
      <w:bookmarkStart w:id="253" w:name="_Toc18765"/>
      <w:r>
        <w:rPr>
          <w:rFonts w:hint="default" w:ascii="Times New Roman" w:hAnsi="Times New Roman" w:cs="Times New Roman"/>
          <w:b/>
          <w:bCs/>
          <w:color w:val="000000" w:themeColor="text1"/>
          <w:szCs w:val="21"/>
          <w:highlight w:val="none"/>
          <w14:textFill>
            <w14:solidFill>
              <w14:schemeClr w14:val="tx1"/>
            </w14:solidFill>
          </w14:textFill>
        </w:rPr>
        <w:t xml:space="preserve">5 </w:t>
      </w:r>
      <w:r>
        <w:rPr>
          <w:rFonts w:hint="default" w:ascii="Times New Roman" w:hAnsi="Times New Roman" w:cs="Times New Roman"/>
          <w:color w:val="000000" w:themeColor="text1"/>
          <w:szCs w:val="21"/>
          <w:highlight w:val="none"/>
          <w14:textFill>
            <w14:solidFill>
              <w14:schemeClr w14:val="tx1"/>
            </w14:solidFill>
          </w14:textFill>
        </w:rPr>
        <w:t xml:space="preserve"> 建筑平面设计时应考虑相邻模块单元的连接关系；模块间管线接口应集中设置，并进行管线综合设计。</w:t>
      </w:r>
      <w:bookmarkEnd w:id="252"/>
      <w:bookmarkEnd w:id="253"/>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5.3.2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混凝土模块化建筑平面设计中，楼梯间、电梯间、设备管井等公共区域应符合人流、物流通行以及安全疏散等要求。</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254" w:name="_Toc11279"/>
      <w:bookmarkStart w:id="255" w:name="_Toc32586"/>
      <w:bookmarkStart w:id="256" w:name="_Toc31358"/>
      <w:bookmarkStart w:id="257" w:name="_Toc31634"/>
      <w:bookmarkStart w:id="258" w:name="_Toc31668"/>
      <w:bookmarkStart w:id="259" w:name="_Toc27936"/>
      <w:bookmarkStart w:id="260" w:name="_Toc12001"/>
      <w:bookmarkStart w:id="261" w:name="_Toc3793"/>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5.4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立</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面</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设</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计</w:t>
      </w:r>
      <w:bookmarkEnd w:id="254"/>
      <w:bookmarkEnd w:id="255"/>
      <w:bookmarkEnd w:id="256"/>
      <w:bookmarkEnd w:id="257"/>
      <w:bookmarkEnd w:id="258"/>
      <w:bookmarkEnd w:id="259"/>
      <w:bookmarkEnd w:id="260"/>
      <w:bookmarkEnd w:id="261"/>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262" w:name="_Toc11791"/>
      <w:bookmarkStart w:id="263" w:name="_Toc22714"/>
      <w:bookmarkStart w:id="264" w:name="_Toc17576"/>
      <w:r>
        <w:rPr>
          <w:rFonts w:hint="default" w:ascii="Times New Roman" w:hAnsi="Times New Roman" w:cs="Times New Roman"/>
          <w:b/>
          <w:color w:val="000000" w:themeColor="text1"/>
          <w:szCs w:val="21"/>
          <w:highlight w:val="none"/>
          <w14:textFill>
            <w14:solidFill>
              <w14:schemeClr w14:val="tx1"/>
            </w14:solidFill>
          </w14:textFill>
        </w:rPr>
        <w:t xml:space="preserve">5.4.1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混凝土模块化建筑立面设计应符合下列规定：</w:t>
      </w:r>
      <w:bookmarkEnd w:id="262"/>
      <w:bookmarkEnd w:id="263"/>
      <w:bookmarkEnd w:id="26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65" w:name="_Toc10025"/>
      <w:bookmarkStart w:id="266" w:name="_Toc6967"/>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立面设计应符合规划要求，外形应结合建设地区的环境特点确定。</w:t>
      </w:r>
      <w:bookmarkEnd w:id="265"/>
      <w:bookmarkEnd w:id="266"/>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67" w:name="_Toc1208"/>
      <w:bookmarkStart w:id="268" w:name="_Toc11156"/>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外立面分割尺寸合理，并应与模块拼缝位置相协调</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造型</w:t>
      </w:r>
      <w:r>
        <w:rPr>
          <w:rFonts w:hint="default" w:ascii="Times New Roman" w:hAnsi="Times New Roman" w:cs="Times New Roman"/>
          <w:color w:val="000000" w:themeColor="text1"/>
          <w:szCs w:val="21"/>
          <w:highlight w:val="none"/>
          <w14:textFill>
            <w14:solidFill>
              <w14:schemeClr w14:val="tx1"/>
            </w14:solidFill>
          </w14:textFill>
        </w:rPr>
        <w:t>简洁。</w:t>
      </w:r>
      <w:bookmarkEnd w:id="267"/>
      <w:bookmarkEnd w:id="268"/>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69" w:name="_Toc9136"/>
      <w:bookmarkStart w:id="270" w:name="_Toc32486"/>
      <w:r>
        <w:rPr>
          <w:rFonts w:hint="default" w:ascii="Times New Roman" w:hAnsi="Times New Roman" w:cs="Times New Roman"/>
          <w:b/>
          <w:bCs/>
          <w:color w:val="000000" w:themeColor="text1"/>
          <w:szCs w:val="21"/>
          <w:highlight w:val="none"/>
          <w14:textFill>
            <w14:solidFill>
              <w14:schemeClr w14:val="tx1"/>
            </w14:solidFill>
          </w14:textFill>
        </w:rPr>
        <w:t xml:space="preserve">3 </w:t>
      </w:r>
      <w:r>
        <w:rPr>
          <w:rFonts w:hint="default" w:ascii="Times New Roman" w:hAnsi="Times New Roman" w:cs="Times New Roman"/>
          <w:color w:val="000000" w:themeColor="text1"/>
          <w:szCs w:val="21"/>
          <w:highlight w:val="none"/>
          <w14:textFill>
            <w14:solidFill>
              <w14:schemeClr w14:val="tx1"/>
            </w14:solidFill>
          </w14:textFill>
        </w:rPr>
        <w:t xml:space="preserve"> 立面设计应充分考虑模块单元间接口公差，</w:t>
      </w:r>
      <w:r>
        <w:rPr>
          <w:rFonts w:hint="default" w:ascii="Times New Roman" w:hAnsi="Times New Roman" w:cs="Times New Roman"/>
          <w:color w:val="000000" w:themeColor="text1"/>
          <w:szCs w:val="21"/>
          <w:highlight w:val="none"/>
          <w:lang w:val="en-US" w:eastAsia="zh-CN"/>
          <w14:textFill>
            <w14:solidFill>
              <w14:schemeClr w14:val="tx1"/>
            </w14:solidFill>
          </w14:textFill>
        </w:rPr>
        <w:t>方案设计时宜考虑好拼缝的遮蔽</w:t>
      </w:r>
      <w:r>
        <w:rPr>
          <w:rFonts w:hint="default" w:ascii="Times New Roman" w:hAnsi="Times New Roman" w:cs="Times New Roman"/>
          <w:color w:val="000000" w:themeColor="text1"/>
          <w:szCs w:val="21"/>
          <w:highlight w:val="none"/>
          <w14:textFill>
            <w14:solidFill>
              <w14:schemeClr w14:val="tx1"/>
            </w14:solidFill>
          </w14:textFill>
        </w:rPr>
        <w:t>。</w:t>
      </w:r>
      <w:bookmarkEnd w:id="269"/>
      <w:bookmarkEnd w:id="270"/>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271" w:name="_Toc20349"/>
      <w:bookmarkStart w:id="272" w:name="_Toc28083"/>
      <w:r>
        <w:rPr>
          <w:rFonts w:hint="default" w:ascii="Times New Roman" w:hAnsi="Times New Roman" w:cs="Times New Roman"/>
          <w:b/>
          <w:color w:val="000000" w:themeColor="text1"/>
          <w:szCs w:val="21"/>
          <w:highlight w:val="none"/>
          <w14:textFill>
            <w14:solidFill>
              <w14:schemeClr w14:val="tx1"/>
            </w14:solidFill>
          </w14:textFill>
        </w:rPr>
        <w:t xml:space="preserve">5.4.2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混凝土模块化建筑立面设计宜采用标准化模块单元的不同组合形式来实现多样化的建筑造型及使用功能。</w:t>
      </w:r>
      <w:bookmarkEnd w:id="271"/>
      <w:bookmarkEnd w:id="272"/>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273" w:name="_Toc31042"/>
      <w:bookmarkStart w:id="274" w:name="_Toc11987"/>
      <w:bookmarkStart w:id="275" w:name="_Toc25495"/>
      <w:r>
        <w:rPr>
          <w:rFonts w:hint="default" w:ascii="Times New Roman" w:hAnsi="Times New Roman" w:cs="Times New Roman"/>
          <w:b/>
          <w:color w:val="000000" w:themeColor="text1"/>
          <w:szCs w:val="21"/>
          <w:highlight w:val="none"/>
          <w14:textFill>
            <w14:solidFill>
              <w14:schemeClr w14:val="tx1"/>
            </w14:solidFill>
          </w14:textFill>
        </w:rPr>
        <w:t xml:space="preserve">5.4.3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混凝土模块化建筑立面设计应符合下列规定：</w:t>
      </w:r>
      <w:bookmarkEnd w:id="273"/>
      <w:bookmarkEnd w:id="274"/>
      <w:bookmarkEnd w:id="275"/>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76" w:name="_Toc24192"/>
      <w:bookmarkStart w:id="277" w:name="_Toc11115"/>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外墙、阳台板、空调板、外窗、遮阳设施及装饰等部品部件宜进行标准化设计</w:t>
      </w:r>
      <w:bookmarkEnd w:id="276"/>
      <w:bookmarkEnd w:id="277"/>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78" w:name="_Toc10127"/>
      <w:bookmarkStart w:id="279" w:name="_Toc23920"/>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外墙装饰面层宜采用免抹灰涂料</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清水混凝土和装饰混凝土等</w:t>
      </w:r>
      <w:r>
        <w:rPr>
          <w:rFonts w:hint="default" w:ascii="Times New Roman" w:hAnsi="Times New Roman" w:cs="Times New Roman"/>
          <w:color w:val="000000" w:themeColor="text1"/>
          <w:szCs w:val="21"/>
          <w:highlight w:val="none"/>
          <w:lang w:val="en-US" w:eastAsia="zh-CN"/>
          <w14:textFill>
            <w14:solidFill>
              <w14:schemeClr w14:val="tx1"/>
            </w14:solidFill>
          </w14:textFill>
        </w:rPr>
        <w:t>易维护、</w:t>
      </w:r>
      <w:r>
        <w:rPr>
          <w:rFonts w:hint="default" w:ascii="Times New Roman" w:hAnsi="Times New Roman" w:cs="Times New Roman"/>
          <w:color w:val="000000" w:themeColor="text1"/>
          <w:szCs w:val="21"/>
          <w:highlight w:val="none"/>
          <w14:textFill>
            <w14:solidFill>
              <w14:schemeClr w14:val="tx1"/>
            </w14:solidFill>
          </w14:textFill>
        </w:rPr>
        <w:t>耐久性强的建筑材料</w:t>
      </w:r>
      <w:bookmarkEnd w:id="278"/>
      <w:bookmarkEnd w:id="279"/>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280" w:name="_Toc22761"/>
      <w:bookmarkStart w:id="281" w:name="_Toc16572"/>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应保证模块垂直和水平接缝的防水处理满足使用功能、美观和规范的要求，还应保证具有施工的安全性、操作的简便性。</w:t>
      </w:r>
      <w:bookmarkEnd w:id="280"/>
      <w:bookmarkEnd w:id="281"/>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282" w:name="_Toc15641"/>
      <w:bookmarkStart w:id="283" w:name="_Toc30221"/>
      <w:bookmarkStart w:id="284" w:name="_Toc8856"/>
      <w:bookmarkStart w:id="285" w:name="_Toc15388"/>
      <w:bookmarkStart w:id="286" w:name="_Toc22294"/>
      <w:bookmarkStart w:id="287" w:name="_Toc13301"/>
      <w:bookmarkStart w:id="288" w:name="_Toc26862"/>
      <w:bookmarkStart w:id="289" w:name="_Toc26867"/>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5.5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建</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筑</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构</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造</w:t>
      </w:r>
      <w:bookmarkEnd w:id="282"/>
      <w:bookmarkEnd w:id="283"/>
      <w:bookmarkEnd w:id="284"/>
      <w:bookmarkEnd w:id="285"/>
      <w:bookmarkEnd w:id="286"/>
      <w:bookmarkEnd w:id="287"/>
      <w:bookmarkEnd w:id="288"/>
      <w:bookmarkEnd w:id="289"/>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5.5.1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外围护系统应符合国家、广东省及各地区建筑节能、绿色建筑等设计标准的规定。外围护系统的抗风、抗震、耐撞击、防火、水密、气密、隔声、热工和耐久性能应根据气候条件、使用功能等综合确定。屋面系统尚应满足结构性能要求。</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5.5.2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w:t>
      </w:r>
      <w:r>
        <w:rPr>
          <w:rFonts w:hint="default" w:ascii="Times New Roman" w:hAnsi="Times New Roman" w:cs="Times New Roman"/>
          <w:color w:val="000000" w:themeColor="text1"/>
          <w:szCs w:val="21"/>
          <w:highlight w:val="none"/>
          <w:lang w:val="en-US" w:eastAsia="zh-CN"/>
          <w14:textFill>
            <w14:solidFill>
              <w14:schemeClr w14:val="tx1"/>
            </w14:solidFill>
          </w14:textFill>
        </w:rPr>
        <w:t>的</w:t>
      </w:r>
      <w:r>
        <w:rPr>
          <w:rFonts w:hint="default" w:ascii="Times New Roman" w:hAnsi="Times New Roman" w:cs="Times New Roman"/>
          <w:color w:val="000000" w:themeColor="text1"/>
          <w:szCs w:val="21"/>
          <w:highlight w:val="none"/>
          <w14:textFill>
            <w14:solidFill>
              <w14:schemeClr w14:val="tx1"/>
            </w14:solidFill>
          </w14:textFill>
        </w:rPr>
        <w:t xml:space="preserve">屋面构造应满足建筑节能、防火和防水的要求，并应符合下列规定： </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90" w:name="_Toc23345"/>
      <w:bookmarkStart w:id="291" w:name="_Toc18806"/>
      <w:bookmarkStart w:id="292" w:name="_Toc21459"/>
      <w:r>
        <w:rPr>
          <w:rFonts w:hint="default" w:ascii="Times New Roman" w:hAnsi="Times New Roman" w:cs="Times New Roman"/>
          <w:b/>
          <w:bCs/>
          <w:color w:val="000000" w:themeColor="text1"/>
          <w:szCs w:val="21"/>
          <w:highlight w:val="none"/>
          <w14:textFill>
            <w14:solidFill>
              <w14:schemeClr w14:val="tx1"/>
            </w14:solidFill>
          </w14:textFill>
        </w:rPr>
        <w:t xml:space="preserve">1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建筑屋面宜采用平屋面</w:t>
      </w:r>
      <w:bookmarkEnd w:id="290"/>
      <w:bookmarkEnd w:id="291"/>
      <w:bookmarkEnd w:id="29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93" w:name="_Toc26217"/>
      <w:bookmarkStart w:id="294" w:name="_Toc8613"/>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屋面建筑面层防火、防水和保温隔热应符合现行国家标准《屋面工程技术规范》GB 50345</w:t>
      </w:r>
      <w:r>
        <w:rPr>
          <w:rFonts w:hint="default" w:ascii="Times New Roman" w:hAnsi="Times New Roman"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Cs w:val="21"/>
          <w:highlight w:val="none"/>
          <w14:textFill>
            <w14:solidFill>
              <w14:schemeClr w14:val="tx1"/>
            </w14:solidFill>
          </w14:textFill>
        </w:rPr>
        <w:t>《建筑设计防火规范》GB 50016的有关规定</w:t>
      </w:r>
      <w:bookmarkEnd w:id="293"/>
      <w:bookmarkEnd w:id="294"/>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95" w:name="_Toc13882"/>
      <w:bookmarkStart w:id="296" w:name="_Toc10735"/>
      <w:bookmarkStart w:id="297" w:name="_Toc14239"/>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当采用的屋面保温材料亲水性较弱时，应采用倒置屋面做法</w:t>
      </w:r>
      <w:bookmarkEnd w:id="295"/>
      <w:bookmarkEnd w:id="296"/>
      <w:bookmarkEnd w:id="297"/>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298" w:name="_Toc16983"/>
      <w:bookmarkStart w:id="299" w:name="_Toc12726"/>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屋面系统应确保保温材料、隔汽层的连续性、密闭性和整体性</w:t>
      </w:r>
      <w:bookmarkEnd w:id="298"/>
      <w:bookmarkEnd w:id="299"/>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lang w:eastAsia="zh-CN"/>
          <w14:textFill>
            <w14:solidFill>
              <w14:schemeClr w14:val="tx1"/>
            </w14:solidFill>
          </w14:textFill>
        </w:rPr>
      </w:pPr>
      <w:bookmarkStart w:id="300" w:name="_Toc22716"/>
      <w:bookmarkStart w:id="301" w:name="_Toc289"/>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当</w:t>
      </w:r>
      <w:r>
        <w:rPr>
          <w:rFonts w:hint="default" w:ascii="Times New Roman" w:hAnsi="Times New Roman" w:cs="Times New Roman"/>
          <w:color w:val="000000" w:themeColor="text1"/>
          <w:szCs w:val="21"/>
          <w:highlight w:val="none"/>
          <w14:textFill>
            <w14:solidFill>
              <w14:schemeClr w14:val="tx1"/>
            </w14:solidFill>
          </w14:textFill>
        </w:rPr>
        <w:t>屋面</w:t>
      </w:r>
      <w:r>
        <w:rPr>
          <w:rFonts w:hint="default" w:ascii="Times New Roman" w:hAnsi="Times New Roman" w:cs="Times New Roman"/>
          <w:color w:val="000000" w:themeColor="text1"/>
          <w:szCs w:val="21"/>
          <w:highlight w:val="none"/>
          <w:lang w:val="en-US" w:eastAsia="zh-CN"/>
          <w14:textFill>
            <w14:solidFill>
              <w14:schemeClr w14:val="tx1"/>
            </w14:solidFill>
          </w14:textFill>
        </w:rPr>
        <w:t>楼板采用全预制楼板时，楼板</w:t>
      </w:r>
      <w:r>
        <w:rPr>
          <w:rFonts w:hint="default" w:ascii="Times New Roman" w:hAnsi="Times New Roman" w:cs="Times New Roman"/>
          <w:color w:val="000000" w:themeColor="text1"/>
          <w:szCs w:val="21"/>
          <w:highlight w:val="none"/>
          <w14:textFill>
            <w14:solidFill>
              <w14:schemeClr w14:val="tx1"/>
            </w14:solidFill>
          </w14:textFill>
        </w:rPr>
        <w:t>接缝处</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图5.5.2</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混凝土应留后浇带，后浇混凝土厚度不应小于100mm</w:t>
      </w:r>
      <w:bookmarkEnd w:id="300"/>
      <w:bookmarkEnd w:id="301"/>
      <w:r>
        <w:rPr>
          <w:rFonts w:hint="default" w:ascii="Times New Roman" w:hAnsi="Times New Roman" w:cs="Times New Roman"/>
          <w:color w:val="000000" w:themeColor="text1"/>
          <w:szCs w:val="21"/>
          <w:highlight w:val="none"/>
          <w:lang w:eastAsia="zh-CN"/>
          <w14:textFill>
            <w14:solidFill>
              <w14:schemeClr w14:val="tx1"/>
            </w14:solidFill>
          </w14:textFill>
        </w:rPr>
        <w:t>。</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7"/>
        <w:gridCol w:w="3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36" w:hRule="atLeast"/>
        </w:trPr>
        <w:tc>
          <w:tcPr>
            <w:tcW w:w="3067" w:type="dxa"/>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800225" cy="1289050"/>
                  <wp:effectExtent l="0" t="0" r="9525" b="6350"/>
                  <wp:docPr id="3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true"/>
                          </pic:cNvPicPr>
                        </pic:nvPicPr>
                        <pic:blipFill>
                          <a:blip r:embed="rId21"/>
                          <a:stretch>
                            <a:fillRect/>
                          </a:stretch>
                        </pic:blipFill>
                        <pic:spPr>
                          <a:xfrm>
                            <a:off x="0" y="0"/>
                            <a:ext cx="1800225" cy="1289050"/>
                          </a:xfrm>
                          <a:prstGeom prst="rect">
                            <a:avLst/>
                          </a:prstGeom>
                          <a:noFill/>
                          <a:ln>
                            <a:noFill/>
                          </a:ln>
                        </pic:spPr>
                      </pic:pic>
                    </a:graphicData>
                  </a:graphic>
                </wp:inline>
              </w:drawing>
            </w:r>
          </w:p>
        </w:tc>
        <w:tc>
          <w:tcPr>
            <w:tcW w:w="3067" w:type="dxa"/>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800225" cy="1294765"/>
                  <wp:effectExtent l="0" t="0" r="9525" b="635"/>
                  <wp:docPr id="3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true"/>
                          </pic:cNvPicPr>
                        </pic:nvPicPr>
                        <pic:blipFill>
                          <a:blip r:embed="rId22"/>
                          <a:stretch>
                            <a:fillRect/>
                          </a:stretch>
                        </pic:blipFill>
                        <pic:spPr>
                          <a:xfrm>
                            <a:off x="0" y="0"/>
                            <a:ext cx="1800225" cy="12947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067" w:type="dxa"/>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黑体" w:cs="Times New Roman"/>
                <w:bCs/>
                <w:iCs/>
                <w:color w:val="000000" w:themeColor="text1"/>
                <w:sz w:val="18"/>
                <w:szCs w:val="18"/>
                <w:highlight w:val="none"/>
                <w:lang w:eastAsia="zh-CN"/>
                <w14:textFill>
                  <w14:solidFill>
                    <w14:schemeClr w14:val="tx1"/>
                  </w14:solidFill>
                </w14:textFill>
              </w:rPr>
              <w:t>（</w:t>
            </w:r>
            <w:r>
              <w:rPr>
                <w:rFonts w:hint="default" w:ascii="Times New Roman" w:hAnsi="Times New Roman" w:eastAsia="黑体" w:cs="Times New Roman"/>
                <w:bCs/>
                <w:iCs/>
                <w:color w:val="000000" w:themeColor="text1"/>
                <w:sz w:val="18"/>
                <w:szCs w:val="18"/>
                <w:highlight w:val="none"/>
                <w:lang w:val="en-US" w:eastAsia="zh-CN"/>
                <w14:textFill>
                  <w14:solidFill>
                    <w14:schemeClr w14:val="tx1"/>
                  </w14:solidFill>
                </w14:textFill>
              </w:rPr>
              <w:t>a</w:t>
            </w:r>
            <w:r>
              <w:rPr>
                <w:rFonts w:hint="default" w:ascii="Times New Roman" w:hAnsi="Times New Roman" w:eastAsia="黑体" w:cs="Times New Roman"/>
                <w:bCs/>
                <w:iCs/>
                <w:color w:val="000000" w:themeColor="text1"/>
                <w:sz w:val="18"/>
                <w:szCs w:val="18"/>
                <w:highlight w:val="none"/>
                <w:lang w:eastAsia="zh-CN"/>
                <w14:textFill>
                  <w14:solidFill>
                    <w14:schemeClr w14:val="tx1"/>
                  </w14:solidFill>
                </w14:textFill>
              </w:rPr>
              <w:t>）</w:t>
            </w:r>
            <w:r>
              <w:rPr>
                <w:rFonts w:hint="default" w:ascii="Times New Roman" w:hAnsi="Times New Roman" w:eastAsia="黑体" w:cs="Times New Roman"/>
                <w:bCs/>
                <w:iCs/>
                <w:color w:val="000000" w:themeColor="text1"/>
                <w:sz w:val="18"/>
                <w:szCs w:val="18"/>
                <w:highlight w:val="none"/>
                <w:lang w:val="en-US" w:eastAsia="zh-CN"/>
                <w14:textFill>
                  <w14:solidFill>
                    <w14:schemeClr w14:val="tx1"/>
                  </w14:solidFill>
                </w14:textFill>
              </w:rPr>
              <w:t>模块间剪力墙拼缝部位</w:t>
            </w:r>
          </w:p>
        </w:tc>
        <w:tc>
          <w:tcPr>
            <w:tcW w:w="3067" w:type="dxa"/>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黑体" w:cs="Times New Roman"/>
                <w:bCs/>
                <w:iCs/>
                <w:color w:val="000000" w:themeColor="text1"/>
                <w:sz w:val="18"/>
                <w:szCs w:val="18"/>
                <w:highlight w:val="none"/>
                <w:lang w:eastAsia="zh-CN"/>
                <w14:textFill>
                  <w14:solidFill>
                    <w14:schemeClr w14:val="tx1"/>
                  </w14:solidFill>
                </w14:textFill>
              </w:rPr>
              <w:t>（</w:t>
            </w:r>
            <w:r>
              <w:rPr>
                <w:rFonts w:hint="default" w:ascii="Times New Roman" w:hAnsi="Times New Roman" w:eastAsia="黑体" w:cs="Times New Roman"/>
                <w:bCs/>
                <w:iCs/>
                <w:color w:val="000000" w:themeColor="text1"/>
                <w:sz w:val="18"/>
                <w:szCs w:val="18"/>
                <w:highlight w:val="none"/>
                <w:lang w:val="en-US" w:eastAsia="zh-CN"/>
                <w14:textFill>
                  <w14:solidFill>
                    <w14:schemeClr w14:val="tx1"/>
                  </w14:solidFill>
                </w14:textFill>
              </w:rPr>
              <w:t>b</w:t>
            </w:r>
            <w:r>
              <w:rPr>
                <w:rFonts w:hint="default" w:ascii="Times New Roman" w:hAnsi="Times New Roman" w:eastAsia="黑体" w:cs="Times New Roman"/>
                <w:bCs/>
                <w:iCs/>
                <w:color w:val="000000" w:themeColor="text1"/>
                <w:sz w:val="18"/>
                <w:szCs w:val="18"/>
                <w:highlight w:val="none"/>
                <w:lang w:eastAsia="zh-CN"/>
                <w14:textFill>
                  <w14:solidFill>
                    <w14:schemeClr w14:val="tx1"/>
                  </w14:solidFill>
                </w14:textFill>
              </w:rPr>
              <w:t>）</w:t>
            </w:r>
            <w:r>
              <w:rPr>
                <w:rFonts w:hint="default" w:ascii="Times New Roman" w:hAnsi="Times New Roman" w:eastAsia="黑体" w:cs="Times New Roman"/>
                <w:bCs/>
                <w:iCs/>
                <w:color w:val="000000" w:themeColor="text1"/>
                <w:sz w:val="18"/>
                <w:szCs w:val="18"/>
                <w:highlight w:val="none"/>
                <w:lang w:val="en-US" w:eastAsia="zh-CN"/>
                <w14:textFill>
                  <w14:solidFill>
                    <w14:schemeClr w14:val="tx1"/>
                  </w14:solidFill>
                </w14:textFill>
              </w:rPr>
              <w:t>模块间隔墙拼缝部位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4" w:type="dxa"/>
            <w:gridSpan w:val="2"/>
          </w:tcPr>
          <w:p>
            <w:pPr>
              <w:spacing w:line="360" w:lineRule="exact"/>
              <w:jc w:val="center"/>
              <w:rPr>
                <w:rFonts w:hint="default" w:ascii="Times New Roman" w:hAnsi="Times New Roman" w:eastAsia="黑体" w:cs="Times New Roman"/>
                <w:bCs/>
                <w:iCs/>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黑体" w:cs="Times New Roman"/>
                <w:bCs/>
                <w:iCs/>
                <w:color w:val="000000" w:themeColor="text1"/>
                <w:sz w:val="18"/>
                <w:szCs w:val="18"/>
                <w:highlight w:val="none"/>
                <w:vertAlign w:val="baseline"/>
                <w:lang w:val="en-US" w:eastAsia="zh-CN"/>
                <w14:textFill>
                  <w14:solidFill>
                    <w14:schemeClr w14:val="tx1"/>
                  </w14:solidFill>
                </w14:textFill>
              </w:rPr>
              <w:t>图</w:t>
            </w:r>
            <w:r>
              <w:rPr>
                <w:rFonts w:hint="default" w:ascii="Times New Roman" w:hAnsi="Times New Roman" w:eastAsia="黑体" w:cs="Times New Roman"/>
                <w:b/>
                <w:bCs/>
                <w:iCs/>
                <w:color w:val="000000" w:themeColor="text1"/>
                <w:sz w:val="18"/>
                <w:szCs w:val="18"/>
                <w:highlight w:val="none"/>
                <w:vertAlign w:val="baseline"/>
                <w:lang w:val="en-US" w:eastAsia="zh-CN"/>
                <w14:textFill>
                  <w14:solidFill>
                    <w14:schemeClr w14:val="tx1"/>
                  </w14:solidFill>
                </w14:textFill>
              </w:rPr>
              <w:t xml:space="preserve">5.5.2 </w:t>
            </w:r>
            <w:r>
              <w:rPr>
                <w:rFonts w:hint="default" w:ascii="Times New Roman" w:hAnsi="Times New Roman" w:eastAsia="黑体" w:cs="Times New Roman"/>
                <w:bCs/>
                <w:iCs/>
                <w:color w:val="000000" w:themeColor="text1"/>
                <w:sz w:val="18"/>
                <w:szCs w:val="18"/>
                <w:highlight w:val="none"/>
                <w:vertAlign w:val="baseline"/>
                <w:lang w:val="en-US" w:eastAsia="zh-CN"/>
                <w14:textFill>
                  <w14:solidFill>
                    <w14:schemeClr w14:val="tx1"/>
                  </w14:solidFill>
                </w14:textFill>
              </w:rPr>
              <w:t>屋面模块间楼板接缝节点构造示意图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4" w:type="dxa"/>
            <w:gridSpan w:val="2"/>
          </w:tcPr>
          <w:p>
            <w:pPr>
              <w:spacing w:line="360" w:lineRule="exact"/>
              <w:jc w:val="cente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pPr>
            <w:bookmarkStart w:id="302" w:name="OLE_LINK52"/>
            <w:bookmarkStart w:id="303" w:name="_Toc23651"/>
            <w:bookmarkStart w:id="304" w:name="_Toc4486"/>
            <w:r>
              <w:rPr>
                <w:rFonts w:hint="default" w:ascii="Times New Roman" w:hAnsi="Times New Roman" w:eastAsia="黑体" w:cs="Times New Roman"/>
                <w:bCs/>
                <w:i w:val="0"/>
                <w:iCs/>
                <w:color w:val="000000" w:themeColor="text1"/>
                <w:sz w:val="18"/>
                <w:szCs w:val="18"/>
                <w:highlight w:val="none"/>
                <w:lang w:val="en-US" w:eastAsia="zh-CN"/>
                <w14:textFill>
                  <w14:solidFill>
                    <w14:schemeClr w14:val="tx1"/>
                  </w14:solidFill>
                </w14:textFill>
              </w:rPr>
              <w:t>1</w:t>
            </w:r>
            <w:r>
              <w:rPr>
                <w:rFonts w:hint="default" w:ascii="Times New Roman" w:hAnsi="Times New Roman" w:eastAsia="黑体" w:cs="Times New Roman"/>
                <w:bCs/>
                <w:color w:val="000000" w:themeColor="text1"/>
                <w:sz w:val="18"/>
                <w:szCs w:val="18"/>
                <w:highlight w:val="none"/>
                <w14:textFill>
                  <w14:solidFill>
                    <w14:schemeClr w14:val="tx1"/>
                  </w14:solidFill>
                </w14:textFill>
              </w:rPr>
              <w:t>—</w:t>
            </w:r>
            <w:bookmarkEnd w:id="302"/>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左侧模块</w:t>
            </w:r>
            <w:r>
              <w:rPr>
                <w:rFonts w:hint="default" w:ascii="Times New Roman" w:hAnsi="Times New Roman" w:eastAsia="黑体" w:cs="Times New Roman"/>
                <w:bCs/>
                <w:color w:val="000000" w:themeColor="text1"/>
                <w:sz w:val="18"/>
                <w:szCs w:val="18"/>
                <w:highlight w:val="none"/>
                <w14:textFill>
                  <w14:solidFill>
                    <w14:schemeClr w14:val="tx1"/>
                  </w14:solidFill>
                </w14:textFill>
              </w:rPr>
              <w:t>；</w:t>
            </w: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2</w:t>
            </w:r>
            <w:r>
              <w:rPr>
                <w:rFonts w:hint="default" w:ascii="Times New Roman" w:hAnsi="Times New Roman" w:eastAsia="黑体" w:cs="Times New Roman"/>
                <w:bCs/>
                <w:color w:val="000000" w:themeColor="text1"/>
                <w:sz w:val="18"/>
                <w:szCs w:val="18"/>
                <w:highlight w:val="none"/>
                <w14:textFill>
                  <w14:solidFill>
                    <w14:schemeClr w14:val="tx1"/>
                  </w14:solidFill>
                </w14:textFill>
              </w:rPr>
              <w:t>—</w:t>
            </w: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右侧模块</w:t>
            </w:r>
            <w:bookmarkStart w:id="305" w:name="OLE_LINK58"/>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；3—左侧模块预制楼板</w:t>
            </w:r>
            <w:bookmarkEnd w:id="305"/>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；4</w:t>
            </w:r>
            <w:r>
              <w:rPr>
                <w:rFonts w:hint="default" w:ascii="Times New Roman" w:hAnsi="Times New Roman" w:eastAsia="黑体" w:cs="Times New Roman"/>
                <w:bCs/>
                <w:color w:val="000000" w:themeColor="text1"/>
                <w:sz w:val="18"/>
                <w:szCs w:val="18"/>
                <w:highlight w:val="none"/>
                <w14:textFill>
                  <w14:solidFill>
                    <w14:schemeClr w14:val="tx1"/>
                  </w14:solidFill>
                </w14:textFill>
              </w:rPr>
              <w:t>—</w:t>
            </w: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板拼缝后浇带；</w:t>
            </w:r>
          </w:p>
          <w:p>
            <w:pPr>
              <w:spacing w:line="360" w:lineRule="exact"/>
              <w:jc w:val="cente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5—拼缝搭接钢筋；6—右侧模块预制楼板；7—模块隔墙</w:t>
            </w:r>
          </w:p>
        </w:tc>
      </w:tr>
    </w:tbl>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天窗、天沟、檐沟、檐口、水落管、泛水、变形缝和伸出屋面管道等处应采取与工程特点相适应的防水加强措施。</w:t>
      </w:r>
      <w:bookmarkEnd w:id="303"/>
      <w:bookmarkEnd w:id="304"/>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5.5.3</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建筑外墙应进行整体防水设计，应采用构造防水和材料防水相结合的方式，并应符合下列规定：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06" w:name="_Toc3034"/>
      <w:bookmarkStart w:id="307" w:name="_Toc23993"/>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防水设计应包括外墙防水工程的构造、防水层材料的选择和节点的密封防水构造</w:t>
      </w:r>
      <w:bookmarkEnd w:id="306"/>
      <w:bookmarkEnd w:id="307"/>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08" w:name="_Toc9001"/>
      <w:bookmarkStart w:id="309" w:name="_Toc24931"/>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节点的防水设计应包括门窗洞口、雨篷、</w:t>
      </w:r>
      <w:r>
        <w:rPr>
          <w:rFonts w:hint="default" w:ascii="Times New Roman" w:hAnsi="Times New Roman" w:cs="Times New Roman"/>
          <w:color w:val="000000" w:themeColor="text1"/>
          <w:szCs w:val="21"/>
          <w:highlight w:val="none"/>
          <w:lang w:val="en-US" w:eastAsia="zh-CN"/>
          <w14:textFill>
            <w14:solidFill>
              <w14:schemeClr w14:val="tx1"/>
            </w14:solidFill>
          </w14:textFill>
        </w:rPr>
        <w:t>空调挑板、</w:t>
      </w:r>
      <w:r>
        <w:rPr>
          <w:rFonts w:hint="default" w:ascii="Times New Roman" w:hAnsi="Times New Roman" w:cs="Times New Roman"/>
          <w:color w:val="000000" w:themeColor="text1"/>
          <w:szCs w:val="21"/>
          <w:highlight w:val="none"/>
          <w14:textFill>
            <w14:solidFill>
              <w14:schemeClr w14:val="tx1"/>
            </w14:solidFill>
          </w14:textFill>
        </w:rPr>
        <w:t>阳台、变形缝、伸出外墙管道、女儿墙压顶、外墙预埋件、模块单元等交接部位的防水构造</w:t>
      </w:r>
      <w:bookmarkEnd w:id="308"/>
      <w:bookmarkEnd w:id="309"/>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10" w:name="_Toc15210"/>
      <w:bookmarkStart w:id="311" w:name="_Toc11824"/>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模块单元间及模块单元与非模块结构间的拼接水平缝及竖向缝应进行防水设计。</w:t>
      </w:r>
      <w:bookmarkEnd w:id="310"/>
      <w:bookmarkEnd w:id="311"/>
    </w:p>
    <w:p>
      <w:pPr>
        <w:spacing w:line="360" w:lineRule="exact"/>
        <w:ind w:firstLine="421" w:firstLineChars="200"/>
        <w:rPr>
          <w:rFonts w:hint="default" w:ascii="Times New Roman" w:hAnsi="Times New Roman" w:cs="Times New Roman"/>
          <w:color w:val="000000" w:themeColor="text1"/>
          <w:szCs w:val="21"/>
          <w:highlight w:val="none"/>
          <w:lang w:eastAsia="zh-CN"/>
          <w14:textFill>
            <w14:solidFill>
              <w14:schemeClr w14:val="tx1"/>
            </w14:solidFill>
          </w14:textFill>
        </w:rPr>
      </w:pPr>
      <w:bookmarkStart w:id="312" w:name="_Toc11968"/>
      <w:bookmarkStart w:id="313" w:name="_Toc18972"/>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预制和现浇混凝土的结合位置应采取有效的防渗措施，并宜结合建筑外立面设置分隔线条</w:t>
      </w:r>
      <w:bookmarkEnd w:id="312"/>
      <w:bookmarkEnd w:id="313"/>
      <w:bookmarkStart w:id="314" w:name="_Toc27922"/>
      <w:bookmarkStart w:id="315" w:name="_Toc42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外墙构造应满足外保温材料的粘、锚等要求，外保温材料锚固节点应采取防水措施。</w:t>
      </w:r>
      <w:bookmarkEnd w:id="314"/>
      <w:bookmarkEnd w:id="315"/>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5.5.4</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门窗洞边、屋面、檐口、勒脚等部位应采用加强防水做法，防水材料宜选用弹性材料，并应避免建筑模块单元运输及安装过程中对防水材料产生破坏。</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316" w:name="_Toc16989"/>
      <w:bookmarkStart w:id="317" w:name="_Toc11173"/>
      <w:bookmarkStart w:id="318" w:name="_Toc12444"/>
      <w:bookmarkStart w:id="319" w:name="_Toc7972"/>
      <w:bookmarkStart w:id="320" w:name="_Toc17221"/>
      <w:r>
        <w:rPr>
          <w:rFonts w:hint="default" w:ascii="Times New Roman" w:hAnsi="Times New Roman" w:cs="Times New Roman"/>
          <w:b/>
          <w:bCs/>
          <w:color w:val="000000" w:themeColor="text1"/>
          <w:szCs w:val="21"/>
          <w:highlight w:val="none"/>
          <w14:textFill>
            <w14:solidFill>
              <w14:schemeClr w14:val="tx1"/>
            </w14:solidFill>
          </w14:textFill>
        </w:rPr>
        <w:t>5.5.5</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混凝土模块化建筑采用幕墙时应符合下列规定：</w:t>
      </w:r>
      <w:bookmarkEnd w:id="316"/>
      <w:bookmarkEnd w:id="317"/>
      <w:bookmarkEnd w:id="318"/>
      <w:bookmarkEnd w:id="319"/>
      <w:bookmarkEnd w:id="320"/>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21" w:name="_Toc21418"/>
      <w:bookmarkStart w:id="322" w:name="_Toc22949"/>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幕墙形式应根据建筑物的使用要求和外立面效果进行选择，宜采用单元式幕墙</w:t>
      </w:r>
      <w:bookmarkEnd w:id="321"/>
      <w:bookmarkEnd w:id="32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23" w:name="_Toc9807"/>
      <w:bookmarkStart w:id="324" w:name="_Toc18708"/>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幕墙可采用玻璃幕墙、金属幕墙、石材幕墙、人造板材幕墙等；设计应符合现行</w:t>
      </w:r>
      <w:r>
        <w:rPr>
          <w:rFonts w:hint="default" w:ascii="Times New Roman" w:hAnsi="Times New Roman" w:cs="Times New Roman"/>
          <w:color w:val="000000" w:themeColor="text1"/>
          <w:szCs w:val="21"/>
          <w:highlight w:val="none"/>
          <w:lang w:val="en-US" w:eastAsia="zh-CN"/>
          <w14:textFill>
            <w14:solidFill>
              <w14:schemeClr w14:val="tx1"/>
            </w14:solidFill>
          </w14:textFill>
        </w:rPr>
        <w:t>行业</w:t>
      </w:r>
      <w:r>
        <w:rPr>
          <w:rFonts w:hint="default" w:ascii="Times New Roman" w:hAnsi="Times New Roman" w:cs="Times New Roman"/>
          <w:color w:val="000000" w:themeColor="text1"/>
          <w:szCs w:val="21"/>
          <w:highlight w:val="none"/>
          <w14:textFill>
            <w14:solidFill>
              <w14:schemeClr w14:val="tx1"/>
            </w14:solidFill>
          </w14:textFill>
        </w:rPr>
        <w:t>标准《金属与石材幕墙工程技术规范》JGJ 133、《人造板材幕墙工程技术规范》JGJ 336的相关规定</w:t>
      </w:r>
      <w:bookmarkEnd w:id="323"/>
      <w:bookmarkEnd w:id="324"/>
      <w:bookmarkStart w:id="325" w:name="_Toc9945"/>
      <w:bookmarkStart w:id="326" w:name="_Toc6410"/>
      <w:bookmarkStart w:id="327" w:name="_Toc7933"/>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28" w:name="_Toc16609"/>
      <w:bookmarkStart w:id="329" w:name="_Toc16852"/>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幕墙应与主体结构可靠连接。</w:t>
      </w:r>
      <w:bookmarkEnd w:id="325"/>
      <w:bookmarkEnd w:id="326"/>
      <w:bookmarkEnd w:id="327"/>
      <w:bookmarkEnd w:id="328"/>
      <w:bookmarkEnd w:id="329"/>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5.5.6</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混凝土模块化建筑中的外装修、外围护系统宜进行一体化设计并宜在工厂内完成一体化生产。</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5.5.7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模块单元与基础之间，模块单元之间以及模块单元与内部功能单元之间接口的设计，应满足建筑的防火、防水、防潮、隔声等各项要求。模块单元的接缝处理应符合下列规定：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30" w:name="_Toc7782"/>
      <w:bookmarkStart w:id="331" w:name="_Toc5018"/>
      <w:bookmarkStart w:id="332" w:name="_Toc9054"/>
      <w:bookmarkStart w:id="333" w:name="_Toc8111"/>
      <w:bookmarkStart w:id="334" w:name="_Toc3529"/>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模块单元间接缝宜采用材料防水和构造防水相结合的做法</w:t>
      </w:r>
      <w:bookmarkEnd w:id="330"/>
      <w:bookmarkEnd w:id="331"/>
      <w:bookmarkEnd w:id="332"/>
      <w:bookmarkEnd w:id="333"/>
      <w:bookmarkEnd w:id="334"/>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35" w:name="_Toc958"/>
      <w:bookmarkStart w:id="336" w:name="_Toc10021"/>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模块单元宜在接缝处设置聚乙烯棒，并宜在外侧填补防水密封胶</w:t>
      </w:r>
      <w:bookmarkEnd w:id="335"/>
      <w:bookmarkEnd w:id="336"/>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37" w:name="_Toc2284"/>
      <w:bookmarkStart w:id="338" w:name="_Toc22225"/>
      <w:bookmarkStart w:id="339" w:name="_Toc26587"/>
      <w:bookmarkStart w:id="340" w:name="_Toc24342"/>
      <w:bookmarkStart w:id="341" w:name="_Toc12536"/>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模块单元间接缝处的防水构造应满足使用期间的排水要求</w:t>
      </w:r>
      <w:bookmarkEnd w:id="337"/>
      <w:bookmarkEnd w:id="338"/>
      <w:bookmarkEnd w:id="339"/>
      <w:bookmarkEnd w:id="340"/>
      <w:bookmarkEnd w:id="34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42" w:name="_Toc8338"/>
      <w:bookmarkStart w:id="343" w:name="_Toc30040"/>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模块单元接缝处的构造应采用填补混凝土或其他方式防止动植物滋生繁殖。</w:t>
      </w:r>
      <w:bookmarkEnd w:id="342"/>
      <w:bookmarkEnd w:id="343"/>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344" w:name="_Toc29332"/>
      <w:bookmarkStart w:id="345" w:name="_Toc30766"/>
      <w:bookmarkStart w:id="346" w:name="_Toc9936"/>
      <w:bookmarkStart w:id="347" w:name="_Toc5729"/>
      <w:bookmarkStart w:id="348" w:name="_Toc23011"/>
      <w:r>
        <w:rPr>
          <w:rFonts w:hint="default" w:ascii="Times New Roman" w:hAnsi="Times New Roman" w:cs="Times New Roman"/>
          <w:b/>
          <w:bCs/>
          <w:color w:val="000000" w:themeColor="text1"/>
          <w:szCs w:val="21"/>
          <w:highlight w:val="none"/>
          <w14:textFill>
            <w14:solidFill>
              <w14:schemeClr w14:val="tx1"/>
            </w14:solidFill>
          </w14:textFill>
        </w:rPr>
        <w:t>5.5.8</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模块单元间拼缝的防火封堵设计应符合下列规定：</w:t>
      </w:r>
      <w:bookmarkEnd w:id="344"/>
      <w:bookmarkEnd w:id="345"/>
      <w:bookmarkEnd w:id="346"/>
      <w:bookmarkEnd w:id="347"/>
      <w:bookmarkEnd w:id="348"/>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49" w:name="_Toc5567"/>
      <w:bookmarkStart w:id="350" w:name="_Toc21808"/>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模块间拼缝宜采用无机材料进行防火封堵</w:t>
      </w:r>
      <w:bookmarkEnd w:id="349"/>
      <w:bookmarkEnd w:id="350"/>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51" w:name="_Toc18278"/>
      <w:bookmarkStart w:id="352" w:name="_Toc19288"/>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模块单元间外围护侧拼缝宜采用无机保温材料进行防火封堵</w:t>
      </w:r>
      <w:bookmarkEnd w:id="351"/>
      <w:bookmarkEnd w:id="35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53" w:name="_Toc23987"/>
      <w:bookmarkStart w:id="354" w:name="_Toc22345"/>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当模块内墙均单独满足建筑外围护的防火要求时，此类墙体间形成的封闭空腔靠外墙一侧的缝隙可不进行防火封堵。</w:t>
      </w:r>
      <w:bookmarkEnd w:id="353"/>
      <w:bookmarkEnd w:id="354"/>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5.5.9</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模块单元中的门窗制品与门窗洞口之间的尺寸协调应符合下列规定：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55" w:name="_Toc18485"/>
      <w:bookmarkStart w:id="356" w:name="_Toc26215"/>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门窗制品、门窗洞口制作尺寸及偏差应符合现行国家标准《建筑门窗洞口尺寸系列》GB/T 5824的有关规定</w:t>
      </w:r>
      <w:bookmarkEnd w:id="355"/>
      <w:bookmarkEnd w:id="356"/>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57" w:name="_Toc17610"/>
      <w:bookmarkStart w:id="358" w:name="_Toc24614"/>
      <w:bookmarkStart w:id="359" w:name="_Toc26021"/>
      <w:bookmarkStart w:id="360" w:name="_Toc13025"/>
      <w:bookmarkStart w:id="361" w:name="_Toc12560"/>
      <w:r>
        <w:rPr>
          <w:rFonts w:hint="default" w:ascii="Times New Roman" w:hAnsi="Times New Roman" w:cs="Times New Roman"/>
          <w:b/>
          <w:bCs/>
          <w:color w:val="000000" w:themeColor="text1"/>
          <w:szCs w:val="21"/>
          <w:highlight w:val="none"/>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 xml:space="preserve"> 窗制品宜采用预埋窗框式连接（图5.5.9）。</w:t>
      </w:r>
      <w:bookmarkEnd w:id="357"/>
      <w:bookmarkEnd w:id="358"/>
      <w:bookmarkEnd w:id="359"/>
      <w:bookmarkEnd w:id="360"/>
      <w:bookmarkEnd w:id="361"/>
    </w:p>
    <w:p>
      <w:pPr>
        <w:snapToGrid w:val="0"/>
        <w:jc w:val="cente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2844165" cy="890905"/>
            <wp:effectExtent l="0" t="0" r="13335" b="4445"/>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23"/>
                    <a:stretch>
                      <a:fillRect/>
                    </a:stretch>
                  </pic:blipFill>
                  <pic:spPr>
                    <a:xfrm>
                      <a:off x="0" y="0"/>
                      <a:ext cx="2844165" cy="890905"/>
                    </a:xfrm>
                    <a:prstGeom prst="rect">
                      <a:avLst/>
                    </a:prstGeom>
                    <a:noFill/>
                    <a:ln>
                      <a:noFill/>
                    </a:ln>
                  </pic:spPr>
                </pic:pic>
              </a:graphicData>
            </a:graphic>
          </wp:inline>
        </w:drawing>
      </w:r>
    </w:p>
    <w:p>
      <w:pPr>
        <w:autoSpaceDE w:val="0"/>
        <w:autoSpaceDN w:val="0"/>
        <w:adjustRightInd w:val="0"/>
        <w:jc w:val="center"/>
        <w:rPr>
          <w:rFonts w:hint="default" w:ascii="Times New Roman" w:hAnsi="Times New Roman" w:eastAsia="黑体" w:cs="Times New Roman"/>
          <w:color w:val="000000" w:themeColor="text1"/>
          <w:kern w:val="0"/>
          <w:sz w:val="18"/>
          <w:szCs w:val="2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图</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 xml:space="preserve">5.5.9 </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 xml:space="preserve"> 窗制品与主体结构连接示意</w:t>
      </w:r>
    </w:p>
    <w:p>
      <w:pPr>
        <w:autoSpaceDE w:val="0"/>
        <w:autoSpaceDN w:val="0"/>
        <w:adjustRightInd w:val="0"/>
        <w:jc w:val="center"/>
        <w:rPr>
          <w:rFonts w:hint="default" w:ascii="Times New Roman" w:hAnsi="Times New Roman" w:eastAsia="黑体" w:cs="Times New Roman"/>
          <w:color w:val="000000" w:themeColor="text1"/>
          <w:kern w:val="0"/>
          <w:sz w:val="18"/>
          <w:szCs w:val="2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1—建筑主体；2—预埋件；3—窗框</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5.5.10 </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模块单元间管线的衔接不应减弱墙体或楼板的耐火性能，当建筑塑料排水管穿越楼层、防火墙、管道井井壁时，应根据建筑物性质、管径、设置条件以及穿越部位的防火等级要求设置阻火装置。</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362" w:name="_Toc7414"/>
      <w:bookmarkStart w:id="363" w:name="_Toc14586"/>
      <w:bookmarkStart w:id="364" w:name="_Toc20947"/>
      <w:r>
        <w:rPr>
          <w:rFonts w:hint="default" w:ascii="Times New Roman" w:hAnsi="Times New Roman" w:cs="Times New Roman"/>
          <w:b/>
          <w:bCs/>
          <w:color w:val="000000" w:themeColor="text1"/>
          <w:szCs w:val="21"/>
          <w:highlight w:val="none"/>
          <w14:textFill>
            <w14:solidFill>
              <w14:schemeClr w14:val="tx1"/>
            </w14:solidFill>
          </w14:textFill>
        </w:rPr>
        <w:t>5.5.11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混凝土模块化建筑的内隔墙应符合下列规定：</w:t>
      </w:r>
      <w:bookmarkEnd w:id="362"/>
      <w:bookmarkEnd w:id="363"/>
      <w:bookmarkEnd w:id="364"/>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65" w:name="_Toc24458"/>
      <w:bookmarkStart w:id="366" w:name="_Toc9820"/>
      <w:bookmarkStart w:id="367" w:name="_Toc16516"/>
      <w:bookmarkStart w:id="368" w:name="_Toc10665"/>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内隔墙应有良好的隔声、防火、气密和保温性能</w:t>
      </w:r>
      <w:bookmarkEnd w:id="365"/>
      <w:bookmarkEnd w:id="366"/>
      <w:bookmarkEnd w:id="367"/>
      <w:bookmarkEnd w:id="368"/>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69" w:name="_Toc8552"/>
      <w:bookmarkStart w:id="370" w:name="_Toc16764"/>
      <w:bookmarkStart w:id="371" w:name="_Toc18420"/>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内隔墙应满足吊挂要求，厨房、卫生间的隔墙应满足防水要求或有防水措施</w:t>
      </w:r>
      <w:bookmarkEnd w:id="369"/>
      <w:bookmarkEnd w:id="370"/>
      <w:bookmarkEnd w:id="37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372" w:name="_Toc12169"/>
      <w:bookmarkStart w:id="373" w:name="_Toc22711"/>
      <w:bookmarkStart w:id="374" w:name="_Toc24568"/>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当建筑隔墙为模块单元侧壁双层组合而成时，模块间宜做填充处理</w:t>
      </w:r>
      <w:bookmarkEnd w:id="372"/>
      <w:bookmarkEnd w:id="373"/>
      <w:bookmarkEnd w:id="374"/>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75" w:name="_Toc2313"/>
      <w:bookmarkStart w:id="376" w:name="_Toc3137"/>
      <w:bookmarkStart w:id="377" w:name="_Toc29916"/>
      <w:bookmarkStart w:id="378" w:name="_Toc21962"/>
      <w:r>
        <w:rPr>
          <w:rFonts w:hint="default" w:ascii="Times New Roman" w:hAnsi="Times New Roman" w:cs="Times New Roman"/>
          <w:b/>
          <w:bCs/>
          <w:color w:val="000000" w:themeColor="text1"/>
          <w:szCs w:val="21"/>
          <w:highlight w:val="none"/>
          <w14:textFill>
            <w14:solidFill>
              <w14:schemeClr w14:val="tx1"/>
            </w14:solidFill>
          </w14:textFill>
        </w:rPr>
        <w:t xml:space="preserve">4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内隔墙两侧均需设置电器开关或插座时，两者应错位设置。</w:t>
      </w:r>
    </w:p>
    <w:bookmarkEnd w:id="375"/>
    <w:bookmarkEnd w:id="376"/>
    <w:bookmarkEnd w:id="377"/>
    <w:bookmarkEnd w:id="378"/>
    <w:p>
      <w:pPr>
        <w:widowControl/>
        <w:spacing w:line="360" w:lineRule="exact"/>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379" w:name="_Toc11101"/>
      <w:bookmarkStart w:id="380" w:name="_Toc3767"/>
      <w:bookmarkStart w:id="381" w:name="_Toc19338"/>
      <w:bookmarkStart w:id="382" w:name="_Toc28094"/>
      <w:bookmarkStart w:id="383" w:name="_Toc25957"/>
      <w:bookmarkStart w:id="384" w:name="_Toc23908"/>
      <w:bookmarkStart w:id="385" w:name="_Toc12977"/>
      <w:bookmarkStart w:id="386" w:name="_Toc26359"/>
      <w:bookmarkStart w:id="387" w:name="_Toc13472"/>
      <w:r>
        <w:rPr>
          <w:rFonts w:hint="default" w:ascii="Times New Roman" w:hAnsi="Times New Roman" w:eastAsia="黑体" w:cs="Times New Roman"/>
          <w:color w:val="000000" w:themeColor="text1"/>
          <w:sz w:val="28"/>
          <w:szCs w:val="28"/>
          <w:highlight w:val="none"/>
          <w14:textFill>
            <w14:solidFill>
              <w14:schemeClr w14:val="tx1"/>
            </w14:solidFill>
          </w14:textFill>
        </w:rPr>
        <w:t>6  结 构 设 计</w:t>
      </w:r>
      <w:bookmarkEnd w:id="379"/>
      <w:bookmarkEnd w:id="380"/>
      <w:bookmarkEnd w:id="381"/>
      <w:bookmarkEnd w:id="382"/>
      <w:bookmarkEnd w:id="383"/>
      <w:bookmarkEnd w:id="384"/>
      <w:bookmarkEnd w:id="385"/>
      <w:bookmarkEnd w:id="386"/>
      <w:bookmarkEnd w:id="387"/>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388" w:name="_Toc2107"/>
      <w:bookmarkStart w:id="389" w:name="_Toc9854"/>
      <w:bookmarkStart w:id="390" w:name="_Toc3890"/>
      <w:bookmarkStart w:id="391" w:name="_Toc15876"/>
      <w:bookmarkStart w:id="392" w:name="_Toc11680"/>
      <w:bookmarkStart w:id="393" w:name="_Toc695"/>
      <w:bookmarkStart w:id="394" w:name="_Toc3657"/>
      <w:bookmarkStart w:id="395" w:name="_Toc25435"/>
      <w:bookmarkStart w:id="396" w:name="_Toc15502"/>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6.1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般</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规</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定</w:t>
      </w:r>
      <w:bookmarkEnd w:id="388"/>
      <w:bookmarkEnd w:id="389"/>
      <w:bookmarkEnd w:id="390"/>
      <w:bookmarkEnd w:id="391"/>
      <w:bookmarkEnd w:id="392"/>
      <w:bookmarkEnd w:id="393"/>
      <w:bookmarkEnd w:id="394"/>
      <w:bookmarkEnd w:id="395"/>
      <w:bookmarkEnd w:id="396"/>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6.1.1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本标准涉及的混凝土模块化结构可分为</w:t>
      </w:r>
      <w:r>
        <w:rPr>
          <w:rFonts w:hint="default" w:ascii="Times New Roman" w:hAnsi="Times New Roman" w:cs="Times New Roman"/>
          <w:color w:val="000000" w:themeColor="text1"/>
          <w:szCs w:val="21"/>
          <w:highlight w:val="none"/>
          <w:lang w:eastAsia="zh-CN"/>
          <w14:textFill>
            <w14:solidFill>
              <w14:schemeClr w14:val="tx1"/>
            </w14:solidFill>
          </w14:textFill>
        </w:rPr>
        <w:t>模块化全预制剪力墙结构</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eastAsia="zh-CN"/>
          <w14:textFill>
            <w14:solidFill>
              <w14:schemeClr w14:val="tx1"/>
            </w14:solidFill>
          </w14:textFill>
        </w:rPr>
        <w:t>模块化叠合剪力墙结构</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eastAsia="zh-CN"/>
          <w14:textFill>
            <w14:solidFill>
              <w14:schemeClr w14:val="tx1"/>
            </w14:solidFill>
          </w14:textFill>
        </w:rPr>
        <w:t>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现浇</w:t>
      </w:r>
      <w:r>
        <w:rPr>
          <w:rFonts w:hint="default" w:ascii="Times New Roman" w:hAnsi="Times New Roman" w:cs="Times New Roman"/>
          <w:color w:val="000000" w:themeColor="text1"/>
          <w:szCs w:val="21"/>
          <w:highlight w:val="none"/>
          <w:lang w:eastAsia="zh-CN"/>
          <w14:textFill>
            <w14:solidFill>
              <w14:schemeClr w14:val="tx1"/>
            </w14:solidFill>
          </w14:textFill>
        </w:rPr>
        <w:t>剪力墙结构、模块化框架结构和模块化框架-剪力墙结构</w:t>
      </w:r>
      <w:r>
        <w:rPr>
          <w:rFonts w:hint="default" w:ascii="Times New Roman" w:hAnsi="Times New Roman" w:cs="Times New Roman"/>
          <w:color w:val="000000" w:themeColor="text1"/>
          <w:szCs w:val="21"/>
          <w:highlight w:val="none"/>
          <w14:textFill>
            <w14:solidFill>
              <w14:schemeClr w14:val="tx1"/>
            </w14:solidFill>
          </w14:textFill>
        </w:rPr>
        <w:t>，对于本标准未做规定的模块结构体系和连接构造，应具备可靠理论分析和试验依据，并应做专项技术论证。</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6.1.2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乙类、丙类混凝土模块化建筑的最大适用高度应满足表6.1.2的要求，并应符合下列规定：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97" w:name="_Toc21327"/>
      <w:bookmarkStart w:id="398" w:name="_Toc9019"/>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在规定水平力作用下，当模块化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叠合剪力墙</w:t>
      </w:r>
      <w:r>
        <w:rPr>
          <w:rFonts w:hint="default" w:ascii="Times New Roman" w:hAnsi="Times New Roman" w:cs="Times New Roman"/>
          <w:color w:val="000000" w:themeColor="text1"/>
          <w:szCs w:val="21"/>
          <w:highlight w:val="none"/>
          <w14:textFill>
            <w14:solidFill>
              <w14:schemeClr w14:val="tx1"/>
            </w14:solidFill>
          </w14:textFill>
        </w:rPr>
        <w:t>结构中叠合剪力墙或预制空心剪力墙构件底部承担的总剪力大于该层总剪力的50%时，其最大适用高度应适当降低；当叠合剪力墙或预制空心剪力墙构件底部承担的总剪力大于该层总剪力的80%时，最大适用高度应取表6.1.2中括号内的数值。</w:t>
      </w:r>
      <w:bookmarkEnd w:id="397"/>
      <w:bookmarkEnd w:id="398"/>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399" w:name="_Toc8396"/>
      <w:bookmarkStart w:id="400" w:name="_Toc32004"/>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当模块化结构房屋高度、规则性超过</w:t>
      </w:r>
      <w:r>
        <w:rPr>
          <w:rFonts w:hint="default" w:ascii="Times New Roman" w:hAnsi="Times New Roman" w:cs="Times New Roman"/>
          <w:color w:val="000000" w:themeColor="text1"/>
          <w:szCs w:val="21"/>
          <w:highlight w:val="none"/>
          <w:lang w:eastAsia="zh-CN"/>
          <w14:textFill>
            <w14:solidFill>
              <w14:schemeClr w14:val="tx1"/>
            </w14:solidFill>
          </w14:textFill>
        </w:rPr>
        <w:t>本标准</w:t>
      </w:r>
      <w:r>
        <w:rPr>
          <w:rFonts w:hint="default" w:ascii="Times New Roman" w:hAnsi="Times New Roman" w:cs="Times New Roman"/>
          <w:color w:val="000000" w:themeColor="text1"/>
          <w:szCs w:val="21"/>
          <w:highlight w:val="none"/>
          <w14:textFill>
            <w14:solidFill>
              <w14:schemeClr w14:val="tx1"/>
            </w14:solidFill>
          </w14:textFill>
        </w:rPr>
        <w:t>规定时，可按现行国家标准《建筑抗震设计</w:t>
      </w:r>
      <w:r>
        <w:rPr>
          <w:rFonts w:hint="default" w:ascii="Times New Roman" w:hAnsi="Times New Roman" w:cs="Times New Roman"/>
          <w:color w:val="000000" w:themeColor="text1"/>
          <w:szCs w:val="21"/>
          <w:highlight w:val="none"/>
          <w:lang w:val="en-US" w:eastAsia="zh-CN"/>
          <w14:textFill>
            <w14:solidFill>
              <w14:schemeClr w14:val="tx1"/>
            </w14:solidFill>
          </w14:textFill>
        </w:rPr>
        <w:t>标准</w:t>
      </w:r>
      <w:r>
        <w:rPr>
          <w:rFonts w:hint="default" w:ascii="Times New Roman" w:hAnsi="Times New Roman" w:cs="Times New Roman"/>
          <w:color w:val="000000" w:themeColor="text1"/>
          <w:szCs w:val="21"/>
          <w:highlight w:val="none"/>
          <w14:textFill>
            <w14:solidFill>
              <w14:schemeClr w14:val="tx1"/>
            </w14:solidFill>
          </w14:textFill>
        </w:rPr>
        <w:t>》GB</w:t>
      </w:r>
      <w:r>
        <w:rPr>
          <w:rFonts w:hint="default" w:ascii="Times New Roman" w:hAnsi="Times New Roman" w:cs="Times New Roman"/>
          <w:color w:val="000000" w:themeColor="text1"/>
          <w:szCs w:val="21"/>
          <w:highlight w:val="none"/>
          <w:lang w:val="en-US" w:eastAsia="zh-CN"/>
          <w14:textFill>
            <w14:solidFill>
              <w14:schemeClr w14:val="tx1"/>
            </w14:solidFill>
          </w14:textFill>
        </w:rPr>
        <w:t>/T</w:t>
      </w:r>
      <w:r>
        <w:rPr>
          <w:rFonts w:hint="default" w:ascii="Times New Roman" w:hAnsi="Times New Roman" w:cs="Times New Roman"/>
          <w:color w:val="000000" w:themeColor="text1"/>
          <w:szCs w:val="21"/>
          <w:highlight w:val="none"/>
          <w14:textFill>
            <w14:solidFill>
              <w14:schemeClr w14:val="tx1"/>
            </w14:solidFill>
          </w14:textFill>
        </w:rPr>
        <w:t xml:space="preserve"> 50011和</w:t>
      </w:r>
      <w:r>
        <w:rPr>
          <w:rFonts w:hint="default" w:ascii="Times New Roman" w:hAnsi="Times New Roman" w:cs="Times New Roman"/>
          <w:color w:val="000000" w:themeColor="text1"/>
          <w:szCs w:val="21"/>
          <w:highlight w:val="none"/>
          <w:lang w:val="en-US" w:eastAsia="zh-CN"/>
          <w14:textFill>
            <w14:solidFill>
              <w14:schemeClr w14:val="tx1"/>
            </w14:solidFill>
          </w14:textFill>
        </w:rPr>
        <w:t>现行</w:t>
      </w:r>
      <w:r>
        <w:rPr>
          <w:rFonts w:hint="default" w:ascii="Times New Roman" w:hAnsi="Times New Roman" w:cs="Times New Roman"/>
          <w:color w:val="000000" w:themeColor="text1"/>
          <w:szCs w:val="21"/>
          <w:highlight w:val="none"/>
          <w14:textFill>
            <w14:solidFill>
              <w14:schemeClr w14:val="tx1"/>
            </w14:solidFill>
          </w14:textFill>
        </w:rPr>
        <w:t>行业标准《高层建筑混凝土结构技术规程》JGJ 3的有关规定进行结构抗震性能化设计，并采取有效的加强措施。</w:t>
      </w:r>
      <w:bookmarkEnd w:id="399"/>
      <w:bookmarkEnd w:id="40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01" w:name="_Toc27502"/>
      <w:bookmarkStart w:id="402" w:name="_Toc3931"/>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超过表6.1.2规定的最大适用高度的房屋，应进行专门研究和论证</w:t>
      </w:r>
      <w:r>
        <w:rPr>
          <w:rFonts w:hint="default" w:ascii="Times New Roman" w:hAnsi="Times New Roman" w:cs="Times New Roman"/>
          <w:color w:val="000000" w:themeColor="text1"/>
          <w:szCs w:val="21"/>
          <w:highlight w:val="none"/>
          <w:lang w:val="en-US" w:eastAsia="zh-CN"/>
          <w14:textFill>
            <w14:solidFill>
              <w14:schemeClr w14:val="tx1"/>
            </w14:solidFill>
          </w14:textFill>
        </w:rPr>
        <w:t>后应用</w:t>
      </w:r>
      <w:r>
        <w:rPr>
          <w:rFonts w:hint="default" w:ascii="Times New Roman" w:hAnsi="Times New Roman" w:cs="Times New Roman"/>
          <w:color w:val="000000" w:themeColor="text1"/>
          <w:szCs w:val="21"/>
          <w:highlight w:val="none"/>
          <w14:textFill>
            <w14:solidFill>
              <w14:schemeClr w14:val="tx1"/>
            </w14:solidFill>
          </w14:textFill>
        </w:rPr>
        <w:t>。</w:t>
      </w:r>
      <w:bookmarkEnd w:id="401"/>
      <w:bookmarkEnd w:id="402"/>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bookmarkStart w:id="403" w:name="OLE_LINK42"/>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6.1.2</w:t>
      </w:r>
      <w:bookmarkEnd w:id="403"/>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模块化</w:t>
      </w:r>
      <w:r>
        <w:rPr>
          <w:rFonts w:hint="default" w:ascii="Times New Roman" w:hAnsi="Times New Roman" w:cs="Times New Roman"/>
          <w:color w:val="000000" w:themeColor="text1"/>
          <w:highlight w:val="none"/>
          <w:lang w:val="en-US" w:eastAsia="zh-CN"/>
          <w14:textFill>
            <w14:solidFill>
              <w14:schemeClr w14:val="tx1"/>
            </w14:solidFill>
          </w14:textFill>
        </w:rPr>
        <w:t>建筑</w:t>
      </w:r>
      <w:r>
        <w:rPr>
          <w:rFonts w:hint="default" w:ascii="Times New Roman" w:hAnsi="Times New Roman" w:cs="Times New Roman"/>
          <w:color w:val="000000" w:themeColor="text1"/>
          <w:highlight w:val="none"/>
          <w14:textFill>
            <w14:solidFill>
              <w14:schemeClr w14:val="tx1"/>
            </w14:solidFill>
          </w14:textFill>
        </w:rPr>
        <w:t>的最大适用高度（m）</w:t>
      </w:r>
    </w:p>
    <w:tbl>
      <w:tblPr>
        <w:tblStyle w:val="25"/>
        <w:tblpPr w:leftFromText="180" w:rightFromText="180" w:vertAnchor="text" w:horzAnchor="margin" w:tblpXSpec="center" w:tblpY="6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829"/>
        <w:gridCol w:w="890"/>
        <w:gridCol w:w="1480"/>
        <w:gridCol w:w="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gridSpan w:val="2"/>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结构体系</w:t>
            </w:r>
          </w:p>
        </w:tc>
        <w:tc>
          <w:tcPr>
            <w:tcW w:w="2715" w:type="pct"/>
            <w:gridSpan w:val="3"/>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2284"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p>
        </w:tc>
        <w:tc>
          <w:tcPr>
            <w:tcW w:w="726"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6</w:t>
            </w:r>
          </w:p>
        </w:tc>
        <w:tc>
          <w:tcPr>
            <w:tcW w:w="1207"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7</w:t>
            </w:r>
          </w:p>
        </w:tc>
        <w:tc>
          <w:tcPr>
            <w:tcW w:w="78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8（0.2g）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模块化全预制剪力墙结构</w:t>
            </w:r>
          </w:p>
        </w:tc>
        <w:tc>
          <w:tcPr>
            <w:tcW w:w="726"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24，且≤6层</w:t>
            </w:r>
          </w:p>
        </w:tc>
        <w:tc>
          <w:tcPr>
            <w:tcW w:w="1207"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24（20），且≤6（5）层</w:t>
            </w:r>
          </w:p>
        </w:tc>
        <w:tc>
          <w:tcPr>
            <w:tcW w:w="78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12，且≤3层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框架</w:t>
            </w:r>
            <w:r>
              <w:rPr>
                <w:rFonts w:hint="default" w:ascii="Times New Roman" w:hAnsi="Times New Roman" w:cs="Times New Roman"/>
                <w:color w:val="000000" w:themeColor="text1"/>
                <w:sz w:val="16"/>
                <w:szCs w:val="16"/>
                <w:highlight w:val="none"/>
                <w14:textFill>
                  <w14:solidFill>
                    <w14:schemeClr w14:val="tx1"/>
                  </w14:solidFill>
                </w14:textFill>
              </w:rPr>
              <w:t>结构</w:t>
            </w:r>
          </w:p>
        </w:tc>
        <w:tc>
          <w:tcPr>
            <w:tcW w:w="726"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60</w:t>
            </w:r>
          </w:p>
        </w:tc>
        <w:tc>
          <w:tcPr>
            <w:tcW w:w="1207"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50</w:t>
            </w:r>
          </w:p>
        </w:tc>
        <w:tc>
          <w:tcPr>
            <w:tcW w:w="78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228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框架-剪力墙</w:t>
            </w:r>
            <w:r>
              <w:rPr>
                <w:rFonts w:hint="default" w:ascii="Times New Roman" w:hAnsi="Times New Roman" w:cs="Times New Roman"/>
                <w:color w:val="000000" w:themeColor="text1"/>
                <w:sz w:val="16"/>
                <w:szCs w:val="16"/>
                <w:highlight w:val="none"/>
                <w14:textFill>
                  <w14:solidFill>
                    <w14:schemeClr w14:val="tx1"/>
                  </w14:solidFill>
                </w14:textFill>
              </w:rPr>
              <w:t>结构</w:t>
            </w:r>
          </w:p>
        </w:tc>
        <w:tc>
          <w:tcPr>
            <w:tcW w:w="726"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130</w:t>
            </w:r>
          </w:p>
        </w:tc>
        <w:tc>
          <w:tcPr>
            <w:tcW w:w="1207"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120</w:t>
            </w:r>
          </w:p>
        </w:tc>
        <w:tc>
          <w:tcPr>
            <w:tcW w:w="78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92" w:type="pct"/>
            <w:vMerge w:val="restar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现浇</w:t>
            </w:r>
            <w:r>
              <w:rPr>
                <w:rFonts w:hint="default" w:ascii="Times New Roman" w:hAnsi="Times New Roman" w:cs="Times New Roman"/>
                <w:color w:val="000000" w:themeColor="text1"/>
                <w:sz w:val="16"/>
                <w:szCs w:val="16"/>
                <w:highlight w:val="none"/>
                <w14:textFill>
                  <w14:solidFill>
                    <w14:schemeClr w14:val="tx1"/>
                  </w14:solidFill>
                </w14:textFill>
              </w:rPr>
              <w:t>剪力墙结构</w:t>
            </w:r>
          </w:p>
        </w:tc>
        <w:tc>
          <w:tcPr>
            <w:tcW w:w="149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现浇</w:t>
            </w:r>
            <w:r>
              <w:rPr>
                <w:rFonts w:hint="default" w:ascii="Times New Roman" w:hAnsi="Times New Roman" w:cs="Times New Roman"/>
                <w:color w:val="000000" w:themeColor="text1"/>
                <w:sz w:val="16"/>
                <w:szCs w:val="16"/>
                <w:highlight w:val="none"/>
                <w14:textFill>
                  <w14:solidFill>
                    <w14:schemeClr w14:val="tx1"/>
                  </w14:solidFill>
                </w14:textFill>
              </w:rPr>
              <w:t>剪力墙结构</w:t>
            </w:r>
          </w:p>
        </w:tc>
        <w:tc>
          <w:tcPr>
            <w:tcW w:w="726"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140</w:t>
            </w:r>
          </w:p>
        </w:tc>
        <w:tc>
          <w:tcPr>
            <w:tcW w:w="1207"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120</w:t>
            </w:r>
          </w:p>
        </w:tc>
        <w:tc>
          <w:tcPr>
            <w:tcW w:w="78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10</w:t>
            </w:r>
            <w:r>
              <w:rPr>
                <w:rFonts w:hint="default" w:ascii="Times New Roman" w:hAnsi="Times New Roman" w:cs="Times New Roman"/>
                <w:color w:val="000000" w:themeColor="text1"/>
                <w:sz w:val="16"/>
                <w:szCs w:val="16"/>
                <w:highlight w:val="non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2"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p>
        </w:tc>
        <w:tc>
          <w:tcPr>
            <w:tcW w:w="149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部分框支模块化</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现浇</w:t>
            </w:r>
            <w:r>
              <w:rPr>
                <w:rFonts w:hint="default" w:ascii="Times New Roman" w:hAnsi="Times New Roman" w:cs="Times New Roman"/>
                <w:color w:val="000000" w:themeColor="text1"/>
                <w:sz w:val="16"/>
                <w:szCs w:val="16"/>
                <w:highlight w:val="none"/>
                <w14:textFill>
                  <w14:solidFill>
                    <w14:schemeClr w14:val="tx1"/>
                  </w14:solidFill>
                </w14:textFill>
              </w:rPr>
              <w:t>剪力墙结构</w:t>
            </w:r>
          </w:p>
        </w:tc>
        <w:tc>
          <w:tcPr>
            <w:tcW w:w="726"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1</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2</w:t>
            </w:r>
            <w:r>
              <w:rPr>
                <w:rFonts w:hint="default" w:ascii="Times New Roman" w:hAnsi="Times New Roman" w:cs="Times New Roman"/>
                <w:color w:val="000000" w:themeColor="text1"/>
                <w:sz w:val="16"/>
                <w:szCs w:val="16"/>
                <w:highlight w:val="none"/>
                <w14:textFill>
                  <w14:solidFill>
                    <w14:schemeClr w14:val="tx1"/>
                  </w14:solidFill>
                </w14:textFill>
              </w:rPr>
              <w:t>0</w:t>
            </w:r>
          </w:p>
        </w:tc>
        <w:tc>
          <w:tcPr>
            <w:tcW w:w="1207"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10</w:t>
            </w:r>
            <w:r>
              <w:rPr>
                <w:rFonts w:hint="default" w:ascii="Times New Roman" w:hAnsi="Times New Roman" w:cs="Times New Roman"/>
                <w:color w:val="000000" w:themeColor="text1"/>
                <w:sz w:val="16"/>
                <w:szCs w:val="16"/>
                <w:highlight w:val="none"/>
                <w14:textFill>
                  <w14:solidFill>
                    <w14:schemeClr w14:val="tx1"/>
                  </w14:solidFill>
                </w14:textFill>
              </w:rPr>
              <w:t>0</w:t>
            </w:r>
          </w:p>
        </w:tc>
        <w:tc>
          <w:tcPr>
            <w:tcW w:w="78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8</w:t>
            </w:r>
            <w:r>
              <w:rPr>
                <w:rFonts w:hint="default" w:ascii="Times New Roman" w:hAnsi="Times New Roman" w:cs="Times New Roman"/>
                <w:color w:val="000000" w:themeColor="text1"/>
                <w:sz w:val="16"/>
                <w:szCs w:val="16"/>
                <w:highlight w:val="non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2" w:type="pct"/>
            <w:vMerge w:val="restar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模块化叠合剪力墙结构</w:t>
            </w:r>
          </w:p>
        </w:tc>
        <w:tc>
          <w:tcPr>
            <w:tcW w:w="149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模块化叠合剪力墙结构</w:t>
            </w:r>
          </w:p>
        </w:tc>
        <w:tc>
          <w:tcPr>
            <w:tcW w:w="726"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130（120）</w:t>
            </w:r>
          </w:p>
        </w:tc>
        <w:tc>
          <w:tcPr>
            <w:tcW w:w="1207"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110（100）</w:t>
            </w:r>
          </w:p>
        </w:tc>
        <w:tc>
          <w:tcPr>
            <w:tcW w:w="78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90（80）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04" w:hRule="atLeast"/>
          <w:jc w:val="center"/>
        </w:trPr>
        <w:tc>
          <w:tcPr>
            <w:tcW w:w="792"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sz w:val="16"/>
                <w:szCs w:val="16"/>
                <w:highlight w:val="none"/>
                <w14:textFill>
                  <w14:solidFill>
                    <w14:schemeClr w14:val="tx1"/>
                  </w14:solidFill>
                </w14:textFill>
              </w:rPr>
            </w:pPr>
          </w:p>
        </w:tc>
        <w:tc>
          <w:tcPr>
            <w:tcW w:w="149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部分框支模块化叠合剪力墙结构</w:t>
            </w:r>
          </w:p>
        </w:tc>
        <w:tc>
          <w:tcPr>
            <w:tcW w:w="726"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110（100）</w:t>
            </w:r>
          </w:p>
        </w:tc>
        <w:tc>
          <w:tcPr>
            <w:tcW w:w="1207"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90（80）</w:t>
            </w:r>
          </w:p>
        </w:tc>
        <w:tc>
          <w:tcPr>
            <w:tcW w:w="782" w:type="pct"/>
            <w:shd w:val="clear" w:color="auto" w:fill="auto"/>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16"/>
                <w:szCs w:val="16"/>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60（50）</w:t>
            </w:r>
          </w:p>
        </w:tc>
      </w:tr>
    </w:tbl>
    <w:p>
      <w:pPr>
        <w:pStyle w:val="53"/>
        <w:spacing w:line="360" w:lineRule="exact"/>
        <w:ind w:firstLine="0" w:firstLineChars="0"/>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注：房屋高度指室外地面到主要屋面板板顶高度（不包括局部突出屋顶各部分）。</w:t>
      </w:r>
    </w:p>
    <w:p>
      <w:pPr>
        <w:widowControl/>
        <w:spacing w:line="360" w:lineRule="exact"/>
        <w:rPr>
          <w:rFonts w:hint="default" w:ascii="Times New Roman" w:hAnsi="Times New Roman"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6.1.3</w:t>
      </w:r>
      <w:r>
        <w:rPr>
          <w:rFonts w:hint="default" w:ascii="Times New Roman" w:hAnsi="Times New Roman" w:cs="Times New Roman"/>
          <w:b/>
          <w:color w:val="000000" w:themeColor="text1"/>
          <w:szCs w:val="21"/>
          <w:highlight w:val="none"/>
          <w14:textFill>
            <w14:solidFill>
              <w14:schemeClr w14:val="tx1"/>
            </w14:solidFill>
          </w14:textFill>
        </w:rPr>
        <w:t xml:space="preserve"> </w:t>
      </w:r>
      <w:bookmarkStart w:id="404" w:name="OLE_LINK98"/>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模块化全预制剪力墙结构</w:t>
      </w:r>
      <w:r>
        <w:rPr>
          <w:rFonts w:hint="default" w:ascii="Times New Roman" w:hAnsi="Times New Roman"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Cs w:val="21"/>
          <w:highlight w:val="none"/>
          <w14:textFill>
            <w14:solidFill>
              <w14:schemeClr w14:val="tx1"/>
            </w14:solidFill>
          </w14:textFill>
        </w:rPr>
        <w:t>模块化叠合剪力墙结构</w:t>
      </w:r>
      <w:bookmarkEnd w:id="404"/>
      <w:r>
        <w:rPr>
          <w:rFonts w:hint="default" w:ascii="Times New Roman" w:hAnsi="Times New Roman" w:cs="Times New Roman"/>
          <w:color w:val="000000" w:themeColor="text1"/>
          <w:szCs w:val="21"/>
          <w:highlight w:val="none"/>
          <w14:textFill>
            <w14:solidFill>
              <w14:schemeClr w14:val="tx1"/>
            </w14:solidFill>
          </w14:textFill>
        </w:rPr>
        <w:t>构件的抗震设计，应根据设防类别、烈度、结构类型和房屋高度采用不同的抗震等级，并应符合相应的计算和构造措施要求。丙类装配整体式结构的抗震等级应按表6.1.3确定。</w:t>
      </w:r>
      <w:r>
        <w:rPr>
          <w:rFonts w:hint="default" w:ascii="Times New Roman" w:hAnsi="Times New Roman" w:cs="Times New Roman"/>
          <w:color w:val="000000" w:themeColor="text1"/>
          <w:kern w:val="0"/>
          <w:sz w:val="20"/>
          <w:szCs w:val="20"/>
          <w:highlight w:val="none"/>
          <w:lang w:bidi="ar"/>
          <w14:textFill>
            <w14:solidFill>
              <w14:schemeClr w14:val="tx1"/>
            </w14:solidFill>
          </w14:textFill>
        </w:rPr>
        <w:t xml:space="preserve"> </w:t>
      </w: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6.1.</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丙类模块化结构的抗震等级</w:t>
      </w:r>
    </w:p>
    <w:tbl>
      <w:tblPr>
        <w:tblStyle w:val="25"/>
        <w:tblW w:w="63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8"/>
        <w:gridCol w:w="712"/>
        <w:gridCol w:w="781"/>
        <w:gridCol w:w="585"/>
        <w:gridCol w:w="585"/>
        <w:gridCol w:w="425"/>
        <w:gridCol w:w="435"/>
        <w:gridCol w:w="282"/>
        <w:gridCol w:w="435"/>
        <w:gridCol w:w="420"/>
        <w:gridCol w:w="303"/>
        <w:gridCol w:w="402"/>
        <w:gridCol w:w="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2041" w:type="dxa"/>
            <w:gridSpan w:val="3"/>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结构体系</w:t>
            </w:r>
          </w:p>
        </w:tc>
        <w:tc>
          <w:tcPr>
            <w:tcW w:w="4307" w:type="dxa"/>
            <w:gridSpan w:val="10"/>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2041" w:type="dxa"/>
            <w:gridSpan w:val="3"/>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1170"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6度</w:t>
            </w:r>
          </w:p>
        </w:tc>
        <w:tc>
          <w:tcPr>
            <w:tcW w:w="1577" w:type="dxa"/>
            <w:gridSpan w:val="4"/>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7度</w:t>
            </w:r>
          </w:p>
        </w:tc>
        <w:tc>
          <w:tcPr>
            <w:tcW w:w="1560" w:type="dxa"/>
            <w:gridSpan w:val="4"/>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8度（0.20g）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2041" w:type="dxa"/>
            <w:gridSpan w:val="3"/>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模块化全预制剪力墙</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结构</w:t>
            </w:r>
          </w:p>
        </w:tc>
        <w:tc>
          <w:tcPr>
            <w:tcW w:w="1170"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1577" w:type="dxa"/>
            <w:gridSpan w:val="4"/>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1560" w:type="dxa"/>
            <w:gridSpan w:val="4"/>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260" w:type="dxa"/>
            <w:gridSpan w:val="2"/>
            <w:vMerge w:val="restart"/>
            <w:vAlign w:val="center"/>
          </w:tcPr>
          <w:p>
            <w:pPr>
              <w:pStyle w:val="50"/>
              <w:spacing w:line="360" w:lineRule="exact"/>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框架</w:t>
            </w:r>
            <w:r>
              <w:rPr>
                <w:rFonts w:hint="default" w:ascii="Times New Roman" w:hAnsi="Times New Roman" w:cs="Times New Roman"/>
                <w:color w:val="000000" w:themeColor="text1"/>
                <w:sz w:val="16"/>
                <w:szCs w:val="16"/>
                <w:highlight w:val="none"/>
                <w14:textFill>
                  <w14:solidFill>
                    <w14:schemeClr w14:val="tx1"/>
                  </w14:solidFill>
                </w14:textFill>
              </w:rPr>
              <w:t>结构</w:t>
            </w:r>
          </w:p>
        </w:tc>
        <w:tc>
          <w:tcPr>
            <w:tcW w:w="781" w:type="dxa"/>
            <w:vAlign w:val="center"/>
          </w:tcPr>
          <w:p>
            <w:pPr>
              <w:pStyle w:val="50"/>
              <w:spacing w:line="360" w:lineRule="exact"/>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高度</w:t>
            </w:r>
            <w:r>
              <w:rPr>
                <w:rFonts w:hint="default" w:ascii="Times New Roman" w:hAnsi="Times New Roman" w:cs="Times New Roman"/>
                <w:color w:val="000000" w:themeColor="text1"/>
                <w:sz w:val="16"/>
                <w:szCs w:val="22"/>
                <w:highlight w:val="none"/>
                <w14:textFill>
                  <w14:solidFill>
                    <w14:schemeClr w14:val="tx1"/>
                  </w14:solidFill>
                </w14:textFill>
              </w:rPr>
              <w:t>（m）</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585" w:type="dxa"/>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24</w:t>
            </w:r>
          </w:p>
        </w:tc>
        <w:tc>
          <w:tcPr>
            <w:tcW w:w="860"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717"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24</w:t>
            </w:r>
          </w:p>
        </w:tc>
        <w:tc>
          <w:tcPr>
            <w:tcW w:w="723"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837"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260" w:type="dxa"/>
            <w:gridSpan w:val="2"/>
            <w:vMerge w:val="continue"/>
            <w:vAlign w:val="center"/>
          </w:tcPr>
          <w:p>
            <w:pPr>
              <w:pStyle w:val="50"/>
              <w:spacing w:line="360" w:lineRule="exact"/>
              <w:rPr>
                <w:rFonts w:hint="default" w:ascii="Times New Roman" w:hAnsi="Times New Roman" w:cs="Times New Roman"/>
                <w:color w:val="000000" w:themeColor="text1"/>
                <w:sz w:val="16"/>
                <w:szCs w:val="16"/>
                <w:highlight w:val="none"/>
                <w14:textFill>
                  <w14:solidFill>
                    <w14:schemeClr w14:val="tx1"/>
                  </w14:solidFill>
                </w14:textFill>
              </w:rPr>
            </w:pPr>
          </w:p>
        </w:tc>
        <w:tc>
          <w:tcPr>
            <w:tcW w:w="781" w:type="dxa"/>
            <w:vAlign w:val="center"/>
          </w:tcPr>
          <w:p>
            <w:pPr>
              <w:pStyle w:val="50"/>
              <w:spacing w:line="360" w:lineRule="exact"/>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框架</w:t>
            </w:r>
          </w:p>
        </w:tc>
        <w:tc>
          <w:tcPr>
            <w:tcW w:w="585" w:type="dxa"/>
            <w:shd w:val="clear" w:color="auto" w:fill="auto"/>
            <w:vAlign w:val="center"/>
          </w:tcPr>
          <w:p>
            <w:pPr>
              <w:pStyle w:val="50"/>
              <w:rPr>
                <w:rFonts w:hint="default" w:ascii="Times New Roman" w:hAnsi="Times New Roman" w:eastAsia="宋体" w:cs="Times New Roman"/>
                <w:color w:val="000000" w:themeColor="text1"/>
                <w:kern w:val="0"/>
                <w:sz w:val="16"/>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585" w:type="dxa"/>
            <w:shd w:val="clear" w:color="auto" w:fill="auto"/>
            <w:vAlign w:val="center"/>
          </w:tcPr>
          <w:p>
            <w:pPr>
              <w:pStyle w:val="50"/>
              <w:rPr>
                <w:rFonts w:hint="default" w:ascii="Times New Roman" w:hAnsi="Times New Roman" w:eastAsia="宋体" w:cs="Times New Roman"/>
                <w:color w:val="000000" w:themeColor="text1"/>
                <w:kern w:val="0"/>
                <w:sz w:val="16"/>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860" w:type="dxa"/>
            <w:gridSpan w:val="2"/>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三</w:t>
            </w:r>
          </w:p>
        </w:tc>
        <w:tc>
          <w:tcPr>
            <w:tcW w:w="717" w:type="dxa"/>
            <w:gridSpan w:val="2"/>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723" w:type="dxa"/>
            <w:gridSpan w:val="2"/>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837" w:type="dxa"/>
            <w:gridSpan w:val="2"/>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260" w:type="dxa"/>
            <w:gridSpan w:val="2"/>
            <w:vMerge w:val="continue"/>
            <w:vAlign w:val="center"/>
          </w:tcPr>
          <w:p>
            <w:pPr>
              <w:pStyle w:val="50"/>
              <w:spacing w:line="360" w:lineRule="exact"/>
              <w:rPr>
                <w:rFonts w:hint="default" w:ascii="Times New Roman" w:hAnsi="Times New Roman" w:cs="Times New Roman"/>
                <w:color w:val="000000" w:themeColor="text1"/>
                <w:sz w:val="16"/>
                <w:szCs w:val="16"/>
                <w:highlight w:val="none"/>
                <w14:textFill>
                  <w14:solidFill>
                    <w14:schemeClr w14:val="tx1"/>
                  </w14:solidFill>
                </w14:textFill>
              </w:rPr>
            </w:pPr>
          </w:p>
        </w:tc>
        <w:tc>
          <w:tcPr>
            <w:tcW w:w="781" w:type="dxa"/>
            <w:vAlign w:val="center"/>
          </w:tcPr>
          <w:p>
            <w:pPr>
              <w:pStyle w:val="50"/>
              <w:spacing w:line="360" w:lineRule="exact"/>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大跨度框架</w:t>
            </w:r>
          </w:p>
        </w:tc>
        <w:tc>
          <w:tcPr>
            <w:tcW w:w="1170"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1577" w:type="dxa"/>
            <w:gridSpan w:val="4"/>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1560" w:type="dxa"/>
            <w:gridSpan w:val="4"/>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260" w:type="dxa"/>
            <w:gridSpan w:val="2"/>
            <w:vMerge w:val="restart"/>
            <w:vAlign w:val="center"/>
          </w:tcPr>
          <w:p>
            <w:pPr>
              <w:pStyle w:val="50"/>
              <w:spacing w:line="360" w:lineRule="exact"/>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w:t>
            </w: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框架-剪力墙</w:t>
            </w:r>
            <w:r>
              <w:rPr>
                <w:rFonts w:hint="default" w:ascii="Times New Roman" w:hAnsi="Times New Roman" w:cs="Times New Roman"/>
                <w:color w:val="000000" w:themeColor="text1"/>
                <w:sz w:val="16"/>
                <w:szCs w:val="16"/>
                <w:highlight w:val="none"/>
                <w14:textFill>
                  <w14:solidFill>
                    <w14:schemeClr w14:val="tx1"/>
                  </w14:solidFill>
                </w14:textFill>
              </w:rPr>
              <w:t>结构</w:t>
            </w:r>
          </w:p>
        </w:tc>
        <w:tc>
          <w:tcPr>
            <w:tcW w:w="781" w:type="dxa"/>
            <w:vAlign w:val="center"/>
          </w:tcPr>
          <w:p>
            <w:pPr>
              <w:pStyle w:val="50"/>
              <w:spacing w:line="360" w:lineRule="exact"/>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高度</w:t>
            </w:r>
            <w:r>
              <w:rPr>
                <w:rFonts w:hint="default" w:ascii="Times New Roman" w:hAnsi="Times New Roman" w:cs="Times New Roman"/>
                <w:color w:val="000000" w:themeColor="text1"/>
                <w:sz w:val="16"/>
                <w:szCs w:val="22"/>
                <w:highlight w:val="none"/>
                <w14:textFill>
                  <w14:solidFill>
                    <w14:schemeClr w14:val="tx1"/>
                  </w14:solidFill>
                </w14:textFill>
              </w:rPr>
              <w:t>（m）</w:t>
            </w:r>
          </w:p>
        </w:tc>
        <w:tc>
          <w:tcPr>
            <w:tcW w:w="585" w:type="dxa"/>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60</w:t>
            </w:r>
          </w:p>
        </w:tc>
        <w:tc>
          <w:tcPr>
            <w:tcW w:w="585" w:type="dxa"/>
            <w:vAlign w:val="center"/>
          </w:tcPr>
          <w:p>
            <w:pPr>
              <w:pStyle w:val="50"/>
              <w:rPr>
                <w:rFonts w:hint="default" w:ascii="Times New Roman" w:hAnsi="Times New Roman" w:cs="Times New Roman"/>
                <w:color w:val="000000" w:themeColor="text1"/>
                <w:sz w:val="16"/>
                <w:szCs w:val="22"/>
                <w:highlight w:val="none"/>
                <w:lang w:val="en-US"/>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60</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717" w:type="dxa"/>
            <w:gridSpan w:val="2"/>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＞24且≤</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60</w:t>
            </w:r>
          </w:p>
        </w:tc>
        <w:tc>
          <w:tcPr>
            <w:tcW w:w="435" w:type="dxa"/>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60</w:t>
            </w:r>
          </w:p>
        </w:tc>
        <w:tc>
          <w:tcPr>
            <w:tcW w:w="420" w:type="dxa"/>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60</w:t>
            </w:r>
          </w:p>
        </w:tc>
        <w:tc>
          <w:tcPr>
            <w:tcW w:w="705" w:type="dxa"/>
            <w:gridSpan w:val="2"/>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＞24且≤</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60</w:t>
            </w:r>
          </w:p>
        </w:tc>
        <w:tc>
          <w:tcPr>
            <w:tcW w:w="435" w:type="dxa"/>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260" w:type="dxa"/>
            <w:gridSpan w:val="2"/>
            <w:vMerge w:val="continue"/>
            <w:vAlign w:val="center"/>
          </w:tcPr>
          <w:p>
            <w:pPr>
              <w:pStyle w:val="50"/>
              <w:spacing w:line="360" w:lineRule="exact"/>
              <w:rPr>
                <w:rFonts w:hint="default" w:ascii="Times New Roman" w:hAnsi="Times New Roman" w:cs="Times New Roman"/>
                <w:color w:val="000000" w:themeColor="text1"/>
                <w:sz w:val="16"/>
                <w:szCs w:val="16"/>
                <w:highlight w:val="none"/>
                <w14:textFill>
                  <w14:solidFill>
                    <w14:schemeClr w14:val="tx1"/>
                  </w14:solidFill>
                </w14:textFill>
              </w:rPr>
            </w:pPr>
          </w:p>
        </w:tc>
        <w:tc>
          <w:tcPr>
            <w:tcW w:w="781" w:type="dxa"/>
            <w:vAlign w:val="center"/>
          </w:tcPr>
          <w:p>
            <w:pPr>
              <w:pStyle w:val="50"/>
              <w:spacing w:line="360" w:lineRule="exact"/>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框架</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25" w:type="dxa"/>
            <w:shd w:val="clear" w:color="auto" w:fill="auto"/>
            <w:vAlign w:val="center"/>
          </w:tcPr>
          <w:p>
            <w:pPr>
              <w:pStyle w:val="50"/>
              <w:rPr>
                <w:rFonts w:hint="default" w:ascii="Times New Roman" w:hAnsi="Times New Roman" w:eastAsia="宋体" w:cs="Times New Roman"/>
                <w:color w:val="000000" w:themeColor="text1"/>
                <w:kern w:val="0"/>
                <w:sz w:val="16"/>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717" w:type="dxa"/>
            <w:gridSpan w:val="2"/>
            <w:shd w:val="clear" w:color="auto" w:fill="auto"/>
            <w:vAlign w:val="center"/>
          </w:tcPr>
          <w:p>
            <w:pPr>
              <w:pStyle w:val="50"/>
              <w:rPr>
                <w:rFonts w:hint="default" w:ascii="Times New Roman" w:hAnsi="Times New Roman" w:eastAsia="宋体" w:cs="Times New Roman"/>
                <w:color w:val="000000" w:themeColor="text1"/>
                <w:kern w:val="0"/>
                <w:sz w:val="16"/>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35" w:type="dxa"/>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05"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435" w:type="dxa"/>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260" w:type="dxa"/>
            <w:gridSpan w:val="2"/>
            <w:vMerge w:val="continue"/>
            <w:vAlign w:val="center"/>
          </w:tcPr>
          <w:p>
            <w:pPr>
              <w:pStyle w:val="50"/>
              <w:spacing w:line="360" w:lineRule="exact"/>
              <w:rPr>
                <w:rFonts w:hint="default" w:ascii="Times New Roman" w:hAnsi="Times New Roman" w:cs="Times New Roman"/>
                <w:color w:val="000000" w:themeColor="text1"/>
                <w:sz w:val="16"/>
                <w:szCs w:val="16"/>
                <w:highlight w:val="none"/>
                <w14:textFill>
                  <w14:solidFill>
                    <w14:schemeClr w14:val="tx1"/>
                  </w14:solidFill>
                </w14:textFill>
              </w:rPr>
            </w:pPr>
          </w:p>
        </w:tc>
        <w:tc>
          <w:tcPr>
            <w:tcW w:w="781" w:type="dxa"/>
            <w:vAlign w:val="center"/>
          </w:tcPr>
          <w:p>
            <w:pPr>
              <w:pStyle w:val="50"/>
              <w:spacing w:line="360" w:lineRule="exact"/>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剪力墙</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17" w:type="dxa"/>
            <w:gridSpan w:val="2"/>
            <w:shd w:val="clear" w:color="auto" w:fill="auto"/>
            <w:vAlign w:val="center"/>
          </w:tcPr>
          <w:p>
            <w:pPr>
              <w:pStyle w:val="50"/>
              <w:rPr>
                <w:rFonts w:hint="default" w:ascii="Times New Roman" w:hAnsi="Times New Roman" w:eastAsia="宋体" w:cs="Times New Roman"/>
                <w:color w:val="000000" w:themeColor="text1"/>
                <w:kern w:val="0"/>
                <w:sz w:val="16"/>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435" w:type="dxa"/>
            <w:shd w:val="clear" w:color="auto" w:fill="auto"/>
            <w:vAlign w:val="center"/>
          </w:tcPr>
          <w:p>
            <w:pPr>
              <w:pStyle w:val="50"/>
              <w:rPr>
                <w:rFonts w:hint="default" w:ascii="Times New Roman" w:hAnsi="Times New Roman" w:eastAsia="宋体" w:cs="Times New Roman"/>
                <w:color w:val="000000" w:themeColor="text1"/>
                <w:kern w:val="0"/>
                <w:sz w:val="16"/>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420" w:type="dxa"/>
            <w:shd w:val="clear" w:color="auto" w:fill="auto"/>
            <w:vAlign w:val="center"/>
          </w:tcPr>
          <w:p>
            <w:pPr>
              <w:pStyle w:val="50"/>
              <w:rPr>
                <w:rFonts w:hint="default" w:ascii="Times New Roman" w:hAnsi="Times New Roman" w:eastAsia="宋体" w:cs="Times New Roman"/>
                <w:color w:val="000000" w:themeColor="text1"/>
                <w:kern w:val="0"/>
                <w:sz w:val="16"/>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二</w:t>
            </w:r>
          </w:p>
        </w:tc>
        <w:tc>
          <w:tcPr>
            <w:tcW w:w="705"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一</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模块化叠合剪力墙</w:t>
            </w:r>
          </w:p>
        </w:tc>
        <w:tc>
          <w:tcPr>
            <w:tcW w:w="712" w:type="dxa"/>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模块化叠合剪力墙结构</w:t>
            </w: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高度（m）</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16"/>
                <w:szCs w:val="22"/>
                <w:highlight w:val="none"/>
                <w14:textFill>
                  <w14:solidFill>
                    <w14:schemeClr w14:val="tx1"/>
                  </w14:solidFill>
                </w14:textFill>
              </w:rPr>
              <w:t>0</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16"/>
                <w:szCs w:val="22"/>
                <w:highlight w:val="none"/>
                <w14:textFill>
                  <w14:solidFill>
                    <w14:schemeClr w14:val="tx1"/>
                  </w14:solidFill>
                </w14:textFill>
              </w:rPr>
              <w:t>0</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717"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＞24且≤</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16"/>
                <w:szCs w:val="22"/>
                <w:highlight w:val="none"/>
                <w14:textFill>
                  <w14:solidFill>
                    <w14:schemeClr w14:val="tx1"/>
                  </w14:solidFill>
                </w14:textFill>
              </w:rPr>
              <w:t>0</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16"/>
                <w:szCs w:val="22"/>
                <w:highlight w:val="none"/>
                <w14:textFill>
                  <w14:solidFill>
                    <w14:schemeClr w14:val="tx1"/>
                  </w14:solidFill>
                </w14:textFill>
              </w:rPr>
              <w:t>0</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705"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＞24且≤</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16"/>
                <w:szCs w:val="22"/>
                <w:highlight w:val="none"/>
                <w14:textFill>
                  <w14:solidFill>
                    <w14:schemeClr w14:val="tx1"/>
                  </w14:solidFill>
                </w14:textFill>
              </w:rPr>
              <w:t>0</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7</w:t>
            </w:r>
            <w:r>
              <w:rPr>
                <w:rFonts w:hint="default" w:ascii="Times New Roman" w:hAnsi="Times New Roman" w:cs="Times New Roman"/>
                <w:color w:val="000000" w:themeColor="text1"/>
                <w:sz w:val="16"/>
                <w:szCs w:val="22"/>
                <w:highlight w:val="non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剪力墙</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717"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05"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部分框支模块化叠合剪力墙结构</w:t>
            </w: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现浇框支框架</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717"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705"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底部加强部位剪力墙</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17"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705"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其他区域剪力墙</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717"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05"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r>
    </w:tbl>
    <w:p>
      <w:pPr>
        <w:rPr>
          <w:rFonts w:hint="default" w:ascii="Times New Roman" w:hAnsi="Times New Roman" w:cs="Times New Roman"/>
          <w:color w:val="000000" w:themeColor="text1"/>
          <w:highlight w:val="none"/>
          <w14:textFill>
            <w14:solidFill>
              <w14:schemeClr w14:val="tx1"/>
            </w14:solidFill>
          </w14:textFill>
        </w:rPr>
      </w:pPr>
    </w:p>
    <w:p>
      <w:pPr>
        <w:pStyle w:val="53"/>
        <w:spacing w:line="360" w:lineRule="exact"/>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lang w:val="en-US" w:eastAsia="zh-CN"/>
          <w14:textFill>
            <w14:solidFill>
              <w14:schemeClr w14:val="tx1"/>
            </w14:solidFill>
          </w14:textFill>
        </w:rPr>
        <w:t>续表</w:t>
      </w:r>
      <w:r>
        <w:rPr>
          <w:rFonts w:hint="default" w:ascii="Times New Roman" w:hAnsi="Times New Roman" w:eastAsia="黑体" w:cs="Times New Roman"/>
          <w:b/>
          <w:bCs/>
          <w:color w:val="000000" w:themeColor="text1"/>
          <w:kern w:val="0"/>
          <w:sz w:val="18"/>
          <w:szCs w:val="21"/>
          <w:highlight w:val="none"/>
          <w:lang w:val="en-US" w:eastAsia="zh-CN"/>
          <w14:textFill>
            <w14:solidFill>
              <w14:schemeClr w14:val="tx1"/>
            </w14:solidFill>
          </w14:textFill>
        </w:rPr>
        <w:t>6.1.3</w:t>
      </w:r>
    </w:p>
    <w:tbl>
      <w:tblPr>
        <w:tblStyle w:val="25"/>
        <w:tblW w:w="63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8"/>
        <w:gridCol w:w="712"/>
        <w:gridCol w:w="781"/>
        <w:gridCol w:w="585"/>
        <w:gridCol w:w="585"/>
        <w:gridCol w:w="425"/>
        <w:gridCol w:w="717"/>
        <w:gridCol w:w="435"/>
        <w:gridCol w:w="420"/>
        <w:gridCol w:w="705"/>
        <w:gridCol w:w="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1" w:type="dxa"/>
            <w:gridSpan w:val="3"/>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结构体系</w:t>
            </w:r>
          </w:p>
        </w:tc>
        <w:tc>
          <w:tcPr>
            <w:tcW w:w="4307" w:type="dxa"/>
            <w:gridSpan w:val="8"/>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1" w:type="dxa"/>
            <w:gridSpan w:val="3"/>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1170" w:type="dxa"/>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6度</w:t>
            </w:r>
          </w:p>
        </w:tc>
        <w:tc>
          <w:tcPr>
            <w:tcW w:w="1577" w:type="dxa"/>
            <w:gridSpan w:val="3"/>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7度</w:t>
            </w:r>
          </w:p>
        </w:tc>
        <w:tc>
          <w:tcPr>
            <w:tcW w:w="1560" w:type="dxa"/>
            <w:gridSpan w:val="3"/>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8度（0.20g）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现浇</w:t>
            </w:r>
            <w:r>
              <w:rPr>
                <w:rFonts w:hint="default" w:ascii="Times New Roman" w:hAnsi="Times New Roman" w:cs="Times New Roman"/>
                <w:color w:val="000000" w:themeColor="text1"/>
                <w:sz w:val="16"/>
                <w:szCs w:val="22"/>
                <w:highlight w:val="none"/>
                <w14:textFill>
                  <w14:solidFill>
                    <w14:schemeClr w14:val="tx1"/>
                  </w14:solidFill>
                </w14:textFill>
              </w:rPr>
              <w:t>剪力墙</w:t>
            </w:r>
          </w:p>
        </w:tc>
        <w:tc>
          <w:tcPr>
            <w:tcW w:w="712" w:type="dxa"/>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现浇</w:t>
            </w:r>
            <w:r>
              <w:rPr>
                <w:rFonts w:hint="default" w:ascii="Times New Roman" w:hAnsi="Times New Roman" w:cs="Times New Roman"/>
                <w:color w:val="000000" w:themeColor="text1"/>
                <w:sz w:val="16"/>
                <w:szCs w:val="22"/>
                <w:highlight w:val="none"/>
                <w14:textFill>
                  <w14:solidFill>
                    <w14:schemeClr w14:val="tx1"/>
                  </w14:solidFill>
                </w14:textFill>
              </w:rPr>
              <w:t>剪力墙结构</w:t>
            </w: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高度（m）</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≤80</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＞80</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717"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＞24且≤80</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＞80</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w:t>
            </w:r>
          </w:p>
        </w:tc>
        <w:tc>
          <w:tcPr>
            <w:tcW w:w="70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＞24且≤80</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剪力墙</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717"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0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部分框支模块化</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现浇</w:t>
            </w:r>
            <w:r>
              <w:rPr>
                <w:rFonts w:hint="default" w:ascii="Times New Roman" w:hAnsi="Times New Roman" w:cs="Times New Roman"/>
                <w:color w:val="000000" w:themeColor="text1"/>
                <w:sz w:val="16"/>
                <w:szCs w:val="22"/>
                <w:highlight w:val="none"/>
                <w14:textFill>
                  <w14:solidFill>
                    <w14:schemeClr w14:val="tx1"/>
                  </w14:solidFill>
                </w14:textFill>
              </w:rPr>
              <w:t>剪力墙结构</w:t>
            </w: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现浇框支框架</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717"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70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35" w:type="dxa"/>
            <w:vMerge w:val="restar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底部加强部位剪力墙</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17"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70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一</w:t>
            </w:r>
          </w:p>
        </w:tc>
        <w:tc>
          <w:tcPr>
            <w:tcW w:w="435"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12" w:type="dxa"/>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781"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其他区域剪力墙</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58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2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四</w:t>
            </w:r>
          </w:p>
        </w:tc>
        <w:tc>
          <w:tcPr>
            <w:tcW w:w="717"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43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20"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三</w:t>
            </w:r>
          </w:p>
        </w:tc>
        <w:tc>
          <w:tcPr>
            <w:tcW w:w="705" w:type="dxa"/>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二</w:t>
            </w:r>
          </w:p>
        </w:tc>
        <w:tc>
          <w:tcPr>
            <w:tcW w:w="435" w:type="dxa"/>
            <w:vMerge w:val="continue"/>
            <w:vAlign w:val="center"/>
          </w:tcPr>
          <w:p>
            <w:pPr>
              <w:pStyle w:val="50"/>
              <w:rPr>
                <w:rFonts w:hint="default" w:ascii="Times New Roman" w:hAnsi="Times New Roman" w:eastAsia="宋体" w:cs="Times New Roman"/>
                <w:color w:val="000000" w:themeColor="text1"/>
                <w:sz w:val="16"/>
                <w:szCs w:val="22"/>
                <w:highlight w:val="none"/>
                <w:lang w:eastAsia="zh-CN"/>
                <w14:textFill>
                  <w14:solidFill>
                    <w14:schemeClr w14:val="tx1"/>
                  </w14:solidFill>
                </w14:textFill>
              </w:rPr>
            </w:pPr>
          </w:p>
        </w:tc>
      </w:tr>
    </w:tbl>
    <w:p>
      <w:pPr>
        <w:pStyle w:val="53"/>
        <w:spacing w:line="360" w:lineRule="exact"/>
        <w:ind w:firstLine="0" w:firstLineChars="0"/>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注：</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 xml:space="preserve">1  </w:t>
      </w:r>
      <w:r>
        <w:rPr>
          <w:rFonts w:hint="default" w:ascii="Times New Roman" w:hAnsi="Times New Roman" w:cs="Times New Roman"/>
          <w:color w:val="000000" w:themeColor="text1"/>
          <w:sz w:val="18"/>
          <w:szCs w:val="18"/>
          <w:highlight w:val="none"/>
          <w14:textFill>
            <w14:solidFill>
              <w14:schemeClr w14:val="tx1"/>
            </w14:solidFill>
          </w14:textFill>
        </w:rPr>
        <w:t>房屋高度指室外地面的主要屋面板板顶高度（不包括局部突出屋顶各部分）</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p>
    <w:p>
      <w:pPr>
        <w:keepNext w:val="0"/>
        <w:keepLines w:val="0"/>
        <w:widowControl/>
        <w:suppressLineNumbers w:val="0"/>
        <w:ind w:firstLine="360" w:firstLineChars="200"/>
        <w:jc w:val="left"/>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2</w:t>
      </w:r>
      <w:r>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大跨度框架指跨度不小于18的框架。</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6.1.4 </w:t>
      </w:r>
      <w:r>
        <w:rPr>
          <w:rFonts w:hint="default" w:ascii="Times New Roman" w:hAnsi="Times New Roman" w:cs="Times New Roman"/>
          <w:color w:val="000000" w:themeColor="text1"/>
          <w:szCs w:val="21"/>
          <w:highlight w:val="none"/>
          <w14:textFill>
            <w14:solidFill>
              <w14:schemeClr w14:val="tx1"/>
            </w14:solidFill>
          </w14:textFill>
        </w:rPr>
        <w:t>乙类建筑应按本地区抗震设防烈度提高一度的要求加强其抗震措施，当建筑场地为I 类时应允许仍按本地区抗震设防烈度的要求采取抗震构造措施；</w:t>
      </w:r>
      <w:bookmarkStart w:id="405" w:name="OLE_LINK44"/>
      <w:r>
        <w:rPr>
          <w:rFonts w:hint="default" w:ascii="Times New Roman" w:hAnsi="Times New Roman" w:cs="Times New Roman"/>
          <w:color w:val="000000" w:themeColor="text1"/>
          <w:szCs w:val="21"/>
          <w:highlight w:val="none"/>
          <w14:textFill>
            <w14:solidFill>
              <w14:schemeClr w14:val="tx1"/>
            </w14:solidFill>
          </w14:textFill>
        </w:rPr>
        <w:t>丙类建筑应按本地区抗震设防烈度确定其抗震措施，当建筑场地为I类时，</w:t>
      </w:r>
      <w:bookmarkEnd w:id="405"/>
      <w:r>
        <w:rPr>
          <w:rFonts w:hint="default" w:ascii="Times New Roman" w:hAnsi="Times New Roman" w:cs="Times New Roman"/>
          <w:color w:val="000000" w:themeColor="text1"/>
          <w:szCs w:val="21"/>
          <w:highlight w:val="none"/>
          <w14:textFill>
            <w14:solidFill>
              <w14:schemeClr w14:val="tx1"/>
            </w14:solidFill>
          </w14:textFill>
        </w:rPr>
        <w:t xml:space="preserve">除6度外，应允许按本地区抗震设防烈度降低一度的要求采取抗震构造措施。 </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6.1.5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当建筑场地为Ⅲ、Ⅳ 类时，对设计基本地震加速度为 0.15g的地区，宜按抗震设防烈度8度 (0.20g)时各类建筑的要求采取抗震构造措施。</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6.1.6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高层模块化结构</w:t>
      </w:r>
      <w:r>
        <w:rPr>
          <w:rFonts w:hint="default" w:ascii="Times New Roman" w:hAnsi="Times New Roman" w:cs="Times New Roman"/>
          <w:color w:val="000000" w:themeColor="text1"/>
          <w:szCs w:val="21"/>
          <w:highlight w:val="none"/>
          <w14:textFill>
            <w14:solidFill>
              <w14:schemeClr w14:val="tx1"/>
            </w14:solidFill>
          </w14:textFill>
        </w:rPr>
        <w:t>的底部加强部位剪力墙和约束边缘构件阴影部分宜采用现浇混凝土结构。</w:t>
      </w:r>
      <w:bookmarkStart w:id="406" w:name="OLE_LINK110"/>
      <w:r>
        <w:rPr>
          <w:rFonts w:hint="default" w:ascii="Times New Roman" w:hAnsi="Times New Roman" w:cs="Times New Roman"/>
          <w:color w:val="000000" w:themeColor="text1"/>
          <w:szCs w:val="21"/>
          <w:highlight w:val="none"/>
          <w14:textFill>
            <w14:solidFill>
              <w14:schemeClr w14:val="tx1"/>
            </w14:solidFill>
          </w14:textFill>
        </w:rPr>
        <w:t>当底部加强部位剪力墙采用预制空心</w:t>
      </w:r>
      <w:r>
        <w:rPr>
          <w:rFonts w:hint="default" w:ascii="Times New Roman" w:hAnsi="Times New Roman" w:cs="Times New Roman"/>
          <w:color w:val="000000" w:themeColor="text1"/>
          <w:szCs w:val="21"/>
          <w:highlight w:val="none"/>
          <w:lang w:val="en-US" w:eastAsia="zh-CN"/>
          <w14:textFill>
            <w14:solidFill>
              <w14:schemeClr w14:val="tx1"/>
            </w14:solidFill>
          </w14:textFill>
        </w:rPr>
        <w:t>墙</w:t>
      </w:r>
      <w:r>
        <w:rPr>
          <w:rFonts w:hint="default" w:ascii="Times New Roman" w:hAnsi="Times New Roman" w:cs="Times New Roman"/>
          <w:color w:val="000000" w:themeColor="text1"/>
          <w:szCs w:val="21"/>
          <w:highlight w:val="none"/>
          <w14:textFill>
            <w14:solidFill>
              <w14:schemeClr w14:val="tx1"/>
            </w14:solidFill>
          </w14:textFill>
        </w:rPr>
        <w:t>或叠合剪力墙时</w:t>
      </w:r>
      <w:bookmarkEnd w:id="406"/>
      <w:r>
        <w:rPr>
          <w:rFonts w:hint="default" w:ascii="Times New Roman" w:hAnsi="Times New Roman" w:cs="Times New Roman"/>
          <w:color w:val="000000" w:themeColor="text1"/>
          <w:szCs w:val="21"/>
          <w:highlight w:val="none"/>
          <w14:textFill>
            <w14:solidFill>
              <w14:schemeClr w14:val="tx1"/>
            </w14:solidFill>
          </w14:textFill>
        </w:rPr>
        <w:t>，抗震</w:t>
      </w:r>
      <w:bookmarkStart w:id="407" w:name="OLE_LINK111"/>
      <w:r>
        <w:rPr>
          <w:rFonts w:hint="default" w:ascii="Times New Roman" w:hAnsi="Times New Roman" w:cs="Times New Roman"/>
          <w:color w:val="000000" w:themeColor="text1"/>
          <w:szCs w:val="21"/>
          <w:highlight w:val="none"/>
          <w14:textFill>
            <w14:solidFill>
              <w14:schemeClr w14:val="tx1"/>
            </w14:solidFill>
          </w14:textFill>
        </w:rPr>
        <w:t>构造措施等级应提高一级且剪力</w:t>
      </w:r>
      <w:bookmarkEnd w:id="407"/>
      <w:r>
        <w:rPr>
          <w:rFonts w:hint="default" w:ascii="Times New Roman" w:hAnsi="Times New Roman" w:cs="Times New Roman"/>
          <w:color w:val="000000" w:themeColor="text1"/>
          <w:szCs w:val="21"/>
          <w:highlight w:val="none"/>
          <w14:textFill>
            <w14:solidFill>
              <w14:schemeClr w14:val="tx1"/>
            </w14:solidFill>
          </w14:textFill>
        </w:rPr>
        <w:t>墙根部的竖向连接钢筋面积应乘以不小于1.</w:t>
      </w:r>
      <w:r>
        <w:rPr>
          <w:rFonts w:hint="default" w:ascii="Times New Roman" w:hAnsi="Times New Roman" w:cs="Times New Roman"/>
          <w:color w:val="000000" w:themeColor="text1"/>
          <w:szCs w:val="21"/>
          <w:highlight w:val="none"/>
          <w:lang w:val="en-US" w:eastAsia="zh-CN"/>
          <w14:textFill>
            <w14:solidFill>
              <w14:schemeClr w14:val="tx1"/>
            </w14:solidFill>
          </w14:textFill>
        </w:rPr>
        <w:t>25</w:t>
      </w:r>
      <w:r>
        <w:rPr>
          <w:rFonts w:hint="default" w:ascii="Times New Roman" w:hAnsi="Times New Roman" w:cs="Times New Roman"/>
          <w:color w:val="000000" w:themeColor="text1"/>
          <w:szCs w:val="21"/>
          <w:highlight w:val="none"/>
          <w14:textFill>
            <w14:solidFill>
              <w14:schemeClr w14:val="tx1"/>
            </w14:solidFill>
          </w14:textFill>
        </w:rPr>
        <w:t>的增大系数。</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408" w:name="_Toc8364"/>
      <w:bookmarkStart w:id="409" w:name="_Toc25312"/>
      <w:bookmarkStart w:id="410" w:name="_Toc30066"/>
      <w:r>
        <w:rPr>
          <w:rFonts w:hint="default" w:ascii="Times New Roman" w:hAnsi="Times New Roman" w:cs="Times New Roman"/>
          <w:b/>
          <w:color w:val="000000" w:themeColor="text1"/>
          <w:szCs w:val="21"/>
          <w:highlight w:val="none"/>
          <w14:textFill>
            <w14:solidFill>
              <w14:schemeClr w14:val="tx1"/>
            </w14:solidFill>
          </w14:textFill>
        </w:rPr>
        <w:t xml:space="preserve">6.1.7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部分框支叠合剪力墙结构应符合下列规定：</w:t>
      </w:r>
      <w:bookmarkEnd w:id="408"/>
      <w:bookmarkEnd w:id="409"/>
      <w:bookmarkEnd w:id="410"/>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11" w:name="_Toc30257"/>
      <w:bookmarkStart w:id="412" w:name="_Toc14152"/>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在地面以上设置转换层的位置，8度时不宜超过3层，7度时不宜超过5层、6度时可适当提高</w:t>
      </w:r>
      <w:bookmarkEnd w:id="411"/>
      <w:bookmarkEnd w:id="412"/>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13" w:name="_Toc29474"/>
      <w:bookmarkStart w:id="414" w:name="_Toc1671"/>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当转换层的位置设置在3层及3层以上时，其框支柱、剪力墙底部加强部位的抗震等级宜按</w:t>
      </w:r>
      <w:r>
        <w:rPr>
          <w:rFonts w:hint="default" w:ascii="Times New Roman" w:hAnsi="Times New Roman" w:cs="Times New Roman"/>
          <w:color w:val="000000" w:themeColor="text1"/>
          <w:szCs w:val="21"/>
          <w:highlight w:val="none"/>
          <w:lang w:eastAsia="zh-CN"/>
          <w14:textFill>
            <w14:solidFill>
              <w14:schemeClr w14:val="tx1"/>
            </w14:solidFill>
          </w14:textFill>
        </w:rPr>
        <w:t>本标准</w:t>
      </w:r>
      <w:r>
        <w:rPr>
          <w:rFonts w:hint="default" w:ascii="Times New Roman" w:hAnsi="Times New Roman" w:cs="Times New Roman"/>
          <w:color w:val="000000" w:themeColor="text1"/>
          <w:szCs w:val="21"/>
          <w:highlight w:val="none"/>
          <w14:textFill>
            <w14:solidFill>
              <w14:schemeClr w14:val="tx1"/>
            </w14:solidFill>
          </w14:textFill>
        </w:rPr>
        <w:t>表6.1.</w:t>
      </w:r>
      <w:r>
        <w:rPr>
          <w:rFonts w:hint="default" w:ascii="Times New Roman" w:hAnsi="Times New Roman" w:cs="Times New Roman"/>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的规定提高一级采用，已为特一级时可不提高。</w:t>
      </w:r>
      <w:bookmarkEnd w:id="413"/>
      <w:bookmarkEnd w:id="414"/>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15" w:name="_Toc10391"/>
      <w:bookmarkStart w:id="416" w:name="_Toc25198"/>
      <w:bookmarkStart w:id="417" w:name="_Toc4359"/>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框支层及以下的剪力墙和框支框架应采用现浇结构。</w:t>
      </w:r>
      <w:bookmarkEnd w:id="415"/>
      <w:bookmarkEnd w:id="416"/>
      <w:bookmarkEnd w:id="417"/>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6.1.8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模块化</w:t>
      </w:r>
      <w:r>
        <w:rPr>
          <w:rFonts w:hint="default" w:ascii="Times New Roman" w:hAnsi="Times New Roman" w:cs="Times New Roman"/>
          <w:color w:val="000000" w:themeColor="text1"/>
          <w:szCs w:val="21"/>
          <w:highlight w:val="none"/>
          <w14:textFill>
            <w14:solidFill>
              <w14:schemeClr w14:val="tx1"/>
            </w14:solidFill>
          </w14:textFill>
        </w:rPr>
        <w:t>结构竖向布置应连续、均匀，应避免抗侧力结构的侧向刚度和承载力沿竖向突变，并应符合现行国家标准</w:t>
      </w:r>
      <w:r>
        <w:rPr>
          <w:rFonts w:hint="default" w:ascii="Times New Roman" w:hAnsi="Times New Roman" w:cs="Times New Roman"/>
          <w:color w:val="000000" w:themeColor="text1"/>
          <w:szCs w:val="21"/>
          <w:highlight w:val="none"/>
          <w:lang w:eastAsia="zh-CN"/>
          <w14:textFill>
            <w14:solidFill>
              <w14:schemeClr w14:val="tx1"/>
            </w14:solidFill>
          </w14:textFill>
        </w:rPr>
        <w:t>《建筑抗震设计标准》GB/T 50011</w:t>
      </w:r>
      <w:r>
        <w:rPr>
          <w:rFonts w:hint="default" w:ascii="Times New Roman" w:hAnsi="Times New Roman" w:cs="Times New Roman"/>
          <w:color w:val="000000" w:themeColor="text1"/>
          <w:szCs w:val="21"/>
          <w:highlight w:val="none"/>
          <w14:textFill>
            <w14:solidFill>
              <w14:schemeClr w14:val="tx1"/>
            </w14:solidFill>
          </w14:textFill>
        </w:rPr>
        <w:t xml:space="preserve">的有关规定。 </w:t>
      </w:r>
    </w:p>
    <w:p>
      <w:pPr>
        <w:widowControl/>
        <w:spacing w:line="360" w:lineRule="exact"/>
        <w:rPr>
          <w:rFonts w:hint="default" w:ascii="Times New Roman" w:hAnsi="Times New Roman" w:cs="Times New Roman"/>
          <w:color w:val="000000" w:themeColor="text1"/>
          <w:sz w:val="18"/>
          <w:szCs w:val="28"/>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6.1.</w:t>
      </w:r>
      <w:r>
        <w:rPr>
          <w:rFonts w:hint="default" w:ascii="Times New Roman" w:hAnsi="Times New Roman" w:cs="Times New Roman"/>
          <w:b/>
          <w:color w:val="000000" w:themeColor="text1"/>
          <w:szCs w:val="21"/>
          <w:highlight w:val="none"/>
          <w:lang w:val="en-US" w:eastAsia="zh-CN"/>
          <w14:textFill>
            <w14:solidFill>
              <w14:schemeClr w14:val="tx1"/>
            </w14:solidFill>
          </w14:textFill>
        </w:rPr>
        <w:t>9</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预埋件和连接件等外露金属件应按不同环境类别进行封闭或防腐、防锈、防火处理，并应符合耐久性要求。 </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418" w:name="_Toc25422"/>
      <w:bookmarkStart w:id="419" w:name="_Toc1785"/>
      <w:bookmarkStart w:id="420" w:name="_Toc23201"/>
      <w:bookmarkStart w:id="421" w:name="_Toc14706"/>
      <w:bookmarkStart w:id="422" w:name="_Toc25334"/>
      <w:bookmarkStart w:id="423" w:name="_Toc23751"/>
      <w:bookmarkStart w:id="424" w:name="_Toc11382"/>
      <w:bookmarkStart w:id="425" w:name="_Toc18947"/>
      <w:bookmarkStart w:id="426" w:name="_Toc10522"/>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6.2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结</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构</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布</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置</w:t>
      </w:r>
      <w:bookmarkEnd w:id="418"/>
      <w:bookmarkEnd w:id="419"/>
      <w:bookmarkEnd w:id="420"/>
      <w:bookmarkEnd w:id="421"/>
      <w:bookmarkEnd w:id="422"/>
      <w:bookmarkEnd w:id="423"/>
      <w:bookmarkEnd w:id="424"/>
      <w:bookmarkEnd w:id="425"/>
      <w:bookmarkEnd w:id="426"/>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6.2.1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混凝土模块化建筑的结构平面布置与竖向布置的规则性除应符合</w:t>
      </w:r>
      <w:r>
        <w:rPr>
          <w:rFonts w:hint="default" w:ascii="Times New Roman" w:hAnsi="Times New Roman" w:cs="Times New Roman"/>
          <w:color w:val="000000" w:themeColor="text1"/>
          <w:szCs w:val="21"/>
          <w:highlight w:val="none"/>
          <w:lang w:eastAsia="zh-CN"/>
          <w14:textFill>
            <w14:solidFill>
              <w14:schemeClr w14:val="tx1"/>
            </w14:solidFill>
          </w14:textFill>
        </w:rPr>
        <w:t>本标准</w:t>
      </w:r>
      <w:r>
        <w:rPr>
          <w:rFonts w:hint="default" w:ascii="Times New Roman" w:hAnsi="Times New Roman" w:cs="Times New Roman"/>
          <w:color w:val="000000" w:themeColor="text1"/>
          <w:szCs w:val="21"/>
          <w:highlight w:val="none"/>
          <w14:textFill>
            <w14:solidFill>
              <w14:schemeClr w14:val="tx1"/>
            </w14:solidFill>
          </w14:textFill>
        </w:rPr>
        <w:t>的规定外，尚应符合现行国家标准《建筑抗震设计规范》GB50011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现行广东省标准《建筑工程混凝土结构设计标准》DB</w:t>
      </w:r>
      <w:r>
        <w:rPr>
          <w:rFonts w:hint="default" w:ascii="Times New Roman" w:hAnsi="Times New Roman" w:cs="Times New Roman"/>
          <w:color w:val="000000" w:themeColor="text1"/>
          <w:szCs w:val="21"/>
          <w:highlight w:val="none"/>
          <w:lang w:val="en-US" w:eastAsia="zh-CN"/>
          <w14:textFill>
            <w14:solidFill>
              <w14:schemeClr w14:val="tx1"/>
            </w14:solidFill>
          </w14:textFill>
        </w:rPr>
        <w:t>44</w:t>
      </w:r>
      <w:r>
        <w:rPr>
          <w:rFonts w:hint="default" w:ascii="Times New Roman" w:hAnsi="Times New Roman" w:cs="Times New Roman"/>
          <w:color w:val="000000" w:themeColor="text1"/>
          <w:szCs w:val="21"/>
          <w:highlight w:val="none"/>
          <w14:textFill>
            <w14:solidFill>
              <w14:schemeClr w14:val="tx1"/>
            </w14:solidFill>
          </w14:textFill>
        </w:rPr>
        <w:t xml:space="preserve">/T </w:t>
      </w:r>
      <w:r>
        <w:rPr>
          <w:rFonts w:hint="default" w:ascii="Times New Roman" w:hAnsi="Times New Roman" w:cs="Times New Roman"/>
          <w:color w:val="000000" w:themeColor="text1"/>
          <w:szCs w:val="21"/>
          <w:highlight w:val="none"/>
          <w:lang w:val="en-US" w:eastAsia="zh-CN"/>
          <w14:textFill>
            <w14:solidFill>
              <w14:schemeClr w14:val="tx1"/>
            </w14:solidFill>
          </w14:textFill>
        </w:rPr>
        <w:t>2696</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2025和《高层建筑工业化技术标准》</w:t>
      </w:r>
      <w:r>
        <w:rPr>
          <w:rFonts w:hint="default" w:ascii="Times New Roman" w:hAnsi="Times New Roman" w:cs="Times New Roman"/>
          <w:color w:val="000000" w:themeColor="text1"/>
          <w:szCs w:val="21"/>
          <w:highlight w:val="none"/>
          <w14:textFill>
            <w14:solidFill>
              <w14:schemeClr w14:val="tx1"/>
            </w14:solidFill>
          </w14:textFill>
        </w:rPr>
        <w:t>DBJ/T 15-</w:t>
      </w:r>
      <w:r>
        <w:rPr>
          <w:rFonts w:hint="default" w:ascii="Times New Roman" w:hAnsi="Times New Roman" w:cs="Times New Roman"/>
          <w:color w:val="000000" w:themeColor="text1"/>
          <w:szCs w:val="21"/>
          <w:highlight w:val="none"/>
          <w:lang w:val="en-US" w:eastAsia="zh-CN"/>
          <w14:textFill>
            <w14:solidFill>
              <w14:schemeClr w14:val="tx1"/>
            </w14:solidFill>
          </w14:textFill>
        </w:rPr>
        <w:t>265</w:t>
      </w:r>
      <w:r>
        <w:rPr>
          <w:rFonts w:hint="default" w:ascii="Times New Roman" w:hAnsi="Times New Roman" w:cs="Times New Roman"/>
          <w:color w:val="000000" w:themeColor="text1"/>
          <w:szCs w:val="21"/>
          <w:highlight w:val="none"/>
          <w14:textFill>
            <w14:solidFill>
              <w14:schemeClr w14:val="tx1"/>
            </w14:solidFill>
          </w14:textFill>
        </w:rPr>
        <w:t>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6.2.2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模块化结构的质量、刚度和承载力分布宜均匀，平面布置应符合下列规定：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27" w:name="_Toc9568"/>
      <w:bookmarkStart w:id="428" w:name="_Toc26483"/>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平面形状宜简单、规则、对称，质量、刚度分布宜均匀；不应采用严重不规则的平面布置</w:t>
      </w:r>
      <w:bookmarkEnd w:id="427"/>
      <w:bookmarkEnd w:id="428"/>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29" w:name="_Toc27163"/>
      <w:bookmarkStart w:id="430" w:name="_Toc2243"/>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平面长度不宜过长(图6.2.2)，长宽比(L/B)宜按表6.2.2</w:t>
      </w: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采用</w:t>
      </w:r>
      <w:bookmarkEnd w:id="429"/>
      <w:bookmarkEnd w:id="430"/>
      <w:r>
        <w:rPr>
          <w:rFonts w:hint="default" w:ascii="Times New Roman" w:hAnsi="Times New Roman" w:cs="Times New Roman"/>
          <w:color w:val="000000" w:themeColor="text1"/>
          <w:szCs w:val="21"/>
          <w:highlight w:val="none"/>
          <w:lang w:eastAsia="zh-CN"/>
          <w14:textFill>
            <w14:solidFill>
              <w14:schemeClr w14:val="tx1"/>
            </w14:solidFill>
          </w14:textFill>
        </w:rPr>
        <w:t>；</w:t>
      </w:r>
    </w:p>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2324100" cy="2731770"/>
            <wp:effectExtent l="0" t="0" r="0" b="11430"/>
            <wp:docPr id="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true"/>
                    </pic:cNvPicPr>
                  </pic:nvPicPr>
                  <pic:blipFill>
                    <a:blip r:embed="rId24"/>
                    <a:stretch>
                      <a:fillRect/>
                    </a:stretch>
                  </pic:blipFill>
                  <pic:spPr>
                    <a:xfrm>
                      <a:off x="0" y="0"/>
                      <a:ext cx="2324100" cy="2731770"/>
                    </a:xfrm>
                    <a:prstGeom prst="rect">
                      <a:avLst/>
                    </a:prstGeom>
                    <a:noFill/>
                    <a:ln>
                      <a:noFill/>
                    </a:ln>
                  </pic:spPr>
                </pic:pic>
              </a:graphicData>
            </a:graphic>
          </wp:inline>
        </w:drawing>
      </w:r>
    </w:p>
    <w:p>
      <w:pPr>
        <w:jc w:val="center"/>
        <w:rPr>
          <w:rFonts w:hint="default" w:ascii="Times New Roman" w:hAnsi="Times New Roman" w:eastAsia="黑体" w:cs="Times New Roman"/>
          <w:color w:val="000000" w:themeColor="text1"/>
          <w:sz w:val="18"/>
          <w:szCs w:val="20"/>
          <w:highlight w:val="none"/>
          <w14:textFill>
            <w14:solidFill>
              <w14:schemeClr w14:val="tx1"/>
            </w14:solidFill>
          </w14:textFill>
        </w:rPr>
      </w:pPr>
      <w:r>
        <w:rPr>
          <w:rFonts w:hint="default" w:ascii="Times New Roman" w:hAnsi="Times New Roman" w:eastAsia="黑体" w:cs="Times New Roman"/>
          <w:color w:val="000000" w:themeColor="text1"/>
          <w:sz w:val="18"/>
          <w:szCs w:val="20"/>
          <w:highlight w:val="none"/>
          <w14:textFill>
            <w14:solidFill>
              <w14:schemeClr w14:val="tx1"/>
            </w14:solidFill>
          </w14:textFill>
        </w:rPr>
        <w:t>图</w:t>
      </w:r>
      <w:r>
        <w:rPr>
          <w:rFonts w:hint="default" w:ascii="Times New Roman" w:hAnsi="Times New Roman" w:eastAsia="黑体" w:cs="Times New Roman"/>
          <w:b/>
          <w:color w:val="000000" w:themeColor="text1"/>
          <w:sz w:val="18"/>
          <w:szCs w:val="20"/>
          <w:highlight w:val="none"/>
          <w14:textFill>
            <w14:solidFill>
              <w14:schemeClr w14:val="tx1"/>
            </w14:solidFill>
          </w14:textFill>
        </w:rPr>
        <w:t xml:space="preserve">6.2.2 </w:t>
      </w:r>
      <w:r>
        <w:rPr>
          <w:rFonts w:hint="default" w:ascii="Times New Roman" w:hAnsi="Times New Roman" w:eastAsia="黑体" w:cs="Times New Roman"/>
          <w:color w:val="000000" w:themeColor="text1"/>
          <w:sz w:val="18"/>
          <w:szCs w:val="20"/>
          <w:highlight w:val="none"/>
          <w14:textFill>
            <w14:solidFill>
              <w14:schemeClr w14:val="tx1"/>
            </w14:solidFill>
          </w14:textFill>
        </w:rPr>
        <w:t xml:space="preserve"> 建筑平面示意</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31" w:name="_Toc26727"/>
      <w:bookmarkStart w:id="432" w:name="_Toc20916"/>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平面突出部分的长度不宜过大(图6.2.2)、宽度b不宜过小，l/B</w:t>
      </w:r>
      <w:r>
        <w:rPr>
          <w:rFonts w:hint="default" w:ascii="Times New Roman" w:hAnsi="Times New Roman" w:cs="Times New Roman"/>
          <w:color w:val="000000" w:themeColor="text1"/>
          <w:szCs w:val="21"/>
          <w:highlight w:val="none"/>
          <w:vertAlign w:val="subscript"/>
          <w14:textFill>
            <w14:solidFill>
              <w14:schemeClr w14:val="tx1"/>
            </w14:solidFill>
          </w14:textFill>
        </w:rPr>
        <w:t>max</w:t>
      </w:r>
      <w:r>
        <w:rPr>
          <w:rFonts w:hint="default" w:ascii="Times New Roman" w:hAnsi="Times New Roman" w:cs="Times New Roman"/>
          <w:color w:val="000000" w:themeColor="text1"/>
          <w:szCs w:val="21"/>
          <w:highlight w:val="none"/>
          <w14:textFill>
            <w14:solidFill>
              <w14:schemeClr w14:val="tx1"/>
            </w14:solidFill>
          </w14:textFill>
        </w:rPr>
        <w:t>、l/b宜按表6.2.2</w:t>
      </w: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采用</w:t>
      </w:r>
      <w:bookmarkEnd w:id="431"/>
      <w:bookmarkEnd w:id="432"/>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jc w:val="center"/>
        <w:rPr>
          <w:rFonts w:hint="default" w:ascii="Times New Roman" w:hAnsi="Times New Roman" w:eastAsia="黑体" w:cs="Times New Roman"/>
          <w:color w:val="000000" w:themeColor="text1"/>
          <w:sz w:val="18"/>
          <w:szCs w:val="20"/>
          <w:highlight w:val="none"/>
          <w14:textFill>
            <w14:solidFill>
              <w14:schemeClr w14:val="tx1"/>
            </w14:solidFill>
          </w14:textFill>
        </w:rPr>
      </w:pPr>
      <w:r>
        <w:rPr>
          <w:rFonts w:hint="default" w:ascii="Times New Roman" w:hAnsi="Times New Roman" w:eastAsia="黑体" w:cs="Times New Roman"/>
          <w:color w:val="000000" w:themeColor="text1"/>
          <w:sz w:val="18"/>
          <w:szCs w:val="20"/>
          <w:highlight w:val="none"/>
          <w14:textFill>
            <w14:solidFill>
              <w14:schemeClr w14:val="tx1"/>
            </w14:solidFill>
          </w14:textFill>
        </w:rPr>
        <w:t>表</w:t>
      </w:r>
      <w:r>
        <w:rPr>
          <w:rFonts w:hint="default" w:ascii="Times New Roman" w:hAnsi="Times New Roman" w:eastAsia="黑体" w:cs="Times New Roman"/>
          <w:b/>
          <w:color w:val="000000" w:themeColor="text1"/>
          <w:sz w:val="18"/>
          <w:szCs w:val="20"/>
          <w:highlight w:val="none"/>
          <w14:textFill>
            <w14:solidFill>
              <w14:schemeClr w14:val="tx1"/>
            </w14:solidFill>
          </w14:textFill>
        </w:rPr>
        <w:t>6.2.2</w:t>
      </w:r>
      <w:r>
        <w:rPr>
          <w:rFonts w:hint="default" w:ascii="Times New Roman" w:hAnsi="Times New Roman" w:eastAsia="黑体" w:cs="Times New Roman"/>
          <w:b/>
          <w:color w:val="000000" w:themeColor="text1"/>
          <w:sz w:val="18"/>
          <w:szCs w:val="20"/>
          <w:highlight w:val="none"/>
          <w:lang w:val="en-US" w:eastAsia="zh-CN"/>
          <w14:textFill>
            <w14:solidFill>
              <w14:schemeClr w14:val="tx1"/>
            </w14:solidFill>
          </w14:textFill>
        </w:rPr>
        <w:t>-1</w:t>
      </w:r>
      <w:r>
        <w:rPr>
          <w:rFonts w:hint="default" w:ascii="Times New Roman" w:hAnsi="Times New Roman" w:eastAsia="黑体" w:cs="Times New Roman"/>
          <w:b/>
          <w:color w:val="000000" w:themeColor="text1"/>
          <w:sz w:val="18"/>
          <w:szCs w:val="20"/>
          <w:highlight w:val="none"/>
          <w14:textFill>
            <w14:solidFill>
              <w14:schemeClr w14:val="tx1"/>
            </w14:solidFill>
          </w14:textFill>
        </w:rPr>
        <w:t xml:space="preserve"> </w:t>
      </w:r>
      <w:r>
        <w:rPr>
          <w:rFonts w:hint="default" w:ascii="Times New Roman" w:hAnsi="Times New Roman" w:eastAsia="黑体" w:cs="Times New Roman"/>
          <w:color w:val="000000" w:themeColor="text1"/>
          <w:sz w:val="18"/>
          <w:szCs w:val="20"/>
          <w:highlight w:val="none"/>
          <w14:textFill>
            <w14:solidFill>
              <w14:schemeClr w14:val="tx1"/>
            </w14:solidFill>
          </w14:textFill>
        </w:rPr>
        <w:t xml:space="preserve"> 平面尺寸及突出部位尺寸的比值限值</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34"/>
        <w:gridCol w:w="1534"/>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tcBorders>
              <w:top w:val="single" w:color="000000" w:sz="12" w:space="0"/>
              <w:left w:val="single" w:color="000000" w:sz="12" w:space="0"/>
            </w:tcBorders>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抗震设防烈度</w:t>
            </w:r>
          </w:p>
        </w:tc>
        <w:tc>
          <w:tcPr>
            <w:tcW w:w="1534" w:type="dxa"/>
            <w:tcBorders>
              <w:top w:val="single" w:color="000000" w:sz="12" w:space="0"/>
            </w:tcBorders>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iCs/>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vertAlign w:val="baseline"/>
                <w:lang w:val="en-US" w:eastAsia="zh-CN"/>
                <w14:textFill>
                  <w14:solidFill>
                    <w14:schemeClr w14:val="tx1"/>
                  </w14:solidFill>
                </w14:textFill>
              </w:rPr>
              <w:t>L/B</w:t>
            </w:r>
          </w:p>
        </w:tc>
        <w:tc>
          <w:tcPr>
            <w:tcW w:w="1534" w:type="dxa"/>
            <w:tcBorders>
              <w:top w:val="single" w:color="000000" w:sz="12" w:space="0"/>
            </w:tcBorders>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iCs/>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vertAlign w:val="baseline"/>
                <w:lang w:val="en-US" w:eastAsia="zh-CN"/>
                <w14:textFill>
                  <w14:solidFill>
                    <w14:schemeClr w14:val="tx1"/>
                  </w14:solidFill>
                </w14:textFill>
              </w:rPr>
              <w:t>l/B</w:t>
            </w:r>
            <w:r>
              <w:rPr>
                <w:rFonts w:hint="default" w:ascii="Times New Roman" w:hAnsi="Times New Roman" w:eastAsia="宋体" w:cs="Times New Roman"/>
                <w:i w:val="0"/>
                <w:iCs w:val="0"/>
                <w:color w:val="000000" w:themeColor="text1"/>
                <w:sz w:val="16"/>
                <w:szCs w:val="16"/>
                <w:highlight w:val="none"/>
                <w:vertAlign w:val="subscript"/>
                <w:lang w:val="en-US" w:eastAsia="zh-CN"/>
                <w14:textFill>
                  <w14:solidFill>
                    <w14:schemeClr w14:val="tx1"/>
                  </w14:solidFill>
                </w14:textFill>
              </w:rPr>
              <w:t>max</w:t>
            </w:r>
          </w:p>
        </w:tc>
        <w:tc>
          <w:tcPr>
            <w:tcW w:w="1534" w:type="dxa"/>
            <w:tcBorders>
              <w:top w:val="single" w:color="000000" w:sz="12" w:space="0"/>
              <w:right w:val="single" w:color="000000" w:sz="12" w:space="0"/>
            </w:tcBorders>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iCs/>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i/>
                <w:iCs/>
                <w:color w:val="000000" w:themeColor="text1"/>
                <w:sz w:val="16"/>
                <w:szCs w:val="16"/>
                <w:highlight w:val="none"/>
                <w:vertAlign w:val="baseline"/>
                <w:lang w:val="en-US" w:eastAsia="zh-CN"/>
                <w14:textFill>
                  <w14:solidFill>
                    <w14:schemeClr w14:val="tx1"/>
                  </w14:solidFill>
                </w14:textFill>
              </w:rPr>
              <w:t>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tcBorders>
              <w:left w:val="single" w:color="000000" w:sz="12" w:space="0"/>
            </w:tcBorders>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6、7度</w:t>
            </w:r>
          </w:p>
        </w:tc>
        <w:tc>
          <w:tcPr>
            <w:tcW w:w="1534" w:type="dxa"/>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≤6.0</w:t>
            </w:r>
          </w:p>
        </w:tc>
        <w:tc>
          <w:tcPr>
            <w:tcW w:w="1534" w:type="dxa"/>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≤0.35</w:t>
            </w:r>
          </w:p>
        </w:tc>
        <w:tc>
          <w:tcPr>
            <w:tcW w:w="1534" w:type="dxa"/>
            <w:tcBorders>
              <w:right w:val="single" w:color="000000" w:sz="12" w:space="0"/>
            </w:tcBorders>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3" w:type="dxa"/>
            <w:tcBorders>
              <w:left w:val="single" w:color="000000" w:sz="12" w:space="0"/>
              <w:bottom w:val="single" w:color="000000" w:sz="12" w:space="0"/>
            </w:tcBorders>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8度</w:t>
            </w:r>
          </w:p>
        </w:tc>
        <w:tc>
          <w:tcPr>
            <w:tcW w:w="1534" w:type="dxa"/>
            <w:tcBorders>
              <w:bottom w:val="single" w:color="000000" w:sz="12"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≤5.0</w:t>
            </w:r>
          </w:p>
        </w:tc>
        <w:tc>
          <w:tcPr>
            <w:tcW w:w="1534" w:type="dxa"/>
            <w:tcBorders>
              <w:bottom w:val="single" w:color="000000" w:sz="12"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≤0.30</w:t>
            </w:r>
          </w:p>
        </w:tc>
        <w:tc>
          <w:tcPr>
            <w:tcW w:w="1534" w:type="dxa"/>
            <w:tcBorders>
              <w:bottom w:val="single" w:color="000000" w:sz="12" w:space="0"/>
              <w:right w:val="single" w:color="000000" w:sz="12"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≤1.5</w:t>
            </w:r>
          </w:p>
        </w:tc>
      </w:tr>
    </w:tbl>
    <w:p>
      <w:pPr>
        <w:spacing w:line="240" w:lineRule="auto"/>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4 </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平面不宜采用角部重叠或细腰形平面布置</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lang w:eastAsia="zh-CN"/>
          <w14:textFill>
            <w14:solidFill>
              <w14:schemeClr w14:val="tx1"/>
            </w14:solidFill>
          </w14:textFill>
        </w:rPr>
      </w:pPr>
      <w:bookmarkStart w:id="433" w:name="_Toc830"/>
      <w:bookmarkStart w:id="434" w:name="_Toc11817"/>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模块化结构平面布置应减少扭转的影响。在考虑偶然偏心影响的规定水平地震力作用下，楼层竖向构件最大的水平位移和层间位移，模块化建筑不宜大于该楼层平均值的1.2倍，不应大于该楼层平均值的1.5倍；</w:t>
      </w:r>
      <w:bookmarkEnd w:id="433"/>
      <w:bookmarkEnd w:id="434"/>
      <w:r>
        <w:rPr>
          <w:rFonts w:hint="default" w:ascii="Times New Roman" w:hAnsi="Times New Roman" w:cs="Times New Roman"/>
          <w:color w:val="000000" w:themeColor="text1"/>
          <w:szCs w:val="21"/>
          <w:highlight w:val="none"/>
          <w14:textFill>
            <w14:solidFill>
              <w14:schemeClr w14:val="tx1"/>
            </w14:solidFill>
          </w14:textFill>
        </w:rPr>
        <w:t>模块化建筑高度超过表6.</w:t>
      </w: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.2中的规定时，不应大于楼层平均值的1.4倍</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当</w:t>
      </w:r>
      <w:r>
        <w:rPr>
          <w:rFonts w:hint="default" w:ascii="Times New Roman" w:hAnsi="Times New Roman" w:cs="Times New Roman"/>
          <w:color w:val="000000" w:themeColor="text1"/>
          <w:szCs w:val="21"/>
          <w:highlight w:val="none"/>
          <w:lang w:eastAsia="zh-CN"/>
          <w14:textFill>
            <w14:solidFill>
              <w14:schemeClr w14:val="tx1"/>
            </w14:solidFill>
          </w14:textFill>
        </w:rPr>
        <w:t>楼层竖向构件的计算平均层间位移很小时，扭转位移比限值可适当放松，扭转位移比限值按表</w:t>
      </w:r>
      <w:r>
        <w:rPr>
          <w:rFonts w:hint="default" w:ascii="Times New Roman" w:hAnsi="Times New Roman" w:cs="Times New Roman"/>
          <w:color w:val="000000" w:themeColor="text1"/>
          <w:szCs w:val="21"/>
          <w:highlight w:val="none"/>
          <w:lang w:val="en-US" w:eastAsia="zh-CN"/>
          <w14:textFill>
            <w14:solidFill>
              <w14:schemeClr w14:val="tx1"/>
            </w14:solidFill>
          </w14:textFill>
        </w:rPr>
        <w:t>6.2.2-2</w:t>
      </w:r>
      <w:r>
        <w:rPr>
          <w:rFonts w:hint="default" w:ascii="Times New Roman" w:hAnsi="Times New Roman" w:cs="Times New Roman"/>
          <w:color w:val="000000" w:themeColor="text1"/>
          <w:szCs w:val="21"/>
          <w:highlight w:val="none"/>
          <w:lang w:eastAsia="zh-CN"/>
          <w14:textFill>
            <w14:solidFill>
              <w14:schemeClr w14:val="tx1"/>
            </w14:solidFill>
          </w14:textFill>
        </w:rPr>
        <w:t>取值；</w:t>
      </w:r>
    </w:p>
    <w:p>
      <w:pPr>
        <w:spacing w:line="360" w:lineRule="exact"/>
        <w:ind w:firstLine="0" w:firstLineChars="0"/>
        <w:jc w:val="cente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表</w:t>
      </w:r>
      <w:r>
        <w:rPr>
          <w:rFonts w:hint="default" w:ascii="Times New Roman" w:hAnsi="Times New Roman" w:eastAsia="黑体" w:cs="Times New Roman"/>
          <w:b/>
          <w:color w:val="000000" w:themeColor="text1"/>
          <w:sz w:val="18"/>
          <w:szCs w:val="18"/>
          <w:highlight w:val="none"/>
          <w:lang w:val="en-US" w:eastAsia="zh-CN"/>
          <w14:textFill>
            <w14:solidFill>
              <w14:schemeClr w14:val="tx1"/>
            </w14:solidFill>
          </w14:textFill>
        </w:rPr>
        <w:t xml:space="preserve">6.2.2-2 </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扭转位移比限值[µ]</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840"/>
        <w:gridCol w:w="825"/>
        <w:gridCol w:w="792"/>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5" w:type="pct"/>
            <w:tcBorders>
              <w:top w:val="single" w:color="000000" w:sz="12" w:space="0"/>
              <w:lef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楼层平均层间位移角/层间位移角限值</w:t>
            </w:r>
          </w:p>
        </w:tc>
        <w:tc>
          <w:tcPr>
            <w:tcW w:w="685" w:type="pct"/>
            <w:tcBorders>
              <w:top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≤0.4</w:t>
            </w:r>
          </w:p>
        </w:tc>
        <w:tc>
          <w:tcPr>
            <w:tcW w:w="673" w:type="pct"/>
            <w:tcBorders>
              <w:top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0.5</w:t>
            </w:r>
          </w:p>
        </w:tc>
        <w:tc>
          <w:tcPr>
            <w:tcW w:w="646" w:type="pct"/>
            <w:tcBorders>
              <w:top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0.6</w:t>
            </w:r>
          </w:p>
        </w:tc>
        <w:tc>
          <w:tcPr>
            <w:tcW w:w="589" w:type="pct"/>
            <w:tcBorders>
              <w:top w:val="single" w:color="000000" w:sz="12"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5" w:type="pct"/>
            <w:tcBorders>
              <w:left w:val="single" w:color="000000" w:sz="12" w:space="0"/>
              <w:bottom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限值[µ]</w:t>
            </w:r>
          </w:p>
        </w:tc>
        <w:tc>
          <w:tcPr>
            <w:tcW w:w="685" w:type="pct"/>
            <w:tcBorders>
              <w:bottom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1.7</w:t>
            </w:r>
          </w:p>
        </w:tc>
        <w:tc>
          <w:tcPr>
            <w:tcW w:w="673" w:type="pct"/>
            <w:tcBorders>
              <w:bottom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1.6</w:t>
            </w:r>
          </w:p>
        </w:tc>
        <w:tc>
          <w:tcPr>
            <w:tcW w:w="646" w:type="pct"/>
            <w:tcBorders>
              <w:bottom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1.55</w:t>
            </w:r>
          </w:p>
        </w:tc>
        <w:tc>
          <w:tcPr>
            <w:tcW w:w="589" w:type="pct"/>
            <w:tcBorders>
              <w:bottom w:val="single" w:color="000000" w:sz="12" w:space="0"/>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1.50</w:t>
            </w:r>
          </w:p>
        </w:tc>
      </w:tr>
    </w:tbl>
    <w:p>
      <w:pPr>
        <w:spacing w:line="360" w:lineRule="exact"/>
        <w:ind w:firstLine="0" w:firstLineChars="0"/>
        <w:rPr>
          <w:rFonts w:hint="default" w:ascii="Times New Roman" w:hAnsi="Times New Roman" w:cs="Times New Roman"/>
          <w:color w:val="000000" w:themeColor="text1"/>
          <w:sz w:val="18"/>
          <w:szCs w:val="18"/>
          <w:highlight w:val="none"/>
          <w14:textFill>
            <w14:solidFill>
              <w14:schemeClr w14:val="tx1"/>
            </w14:solidFill>
          </w14:textFill>
        </w:rPr>
      </w:pPr>
      <w:bookmarkStart w:id="435" w:name="_Toc8007"/>
      <w:bookmarkStart w:id="436" w:name="_Toc11924"/>
      <w:r>
        <w:rPr>
          <w:rFonts w:hint="default" w:ascii="Times New Roman" w:hAnsi="Times New Roman" w:cs="Times New Roman"/>
          <w:color w:val="000000" w:themeColor="text1"/>
          <w:sz w:val="18"/>
          <w:szCs w:val="18"/>
          <w:highlight w:val="none"/>
          <w14:textFill>
            <w14:solidFill>
              <w14:schemeClr w14:val="tx1"/>
            </w14:solidFill>
          </w14:textFill>
        </w:rPr>
        <w:t>注：</w:t>
      </w:r>
      <w:r>
        <w:rPr>
          <w:rFonts w:hint="default" w:ascii="Times New Roman" w:hAnsi="Times New Roman" w:cs="Times New Roman"/>
          <w:b/>
          <w:bCs/>
          <w:color w:val="000000" w:themeColor="text1"/>
          <w:sz w:val="18"/>
          <w:szCs w:val="18"/>
          <w:highlight w:val="none"/>
          <w14:textFill>
            <w14:solidFill>
              <w14:schemeClr w14:val="tx1"/>
            </w14:solidFill>
          </w14:textFill>
        </w:rPr>
        <w:t>1</w:t>
      </w: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18"/>
          <w:szCs w:val="18"/>
          <w:highlight w:val="none"/>
          <w14:textFill>
            <w14:solidFill>
              <w14:schemeClr w14:val="tx1"/>
            </w14:solidFill>
          </w14:textFill>
        </w:rPr>
        <w:t>楼层竖向构件的扭转位移比是指楼层竖向构件最大的水平位移和层间位移与该楼层竖向构件平均值之比；</w:t>
      </w:r>
    </w:p>
    <w:p>
      <w:pPr>
        <w:spacing w:line="360" w:lineRule="exact"/>
        <w:ind w:firstLine="361" w:firstLineChars="200"/>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b/>
          <w:bCs/>
          <w:color w:val="000000" w:themeColor="text1"/>
          <w:sz w:val="18"/>
          <w:szCs w:val="18"/>
          <w:highlight w:val="none"/>
          <w14:textFill>
            <w14:solidFill>
              <w14:schemeClr w14:val="tx1"/>
            </w14:solidFill>
          </w14:textFill>
        </w:rPr>
        <w:t>2</w:t>
      </w: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18"/>
          <w:szCs w:val="18"/>
          <w:highlight w:val="none"/>
          <w14:textFill>
            <w14:solidFill>
              <w14:schemeClr w14:val="tx1"/>
            </w14:solidFill>
          </w14:textFill>
        </w:rPr>
        <w:t>扭转位移比较大的楼层，应复核楼层竖向构件的受剪扭承载力，并分析楼板在地震作用下的应力状况，采取相应的加强措施；</w:t>
      </w:r>
    </w:p>
    <w:p>
      <w:pPr>
        <w:spacing w:line="360" w:lineRule="exact"/>
        <w:ind w:firstLine="361" w:firstLineChars="200"/>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b/>
          <w:bCs/>
          <w:color w:val="000000" w:themeColor="text1"/>
          <w:sz w:val="18"/>
          <w:szCs w:val="18"/>
          <w:highlight w:val="none"/>
          <w14:textFill>
            <w14:solidFill>
              <w14:schemeClr w14:val="tx1"/>
            </w14:solidFill>
          </w14:textFill>
        </w:rPr>
        <w:t>3</w:t>
      </w: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18"/>
          <w:szCs w:val="18"/>
          <w:highlight w:val="none"/>
          <w14:textFill>
            <w14:solidFill>
              <w14:schemeClr w14:val="tx1"/>
            </w14:solidFill>
          </w14:textFill>
        </w:rPr>
        <w:t>平均层间位移角取楼层各抗侧力构件最大层间位移角与最小层间位移角的平均值。</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结构平面布置应尽量减少扭转影响，结构第一自振周期宜为平动周期。当结构第一自振周期为扭转周期时，应考虑楼层及竖向构件抵抗扭矩的作用</w:t>
      </w:r>
      <w:r>
        <w:rPr>
          <w:rFonts w:hint="default" w:ascii="Times New Roman" w:hAnsi="Times New Roman" w:cs="Times New Roman"/>
          <w:color w:val="000000" w:themeColor="text1"/>
          <w:szCs w:val="21"/>
          <w:highlight w:val="none"/>
          <w:lang w:eastAsia="zh-CN"/>
          <w14:textFill>
            <w14:solidFill>
              <w14:schemeClr w14:val="tx1"/>
            </w14:solidFill>
          </w14:textFill>
        </w:rPr>
        <w:t>；</w:t>
      </w:r>
    </w:p>
    <w:bookmarkEnd w:id="435"/>
    <w:bookmarkEnd w:id="436"/>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37" w:name="_Toc15157"/>
      <w:r>
        <w:rPr>
          <w:rFonts w:hint="default" w:ascii="Times New Roman" w:hAnsi="Times New Roman" w:cs="Times New Roman"/>
          <w:b/>
          <w:bCs/>
          <w:color w:val="000000" w:themeColor="text1"/>
          <w:szCs w:val="21"/>
          <w:highlight w:val="none"/>
          <w14:textFill>
            <w14:solidFill>
              <w14:schemeClr w14:val="tx1"/>
            </w14:solidFill>
          </w14:textFill>
        </w:rPr>
        <w:t>7</w:t>
      </w:r>
      <w:r>
        <w:rPr>
          <w:rFonts w:hint="default" w:ascii="Times New Roman" w:hAnsi="Times New Roman" w:cs="Times New Roman"/>
          <w:color w:val="000000" w:themeColor="text1"/>
          <w:szCs w:val="21"/>
          <w:highlight w:val="none"/>
          <w14:textFill>
            <w14:solidFill>
              <w14:schemeClr w14:val="tx1"/>
            </w14:solidFill>
          </w14:textFill>
        </w:rPr>
        <w:t xml:space="preserve"> </w:t>
      </w:r>
      <w:bookmarkStart w:id="438" w:name="OLE_LINK113"/>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高层模块化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结构</w:t>
      </w:r>
      <w:r>
        <w:rPr>
          <w:rFonts w:hint="default" w:ascii="Times New Roman" w:hAnsi="Times New Roman" w:cs="Times New Roman"/>
          <w:color w:val="000000" w:themeColor="text1"/>
          <w:szCs w:val="21"/>
          <w:highlight w:val="none"/>
          <w14:textFill>
            <w14:solidFill>
              <w14:schemeClr w14:val="tx1"/>
            </w14:solidFill>
          </w14:textFill>
        </w:rPr>
        <w:t>中，</w:t>
      </w:r>
      <w:bookmarkStart w:id="439" w:name="OLE_LINK112"/>
      <w:r>
        <w:rPr>
          <w:rFonts w:hint="default" w:ascii="Times New Roman" w:hAnsi="Times New Roman" w:cs="Times New Roman"/>
          <w:color w:val="000000" w:themeColor="text1"/>
          <w:szCs w:val="21"/>
          <w:highlight w:val="none"/>
          <w:lang w:val="en-US" w:eastAsia="zh-CN"/>
          <w14:textFill>
            <w14:solidFill>
              <w14:schemeClr w14:val="tx1"/>
            </w14:solidFill>
          </w14:textFill>
        </w:rPr>
        <w:t>小震或中震作用下，小偏心</w:t>
      </w:r>
      <w:r>
        <w:rPr>
          <w:rFonts w:hint="default" w:ascii="Times New Roman" w:hAnsi="Times New Roman" w:cs="Times New Roman"/>
          <w:color w:val="000000" w:themeColor="text1"/>
          <w:szCs w:val="21"/>
          <w:highlight w:val="none"/>
          <w14:textFill>
            <w14:solidFill>
              <w14:schemeClr w14:val="tx1"/>
            </w14:solidFill>
          </w14:textFill>
        </w:rPr>
        <w:t>受拉剪力墙不宜采用叠合剪力墙</w:t>
      </w:r>
      <w:bookmarkEnd w:id="437"/>
      <w:bookmarkEnd w:id="438"/>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当小偏心受拉剪力墙采用叠合剪力墙且墙身混凝土拉应力大于1.0</w:t>
      </w:r>
      <m:oMath>
        <m:sSub>
          <m:sSubPr>
            <m:ctrlPr>
              <w:rPr>
                <w:rFonts w:hint="default" w:ascii="Cambria Math" w:hAnsi="Cambria Math" w:cs="Times New Roman"/>
                <w:i/>
                <w:color w:val="000000" w:themeColor="text1"/>
                <w:szCs w:val="21"/>
                <w:highlight w:val="none"/>
                <w:lang w:val="en-US"/>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f</m:t>
            </m:r>
            <m:ctrlPr>
              <w:rPr>
                <w:rFonts w:hint="default" w:ascii="Cambria Math" w:hAnsi="Cambria Math" w:cs="Times New Roman"/>
                <w:i/>
                <w:color w:val="000000" w:themeColor="text1"/>
                <w:szCs w:val="21"/>
                <w:highlight w:val="none"/>
                <w:lang w:val="en-US"/>
                <w14:textFill>
                  <w14:solidFill>
                    <w14:schemeClr w14:val="tx1"/>
                  </w14:solidFill>
                </w14:textFill>
              </w:rPr>
            </m:ctrlPr>
          </m:e>
          <m:sub>
            <m:r>
              <m:rPr/>
              <w:rPr>
                <w:rFonts w:hint="default" w:ascii="Cambria Math" w:hAnsi="Cambria Math" w:cs="Times New Roman"/>
                <w:color w:val="000000" w:themeColor="text1"/>
                <w:szCs w:val="21"/>
                <w:highlight w:val="none"/>
                <w:lang w:val="en-US" w:eastAsia="zh-CN"/>
                <w14:textFill>
                  <w14:solidFill>
                    <w14:schemeClr w14:val="tx1"/>
                  </w14:solidFill>
                </w14:textFill>
              </w:rPr>
              <m:t>tk</m:t>
            </m:r>
            <m:ctrlPr>
              <w:rPr>
                <w:rFonts w:hint="default" w:ascii="Cambria Math" w:hAnsi="Cambria Math" w:cs="Times New Roman"/>
                <w:i/>
                <w:color w:val="000000" w:themeColor="text1"/>
                <w:szCs w:val="21"/>
                <w:highlight w:val="none"/>
                <w:lang w:val="en-US"/>
                <w14:textFill>
                  <w14:solidFill>
                    <w14:schemeClr w14:val="tx1"/>
                  </w14:solidFill>
                </w14:textFill>
              </w:rPr>
            </m:ctrlPr>
          </m:sub>
        </m:sSub>
      </m:oMath>
      <w:r>
        <w:rPr>
          <w:rFonts w:hint="default" w:ascii="Times New Roman" w:hAnsi="Times New Roman" w:cs="Times New Roman"/>
          <w:color w:val="000000" w:themeColor="text1"/>
          <w:szCs w:val="21"/>
          <w:highlight w:val="none"/>
          <w:lang w:val="en-US" w:eastAsia="zh-CN"/>
          <w14:textFill>
            <w14:solidFill>
              <w14:schemeClr w14:val="tx1"/>
            </w14:solidFill>
          </w14:textFill>
        </w:rPr>
        <w:t>时，叠合剪力墙应有可靠传递墙身拉力的措施；</w:t>
      </w:r>
      <w:r>
        <w:rPr>
          <w:rFonts w:hint="default" w:ascii="Times New Roman" w:hAnsi="Times New Roman" w:cs="Times New Roman"/>
          <w:color w:val="000000" w:themeColor="text1"/>
          <w:szCs w:val="21"/>
          <w:highlight w:val="none"/>
          <w14:textFill>
            <w14:solidFill>
              <w14:schemeClr w14:val="tx1"/>
            </w14:solidFill>
          </w14:textFill>
        </w:rPr>
        <w:t xml:space="preserve"> </w:t>
      </w:r>
    </w:p>
    <w:bookmarkEnd w:id="439"/>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40" w:name="_Toc4426"/>
      <w:r>
        <w:rPr>
          <w:rFonts w:hint="default" w:ascii="Times New Roman" w:hAnsi="Times New Roman" w:cs="Times New Roman"/>
          <w:b/>
          <w:bCs/>
          <w:color w:val="000000" w:themeColor="text1"/>
          <w:szCs w:val="21"/>
          <w:highlight w:val="none"/>
          <w14:textFill>
            <w14:solidFill>
              <w14:schemeClr w14:val="tx1"/>
            </w14:solidFill>
          </w14:textFill>
        </w:rPr>
        <w:t>8</w:t>
      </w:r>
      <w:r>
        <w:rPr>
          <w:rFonts w:hint="default" w:ascii="Times New Roman" w:hAnsi="Times New Roman" w:cs="Times New Roman"/>
          <w:color w:val="000000" w:themeColor="text1"/>
          <w:szCs w:val="21"/>
          <w:highlight w:val="none"/>
          <w14:textFill>
            <w14:solidFill>
              <w14:schemeClr w14:val="tx1"/>
            </w14:solidFill>
          </w14:textFill>
        </w:rPr>
        <w:t xml:space="preserve"> </w:t>
      </w:r>
      <w:bookmarkStart w:id="441" w:name="OLE_LINK114"/>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模块内相邻叠合剪力墙之间应采用现浇整体式接缝连接</w:t>
      </w:r>
      <w:bookmarkEnd w:id="440"/>
      <w:bookmarkEnd w:id="44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442" w:name="_Toc6907"/>
      <w:r>
        <w:rPr>
          <w:rFonts w:hint="default" w:ascii="Times New Roman" w:hAnsi="Times New Roman" w:cs="Times New Roman"/>
          <w:b/>
          <w:bCs/>
          <w:color w:val="000000" w:themeColor="text1"/>
          <w:szCs w:val="21"/>
          <w:highlight w:val="none"/>
          <w14:textFill>
            <w14:solidFill>
              <w14:schemeClr w14:val="tx1"/>
            </w14:solidFill>
          </w14:textFill>
        </w:rPr>
        <w:t>9</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嵌固层、结构转换层、平面复杂或开洞较大的楼层应采用现浇混凝土楼盖</w:t>
      </w:r>
      <w:bookmarkEnd w:id="44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43" w:name="_Toc8709"/>
      <w:r>
        <w:rPr>
          <w:rFonts w:hint="default" w:ascii="Times New Roman" w:hAnsi="Times New Roman" w:cs="Times New Roman"/>
          <w:b/>
          <w:bCs/>
          <w:color w:val="000000" w:themeColor="text1"/>
          <w:szCs w:val="21"/>
          <w:highlight w:val="none"/>
          <w14:textFill>
            <w14:solidFill>
              <w14:schemeClr w14:val="tx1"/>
            </w14:solidFill>
          </w14:textFill>
        </w:rPr>
        <w:t>10</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应通过构造实现结构有足够冗余度，避免因部分构件或结构破坏导致整个结构体系丧失承载能力。</w:t>
      </w:r>
      <w:bookmarkEnd w:id="443"/>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6.2.3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模块化结构的竖向布置应连续、均匀，构件宜上、下连续贯通，避免抗侧力结构的侧向刚度和受剪承载能力沿竖向突变。</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6.2.4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模块化结构适用的最大高宽比宜符合表6.2.4的规定。</w:t>
      </w: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 xml:space="preserve">6.2.4 </w:t>
      </w:r>
      <w:r>
        <w:rPr>
          <w:rFonts w:hint="default" w:ascii="Times New Roman" w:hAnsi="Times New Roman" w:cs="Times New Roman"/>
          <w:color w:val="000000" w:themeColor="text1"/>
          <w:highlight w:val="none"/>
          <w14:textFill>
            <w14:solidFill>
              <w14:schemeClr w14:val="tx1"/>
            </w14:solidFill>
          </w14:textFill>
        </w:rPr>
        <w:t xml:space="preserve"> 模块化结构适用的最大高宽比</w:t>
      </w:r>
    </w:p>
    <w:tbl>
      <w:tblPr>
        <w:tblStyle w:val="25"/>
        <w:tblpPr w:leftFromText="180" w:rightFromText="180" w:vertAnchor="text" w:horzAnchor="margin" w:tblpXSpec="center" w:tblpY="6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889"/>
        <w:gridCol w:w="1031"/>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2284" w:type="pct"/>
            <w:vMerge w:val="restar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结构类型</w:t>
            </w:r>
          </w:p>
        </w:tc>
        <w:tc>
          <w:tcPr>
            <w:tcW w:w="2715" w:type="pct"/>
            <w:gridSpan w:val="3"/>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2284" w:type="pct"/>
            <w:vMerge w:val="continue"/>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p>
        </w:tc>
        <w:tc>
          <w:tcPr>
            <w:tcW w:w="725"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6度</w:t>
            </w:r>
          </w:p>
        </w:tc>
        <w:tc>
          <w:tcPr>
            <w:tcW w:w="841"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7度</w:t>
            </w:r>
          </w:p>
        </w:tc>
        <w:tc>
          <w:tcPr>
            <w:tcW w:w="1149"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8（0.2g）度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2284"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模块化全预制剪力墙结构</w:t>
            </w:r>
          </w:p>
        </w:tc>
        <w:tc>
          <w:tcPr>
            <w:tcW w:w="725"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3.5</w:t>
            </w:r>
          </w:p>
        </w:tc>
        <w:tc>
          <w:tcPr>
            <w:tcW w:w="841"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3.0</w:t>
            </w:r>
          </w:p>
        </w:tc>
        <w:tc>
          <w:tcPr>
            <w:tcW w:w="1149"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2284" w:type="pct"/>
            <w:vAlign w:val="center"/>
          </w:tcPr>
          <w:p>
            <w:pPr>
              <w:pStyle w:val="50"/>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模块化框架模块</w:t>
            </w:r>
          </w:p>
        </w:tc>
        <w:tc>
          <w:tcPr>
            <w:tcW w:w="1566" w:type="pct"/>
            <w:gridSpan w:val="2"/>
            <w:vAlign w:val="center"/>
          </w:tcPr>
          <w:p>
            <w:pPr>
              <w:pStyle w:val="50"/>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4</w:t>
            </w:r>
          </w:p>
        </w:tc>
        <w:tc>
          <w:tcPr>
            <w:tcW w:w="1149" w:type="pct"/>
            <w:vAlign w:val="center"/>
          </w:tcPr>
          <w:p>
            <w:pPr>
              <w:pStyle w:val="50"/>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2284" w:type="pct"/>
            <w:vAlign w:val="center"/>
          </w:tcPr>
          <w:p>
            <w:pPr>
              <w:pStyle w:val="50"/>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模块化框架-剪力墙结构</w:t>
            </w:r>
          </w:p>
        </w:tc>
        <w:tc>
          <w:tcPr>
            <w:tcW w:w="1566" w:type="pct"/>
            <w:gridSpan w:val="2"/>
            <w:vMerge w:val="restar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6</w:t>
            </w:r>
          </w:p>
        </w:tc>
        <w:tc>
          <w:tcPr>
            <w:tcW w:w="1149" w:type="pct"/>
            <w:vMerge w:val="restar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2284" w:type="pct"/>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模块化叠合剪力墙结构</w:t>
            </w:r>
          </w:p>
        </w:tc>
        <w:tc>
          <w:tcPr>
            <w:tcW w:w="1566" w:type="pct"/>
            <w:gridSpan w:val="2"/>
            <w:vMerge w:val="continue"/>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p>
        </w:tc>
        <w:tc>
          <w:tcPr>
            <w:tcW w:w="1149" w:type="pct"/>
            <w:vMerge w:val="continue"/>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2284" w:type="pct"/>
            <w:vAlign w:val="center"/>
          </w:tcPr>
          <w:p>
            <w:pPr>
              <w:pStyle w:val="50"/>
              <w:rPr>
                <w:rFonts w:hint="default" w:ascii="Times New Roman" w:hAnsi="Times New Roman" w:eastAsia="宋体" w:cs="Times New Roman"/>
                <w:color w:val="000000" w:themeColor="text1"/>
                <w:sz w:val="16"/>
                <w:szCs w:val="16"/>
                <w:highlight w:val="none"/>
                <w:lang w:val="en-US" w:eastAsia="zh-CN"/>
                <w14:textFill>
                  <w14:solidFill>
                    <w14:schemeClr w14:val="tx1"/>
                  </w14:solidFill>
                </w14:textFill>
              </w:rPr>
            </w:pPr>
            <w:bookmarkStart w:id="444" w:name="_Toc31032"/>
            <w:bookmarkStart w:id="445" w:name="_Toc15447"/>
            <w:r>
              <w:rPr>
                <w:rFonts w:hint="default" w:ascii="Times New Roman" w:hAnsi="Times New Roman" w:cs="Times New Roman"/>
                <w:color w:val="000000" w:themeColor="text1"/>
                <w:sz w:val="16"/>
                <w:szCs w:val="16"/>
                <w:highlight w:val="none"/>
                <w:lang w:val="en-US" w:eastAsia="zh-CN"/>
                <w14:textFill>
                  <w14:solidFill>
                    <w14:schemeClr w14:val="tx1"/>
                  </w14:solidFill>
                </w14:textFill>
              </w:rPr>
              <w:t>模块化现浇剪力墙结构</w:t>
            </w:r>
          </w:p>
        </w:tc>
        <w:tc>
          <w:tcPr>
            <w:tcW w:w="1566" w:type="pct"/>
            <w:gridSpan w:val="2"/>
            <w:vMerge w:val="continue"/>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p>
        </w:tc>
        <w:tc>
          <w:tcPr>
            <w:tcW w:w="1149" w:type="pct"/>
            <w:vMerge w:val="continue"/>
            <w:vAlign w:val="center"/>
          </w:tcPr>
          <w:p>
            <w:pPr>
              <w:pStyle w:val="50"/>
              <w:rPr>
                <w:rFonts w:hint="default" w:ascii="Times New Roman" w:hAnsi="Times New Roman" w:cs="Times New Roman"/>
                <w:color w:val="000000" w:themeColor="text1"/>
                <w:sz w:val="16"/>
                <w:szCs w:val="16"/>
                <w:highlight w:val="none"/>
                <w14:textFill>
                  <w14:solidFill>
                    <w14:schemeClr w14:val="tx1"/>
                  </w14:solidFill>
                </w14:textFill>
              </w:rPr>
            </w:pPr>
          </w:p>
        </w:tc>
      </w:tr>
    </w:tbl>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446" w:name="_Toc12037"/>
      <w:bookmarkStart w:id="447" w:name="_Toc27351"/>
      <w:bookmarkStart w:id="448" w:name="_Toc22852"/>
      <w:bookmarkStart w:id="449" w:name="_Toc17573"/>
      <w:bookmarkStart w:id="450" w:name="_Toc25342"/>
      <w:bookmarkStart w:id="451" w:name="_Toc14885"/>
      <w:bookmarkStart w:id="452" w:name="_Toc14208"/>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6.3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bookmarkEnd w:id="444"/>
      <w:r>
        <w:rPr>
          <w:rFonts w:hint="default" w:ascii="Times New Roman" w:hAnsi="Times New Roman" w:eastAsia="黑体" w:cs="Times New Roman"/>
          <w:color w:val="000000" w:themeColor="text1"/>
          <w:sz w:val="24"/>
          <w:szCs w:val="24"/>
          <w:highlight w:val="none"/>
          <w14:textFill>
            <w14:solidFill>
              <w14:schemeClr w14:val="tx1"/>
            </w14:solidFill>
          </w14:textFill>
        </w:rPr>
        <w:t>结</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构</w:t>
      </w:r>
      <w:bookmarkEnd w:id="445"/>
      <w:bookmarkEnd w:id="446"/>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分</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析</w:t>
      </w:r>
      <w:bookmarkEnd w:id="447"/>
      <w:bookmarkEnd w:id="448"/>
      <w:bookmarkEnd w:id="449"/>
      <w:bookmarkEnd w:id="450"/>
      <w:bookmarkEnd w:id="451"/>
      <w:bookmarkEnd w:id="452"/>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6.3.1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模块化结构进行计算分析时的荷载、地震作用以及作用组合，应符合现行国家标准《混凝土结构通用规范》GB 55008、《建筑结构荷载规范》GB 50009、《建筑抗震设计</w:t>
      </w:r>
      <w:r>
        <w:rPr>
          <w:rFonts w:hint="default" w:ascii="Times New Roman" w:hAnsi="Times New Roman" w:cs="Times New Roman"/>
          <w:color w:val="000000" w:themeColor="text1"/>
          <w:szCs w:val="21"/>
          <w:highlight w:val="none"/>
          <w:lang w:val="en-US" w:eastAsia="zh-CN"/>
          <w14:textFill>
            <w14:solidFill>
              <w14:schemeClr w14:val="tx1"/>
            </w14:solidFill>
          </w14:textFill>
        </w:rPr>
        <w:t>标准</w:t>
      </w:r>
      <w:r>
        <w:rPr>
          <w:rFonts w:hint="default" w:ascii="Times New Roman" w:hAnsi="Times New Roman" w:cs="Times New Roman"/>
          <w:color w:val="000000" w:themeColor="text1"/>
          <w:szCs w:val="21"/>
          <w:highlight w:val="none"/>
          <w14:textFill>
            <w14:solidFill>
              <w14:schemeClr w14:val="tx1"/>
            </w14:solidFill>
          </w14:textFill>
        </w:rPr>
        <w:t>》GB</w:t>
      </w:r>
      <w:r>
        <w:rPr>
          <w:rFonts w:hint="default" w:ascii="Times New Roman" w:hAnsi="Times New Roman" w:cs="Times New Roman"/>
          <w:color w:val="000000" w:themeColor="text1"/>
          <w:szCs w:val="21"/>
          <w:highlight w:val="none"/>
          <w:lang w:val="en-US" w:eastAsia="zh-CN"/>
          <w14:textFill>
            <w14:solidFill>
              <w14:schemeClr w14:val="tx1"/>
            </w14:solidFill>
          </w14:textFill>
        </w:rPr>
        <w:t>/T</w:t>
      </w:r>
      <w:r>
        <w:rPr>
          <w:rFonts w:hint="default" w:ascii="Times New Roman" w:hAnsi="Times New Roman" w:cs="Times New Roman"/>
          <w:color w:val="000000" w:themeColor="text1"/>
          <w:szCs w:val="21"/>
          <w:highlight w:val="none"/>
          <w14:textFill>
            <w14:solidFill>
              <w14:schemeClr w14:val="tx1"/>
            </w14:solidFill>
          </w14:textFill>
        </w:rPr>
        <w:t xml:space="preserve"> 50011和现行广东省标准《建筑工程混凝土结构设计标准》DB</w:t>
      </w:r>
      <w:r>
        <w:rPr>
          <w:rFonts w:hint="default" w:ascii="Times New Roman" w:hAnsi="Times New Roman" w:cs="Times New Roman"/>
          <w:color w:val="000000" w:themeColor="text1"/>
          <w:szCs w:val="21"/>
          <w:highlight w:val="none"/>
          <w:lang w:val="en-US" w:eastAsia="zh-CN"/>
          <w14:textFill>
            <w14:solidFill>
              <w14:schemeClr w14:val="tx1"/>
            </w14:solidFill>
          </w14:textFill>
        </w:rPr>
        <w:t>44</w:t>
      </w:r>
      <w:r>
        <w:rPr>
          <w:rFonts w:hint="default" w:ascii="Times New Roman" w:hAnsi="Times New Roman" w:cs="Times New Roman"/>
          <w:color w:val="000000" w:themeColor="text1"/>
          <w:szCs w:val="21"/>
          <w:highlight w:val="none"/>
          <w14:textFill>
            <w14:solidFill>
              <w14:schemeClr w14:val="tx1"/>
            </w14:solidFill>
          </w14:textFill>
        </w:rPr>
        <w:t xml:space="preserve">/T </w:t>
      </w:r>
      <w:r>
        <w:rPr>
          <w:rFonts w:hint="default" w:ascii="Times New Roman" w:hAnsi="Times New Roman" w:cs="Times New Roman"/>
          <w:color w:val="000000" w:themeColor="text1"/>
          <w:szCs w:val="21"/>
          <w:highlight w:val="none"/>
          <w:lang w:val="en-US" w:eastAsia="zh-CN"/>
          <w14:textFill>
            <w14:solidFill>
              <w14:schemeClr w14:val="tx1"/>
            </w14:solidFill>
          </w14:textFill>
        </w:rPr>
        <w:t>2696</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2025</w:t>
      </w:r>
      <w:r>
        <w:rPr>
          <w:rFonts w:hint="default" w:ascii="Times New Roman" w:hAnsi="Times New Roman" w:cs="Times New Roman"/>
          <w:color w:val="000000" w:themeColor="text1"/>
          <w:szCs w:val="21"/>
          <w:highlight w:val="none"/>
          <w14:textFill>
            <w14:solidFill>
              <w14:schemeClr w14:val="tx1"/>
            </w14:solidFill>
          </w14:textFill>
        </w:rPr>
        <w:t>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6.3.2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模块化结构应采用空间结构模型进行结构计算分析，计算模型应根据结构的实际情况确定。计算结构内力和弹性变形验算时，可采用刚性楼板假定。</w:t>
      </w:r>
    </w:p>
    <w:p>
      <w:pPr>
        <w:widowControl/>
        <w:spacing w:line="360" w:lineRule="exact"/>
        <w:rPr>
          <w:rFonts w:hint="default" w:ascii="Times New Roman" w:hAnsi="Times New Roman" w:cs="Times New Roman"/>
          <w:color w:val="000000" w:themeColor="text1"/>
          <w:szCs w:val="21"/>
          <w:highlight w:val="none"/>
          <w:lang w:val="zh-CN"/>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6.3.3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在各种设计工况下，模块化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建筑的</w:t>
      </w:r>
      <w:r>
        <w:rPr>
          <w:rFonts w:hint="default" w:ascii="Times New Roman" w:hAnsi="Times New Roman" w:cs="Times New Roman"/>
          <w:color w:val="000000" w:themeColor="text1"/>
          <w:szCs w:val="21"/>
          <w:highlight w:val="none"/>
          <w14:textFill>
            <w14:solidFill>
              <w14:schemeClr w14:val="tx1"/>
            </w14:solidFill>
          </w14:textFill>
        </w:rPr>
        <w:t>整体</w:t>
      </w:r>
      <w:r>
        <w:rPr>
          <w:rFonts w:hint="default" w:ascii="Times New Roman" w:hAnsi="Times New Roman" w:cs="Times New Roman"/>
          <w:color w:val="000000" w:themeColor="text1"/>
          <w:szCs w:val="21"/>
          <w:highlight w:val="none"/>
          <w:lang w:val="en-US" w:eastAsia="zh-CN"/>
          <w14:textFill>
            <w14:solidFill>
              <w14:schemeClr w14:val="tx1"/>
            </w14:solidFill>
          </w14:textFill>
        </w:rPr>
        <w:t>结构</w:t>
      </w:r>
      <w:r>
        <w:rPr>
          <w:rFonts w:hint="default" w:ascii="Times New Roman" w:hAnsi="Times New Roman" w:cs="Times New Roman"/>
          <w:color w:val="000000" w:themeColor="text1"/>
          <w:szCs w:val="21"/>
          <w:highlight w:val="none"/>
          <w14:textFill>
            <w14:solidFill>
              <w14:schemeClr w14:val="tx1"/>
            </w14:solidFill>
          </w14:textFill>
        </w:rPr>
        <w:t>分析计算可采用与现浇混凝土结构相同的方法进行。</w:t>
      </w:r>
      <w:r>
        <w:rPr>
          <w:rFonts w:hint="default" w:ascii="Times New Roman" w:hAnsi="Times New Roman" w:cs="Times New Roman"/>
          <w:color w:val="000000" w:themeColor="text1"/>
          <w:szCs w:val="21"/>
          <w:highlight w:val="none"/>
          <w:lang w:val="en-US" w:eastAsia="zh-CN"/>
          <w14:textFill>
            <w14:solidFill>
              <w14:schemeClr w14:val="tx1"/>
            </w14:solidFill>
          </w14:textFill>
        </w:rPr>
        <w:t>抗震设计时，对</w:t>
      </w:r>
      <w:r>
        <w:rPr>
          <w:rFonts w:hint="default" w:ascii="Times New Roman" w:hAnsi="Times New Roman" w:cs="Times New Roman"/>
          <w:color w:val="000000" w:themeColor="text1"/>
          <w:szCs w:val="21"/>
          <w:highlight w:val="none"/>
          <w14:textFill>
            <w14:solidFill>
              <w14:schemeClr w14:val="tx1"/>
            </w14:solidFill>
          </w14:textFill>
        </w:rPr>
        <w:t>同一层内既有</w:t>
      </w:r>
      <w:r>
        <w:rPr>
          <w:rFonts w:hint="default" w:ascii="Times New Roman" w:hAnsi="Times New Roman" w:cs="Times New Roman"/>
          <w:color w:val="000000" w:themeColor="text1"/>
          <w:szCs w:val="21"/>
          <w:highlight w:val="none"/>
          <w:lang w:val="en-US" w:eastAsia="zh-CN"/>
          <w14:textFill>
            <w14:solidFill>
              <w14:schemeClr w14:val="tx1"/>
            </w14:solidFill>
          </w14:textFill>
        </w:rPr>
        <w:t>现浇也</w:t>
      </w:r>
      <w:r>
        <w:rPr>
          <w:rFonts w:hint="default" w:ascii="Times New Roman" w:hAnsi="Times New Roman" w:cs="Times New Roman"/>
          <w:color w:val="000000" w:themeColor="text1"/>
          <w:szCs w:val="21"/>
          <w:highlight w:val="none"/>
          <w14:textFill>
            <w14:solidFill>
              <w14:schemeClr w14:val="tx1"/>
            </w14:solidFill>
          </w14:textFill>
        </w:rPr>
        <w:t>有</w:t>
      </w:r>
      <w:r>
        <w:rPr>
          <w:rFonts w:hint="default" w:ascii="Times New Roman" w:hAnsi="Times New Roman" w:cs="Times New Roman"/>
          <w:color w:val="000000" w:themeColor="text1"/>
          <w:szCs w:val="21"/>
          <w:highlight w:val="none"/>
          <w:lang w:val="en-US" w:eastAsia="zh-CN"/>
          <w14:textFill>
            <w14:solidFill>
              <w14:schemeClr w14:val="tx1"/>
            </w14:solidFill>
          </w14:textFill>
        </w:rPr>
        <w:t>预制墙肢的模块化叠合剪力墙结构</w:t>
      </w:r>
      <w:r>
        <w:rPr>
          <w:rFonts w:hint="default" w:ascii="Times New Roman" w:hAnsi="Times New Roman" w:cs="Times New Roman"/>
          <w:color w:val="000000" w:themeColor="text1"/>
          <w:szCs w:val="21"/>
          <w:highlight w:val="none"/>
          <w14:textFill>
            <w14:solidFill>
              <w14:schemeClr w14:val="tx1"/>
            </w14:solidFill>
          </w14:textFill>
        </w:rPr>
        <w:t>，</w:t>
      </w:r>
      <w:bookmarkStart w:id="453" w:name="OLE_LINK117"/>
      <w:r>
        <w:rPr>
          <w:rFonts w:hint="default" w:ascii="Times New Roman" w:hAnsi="Times New Roman" w:cs="Times New Roman"/>
          <w:color w:val="000000" w:themeColor="text1"/>
          <w:szCs w:val="21"/>
          <w:highlight w:val="none"/>
          <w:lang w:val="zh-CN"/>
          <w14:textFill>
            <w14:solidFill>
              <w14:schemeClr w14:val="tx1"/>
            </w14:solidFill>
          </w14:textFill>
        </w:rPr>
        <w:t>现浇墙肢水平地震作用</w:t>
      </w:r>
      <w:r>
        <w:rPr>
          <w:rFonts w:hint="default" w:ascii="Times New Roman" w:hAnsi="Times New Roman" w:cs="Times New Roman"/>
          <w:strike/>
          <w:color w:val="000000" w:themeColor="text1"/>
          <w:szCs w:val="21"/>
          <w:highlight w:val="none"/>
          <w:lang w:val="zh-CN"/>
          <w14:textFill>
            <w14:solidFill>
              <w14:schemeClr w14:val="tx1"/>
            </w14:solidFill>
          </w14:textFill>
        </w:rPr>
        <w:t>弯矩、</w:t>
      </w:r>
      <w:r>
        <w:rPr>
          <w:rFonts w:hint="default" w:ascii="Times New Roman" w:hAnsi="Times New Roman" w:cs="Times New Roman"/>
          <w:color w:val="000000" w:themeColor="text1"/>
          <w:szCs w:val="21"/>
          <w:highlight w:val="none"/>
          <w:lang w:val="zh-CN"/>
          <w14:textFill>
            <w14:solidFill>
              <w14:schemeClr w14:val="tx1"/>
            </w14:solidFill>
          </w14:textFill>
        </w:rPr>
        <w:t>剪力宜乘以不小于</w:t>
      </w:r>
      <w:r>
        <w:rPr>
          <w:rFonts w:hint="default" w:ascii="Times New Roman" w:hAnsi="Times New Roman" w:cs="Times New Roman"/>
          <w:b w:val="0"/>
          <w:bCs/>
          <w:color w:val="000000" w:themeColor="text1"/>
          <w:szCs w:val="21"/>
          <w:highlight w:val="none"/>
          <w:lang w:val="zh-CN"/>
          <w14:textFill>
            <w14:solidFill>
              <w14:schemeClr w14:val="tx1"/>
            </w14:solidFill>
          </w14:textFill>
        </w:rPr>
        <w:t>1.1</w:t>
      </w:r>
      <w:r>
        <w:rPr>
          <w:rFonts w:hint="default" w:ascii="Times New Roman" w:hAnsi="Times New Roman" w:cs="Times New Roman"/>
          <w:color w:val="000000" w:themeColor="text1"/>
          <w:szCs w:val="21"/>
          <w:highlight w:val="none"/>
          <w:lang w:val="zh-CN"/>
          <w14:textFill>
            <w14:solidFill>
              <w14:schemeClr w14:val="tx1"/>
            </w14:solidFill>
          </w14:textFill>
        </w:rPr>
        <w:t>的增大系数</w:t>
      </w:r>
      <w:bookmarkEnd w:id="453"/>
      <w:r>
        <w:rPr>
          <w:rFonts w:hint="default" w:ascii="Times New Roman" w:hAnsi="Times New Roman" w:cs="Times New Roman"/>
          <w:color w:val="000000" w:themeColor="text1"/>
          <w:szCs w:val="21"/>
          <w:highlight w:val="none"/>
          <w:lang w:val="zh-CN"/>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6.3.4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模块化结构构件应进行正常使用极限状态的验算，结构构件正截面受力裂缝的控制和结构中受弯构件的挠度限值应符合现行国家标准《</w:t>
      </w:r>
      <w:r>
        <w:rPr>
          <w:rFonts w:hint="default" w:ascii="Times New Roman" w:hAnsi="Times New Roman" w:cs="Times New Roman"/>
          <w:color w:val="000000" w:themeColor="text1"/>
          <w:szCs w:val="21"/>
          <w:highlight w:val="none"/>
          <w:lang w:eastAsia="zh-CN"/>
          <w14:textFill>
            <w14:solidFill>
              <w14:schemeClr w14:val="tx1"/>
            </w14:solidFill>
          </w14:textFill>
        </w:rPr>
        <w:t>混凝土结构设计标准</w:t>
      </w:r>
      <w:r>
        <w:rPr>
          <w:rFonts w:hint="default" w:ascii="Times New Roman" w:hAnsi="Times New Roman" w:cs="Times New Roman"/>
          <w:color w:val="000000" w:themeColor="text1"/>
          <w:szCs w:val="21"/>
          <w:highlight w:val="none"/>
          <w14:textFill>
            <w14:solidFill>
              <w14:schemeClr w14:val="tx1"/>
            </w14:solidFill>
          </w14:textFill>
        </w:rPr>
        <w:t>》GB/T 50010的有关规定。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6.3.5</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按弹性方法计算的风荷载或多遇地震标准值作用下</w:t>
      </w:r>
      <w:r>
        <w:rPr>
          <w:rFonts w:hint="default" w:ascii="Times New Roman" w:hAnsi="Times New Roman" w:cs="Times New Roman"/>
          <w:color w:val="000000" w:themeColor="text1"/>
          <w:szCs w:val="21"/>
          <w:highlight w:val="none"/>
          <w:lang w:val="en-US" w:eastAsia="zh-CN"/>
          <w14:textFill>
            <w14:solidFill>
              <w14:schemeClr w14:val="tx1"/>
            </w14:solidFill>
          </w14:textFill>
        </w:rPr>
        <w:t>结构</w:t>
      </w:r>
      <w:r>
        <w:rPr>
          <w:rFonts w:hint="default" w:ascii="Times New Roman" w:hAnsi="Times New Roman" w:cs="Times New Roman"/>
          <w:color w:val="000000" w:themeColor="text1"/>
          <w:szCs w:val="21"/>
          <w:highlight w:val="none"/>
          <w14:textFill>
            <w14:solidFill>
              <w14:schemeClr w14:val="tx1"/>
            </w14:solidFill>
          </w14:textFill>
        </w:rPr>
        <w:t>的顶点位移与结构总高度之比</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U</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top</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14:textFill>
              <w14:solidFill>
                <w14:schemeClr w14:val="tx1"/>
              </w14:solidFill>
            </w14:textFill>
          </w:rPr>
          <m:t>/H</m:t>
        </m:r>
      </m:oMath>
      <w:r>
        <w:rPr>
          <w:rFonts w:hint="default" w:ascii="Times New Roman" w:hAnsi="Times New Roman" w:cs="Times New Roman"/>
          <w:color w:val="000000" w:themeColor="text1"/>
          <w:szCs w:val="21"/>
          <w:highlight w:val="none"/>
          <w14:textFill>
            <w14:solidFill>
              <w14:schemeClr w14:val="tx1"/>
            </w14:solidFill>
          </w14:textFill>
        </w:rPr>
        <w:t>不宜大于1/600</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多遇地震作用下楼层层间最大水平位移与层高之比</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∆u</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1</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14:textFill>
              <w14:solidFill>
                <w14:schemeClr w14:val="tx1"/>
              </w14:solidFill>
            </w14:textFill>
          </w:rPr>
          <m:t>/ℎ</m:t>
        </m:r>
      </m:oMath>
      <w:r>
        <w:rPr>
          <w:rFonts w:hint="default" w:ascii="Times New Roman" w:hAnsi="Times New Roman" w:cs="Times New Roman"/>
          <w:color w:val="000000" w:themeColor="text1"/>
          <w:szCs w:val="21"/>
          <w:highlight w:val="none"/>
          <w14:textFill>
            <w14:solidFill>
              <w14:schemeClr w14:val="tx1"/>
            </w14:solidFill>
          </w14:textFill>
        </w:rPr>
        <w:t>和设防地震作用下楼层层间最大水平位移与层高之比</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∆u</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2</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14:textFill>
              <w14:solidFill>
                <w14:schemeClr w14:val="tx1"/>
              </w14:solidFill>
            </w14:textFill>
          </w:rPr>
          <m:t>/ℎ</m:t>
        </m:r>
      </m:oMath>
      <w:r>
        <w:rPr>
          <w:rFonts w:hint="default" w:ascii="Times New Roman" w:hAnsi="Times New Roman" w:cs="Times New Roman"/>
          <w:color w:val="000000" w:themeColor="text1"/>
          <w:szCs w:val="21"/>
          <w:highlight w:val="none"/>
          <w14:textFill>
            <w14:solidFill>
              <w14:schemeClr w14:val="tx1"/>
            </w14:solidFill>
          </w14:textFill>
        </w:rPr>
        <w:t>宜符合表6.3.5的规定。</w:t>
      </w:r>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 xml:space="preserve">6.3.5 </w:t>
      </w:r>
      <w:r>
        <w:rPr>
          <w:rFonts w:hint="default" w:ascii="Times New Roman" w:hAnsi="Times New Roman" w:cs="Times New Roman"/>
          <w:color w:val="000000" w:themeColor="text1"/>
          <w:highlight w:val="none"/>
          <w14:textFill>
            <w14:solidFill>
              <w14:schemeClr w14:val="tx1"/>
            </w14:solidFill>
          </w14:textFill>
        </w:rPr>
        <w:t xml:space="preserve"> 模块化结构楼层层间最大位移与层高之比的限值</w:t>
      </w:r>
    </w:p>
    <w:tbl>
      <w:tblPr>
        <w:tblStyle w:val="25"/>
        <w:tblpPr w:leftFromText="180" w:rightFromText="180" w:vertAnchor="text" w:horzAnchor="margin" w:tblpXSpec="center" w:tblpY="6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2461"/>
        <w:gridCol w:w="1255"/>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3067" w:type="pct"/>
            <w:gridSpan w:val="2"/>
            <w:vAlign w:val="center"/>
          </w:tcPr>
          <w:p>
            <w:pPr>
              <w:pStyle w:val="50"/>
              <w:rPr>
                <w:rFonts w:hint="default" w:ascii="Times New Roman" w:hAnsi="Times New Roman" w:eastAsia="宋体" w:cs="Times New Roman"/>
                <w:color w:val="000000" w:themeColor="text1"/>
                <w:sz w:val="16"/>
                <w:szCs w:val="22"/>
                <w:highlight w:val="none"/>
                <w:lang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结构</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体系</w:t>
            </w:r>
          </w:p>
        </w:tc>
        <w:tc>
          <w:tcPr>
            <w:tcW w:w="1023"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∆u</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1</m:t>
                  </m:r>
                  <m:ctrlPr>
                    <w:rPr>
                      <w:rFonts w:hint="default" w:ascii="Cambria Math" w:hAnsi="Cambria Math" w:cs="Times New Roman"/>
                      <w:i/>
                      <w:color w:val="000000" w:themeColor="text1"/>
                      <w:highlight w:val="none"/>
                      <w14:textFill>
                        <w14:solidFill>
                          <w14:schemeClr w14:val="tx1"/>
                        </w14:solidFill>
                      </w14:textFill>
                    </w:rPr>
                  </m:ctrlPr>
                </m:sub>
              </m:sSub>
              <m:r>
                <m:rPr/>
                <w:rPr>
                  <w:rFonts w:hint="default" w:ascii="Cambria Math" w:hAnsi="Cambria Math" w:cs="Times New Roman"/>
                  <w:color w:val="000000" w:themeColor="text1"/>
                  <w:highlight w:val="none"/>
                  <w14:textFill>
                    <w14:solidFill>
                      <w14:schemeClr w14:val="tx1"/>
                    </w14:solidFill>
                  </w14:textFill>
                </w:rPr>
                <m:t>/ℎ</m:t>
              </m:r>
            </m:oMath>
            <w:r>
              <w:rPr>
                <w:rFonts w:hint="default" w:ascii="Times New Roman" w:hAnsi="Times New Roman" w:cs="Times New Roman"/>
                <w:color w:val="000000" w:themeColor="text1"/>
                <w:sz w:val="16"/>
                <w:szCs w:val="22"/>
                <w:highlight w:val="none"/>
                <w14:textFill>
                  <w14:solidFill>
                    <w14:schemeClr w14:val="tx1"/>
                  </w14:solidFill>
                </w14:textFill>
              </w:rPr>
              <w:t>限值</w:t>
            </w:r>
          </w:p>
        </w:tc>
        <w:tc>
          <w:tcPr>
            <w:tcW w:w="908"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∆u</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2</m:t>
                  </m:r>
                  <m:ctrlPr>
                    <w:rPr>
                      <w:rFonts w:hint="default" w:ascii="Cambria Math" w:hAnsi="Cambria Math" w:cs="Times New Roman"/>
                      <w:i/>
                      <w:color w:val="000000" w:themeColor="text1"/>
                      <w:highlight w:val="none"/>
                      <w14:textFill>
                        <w14:solidFill>
                          <w14:schemeClr w14:val="tx1"/>
                        </w14:solidFill>
                      </w14:textFill>
                    </w:rPr>
                  </m:ctrlPr>
                </m:sub>
              </m:sSub>
              <m:r>
                <m:rPr/>
                <w:rPr>
                  <w:rFonts w:hint="default" w:ascii="Cambria Math" w:hAnsi="Cambria Math" w:cs="Times New Roman"/>
                  <w:color w:val="000000" w:themeColor="text1"/>
                  <w:highlight w:val="none"/>
                  <w14:textFill>
                    <w14:solidFill>
                      <w14:schemeClr w14:val="tx1"/>
                    </w14:solidFill>
                  </w14:textFill>
                </w:rPr>
                <m:t>/ℎ</m:t>
              </m:r>
            </m:oMath>
            <w:r>
              <w:rPr>
                <w:rFonts w:hint="default" w:ascii="Times New Roman" w:hAnsi="Times New Roman" w:cs="Times New Roman"/>
                <w:color w:val="000000" w:themeColor="text1"/>
                <w:sz w:val="16"/>
                <w:szCs w:val="22"/>
                <w:highlight w:val="none"/>
                <w14:textFill>
                  <w14:solidFill>
                    <w14:schemeClr w14:val="tx1"/>
                  </w14:solidFill>
                </w14:textFill>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3067" w:type="pct"/>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模块化全预制剪力墙</w:t>
            </w:r>
          </w:p>
        </w:tc>
        <w:tc>
          <w:tcPr>
            <w:tcW w:w="1023"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1/1200</w:t>
            </w:r>
          </w:p>
        </w:tc>
        <w:tc>
          <w:tcPr>
            <w:tcW w:w="908" w:type="pct"/>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1/180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3067" w:type="pct"/>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框架</w:t>
            </w:r>
          </w:p>
        </w:tc>
        <w:tc>
          <w:tcPr>
            <w:tcW w:w="1023" w:type="pc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1/550</w:t>
            </w:r>
          </w:p>
        </w:tc>
        <w:tc>
          <w:tcPr>
            <w:tcW w:w="908" w:type="pct"/>
            <w:vMerge w:val="continue"/>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061" w:type="pct"/>
            <w:vMerge w:val="restar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模块化叠合剪力墙</w:t>
            </w:r>
          </w:p>
        </w:tc>
        <w:tc>
          <w:tcPr>
            <w:tcW w:w="2006"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模块化叠合剪力墙</w:t>
            </w:r>
          </w:p>
        </w:tc>
        <w:tc>
          <w:tcPr>
            <w:tcW w:w="1023"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1/1000</w:t>
            </w:r>
          </w:p>
        </w:tc>
        <w:tc>
          <w:tcPr>
            <w:tcW w:w="908" w:type="pct"/>
            <w:vMerge w:val="continue"/>
            <w:shd w:val="clear" w:color="auto" w:fill="auto"/>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061" w:type="pct"/>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c>
          <w:tcPr>
            <w:tcW w:w="2006"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除框架结构以外的转换层</w:t>
            </w:r>
          </w:p>
        </w:tc>
        <w:tc>
          <w:tcPr>
            <w:tcW w:w="1023"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1/1000</w:t>
            </w:r>
          </w:p>
        </w:tc>
        <w:tc>
          <w:tcPr>
            <w:tcW w:w="908" w:type="pct"/>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061" w:type="pct"/>
            <w:vMerge w:val="restar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模块化现浇剪力墙</w:t>
            </w:r>
          </w:p>
        </w:tc>
        <w:tc>
          <w:tcPr>
            <w:tcW w:w="2006"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现浇</w:t>
            </w:r>
            <w:r>
              <w:rPr>
                <w:rFonts w:hint="default" w:ascii="Times New Roman" w:hAnsi="Times New Roman" w:cs="Times New Roman"/>
                <w:color w:val="000000" w:themeColor="text1"/>
                <w:sz w:val="16"/>
                <w:szCs w:val="22"/>
                <w:highlight w:val="none"/>
                <w14:textFill>
                  <w14:solidFill>
                    <w14:schemeClr w14:val="tx1"/>
                  </w14:solidFill>
                </w14:textFill>
              </w:rPr>
              <w:t>剪力墙</w:t>
            </w:r>
          </w:p>
        </w:tc>
        <w:tc>
          <w:tcPr>
            <w:tcW w:w="1023" w:type="pc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1/1000</w:t>
            </w:r>
          </w:p>
        </w:tc>
        <w:tc>
          <w:tcPr>
            <w:tcW w:w="908" w:type="pct"/>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061" w:type="pct"/>
            <w:vMerge w:val="continue"/>
            <w:vAlign w:val="center"/>
          </w:tcPr>
          <w:p>
            <w:pPr>
              <w:pStyle w:val="50"/>
              <w:rPr>
                <w:rFonts w:hint="default" w:ascii="Times New Roman" w:hAnsi="Times New Roman" w:cs="Times New Roman"/>
                <w:color w:val="000000" w:themeColor="text1"/>
                <w:sz w:val="16"/>
                <w:szCs w:val="22"/>
                <w:highlight w:val="none"/>
                <w:lang w:val="en-US" w:eastAsia="zh-CN"/>
                <w14:textFill>
                  <w14:solidFill>
                    <w14:schemeClr w14:val="tx1"/>
                  </w14:solidFill>
                </w14:textFill>
              </w:rPr>
            </w:pPr>
          </w:p>
        </w:tc>
        <w:tc>
          <w:tcPr>
            <w:tcW w:w="2006" w:type="pc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除框架结构以外的转换层</w:t>
            </w:r>
          </w:p>
        </w:tc>
        <w:tc>
          <w:tcPr>
            <w:tcW w:w="1023"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1/1000</w:t>
            </w:r>
          </w:p>
        </w:tc>
        <w:tc>
          <w:tcPr>
            <w:tcW w:w="908" w:type="pct"/>
            <w:vMerge w:val="continue"/>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p>
        </w:tc>
      </w:tr>
    </w:tbl>
    <w:p>
      <w:pPr>
        <w:widowControl/>
        <w:spacing w:line="360" w:lineRule="exact"/>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 xml:space="preserve">6.3.6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钢筋混凝土结构薄弱层（部位）层间弹塑性位移角应符合下式规定：</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4"/>
        <w:gridCol w:w="10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8" w:hRule="atLeast"/>
        </w:trPr>
        <w:tc>
          <w:tcPr>
            <w:tcW w:w="4954" w:type="dxa"/>
            <w:vAlign w:val="center"/>
          </w:tcPr>
          <w:p>
            <w:pPr>
              <w:widowControl/>
              <w:spacing w:line="360" w:lineRule="exact"/>
              <w:jc w:val="center"/>
              <w:rPr>
                <w:rFonts w:hint="default" w:ascii="Times New Roman" w:hAnsi="Times New Roman" w:cs="Times New Roman"/>
                <w:color w:val="000000" w:themeColor="text1"/>
                <w:sz w:val="18"/>
                <w:szCs w:val="28"/>
                <w:highlight w:val="none"/>
                <w:vertAlign w:val="baseline"/>
                <w:lang w:val="en-US" w:eastAsia="zh-CN"/>
                <w14:textFill>
                  <w14:solidFill>
                    <w14:schemeClr w14:val="tx1"/>
                  </w14:solidFill>
                </w14:textFill>
              </w:rPr>
            </w:pPr>
            <m:oMathPara>
              <m:oMath>
                <m:sSub>
                  <m:sSubPr>
                    <m:ctrlPr>
                      <w:rPr>
                        <w:rFonts w:hint="default" w:ascii="Cambria Math" w:hAnsi="Cambria Math" w:cs="Times New Roman"/>
                        <w:i/>
                        <w:color w:val="000000" w:themeColor="text1"/>
                        <w:sz w:val="18"/>
                        <w:szCs w:val="28"/>
                        <w:highlight w:val="none"/>
                        <w:lang w:val="en-US"/>
                        <w14:textFill>
                          <w14:solidFill>
                            <w14:schemeClr w14:val="tx1"/>
                          </w14:solidFill>
                        </w14:textFill>
                      </w:rPr>
                    </m:ctrlPr>
                  </m:sSubPr>
                  <m:e>
                    <m:r>
                      <m:rPr/>
                      <w:rPr>
                        <w:rFonts w:hint="default" w:ascii="Cambria Math" w:hAnsi="Cambria Math" w:cs="Times New Roman"/>
                        <w:color w:val="000000" w:themeColor="text1"/>
                        <w:sz w:val="18"/>
                        <w:szCs w:val="28"/>
                        <w:highlight w:val="none"/>
                        <w:lang w:val="en-US"/>
                        <w14:textFill>
                          <w14:solidFill>
                            <w14:schemeClr w14:val="tx1"/>
                          </w14:solidFill>
                        </w14:textFill>
                      </w:rPr>
                      <m:t>θ</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e>
                  <m:sub>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p</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sub>
                </m:sSub>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m:t>
                </m:r>
                <m:f>
                  <m:fPr>
                    <m:ctrlPr>
                      <w:rPr>
                        <w:rFonts w:hint="default" w:ascii="Cambria Math" w:hAnsi="Cambria Math" w:cs="Times New Roman"/>
                        <w:i/>
                        <w:color w:val="000000" w:themeColor="text1"/>
                        <w:sz w:val="18"/>
                        <w:szCs w:val="28"/>
                        <w:highlight w:val="none"/>
                        <w:lang w:val="en-US" w:eastAsia="zh-CN"/>
                        <w14:textFill>
                          <w14:solidFill>
                            <w14:schemeClr w14:val="tx1"/>
                          </w14:solidFill>
                        </w14:textFill>
                      </w:rPr>
                    </m:ctrlPr>
                  </m:fPr>
                  <m:num>
                    <m:r>
                      <m:rPr/>
                      <w:rPr>
                        <w:rFonts w:hint="default" w:ascii="Cambria Math" w:hAnsi="Cambria Math" w:cs="Times New Roman"/>
                        <w:color w:val="000000" w:themeColor="text1"/>
                        <w:sz w:val="18"/>
                        <w:szCs w:val="28"/>
                        <w:highlight w:val="none"/>
                        <w:lang w:val="en-US"/>
                        <w14:textFill>
                          <w14:solidFill>
                            <w14:schemeClr w14:val="tx1"/>
                          </w14:solidFill>
                        </w14:textFill>
                      </w:rPr>
                      <m:t>∆</m:t>
                    </m:r>
                    <m:sSub>
                      <m:sSubPr>
                        <m:ctrlPr>
                          <w:rPr>
                            <w:rFonts w:hint="default" w:ascii="Cambria Math" w:hAnsi="Cambria Math" w:cs="Times New Roman"/>
                            <w:i/>
                            <w:color w:val="000000" w:themeColor="text1"/>
                            <w:sz w:val="18"/>
                            <w:szCs w:val="28"/>
                            <w:highlight w:val="none"/>
                            <w:lang w:val="en-US"/>
                            <w14:textFill>
                              <w14:solidFill>
                                <w14:schemeClr w14:val="tx1"/>
                              </w14:solidFill>
                            </w14:textFill>
                          </w:rPr>
                        </m:ctrlPr>
                      </m:sSubPr>
                      <m:e>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u</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e>
                      <m:sub>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p</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sub>
                    </m:sSub>
                    <m:ctrlPr>
                      <w:rPr>
                        <w:rFonts w:hint="default" w:ascii="Cambria Math" w:hAnsi="Cambria Math" w:cs="Times New Roman"/>
                        <w:i/>
                        <w:color w:val="000000" w:themeColor="text1"/>
                        <w:sz w:val="18"/>
                        <w:szCs w:val="28"/>
                        <w:highlight w:val="none"/>
                        <w:lang w:val="en-US" w:eastAsia="zh-CN"/>
                        <w14:textFill>
                          <w14:solidFill>
                            <w14:schemeClr w14:val="tx1"/>
                          </w14:solidFill>
                        </w14:textFill>
                      </w:rPr>
                    </m:ctrlPr>
                  </m:num>
                  <m:den>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ℎ</m:t>
                    </m:r>
                    <m:ctrlPr>
                      <w:rPr>
                        <w:rFonts w:hint="default" w:ascii="Cambria Math" w:hAnsi="Cambria Math" w:cs="Times New Roman"/>
                        <w:i/>
                        <w:color w:val="000000" w:themeColor="text1"/>
                        <w:sz w:val="18"/>
                        <w:szCs w:val="28"/>
                        <w:highlight w:val="none"/>
                        <w:lang w:val="en-US" w:eastAsia="zh-CN"/>
                        <w14:textFill>
                          <w14:solidFill>
                            <w14:schemeClr w14:val="tx1"/>
                          </w14:solidFill>
                        </w14:textFill>
                      </w:rPr>
                    </m:ctrlPr>
                  </m:den>
                </m:f>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m:t>
                </m:r>
                <m:sSub>
                  <m:sSubPr>
                    <m:ctrlPr>
                      <w:rPr>
                        <w:rFonts w:hint="default" w:ascii="Cambria Math" w:hAnsi="Cambria Math" w:cs="Times New Roman"/>
                        <w:i/>
                        <w:color w:val="000000" w:themeColor="text1"/>
                        <w:sz w:val="18"/>
                        <w:szCs w:val="28"/>
                        <w:highlight w:val="none"/>
                        <w:lang w:val="en-US"/>
                        <w14:textFill>
                          <w14:solidFill>
                            <w14:schemeClr w14:val="tx1"/>
                          </w14:solidFill>
                        </w14:textFill>
                      </w:rPr>
                    </m:ctrlPr>
                  </m:sSubPr>
                  <m:e>
                    <m:r>
                      <m:rPr/>
                      <w:rPr>
                        <w:rFonts w:hint="default" w:ascii="Cambria Math" w:hAnsi="Cambria Math" w:cs="Times New Roman"/>
                        <w:color w:val="000000" w:themeColor="text1"/>
                        <w:sz w:val="18"/>
                        <w:szCs w:val="28"/>
                        <w:highlight w:val="none"/>
                        <w:lang w:val="en-US"/>
                        <w14:textFill>
                          <w14:solidFill>
                            <w14:schemeClr w14:val="tx1"/>
                          </w14:solidFill>
                        </w14:textFill>
                      </w:rPr>
                      <m:t>θ</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e>
                  <m:sub>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p</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sub>
                </m:sSub>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m:t>
                </m:r>
              </m:oMath>
            </m:oMathPara>
          </w:p>
        </w:tc>
        <w:tc>
          <w:tcPr>
            <w:tcW w:w="1089" w:type="dxa"/>
            <w:vAlign w:val="center"/>
          </w:tcPr>
          <w:p>
            <w:pPr>
              <w:widowControl/>
              <w:spacing w:line="360" w:lineRule="exact"/>
              <w:jc w:val="center"/>
              <w:rPr>
                <w:rFonts w:hint="default" w:ascii="Times New Roman" w:hAnsi="Times New Roman" w:cs="Times New Roman"/>
                <w:color w:val="000000" w:themeColor="text1"/>
                <w:sz w:val="18"/>
                <w:szCs w:val="2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28"/>
                <w:highlight w:val="none"/>
                <w:vertAlign w:val="baseline"/>
                <w:lang w:val="en-US" w:eastAsia="zh-CN"/>
                <w14:textFill>
                  <w14:solidFill>
                    <w14:schemeClr w14:val="tx1"/>
                  </w14:solidFill>
                </w14:textFill>
              </w:rPr>
              <w:t>(6.3.6)</w:t>
            </w:r>
          </w:p>
        </w:tc>
      </w:tr>
    </w:tbl>
    <w:tbl>
      <w:tblPr>
        <w:tblStyle w:val="25"/>
        <w:tblW w:w="5097" w:type="pct"/>
        <w:tblInd w:w="-120" w:type="dxa"/>
        <w:tblLayout w:type="autofit"/>
        <w:tblCellMar>
          <w:top w:w="0" w:type="dxa"/>
          <w:left w:w="0" w:type="dxa"/>
          <w:bottom w:w="0" w:type="dxa"/>
          <w:right w:w="0" w:type="dxa"/>
        </w:tblCellMar>
      </w:tblPr>
      <w:tblGrid>
        <w:gridCol w:w="536"/>
        <w:gridCol w:w="661"/>
        <w:gridCol w:w="4837"/>
      </w:tblGrid>
      <w:tr>
        <w:trPr>
          <w:trHeight w:val="542" w:hRule="atLeast"/>
        </w:trPr>
        <w:tc>
          <w:tcPr>
            <w:tcW w:w="444"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式中：</w:t>
            </w:r>
          </w:p>
        </w:tc>
        <w:tc>
          <w:tcPr>
            <w:tcW w:w="548" w:type="pct"/>
            <w:noWrap w:val="0"/>
            <w:vAlign w:val="center"/>
          </w:tcPr>
          <w:p>
            <w:pPr>
              <w:adjustRightInd w:val="0"/>
              <w:snapToGrid w:val="0"/>
              <w:spacing w:line="360" w:lineRule="exact"/>
              <w:jc w:val="both"/>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color w:val="000000" w:themeColor="text1"/>
                        <w:sz w:val="21"/>
                        <w:szCs w:val="21"/>
                        <w:highlight w:val="none"/>
                        <w:lang w:val="en-US"/>
                        <w14:textFill>
                          <w14:solidFill>
                            <w14:schemeClr w14:val="tx1"/>
                          </w14:solidFill>
                        </w14:textFill>
                      </w:rPr>
                    </m:ctrlPr>
                  </m:sSubPr>
                  <m:e>
                    <m:r>
                      <m:rPr/>
                      <w:rPr>
                        <w:rFonts w:hint="default" w:ascii="Cambria Math" w:hAnsi="Cambria Math" w:cs="Times New Roman"/>
                        <w:color w:val="000000" w:themeColor="text1"/>
                        <w:sz w:val="21"/>
                        <w:szCs w:val="21"/>
                        <w:highlight w:val="none"/>
                        <w:lang w:val="en-US"/>
                        <w14:textFill>
                          <w14:solidFill>
                            <w14:schemeClr w14:val="tx1"/>
                          </w14:solidFill>
                        </w14:textFill>
                      </w:rPr>
                      <m:t>θ</m:t>
                    </m:r>
                    <m:ctrlPr>
                      <w:rPr>
                        <w:rFonts w:hint="default" w:ascii="Cambria Math" w:hAnsi="Cambria Math" w:cs="Times New Roman"/>
                        <w:i/>
                        <w:color w:val="000000" w:themeColor="text1"/>
                        <w:sz w:val="21"/>
                        <w:szCs w:val="21"/>
                        <w:highlight w:val="none"/>
                        <w:lang w:val="en-US"/>
                        <w14:textFill>
                          <w14:solidFill>
                            <w14:schemeClr w14:val="tx1"/>
                          </w14:solidFill>
                        </w14:textFill>
                      </w:rPr>
                    </m:ctrlPr>
                  </m:e>
                  <m:sub>
                    <m:r>
                      <m:rPr/>
                      <w:rPr>
                        <w:rFonts w:hint="default" w:ascii="Cambria Math" w:hAnsi="Cambria Math" w:cs="Times New Roman"/>
                        <w:color w:val="000000" w:themeColor="text1"/>
                        <w:sz w:val="21"/>
                        <w:szCs w:val="21"/>
                        <w:highlight w:val="none"/>
                        <w:lang w:val="en-US" w:eastAsia="zh-CN"/>
                        <w14:textFill>
                          <w14:solidFill>
                            <w14:schemeClr w14:val="tx1"/>
                          </w14:solidFill>
                        </w14:textFill>
                      </w:rPr>
                      <m:t>p</m:t>
                    </m:r>
                    <m:ctrlPr>
                      <w:rPr>
                        <w:rFonts w:hint="default" w:ascii="Cambria Math" w:hAnsi="Cambria Math" w:cs="Times New Roman"/>
                        <w:i/>
                        <w:color w:val="000000" w:themeColor="text1"/>
                        <w:sz w:val="21"/>
                        <w:szCs w:val="21"/>
                        <w:highlight w:val="none"/>
                        <w:lang w:val="en-US"/>
                        <w14:textFill>
                          <w14:solidFill>
                            <w14:schemeClr w14:val="tx1"/>
                          </w14:solidFill>
                        </w14:textFill>
                      </w:rPr>
                    </m:ctrlPr>
                  </m:sub>
                </m:sSub>
              </m:oMath>
            </m:oMathPara>
          </w:p>
        </w:tc>
        <w:tc>
          <w:tcPr>
            <w:tcW w:w="4007" w:type="pct"/>
            <w:noWrap w:val="0"/>
            <w:vAlign w:val="center"/>
          </w:tcPr>
          <w:p>
            <w:pPr>
              <w:adjustRightInd w:val="0"/>
              <w:snapToGrid w:val="0"/>
              <w:spacing w:line="360" w:lineRule="exact"/>
              <w:ind w:left="0" w:firstLine="0" w:firstLineChars="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层间弹塑性位移角；</w:t>
            </w:r>
          </w:p>
        </w:tc>
      </w:tr>
      <w:tr>
        <w:trPr>
          <w:trHeight w:val="90" w:hRule="atLeast"/>
        </w:trPr>
        <w:tc>
          <w:tcPr>
            <w:tcW w:w="444" w:type="pct"/>
            <w:noWrap w:val="0"/>
            <w:vAlign w:val="center"/>
          </w:tcPr>
          <w:p>
            <w:pPr>
              <w:adjustRightInd w:val="0"/>
              <w:snapToGrid w:val="0"/>
              <w:spacing w:line="360" w:lineRule="exact"/>
              <w:jc w:val="both"/>
              <w:rPr>
                <w:rFonts w:hint="default" w:ascii="Times New Roman" w:hAnsi="Times New Roman" w:cs="Times New Roman"/>
                <w:color w:val="000000" w:themeColor="text1"/>
                <w:sz w:val="21"/>
                <w:szCs w:val="21"/>
                <w:highlight w:val="none"/>
                <w14:textFill>
                  <w14:solidFill>
                    <w14:schemeClr w14:val="tx1"/>
                  </w14:solidFill>
                </w14:textFill>
              </w:rPr>
            </w:pPr>
          </w:p>
        </w:tc>
        <w:tc>
          <w:tcPr>
            <w:tcW w:w="548"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r>
                  <m:rPr/>
                  <w:rPr>
                    <w:rFonts w:hint="default" w:ascii="Cambria Math" w:hAnsi="Cambria Math" w:cs="Times New Roman"/>
                    <w:color w:val="000000" w:themeColor="text1"/>
                    <w:sz w:val="21"/>
                    <w:szCs w:val="21"/>
                    <w:highlight w:val="none"/>
                    <w:lang w:val="en-US" w:eastAsia="zh-CN"/>
                    <w14:textFill>
                      <w14:solidFill>
                        <w14:schemeClr w14:val="tx1"/>
                      </w14:solidFill>
                    </w14:textFill>
                  </w:rPr>
                  <m:t>[</m:t>
                </m:r>
                <m:sSub>
                  <m:sSubPr>
                    <m:ctrlPr>
                      <w:rPr>
                        <w:rFonts w:hint="default" w:ascii="Cambria Math" w:hAnsi="Cambria Math" w:cs="Times New Roman"/>
                        <w:i/>
                        <w:color w:val="000000" w:themeColor="text1"/>
                        <w:sz w:val="21"/>
                        <w:szCs w:val="21"/>
                        <w:highlight w:val="none"/>
                        <w:lang w:val="en-US"/>
                        <w14:textFill>
                          <w14:solidFill>
                            <w14:schemeClr w14:val="tx1"/>
                          </w14:solidFill>
                        </w14:textFill>
                      </w:rPr>
                    </m:ctrlPr>
                  </m:sSubPr>
                  <m:e>
                    <m:r>
                      <m:rPr/>
                      <w:rPr>
                        <w:rFonts w:hint="default" w:ascii="Cambria Math" w:hAnsi="Cambria Math" w:cs="Times New Roman"/>
                        <w:color w:val="000000" w:themeColor="text1"/>
                        <w:sz w:val="21"/>
                        <w:szCs w:val="21"/>
                        <w:highlight w:val="none"/>
                        <w:lang w:val="en-US"/>
                        <w14:textFill>
                          <w14:solidFill>
                            <w14:schemeClr w14:val="tx1"/>
                          </w14:solidFill>
                        </w14:textFill>
                      </w:rPr>
                      <m:t>θ</m:t>
                    </m:r>
                    <m:ctrlPr>
                      <w:rPr>
                        <w:rFonts w:hint="default" w:ascii="Cambria Math" w:hAnsi="Cambria Math" w:cs="Times New Roman"/>
                        <w:i/>
                        <w:color w:val="000000" w:themeColor="text1"/>
                        <w:sz w:val="21"/>
                        <w:szCs w:val="21"/>
                        <w:highlight w:val="none"/>
                        <w:lang w:val="en-US"/>
                        <w14:textFill>
                          <w14:solidFill>
                            <w14:schemeClr w14:val="tx1"/>
                          </w14:solidFill>
                        </w14:textFill>
                      </w:rPr>
                    </m:ctrlPr>
                  </m:e>
                  <m:sub>
                    <m:r>
                      <m:rPr/>
                      <w:rPr>
                        <w:rFonts w:hint="default" w:ascii="Cambria Math" w:hAnsi="Cambria Math" w:cs="Times New Roman"/>
                        <w:color w:val="000000" w:themeColor="text1"/>
                        <w:sz w:val="21"/>
                        <w:szCs w:val="21"/>
                        <w:highlight w:val="none"/>
                        <w:lang w:val="en-US" w:eastAsia="zh-CN"/>
                        <w14:textFill>
                          <w14:solidFill>
                            <w14:schemeClr w14:val="tx1"/>
                          </w14:solidFill>
                        </w14:textFill>
                      </w:rPr>
                      <m:t>p</m:t>
                    </m:r>
                    <m:ctrlPr>
                      <w:rPr>
                        <w:rFonts w:hint="default" w:ascii="Cambria Math" w:hAnsi="Cambria Math" w:cs="Times New Roman"/>
                        <w:i/>
                        <w:color w:val="000000" w:themeColor="text1"/>
                        <w:sz w:val="21"/>
                        <w:szCs w:val="21"/>
                        <w:highlight w:val="none"/>
                        <w:lang w:val="en-US"/>
                        <w14:textFill>
                          <w14:solidFill>
                            <w14:schemeClr w14:val="tx1"/>
                          </w14:solidFill>
                        </w14:textFill>
                      </w:rPr>
                    </m:ctrlPr>
                  </m:sub>
                </m:sSub>
                <m:r>
                  <m:rPr/>
                  <w:rPr>
                    <w:rFonts w:hint="default" w:ascii="Cambria Math" w:hAnsi="Cambria Math" w:cs="Times New Roman"/>
                    <w:color w:val="000000" w:themeColor="text1"/>
                    <w:sz w:val="21"/>
                    <w:szCs w:val="21"/>
                    <w:highlight w:val="none"/>
                    <w:lang w:val="en-US" w:eastAsia="zh-CN"/>
                    <w14:textFill>
                      <w14:solidFill>
                        <w14:schemeClr w14:val="tx1"/>
                      </w14:solidFill>
                    </w14:textFill>
                  </w:rPr>
                  <m:t>]</m:t>
                </m:r>
              </m:oMath>
            </m:oMathPara>
          </w:p>
        </w:tc>
        <w:tc>
          <w:tcPr>
            <w:tcW w:w="4007" w:type="pct"/>
            <w:noWrap w:val="0"/>
            <w:vAlign w:val="top"/>
          </w:tcPr>
          <w:p>
            <w:pPr>
              <w:adjustRightInd w:val="0"/>
              <w:snapToGrid w:val="0"/>
              <w:spacing w:line="360" w:lineRule="exact"/>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i w:val="0"/>
                <w:color w:val="000000" w:themeColor="text1"/>
                <w:sz w:val="21"/>
                <w:szCs w:val="21"/>
                <w:highlight w:val="none"/>
                <w:lang w:val="en-US" w:eastAsia="zh-CN"/>
                <w14:textFill>
                  <w14:solidFill>
                    <w14:schemeClr w14:val="tx1"/>
                  </w14:solidFill>
                </w14:textFill>
              </w:rPr>
              <w:t>层间弹塑性位移角限值，可按表6.3.6采用；对框架结构，当钢筋混凝土框架柱的轴压比小于0.40时，可提高10%；当钢筋混凝土柱子全高的箍筋构造采用比现行行业标准《高层建筑混凝土结构技术规程》JGJ 3中框架柱箍筋最小配箍特征值大30%时，可提高20%,但累计不超过25%；当柱子为钢-混凝土组合构件时，型钢的含钢率不小于4%时，可提高25%；</w:t>
            </w:r>
          </w:p>
        </w:tc>
      </w:tr>
      <w:tr>
        <w:trPr>
          <w:trHeight w:val="245" w:hRule="atLeast"/>
        </w:trPr>
        <w:tc>
          <w:tcPr>
            <w:tcW w:w="444"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p>
        </w:tc>
        <w:tc>
          <w:tcPr>
            <w:tcW w:w="548"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r>
                  <m:rPr/>
                  <w:rPr>
                    <w:rFonts w:hint="default" w:ascii="Cambria Math" w:hAnsi="Cambria Math" w:cs="Times New Roman"/>
                    <w:color w:val="000000" w:themeColor="text1"/>
                    <w:sz w:val="21"/>
                    <w:szCs w:val="21"/>
                    <w:highlight w:val="none"/>
                    <w:lang w:val="en-US" w:eastAsia="zh-CN"/>
                    <w14:textFill>
                      <w14:solidFill>
                        <w14:schemeClr w14:val="tx1"/>
                      </w14:solidFill>
                    </w14:textFill>
                  </w:rPr>
                  <m:t>ℎ</m:t>
                </m:r>
              </m:oMath>
            </m:oMathPara>
          </w:p>
        </w:tc>
        <w:tc>
          <w:tcPr>
            <w:tcW w:w="4007" w:type="pct"/>
            <w:noWrap w:val="0"/>
            <w:vAlign w:val="center"/>
          </w:tcPr>
          <w:p>
            <w:pPr>
              <w:widowControl/>
              <w:adjustRightInd/>
              <w:snapToGrid/>
              <w:spacing w:line="360" w:lineRule="exact"/>
              <w:ind w:left="0" w:firstLine="0" w:firstLineChars="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i w:val="0"/>
                <w:color w:val="000000" w:themeColor="text1"/>
                <w:sz w:val="21"/>
                <w:szCs w:val="21"/>
                <w:highlight w:val="none"/>
                <w:lang w:val="en-US" w:eastAsia="zh-CN"/>
                <w14:textFill>
                  <w14:solidFill>
                    <w14:schemeClr w14:val="tx1"/>
                  </w14:solidFill>
                </w14:textFill>
              </w:rPr>
              <w:t>层高。</w:t>
            </w:r>
          </w:p>
        </w:tc>
      </w:tr>
    </w:tbl>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6.3.</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模块化结构楼层层间</w:t>
      </w:r>
      <w:r>
        <w:rPr>
          <w:rFonts w:hint="default" w:ascii="Times New Roman" w:hAnsi="Times New Roman" w:cs="Times New Roman"/>
          <w:color w:val="000000" w:themeColor="text1"/>
          <w:highlight w:val="none"/>
          <w:lang w:val="en-US" w:eastAsia="zh-CN"/>
          <w14:textFill>
            <w14:solidFill>
              <w14:schemeClr w14:val="tx1"/>
            </w14:solidFill>
          </w14:textFill>
        </w:rPr>
        <w:t>弹塑性位移角</w:t>
      </w:r>
      <w:r>
        <w:rPr>
          <w:rFonts w:hint="default" w:ascii="Times New Roman" w:hAnsi="Times New Roman" w:cs="Times New Roman"/>
          <w:color w:val="000000" w:themeColor="text1"/>
          <w:highlight w:val="none"/>
          <w14:textFill>
            <w14:solidFill>
              <w14:schemeClr w14:val="tx1"/>
            </w14:solidFill>
          </w14:textFill>
        </w:rPr>
        <w:t>限值</w:t>
      </w:r>
    </w:p>
    <w:tbl>
      <w:tblPr>
        <w:tblStyle w:val="25"/>
        <w:tblpPr w:leftFromText="180" w:rightFromText="180" w:vertAnchor="text" w:horzAnchor="margin" w:tblpXSpec="center" w:tblpY="6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3009"/>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48" w:type="pct"/>
            <w:gridSpan w:val="2"/>
            <w:vAlign w:val="center"/>
          </w:tcPr>
          <w:p>
            <w:pPr>
              <w:pStyle w:val="50"/>
              <w:rPr>
                <w:rFonts w:hint="default" w:ascii="Times New Roman" w:hAnsi="Times New Roman" w:eastAsia="宋体" w:cs="Times New Roman"/>
                <w:color w:val="000000" w:themeColor="text1"/>
                <w:sz w:val="16"/>
                <w:szCs w:val="22"/>
                <w:highlight w:val="none"/>
                <w:lang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结构</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体系</w:t>
            </w:r>
          </w:p>
        </w:tc>
        <w:tc>
          <w:tcPr>
            <w:tcW w:w="1251"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m:oMathPara>
              <m:oMath>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m:t>
                </m:r>
                <m:sSub>
                  <m:sSubPr>
                    <m:ctrlPr>
                      <w:rPr>
                        <w:rFonts w:hint="default" w:ascii="Cambria Math" w:hAnsi="Cambria Math" w:cs="Times New Roman"/>
                        <w:i/>
                        <w:color w:val="000000" w:themeColor="text1"/>
                        <w:sz w:val="18"/>
                        <w:szCs w:val="28"/>
                        <w:highlight w:val="none"/>
                        <w:lang w:val="en-US"/>
                        <w14:textFill>
                          <w14:solidFill>
                            <w14:schemeClr w14:val="tx1"/>
                          </w14:solidFill>
                        </w14:textFill>
                      </w:rPr>
                    </m:ctrlPr>
                  </m:sSubPr>
                  <m:e>
                    <m:r>
                      <m:rPr/>
                      <w:rPr>
                        <w:rFonts w:hint="default" w:ascii="Cambria Math" w:hAnsi="Cambria Math" w:cs="Times New Roman"/>
                        <w:color w:val="000000" w:themeColor="text1"/>
                        <w:sz w:val="18"/>
                        <w:szCs w:val="28"/>
                        <w:highlight w:val="none"/>
                        <w:lang w:val="en-US"/>
                        <w14:textFill>
                          <w14:solidFill>
                            <w14:schemeClr w14:val="tx1"/>
                          </w14:solidFill>
                        </w14:textFill>
                      </w:rPr>
                      <m:t>θ</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e>
                  <m:sub>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p</m:t>
                    </m:r>
                    <m:ctrlPr>
                      <w:rPr>
                        <w:rFonts w:hint="default" w:ascii="Cambria Math" w:hAnsi="Cambria Math" w:cs="Times New Roman"/>
                        <w:i/>
                        <w:color w:val="000000" w:themeColor="text1"/>
                        <w:sz w:val="18"/>
                        <w:szCs w:val="28"/>
                        <w:highlight w:val="none"/>
                        <w:lang w:val="en-US"/>
                        <w14:textFill>
                          <w14:solidFill>
                            <w14:schemeClr w14:val="tx1"/>
                          </w14:solidFill>
                        </w14:textFill>
                      </w:rPr>
                    </m:ctrlPr>
                  </m:sub>
                </m:sSub>
                <m:r>
                  <m:rPr/>
                  <w:rPr>
                    <w:rFonts w:hint="default" w:ascii="Cambria Math" w:hAnsi="Cambria Math" w:cs="Times New Roman"/>
                    <w:color w:val="000000" w:themeColor="text1"/>
                    <w:sz w:val="18"/>
                    <w:szCs w:val="28"/>
                    <w:highlight w:val="none"/>
                    <w:lang w:val="en-US" w:eastAsia="zh-CN"/>
                    <w14:textFill>
                      <w14:solidFill>
                        <w14:schemeClr w14:val="tx1"/>
                      </w14:solidFill>
                    </w14:textFill>
                  </w:rPr>
                  <m:t>]</m:t>
                </m:r>
              </m:oMath>
            </m:oMathPara>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48" w:type="pct"/>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模块化全预制剪力墙</w:t>
            </w:r>
          </w:p>
        </w:tc>
        <w:tc>
          <w:tcPr>
            <w:tcW w:w="1251" w:type="pc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1/120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48" w:type="pct"/>
            <w:gridSpan w:val="2"/>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框架</w:t>
            </w:r>
          </w:p>
        </w:tc>
        <w:tc>
          <w:tcPr>
            <w:tcW w:w="1251" w:type="pc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48" w:type="pct"/>
            <w:gridSpan w:val="2"/>
            <w:vAlign w:val="center"/>
          </w:tcPr>
          <w:p>
            <w:pPr>
              <w:pStyle w:val="50"/>
              <w:rPr>
                <w:rFonts w:hint="default" w:ascii="Times New Roman" w:hAnsi="Times New Roman" w:cs="Times New Roman"/>
                <w:color w:val="000000" w:themeColor="text1"/>
                <w:sz w:val="16"/>
                <w:szCs w:val="22"/>
                <w:highlight w:val="none"/>
                <w:lang w:val="en-US"/>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框架-剪力墙</w:t>
            </w:r>
          </w:p>
        </w:tc>
        <w:tc>
          <w:tcPr>
            <w:tcW w:w="1251" w:type="pct"/>
            <w:vAlign w:val="center"/>
          </w:tcPr>
          <w:p>
            <w:pPr>
              <w:pStyle w:val="50"/>
              <w:rPr>
                <w:rFonts w:hint="default" w:ascii="Times New Roman" w:hAnsi="Times New Roman"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96" w:type="pct"/>
            <w:vAlign w:val="center"/>
          </w:tcPr>
          <w:p>
            <w:pPr>
              <w:pStyle w:val="50"/>
              <w:rPr>
                <w:rFonts w:hint="default" w:ascii="Times New Roman" w:hAnsi="Times New Roman" w:eastAsia="宋体" w:cs="Times New Roman"/>
                <w:color w:val="000000" w:themeColor="text1"/>
                <w:sz w:val="16"/>
                <w:szCs w:val="22"/>
                <w:highlight w:val="none"/>
                <w:lang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模块化叠合剪力墙</w:t>
            </w:r>
            <w:r>
              <w:rPr>
                <w:rFonts w:hint="default" w:ascii="Times New Roman" w:hAnsi="Times New Roman" w:cs="Times New Roman"/>
                <w:color w:val="000000" w:themeColor="text1"/>
                <w:sz w:val="16"/>
                <w:szCs w:val="22"/>
                <w:highlight w:val="none"/>
                <w:lang w:eastAsia="zh-CN"/>
                <w14:textFill>
                  <w14:solidFill>
                    <w14:schemeClr w14:val="tx1"/>
                  </w14:solidFill>
                </w14:textFill>
              </w:rPr>
              <w:t>、</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模块化现浇剪力墙</w:t>
            </w:r>
          </w:p>
        </w:tc>
        <w:tc>
          <w:tcPr>
            <w:tcW w:w="2452" w:type="pct"/>
            <w:vAlign w:val="center"/>
          </w:tcPr>
          <w:p>
            <w:pPr>
              <w:pStyle w:val="50"/>
              <w:rPr>
                <w:rFonts w:hint="default" w:ascii="Times New Roman" w:hAnsi="Times New Roman" w:cs="Times New Roman"/>
                <w:color w:val="000000" w:themeColor="text1"/>
                <w:sz w:val="16"/>
                <w:szCs w:val="22"/>
                <w:highlight w:val="none"/>
                <w14:textFill>
                  <w14:solidFill>
                    <w14:schemeClr w14:val="tx1"/>
                  </w14:solidFill>
                </w14:textFill>
              </w:rPr>
            </w:pP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除框架结构以外的转换层</w:t>
            </w:r>
          </w:p>
        </w:tc>
        <w:tc>
          <w:tcPr>
            <w:tcW w:w="1251" w:type="pct"/>
            <w:vAlign w:val="center"/>
          </w:tcPr>
          <w:p>
            <w:pPr>
              <w:pStyle w:val="50"/>
              <w:rPr>
                <w:rFonts w:hint="default" w:ascii="Times New Roman" w:hAnsi="Times New Roman" w:eastAsia="宋体" w:cs="Times New Roman"/>
                <w:color w:val="000000" w:themeColor="text1"/>
                <w:sz w:val="16"/>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2"/>
                <w:highlight w:val="none"/>
                <w14:textFill>
                  <w14:solidFill>
                    <w14:schemeClr w14:val="tx1"/>
                  </w14:solidFill>
                </w14:textFill>
              </w:rPr>
              <w:t>1/1</w:t>
            </w:r>
            <w:r>
              <w:rPr>
                <w:rFonts w:hint="default" w:ascii="Times New Roman" w:hAnsi="Times New Roman" w:cs="Times New Roman"/>
                <w:color w:val="000000" w:themeColor="text1"/>
                <w:sz w:val="16"/>
                <w:szCs w:val="22"/>
                <w:highlight w:val="none"/>
                <w:lang w:val="en-US" w:eastAsia="zh-CN"/>
                <w14:textFill>
                  <w14:solidFill>
                    <w14:schemeClr w14:val="tx1"/>
                  </w14:solidFill>
                </w14:textFill>
              </w:rPr>
              <w:t>20</w:t>
            </w:r>
          </w:p>
        </w:tc>
      </w:tr>
    </w:tbl>
    <w:p>
      <w:pPr>
        <w:widowControl/>
        <w:spacing w:line="360" w:lineRule="exact"/>
        <w:ind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6.3.</w:t>
      </w:r>
      <w:r>
        <w:rPr>
          <w:rFonts w:hint="default" w:ascii="Times New Roman" w:hAnsi="Times New Roman" w:cs="Times New Roman"/>
          <w:b/>
          <w:color w:val="000000" w:themeColor="text1"/>
          <w:szCs w:val="21"/>
          <w:highlight w:val="none"/>
          <w:lang w:val="en-US" w:eastAsia="zh-CN"/>
          <w14:textFill>
            <w14:solidFill>
              <w14:schemeClr w14:val="tx1"/>
            </w14:solidFill>
          </w14:textFill>
        </w:rPr>
        <w:t>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模块化结构在进行地震作用计算时，应计入填充墙对结构刚度的影响。当采用轻质墙板填充墙时，可采用周期折减的方法考虑其对结构刚度的影响，自振周期折减系数可按下列规定取值：</w:t>
      </w:r>
    </w:p>
    <w:p>
      <w:pPr>
        <w:widowControl/>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框架结构可取0.6～0.8</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框架-剪力墙结构可取0.7～0.9</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剪力墙结构可取0.8～1.0。</w:t>
      </w:r>
    </w:p>
    <w:p>
      <w:pPr>
        <w:widowControl/>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填充墙较少或采用柔性填充墙时，周期折减系数可取0.9～1.0</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对于其他结构体系或采用其他非承重墙体时，可根据工程实际情况确定周期折减系数。</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454" w:name="_Toc7135"/>
      <w:r>
        <w:rPr>
          <w:rFonts w:hint="default" w:ascii="Times New Roman" w:hAnsi="Times New Roman" w:cs="Times New Roman"/>
          <w:b/>
          <w:color w:val="000000" w:themeColor="text1"/>
          <w:szCs w:val="21"/>
          <w:highlight w:val="none"/>
          <w14:textFill>
            <w14:solidFill>
              <w14:schemeClr w14:val="tx1"/>
            </w14:solidFill>
          </w14:textFill>
        </w:rPr>
        <w:t>6.3.</w:t>
      </w:r>
      <w:r>
        <w:rPr>
          <w:rFonts w:hint="default" w:ascii="Times New Roman" w:hAnsi="Times New Roman" w:cs="Times New Roman"/>
          <w:b/>
          <w:color w:val="000000" w:themeColor="text1"/>
          <w:szCs w:val="21"/>
          <w:highlight w:val="none"/>
          <w:lang w:val="en-US" w:eastAsia="zh-CN"/>
          <w14:textFill>
            <w14:solidFill>
              <w14:schemeClr w14:val="tx1"/>
            </w14:solidFill>
          </w14:textFill>
        </w:rPr>
        <w:t>8</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楼面梁不宜与剪力墙在剪力墙平面外单侧连接，当楼面梁与剪力墙在平面外单侧连接不能避免时，宜采用铰接或在梁与剪力墙相交处设置暗柱或扶壁柱。</w:t>
      </w:r>
      <w:bookmarkEnd w:id="454"/>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6.3.</w:t>
      </w:r>
      <w:r>
        <w:rPr>
          <w:rFonts w:hint="default" w:ascii="Times New Roman" w:hAnsi="Times New Roman" w:cs="Times New Roman"/>
          <w:b/>
          <w:color w:val="000000" w:themeColor="text1"/>
          <w:szCs w:val="21"/>
          <w:highlight w:val="none"/>
          <w:lang w:val="en-US" w:eastAsia="zh-CN"/>
          <w14:textFill>
            <w14:solidFill>
              <w14:schemeClr w14:val="tx1"/>
            </w14:solidFill>
          </w14:textFill>
        </w:rPr>
        <w:t>9</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模块化叠合剪力墙结构中采用较多短肢剪力墙时，应符合下列规定：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55" w:name="_Toc4251"/>
      <w:bookmarkStart w:id="456" w:name="_Toc18061"/>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在规定水平地震力作用下，短肢剪力墙承担的底部倾覆力矩不宜大于结构底部总倾覆力矩的50%</w:t>
      </w:r>
      <w:bookmarkEnd w:id="455"/>
      <w:bookmarkEnd w:id="456"/>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57" w:name="_Toc20143"/>
      <w:bookmarkStart w:id="458" w:name="_Toc27594"/>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建筑适用高度应比</w:t>
      </w:r>
      <w:r>
        <w:rPr>
          <w:rFonts w:hint="default" w:ascii="Times New Roman" w:hAnsi="Times New Roman" w:cs="Times New Roman"/>
          <w:color w:val="000000" w:themeColor="text1"/>
          <w:szCs w:val="21"/>
          <w:highlight w:val="none"/>
          <w:lang w:eastAsia="zh-CN"/>
          <w14:textFill>
            <w14:solidFill>
              <w14:schemeClr w14:val="tx1"/>
            </w14:solidFill>
          </w14:textFill>
        </w:rPr>
        <w:t>本标准</w:t>
      </w:r>
      <w:r>
        <w:rPr>
          <w:rFonts w:hint="default" w:ascii="Times New Roman" w:hAnsi="Times New Roman" w:cs="Times New Roman"/>
          <w:color w:val="000000" w:themeColor="text1"/>
          <w:szCs w:val="21"/>
          <w:highlight w:val="none"/>
          <w14:textFill>
            <w14:solidFill>
              <w14:schemeClr w14:val="tx1"/>
            </w14:solidFill>
          </w14:textFill>
        </w:rPr>
        <w:t>第6.1.2条规定的最大适用高度降低20m。</w:t>
      </w:r>
      <w:bookmarkEnd w:id="457"/>
      <w:bookmarkEnd w:id="458"/>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6.3.</w:t>
      </w:r>
      <w:r>
        <w:rPr>
          <w:rFonts w:hint="default" w:ascii="Times New Roman" w:hAnsi="Times New Roman" w:cs="Times New Roman"/>
          <w:b/>
          <w:color w:val="000000" w:themeColor="text1"/>
          <w:szCs w:val="21"/>
          <w:highlight w:val="none"/>
          <w:lang w:val="en-US" w:eastAsia="zh-CN"/>
          <w14:textFill>
            <w14:solidFill>
              <w14:schemeClr w14:val="tx1"/>
            </w14:solidFill>
          </w14:textFill>
        </w:rPr>
        <w:t>10</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模块化结构的楼、屋盖系统的分析计算和截面设计，应符合现行国家标准《</w:t>
      </w:r>
      <w:r>
        <w:rPr>
          <w:rFonts w:hint="default" w:ascii="Times New Roman" w:hAnsi="Times New Roman" w:cs="Times New Roman"/>
          <w:color w:val="000000" w:themeColor="text1"/>
          <w:szCs w:val="21"/>
          <w:highlight w:val="none"/>
          <w:lang w:eastAsia="zh-CN"/>
          <w14:textFill>
            <w14:solidFill>
              <w14:schemeClr w14:val="tx1"/>
            </w14:solidFill>
          </w14:textFill>
        </w:rPr>
        <w:t>混凝土结构设计标准</w:t>
      </w:r>
      <w:r>
        <w:rPr>
          <w:rFonts w:hint="default" w:ascii="Times New Roman" w:hAnsi="Times New Roman" w:cs="Times New Roman"/>
          <w:color w:val="000000" w:themeColor="text1"/>
          <w:szCs w:val="21"/>
          <w:highlight w:val="none"/>
          <w14:textFill>
            <w14:solidFill>
              <w14:schemeClr w14:val="tx1"/>
            </w14:solidFill>
          </w14:textFill>
        </w:rPr>
        <w:t>》GB/T 50010、</w:t>
      </w:r>
      <w:r>
        <w:rPr>
          <w:rFonts w:hint="default" w:ascii="Times New Roman" w:hAnsi="Times New Roman" w:cs="Times New Roman"/>
          <w:color w:val="000000" w:themeColor="text1"/>
          <w:szCs w:val="21"/>
          <w:highlight w:val="none"/>
          <w:lang w:eastAsia="zh-CN"/>
          <w14:textFill>
            <w14:solidFill>
              <w14:schemeClr w14:val="tx1"/>
            </w14:solidFill>
          </w14:textFill>
        </w:rPr>
        <w:t>《建筑抗震设计标准》GB/T 50011</w:t>
      </w:r>
      <w:r>
        <w:rPr>
          <w:rFonts w:hint="default" w:ascii="Times New Roman" w:hAnsi="Times New Roman" w:cs="Times New Roman"/>
          <w:color w:val="000000" w:themeColor="text1"/>
          <w:szCs w:val="21"/>
          <w:highlight w:val="none"/>
          <w14:textFill>
            <w14:solidFill>
              <w14:schemeClr w14:val="tx1"/>
            </w14:solidFill>
          </w14:textFill>
        </w:rPr>
        <w:t>的有关规定外，尚应符合下列规定：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459" w:name="_Toc19154"/>
      <w:bookmarkStart w:id="460" w:name="_Toc20602"/>
      <w:bookmarkStart w:id="461" w:name="_Toc11262"/>
      <w:bookmarkStart w:id="462" w:name="_Toc26603"/>
      <w:bookmarkStart w:id="463" w:name="_Toc29937"/>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bookmarkStart w:id="464" w:name="OLE_LINK23"/>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楼盖</w:t>
      </w:r>
      <w:bookmarkEnd w:id="464"/>
      <w:r>
        <w:rPr>
          <w:rFonts w:hint="default" w:ascii="Times New Roman" w:hAnsi="Times New Roman" w:cs="Times New Roman"/>
          <w:color w:val="000000" w:themeColor="text1"/>
          <w:szCs w:val="21"/>
          <w:highlight w:val="none"/>
          <w14:textFill>
            <w14:solidFill>
              <w14:schemeClr w14:val="tx1"/>
            </w14:solidFill>
          </w14:textFill>
        </w:rPr>
        <w:t>、屋盖体系宜选用双向楼盖</w:t>
      </w:r>
      <w:bookmarkEnd w:id="459"/>
      <w:bookmarkEnd w:id="460"/>
      <w:bookmarkEnd w:id="461"/>
      <w:bookmarkEnd w:id="462"/>
      <w:bookmarkEnd w:id="463"/>
      <w:r>
        <w:rPr>
          <w:rFonts w:hint="eastAsia"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65" w:name="_Toc30125"/>
      <w:bookmarkStart w:id="466" w:name="_Toc29243"/>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楼盖、屋盖体系应与竖向结构构件有可靠的连接，保证结构的整体性。</w:t>
      </w:r>
      <w:bookmarkEnd w:id="465"/>
      <w:bookmarkEnd w:id="466"/>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6.3.1</w:t>
      </w:r>
      <w:r>
        <w:rPr>
          <w:rFonts w:hint="default" w:ascii="Times New Roman" w:hAnsi="Times New Roman" w:cs="Times New Roman"/>
          <w:b/>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模块化结构构件及节点应进行承载能力极限状态及正常使用极限状态设计，并应符合现行国家标准《</w:t>
      </w:r>
      <w:r>
        <w:rPr>
          <w:rFonts w:hint="default" w:ascii="Times New Roman" w:hAnsi="Times New Roman" w:cs="Times New Roman"/>
          <w:color w:val="000000" w:themeColor="text1"/>
          <w:szCs w:val="21"/>
          <w:highlight w:val="none"/>
          <w:lang w:eastAsia="zh-CN"/>
          <w14:textFill>
            <w14:solidFill>
              <w14:schemeClr w14:val="tx1"/>
            </w14:solidFill>
          </w14:textFill>
        </w:rPr>
        <w:t>混凝土结构设计标准</w:t>
      </w:r>
      <w:r>
        <w:rPr>
          <w:rFonts w:hint="default" w:ascii="Times New Roman" w:hAnsi="Times New Roman" w:cs="Times New Roman"/>
          <w:color w:val="000000" w:themeColor="text1"/>
          <w:szCs w:val="21"/>
          <w:highlight w:val="none"/>
          <w14:textFill>
            <w14:solidFill>
              <w14:schemeClr w14:val="tx1"/>
            </w14:solidFill>
          </w14:textFill>
        </w:rPr>
        <w:t>》GB50010、《建筑抗震设计规范》GB50011和《混凝土结构工程施工规范》GB 50666等的有关规定。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6.3.1</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模块单元中的预制非结构构件与预制承重构件或现浇承重构件之间宜采用柔性连接。当预制非结构构件与预制承重构件或现浇承重构件之间未采取柔性连接措施时，承重结构构件设计应考虑预制非结构构件的不利影响。预制非结构构件的抗震设计应符合现行国家标准</w:t>
      </w:r>
      <w:r>
        <w:rPr>
          <w:rFonts w:hint="default" w:ascii="Times New Roman" w:hAnsi="Times New Roman" w:cs="Times New Roman"/>
          <w:color w:val="000000" w:themeColor="text1"/>
          <w:szCs w:val="21"/>
          <w:highlight w:val="none"/>
          <w:lang w:eastAsia="zh-CN"/>
          <w14:textFill>
            <w14:solidFill>
              <w14:schemeClr w14:val="tx1"/>
            </w14:solidFill>
          </w14:textFill>
        </w:rPr>
        <w:t>《建筑抗震设计标准》GB/T 50011</w:t>
      </w:r>
      <w:r>
        <w:rPr>
          <w:rFonts w:hint="default" w:ascii="Times New Roman" w:hAnsi="Times New Roman" w:cs="Times New Roman"/>
          <w:color w:val="000000" w:themeColor="text1"/>
          <w:szCs w:val="21"/>
          <w:highlight w:val="none"/>
          <w14:textFill>
            <w14:solidFill>
              <w14:schemeClr w14:val="tx1"/>
            </w14:solidFill>
          </w14:textFill>
        </w:rPr>
        <w:t>中对非结构构件的有关规定。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6.3.1</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3  </w:t>
      </w:r>
      <w:r>
        <w:rPr>
          <w:rFonts w:hint="default" w:ascii="Times New Roman" w:hAnsi="Times New Roman" w:cs="Times New Roman"/>
          <w:color w:val="000000" w:themeColor="text1"/>
          <w:szCs w:val="21"/>
          <w:highlight w:val="none"/>
          <w14:textFill>
            <w14:solidFill>
              <w14:schemeClr w14:val="tx1"/>
            </w14:solidFill>
          </w14:textFill>
        </w:rPr>
        <w:t>阳台板、空调板等悬挑结构宜与模块整体预制。当采用叠合构件时，叠合构件</w:t>
      </w:r>
      <w:bookmarkStart w:id="467" w:name="OLE_LINK118"/>
      <w:r>
        <w:rPr>
          <w:rFonts w:hint="default" w:ascii="Times New Roman" w:hAnsi="Times New Roman" w:cs="Times New Roman"/>
          <w:color w:val="000000" w:themeColor="text1"/>
          <w:szCs w:val="21"/>
          <w:highlight w:val="none"/>
          <w14:textFill>
            <w14:solidFill>
              <w14:schemeClr w14:val="tx1"/>
            </w14:solidFill>
          </w14:textFill>
        </w:rPr>
        <w:t>的负弯矩钢筋应在相邻叠合板的</w:t>
      </w:r>
      <w:bookmarkEnd w:id="467"/>
      <w:r>
        <w:rPr>
          <w:rFonts w:hint="default" w:ascii="Times New Roman" w:hAnsi="Times New Roman" w:cs="Times New Roman"/>
          <w:color w:val="000000" w:themeColor="text1"/>
          <w:szCs w:val="21"/>
          <w:highlight w:val="none"/>
          <w14:textFill>
            <w14:solidFill>
              <w14:schemeClr w14:val="tx1"/>
            </w14:solidFill>
          </w14:textFill>
        </w:rPr>
        <w:t>后浇混凝土中可靠锚固。</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468" w:name="_Toc19146"/>
      <w:bookmarkStart w:id="469" w:name="_Toc6744"/>
      <w:bookmarkStart w:id="470" w:name="_Toc17389"/>
      <w:bookmarkStart w:id="471" w:name="_Toc12393"/>
      <w:bookmarkStart w:id="472" w:name="_Toc6999"/>
      <w:bookmarkStart w:id="473" w:name="_Toc18778"/>
      <w:bookmarkStart w:id="474" w:name="_Toc7300"/>
      <w:bookmarkStart w:id="475" w:name="_Toc3377"/>
      <w:bookmarkStart w:id="476" w:name="_Toc17960"/>
      <w:bookmarkStart w:id="477" w:name="_Toc15329"/>
      <w:bookmarkStart w:id="478" w:name="_Toc24508"/>
      <w:bookmarkStart w:id="479" w:name="_Toc1652"/>
      <w:bookmarkStart w:id="480" w:name="_Toc6461"/>
      <w:r>
        <w:rPr>
          <w:rFonts w:hint="default" w:ascii="Times New Roman" w:hAnsi="Times New Roman" w:eastAsia="黑体" w:cs="Times New Roman"/>
          <w:b/>
          <w:color w:val="000000" w:themeColor="text1"/>
          <w:sz w:val="24"/>
          <w:szCs w:val="24"/>
          <w:highlight w:val="none"/>
          <w14:textFill>
            <w14:solidFill>
              <w14:schemeClr w14:val="tx1"/>
            </w14:solidFill>
          </w14:textFill>
        </w:rPr>
        <w:t>6.</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模块构件及连接设计</w:t>
      </w:r>
      <w:bookmarkEnd w:id="468"/>
      <w:bookmarkEnd w:id="469"/>
      <w:bookmarkEnd w:id="470"/>
      <w:bookmarkEnd w:id="471"/>
      <w:bookmarkEnd w:id="472"/>
    </w:p>
    <w:bookmarkEnd w:id="473"/>
    <w:bookmarkEnd w:id="474"/>
    <w:bookmarkEnd w:id="475"/>
    <w:bookmarkEnd w:id="476"/>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 xml:space="preserve">.1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在地震设计状况下，模块化结构剪力墙水平接缝的受剪承载力设计值应按下式计算： </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0"/>
        <w:gridCol w:w="1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926" w:type="dxa"/>
            <w:vAlign w:val="center"/>
          </w:tcPr>
          <w:p>
            <w:pPr>
              <w:widowControl/>
              <w:spacing w:line="360" w:lineRule="exact"/>
              <w:jc w:val="center"/>
              <w:rPr>
                <w:rFonts w:hint="default" w:ascii="Times New Roman" w:hAnsi="Times New Roman" w:cs="Times New Roman"/>
                <w:i/>
                <w:iCs/>
                <w:color w:val="000000" w:themeColor="text1"/>
                <w:kern w:val="0"/>
                <w:sz w:val="28"/>
                <w:szCs w:val="28"/>
                <w:highlight w:val="none"/>
                <w:lang w:bidi="ar"/>
                <w14:textFill>
                  <w14:solidFill>
                    <w14:schemeClr w14:val="tx1"/>
                  </w14:solidFill>
                </w14:textFill>
              </w:rPr>
            </w:pPr>
            <m:oMathPara>
              <m:oMath>
                <m:sSub>
                  <m:sSubP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SubPr>
                  <m:e>
                    <m:r>
                      <m:rPr/>
                      <w:rPr>
                        <w:rFonts w:hint="default" w:ascii="Cambria Math" w:hAnsi="Cambria Math" w:cs="Times New Roman"/>
                        <w:color w:val="000000" w:themeColor="text1"/>
                        <w:kern w:val="0"/>
                        <w:szCs w:val="21"/>
                        <w:highlight w:val="none"/>
                        <w:lang w:bidi="ar"/>
                        <w14:textFill>
                          <w14:solidFill>
                            <w14:schemeClr w14:val="tx1"/>
                          </w14:solidFill>
                        </w14:textFill>
                      </w:rPr>
                      <m:t>V</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e>
                  <m:sub>
                    <m:r>
                      <m:rPr/>
                      <w:rPr>
                        <w:rFonts w:hint="default" w:ascii="Cambria Math" w:hAnsi="Cambria Math" w:cs="Times New Roman"/>
                        <w:color w:val="000000" w:themeColor="text1"/>
                        <w:kern w:val="0"/>
                        <w:szCs w:val="21"/>
                        <w:highlight w:val="none"/>
                        <w:lang w:bidi="ar"/>
                        <w14:textFill>
                          <w14:solidFill>
                            <w14:schemeClr w14:val="tx1"/>
                          </w14:solidFill>
                        </w14:textFill>
                      </w:rPr>
                      <m:t>uE</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ub>
                </m:sSub>
                <m:r>
                  <m:rPr/>
                  <w:rPr>
                    <w:rFonts w:hint="default" w:ascii="Cambria Math" w:hAnsi="Cambria Math" w:cs="Times New Roman"/>
                    <w:color w:val="000000" w:themeColor="text1"/>
                    <w:kern w:val="0"/>
                    <w:szCs w:val="21"/>
                    <w:highlight w:val="none"/>
                    <w:lang w:val="en-US" w:eastAsia="zh-CN" w:bidi="ar"/>
                    <w14:textFill>
                      <w14:solidFill>
                        <w14:schemeClr w14:val="tx1"/>
                      </w14:solidFill>
                    </w14:textFill>
                  </w:rPr>
                  <m:t>=</m:t>
                </m:r>
                <m:r>
                  <m:rPr/>
                  <w:rPr>
                    <w:rFonts w:hint="default" w:ascii="Cambria Math" w:hAnsi="Cambria Math" w:cs="Times New Roman"/>
                    <w:color w:val="000000" w:themeColor="text1"/>
                    <w:kern w:val="0"/>
                    <w:szCs w:val="21"/>
                    <w:highlight w:val="none"/>
                    <w:lang w:bidi="ar"/>
                    <w14:textFill>
                      <w14:solidFill>
                        <w14:schemeClr w14:val="tx1"/>
                      </w14:solidFill>
                    </w14:textFill>
                  </w:rPr>
                  <m:t>0.6</m:t>
                </m:r>
                <m:sSub>
                  <m:sSubP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SubPr>
                  <m:e>
                    <m:r>
                      <m:rPr/>
                      <w:rPr>
                        <w:rFonts w:hint="default" w:ascii="Cambria Math" w:hAnsi="Cambria Math" w:cs="Times New Roman"/>
                        <w:color w:val="000000" w:themeColor="text1"/>
                        <w:kern w:val="0"/>
                        <w:szCs w:val="21"/>
                        <w:highlight w:val="none"/>
                        <w:lang w:bidi="ar"/>
                        <w14:textFill>
                          <w14:solidFill>
                            <w14:schemeClr w14:val="tx1"/>
                          </w14:solidFill>
                        </w14:textFill>
                      </w:rPr>
                      <m:t>f</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e>
                  <m:sub>
                    <m:r>
                      <m:rPr/>
                      <w:rPr>
                        <w:rFonts w:hint="default" w:ascii="Cambria Math" w:hAnsi="Cambria Math" w:cs="Times New Roman"/>
                        <w:color w:val="000000" w:themeColor="text1"/>
                        <w:kern w:val="0"/>
                        <w:szCs w:val="21"/>
                        <w:highlight w:val="none"/>
                        <w:lang w:bidi="ar"/>
                        <w14:textFill>
                          <w14:solidFill>
                            <w14:schemeClr w14:val="tx1"/>
                          </w14:solidFill>
                        </w14:textFill>
                      </w:rPr>
                      <m:t>y</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ub>
                </m:sSub>
                <m:sSub>
                  <m:sSubP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SubPr>
                  <m:e>
                    <m:r>
                      <m:rPr/>
                      <w:rPr>
                        <w:rFonts w:hint="default" w:ascii="Cambria Math" w:hAnsi="Cambria Math" w:cs="Times New Roman"/>
                        <w:color w:val="000000" w:themeColor="text1"/>
                        <w:kern w:val="0"/>
                        <w:szCs w:val="21"/>
                        <w:highlight w:val="none"/>
                        <w:lang w:bidi="ar"/>
                        <w14:textFill>
                          <w14:solidFill>
                            <w14:schemeClr w14:val="tx1"/>
                          </w14:solidFill>
                        </w14:textFill>
                      </w:rPr>
                      <m:t>A</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e>
                  <m:sub>
                    <m:r>
                      <m:rPr/>
                      <w:rPr>
                        <w:rFonts w:hint="default" w:ascii="Cambria Math" w:hAnsi="Cambria Math" w:cs="Times New Roman"/>
                        <w:color w:val="000000" w:themeColor="text1"/>
                        <w:kern w:val="0"/>
                        <w:szCs w:val="21"/>
                        <w:highlight w:val="none"/>
                        <w:lang w:bidi="ar"/>
                        <w14:textFill>
                          <w14:solidFill>
                            <w14:schemeClr w14:val="tx1"/>
                          </w14:solidFill>
                        </w14:textFill>
                      </w:rPr>
                      <m:t>sd</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ub>
                </m:sSub>
                <m:r>
                  <m:rPr/>
                  <w:rPr>
                    <w:rFonts w:hint="default" w:ascii="Cambria Math" w:hAnsi="Cambria Math" w:cs="Times New Roman"/>
                    <w:color w:val="000000" w:themeColor="text1"/>
                    <w:kern w:val="0"/>
                    <w:szCs w:val="21"/>
                    <w:highlight w:val="none"/>
                    <w:lang w:bidi="ar"/>
                    <w14:textFill>
                      <w14:solidFill>
                        <w14:schemeClr w14:val="tx1"/>
                      </w14:solidFill>
                    </w14:textFill>
                  </w:rPr>
                  <m:t>+0.8N</m:t>
                </m:r>
              </m:oMath>
            </m:oMathPara>
          </w:p>
        </w:tc>
        <w:tc>
          <w:tcPr>
            <w:tcW w:w="1554" w:type="dxa"/>
            <w:vAlign w:val="center"/>
          </w:tcPr>
          <w:p>
            <w:pPr>
              <w:widowControl/>
              <w:spacing w:line="360" w:lineRule="exact"/>
              <w:jc w:val="center"/>
              <w:rPr>
                <w:rFonts w:hint="default" w:ascii="Times New Roman" w:hAnsi="Times New Roman" w:cs="Times New Roman"/>
                <w:i/>
                <w:iCs/>
                <w:color w:val="000000" w:themeColor="text1"/>
                <w:kern w:val="0"/>
                <w:sz w:val="28"/>
                <w:szCs w:val="28"/>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（6.</w:t>
            </w: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cs="Times New Roman"/>
                <w:color w:val="000000" w:themeColor="text1"/>
                <w:kern w:val="0"/>
                <w:szCs w:val="21"/>
                <w:highlight w:val="none"/>
                <w:lang w:bidi="ar"/>
                <w14:textFill>
                  <w14:solidFill>
                    <w14:schemeClr w14:val="tx1"/>
                  </w14:solidFill>
                </w14:textFill>
              </w:rPr>
              <w:t>.1）</w:t>
            </w:r>
          </w:p>
        </w:tc>
      </w:tr>
    </w:tbl>
    <w:tbl>
      <w:tblPr>
        <w:tblStyle w:val="25"/>
        <w:tblW w:w="5201" w:type="pct"/>
        <w:tblInd w:w="-119" w:type="dxa"/>
        <w:tblLayout w:type="autofit"/>
        <w:tblCellMar>
          <w:top w:w="0" w:type="dxa"/>
          <w:left w:w="0" w:type="dxa"/>
          <w:bottom w:w="0" w:type="dxa"/>
          <w:right w:w="0" w:type="dxa"/>
        </w:tblCellMar>
      </w:tblPr>
      <w:tblGrid>
        <w:gridCol w:w="580"/>
        <w:gridCol w:w="541"/>
        <w:gridCol w:w="5036"/>
      </w:tblGrid>
      <w:tr>
        <w:tblPrEx>
          <w:tblCellMar>
            <w:top w:w="0" w:type="dxa"/>
            <w:left w:w="0" w:type="dxa"/>
            <w:bottom w:w="0" w:type="dxa"/>
            <w:right w:w="0" w:type="dxa"/>
          </w:tblCellMar>
        </w:tblPrEx>
        <w:trPr>
          <w:trHeight w:val="245" w:hRule="atLeast"/>
        </w:trPr>
        <w:tc>
          <w:tcPr>
            <w:tcW w:w="471"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式中：</w:t>
            </w:r>
          </w:p>
        </w:tc>
        <w:tc>
          <w:tcPr>
            <w:tcW w:w="439"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SubPr>
                  <m:e>
                    <m:r>
                      <m:rPr/>
                      <w:rPr>
                        <w:rFonts w:hint="default" w:ascii="Cambria Math" w:hAnsi="Cambria Math" w:cs="Times New Roman"/>
                        <w:color w:val="000000" w:themeColor="text1"/>
                        <w:kern w:val="0"/>
                        <w:szCs w:val="21"/>
                        <w:highlight w:val="none"/>
                        <w:lang w:bidi="ar"/>
                        <w14:textFill>
                          <w14:solidFill>
                            <w14:schemeClr w14:val="tx1"/>
                          </w14:solidFill>
                        </w14:textFill>
                      </w:rPr>
                      <m:t>V</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e>
                  <m:sub>
                    <m:r>
                      <m:rPr/>
                      <w:rPr>
                        <w:rFonts w:hint="default" w:ascii="Cambria Math" w:hAnsi="Cambria Math" w:cs="Times New Roman"/>
                        <w:color w:val="000000" w:themeColor="text1"/>
                        <w:kern w:val="0"/>
                        <w:szCs w:val="21"/>
                        <w:highlight w:val="none"/>
                        <w:lang w:bidi="ar"/>
                        <w14:textFill>
                          <w14:solidFill>
                            <w14:schemeClr w14:val="tx1"/>
                          </w14:solidFill>
                        </w14:textFill>
                      </w:rPr>
                      <m:t>uE</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ub>
                </m:sSub>
              </m:oMath>
            </m:oMathPara>
          </w:p>
        </w:tc>
        <w:tc>
          <w:tcPr>
            <w:tcW w:w="4089" w:type="pct"/>
            <w:noWrap w:val="0"/>
            <w:vAlign w:val="center"/>
          </w:tcPr>
          <w:p>
            <w:pPr>
              <w:adjustRightInd w:val="0"/>
              <w:snapToGrid w:val="0"/>
              <w:spacing w:line="360" w:lineRule="exact"/>
              <w:ind w:left="0" w:firstLine="0" w:firstLineChars="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叠合剪力墙水平接缝处抗剪承载力设计值；</w:t>
            </w:r>
          </w:p>
        </w:tc>
      </w:tr>
      <w:tr>
        <w:tblPrEx>
          <w:tblCellMar>
            <w:top w:w="0" w:type="dxa"/>
            <w:left w:w="0" w:type="dxa"/>
            <w:bottom w:w="0" w:type="dxa"/>
            <w:right w:w="0" w:type="dxa"/>
          </w:tblCellMar>
        </w:tblPrEx>
        <w:trPr>
          <w:trHeight w:val="90" w:hRule="atLeast"/>
        </w:trPr>
        <w:tc>
          <w:tcPr>
            <w:tcW w:w="471" w:type="pct"/>
            <w:noWrap w:val="0"/>
            <w:vAlign w:val="top"/>
          </w:tcPr>
          <w:p>
            <w:pPr>
              <w:adjustRightInd w:val="0"/>
              <w:snapToGrid w:val="0"/>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439"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SubPr>
                  <m:e>
                    <m:r>
                      <m:rPr/>
                      <w:rPr>
                        <w:rFonts w:hint="default" w:ascii="Cambria Math" w:hAnsi="Cambria Math" w:cs="Times New Roman"/>
                        <w:color w:val="000000" w:themeColor="text1"/>
                        <w:kern w:val="0"/>
                        <w:szCs w:val="21"/>
                        <w:highlight w:val="none"/>
                        <w:lang w:bidi="ar"/>
                        <w14:textFill>
                          <w14:solidFill>
                            <w14:schemeClr w14:val="tx1"/>
                          </w14:solidFill>
                        </w14:textFill>
                      </w:rPr>
                      <m:t>f</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e>
                  <m:sub>
                    <m:r>
                      <m:rPr/>
                      <w:rPr>
                        <w:rFonts w:hint="default" w:ascii="Cambria Math" w:hAnsi="Cambria Math" w:cs="Times New Roman"/>
                        <w:color w:val="000000" w:themeColor="text1"/>
                        <w:kern w:val="0"/>
                        <w:szCs w:val="21"/>
                        <w:highlight w:val="none"/>
                        <w:lang w:bidi="ar"/>
                        <w14:textFill>
                          <w14:solidFill>
                            <w14:schemeClr w14:val="tx1"/>
                          </w14:solidFill>
                        </w14:textFill>
                      </w:rPr>
                      <m:t>y</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ub>
                </m:sSub>
              </m:oMath>
            </m:oMathPara>
          </w:p>
        </w:tc>
        <w:tc>
          <w:tcPr>
            <w:tcW w:w="4089" w:type="pct"/>
            <w:noWrap w:val="0"/>
            <w:vAlign w:val="center"/>
          </w:tcPr>
          <w:p>
            <w:pPr>
              <w:adjustRightInd w:val="0"/>
              <w:snapToGrid w:val="0"/>
              <w:spacing w:line="360" w:lineRule="exact"/>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竖向钢筋抗拉强度设计值；</w:t>
            </w:r>
          </w:p>
        </w:tc>
      </w:tr>
      <w:tr>
        <w:tblPrEx>
          <w:tblCellMar>
            <w:top w:w="0" w:type="dxa"/>
            <w:left w:w="0" w:type="dxa"/>
            <w:bottom w:w="0" w:type="dxa"/>
            <w:right w:w="0" w:type="dxa"/>
          </w:tblCellMar>
        </w:tblPrEx>
        <w:trPr>
          <w:trHeight w:val="245" w:hRule="atLeast"/>
        </w:trPr>
        <w:tc>
          <w:tcPr>
            <w:tcW w:w="471"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p>
        </w:tc>
        <w:tc>
          <w:tcPr>
            <w:tcW w:w="439" w:type="pct"/>
            <w:noWrap w:val="0"/>
            <w:vAlign w:val="top"/>
          </w:tcPr>
          <w:p>
            <w:pPr>
              <w:adjustRightInd w:val="0"/>
              <w:snapToGrid w:val="0"/>
              <w:spacing w:line="360" w:lineRule="exact"/>
              <w:jc w:val="both"/>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SubPr>
                  <m:e>
                    <m:r>
                      <m:rPr/>
                      <w:rPr>
                        <w:rFonts w:hint="default" w:ascii="Cambria Math" w:hAnsi="Cambria Math" w:cs="Times New Roman"/>
                        <w:color w:val="000000" w:themeColor="text1"/>
                        <w:kern w:val="0"/>
                        <w:szCs w:val="21"/>
                        <w:highlight w:val="none"/>
                        <w:lang w:bidi="ar"/>
                        <w14:textFill>
                          <w14:solidFill>
                            <w14:schemeClr w14:val="tx1"/>
                          </w14:solidFill>
                        </w14:textFill>
                      </w:rPr>
                      <m:t>A</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e>
                  <m:sub>
                    <m:r>
                      <m:rPr/>
                      <w:rPr>
                        <w:rFonts w:hint="default" w:ascii="Cambria Math" w:hAnsi="Cambria Math" w:cs="Times New Roman"/>
                        <w:color w:val="000000" w:themeColor="text1"/>
                        <w:kern w:val="0"/>
                        <w:szCs w:val="21"/>
                        <w:highlight w:val="none"/>
                        <w:lang w:bidi="ar"/>
                        <w14:textFill>
                          <w14:solidFill>
                            <w14:schemeClr w14:val="tx1"/>
                          </w14:solidFill>
                        </w14:textFill>
                      </w:rPr>
                      <m:t>sd</m:t>
                    </m:r>
                    <m:ctrlPr>
                      <w:rPr>
                        <w:rFonts w:hint="default" w:ascii="Cambria Math" w:hAnsi="Cambria Math" w:cs="Times New Roman"/>
                        <w:i/>
                        <w:iCs/>
                        <w:color w:val="000000" w:themeColor="text1"/>
                        <w:kern w:val="0"/>
                        <w:szCs w:val="21"/>
                        <w:highlight w:val="none"/>
                        <w:lang w:bidi="ar"/>
                        <w14:textFill>
                          <w14:solidFill>
                            <w14:schemeClr w14:val="tx1"/>
                          </w14:solidFill>
                        </w14:textFill>
                      </w:rPr>
                    </m:ctrlPr>
                  </m:sub>
                </m:sSub>
              </m:oMath>
            </m:oMathPara>
          </w:p>
        </w:tc>
        <w:tc>
          <w:tcPr>
            <w:tcW w:w="4089" w:type="pct"/>
            <w:noWrap w:val="0"/>
            <w:vAlign w:val="center"/>
          </w:tcPr>
          <w:p>
            <w:pPr>
              <w:adjustRightInd w:val="0"/>
              <w:snapToGrid w:val="0"/>
              <w:spacing w:line="360" w:lineRule="exact"/>
              <w:ind w:left="420" w:hanging="420" w:hangingChars="20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叠合剪力墙水平接缝处竖向连接钢筋和边缘构件中的竖向钢筋总面积； </w:t>
            </w:r>
          </w:p>
        </w:tc>
      </w:tr>
      <w:tr>
        <w:tblPrEx>
          <w:tblCellMar>
            <w:top w:w="0" w:type="dxa"/>
            <w:left w:w="0" w:type="dxa"/>
            <w:bottom w:w="0" w:type="dxa"/>
            <w:right w:w="0" w:type="dxa"/>
          </w:tblCellMar>
        </w:tblPrEx>
        <w:trPr>
          <w:trHeight w:val="111" w:hRule="atLeast"/>
        </w:trPr>
        <w:tc>
          <w:tcPr>
            <w:tcW w:w="471"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p>
        </w:tc>
        <w:tc>
          <w:tcPr>
            <w:tcW w:w="439" w:type="pct"/>
            <w:noWrap w:val="0"/>
            <w:vAlign w:val="top"/>
          </w:tcPr>
          <w:p>
            <w:pPr>
              <w:adjustRightInd w:val="0"/>
              <w:snapToGrid w:val="0"/>
              <w:spacing w:line="360" w:lineRule="exact"/>
              <w:jc w:val="both"/>
              <w:rPr>
                <w:rFonts w:hint="default" w:ascii="Times New Roman" w:hAnsi="Times New Roman" w:cs="Times New Roman"/>
                <w:i/>
                <w:iCs/>
                <w:color w:val="000000" w:themeColor="text1"/>
                <w:sz w:val="21"/>
                <w:szCs w:val="21"/>
                <w:highlight w:val="none"/>
                <w14:textFill>
                  <w14:solidFill>
                    <w14:schemeClr w14:val="tx1"/>
                  </w14:solidFill>
                </w14:textFill>
              </w:rPr>
            </w:pPr>
            <w:r>
              <w:rPr>
                <w:rFonts w:hint="default" w:ascii="Times New Roman" w:hAnsi="Times New Roman" w:cs="Times New Roman"/>
                <w:i w:val="0"/>
                <w:color w:val="000000" w:themeColor="text1"/>
                <w:kern w:val="0"/>
                <w:szCs w:val="21"/>
                <w:highlight w:val="none"/>
                <w:lang w:val="en-US" w:eastAsia="zh-CN" w:bidi="ar"/>
                <w14:textFill>
                  <w14:solidFill>
                    <w14:schemeClr w14:val="tx1"/>
                  </w14:solidFill>
                </w14:textFill>
              </w:rPr>
              <w:t xml:space="preserve">  </w:t>
            </w:r>
            <m:oMath>
              <m:r>
                <m:rPr/>
                <w:rPr>
                  <w:rFonts w:hint="default" w:ascii="Cambria Math" w:hAnsi="Cambria Math" w:cs="Times New Roman"/>
                  <w:color w:val="000000" w:themeColor="text1"/>
                  <w:kern w:val="0"/>
                  <w:szCs w:val="21"/>
                  <w:highlight w:val="none"/>
                  <w:lang w:bidi="ar"/>
                  <w14:textFill>
                    <w14:solidFill>
                      <w14:schemeClr w14:val="tx1"/>
                    </w14:solidFill>
                  </w14:textFill>
                </w:rPr>
                <m:t>N</m:t>
              </m:r>
            </m:oMath>
          </w:p>
        </w:tc>
        <w:tc>
          <w:tcPr>
            <w:tcW w:w="4089" w:type="pct"/>
            <w:noWrap w:val="0"/>
            <w:vAlign w:val="center"/>
          </w:tcPr>
          <w:p>
            <w:pPr>
              <w:adjustRightInd w:val="0"/>
              <w:snapToGrid w:val="0"/>
              <w:spacing w:line="360" w:lineRule="exact"/>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与接缝处剪力设计值相对应的垂直于水平接缝的轴向力设计值，压力取正值，拉力取负值；当大于</w:t>
            </w:r>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0.6f</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c</m:t>
                  </m:r>
                  <m:ctrlPr>
                    <w:rPr>
                      <w:rFonts w:hint="default" w:ascii="Cambria Math" w:hAnsi="Cambria Math" w:cs="Times New Roman"/>
                      <w:i/>
                      <w:iCs/>
                      <w:color w:val="000000" w:themeColor="text1"/>
                      <w:szCs w:val="21"/>
                      <w:highlight w:val="none"/>
                      <w14:textFill>
                        <w14:solidFill>
                          <w14:schemeClr w14:val="tx1"/>
                        </w14:solidFill>
                      </w14:textFill>
                    </w:rPr>
                  </m:ctrlPr>
                </m:sub>
              </m:sSub>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b</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m:t>
                  </m:r>
                  <m:ctrlPr>
                    <w:rPr>
                      <w:rFonts w:hint="default" w:ascii="Cambria Math" w:hAnsi="Cambria Math" w:cs="Times New Roman"/>
                      <w:i/>
                      <w:iCs/>
                      <w:color w:val="000000" w:themeColor="text1"/>
                      <w:szCs w:val="21"/>
                      <w:highlight w:val="none"/>
                      <w14:textFill>
                        <w14:solidFill>
                          <w14:schemeClr w14:val="tx1"/>
                        </w14:solidFill>
                      </w14:textFill>
                    </w:rPr>
                  </m:ctrlPr>
                </m:sub>
              </m:sSub>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ℎ</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w0</m:t>
                  </m:r>
                  <m:ctrlPr>
                    <w:rPr>
                      <w:rFonts w:hint="default" w:ascii="Cambria Math" w:hAnsi="Cambria Math" w:cs="Times New Roman"/>
                      <w:i/>
                      <w:iCs/>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时</w:t>
            </w:r>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m:sty m:val="p"/>
                    </m:rPr>
                    <w:rPr>
                      <w:rFonts w:hint="default" w:ascii="Cambria Math" w:hAnsi="Cambria Math" w:cs="Times New Roman"/>
                      <w:color w:val="000000" w:themeColor="text1"/>
                      <w:szCs w:val="21"/>
                      <w:highlight w:val="none"/>
                      <w14:textFill>
                        <w14:solidFill>
                          <w14:schemeClr w14:val="tx1"/>
                        </w14:solidFill>
                      </w14:textFill>
                    </w:rPr>
                    <m:t>取</m:t>
                  </m:r>
                  <m:r>
                    <m:rPr/>
                    <w:rPr>
                      <w:rFonts w:hint="default" w:ascii="Cambria Math" w:hAnsi="Cambria Math" w:cs="Times New Roman"/>
                      <w:color w:val="000000" w:themeColor="text1"/>
                      <w:szCs w:val="21"/>
                      <w:highlight w:val="none"/>
                      <w14:textFill>
                        <w14:solidFill>
                          <w14:schemeClr w14:val="tx1"/>
                        </w14:solidFill>
                      </w14:textFill>
                    </w:rPr>
                    <m:t>0.6f</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c</m:t>
                  </m:r>
                  <m:ctrlPr>
                    <w:rPr>
                      <w:rFonts w:hint="default" w:ascii="Cambria Math" w:hAnsi="Cambria Math" w:cs="Times New Roman"/>
                      <w:i/>
                      <w:iCs/>
                      <w:color w:val="000000" w:themeColor="text1"/>
                      <w:szCs w:val="21"/>
                      <w:highlight w:val="none"/>
                      <w14:textFill>
                        <w14:solidFill>
                          <w14:schemeClr w14:val="tx1"/>
                        </w14:solidFill>
                      </w14:textFill>
                    </w:rPr>
                  </m:ctrlPr>
                </m:sub>
              </m:sSub>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b</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m:t>
                  </m:r>
                  <m:ctrlPr>
                    <w:rPr>
                      <w:rFonts w:hint="default" w:ascii="Cambria Math" w:hAnsi="Cambria Math" w:cs="Times New Roman"/>
                      <w:i/>
                      <w:iCs/>
                      <w:color w:val="000000" w:themeColor="text1"/>
                      <w:szCs w:val="21"/>
                      <w:highlight w:val="none"/>
                      <w14:textFill>
                        <w14:solidFill>
                          <w14:schemeClr w14:val="tx1"/>
                        </w14:solidFill>
                      </w14:textFill>
                    </w:rPr>
                  </m:ctrlPr>
                </m:sub>
              </m:sSub>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ℎ</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w0</m:t>
                  </m:r>
                  <m:ctrlPr>
                    <w:rPr>
                      <w:rFonts w:hint="default" w:ascii="Cambria Math" w:hAnsi="Cambria Math" w:cs="Times New Roman"/>
                      <w:i/>
                      <w:iCs/>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；此处</w:t>
            </w:r>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f</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c</m:t>
                  </m:r>
                  <m:ctrlPr>
                    <w:rPr>
                      <w:rFonts w:hint="default" w:ascii="Cambria Math" w:hAnsi="Cambria Math" w:cs="Times New Roman"/>
                      <w:i/>
                      <w:iCs/>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为混凝土轴心抗</w:t>
            </w:r>
            <w:r>
              <w:rPr>
                <w:rFonts w:hint="default" w:ascii="Times New Roman" w:hAnsi="Times New Roman" w:cs="Times New Roman"/>
                <w:color w:val="000000" w:themeColor="text1"/>
                <w:szCs w:val="21"/>
                <w:highlight w:val="none"/>
                <w:lang w:val="en-US" w:eastAsia="zh-CN"/>
                <w14:textFill>
                  <w14:solidFill>
                    <w14:schemeClr w14:val="tx1"/>
                  </w14:solidFill>
                </w14:textFill>
              </w:rPr>
              <w:t>压</w:t>
            </w:r>
            <w:r>
              <w:rPr>
                <w:rFonts w:hint="default" w:ascii="Times New Roman" w:hAnsi="Times New Roman" w:cs="Times New Roman"/>
                <w:color w:val="000000" w:themeColor="text1"/>
                <w:szCs w:val="21"/>
                <w:highlight w:val="none"/>
                <w14:textFill>
                  <w14:solidFill>
                    <w14:schemeClr w14:val="tx1"/>
                  </w14:solidFill>
                </w14:textFill>
              </w:rPr>
              <w:t>强度设计值，</w:t>
            </w:r>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b</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m:t>
                  </m:r>
                  <m:ctrlPr>
                    <w:rPr>
                      <w:rFonts w:hint="default" w:ascii="Cambria Math" w:hAnsi="Cambria Math" w:cs="Times New Roman"/>
                      <w:i/>
                      <w:iCs/>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为叠合剪力墙截面宽度，</w:t>
            </w:r>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ℎ</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w0</m:t>
                  </m:r>
                  <m:ctrlPr>
                    <w:rPr>
                      <w:rFonts w:hint="default" w:ascii="Cambria Math" w:hAnsi="Cambria Math" w:cs="Times New Roman"/>
                      <w:i/>
                      <w:iCs/>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为剪力墙截面有效高度。</w:t>
            </w:r>
          </w:p>
        </w:tc>
      </w:tr>
    </w:tbl>
    <w:p>
      <w:pPr>
        <w:spacing w:line="360" w:lineRule="exact"/>
        <w:ind w:left="0" w:leftChars="0" w:firstLine="0" w:firstLineChars="0"/>
        <w:rPr>
          <w:rFonts w:hint="default" w:ascii="Times New Roman" w:hAnsi="Times New Roman" w:cs="Times New Roman"/>
          <w:color w:val="000000" w:themeColor="text1"/>
          <w:szCs w:val="21"/>
          <w:highlight w:val="none"/>
          <w14:textFill>
            <w14:solidFill>
              <w14:schemeClr w14:val="tx1"/>
            </w14:solidFill>
          </w14:textFill>
        </w:rPr>
      </w:pPr>
      <w:bookmarkStart w:id="481" w:name="_Toc2259"/>
      <w:bookmarkStart w:id="482" w:name="_Toc13764"/>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2</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在地震设计状况下，模块化叠合剪力墙结构中，预制剪力墙与预制空心边缘构件间竖向拼缝处抗剪承载力设计值应按下式计算</w:t>
      </w:r>
      <w:bookmarkEnd w:id="481"/>
      <w:bookmarkEnd w:id="482"/>
      <w:r>
        <w:rPr>
          <w:rFonts w:hint="default" w:ascii="Times New Roman" w:hAnsi="Times New Roman" w:cs="Times New Roman"/>
          <w:color w:val="000000" w:themeColor="text1"/>
          <w:szCs w:val="21"/>
          <w:highlight w:val="none"/>
          <w14:textFill>
            <w14:solidFill>
              <w14:schemeClr w14:val="tx1"/>
            </w14:solidFill>
          </w14:textFill>
        </w:rPr>
        <w:t>：</w:t>
      </w:r>
    </w:p>
    <w:tbl>
      <w:tblPr>
        <w:tblStyle w:val="2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36"/>
        <w:gridCol w:w="13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3" w:hRule="atLeast"/>
        </w:trPr>
        <w:tc>
          <w:tcPr>
            <w:tcW w:w="3860" w:type="pct"/>
            <w:vAlign w:val="center"/>
          </w:tcPr>
          <w:p>
            <w:pPr>
              <w:spacing w:line="360" w:lineRule="exact"/>
              <w:ind w:firstLine="380"/>
              <w:rPr>
                <w:rFonts w:hint="default" w:ascii="Times New Roman" w:hAnsi="Times New Roman" w:cs="Times New Roman"/>
                <w:i/>
                <w:iCs/>
                <w:color w:val="000000" w:themeColor="text1"/>
                <w:kern w:val="0"/>
                <w:sz w:val="28"/>
                <w:szCs w:val="28"/>
                <w:highlight w:val="none"/>
                <w:lang w:bidi="ar"/>
                <w14:textFill>
                  <w14:solidFill>
                    <w14:schemeClr w14:val="tx1"/>
                  </w14:solidFill>
                </w14:textFill>
              </w:rPr>
            </w:pPr>
            <m:oMathPara>
              <m:oMathParaPr>
                <m:jc m:val="center"/>
              </m:oMathParaPr>
              <m:oMath>
                <m:r>
                  <m:rPr/>
                  <w:rPr>
                    <w:rFonts w:hint="default" w:ascii="Cambria Math" w:hAnsi="Cambria Math" w:cs="Times New Roman"/>
                    <w:color w:val="000000" w:themeColor="text1"/>
                    <w:highlight w:val="none"/>
                    <w14:textFill>
                      <w14:solidFill>
                        <w14:schemeClr w14:val="tx1"/>
                      </w14:solidFill>
                    </w14:textFill>
                  </w:rPr>
                  <m:t>V=0.04</m:t>
                </m:r>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f</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c</m:t>
                    </m:r>
                    <m:ctrlPr>
                      <w:rPr>
                        <w:rFonts w:hint="default" w:ascii="Cambria Math" w:hAnsi="Cambria Math" w:cs="Times New Roman"/>
                        <w:i/>
                        <w:color w:val="000000" w:themeColor="text1"/>
                        <w:highlight w:val="none"/>
                        <w14:textFill>
                          <w14:solidFill>
                            <w14:schemeClr w14:val="tx1"/>
                          </w14:solidFill>
                        </w14:textFill>
                      </w:rPr>
                    </m:ctrlPr>
                  </m:sub>
                </m:sSub>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A</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cl</m:t>
                    </m:r>
                    <m:ctrlPr>
                      <w:rPr>
                        <w:rFonts w:hint="default" w:ascii="Cambria Math" w:hAnsi="Cambria Math" w:cs="Times New Roman"/>
                        <w:i/>
                        <w:color w:val="000000" w:themeColor="text1"/>
                        <w:highlight w:val="none"/>
                        <w14:textFill>
                          <w14:solidFill>
                            <w14:schemeClr w14:val="tx1"/>
                          </w14:solidFill>
                        </w14:textFill>
                      </w:rPr>
                    </m:ctrlPr>
                  </m:sub>
                </m:sSub>
                <m:r>
                  <m:rPr/>
                  <w:rPr>
                    <w:rFonts w:hint="default" w:ascii="Cambria Math" w:hAnsi="Cambria Math" w:cs="Times New Roman"/>
                    <w:color w:val="000000" w:themeColor="text1"/>
                    <w:highlight w:val="none"/>
                    <w14:textFill>
                      <w14:solidFill>
                        <w14:schemeClr w14:val="tx1"/>
                      </w14:solidFill>
                    </w14:textFill>
                  </w:rPr>
                  <m:t>+0.06</m:t>
                </m:r>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f</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c</m:t>
                    </m:r>
                    <m:ctrlPr>
                      <w:rPr>
                        <w:rFonts w:hint="default" w:ascii="Cambria Math" w:hAnsi="Cambria Math" w:cs="Times New Roman"/>
                        <w:i/>
                        <w:color w:val="000000" w:themeColor="text1"/>
                        <w:highlight w:val="none"/>
                        <w14:textFill>
                          <w14:solidFill>
                            <w14:schemeClr w14:val="tx1"/>
                          </w14:solidFill>
                        </w14:textFill>
                      </w:rPr>
                    </m:ctrlPr>
                  </m:sub>
                </m:sSub>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A</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k</m:t>
                    </m:r>
                    <m:ctrlPr>
                      <w:rPr>
                        <w:rFonts w:hint="default" w:ascii="Cambria Math" w:hAnsi="Cambria Math" w:cs="Times New Roman"/>
                        <w:i/>
                        <w:color w:val="000000" w:themeColor="text1"/>
                        <w:highlight w:val="none"/>
                        <w14:textFill>
                          <w14:solidFill>
                            <w14:schemeClr w14:val="tx1"/>
                          </w14:solidFill>
                        </w14:textFill>
                      </w:rPr>
                    </m:ctrlPr>
                  </m:sub>
                </m:sSub>
                <m:r>
                  <m:rPr/>
                  <w:rPr>
                    <w:rFonts w:hint="default" w:ascii="Cambria Math" w:hAnsi="Cambria Math" w:cs="Times New Roman"/>
                    <w:color w:val="000000" w:themeColor="text1"/>
                    <w:highlight w:val="none"/>
                    <w14:textFill>
                      <w14:solidFill>
                        <w14:schemeClr w14:val="tx1"/>
                      </w14:solidFill>
                    </w14:textFill>
                  </w:rPr>
                  <m:t>+1.65</m:t>
                </m:r>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A</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sd</m:t>
                    </m:r>
                    <m:ctrlPr>
                      <w:rPr>
                        <w:rFonts w:hint="default" w:ascii="Cambria Math" w:hAnsi="Cambria Math" w:cs="Times New Roman"/>
                        <w:i/>
                        <w:color w:val="000000" w:themeColor="text1"/>
                        <w:highlight w:val="none"/>
                        <w14:textFill>
                          <w14:solidFill>
                            <w14:schemeClr w14:val="tx1"/>
                          </w14:solidFill>
                        </w14:textFill>
                      </w:rPr>
                    </m:ctrlPr>
                  </m:sub>
                </m:sSub>
                <m:rad>
                  <m:radPr>
                    <m:degHide m:val="true"/>
                    <m:ctrlPr>
                      <w:rPr>
                        <w:rFonts w:hint="default" w:ascii="Cambria Math" w:hAnsi="Cambria Math" w:cs="Times New Roman"/>
                        <w:i/>
                        <w:color w:val="000000" w:themeColor="text1"/>
                        <w:highlight w:val="none"/>
                        <w14:textFill>
                          <w14:solidFill>
                            <w14:schemeClr w14:val="tx1"/>
                          </w14:solidFill>
                        </w14:textFill>
                      </w:rPr>
                    </m:ctrlPr>
                  </m:radPr>
                  <m:deg>
                    <m:ctrlPr>
                      <w:rPr>
                        <w:rFonts w:hint="default" w:ascii="Cambria Math" w:hAnsi="Cambria Math" w:cs="Times New Roman"/>
                        <w:i/>
                        <w:color w:val="000000" w:themeColor="text1"/>
                        <w:highlight w:val="none"/>
                        <w14:textFill>
                          <w14:solidFill>
                            <w14:schemeClr w14:val="tx1"/>
                          </w14:solidFill>
                        </w14:textFill>
                      </w:rPr>
                    </m:ctrlPr>
                  </m:deg>
                  <m:e>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f</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c</m:t>
                        </m:r>
                        <m:ctrlPr>
                          <w:rPr>
                            <w:rFonts w:hint="default" w:ascii="Cambria Math" w:hAnsi="Cambria Math" w:cs="Times New Roman"/>
                            <w:i/>
                            <w:color w:val="000000" w:themeColor="text1"/>
                            <w:highlight w:val="none"/>
                            <w14:textFill>
                              <w14:solidFill>
                                <w14:schemeClr w14:val="tx1"/>
                              </w14:solidFill>
                            </w14:textFill>
                          </w:rPr>
                        </m:ctrlPr>
                      </m:sub>
                    </m:sSub>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f</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y</m:t>
                        </m:r>
                        <m:ctrlPr>
                          <w:rPr>
                            <w:rFonts w:hint="default" w:ascii="Cambria Math" w:hAnsi="Cambria Math" w:cs="Times New Roman"/>
                            <w:i/>
                            <w:color w:val="000000" w:themeColor="text1"/>
                            <w:highlight w:val="none"/>
                            <w14:textFill>
                              <w14:solidFill>
                                <w14:schemeClr w14:val="tx1"/>
                              </w14:solidFill>
                            </w14:textFill>
                          </w:rPr>
                        </m:ctrlPr>
                      </m:sub>
                    </m:sSub>
                    <m:ctrlPr>
                      <w:rPr>
                        <w:rFonts w:hint="default" w:ascii="Cambria Math" w:hAnsi="Cambria Math" w:cs="Times New Roman"/>
                        <w:i/>
                        <w:color w:val="000000" w:themeColor="text1"/>
                        <w:highlight w:val="none"/>
                        <w14:textFill>
                          <w14:solidFill>
                            <w14:schemeClr w14:val="tx1"/>
                          </w14:solidFill>
                        </w14:textFill>
                      </w:rPr>
                    </m:ctrlPr>
                  </m:e>
                </m:rad>
              </m:oMath>
            </m:oMathPara>
          </w:p>
        </w:tc>
        <w:tc>
          <w:tcPr>
            <w:tcW w:w="1139" w:type="pct"/>
            <w:vAlign w:val="center"/>
          </w:tcPr>
          <w:p>
            <w:pPr>
              <w:widowControl/>
              <w:spacing w:line="360" w:lineRule="exact"/>
              <w:jc w:val="center"/>
              <w:rPr>
                <w:rFonts w:hint="default" w:ascii="Times New Roman" w:hAnsi="Times New Roman" w:cs="Times New Roman"/>
                <w:i/>
                <w:iCs/>
                <w:color w:val="000000" w:themeColor="text1"/>
                <w:kern w:val="0"/>
                <w:sz w:val="28"/>
                <w:szCs w:val="28"/>
                <w:highlight w:val="none"/>
                <w:lang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（6.</w:t>
            </w: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cs="Times New Roman"/>
                <w:color w:val="000000" w:themeColor="text1"/>
                <w:kern w:val="0"/>
                <w:szCs w:val="21"/>
                <w:highlight w:val="none"/>
                <w:lang w:bidi="ar"/>
                <w14:textFill>
                  <w14:solidFill>
                    <w14:schemeClr w14:val="tx1"/>
                  </w14:solidFill>
                </w14:textFill>
              </w:rPr>
              <w:t>.2）</w:t>
            </w:r>
          </w:p>
        </w:tc>
      </w:tr>
    </w:tbl>
    <w:tbl>
      <w:tblPr>
        <w:tblStyle w:val="25"/>
        <w:tblW w:w="5191" w:type="pct"/>
        <w:tblInd w:w="-119" w:type="dxa"/>
        <w:tblLayout w:type="autofit"/>
        <w:tblCellMar>
          <w:top w:w="0" w:type="dxa"/>
          <w:left w:w="0" w:type="dxa"/>
          <w:bottom w:w="0" w:type="dxa"/>
          <w:right w:w="0" w:type="dxa"/>
        </w:tblCellMar>
      </w:tblPr>
      <w:tblGrid>
        <w:gridCol w:w="582"/>
        <w:gridCol w:w="541"/>
        <w:gridCol w:w="5022"/>
      </w:tblGrid>
      <w:tr>
        <w:trPr>
          <w:trHeight w:val="23" w:hRule="atLeast"/>
        </w:trPr>
        <w:tc>
          <w:tcPr>
            <w:tcW w:w="473"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bookmarkStart w:id="483" w:name="OLE_LINK340" w:colFirst="1" w:colLast="3"/>
            <w:bookmarkStart w:id="484" w:name="OLE_LINK299" w:colFirst="1" w:colLast="2"/>
            <w:bookmarkStart w:id="485" w:name="OLE_LINK390" w:colFirst="1" w:colLast="2"/>
            <w:r>
              <w:rPr>
                <w:rFonts w:hint="default" w:ascii="Times New Roman" w:hAnsi="Times New Roman" w:cs="Times New Roman"/>
                <w:color w:val="000000" w:themeColor="text1"/>
                <w:sz w:val="21"/>
                <w:szCs w:val="21"/>
                <w:highlight w:val="none"/>
                <w14:textFill>
                  <w14:solidFill>
                    <w14:schemeClr w14:val="tx1"/>
                  </w14:solidFill>
                </w14:textFill>
              </w:rPr>
              <w:t>式中：</w:t>
            </w:r>
          </w:p>
        </w:tc>
        <w:tc>
          <w:tcPr>
            <w:tcW w:w="440"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f</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c</m:t>
                    </m:r>
                    <m:ctrlPr>
                      <w:rPr>
                        <w:rFonts w:hint="default" w:ascii="Cambria Math" w:hAnsi="Cambria Math" w:cs="Times New Roman"/>
                        <w:i/>
                        <w:iCs/>
                        <w:color w:val="000000" w:themeColor="text1"/>
                        <w:szCs w:val="21"/>
                        <w:highlight w:val="none"/>
                        <w14:textFill>
                          <w14:solidFill>
                            <w14:schemeClr w14:val="tx1"/>
                          </w14:solidFill>
                        </w14:textFill>
                      </w:rPr>
                    </m:ctrlPr>
                  </m:sub>
                </m:sSub>
              </m:oMath>
            </m:oMathPara>
          </w:p>
        </w:tc>
        <w:tc>
          <w:tcPr>
            <w:tcW w:w="4085" w:type="pct"/>
            <w:noWrap w:val="0"/>
            <w:vAlign w:val="center"/>
          </w:tcPr>
          <w:p>
            <w:pPr>
              <w:adjustRightInd/>
              <w:snapToGrid/>
              <w:spacing w:line="360" w:lineRule="exact"/>
              <w:ind w:left="0" w:firstLine="0" w:firstLineChars="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预制构件混凝土轴心抗压强度设计值；</w:t>
            </w:r>
          </w:p>
        </w:tc>
      </w:tr>
      <w:tr>
        <w:trPr>
          <w:trHeight w:val="23" w:hRule="atLeast"/>
        </w:trPr>
        <w:tc>
          <w:tcPr>
            <w:tcW w:w="473" w:type="pct"/>
            <w:noWrap w:val="0"/>
            <w:vAlign w:val="top"/>
          </w:tcPr>
          <w:p>
            <w:pPr>
              <w:adjustRightInd w:val="0"/>
              <w:snapToGrid w:val="0"/>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440"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A</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cl</m:t>
                    </m:r>
                    <m:ctrlPr>
                      <w:rPr>
                        <w:rFonts w:hint="default" w:ascii="Cambria Math" w:hAnsi="Cambria Math" w:cs="Times New Roman"/>
                        <w:i/>
                        <w:iCs/>
                        <w:color w:val="000000" w:themeColor="text1"/>
                        <w:szCs w:val="21"/>
                        <w:highlight w:val="none"/>
                        <w14:textFill>
                          <w14:solidFill>
                            <w14:schemeClr w14:val="tx1"/>
                          </w14:solidFill>
                        </w14:textFill>
                      </w:rPr>
                    </m:ctrlPr>
                  </m:sub>
                </m:sSub>
              </m:oMath>
            </m:oMathPara>
          </w:p>
        </w:tc>
        <w:tc>
          <w:tcPr>
            <w:tcW w:w="4085" w:type="pct"/>
            <w:noWrap w:val="0"/>
            <w:vAlign w:val="center"/>
          </w:tcPr>
          <w:p>
            <w:pPr>
              <w:adjustRightInd w:val="0"/>
              <w:snapToGrid w:val="0"/>
              <w:spacing w:line="360" w:lineRule="exact"/>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叠合梁端截面后浇混凝土叠合层截面面积；</w:t>
            </w:r>
          </w:p>
        </w:tc>
      </w:tr>
      <w:tr>
        <w:trPr>
          <w:trHeight w:val="23" w:hRule="atLeast"/>
        </w:trPr>
        <w:tc>
          <w:tcPr>
            <w:tcW w:w="473"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p>
        </w:tc>
        <w:tc>
          <w:tcPr>
            <w:tcW w:w="440"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A</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k</m:t>
                    </m:r>
                    <m:ctrlPr>
                      <w:rPr>
                        <w:rFonts w:hint="default" w:ascii="Cambria Math" w:hAnsi="Cambria Math" w:cs="Times New Roman"/>
                        <w:i/>
                        <w:iCs/>
                        <w:color w:val="000000" w:themeColor="text1"/>
                        <w:szCs w:val="21"/>
                        <w:highlight w:val="none"/>
                        <w14:textFill>
                          <w14:solidFill>
                            <w14:schemeClr w14:val="tx1"/>
                          </w14:solidFill>
                        </w14:textFill>
                      </w:rPr>
                    </m:ctrlPr>
                  </m:sub>
                </m:sSub>
              </m:oMath>
            </m:oMathPara>
          </w:p>
        </w:tc>
        <w:tc>
          <w:tcPr>
            <w:tcW w:w="4085" w:type="pct"/>
            <w:noWrap w:val="0"/>
            <w:vAlign w:val="center"/>
          </w:tcPr>
          <w:p>
            <w:pPr>
              <w:adjustRightInd w:val="0"/>
              <w:snapToGrid w:val="0"/>
              <w:spacing w:line="360" w:lineRule="exact"/>
              <w:ind w:left="420" w:hanging="420" w:hangingChars="20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键槽根部截面面积之和；</w:t>
            </w:r>
          </w:p>
        </w:tc>
      </w:tr>
      <w:tr>
        <w:trPr>
          <w:trHeight w:val="23" w:hRule="atLeast"/>
        </w:trPr>
        <w:tc>
          <w:tcPr>
            <w:tcW w:w="473"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p>
        </w:tc>
        <w:tc>
          <w:tcPr>
            <w:tcW w:w="440" w:type="pct"/>
            <w:noWrap w:val="0"/>
            <w:vAlign w:val="center"/>
          </w:tcPr>
          <w:p>
            <w:pPr>
              <w:adjustRightInd w:val="0"/>
              <w:snapToGrid w:val="0"/>
              <w:spacing w:line="360" w:lineRule="exact"/>
              <w:jc w:val="center"/>
              <w:rPr>
                <w:rFonts w:hint="default" w:ascii="Times New Roman" w:hAnsi="Times New Roman" w:cs="Times New Roman"/>
                <w:i/>
                <w:iCs/>
                <w:color w:val="000000" w:themeColor="text1"/>
                <w:sz w:val="2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A</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sd</m:t>
                    </m:r>
                    <m:ctrlPr>
                      <w:rPr>
                        <w:rFonts w:hint="default" w:ascii="Cambria Math" w:hAnsi="Cambria Math" w:cs="Times New Roman"/>
                        <w:i/>
                        <w:iCs/>
                        <w:color w:val="000000" w:themeColor="text1"/>
                        <w:szCs w:val="21"/>
                        <w:highlight w:val="none"/>
                        <w14:textFill>
                          <w14:solidFill>
                            <w14:schemeClr w14:val="tx1"/>
                          </w14:solidFill>
                        </w14:textFill>
                      </w:rPr>
                    </m:ctrlPr>
                  </m:sub>
                </m:sSub>
              </m:oMath>
            </m:oMathPara>
          </w:p>
        </w:tc>
        <w:tc>
          <w:tcPr>
            <w:tcW w:w="4085" w:type="pct"/>
            <w:noWrap w:val="0"/>
            <w:vAlign w:val="center"/>
          </w:tcPr>
          <w:p>
            <w:pPr>
              <w:adjustRightInd w:val="0"/>
              <w:snapToGrid w:val="0"/>
              <w:spacing w:line="360" w:lineRule="exact"/>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垂直穿过接合面所有钢筋的面积；</w:t>
            </w:r>
          </w:p>
        </w:tc>
      </w:tr>
      <w:tr>
        <w:trPr>
          <w:trHeight w:val="23" w:hRule="atLeast"/>
        </w:trPr>
        <w:tc>
          <w:tcPr>
            <w:tcW w:w="473"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w:p>
        </w:tc>
        <w:tc>
          <w:tcPr>
            <w:tcW w:w="440" w:type="pct"/>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
                <m:sSub>
                  <m:sSubPr>
                    <m:ctrlPr>
                      <w:rPr>
                        <w:rFonts w:hint="default" w:ascii="Cambria Math" w:hAnsi="Cambria Math" w:cs="Times New Roman"/>
                        <w:i/>
                        <w:iCs/>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f</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y</m:t>
                    </m:r>
                    <m:ctrlPr>
                      <w:rPr>
                        <w:rFonts w:hint="default" w:ascii="Cambria Math" w:hAnsi="Cambria Math" w:cs="Times New Roman"/>
                        <w:i/>
                        <w:iCs/>
                        <w:color w:val="000000" w:themeColor="text1"/>
                        <w:szCs w:val="21"/>
                        <w:highlight w:val="none"/>
                        <w14:textFill>
                          <w14:solidFill>
                            <w14:schemeClr w14:val="tx1"/>
                          </w14:solidFill>
                        </w14:textFill>
                      </w:rPr>
                    </m:ctrlPr>
                  </m:sub>
                </m:sSub>
              </m:oMath>
            </m:oMathPara>
          </w:p>
        </w:tc>
        <w:tc>
          <w:tcPr>
            <w:tcW w:w="4085" w:type="pct"/>
            <w:noWrap w:val="0"/>
            <w:vAlign w:val="center"/>
          </w:tcPr>
          <w:p>
            <w:pPr>
              <w:adjustRightInd w:val="0"/>
              <w:snapToGrid w:val="0"/>
              <w:spacing w:line="360" w:lineRule="exact"/>
              <w:ind w:left="420" w:hanging="420" w:hanging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垂直穿过接合面钢筋的抗拉强度设计值。</w:t>
            </w:r>
          </w:p>
        </w:tc>
      </w:tr>
      <w:bookmarkEnd w:id="483"/>
      <w:bookmarkEnd w:id="484"/>
      <w:bookmarkEnd w:id="485"/>
    </w:tbl>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 xml:space="preserve">.3 </w:t>
      </w:r>
      <w:r>
        <w:rPr>
          <w:rFonts w:hint="default" w:ascii="Times New Roman" w:hAnsi="Times New Roman" w:cs="Times New Roman"/>
          <w:color w:val="000000" w:themeColor="text1"/>
          <w:szCs w:val="21"/>
          <w:highlight w:val="none"/>
          <w14:textFill>
            <w14:solidFill>
              <w14:schemeClr w14:val="tx1"/>
            </w14:solidFill>
          </w14:textFill>
        </w:rPr>
        <w:t xml:space="preserve"> 模块化全预制剪力墙结构中上下层预制剪力墙竖向钢筋应符合下列</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w:t>
      </w:r>
    </w:p>
    <w:p>
      <w:pPr>
        <w:widowControl/>
        <w:spacing w:line="360" w:lineRule="exact"/>
        <w:ind w:firstLine="421"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剪力墙竖向钢筋宜采用浆锚搭接单排连接形式 (图6.</w:t>
      </w:r>
      <w:r>
        <w:rPr>
          <w:rFonts w:hint="default" w:ascii="Times New Roman" w:hAnsi="Times New Roman" w:cs="Times New Roman"/>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.3)，剪力墙两侧竖向分布钢筋与配置于墙体厚度中部的连接钢筋搭接连接，连接钢筋位于内、外侧被连接钢筋的中间</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p>
      <w:pPr>
        <w:widowControl/>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 xml:space="preserve"> 连接钢筋受拉承载力不应小于上下层被连接钢筋受拉承载力较大值的1.1倍，间距不宜大于300mm。连接钢筋自下层剪力墙顶算起的埋置长度不应小于</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1.2L</m:t>
            </m:r>
            <m:ctrlPr>
              <w:rPr>
                <w:rFonts w:hint="default" w:ascii="Cambria Math" w:hAnsi="Cambria Math" w:cs="Times New Roman"/>
                <w:i/>
                <w:color w:val="000000" w:themeColor="text1"/>
                <w:szCs w:val="21"/>
                <w:highlight w:val="none"/>
                <w14:textFill>
                  <w14:solidFill>
                    <w14:schemeClr w14:val="tx1"/>
                  </w14:solidFill>
                </w14:textFill>
              </w:rPr>
            </m:ctrlPr>
          </m:e>
          <m:sub>
            <m:r>
              <m:rPr>
                <m:sty m:val="p"/>
              </m:rPr>
              <w:rPr>
                <w:rFonts w:hint="default" w:ascii="Cambria Math" w:hAnsi="Cambria Math" w:cs="Times New Roman"/>
                <w:color w:val="000000" w:themeColor="text1"/>
                <w:szCs w:val="21"/>
                <w:highlight w:val="none"/>
                <w14:textFill>
                  <w14:solidFill>
                    <w14:schemeClr w14:val="tx1"/>
                  </w14:solidFill>
                </w14:textFill>
              </w:rPr>
              <m:t>aE</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lang w:val="en-US" w:eastAsia="zh-CN"/>
            <w14:textFill>
              <w14:solidFill>
                <w14:schemeClr w14:val="tx1"/>
              </w14:solidFill>
            </w14:textFill>
          </w:rPr>
          <m:t>+</m:t>
        </m:r>
        <m:sSub>
          <m:sSubP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b</m:t>
            </m: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e>
          <m:sub>
            <m:r>
              <m:rPr/>
              <w:rPr>
                <w:rFonts w:hint="default" w:ascii="Cambria Math" w:hAnsi="Cambria Math" w:cs="Times New Roman"/>
                <w:color w:val="000000" w:themeColor="text1"/>
                <w:szCs w:val="21"/>
                <w:highlight w:val="none"/>
                <w:lang w:val="en-US" w:eastAsia="zh-CN"/>
                <w14:textFill>
                  <w14:solidFill>
                    <w14:schemeClr w14:val="tx1"/>
                  </w14:solidFill>
                </w14:textFill>
              </w:rPr>
              <m:t>w</m:t>
            </m: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sub>
        </m:sSub>
        <m:r>
          <m:rPr/>
          <w:rPr>
            <w:rFonts w:hint="default" w:ascii="Cambria Math" w:hAnsi="Cambria Math" w:cs="Times New Roman"/>
            <w:color w:val="000000" w:themeColor="text1"/>
            <w:szCs w:val="21"/>
            <w:highlight w:val="none"/>
            <w:lang w:val="en-US" w:eastAsia="zh-CN"/>
            <w14:textFill>
              <w14:solidFill>
                <w14:schemeClr w14:val="tx1"/>
              </w14:solidFill>
            </w14:textFill>
          </w:rPr>
          <m:t>/2</m:t>
        </m:r>
      </m:oMath>
      <w:r>
        <w:rPr>
          <w:rFonts w:hint="default" w:ascii="Times New Roman" w:hAnsi="Times New Roman" w:cs="Times New Roman"/>
          <w:color w:val="000000" w:themeColor="text1"/>
          <w:szCs w:val="21"/>
          <w:highlight w:val="none"/>
          <w14:textFill>
            <w14:solidFill>
              <w14:schemeClr w14:val="tx1"/>
            </w14:solidFill>
          </w14:textFill>
        </w:rPr>
        <w:t>(</w:t>
      </w:r>
      <m:oMath>
        <m:sSub>
          <m:sSubP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b</m:t>
            </m: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e>
          <m:sub>
            <m:r>
              <m:rPr/>
              <w:rPr>
                <w:rFonts w:hint="default" w:ascii="Cambria Math" w:hAnsi="Cambria Math" w:cs="Times New Roman"/>
                <w:color w:val="000000" w:themeColor="text1"/>
                <w:szCs w:val="21"/>
                <w:highlight w:val="none"/>
                <w:lang w:val="en-US" w:eastAsia="zh-CN"/>
                <w14:textFill>
                  <w14:solidFill>
                    <w14:schemeClr w14:val="tx1"/>
                  </w14:solidFill>
                </w14:textFill>
              </w:rPr>
              <m:t>w</m:t>
            </m: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 xml:space="preserve">为墙体厚度)，自上层预制墙体底部伸人预留灌浆孔道内的长度不应小于 </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1.2L</m:t>
            </m:r>
            <m:ctrlPr>
              <w:rPr>
                <w:rFonts w:hint="default" w:ascii="Cambria Math" w:hAnsi="Cambria Math" w:cs="Times New Roman"/>
                <w:i/>
                <w:color w:val="000000" w:themeColor="text1"/>
                <w:szCs w:val="21"/>
                <w:highlight w:val="none"/>
                <w14:textFill>
                  <w14:solidFill>
                    <w14:schemeClr w14:val="tx1"/>
                  </w14:solidFill>
                </w14:textFill>
              </w:rPr>
            </m:ctrlPr>
          </m:e>
          <m:sub>
            <m:r>
              <m:rPr>
                <m:sty m:val="p"/>
              </m:rPr>
              <w:rPr>
                <w:rFonts w:hint="default" w:ascii="Cambria Math" w:hAnsi="Cambria Math" w:cs="Times New Roman"/>
                <w:color w:val="000000" w:themeColor="text1"/>
                <w:szCs w:val="21"/>
                <w:highlight w:val="none"/>
                <w14:textFill>
                  <w14:solidFill>
                    <w14:schemeClr w14:val="tx1"/>
                  </w14:solidFill>
                </w14:textFill>
              </w:rPr>
              <m:t>aE</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lang w:val="en-US" w:eastAsia="zh-CN"/>
            <w14:textFill>
              <w14:solidFill>
                <w14:schemeClr w14:val="tx1"/>
              </w14:solidFill>
            </w14:textFill>
          </w:rPr>
          <m:t>+</m:t>
        </m:r>
        <m:sSub>
          <m:sSubP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b</m:t>
            </m: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e>
          <m:sub>
            <m:r>
              <m:rPr/>
              <w:rPr>
                <w:rFonts w:hint="default" w:ascii="Cambria Math" w:hAnsi="Cambria Math" w:cs="Times New Roman"/>
                <w:color w:val="000000" w:themeColor="text1"/>
                <w:szCs w:val="21"/>
                <w:highlight w:val="none"/>
                <w:lang w:val="en-US" w:eastAsia="zh-CN"/>
                <w14:textFill>
                  <w14:solidFill>
                    <w14:schemeClr w14:val="tx1"/>
                  </w14:solidFill>
                </w14:textFill>
              </w:rPr>
              <m:t>w</m:t>
            </m:r>
            <m:ctrlPr>
              <w:rPr>
                <w:rFonts w:hint="default" w:ascii="Cambria Math" w:hAnsi="Cambria Math" w:cs="Times New Roman"/>
                <w:i/>
                <w:color w:val="000000" w:themeColor="text1"/>
                <w:szCs w:val="21"/>
                <w:highlight w:val="none"/>
                <w:lang w:val="en-US" w:eastAsia="zh-CN"/>
                <w14:textFill>
                  <w14:solidFill>
                    <w14:schemeClr w14:val="tx1"/>
                  </w14:solidFill>
                </w14:textFill>
              </w:rPr>
            </m:ctrlPr>
          </m:sub>
        </m:sSub>
        <m:r>
          <m:rPr/>
          <w:rPr>
            <w:rFonts w:hint="default" w:ascii="Cambria Math" w:hAnsi="Cambria Math" w:cs="Times New Roman"/>
            <w:color w:val="000000" w:themeColor="text1"/>
            <w:szCs w:val="21"/>
            <w:highlight w:val="none"/>
            <w:lang w:val="en-US" w:eastAsia="zh-CN"/>
            <w14:textFill>
              <w14:solidFill>
                <w14:schemeClr w14:val="tx1"/>
              </w14:solidFill>
            </w14:textFill>
          </w:rPr>
          <m:t>/2</m:t>
        </m:r>
      </m:oMath>
      <w:r>
        <w:rPr>
          <w:rFonts w:hint="default" w:ascii="Times New Roman" w:hAnsi="Times New Roman" w:cs="Times New Roman"/>
          <w:color w:val="000000" w:themeColor="text1"/>
          <w:szCs w:val="21"/>
          <w:highlight w:val="none"/>
          <w14:textFill>
            <w14:solidFill>
              <w14:schemeClr w14:val="tx1"/>
            </w14:solidFill>
          </w14:textFill>
        </w:rPr>
        <w:t>，</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L</m:t>
            </m:r>
            <m:ctrlPr>
              <w:rPr>
                <w:rFonts w:hint="default" w:ascii="Cambria Math" w:hAnsi="Cambria Math" w:cs="Times New Roman"/>
                <w:i/>
                <w:color w:val="000000" w:themeColor="text1"/>
                <w:szCs w:val="21"/>
                <w:highlight w:val="none"/>
                <w14:textFill>
                  <w14:solidFill>
                    <w14:schemeClr w14:val="tx1"/>
                  </w14:solidFill>
                </w14:textFill>
              </w:rPr>
            </m:ctrlPr>
          </m:e>
          <m:sub>
            <m:r>
              <m:rPr>
                <m:sty m:val="p"/>
              </m:rPr>
              <w:rPr>
                <w:rFonts w:hint="default" w:ascii="Cambria Math" w:hAnsi="Cambria Math" w:cs="Times New Roman"/>
                <w:color w:val="000000" w:themeColor="text1"/>
                <w:szCs w:val="21"/>
                <w:highlight w:val="none"/>
                <w14:textFill>
                  <w14:solidFill>
                    <w14:schemeClr w14:val="tx1"/>
                  </w14:solidFill>
                </w14:textFill>
              </w:rPr>
              <m:t>aE</m:t>
            </m:r>
            <m:ctrlPr>
              <w:rPr>
                <w:rFonts w:hint="default" w:ascii="Cambria Math" w:hAnsi="Cambria Math" w:cs="Times New Roman"/>
                <w:i/>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按连接钢筋直径计算</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钢筋连接长度范围内应配置拉筋，同一连接接头内的拉筋配筋面积不应小于连接钢筋的面积</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拉筋沿竖向的间距不应大于水平分布钢筋间距，且不宜大于150mm</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拉筋沿水平方向的</w:t>
      </w:r>
      <w:r>
        <w:rPr>
          <w:rFonts w:hint="default" w:ascii="Times New Roman" w:hAnsi="Times New Roman" w:cs="Times New Roman"/>
          <w:color w:val="000000" w:themeColor="text1"/>
          <w:szCs w:val="21"/>
          <w:highlight w:val="none"/>
          <w:lang w:val="en-US" w:eastAsia="zh-CN"/>
          <w14:textFill>
            <w14:solidFill>
              <w14:schemeClr w14:val="tx1"/>
            </w14:solidFill>
          </w14:textFill>
        </w:rPr>
        <w:t>间</w:t>
      </w:r>
      <w:r>
        <w:rPr>
          <w:rFonts w:hint="default" w:ascii="Times New Roman" w:hAnsi="Times New Roman" w:cs="Times New Roman"/>
          <w:color w:val="000000" w:themeColor="text1"/>
          <w:szCs w:val="21"/>
          <w:highlight w:val="none"/>
          <w14:textFill>
            <w14:solidFill>
              <w14:schemeClr w14:val="tx1"/>
            </w14:solidFill>
          </w14:textFill>
        </w:rPr>
        <w:t>距不应大于竖向分布钢筋间距，直径不应小于6mm</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拉筋应紧靠连接钢筋，并钩住最外层分布钢筋。</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599815" cy="1727200"/>
            <wp:effectExtent l="0" t="0" r="635" b="6350"/>
            <wp:docPr id="4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true"/>
                    </pic:cNvPicPr>
                  </pic:nvPicPr>
                  <pic:blipFill>
                    <a:blip r:embed="rId25"/>
                    <a:stretch>
                      <a:fillRect/>
                    </a:stretch>
                  </pic:blipFill>
                  <pic:spPr>
                    <a:xfrm>
                      <a:off x="0" y="0"/>
                      <a:ext cx="3599815" cy="1727200"/>
                    </a:xfrm>
                    <a:prstGeom prst="rect">
                      <a:avLst/>
                    </a:prstGeom>
                    <a:noFill/>
                    <a:ln>
                      <a:noFill/>
                    </a:ln>
                  </pic:spPr>
                </pic:pic>
              </a:graphicData>
            </a:graphic>
          </wp:inline>
        </w:drawing>
      </w:r>
    </w:p>
    <w:p>
      <w:pPr>
        <w:jc w:val="center"/>
        <w:rPr>
          <w:rFonts w:hint="default" w:ascii="Times New Roman" w:hAnsi="Times New Roman" w:eastAsia="黑体" w:cs="Times New Roman"/>
          <w:color w:val="000000" w:themeColor="text1"/>
          <w:sz w:val="18"/>
          <w:highlight w:val="none"/>
          <w14:textFill>
            <w14:solidFill>
              <w14:schemeClr w14:val="tx1"/>
            </w14:solidFill>
          </w14:textFill>
        </w:rPr>
      </w:pPr>
      <w:r>
        <w:rPr>
          <w:rFonts w:hint="default" w:ascii="Times New Roman" w:hAnsi="Times New Roman" w:eastAsia="黑体" w:cs="Times New Roman"/>
          <w:color w:val="000000" w:themeColor="text1"/>
          <w:sz w:val="18"/>
          <w:highlight w:val="none"/>
          <w14:textFill>
            <w14:solidFill>
              <w14:schemeClr w14:val="tx1"/>
            </w14:solidFill>
          </w14:textFill>
        </w:rPr>
        <w:t>图</w:t>
      </w:r>
      <w:r>
        <w:rPr>
          <w:rFonts w:hint="default" w:ascii="Times New Roman" w:hAnsi="Times New Roman" w:eastAsia="黑体" w:cs="Times New Roman"/>
          <w:b/>
          <w:color w:val="000000" w:themeColor="text1"/>
          <w:sz w:val="18"/>
          <w:highlight w:val="none"/>
          <w14:textFill>
            <w14:solidFill>
              <w14:schemeClr w14:val="tx1"/>
            </w14:solidFill>
          </w14:textFill>
        </w:rPr>
        <w:t>6.</w:t>
      </w:r>
      <w:r>
        <w:rPr>
          <w:rFonts w:hint="default" w:ascii="Times New Roman" w:hAnsi="Times New Roman" w:eastAsia="黑体" w:cs="Times New Roman"/>
          <w:b/>
          <w:color w:val="000000" w:themeColor="text1"/>
          <w:sz w:val="18"/>
          <w:highlight w:val="none"/>
          <w:lang w:val="en-US" w:eastAsia="zh-CN"/>
          <w14:textFill>
            <w14:solidFill>
              <w14:schemeClr w14:val="tx1"/>
            </w14:solidFill>
          </w14:textFill>
        </w:rPr>
        <w:t>4</w:t>
      </w:r>
      <w:r>
        <w:rPr>
          <w:rFonts w:hint="default" w:ascii="Times New Roman" w:hAnsi="Times New Roman" w:eastAsia="黑体" w:cs="Times New Roman"/>
          <w:b/>
          <w:color w:val="000000" w:themeColor="text1"/>
          <w:sz w:val="18"/>
          <w:highlight w:val="none"/>
          <w14:textFill>
            <w14:solidFill>
              <w14:schemeClr w14:val="tx1"/>
            </w14:solidFill>
          </w14:textFill>
        </w:rPr>
        <w:t xml:space="preserve">.3 </w:t>
      </w:r>
      <w:r>
        <w:rPr>
          <w:rFonts w:hint="default" w:ascii="Times New Roman" w:hAnsi="Times New Roman" w:eastAsia="黑体" w:cs="Times New Roman"/>
          <w:color w:val="000000" w:themeColor="text1"/>
          <w:sz w:val="18"/>
          <w:highlight w:val="none"/>
          <w14:textFill>
            <w14:solidFill>
              <w14:schemeClr w14:val="tx1"/>
            </w14:solidFill>
          </w14:textFill>
        </w:rPr>
        <w:t xml:space="preserve"> 竖向分布钢筋单排浆锚搭接连接构造示意</w:t>
      </w:r>
    </w:p>
    <w:p>
      <w:pPr>
        <w:pStyle w:val="45"/>
        <w:ind w:left="360" w:firstLine="0" w:firstLineChars="0"/>
        <w:jc w:val="cente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pPr>
      <w: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t>1-上层预制剪力墙竖向钢筋；2-下层剪力墙连接钢筋；</w:t>
      </w:r>
    </w:p>
    <w:p>
      <w:pPr>
        <w:jc w:val="cente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pPr>
      <w: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t>3-预留灌浆孔道；4-拉筋</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486" w:name="_Toc13340"/>
      <w:bookmarkStart w:id="487" w:name="_Toc27923"/>
      <w:bookmarkStart w:id="488" w:name="_Toc19452"/>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 xml:space="preserve">.4 </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模块化叠合剪力墙结构的墙板底部槽口</w:t>
      </w:r>
      <w:bookmarkEnd w:id="486"/>
      <w:bookmarkEnd w:id="487"/>
      <w:bookmarkEnd w:id="488"/>
      <w:bookmarkStart w:id="489" w:name="_Toc13349"/>
      <w:bookmarkStart w:id="490" w:name="_Toc5920"/>
      <w:r>
        <w:rPr>
          <w:rFonts w:hint="default" w:ascii="Times New Roman" w:hAnsi="Times New Roman" w:cs="Times New Roman"/>
          <w:color w:val="000000" w:themeColor="text1"/>
          <w:szCs w:val="21"/>
          <w:highlight w:val="none"/>
          <w14:textFill>
            <w14:solidFill>
              <w14:schemeClr w14:val="tx1"/>
            </w14:solidFill>
          </w14:textFill>
        </w:rPr>
        <w:t>的粗糙面的面积不宜小于结合面的80%，粗糙面凹凸深度不应小于4mm</w:t>
      </w:r>
      <w:bookmarkEnd w:id="489"/>
      <w:bookmarkEnd w:id="490"/>
      <w:r>
        <w:rPr>
          <w:rFonts w:hint="default" w:ascii="Times New Roman" w:hAnsi="Times New Roman" w:cs="Times New Roman"/>
          <w:color w:val="000000" w:themeColor="text1"/>
          <w:szCs w:val="21"/>
          <w:highlight w:val="none"/>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.5</w:t>
      </w:r>
      <w:r>
        <w:rPr>
          <w:rFonts w:hint="default"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高层模块化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结构的</w:t>
      </w:r>
      <w:r>
        <w:rPr>
          <w:rFonts w:hint="default" w:ascii="Times New Roman" w:hAnsi="Times New Roman" w:cs="Times New Roman"/>
          <w:color w:val="000000" w:themeColor="text1"/>
          <w:szCs w:val="21"/>
          <w:highlight w:val="none"/>
          <w14:textFill>
            <w14:solidFill>
              <w14:schemeClr w14:val="tx1"/>
            </w14:solidFill>
          </w14:textFill>
        </w:rPr>
        <w:t>叠合剪力墙在平面内拼接时（图6.</w:t>
      </w:r>
      <w:r>
        <w:rPr>
          <w:rFonts w:hint="default" w:ascii="Times New Roman" w:hAnsi="Times New Roman" w:cs="Times New Roman"/>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.5），宜设置宽度不小于墙厚且不小于200mm的后浇连接段，并满足以下</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91" w:name="_Toc4773"/>
      <w:bookmarkStart w:id="492" w:name="_Toc8126"/>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后浇段内应设置暗柱，暗柱中的竖向钢筋直径和配筋率均不应小于叶板中竖向分布筋且不少于4根，箍筋直径不小于6mm、间距不大于200mm</w:t>
      </w:r>
      <w:bookmarkEnd w:id="491"/>
      <w:bookmarkEnd w:id="492"/>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93" w:name="_Toc3622"/>
      <w:bookmarkStart w:id="494" w:name="_Toc5736"/>
      <w:bookmarkStart w:id="495" w:name="_Toc11810"/>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两侧叠合剪力墙与后浇连接段之间应采用水平连接钢筋连接</w:t>
      </w:r>
      <w:bookmarkEnd w:id="493"/>
      <w:bookmarkEnd w:id="494"/>
      <w:bookmarkEnd w:id="495"/>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96" w:name="_Toc20036"/>
      <w:bookmarkStart w:id="497" w:name="_Toc32549"/>
      <w:bookmarkStart w:id="498" w:name="_Toc17343"/>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水平连接钢筋在叠合剪力墙中的锚固长度不应小于</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l</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aE</m:t>
            </m:r>
            <w:bookmarkEnd w:id="496"/>
            <w:bookmarkEnd w:id="497"/>
            <w:bookmarkEnd w:id="498"/>
            <m:ctrlPr>
              <w:rPr>
                <w:rFonts w:hint="default" w:ascii="Cambria Math" w:hAnsi="Cambria Math" w:cs="Times New Roman"/>
                <w:i/>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499" w:name="_Toc3755"/>
      <w:bookmarkStart w:id="500" w:name="_Toc14484"/>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水平连接钢筋的间距不大于叶板中水平分布钢筋的间距，且不宜大于200mm；水平连接钢筋的直径不应小于叶板中水平分布钢筋的直径。</w:t>
      </w:r>
      <w:bookmarkEnd w:id="499"/>
      <w:bookmarkEnd w:id="500"/>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480"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2182495" cy="929005"/>
                  <wp:effectExtent l="0" t="0" r="1905" b="10795"/>
                  <wp:docPr id="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true"/>
                          </pic:cNvPicPr>
                        </pic:nvPicPr>
                        <pic:blipFill>
                          <a:blip r:embed="rId26"/>
                          <a:stretch>
                            <a:fillRect/>
                          </a:stretch>
                        </pic:blipFill>
                        <pic:spPr>
                          <a:xfrm>
                            <a:off x="0" y="0"/>
                            <a:ext cx="2182495" cy="929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480" w:type="dxa"/>
          </w:tcPr>
          <w:p>
            <w:pPr>
              <w:widowControl/>
              <w:spacing w:line="360" w:lineRule="exact"/>
              <w:jc w:val="center"/>
              <w:outlineLvl w:val="1"/>
              <w:rPr>
                <w:rFonts w:hint="default" w:ascii="Times New Roman" w:hAnsi="Times New Roman" w:cs="Times New Roman"/>
                <w:bCs/>
                <w:color w:val="000000" w:themeColor="text1"/>
                <w:szCs w:val="21"/>
                <w:highlight w:val="none"/>
                <w14:textFill>
                  <w14:solidFill>
                    <w14:schemeClr w14:val="tx1"/>
                  </w14:solidFill>
                </w14:textFill>
              </w:rPr>
            </w:pPr>
            <w:bookmarkStart w:id="501" w:name="_Toc21711"/>
            <w:bookmarkStart w:id="502" w:name="_Toc10695"/>
            <w:bookmarkStart w:id="503" w:name="_Toc19642"/>
            <w:bookmarkStart w:id="504" w:name="_Toc28950"/>
            <w:bookmarkStart w:id="505" w:name="_Toc24262"/>
            <w:bookmarkStart w:id="506" w:name="_Toc15244"/>
            <w:bookmarkStart w:id="507" w:name="_Toc559"/>
            <w:bookmarkStart w:id="508" w:name="_Toc21880"/>
            <w:bookmarkStart w:id="509" w:name="_Toc16581"/>
            <w:bookmarkStart w:id="510" w:name="_Toc24644"/>
            <w:bookmarkStart w:id="511" w:name="_Toc25644"/>
            <w:bookmarkStart w:id="512" w:name="_Toc23682"/>
            <w:bookmarkStart w:id="513" w:name="_Toc32406"/>
            <w:bookmarkStart w:id="514" w:name="_Toc14578"/>
            <w:r>
              <w:rPr>
                <w:rFonts w:hint="default" w:ascii="Times New Roman" w:hAnsi="Times New Roman" w:eastAsia="黑体" w:cs="Times New Roman"/>
                <w:color w:val="000000" w:themeColor="text1"/>
                <w:kern w:val="0"/>
                <w:sz w:val="18"/>
                <w:szCs w:val="18"/>
                <w:highlight w:val="none"/>
                <w:lang w:bidi="ar"/>
                <w14:textFill>
                  <w14:solidFill>
                    <w14:schemeClr w14:val="tx1"/>
                  </w14:solidFill>
                </w14:textFill>
              </w:rPr>
              <w:t>图6.</w:t>
            </w:r>
            <w:r>
              <w:rPr>
                <w:rFonts w:hint="default" w:ascii="Times New Roman" w:hAnsi="Times New Roman" w:eastAsia="黑体" w:cs="Times New Roman"/>
                <w:color w:val="000000" w:themeColor="text1"/>
                <w:kern w:val="0"/>
                <w:sz w:val="18"/>
                <w:szCs w:val="18"/>
                <w:highlight w:val="none"/>
                <w:lang w:val="en-US" w:eastAsia="zh-CN" w:bidi="ar"/>
                <w14:textFill>
                  <w14:solidFill>
                    <w14:schemeClr w14:val="tx1"/>
                  </w14:solidFill>
                </w14:textFill>
              </w:rPr>
              <w:t>4</w:t>
            </w:r>
            <w:r>
              <w:rPr>
                <w:rFonts w:hint="default" w:ascii="Times New Roman" w:hAnsi="Times New Roman" w:eastAsia="黑体" w:cs="Times New Roman"/>
                <w:color w:val="000000" w:themeColor="text1"/>
                <w:kern w:val="0"/>
                <w:sz w:val="18"/>
                <w:szCs w:val="18"/>
                <w:highlight w:val="none"/>
                <w:lang w:bidi="ar"/>
                <w14:textFill>
                  <w14:solidFill>
                    <w14:schemeClr w14:val="tx1"/>
                  </w14:solidFill>
                </w14:textFill>
              </w:rPr>
              <w:t>.5叠合剪力墙接长连接构造</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480" w:type="dxa"/>
          </w:tcPr>
          <w:p>
            <w:pPr>
              <w:widowControl/>
              <w:spacing w:line="36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18"/>
                <w:highlight w:val="none"/>
                <w:lang w:bidi="ar"/>
                <w14:textFill>
                  <w14:solidFill>
                    <w14:schemeClr w14:val="tx1"/>
                  </w14:solidFill>
                </w14:textFill>
              </w:rPr>
              <w:t>1—预制部分；2—后浇部分；3—水平连接钢筋；4—后浇连接段</w:t>
            </w:r>
          </w:p>
        </w:tc>
      </w:tr>
    </w:tbl>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515" w:name="_Toc508"/>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 xml:space="preserve">.6 </w:t>
      </w:r>
      <w:r>
        <w:rPr>
          <w:rFonts w:hint="default" w:ascii="Times New Roman" w:hAnsi="Times New Roman" w:cs="Times New Roman"/>
          <w:color w:val="000000" w:themeColor="text1"/>
          <w:szCs w:val="21"/>
          <w:highlight w:val="none"/>
          <w14:textFill>
            <w14:solidFill>
              <w14:schemeClr w14:val="tx1"/>
            </w14:solidFill>
          </w14:textFill>
        </w:rPr>
        <w:t>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叠合</w:t>
      </w:r>
      <w:r>
        <w:rPr>
          <w:rFonts w:hint="default" w:ascii="Times New Roman" w:hAnsi="Times New Roman" w:cs="Times New Roman"/>
          <w:color w:val="000000" w:themeColor="text1"/>
          <w:szCs w:val="21"/>
          <w:highlight w:val="none"/>
          <w14:textFill>
            <w14:solidFill>
              <w14:schemeClr w14:val="tx1"/>
            </w14:solidFill>
          </w14:textFill>
        </w:rPr>
        <w:t>剪力墙结构</w:t>
      </w:r>
      <w:r>
        <w:rPr>
          <w:rFonts w:hint="default" w:ascii="Times New Roman" w:hAnsi="Times New Roman" w:cs="Times New Roman"/>
          <w:color w:val="000000" w:themeColor="text1"/>
          <w:szCs w:val="21"/>
          <w:highlight w:val="none"/>
          <w:lang w:val="en-US" w:eastAsia="zh-CN"/>
          <w14:textFill>
            <w14:solidFill>
              <w14:schemeClr w14:val="tx1"/>
            </w14:solidFill>
          </w14:textFill>
        </w:rPr>
        <w:t>的</w:t>
      </w:r>
      <w:r>
        <w:rPr>
          <w:rFonts w:hint="default" w:ascii="Times New Roman" w:hAnsi="Times New Roman" w:cs="Times New Roman"/>
          <w:color w:val="000000" w:themeColor="text1"/>
          <w:szCs w:val="21"/>
          <w:highlight w:val="none"/>
          <w14:textFill>
            <w14:solidFill>
              <w14:schemeClr w14:val="tx1"/>
            </w14:solidFill>
          </w14:textFill>
        </w:rPr>
        <w:t>约束边缘构件与</w:t>
      </w:r>
      <w:r>
        <w:rPr>
          <w:rFonts w:hint="default" w:ascii="Times New Roman" w:hAnsi="Times New Roman" w:cs="Times New Roman"/>
          <w:color w:val="000000" w:themeColor="text1"/>
          <w:szCs w:val="21"/>
          <w:highlight w:val="none"/>
          <w:lang w:val="en-US" w:eastAsia="zh-CN"/>
          <w14:textFill>
            <w14:solidFill>
              <w14:schemeClr w14:val="tx1"/>
            </w14:solidFill>
          </w14:textFill>
        </w:rPr>
        <w:t>双面</w:t>
      </w:r>
      <w:r>
        <w:rPr>
          <w:rFonts w:hint="default" w:ascii="Times New Roman" w:hAnsi="Times New Roman" w:cs="Times New Roman"/>
          <w:color w:val="000000" w:themeColor="text1"/>
          <w:szCs w:val="21"/>
          <w:highlight w:val="none"/>
          <w14:textFill>
            <w14:solidFill>
              <w14:schemeClr w14:val="tx1"/>
            </w14:solidFill>
          </w14:textFill>
        </w:rPr>
        <w:t>叠合剪力墙</w:t>
      </w:r>
      <w:r>
        <w:rPr>
          <w:rFonts w:hint="default" w:ascii="Times New Roman" w:hAnsi="Times New Roman" w:cs="Times New Roman"/>
          <w:color w:val="000000" w:themeColor="text1"/>
          <w:szCs w:val="21"/>
          <w:highlight w:val="none"/>
          <w:lang w:val="en-US" w:eastAsia="zh-CN"/>
          <w14:textFill>
            <w14:solidFill>
              <w14:schemeClr w14:val="tx1"/>
            </w14:solidFill>
          </w14:textFill>
        </w:rPr>
        <w:t>或预制空心剪力墙</w:t>
      </w:r>
      <w:r>
        <w:rPr>
          <w:rFonts w:hint="default" w:ascii="Times New Roman" w:hAnsi="Times New Roman" w:cs="Times New Roman"/>
          <w:color w:val="000000" w:themeColor="text1"/>
          <w:szCs w:val="21"/>
          <w:highlight w:val="none"/>
          <w14:textFill>
            <w14:solidFill>
              <w14:schemeClr w14:val="tx1"/>
            </w14:solidFill>
          </w14:textFill>
        </w:rPr>
        <w:t>连接构造应满足以下</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w:t>
      </w:r>
      <w:bookmarkEnd w:id="515"/>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516" w:name="_Toc4817"/>
      <w:bookmarkStart w:id="517" w:name="_Toc12820"/>
      <w:bookmarkStart w:id="518" w:name="_Toc18492"/>
      <w:bookmarkStart w:id="519" w:name="_Toc2839"/>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约束边缘构件阴影区可采用叠合边缘构件或预制空心边缘构件</w:t>
      </w:r>
      <w:bookmarkEnd w:id="516"/>
      <w:bookmarkEnd w:id="517"/>
      <w:bookmarkEnd w:id="518"/>
      <w:bookmarkEnd w:id="519"/>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520" w:name="_Toc28918"/>
      <w:bookmarkStart w:id="521" w:name="_Toc2509"/>
      <w:bookmarkStart w:id="522" w:name="_Toc24291"/>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预制空心边缘构件中金属波纹管厚度不应小于0.4mm，波纹管内径不宜小于100mm；纵筋</w:t>
      </w:r>
      <w:r>
        <w:rPr>
          <w:rFonts w:hint="eastAsia" w:cs="Times New Roman"/>
          <w:color w:val="000000" w:themeColor="text1"/>
          <w:szCs w:val="21"/>
          <w:highlight w:val="none"/>
          <w:lang w:val="en-US" w:eastAsia="zh-CN"/>
          <w14:textFill>
            <w14:solidFill>
              <w14:schemeClr w14:val="tx1"/>
            </w14:solidFill>
          </w14:textFill>
        </w:rPr>
        <w:t>可按构造要求设置，竖向间距不宜大于300mm，且</w:t>
      </w:r>
      <w:r>
        <w:rPr>
          <w:rFonts w:hint="default" w:ascii="Times New Roman" w:hAnsi="Times New Roman" w:cs="Times New Roman"/>
          <w:color w:val="000000" w:themeColor="text1"/>
          <w:szCs w:val="21"/>
          <w:highlight w:val="none"/>
          <w14:textFill>
            <w14:solidFill>
              <w14:schemeClr w14:val="tx1"/>
            </w14:solidFill>
          </w14:textFill>
        </w:rPr>
        <w:t>直径不宜小于8mm</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箍筋直径不应小于8mm，间距不</w:t>
      </w:r>
      <w:r>
        <w:rPr>
          <w:rFonts w:hint="eastAsia" w:cs="Times New Roman"/>
          <w:color w:val="000000" w:themeColor="text1"/>
          <w:szCs w:val="21"/>
          <w:highlight w:val="none"/>
          <w:lang w:val="en-US" w:eastAsia="zh-CN"/>
          <w14:textFill>
            <w14:solidFill>
              <w14:schemeClr w14:val="tx1"/>
            </w14:solidFill>
          </w14:textFill>
        </w:rPr>
        <w:t>宜</w:t>
      </w:r>
      <w:r>
        <w:rPr>
          <w:rFonts w:hint="default" w:ascii="Times New Roman" w:hAnsi="Times New Roman" w:cs="Times New Roman"/>
          <w:color w:val="000000" w:themeColor="text1"/>
          <w:szCs w:val="21"/>
          <w:highlight w:val="none"/>
          <w14:textFill>
            <w14:solidFill>
              <w14:schemeClr w14:val="tx1"/>
            </w14:solidFill>
          </w14:textFill>
        </w:rPr>
        <w:t>大于100mm</w:t>
      </w:r>
      <w:bookmarkEnd w:id="520"/>
      <w:bookmarkEnd w:id="521"/>
      <w:bookmarkEnd w:id="52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523" w:name="_Toc27190"/>
      <w:bookmarkStart w:id="524" w:name="_Toc10896"/>
      <w:bookmarkStart w:id="525" w:name="_Toc10976"/>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叠合约束边缘构件厚度不应小于50mm，并应设置封闭箍筋</w:t>
      </w:r>
      <w:bookmarkEnd w:id="523"/>
      <w:bookmarkEnd w:id="524"/>
      <w:bookmarkEnd w:id="525"/>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526" w:name="_Toc2580"/>
      <w:bookmarkStart w:id="527" w:name="_Toc13615"/>
      <w:bookmarkStart w:id="528" w:name="_Toc667"/>
      <w:bookmarkStart w:id="529" w:name="_Toc24520"/>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叠合约束边缘构件与现浇混凝土结合面应设置深度不小于4mm的粗糙面</w:t>
      </w:r>
      <w:bookmarkEnd w:id="526"/>
      <w:bookmarkEnd w:id="527"/>
      <w:bookmarkEnd w:id="528"/>
      <w:bookmarkEnd w:id="529"/>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530" w:name="_Toc24699"/>
      <w:bookmarkStart w:id="531" w:name="_Toc14874"/>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约束边缘构件非阴影区域的拉筋可由叠合剪力墙内的桁架钢筋代替。</w:t>
      </w:r>
      <w:bookmarkEnd w:id="530"/>
      <w:bookmarkEnd w:id="531"/>
    </w:p>
    <w:p>
      <w:pPr>
        <w:widowControl/>
        <w:spacing w:line="360" w:lineRule="exact"/>
        <w:ind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w:t>
      </w:r>
      <w:r>
        <w:rPr>
          <w:rFonts w:hint="default" w:ascii="Times New Roman" w:hAnsi="Times New Roman" w:cs="Times New Roman"/>
          <w:b/>
          <w:color w:val="000000" w:themeColor="text1"/>
          <w:szCs w:val="21"/>
          <w:highlight w:val="none"/>
          <w:lang w:val="en-US" w:eastAsia="zh-CN"/>
          <w14:textFill>
            <w14:solidFill>
              <w14:schemeClr w14:val="tx1"/>
            </w14:solidFill>
          </w14:textFill>
        </w:rPr>
        <w:t>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叠合</w:t>
      </w:r>
      <w:r>
        <w:rPr>
          <w:rFonts w:hint="default" w:ascii="Times New Roman" w:hAnsi="Times New Roman" w:cs="Times New Roman"/>
          <w:color w:val="000000" w:themeColor="text1"/>
          <w:szCs w:val="21"/>
          <w:highlight w:val="none"/>
          <w14:textFill>
            <w14:solidFill>
              <w14:schemeClr w14:val="tx1"/>
            </w14:solidFill>
          </w14:textFill>
        </w:rPr>
        <w:t>剪力墙结构</w:t>
      </w:r>
      <w:r>
        <w:rPr>
          <w:rFonts w:hint="default" w:ascii="Times New Roman" w:hAnsi="Times New Roman" w:cs="Times New Roman"/>
          <w:color w:val="000000" w:themeColor="text1"/>
          <w:szCs w:val="21"/>
          <w:highlight w:val="none"/>
          <w:lang w:val="en-US" w:eastAsia="zh-CN"/>
          <w14:textFill>
            <w14:solidFill>
              <w14:schemeClr w14:val="tx1"/>
            </w14:solidFill>
          </w14:textFill>
        </w:rPr>
        <w:t>的内墙采用组合式</w:t>
      </w:r>
      <w:r>
        <w:rPr>
          <w:rFonts w:hint="default" w:ascii="Times New Roman" w:hAnsi="Times New Roman" w:cs="Times New Roman"/>
          <w:color w:val="000000" w:themeColor="text1"/>
          <w:szCs w:val="21"/>
          <w:highlight w:val="none"/>
          <w14:textFill>
            <w14:solidFill>
              <w14:schemeClr w14:val="tx1"/>
            </w14:solidFill>
          </w14:textFill>
        </w:rPr>
        <w:t>叠合剪力墙</w:t>
      </w:r>
      <w:r>
        <w:rPr>
          <w:rFonts w:hint="default" w:ascii="Times New Roman" w:hAnsi="Times New Roman" w:cs="Times New Roman"/>
          <w:color w:val="000000" w:themeColor="text1"/>
          <w:szCs w:val="21"/>
          <w:highlight w:val="none"/>
          <w:lang w:val="en-US" w:eastAsia="zh-CN"/>
          <w14:textFill>
            <w14:solidFill>
              <w14:schemeClr w14:val="tx1"/>
            </w14:solidFill>
          </w14:textFill>
        </w:rPr>
        <w:t>时</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其构造</w:t>
      </w:r>
      <w:r>
        <w:rPr>
          <w:rFonts w:hint="default" w:ascii="Times New Roman" w:hAnsi="Times New Roman" w:cs="Times New Roman"/>
          <w:color w:val="000000" w:themeColor="text1"/>
          <w:szCs w:val="21"/>
          <w:highlight w:val="none"/>
          <w14:textFill>
            <w14:solidFill>
              <w14:schemeClr w14:val="tx1"/>
            </w14:solidFill>
          </w14:textFill>
        </w:rPr>
        <w:t>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单侧叶板的厚度不宜小于50mm，叶板与现浇混凝土的结合面</w:t>
      </w:r>
      <w:r>
        <w:rPr>
          <w:rFonts w:hint="default" w:ascii="Times New Roman" w:hAnsi="Times New Roman" w:cs="Times New Roman"/>
          <w:color w:val="000000" w:themeColor="text1"/>
          <w:szCs w:val="21"/>
          <w:highlight w:val="none"/>
          <w14:textFill>
            <w14:solidFill>
              <w14:schemeClr w14:val="tx1"/>
            </w14:solidFill>
          </w14:textFill>
        </w:rPr>
        <w:t>应设置深度不小于4mm的粗糙面</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叶板与现浇混凝土的结合面</w:t>
      </w:r>
      <w:r>
        <w:rPr>
          <w:rFonts w:hint="default" w:ascii="Times New Roman" w:hAnsi="Times New Roman" w:cs="Times New Roman"/>
          <w:color w:val="000000" w:themeColor="text1"/>
          <w:szCs w:val="21"/>
          <w:highlight w:val="none"/>
          <w14:textFill>
            <w14:solidFill>
              <w14:schemeClr w14:val="tx1"/>
            </w14:solidFill>
          </w14:textFill>
        </w:rPr>
        <w:t>应</w:t>
      </w:r>
      <w:r>
        <w:rPr>
          <w:rFonts w:hint="default" w:ascii="Times New Roman" w:hAnsi="Times New Roman" w:cs="Times New Roman"/>
          <w:color w:val="000000" w:themeColor="text1"/>
          <w:szCs w:val="21"/>
          <w:highlight w:val="none"/>
          <w:lang w:val="en-US" w:eastAsia="zh-CN"/>
          <w14:textFill>
            <w14:solidFill>
              <w14:schemeClr w14:val="tx1"/>
            </w14:solidFill>
          </w14:textFill>
        </w:rPr>
        <w:t>设置封闭钢筋环，钢筋环直径不应小于6mm，钢筋环净间距不宜大于2倍墙身分布钢筋间距</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叶板底部第一道钢筋环的间距不应大于竖向分布钢筋间距，且钢筋环底部距叶板底部距离不宜大于100。</w:t>
      </w:r>
    </w:p>
    <w:p>
      <w:pPr>
        <w:widowControl/>
        <w:spacing w:line="360" w:lineRule="exact"/>
        <w:ind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w:t>
      </w:r>
      <w:r>
        <w:rPr>
          <w:rFonts w:hint="default" w:ascii="Times New Roman" w:hAnsi="Times New Roman" w:cs="Times New Roman"/>
          <w:b/>
          <w:color w:val="000000" w:themeColor="text1"/>
          <w:szCs w:val="21"/>
          <w:highlight w:val="none"/>
          <w:lang w:val="en-US" w:eastAsia="zh-CN"/>
          <w14:textFill>
            <w14:solidFill>
              <w14:schemeClr w14:val="tx1"/>
            </w14:solidFill>
          </w14:textFill>
        </w:rPr>
        <w:t>8</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叠合</w:t>
      </w:r>
      <w:r>
        <w:rPr>
          <w:rFonts w:hint="default" w:ascii="Times New Roman" w:hAnsi="Times New Roman" w:cs="Times New Roman"/>
          <w:color w:val="000000" w:themeColor="text1"/>
          <w:szCs w:val="21"/>
          <w:highlight w:val="none"/>
          <w14:textFill>
            <w14:solidFill>
              <w14:schemeClr w14:val="tx1"/>
            </w14:solidFill>
          </w14:textFill>
        </w:rPr>
        <w:t>剪力墙结构</w:t>
      </w:r>
      <w:r>
        <w:rPr>
          <w:rFonts w:hint="default" w:ascii="Times New Roman" w:hAnsi="Times New Roman" w:cs="Times New Roman"/>
          <w:color w:val="000000" w:themeColor="text1"/>
          <w:szCs w:val="21"/>
          <w:highlight w:val="none"/>
          <w:lang w:val="en-US" w:eastAsia="zh-CN"/>
          <w14:textFill>
            <w14:solidFill>
              <w14:schemeClr w14:val="tx1"/>
            </w14:solidFill>
          </w14:textFill>
        </w:rPr>
        <w:t>的双面</w:t>
      </w:r>
      <w:r>
        <w:rPr>
          <w:rFonts w:hint="default" w:ascii="Times New Roman" w:hAnsi="Times New Roman" w:cs="Times New Roman"/>
          <w:color w:val="000000" w:themeColor="text1"/>
          <w:szCs w:val="21"/>
          <w:highlight w:val="none"/>
          <w14:textFill>
            <w14:solidFill>
              <w14:schemeClr w14:val="tx1"/>
            </w14:solidFill>
          </w14:textFill>
        </w:rPr>
        <w:t>叠合剪力墙</w:t>
      </w:r>
      <w:r>
        <w:rPr>
          <w:rFonts w:hint="default" w:ascii="Times New Roman" w:hAnsi="Times New Roman" w:cs="Times New Roman"/>
          <w:color w:val="000000" w:themeColor="text1"/>
          <w:szCs w:val="21"/>
          <w:highlight w:val="none"/>
          <w:lang w:val="en-US" w:eastAsia="zh-CN"/>
          <w14:textFill>
            <w14:solidFill>
              <w14:schemeClr w14:val="tx1"/>
            </w14:solidFill>
          </w14:textFill>
        </w:rPr>
        <w:t>和预制空心剪力墙竖向</w:t>
      </w:r>
      <w:r>
        <w:rPr>
          <w:rFonts w:hint="default" w:ascii="Times New Roman" w:hAnsi="Times New Roman" w:cs="Times New Roman"/>
          <w:color w:val="000000" w:themeColor="text1"/>
          <w:szCs w:val="21"/>
          <w:highlight w:val="none"/>
          <w14:textFill>
            <w14:solidFill>
              <w14:schemeClr w14:val="tx1"/>
            </w14:solidFill>
          </w14:textFill>
        </w:rPr>
        <w:t>连接采用不出筋开槽</w:t>
      </w:r>
      <w:r>
        <w:rPr>
          <w:rFonts w:hint="default" w:ascii="Times New Roman" w:hAnsi="Times New Roman" w:cs="Times New Roman"/>
          <w:color w:val="000000" w:themeColor="text1"/>
          <w:szCs w:val="21"/>
          <w:highlight w:val="none"/>
          <w:lang w:val="en-US" w:eastAsia="zh-CN"/>
          <w14:textFill>
            <w14:solidFill>
              <w14:schemeClr w14:val="tx1"/>
            </w14:solidFill>
          </w14:textFill>
        </w:rPr>
        <w:t>连接</w:t>
      </w:r>
      <w:r>
        <w:rPr>
          <w:rFonts w:hint="default" w:ascii="Times New Roman" w:hAnsi="Times New Roman" w:cs="Times New Roman"/>
          <w:color w:val="000000" w:themeColor="text1"/>
          <w:szCs w:val="21"/>
          <w:highlight w:val="none"/>
          <w14:textFill>
            <w14:solidFill>
              <w14:schemeClr w14:val="tx1"/>
            </w14:solidFill>
          </w14:textFill>
        </w:rPr>
        <w:t>时，应符合下列规定：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墙底槽口的间距宜与墙身竖向分布钢筋相同</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墙底槽口的宽度不应小于竖向连接钢筋的直径d+30mm，槽口的长度应满足竖向连接钢筋锚固长度要求</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3 </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墙底槽口的深度宜取</w:t>
      </w:r>
      <m:oMath>
        <m:sSub>
          <m:sSubPr>
            <m:ctrlPr>
              <w:rPr>
                <w:rFonts w:hint="default" w:ascii="Cambria Math" w:hAnsi="Cambria Math" w:cs="Times New Roman"/>
                <w:i w:val="0"/>
                <w:color w:val="000000" w:themeColor="text1"/>
                <w:szCs w:val="21"/>
                <w:highlight w:val="none"/>
                <w:lang w:val="en-US"/>
                <w14:textFill>
                  <w14:solidFill>
                    <w14:schemeClr w14:val="tx1"/>
                  </w14:solidFill>
                </w14:textFill>
              </w:rPr>
            </m:ctrlPr>
          </m:sSubPr>
          <m:e>
            <m:r>
              <m:rPr>
                <m:sty m:val="p"/>
              </m:rPr>
              <w:rPr>
                <w:rFonts w:hint="default" w:ascii="Cambria Math" w:hAnsi="Cambria Math" w:cs="Times New Roman"/>
                <w:color w:val="000000" w:themeColor="text1"/>
                <w:szCs w:val="21"/>
                <w:highlight w:val="none"/>
                <w:lang w:val="en-US" w:eastAsia="zh-CN"/>
                <w14:textFill>
                  <w14:solidFill>
                    <w14:schemeClr w14:val="tx1"/>
                  </w14:solidFill>
                </w14:textFill>
              </w:rPr>
              <m:t>t</m:t>
            </m:r>
            <m:ctrlPr>
              <w:rPr>
                <w:rFonts w:hint="default" w:ascii="Cambria Math" w:hAnsi="Cambria Math" w:cs="Times New Roman"/>
                <w:i w:val="0"/>
                <w:color w:val="000000" w:themeColor="text1"/>
                <w:szCs w:val="21"/>
                <w:highlight w:val="none"/>
                <w:lang w:val="en-US"/>
                <w14:textFill>
                  <w14:solidFill>
                    <w14:schemeClr w14:val="tx1"/>
                  </w14:solidFill>
                </w14:textFill>
              </w:rPr>
            </m:ctrlPr>
          </m:e>
          <m:sub>
            <m:r>
              <m:rPr>
                <m:sty m:val="p"/>
              </m:rPr>
              <w:rPr>
                <w:rFonts w:hint="default" w:ascii="Cambria Math" w:hAnsi="Cambria Math" w:cs="Times New Roman"/>
                <w:color w:val="000000" w:themeColor="text1"/>
                <w:szCs w:val="21"/>
                <w:highlight w:val="none"/>
                <w:lang w:val="en-US" w:eastAsia="zh-CN"/>
                <w14:textFill>
                  <w14:solidFill>
                    <w14:schemeClr w14:val="tx1"/>
                  </w14:solidFill>
                </w14:textFill>
              </w:rPr>
              <m:t>s</m:t>
            </m:r>
            <m:ctrlPr>
              <w:rPr>
                <w:rFonts w:hint="default" w:ascii="Cambria Math" w:hAnsi="Cambria Math" w:cs="Times New Roman"/>
                <w:i w:val="0"/>
                <w:color w:val="000000" w:themeColor="text1"/>
                <w:szCs w:val="21"/>
                <w:highlight w:val="none"/>
                <w:lang w:val="en-US"/>
                <w14:textFill>
                  <w14:solidFill>
                    <w14:schemeClr w14:val="tx1"/>
                  </w14:solidFill>
                </w14:textFill>
              </w:rPr>
            </m:ctrlPr>
          </m:sub>
        </m:sSub>
      </m:oMath>
      <w:r>
        <w:rPr>
          <w:rFonts w:hint="default" w:ascii="Times New Roman" w:hAnsi="Times New Roman" w:cs="Times New Roman"/>
          <w:color w:val="000000" w:themeColor="text1"/>
          <w:szCs w:val="21"/>
          <w:highlight w:val="none"/>
          <w:lang w:val="en-US" w:eastAsia="zh-CN"/>
          <w14:textFill>
            <w14:solidFill>
              <w14:schemeClr w14:val="tx1"/>
            </w14:solidFill>
          </w14:textFill>
        </w:rPr>
        <w:t>-20mm，</w:t>
      </w:r>
      <m:oMath>
        <m:sSub>
          <m:sSubPr>
            <m:ctrlPr>
              <w:rPr>
                <w:rFonts w:hint="default" w:ascii="Cambria Math" w:hAnsi="Cambria Math" w:cs="Times New Roman"/>
                <w:i w:val="0"/>
                <w:color w:val="000000" w:themeColor="text1"/>
                <w:szCs w:val="21"/>
                <w:highlight w:val="none"/>
                <w:lang w:val="en-US"/>
                <w14:textFill>
                  <w14:solidFill>
                    <w14:schemeClr w14:val="tx1"/>
                  </w14:solidFill>
                </w14:textFill>
              </w:rPr>
            </m:ctrlPr>
          </m:sSubPr>
          <m:e>
            <m:r>
              <m:rPr>
                <m:sty m:val="p"/>
              </m:rPr>
              <w:rPr>
                <w:rFonts w:hint="default" w:ascii="Cambria Math" w:hAnsi="Cambria Math" w:cs="Times New Roman"/>
                <w:color w:val="000000" w:themeColor="text1"/>
                <w:szCs w:val="21"/>
                <w:highlight w:val="none"/>
                <w:lang w:val="en-US" w:eastAsia="zh-CN"/>
                <w14:textFill>
                  <w14:solidFill>
                    <w14:schemeClr w14:val="tx1"/>
                  </w14:solidFill>
                </w14:textFill>
              </w:rPr>
              <m:t>t</m:t>
            </m:r>
            <m:ctrlPr>
              <w:rPr>
                <w:rFonts w:hint="default" w:ascii="Cambria Math" w:hAnsi="Cambria Math" w:cs="Times New Roman"/>
                <w:i w:val="0"/>
                <w:color w:val="000000" w:themeColor="text1"/>
                <w:szCs w:val="21"/>
                <w:highlight w:val="none"/>
                <w:lang w:val="en-US"/>
                <w14:textFill>
                  <w14:solidFill>
                    <w14:schemeClr w14:val="tx1"/>
                  </w14:solidFill>
                </w14:textFill>
              </w:rPr>
            </m:ctrlPr>
          </m:e>
          <m:sub>
            <m:r>
              <m:rPr>
                <m:sty m:val="p"/>
              </m:rPr>
              <w:rPr>
                <w:rFonts w:hint="default" w:ascii="Cambria Math" w:hAnsi="Cambria Math" w:cs="Times New Roman"/>
                <w:color w:val="000000" w:themeColor="text1"/>
                <w:szCs w:val="21"/>
                <w:highlight w:val="none"/>
                <w:lang w:val="en-US" w:eastAsia="zh-CN"/>
                <w14:textFill>
                  <w14:solidFill>
                    <w14:schemeClr w14:val="tx1"/>
                  </w14:solidFill>
                </w14:textFill>
              </w:rPr>
              <m:t>s</m:t>
            </m:r>
            <m:ctrlPr>
              <w:rPr>
                <w:rFonts w:hint="default" w:ascii="Cambria Math" w:hAnsi="Cambria Math" w:cs="Times New Roman"/>
                <w:i w:val="0"/>
                <w:color w:val="000000" w:themeColor="text1"/>
                <w:szCs w:val="21"/>
                <w:highlight w:val="none"/>
                <w:lang w:val="en-US"/>
                <w14:textFill>
                  <w14:solidFill>
                    <w14:schemeClr w14:val="tx1"/>
                  </w14:solidFill>
                </w14:textFill>
              </w:rPr>
            </m:ctrlPr>
          </m:sub>
        </m:sSub>
      </m:oMath>
      <w:r>
        <w:rPr>
          <w:rFonts w:hint="default" w:ascii="Times New Roman" w:hAnsi="Times New Roman" w:cs="Times New Roman"/>
          <w:i w:val="0"/>
          <w:color w:val="000000" w:themeColor="text1"/>
          <w:szCs w:val="21"/>
          <w:highlight w:val="none"/>
          <w:lang w:val="en-US" w:eastAsia="zh-CN"/>
          <w14:textFill>
            <w14:solidFill>
              <w14:schemeClr w14:val="tx1"/>
            </w14:solidFill>
          </w14:textFill>
        </w:rPr>
        <w:t>为</w:t>
      </w:r>
      <w:r>
        <w:rPr>
          <w:rFonts w:hint="default" w:ascii="Times New Roman" w:hAnsi="Times New Roman" w:cs="Times New Roman"/>
          <w:color w:val="000000" w:themeColor="text1"/>
          <w:szCs w:val="21"/>
          <w:highlight w:val="none"/>
          <w:lang w:val="en-US" w:eastAsia="zh-CN"/>
          <w14:textFill>
            <w14:solidFill>
              <w14:schemeClr w14:val="tx1"/>
            </w14:solidFill>
          </w14:textFill>
        </w:rPr>
        <w:t>单侧墙板厚度</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w:t>
      </w:r>
      <w:r>
        <w:rPr>
          <w:rFonts w:hint="default" w:ascii="Times New Roman" w:hAnsi="Times New Roman" w:cs="Times New Roman"/>
          <w:b/>
          <w:color w:val="000000" w:themeColor="text1"/>
          <w:szCs w:val="21"/>
          <w:highlight w:val="none"/>
          <w:lang w:val="en-US" w:eastAsia="zh-CN"/>
          <w14:textFill>
            <w14:solidFill>
              <w14:schemeClr w14:val="tx1"/>
            </w14:solidFill>
          </w14:textFill>
        </w:rPr>
        <w:t>9</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模块化混凝土结构的楼盖宜采用叠合楼盖，叠合板的设计应符合现行国家标准《</w:t>
      </w:r>
      <w:r>
        <w:rPr>
          <w:rFonts w:hint="default" w:ascii="Times New Roman" w:hAnsi="Times New Roman" w:cs="Times New Roman"/>
          <w:color w:val="000000" w:themeColor="text1"/>
          <w:szCs w:val="21"/>
          <w:highlight w:val="none"/>
          <w:lang w:eastAsia="zh-CN"/>
          <w14:textFill>
            <w14:solidFill>
              <w14:schemeClr w14:val="tx1"/>
            </w14:solidFill>
          </w14:textFill>
        </w:rPr>
        <w:t>混凝土结构设计标准</w:t>
      </w:r>
      <w:r>
        <w:rPr>
          <w:rFonts w:hint="default" w:ascii="Times New Roman" w:hAnsi="Times New Roman" w:cs="Times New Roman"/>
          <w:color w:val="000000" w:themeColor="text1"/>
          <w:szCs w:val="21"/>
          <w:highlight w:val="none"/>
          <w14:textFill>
            <w14:solidFill>
              <w14:schemeClr w14:val="tx1"/>
            </w14:solidFill>
          </w14:textFill>
        </w:rPr>
        <w:t>》GB/T 50010和《混凝土结构通用规范》GB 55008的有关规定。</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w:t>
      </w:r>
      <w:r>
        <w:rPr>
          <w:rFonts w:hint="default" w:ascii="Times New Roman" w:hAnsi="Times New Roman" w:cs="Times New Roman"/>
          <w:b/>
          <w:color w:val="000000" w:themeColor="text1"/>
          <w:szCs w:val="21"/>
          <w:highlight w:val="none"/>
          <w:lang w:val="en-US" w:eastAsia="zh-CN"/>
          <w14:textFill>
            <w14:solidFill>
              <w14:schemeClr w14:val="tx1"/>
            </w14:solidFill>
          </w14:textFill>
        </w:rPr>
        <w:t>10</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高层模块化结构中，楼盖应符合下列规定：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结构转换层和作为上</w:t>
      </w:r>
      <w:r>
        <w:rPr>
          <w:rFonts w:hint="default" w:ascii="Times New Roman" w:hAnsi="Times New Roman" w:cs="Times New Roman"/>
          <w:color w:val="000000" w:themeColor="text1"/>
          <w:szCs w:val="21"/>
          <w:highlight w:val="none"/>
          <w:lang w:val="en-US" w:eastAsia="zh-CN"/>
          <w14:textFill>
            <w14:solidFill>
              <w14:schemeClr w14:val="tx1"/>
            </w14:solidFill>
          </w14:textFill>
        </w:rPr>
        <w:t>部</w:t>
      </w:r>
      <w:r>
        <w:rPr>
          <w:rFonts w:hint="default" w:ascii="Times New Roman" w:hAnsi="Times New Roman" w:cs="Times New Roman"/>
          <w:color w:val="000000" w:themeColor="text1"/>
          <w:szCs w:val="21"/>
          <w:highlight w:val="none"/>
          <w14:textFill>
            <w14:solidFill>
              <w14:schemeClr w14:val="tx1"/>
            </w14:solidFill>
          </w14:textFill>
        </w:rPr>
        <w:t>结构嵌固部位的楼层</w:t>
      </w:r>
      <w:r>
        <w:rPr>
          <w:rFonts w:hint="default" w:ascii="Times New Roman" w:hAnsi="Times New Roman" w:cs="Times New Roman"/>
          <w:color w:val="000000" w:themeColor="text1"/>
          <w:szCs w:val="21"/>
          <w:highlight w:val="none"/>
          <w:lang w:val="en-US" w:eastAsia="zh-CN"/>
          <w14:textFill>
            <w14:solidFill>
              <w14:schemeClr w14:val="tx1"/>
            </w14:solidFill>
          </w14:textFill>
        </w:rPr>
        <w:t>应</w:t>
      </w:r>
      <w:r>
        <w:rPr>
          <w:rFonts w:hint="default" w:ascii="Times New Roman" w:hAnsi="Times New Roman" w:cs="Times New Roman"/>
          <w:color w:val="000000" w:themeColor="text1"/>
          <w:szCs w:val="21"/>
          <w:highlight w:val="none"/>
          <w14:textFill>
            <w14:solidFill>
              <w14:schemeClr w14:val="tx1"/>
            </w14:solidFill>
          </w14:textFill>
        </w:rPr>
        <w:t>采用现浇混凝土楼盖</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屋面层和平面受力复杂的楼层宜采用现浇楼盖</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当采用叠合楼盖时，楼板的后浇混凝土叠合层厚度不应小于100mm，且后浇层内应双层双向配筋，钢筋直径不宜小于8mm，间距不宜大于200mm。</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w:t>
      </w:r>
      <w:r>
        <w:rPr>
          <w:rFonts w:hint="default" w:ascii="Times New Roman" w:hAnsi="Times New Roman" w:cs="Times New Roman"/>
          <w:b/>
          <w:color w:val="000000" w:themeColor="text1"/>
          <w:szCs w:val="21"/>
          <w:highlight w:val="none"/>
          <w:lang w:val="en-US" w:eastAsia="zh-CN"/>
          <w14:textFill>
            <w14:solidFill>
              <w14:schemeClr w14:val="tx1"/>
            </w14:solidFill>
          </w14:textFill>
        </w:rPr>
        <w:t>11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模块化结构楼板采用不出筋开槽叠合板时，应符合下列规定：</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532" w:name="_Toc18173"/>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后浇混凝土叠合层厚度不宜小于预制板厚度，且不应小于60mm</w:t>
      </w:r>
      <w:bookmarkEnd w:id="53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533" w:name="_Toc21790"/>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支座处应在垂直于板端的槽内设置搭接钢筋，搭接钢筋截面积应按《</w:t>
      </w:r>
      <w:r>
        <w:rPr>
          <w:rFonts w:hint="default" w:ascii="Times New Roman" w:hAnsi="Times New Roman" w:cs="Times New Roman"/>
          <w:color w:val="000000" w:themeColor="text1"/>
          <w:szCs w:val="21"/>
          <w:highlight w:val="none"/>
          <w:lang w:eastAsia="zh-CN"/>
          <w14:textFill>
            <w14:solidFill>
              <w14:schemeClr w14:val="tx1"/>
            </w14:solidFill>
          </w14:textFill>
        </w:rPr>
        <w:t>混凝土结构设计标准</w:t>
      </w:r>
      <w:r>
        <w:rPr>
          <w:rFonts w:hint="default" w:ascii="Times New Roman" w:hAnsi="Times New Roman" w:cs="Times New Roman"/>
          <w:color w:val="000000" w:themeColor="text1"/>
          <w:szCs w:val="21"/>
          <w:highlight w:val="none"/>
          <w14:textFill>
            <w14:solidFill>
              <w14:schemeClr w14:val="tx1"/>
            </w14:solidFill>
          </w14:textFill>
        </w:rPr>
        <w:t>》GB/T 50010的有关规定计算确定，且不应小于预制板内跨中同方向受力钢筋面积的1/3，搭接钢筋直径不宜小于10mm，间距不宜大于200mm；搭接钢筋强度等级不应低于与搭接钢筋平行的预制板内同向受力钢筋的强度等级</w:t>
      </w:r>
      <w:bookmarkEnd w:id="533"/>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534" w:name="_Toc7565"/>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对于板端支座节点，板底搭接钢筋伸入后浇叠合层锚固长度</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L</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lang w:val="en-US" w:eastAsia="zh-CN"/>
                <w14:textFill>
                  <w14:solidFill>
                    <w14:schemeClr w14:val="tx1"/>
                  </w14:solidFill>
                </w14:textFill>
              </w:rPr>
              <m:t>s</m:t>
            </m:r>
            <m:ctrlPr>
              <w:rPr>
                <w:rFonts w:hint="default" w:ascii="Cambria Math" w:hAnsi="Cambria Math" w:cs="Times New Roman"/>
                <w:i/>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不宜小于20d，并应在支承梁或墙的后浇混凝土中锚固，支座内锚固长度</w:t>
      </w:r>
      <m:oMath>
        <m:sSubSup>
          <m:sSubSupPr>
            <m:ctrlPr>
              <w:rPr>
                <w:rFonts w:hint="default" w:ascii="Cambria Math" w:hAnsi="Cambria Math" w:cs="Times New Roman"/>
                <w:i/>
                <w:iCs/>
                <w:color w:val="000000" w:themeColor="text1"/>
                <w:szCs w:val="21"/>
                <w:highlight w:val="none"/>
                <w14:textFill>
                  <w14:solidFill>
                    <w14:schemeClr w14:val="tx1"/>
                  </w14:solidFill>
                </w14:textFill>
              </w:rPr>
            </m:ctrlPr>
          </m:sSubSupPr>
          <m:e>
            <m:r>
              <m:rPr/>
              <w:rPr>
                <w:rFonts w:hint="default" w:ascii="Cambria Math" w:hAnsi="Cambria Math" w:cs="Times New Roman"/>
                <w:color w:val="000000" w:themeColor="text1"/>
                <w:szCs w:val="21"/>
                <w:highlight w:val="none"/>
                <w:lang w:val="en-US" w:eastAsia="zh-CN"/>
                <w14:textFill>
                  <w14:solidFill>
                    <w14:schemeClr w14:val="tx1"/>
                  </w14:solidFill>
                </w14:textFill>
              </w:rPr>
              <m:t>L</m:t>
            </m:r>
            <m:ctrlPr>
              <w:rPr>
                <w:rFonts w:hint="default" w:ascii="Cambria Math" w:hAnsi="Cambria Math" w:cs="Times New Roman"/>
                <w:i/>
                <w:iCs/>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lang w:val="en-US" w:eastAsia="zh-CN"/>
                <w14:textFill>
                  <w14:solidFill>
                    <w14:schemeClr w14:val="tx1"/>
                  </w14:solidFill>
                </w14:textFill>
              </w:rPr>
              <m:t>s</m:t>
            </m:r>
            <m:ctrlPr>
              <w:rPr>
                <w:rFonts w:hint="default" w:ascii="Cambria Math" w:hAnsi="Cambria Math" w:cs="Times New Roman"/>
                <w:i/>
                <w:iCs/>
                <w:color w:val="000000" w:themeColor="text1"/>
                <w:szCs w:val="21"/>
                <w:highlight w:val="none"/>
                <w14:textFill>
                  <w14:solidFill>
                    <w14:schemeClr w14:val="tx1"/>
                  </w14:solidFill>
                </w14:textFill>
              </w:rPr>
            </m:ctrlPr>
          </m:sub>
          <m:sup>
            <m:r>
              <m:rPr/>
              <w:rPr>
                <w:rFonts w:hint="default" w:ascii="Cambria Math" w:hAnsi="Cambria Math" w:cs="Times New Roman"/>
                <w:color w:val="000000" w:themeColor="text1"/>
                <w:szCs w:val="21"/>
                <w:highlight w:val="none"/>
                <w:lang w:val="en-US" w:eastAsia="zh-CN"/>
                <w14:textFill>
                  <w14:solidFill>
                    <w14:schemeClr w14:val="tx1"/>
                  </w14:solidFill>
                </w14:textFill>
              </w:rPr>
              <m:t>'</m:t>
            </m:r>
            <m:ctrlPr>
              <w:rPr>
                <w:rFonts w:hint="default" w:ascii="Cambria Math" w:hAnsi="Cambria Math" w:cs="Times New Roman"/>
                <w:i/>
                <w:iCs/>
                <w:color w:val="000000" w:themeColor="text1"/>
                <w:szCs w:val="21"/>
                <w:highlight w:val="none"/>
                <w14:textFill>
                  <w14:solidFill>
                    <w14:schemeClr w14:val="tx1"/>
                  </w14:solidFill>
                </w14:textFill>
              </w:rPr>
            </m:ctrlPr>
          </m:sup>
        </m:sSubSup>
      </m:oMath>
      <w:r>
        <w:rPr>
          <w:rFonts w:hint="default" w:ascii="Times New Roman" w:hAnsi="Times New Roman" w:cs="Times New Roman"/>
          <w:color w:val="000000" w:themeColor="text1"/>
          <w:szCs w:val="21"/>
          <w:highlight w:val="none"/>
          <w14:textFill>
            <w14:solidFill>
              <w14:schemeClr w14:val="tx1"/>
            </w14:solidFill>
          </w14:textFill>
        </w:rPr>
        <w:t>不应小于5d且宜伸至支座中心线(图6.</w:t>
      </w:r>
      <w:r>
        <w:rPr>
          <w:rFonts w:hint="default" w:ascii="Times New Roman" w:hAnsi="Times New Roman" w:cs="Times New Roman"/>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11-</w:t>
      </w:r>
      <w:r>
        <w:rPr>
          <w:rFonts w:hint="default" w:ascii="Times New Roman" w:hAnsi="Times New Roman" w:cs="Times New Roman"/>
          <w:color w:val="000000" w:themeColor="text1"/>
          <w:szCs w:val="21"/>
          <w:highlight w:val="none"/>
          <w14:textFill>
            <w14:solidFill>
              <w14:schemeClr w14:val="tx1"/>
            </w14:solidFill>
          </w14:textFill>
        </w:rPr>
        <w:t>a)。对于中节点支座，搭接钢筋在节点区应贯通，且每侧伸入后浇叠合层锚固长度</w:t>
      </w: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lang w:val="en-US" w:eastAsia="zh-CN"/>
                <w14:textFill>
                  <w14:solidFill>
                    <w14:schemeClr w14:val="tx1"/>
                  </w14:solidFill>
                </w14:textFill>
              </w:rPr>
              <m:t>L</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lang w:val="en-US" w:eastAsia="zh-CN"/>
                <w14:textFill>
                  <w14:solidFill>
                    <w14:schemeClr w14:val="tx1"/>
                  </w14:solidFill>
                </w14:textFill>
              </w:rPr>
              <m:t>s</m:t>
            </m:r>
            <m:ctrlPr>
              <w:rPr>
                <w:rFonts w:hint="default" w:ascii="Cambria Math" w:hAnsi="Cambria Math" w:cs="Times New Roman"/>
                <w:i/>
                <w:color w:val="000000" w:themeColor="text1"/>
                <w:szCs w:val="21"/>
                <w:highlight w:val="none"/>
                <w14:textFill>
                  <w14:solidFill>
                    <w14:schemeClr w14:val="tx1"/>
                  </w14:solidFill>
                </w14:textFill>
              </w:rPr>
            </m:ctrlPr>
          </m:sub>
        </m:sSub>
      </m:oMath>
      <w:r>
        <w:rPr>
          <w:rFonts w:hint="default" w:ascii="Times New Roman" w:hAnsi="Times New Roman" w:cs="Times New Roman"/>
          <w:color w:val="000000" w:themeColor="text1"/>
          <w:szCs w:val="21"/>
          <w:highlight w:val="none"/>
          <w14:textFill>
            <w14:solidFill>
              <w14:schemeClr w14:val="tx1"/>
            </w14:solidFill>
          </w14:textFill>
        </w:rPr>
        <w:t>不宜小于</w:t>
      </w:r>
      <w:r>
        <w:rPr>
          <w:rFonts w:hint="default" w:ascii="Times New Roman" w:hAnsi="Times New Roman" w:cs="Times New Roman"/>
          <w:color w:val="000000" w:themeColor="text1"/>
          <w:szCs w:val="21"/>
          <w:highlight w:val="none"/>
          <w:lang w:val="en-US" w:eastAsia="zh-CN"/>
          <w14:textFill>
            <w14:solidFill>
              <w14:schemeClr w14:val="tx1"/>
            </w14:solidFill>
          </w14:textFill>
        </w:rPr>
        <w:t>200</w:t>
      </w:r>
      <w:bookmarkEnd w:id="534"/>
      <w:r>
        <w:rPr>
          <w:rFonts w:hint="default" w:ascii="Times New Roman" w:hAnsi="Times New Roman" w:cs="Times New Roman"/>
          <w:color w:val="000000" w:themeColor="text1"/>
          <w:szCs w:val="21"/>
          <w:highlight w:val="none"/>
          <w:lang w:val="en-US" w:eastAsia="zh-CN"/>
          <w14:textFill>
            <w14:solidFill>
              <w14:schemeClr w14:val="tx1"/>
            </w14:solidFill>
          </w14:textFill>
        </w:rPr>
        <w:t>mm</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535" w:name="_Toc25977"/>
      <w:r>
        <w:rPr>
          <w:rFonts w:hint="default" w:ascii="Times New Roman" w:hAnsi="Times New Roman" w:cs="Times New Roman"/>
          <w:b/>
          <w:bCs/>
          <w:color w:val="000000" w:themeColor="text1"/>
          <w:szCs w:val="21"/>
          <w:highlight w:val="none"/>
          <w14:textFill>
            <w14:solidFill>
              <w14:schemeClr w14:val="tx1"/>
            </w14:solidFill>
          </w14:textFill>
        </w:rPr>
        <w:t xml:space="preserve">4  </w:t>
      </w:r>
      <w:r>
        <w:rPr>
          <w:rFonts w:hint="default" w:ascii="Times New Roman" w:hAnsi="Times New Roman" w:cs="Times New Roman"/>
          <w:color w:val="000000" w:themeColor="text1"/>
          <w:szCs w:val="21"/>
          <w:highlight w:val="none"/>
          <w14:textFill>
            <w14:solidFill>
              <w14:schemeClr w14:val="tx1"/>
            </w14:solidFill>
          </w14:textFill>
        </w:rPr>
        <w:t>对于板与板拼缝处节点宜采用密拼节点，在拼缝两侧垂直于板端的槽内设置搭接钢筋，搭接钢筋直径应根据楼板受力情况进行确定(图6.</w:t>
      </w:r>
      <w:r>
        <w:rPr>
          <w:rFonts w:hint="default" w:ascii="Times New Roman" w:hAnsi="Times New Roman" w:cs="Times New Roman"/>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11-</w:t>
      </w:r>
      <w:r>
        <w:rPr>
          <w:rFonts w:hint="default" w:ascii="Times New Roman" w:hAnsi="Times New Roman" w:cs="Times New Roman"/>
          <w:color w:val="000000" w:themeColor="text1"/>
          <w:szCs w:val="21"/>
          <w:highlight w:val="none"/>
          <w14:textFill>
            <w14:solidFill>
              <w14:schemeClr w14:val="tx1"/>
            </w14:solidFill>
          </w14:textFill>
        </w:rPr>
        <w:t>c)。</w:t>
      </w:r>
      <w:bookmarkEnd w:id="535"/>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7"/>
        <w:gridCol w:w="3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1" w:hRule="atLeast"/>
          <w:jc w:val="center"/>
        </w:trPr>
        <w:tc>
          <w:tcPr>
            <w:tcW w:w="3067" w:type="dxa"/>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653540" cy="1511935"/>
                  <wp:effectExtent l="0" t="0" r="3810" b="12065"/>
                  <wp:docPr id="52"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true"/>
                          </pic:cNvPicPr>
                        </pic:nvPicPr>
                        <pic:blipFill>
                          <a:blip r:embed="rId27"/>
                          <a:stretch>
                            <a:fillRect/>
                          </a:stretch>
                        </pic:blipFill>
                        <pic:spPr>
                          <a:xfrm>
                            <a:off x="0" y="0"/>
                            <a:ext cx="1653540" cy="1511935"/>
                          </a:xfrm>
                          <a:prstGeom prst="rect">
                            <a:avLst/>
                          </a:prstGeom>
                          <a:noFill/>
                          <a:ln>
                            <a:noFill/>
                          </a:ln>
                        </pic:spPr>
                      </pic:pic>
                    </a:graphicData>
                  </a:graphic>
                </wp:inline>
              </w:drawing>
            </w:r>
          </w:p>
        </w:tc>
        <w:tc>
          <w:tcPr>
            <w:tcW w:w="3068" w:type="dxa"/>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440180" cy="1196975"/>
                  <wp:effectExtent l="0" t="0" r="7620" b="3175"/>
                  <wp:docPr id="5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true"/>
                          </pic:cNvPicPr>
                        </pic:nvPicPr>
                        <pic:blipFill>
                          <a:blip r:embed="rId28"/>
                          <a:stretch>
                            <a:fillRect/>
                          </a:stretch>
                        </pic:blipFill>
                        <pic:spPr>
                          <a:xfrm>
                            <a:off x="0" y="0"/>
                            <a:ext cx="1440180" cy="11969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67" w:type="dxa"/>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（a）带槽口底板的边支座节点</w:t>
            </w:r>
          </w:p>
        </w:tc>
        <w:tc>
          <w:tcPr>
            <w:tcW w:w="3068" w:type="dxa"/>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（b）带槽口底板的中支座节点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35" w:type="dxa"/>
            <w:gridSpan w:val="2"/>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440180" cy="766445"/>
                  <wp:effectExtent l="0" t="0" r="7620" b="14605"/>
                  <wp:docPr id="53"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true"/>
                          </pic:cNvPicPr>
                        </pic:nvPicPr>
                        <pic:blipFill>
                          <a:blip r:embed="rId29"/>
                          <a:stretch>
                            <a:fillRect/>
                          </a:stretch>
                        </pic:blipFill>
                        <pic:spPr>
                          <a:xfrm>
                            <a:off x="0" y="0"/>
                            <a:ext cx="1440180" cy="7664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35" w:type="dxa"/>
            <w:gridSpan w:val="2"/>
          </w:tcPr>
          <w:p>
            <w:pPr>
              <w:pStyle w:val="51"/>
              <w:spacing w:line="360" w:lineRule="exact"/>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 xml:space="preserve">   (c)密拼节点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35" w:type="dxa"/>
            <w:gridSpan w:val="2"/>
          </w:tcPr>
          <w:p>
            <w:pPr>
              <w:pStyle w:val="51"/>
              <w:spacing w:line="360" w:lineRule="exact"/>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图</w:t>
            </w:r>
            <w:r>
              <w:rPr>
                <w:rFonts w:hint="default" w:ascii="Times New Roman" w:hAnsi="Times New Roman" w:cs="Times New Roman"/>
                <w:b/>
                <w:color w:val="000000" w:themeColor="text1"/>
                <w:szCs w:val="18"/>
                <w:highlight w:val="none"/>
                <w14:textFill>
                  <w14:solidFill>
                    <w14:schemeClr w14:val="tx1"/>
                  </w14:solidFill>
                </w14:textFill>
              </w:rPr>
              <w:t>6.</w:t>
            </w:r>
            <w:r>
              <w:rPr>
                <w:rFonts w:hint="default" w:ascii="Times New Roman" w:hAnsi="Times New Roman" w:cs="Times New Roman"/>
                <w:b/>
                <w:color w:val="000000" w:themeColor="text1"/>
                <w:szCs w:val="18"/>
                <w:highlight w:val="none"/>
                <w:lang w:val="en-US" w:eastAsia="zh-CN"/>
                <w14:textFill>
                  <w14:solidFill>
                    <w14:schemeClr w14:val="tx1"/>
                  </w14:solidFill>
                </w14:textFill>
              </w:rPr>
              <w:t>4</w:t>
            </w:r>
            <w:r>
              <w:rPr>
                <w:rFonts w:hint="default" w:ascii="Times New Roman" w:hAnsi="Times New Roman" w:cs="Times New Roman"/>
                <w:b/>
                <w:color w:val="000000" w:themeColor="text1"/>
                <w:szCs w:val="18"/>
                <w:highlight w:val="none"/>
                <w14:textFill>
                  <w14:solidFill>
                    <w14:schemeClr w14:val="tx1"/>
                  </w14:solidFill>
                </w14:textFill>
              </w:rPr>
              <w:t>.</w:t>
            </w:r>
            <w:r>
              <w:rPr>
                <w:rFonts w:hint="default" w:ascii="Times New Roman" w:hAnsi="Times New Roman" w:cs="Times New Roman"/>
                <w:b/>
                <w:color w:val="000000" w:themeColor="text1"/>
                <w:szCs w:val="18"/>
                <w:highlight w:val="none"/>
                <w:lang w:val="en-US" w:eastAsia="zh-CN"/>
                <w14:textFill>
                  <w14:solidFill>
                    <w14:schemeClr w14:val="tx1"/>
                  </w14:solidFill>
                </w14:textFill>
              </w:rPr>
              <w:t>11</w:t>
            </w:r>
            <w:r>
              <w:rPr>
                <w:rFonts w:hint="default" w:ascii="Times New Roman" w:hAnsi="Times New Roman" w:cs="Times New Roman"/>
                <w:b/>
                <w:color w:val="000000" w:themeColor="text1"/>
                <w:szCs w:val="18"/>
                <w:highlight w:val="none"/>
                <w14:textFill>
                  <w14:solidFill>
                    <w14:schemeClr w14:val="tx1"/>
                  </w14:solidFill>
                </w14:textFill>
              </w:rPr>
              <w:t xml:space="preserve"> </w:t>
            </w:r>
            <w:r>
              <w:rPr>
                <w:rFonts w:hint="default" w:ascii="Times New Roman" w:hAnsi="Times New Roman" w:cs="Times New Roman"/>
                <w:color w:val="000000" w:themeColor="text1"/>
                <w:szCs w:val="18"/>
                <w:highlight w:val="none"/>
                <w14:textFill>
                  <w14:solidFill>
                    <w14:schemeClr w14:val="tx1"/>
                  </w14:solidFill>
                </w14:textFill>
              </w:rPr>
              <w:t>无外伸纵筋的板端支座构造示意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35" w:type="dxa"/>
            <w:gridSpan w:val="2"/>
          </w:tcPr>
          <w:p>
            <w:pPr>
              <w:pStyle w:val="51"/>
              <w:spacing w:line="360" w:lineRule="exact"/>
              <w:rPr>
                <w:rFonts w:hint="default" w:ascii="Times New Roman" w:hAnsi="Times New Roman" w:eastAsia="黑体" w:cs="Times New Roman"/>
                <w:color w:val="000000" w:themeColor="text1"/>
                <w:sz w:val="16"/>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16"/>
                <w:szCs w:val="20"/>
                <w:highlight w:val="none"/>
                <w:lang w:val="en-US" w:eastAsia="zh-CN"/>
                <w14:textFill>
                  <w14:solidFill>
                    <w14:schemeClr w14:val="tx1"/>
                  </w14:solidFill>
                </w14:textFill>
              </w:rPr>
              <w:t>1</w:t>
            </w:r>
            <w:r>
              <w:rPr>
                <w:rFonts w:hint="default" w:ascii="Times New Roman" w:hAnsi="Times New Roman" w:cs="Times New Roman"/>
                <w:color w:val="000000" w:themeColor="text1"/>
                <w:sz w:val="16"/>
                <w:szCs w:val="20"/>
                <w:highlight w:val="none"/>
                <w14:textFill>
                  <w14:solidFill>
                    <w14:schemeClr w14:val="tx1"/>
                  </w14:solidFill>
                </w14:textFill>
              </w:rPr>
              <w:t>—</w:t>
            </w:r>
            <w:r>
              <w:rPr>
                <w:rFonts w:hint="default" w:ascii="Times New Roman" w:hAnsi="Times New Roman" w:cs="Times New Roman"/>
                <w:color w:val="000000" w:themeColor="text1"/>
                <w:sz w:val="16"/>
                <w:szCs w:val="20"/>
                <w:highlight w:val="none"/>
                <w:lang w:val="en-US" w:eastAsia="zh-CN"/>
                <w14:textFill>
                  <w14:solidFill>
                    <w14:schemeClr w14:val="tx1"/>
                  </w14:solidFill>
                </w14:textFill>
              </w:rPr>
              <w:t>上层模块外墙；2</w:t>
            </w:r>
            <w:r>
              <w:rPr>
                <w:rFonts w:hint="default" w:ascii="Times New Roman" w:hAnsi="Times New Roman" w:cs="Times New Roman"/>
                <w:color w:val="000000" w:themeColor="text1"/>
                <w:sz w:val="16"/>
                <w:szCs w:val="20"/>
                <w:highlight w:val="none"/>
                <w14:textFill>
                  <w14:solidFill>
                    <w14:schemeClr w14:val="tx1"/>
                  </w14:solidFill>
                </w14:textFill>
              </w:rPr>
              <w:t>—</w:t>
            </w:r>
            <w:r>
              <w:rPr>
                <w:rFonts w:hint="default" w:ascii="Times New Roman" w:hAnsi="Times New Roman" w:cs="Times New Roman"/>
                <w:color w:val="000000" w:themeColor="text1"/>
                <w:sz w:val="16"/>
                <w:szCs w:val="20"/>
                <w:highlight w:val="none"/>
                <w:lang w:val="en-US" w:eastAsia="zh-CN"/>
                <w14:textFill>
                  <w14:solidFill>
                    <w14:schemeClr w14:val="tx1"/>
                  </w14:solidFill>
                </w14:textFill>
              </w:rPr>
              <w:t>下层模块外墙；3</w:t>
            </w:r>
            <w:r>
              <w:rPr>
                <w:rFonts w:hint="default" w:ascii="Times New Roman" w:hAnsi="Times New Roman" w:cs="Times New Roman"/>
                <w:color w:val="000000" w:themeColor="text1"/>
                <w:sz w:val="16"/>
                <w:szCs w:val="20"/>
                <w:highlight w:val="none"/>
                <w14:textFill>
                  <w14:solidFill>
                    <w14:schemeClr w14:val="tx1"/>
                  </w14:solidFill>
                </w14:textFill>
              </w:rPr>
              <w:t>—</w:t>
            </w:r>
            <w:r>
              <w:rPr>
                <w:rFonts w:hint="default" w:ascii="Times New Roman" w:hAnsi="Times New Roman" w:cs="Times New Roman"/>
                <w:color w:val="000000" w:themeColor="text1"/>
                <w:sz w:val="16"/>
                <w:szCs w:val="20"/>
                <w:highlight w:val="none"/>
                <w:lang w:val="en-US" w:eastAsia="zh-CN"/>
                <w14:textFill>
                  <w14:solidFill>
                    <w14:schemeClr w14:val="tx1"/>
                  </w14:solidFill>
                </w14:textFill>
              </w:rPr>
              <w:t>预制叠合板；</w:t>
            </w:r>
          </w:p>
          <w:p>
            <w:pPr>
              <w:pStyle w:val="51"/>
              <w:spacing w:line="360" w:lineRule="exact"/>
              <w:rPr>
                <w:rFonts w:hint="default" w:ascii="Times New Roman" w:hAnsi="Times New Roman" w:eastAsia="黑体" w:cs="Times New Roman"/>
                <w:color w:val="000000" w:themeColor="text1"/>
                <w:highlight w:val="none"/>
                <w:lang w:eastAsia="zh-CN"/>
                <w14:textFill>
                  <w14:solidFill>
                    <w14:schemeClr w14:val="tx1"/>
                  </w14:solidFill>
                </w14:textFill>
              </w:rPr>
            </w:pPr>
            <w:bookmarkStart w:id="536" w:name="OLE_LINK12"/>
            <w:r>
              <w:rPr>
                <w:rFonts w:hint="default" w:ascii="Times New Roman" w:hAnsi="Times New Roman" w:cs="Times New Roman"/>
                <w:color w:val="000000" w:themeColor="text1"/>
                <w:sz w:val="16"/>
                <w:szCs w:val="20"/>
                <w:highlight w:val="none"/>
                <w14:textFill>
                  <w14:solidFill>
                    <w14:schemeClr w14:val="tx1"/>
                  </w14:solidFill>
                </w14:textFill>
              </w:rPr>
              <w:t>4—</w:t>
            </w:r>
            <w:bookmarkEnd w:id="536"/>
            <w:r>
              <w:rPr>
                <w:rFonts w:hint="default" w:ascii="Times New Roman" w:hAnsi="Times New Roman" w:cs="Times New Roman"/>
                <w:color w:val="000000" w:themeColor="text1"/>
                <w:sz w:val="16"/>
                <w:szCs w:val="20"/>
                <w:highlight w:val="none"/>
                <w14:textFill>
                  <w14:solidFill>
                    <w14:schemeClr w14:val="tx1"/>
                  </w14:solidFill>
                </w14:textFill>
              </w:rPr>
              <w:t>搭接钢筋；5—现浇面层钢筋；6—模块墙或</w:t>
            </w:r>
            <w:r>
              <w:rPr>
                <w:rFonts w:hint="default" w:ascii="Times New Roman" w:hAnsi="Times New Roman" w:cs="Times New Roman"/>
                <w:color w:val="000000" w:themeColor="text1"/>
                <w:sz w:val="16"/>
                <w:szCs w:val="20"/>
                <w:highlight w:val="none"/>
                <w:lang w:val="en-US" w:eastAsia="zh-CN"/>
                <w14:textFill>
                  <w14:solidFill>
                    <w14:schemeClr w14:val="tx1"/>
                  </w14:solidFill>
                </w14:textFill>
              </w:rPr>
              <w:t>梁</w:t>
            </w:r>
          </w:p>
        </w:tc>
      </w:tr>
      <w:bookmarkEnd w:id="477"/>
      <w:bookmarkEnd w:id="478"/>
      <w:bookmarkEnd w:id="479"/>
    </w:tbl>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537" w:name="_Toc1991"/>
      <w:bookmarkStart w:id="538" w:name="_Toc15553"/>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模块化全预制剪力墙结构的墙板构件设计应符合下列规定：</w:t>
      </w:r>
    </w:p>
    <w:p>
      <w:pPr>
        <w:widowControl/>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预制墙板厚度不宜小于140mm，且不宜小于层高的1/25</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预制墙板的轴压比，三级时不应大于0.15，四级时不应大于0.2；轴压比计算时，墙体混凝土强度等级超过C40，按C40计算</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当预制剪力墙截面厚度不小于140mm时，应配置双排双向分布钢筋网；剪力墙中水平及竖向分布筋的最小配筋率不应小于 0.15%。</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r>
        <w:rPr>
          <w:rFonts w:hint="default" w:ascii="Times New Roman" w:hAnsi="Times New Roman" w:cs="Times New Roman"/>
          <w:b/>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.1</w:t>
      </w:r>
      <w:r>
        <w:rPr>
          <w:rFonts w:hint="default" w:ascii="Times New Roman" w:hAnsi="Times New Roman" w:cs="Times New Roman"/>
          <w:b/>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预制墙板应在水平或竖向尺寸大于800mm的洞边、一字墙墙体端部、纵横墙交接处设置构造边缘构件，并应满足下列</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w:t>
      </w:r>
    </w:p>
    <w:p>
      <w:pPr>
        <w:widowControl/>
        <w:spacing w:line="360" w:lineRule="exact"/>
        <w:ind w:firstLine="421" w:firstLineChars="20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构造边缘构件截面高度不宜小于墙厚，且不宜小于200mm，截面宽度同墙厚</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构造边缘构件内应配置纵向受力钢筋、箍筋、架立筋，构造边缘构件的纵向钢筋除应满足设计要求外，尚应满足表</w:t>
      </w:r>
      <w:r>
        <w:rPr>
          <w:rFonts w:hint="default" w:ascii="Times New Roman" w:hAnsi="Times New Roman" w:cs="Times New Roman"/>
          <w:color w:val="000000" w:themeColor="text1"/>
          <w:szCs w:val="21"/>
          <w:highlight w:val="none"/>
          <w:lang w:val="en-US" w:eastAsia="zh-CN"/>
          <w14:textFill>
            <w14:solidFill>
              <w14:schemeClr w14:val="tx1"/>
            </w14:solidFill>
          </w14:textFill>
        </w:rPr>
        <w:t>6.4</w:t>
      </w:r>
      <w:r>
        <w:rPr>
          <w:rFonts w:hint="default" w:ascii="Times New Roman" w:hAnsi="Times New Roman" w:cs="Times New Roman"/>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的要求</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ind w:firstLine="421" w:firstLineChars="200"/>
        <w:rPr>
          <w:rFonts w:hint="default" w:ascii="Times New Roman" w:hAnsi="Times New Roman" w:eastAsia="黑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上下层构造边缘构件纵向受力钢筋应直接连接可采用浆锚搭接连接、灌浆套筒连接；箍筋架立筋可不伸出预制墙板表面。</w:t>
      </w:r>
    </w:p>
    <w:p>
      <w:pPr>
        <w:widowControl/>
        <w:jc w:val="center"/>
        <w:rPr>
          <w:rFonts w:hint="default" w:ascii="Times New Roman" w:hAnsi="Times New Roman" w:eastAsia="黑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黑体" w:cs="Times New Roman"/>
          <w:color w:val="000000" w:themeColor="text1"/>
          <w:kern w:val="0"/>
          <w:sz w:val="18"/>
          <w:szCs w:val="18"/>
          <w:highlight w:val="none"/>
          <w:lang w:bidi="ar"/>
          <w14:textFill>
            <w14:solidFill>
              <w14:schemeClr w14:val="tx1"/>
            </w14:solidFill>
          </w14:textFill>
        </w:rPr>
        <w:t>表</w:t>
      </w:r>
      <w:r>
        <w:rPr>
          <w:rFonts w:hint="default" w:ascii="Times New Roman" w:hAnsi="Times New Roman" w:eastAsia="黑体" w:cs="Times New Roman"/>
          <w:b/>
          <w:color w:val="000000" w:themeColor="text1"/>
          <w:kern w:val="0"/>
          <w:sz w:val="18"/>
          <w:szCs w:val="18"/>
          <w:highlight w:val="none"/>
          <w:lang w:val="en-US" w:eastAsia="zh-CN" w:bidi="ar"/>
          <w14:textFill>
            <w14:solidFill>
              <w14:schemeClr w14:val="tx1"/>
            </w14:solidFill>
          </w14:textFill>
        </w:rPr>
        <w:t>6.4</w:t>
      </w:r>
      <w:r>
        <w:rPr>
          <w:rFonts w:hint="default" w:ascii="Times New Roman" w:hAnsi="Times New Roman" w:eastAsia="黑体" w:cs="Times New Roman"/>
          <w:b/>
          <w:color w:val="000000" w:themeColor="text1"/>
          <w:kern w:val="0"/>
          <w:sz w:val="18"/>
          <w:szCs w:val="18"/>
          <w:highlight w:val="none"/>
          <w:lang w:bidi="ar"/>
          <w14:textFill>
            <w14:solidFill>
              <w14:schemeClr w14:val="tx1"/>
            </w14:solidFill>
          </w14:textFill>
        </w:rPr>
        <w:t>.1</w:t>
      </w:r>
      <w:r>
        <w:rPr>
          <w:rFonts w:hint="default" w:ascii="Times New Roman" w:hAnsi="Times New Roman" w:eastAsia="黑体" w:cs="Times New Roman"/>
          <w:b/>
          <w:color w:val="000000" w:themeColor="text1"/>
          <w:kern w:val="0"/>
          <w:sz w:val="18"/>
          <w:szCs w:val="18"/>
          <w:highlight w:val="none"/>
          <w:lang w:val="en-US" w:eastAsia="zh-CN" w:bidi="ar"/>
          <w14:textFill>
            <w14:solidFill>
              <w14:schemeClr w14:val="tx1"/>
            </w14:solidFill>
          </w14:textFill>
        </w:rPr>
        <w:t>3</w:t>
      </w:r>
      <w:r>
        <w:rPr>
          <w:rFonts w:hint="default" w:ascii="Times New Roman" w:hAnsi="Times New Roman" w:eastAsia="黑体" w:cs="Times New Roman"/>
          <w:b/>
          <w:color w:val="000000" w:themeColor="text1"/>
          <w:kern w:val="0"/>
          <w:sz w:val="18"/>
          <w:szCs w:val="18"/>
          <w:highlight w:val="none"/>
          <w:lang w:bidi="ar"/>
          <w14:textFill>
            <w14:solidFill>
              <w14:schemeClr w14:val="tx1"/>
            </w14:solidFill>
          </w14:textFill>
        </w:rPr>
        <w:t xml:space="preserve"> </w:t>
      </w:r>
      <w:r>
        <w:rPr>
          <w:rFonts w:hint="default" w:ascii="Times New Roman" w:hAnsi="Times New Roman" w:eastAsia="黑体" w:cs="Times New Roman"/>
          <w:color w:val="000000" w:themeColor="text1"/>
          <w:kern w:val="0"/>
          <w:sz w:val="18"/>
          <w:szCs w:val="18"/>
          <w:highlight w:val="none"/>
          <w:lang w:bidi="ar"/>
          <w14:textFill>
            <w14:solidFill>
              <w14:schemeClr w14:val="tx1"/>
            </w14:solidFill>
          </w14:textFill>
        </w:rPr>
        <w:t>构造边缘构件的构造配筋要求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681"/>
        <w:gridCol w:w="681"/>
        <w:gridCol w:w="682"/>
        <w:gridCol w:w="682"/>
        <w:gridCol w:w="682"/>
        <w:gridCol w:w="682"/>
        <w:gridCol w:w="682"/>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dxa"/>
            <w:vMerge w:val="restart"/>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抗震等级</w:t>
            </w:r>
          </w:p>
        </w:tc>
        <w:tc>
          <w:tcPr>
            <w:tcW w:w="2726" w:type="dxa"/>
            <w:gridSpan w:val="4"/>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底层</w:t>
            </w:r>
          </w:p>
        </w:tc>
        <w:tc>
          <w:tcPr>
            <w:tcW w:w="2728" w:type="dxa"/>
            <w:gridSpan w:val="4"/>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其他层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dxa"/>
            <w:vMerge w:val="continue"/>
            <w:vAlign w:val="center"/>
          </w:tcPr>
          <w:p>
            <w:pPr>
              <w:widowControl/>
              <w:jc w:val="center"/>
              <w:rPr>
                <w:rFonts w:hint="default"/>
                <w:color w:val="000000" w:themeColor="text1"/>
                <w:sz w:val="16"/>
                <w:szCs w:val="16"/>
                <w:highlight w:val="none"/>
                <w:vertAlign w:val="baseline"/>
                <w14:textFill>
                  <w14:solidFill>
                    <w14:schemeClr w14:val="tx1"/>
                  </w14:solidFill>
                </w14:textFill>
              </w:rPr>
            </w:pPr>
          </w:p>
        </w:tc>
        <w:tc>
          <w:tcPr>
            <w:tcW w:w="681" w:type="dxa"/>
            <w:vMerge w:val="restart"/>
            <w:vAlign w:val="center"/>
          </w:tcPr>
          <w:p>
            <w:pPr>
              <w:widowControl/>
              <w:jc w:val="center"/>
              <w:rPr>
                <w:rFonts w:hint="default" w:eastAsia="宋体"/>
                <w:color w:val="000000" w:themeColor="text1"/>
                <w:sz w:val="16"/>
                <w:szCs w:val="16"/>
                <w:highlight w:val="none"/>
                <w:vertAlign w:val="baseline"/>
                <w:lang w:val="en-US" w:eastAsia="zh-CN"/>
                <w14:textFill>
                  <w14:solidFill>
                    <w14:schemeClr w14:val="tx1"/>
                  </w14:solidFill>
                </w14:textFill>
              </w:rPr>
            </w:pPr>
            <w:r>
              <w:rPr>
                <w:rFonts w:hint="default"/>
                <w:color w:val="000000" w:themeColor="text1"/>
                <w:sz w:val="16"/>
                <w:szCs w:val="16"/>
                <w:highlight w:val="none"/>
                <w:vertAlign w:val="baseline"/>
                <w:lang w:val="en-US" w:eastAsia="zh-CN"/>
                <w14:textFill>
                  <w14:solidFill>
                    <w14:schemeClr w14:val="tx1"/>
                  </w14:solidFill>
                </w14:textFill>
              </w:rPr>
              <w:t>纵筋最小量</w:t>
            </w:r>
          </w:p>
        </w:tc>
        <w:tc>
          <w:tcPr>
            <w:tcW w:w="681" w:type="dxa"/>
            <w:vMerge w:val="restart"/>
            <w:vAlign w:val="center"/>
          </w:tcPr>
          <w:p>
            <w:pPr>
              <w:widowControl/>
              <w:jc w:val="center"/>
              <w:rPr>
                <w:rFonts w:hint="default" w:eastAsia="宋体"/>
                <w:color w:val="000000" w:themeColor="text1"/>
                <w:sz w:val="16"/>
                <w:szCs w:val="16"/>
                <w:highlight w:val="none"/>
                <w:vertAlign w:val="baseline"/>
                <w:lang w:val="en-US" w:eastAsia="zh-CN"/>
                <w14:textFill>
                  <w14:solidFill>
                    <w14:schemeClr w14:val="tx1"/>
                  </w14:solidFill>
                </w14:textFill>
              </w:rPr>
            </w:pPr>
            <w:r>
              <w:rPr>
                <w:rFonts w:hint="default"/>
                <w:color w:val="000000" w:themeColor="text1"/>
                <w:sz w:val="16"/>
                <w:szCs w:val="16"/>
                <w:highlight w:val="none"/>
                <w:vertAlign w:val="baseline"/>
                <w:lang w:val="en-US" w:eastAsia="zh-CN"/>
                <w14:textFill>
                  <w14:solidFill>
                    <w14:schemeClr w14:val="tx1"/>
                  </w14:solidFill>
                </w14:textFill>
              </w:rPr>
              <w:t>箍筋架立筋最小量</w:t>
            </w:r>
          </w:p>
        </w:tc>
        <w:tc>
          <w:tcPr>
            <w:tcW w:w="1364" w:type="dxa"/>
            <w:gridSpan w:val="2"/>
            <w:vAlign w:val="center"/>
          </w:tcPr>
          <w:p>
            <w:pPr>
              <w:widowControl/>
              <w:jc w:val="center"/>
              <w:rPr>
                <w:rFonts w:hint="default" w:eastAsia="宋体"/>
                <w:color w:val="000000" w:themeColor="text1"/>
                <w:sz w:val="16"/>
                <w:szCs w:val="16"/>
                <w:highlight w:val="none"/>
                <w:vertAlign w:val="baseline"/>
                <w:lang w:val="en-US" w:eastAsia="zh-CN"/>
                <w14:textFill>
                  <w14:solidFill>
                    <w14:schemeClr w14:val="tx1"/>
                  </w14:solidFill>
                </w14:textFill>
              </w:rPr>
            </w:pPr>
            <w:r>
              <w:rPr>
                <w:rFonts w:hint="default"/>
                <w:color w:val="000000" w:themeColor="text1"/>
                <w:sz w:val="16"/>
                <w:szCs w:val="16"/>
                <w:highlight w:val="none"/>
                <w:vertAlign w:val="baseline"/>
                <w:lang w:val="en-US" w:eastAsia="zh-CN"/>
                <w14:textFill>
                  <w14:solidFill>
                    <w14:schemeClr w14:val="tx1"/>
                  </w14:solidFill>
                </w14:textFill>
              </w:rPr>
              <w:t>箍筋（mm）</w:t>
            </w:r>
          </w:p>
        </w:tc>
        <w:tc>
          <w:tcPr>
            <w:tcW w:w="682" w:type="dxa"/>
            <w:vMerge w:val="restart"/>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纵筋最小量</w:t>
            </w:r>
          </w:p>
        </w:tc>
        <w:tc>
          <w:tcPr>
            <w:tcW w:w="682" w:type="dxa"/>
            <w:vMerge w:val="restart"/>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箍筋架立筋最小量</w:t>
            </w:r>
          </w:p>
        </w:tc>
        <w:tc>
          <w:tcPr>
            <w:tcW w:w="1364" w:type="dxa"/>
            <w:gridSpan w:val="2"/>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箍筋（mm）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dxa"/>
            <w:vMerge w:val="continue"/>
            <w:vAlign w:val="center"/>
          </w:tcPr>
          <w:p>
            <w:pPr>
              <w:widowControl/>
              <w:jc w:val="center"/>
              <w:rPr>
                <w:rFonts w:hint="default"/>
                <w:color w:val="000000" w:themeColor="text1"/>
                <w:sz w:val="16"/>
                <w:szCs w:val="16"/>
                <w:highlight w:val="none"/>
                <w:vertAlign w:val="baseline"/>
                <w14:textFill>
                  <w14:solidFill>
                    <w14:schemeClr w14:val="tx1"/>
                  </w14:solidFill>
                </w14:textFill>
              </w:rPr>
            </w:pPr>
          </w:p>
        </w:tc>
        <w:tc>
          <w:tcPr>
            <w:tcW w:w="681" w:type="dxa"/>
            <w:vMerge w:val="continue"/>
            <w:vAlign w:val="center"/>
          </w:tcPr>
          <w:p>
            <w:pPr>
              <w:widowControl/>
              <w:jc w:val="center"/>
              <w:rPr>
                <w:rFonts w:hint="default"/>
                <w:color w:val="000000" w:themeColor="text1"/>
                <w:sz w:val="16"/>
                <w:szCs w:val="16"/>
                <w:highlight w:val="none"/>
                <w:vertAlign w:val="baseline"/>
                <w14:textFill>
                  <w14:solidFill>
                    <w14:schemeClr w14:val="tx1"/>
                  </w14:solidFill>
                </w14:textFill>
              </w:rPr>
            </w:pPr>
          </w:p>
        </w:tc>
        <w:tc>
          <w:tcPr>
            <w:tcW w:w="681" w:type="dxa"/>
            <w:vMerge w:val="continue"/>
            <w:vAlign w:val="center"/>
          </w:tcPr>
          <w:p>
            <w:pPr>
              <w:widowControl/>
              <w:jc w:val="center"/>
              <w:rPr>
                <w:rFonts w:hint="default"/>
                <w:color w:val="000000" w:themeColor="text1"/>
                <w:sz w:val="16"/>
                <w:szCs w:val="16"/>
                <w:highlight w:val="none"/>
                <w:vertAlign w:val="baseline"/>
                <w14:textFill>
                  <w14:solidFill>
                    <w14:schemeClr w14:val="tx1"/>
                  </w14:solidFill>
                </w14:textFill>
              </w:rPr>
            </w:pPr>
          </w:p>
        </w:tc>
        <w:tc>
          <w:tcPr>
            <w:tcW w:w="682" w:type="dxa"/>
            <w:vAlign w:val="center"/>
          </w:tcPr>
          <w:p>
            <w:pPr>
              <w:widowControl/>
              <w:jc w:val="center"/>
              <w:rPr>
                <w:rFonts w:hint="default" w:eastAsia="宋体"/>
                <w:color w:val="000000" w:themeColor="text1"/>
                <w:sz w:val="16"/>
                <w:szCs w:val="16"/>
                <w:highlight w:val="none"/>
                <w:vertAlign w:val="baseline"/>
                <w:lang w:val="en-US" w:eastAsia="zh-CN"/>
                <w14:textFill>
                  <w14:solidFill>
                    <w14:schemeClr w14:val="tx1"/>
                  </w14:solidFill>
                </w14:textFill>
              </w:rPr>
            </w:pPr>
            <w:r>
              <w:rPr>
                <w:rFonts w:hint="default"/>
                <w:color w:val="000000" w:themeColor="text1"/>
                <w:sz w:val="16"/>
                <w:szCs w:val="16"/>
                <w:highlight w:val="none"/>
                <w:vertAlign w:val="baseline"/>
                <w:lang w:val="en-US" w:eastAsia="zh-CN"/>
                <w14:textFill>
                  <w14:solidFill>
                    <w14:schemeClr w14:val="tx1"/>
                  </w14:solidFill>
                </w14:textFill>
              </w:rPr>
              <w:t>最小直径</w:t>
            </w:r>
          </w:p>
        </w:tc>
        <w:tc>
          <w:tcPr>
            <w:tcW w:w="682" w:type="dxa"/>
            <w:vAlign w:val="center"/>
          </w:tcPr>
          <w:p>
            <w:pPr>
              <w:widowControl/>
              <w:jc w:val="center"/>
              <w:rPr>
                <w:rFonts w:hint="default" w:eastAsia="宋体"/>
                <w:color w:val="000000" w:themeColor="text1"/>
                <w:sz w:val="16"/>
                <w:szCs w:val="16"/>
                <w:highlight w:val="none"/>
                <w:vertAlign w:val="baseline"/>
                <w:lang w:val="en-US" w:eastAsia="zh-CN"/>
                <w14:textFill>
                  <w14:solidFill>
                    <w14:schemeClr w14:val="tx1"/>
                  </w14:solidFill>
                </w14:textFill>
              </w:rPr>
            </w:pPr>
            <w:r>
              <w:rPr>
                <w:rFonts w:hint="default"/>
                <w:color w:val="000000" w:themeColor="text1"/>
                <w:sz w:val="16"/>
                <w:szCs w:val="16"/>
                <w:highlight w:val="none"/>
                <w:vertAlign w:val="baseline"/>
                <w:lang w:val="en-US" w:eastAsia="zh-CN"/>
                <w14:textFill>
                  <w14:solidFill>
                    <w14:schemeClr w14:val="tx1"/>
                  </w14:solidFill>
                </w14:textFill>
              </w:rPr>
              <w:t>最大间距</w:t>
            </w:r>
          </w:p>
        </w:tc>
        <w:tc>
          <w:tcPr>
            <w:tcW w:w="682" w:type="dxa"/>
            <w:vMerge w:val="continue"/>
            <w:vAlign w:val="center"/>
          </w:tcPr>
          <w:p>
            <w:pPr>
              <w:widowControl/>
              <w:jc w:val="center"/>
              <w:rPr>
                <w:rFonts w:hint="default"/>
                <w:color w:val="000000" w:themeColor="text1"/>
                <w:sz w:val="16"/>
                <w:szCs w:val="16"/>
                <w:highlight w:val="none"/>
                <w:vertAlign w:val="baseline"/>
                <w14:textFill>
                  <w14:solidFill>
                    <w14:schemeClr w14:val="tx1"/>
                  </w14:solidFill>
                </w14:textFill>
              </w:rPr>
            </w:pPr>
          </w:p>
        </w:tc>
        <w:tc>
          <w:tcPr>
            <w:tcW w:w="682" w:type="dxa"/>
            <w:vMerge w:val="continue"/>
            <w:vAlign w:val="center"/>
          </w:tcPr>
          <w:p>
            <w:pPr>
              <w:widowControl/>
              <w:jc w:val="center"/>
              <w:rPr>
                <w:rFonts w:hint="default"/>
                <w:color w:val="000000" w:themeColor="text1"/>
                <w:sz w:val="16"/>
                <w:szCs w:val="16"/>
                <w:highlight w:val="none"/>
                <w:vertAlign w:val="baseline"/>
                <w14:textFill>
                  <w14:solidFill>
                    <w14:schemeClr w14:val="tx1"/>
                  </w14:solidFill>
                </w14:textFill>
              </w:rPr>
            </w:pP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最小直径</w:t>
            </w: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最大间距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三级</w:t>
            </w:r>
          </w:p>
        </w:tc>
        <w:tc>
          <w:tcPr>
            <w:tcW w:w="681"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m:oMathPara>
              <m:oMath>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1∅25</m:t>
                </m:r>
              </m:oMath>
            </m:oMathPara>
          </w:p>
        </w:tc>
        <w:tc>
          <w:tcPr>
            <w:tcW w:w="681"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m:oMathPara>
              <m:oMath>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4</m:t>
                </m:r>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m:t>
                </m:r>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10</m:t>
                </m:r>
              </m:oMath>
            </m:oMathPara>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w:t>
            </w: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150</w:t>
            </w: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14:textFill>
                  <w14:solidFill>
                    <w14:schemeClr w14:val="tx1"/>
                  </w14:solidFill>
                </w14:textFill>
              </w:rPr>
            </w:pPr>
            <m:oMathPara>
              <m:oMath>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1∅</m:t>
                </m:r>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22</m:t>
                </m:r>
              </m:oMath>
            </m:oMathPara>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m:oMathPara>
              <m:oMath>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4</m:t>
                </m:r>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m:t>
                </m:r>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8</m:t>
                </m:r>
              </m:oMath>
            </m:oMathPara>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w:t>
            </w: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1"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四级</w:t>
            </w:r>
          </w:p>
        </w:tc>
        <w:tc>
          <w:tcPr>
            <w:tcW w:w="681"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m:oMathPara>
              <m:oMath>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1∅2</m:t>
                </m:r>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2</m:t>
                </m:r>
              </m:oMath>
            </m:oMathPara>
          </w:p>
        </w:tc>
        <w:tc>
          <w:tcPr>
            <w:tcW w:w="681"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m:oMathPara>
              <m:oMath>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4</m:t>
                </m:r>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m:t>
                </m:r>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8</m:t>
                </m:r>
              </m:oMath>
            </m:oMathPara>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w:t>
            </w: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200</w:t>
            </w: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m:oMathPara>
              <m:oMath>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1∅</m:t>
                </m:r>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20</m:t>
                </m:r>
              </m:oMath>
            </m:oMathPara>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m:oMathPara>
              <m:oMath>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4</m:t>
                </m:r>
                <m:r>
                  <m:rPr>
                    <m:sty m:val="p"/>
                  </m:rPr>
                  <w:rPr>
                    <w:rFonts w:hint="default" w:ascii="Cambria Math" w:hAnsi="Cambria Math" w:eastAsia="宋体" w:cs="Times New Roman"/>
                    <w:color w:val="000000" w:themeColor="text1"/>
                    <w:kern w:val="2"/>
                    <w:sz w:val="16"/>
                    <w:szCs w:val="16"/>
                    <w:highlight w:val="none"/>
                    <w:vertAlign w:val="baseline"/>
                    <w:lang w:val="en-US" w:eastAsia="zh-CN" w:bidi="ar-SA"/>
                    <w14:textFill>
                      <w14:solidFill>
                        <w14:schemeClr w14:val="tx1"/>
                      </w14:solidFill>
                    </w14:textFill>
                  </w:rPr>
                  <m:t>∅</m:t>
                </m:r>
                <m:r>
                  <m:rPr>
                    <m:sty m:val="p"/>
                  </m:rPr>
                  <w:rPr>
                    <w:rFonts w:hint="default" w:ascii="Cambria Math" w:hAnsi="Cambria Math" w:cs="Times New Roman"/>
                    <w:color w:val="000000" w:themeColor="text1"/>
                    <w:kern w:val="2"/>
                    <w:sz w:val="16"/>
                    <w:szCs w:val="16"/>
                    <w:highlight w:val="none"/>
                    <w:vertAlign w:val="baseline"/>
                    <w:lang w:val="en-US" w:eastAsia="zh-CN" w:bidi="ar-SA"/>
                    <w14:textFill>
                      <w14:solidFill>
                        <w14:schemeClr w14:val="tx1"/>
                      </w14:solidFill>
                    </w14:textFill>
                  </w:rPr>
                  <m:t>8</m:t>
                </m:r>
              </m:oMath>
            </m:oMathPara>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6</w:t>
            </w:r>
          </w:p>
        </w:tc>
        <w:tc>
          <w:tcPr>
            <w:tcW w:w="682" w:type="dxa"/>
            <w:vAlign w:val="center"/>
          </w:tcPr>
          <w:p>
            <w:pPr>
              <w:widowControl/>
              <w:jc w:val="center"/>
              <w:rPr>
                <w:rFonts w:hint="default" w:ascii="Times New Roman" w:hAnsi="Times New Roman" w:eastAsia="宋体" w:cs="Times New Roman"/>
                <w:color w:val="000000" w:themeColor="text1"/>
                <w:sz w:val="16"/>
                <w:szCs w:val="16"/>
                <w:highlight w:val="none"/>
                <w:vertAlign w:val="baseline"/>
                <w14:textFill>
                  <w14:solidFill>
                    <w14:schemeClr w14:val="tx1"/>
                  </w14:solidFill>
                </w14:textFill>
              </w:rPr>
            </w:pPr>
            <w:r>
              <w:rPr>
                <w:rFonts w:hint="default" w:ascii="Times New Roman" w:hAnsi="Times New Roman" w:eastAsia="宋体" w:cs="Times New Roman"/>
                <w:color w:val="000000" w:themeColor="text1"/>
                <w:sz w:val="16"/>
                <w:szCs w:val="16"/>
                <w:highlight w:val="none"/>
                <w:vertAlign w:val="baseline"/>
                <w:lang w:val="en-US" w:eastAsia="zh-CN"/>
                <w14:textFill>
                  <w14:solidFill>
                    <w14:schemeClr w14:val="tx1"/>
                  </w14:solidFill>
                </w14:textFill>
              </w:rPr>
              <w:t>2</w:t>
            </w:r>
            <w:r>
              <w:rPr>
                <w:rFonts w:hint="default" w:ascii="Times New Roman" w:hAnsi="Times New Roman" w:cs="Times New Roman"/>
                <w:color w:val="000000" w:themeColor="text1"/>
                <w:sz w:val="16"/>
                <w:szCs w:val="16"/>
                <w:highlight w:val="none"/>
                <w:vertAlign w:val="baseline"/>
                <w:lang w:val="en-US" w:eastAsia="zh-CN"/>
                <w14:textFill>
                  <w14:solidFill>
                    <w14:schemeClr w14:val="tx1"/>
                  </w14:solidFill>
                </w14:textFill>
              </w:rPr>
              <w:t>50</w:t>
            </w:r>
          </w:p>
        </w:tc>
      </w:tr>
      <w:bookmarkEnd w:id="537"/>
      <w:bookmarkEnd w:id="538"/>
    </w:tbl>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539" w:name="_Toc22763"/>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bCs/>
          <w:color w:val="000000" w:themeColor="text1"/>
          <w:szCs w:val="21"/>
          <w:highlight w:val="none"/>
          <w14:textFill>
            <w14:solidFill>
              <w14:schemeClr w14:val="tx1"/>
            </w14:solidFill>
          </w14:textFill>
        </w:rPr>
        <w:t>.14</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w:t>
      </w:r>
      <w:bookmarkStart w:id="540" w:name="OLE_LINK97"/>
      <w:r>
        <w:rPr>
          <w:rFonts w:hint="default" w:ascii="Times New Roman" w:hAnsi="Times New Roman" w:cs="Times New Roman"/>
          <w:color w:val="000000" w:themeColor="text1"/>
          <w:szCs w:val="21"/>
          <w:highlight w:val="none"/>
          <w14:textFill>
            <w14:solidFill>
              <w14:schemeClr w14:val="tx1"/>
            </w14:solidFill>
          </w14:textFill>
        </w:rPr>
        <w:t>模块化</w:t>
      </w:r>
      <w:r>
        <w:rPr>
          <w:rFonts w:hint="default" w:ascii="Times New Roman" w:hAnsi="Times New Roman" w:cs="Times New Roman"/>
          <w:color w:val="000000" w:themeColor="text1"/>
          <w:szCs w:val="21"/>
          <w:highlight w:val="none"/>
          <w:lang w:val="en-US" w:eastAsia="zh-CN"/>
          <w14:textFill>
            <w14:solidFill>
              <w14:schemeClr w14:val="tx1"/>
            </w14:solidFill>
          </w14:textFill>
        </w:rPr>
        <w:t>叠合</w:t>
      </w:r>
      <w:r>
        <w:rPr>
          <w:rFonts w:hint="default" w:ascii="Times New Roman" w:hAnsi="Times New Roman" w:cs="Times New Roman"/>
          <w:color w:val="000000" w:themeColor="text1"/>
          <w:szCs w:val="21"/>
          <w:highlight w:val="none"/>
          <w14:textFill>
            <w14:solidFill>
              <w14:schemeClr w14:val="tx1"/>
            </w14:solidFill>
          </w14:textFill>
        </w:rPr>
        <w:t>剪力墙结构中梁模</w:t>
      </w:r>
      <w:bookmarkEnd w:id="540"/>
      <w:r>
        <w:rPr>
          <w:rFonts w:hint="default" w:ascii="Times New Roman" w:hAnsi="Times New Roman" w:cs="Times New Roman"/>
          <w:color w:val="000000" w:themeColor="text1"/>
          <w:szCs w:val="21"/>
          <w:highlight w:val="none"/>
          <w14:textFill>
            <w14:solidFill>
              <w14:schemeClr w14:val="tx1"/>
            </w14:solidFill>
          </w14:textFill>
        </w:rPr>
        <w:t>的构造（图</w:t>
      </w:r>
      <w:r>
        <w:rPr>
          <w:rFonts w:hint="default" w:ascii="Times New Roman" w:hAnsi="Times New Roman" w:cs="Times New Roman"/>
          <w:color w:val="000000" w:themeColor="text1"/>
          <w:szCs w:val="21"/>
          <w:highlight w:val="none"/>
          <w:lang w:val="en-US" w:eastAsia="zh-CN"/>
          <w14:textFill>
            <w14:solidFill>
              <w14:schemeClr w14:val="tx1"/>
            </w14:solidFill>
          </w14:textFill>
        </w:rPr>
        <w:t>6.4</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14</w:t>
      </w:r>
      <w:r>
        <w:rPr>
          <w:rFonts w:hint="default" w:ascii="Times New Roman" w:hAnsi="Times New Roman" w:cs="Times New Roman"/>
          <w:color w:val="000000" w:themeColor="text1"/>
          <w:szCs w:val="21"/>
          <w:highlight w:val="none"/>
          <w14:textFill>
            <w14:solidFill>
              <w14:schemeClr w14:val="tx1"/>
            </w14:solidFill>
          </w14:textFill>
        </w:rPr>
        <w:t>），应符合下列</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w:t>
      </w:r>
      <w:bookmarkEnd w:id="539"/>
    </w:p>
    <w:p>
      <w:pPr>
        <w:widowControl/>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541" w:name="_Toc11368"/>
      <w:r>
        <w:rPr>
          <w:rFonts w:hint="default" w:ascii="Times New Roman" w:hAnsi="Times New Roman" w:cs="Times New Roman"/>
          <w:b/>
          <w:bCs/>
          <w:color w:val="000000" w:themeColor="text1"/>
          <w:szCs w:val="21"/>
          <w:highlight w:val="none"/>
          <w14:textFill>
            <w14:solidFill>
              <w14:schemeClr w14:val="tx1"/>
            </w14:solidFill>
          </w14:textFill>
        </w:rPr>
        <w:t xml:space="preserve">1 </w:t>
      </w:r>
      <w:r>
        <w:rPr>
          <w:rFonts w:hint="default" w:ascii="Times New Roman" w:hAnsi="Times New Roman" w:cs="Times New Roman"/>
          <w:color w:val="000000" w:themeColor="text1"/>
          <w:szCs w:val="21"/>
          <w:highlight w:val="none"/>
          <w14:textFill>
            <w14:solidFill>
              <w14:schemeClr w14:val="tx1"/>
            </w14:solidFill>
          </w14:textFill>
        </w:rPr>
        <w:t xml:space="preserve"> 梁模的分布钢筋直径不宜小于6mm，间距不宜大于200mm，且梁模中的钢筋不应作为梁的受力钢筋考虑；</w:t>
      </w:r>
      <w:bookmarkEnd w:id="541"/>
      <w:r>
        <w:rPr>
          <w:rFonts w:hint="default" w:ascii="Times New Roman" w:hAnsi="Times New Roman" w:cs="Times New Roman"/>
          <w:color w:val="000000" w:themeColor="text1"/>
          <w:szCs w:val="21"/>
          <w:highlight w:val="none"/>
          <w14:textFill>
            <w14:solidFill>
              <w14:schemeClr w14:val="tx1"/>
            </w14:solidFill>
          </w14:textFill>
        </w:rPr>
        <w:t>梁模与现浇混凝土结合面应设置深度不小于4mm的粗糙面；</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542" w:name="_Toc29817"/>
      <w:bookmarkStart w:id="543" w:name="_Toc11242"/>
      <w:bookmarkStart w:id="544" w:name="_Toc21155"/>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梁模选用的混凝土强度等级不应低于C30；</w:t>
      </w:r>
      <w:bookmarkEnd w:id="542"/>
      <w:bookmarkEnd w:id="543"/>
      <w:bookmarkEnd w:id="54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545" w:name="_Toc10672"/>
      <w:bookmarkStart w:id="546" w:name="_Toc26368"/>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在叠合梁构件区域钢筋外侧与墙模之间的距离a不应小于10mm；应考虑梁模对梁抗弯刚度和承载力的影响，结构弹性分析计算时叠合梁按有梁模和无梁模进行包络设计</w:t>
      </w:r>
      <w:bookmarkEnd w:id="545"/>
      <w:r>
        <w:rPr>
          <w:rFonts w:hint="default" w:ascii="Times New Roman" w:hAnsi="Times New Roman" w:cs="Times New Roman"/>
          <w:color w:val="000000" w:themeColor="text1"/>
          <w:szCs w:val="21"/>
          <w:highlight w:val="none"/>
          <w14:textFill>
            <w14:solidFill>
              <w14:schemeClr w14:val="tx1"/>
            </w14:solidFill>
          </w14:textFill>
        </w:rPr>
        <w:t>；</w:t>
      </w:r>
      <w:bookmarkEnd w:id="546"/>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547" w:name="_Toc3519"/>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模块间叠合梁下部拼缝宜设置防止混凝土渗漏的措施，梁下边框高度尺寸宜取h</w:t>
      </w:r>
      <w:r>
        <w:rPr>
          <w:rFonts w:hint="default" w:ascii="Times New Roman" w:hAnsi="Times New Roman" w:cs="Times New Roman"/>
          <w:color w:val="000000" w:themeColor="text1"/>
          <w:szCs w:val="21"/>
          <w:highlight w:val="none"/>
          <w:vertAlign w:val="subscript"/>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=100</w:t>
      </w:r>
      <w:r>
        <w:rPr>
          <w:rFonts w:hint="default" w:ascii="Times New Roman" w:hAnsi="Times New Roman" w:cs="Times New Roman"/>
          <w:color w:val="000000" w:themeColor="text1"/>
          <w:szCs w:val="21"/>
          <w:highlight w:val="none"/>
          <w:lang w:val="en-US" w:eastAsia="zh-CN"/>
          <w14:textFill>
            <w14:solidFill>
              <w14:schemeClr w14:val="tx1"/>
            </w14:solidFill>
          </w14:textFill>
        </w:rPr>
        <w:t>mm</w:t>
      </w:r>
      <w:r>
        <w:rPr>
          <w:rFonts w:hint="default" w:ascii="Times New Roman" w:hAnsi="Times New Roman" w:cs="Times New Roman"/>
          <w:color w:val="000000" w:themeColor="text1"/>
          <w:szCs w:val="21"/>
          <w:highlight w:val="none"/>
          <w14:textFill>
            <w14:solidFill>
              <w14:schemeClr w14:val="tx1"/>
            </w14:solidFill>
          </w14:textFill>
        </w:rPr>
        <w:t>～150mm</w:t>
      </w:r>
      <w:bookmarkEnd w:id="547"/>
      <w:r>
        <w:rPr>
          <w:rFonts w:hint="default" w:ascii="Times New Roman" w:hAnsi="Times New Roman" w:cs="Times New Roman"/>
          <w:color w:val="000000" w:themeColor="text1"/>
          <w:szCs w:val="21"/>
          <w:highlight w:val="none"/>
          <w14:textFill>
            <w14:solidFill>
              <w14:schemeClr w14:val="tx1"/>
            </w14:solidFill>
          </w14:textFill>
        </w:rPr>
        <w:t>。</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42" w:hRule="atLeast"/>
        </w:trPr>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619885" cy="1679575"/>
                  <wp:effectExtent l="0" t="0" r="0" b="0"/>
                  <wp:docPr id="54"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true"/>
                          </pic:cNvPicPr>
                        </pic:nvPicPr>
                        <pic:blipFill>
                          <a:blip r:embed="rId30"/>
                          <a:srcRect b="1746"/>
                          <a:stretch>
                            <a:fillRect/>
                          </a:stretch>
                        </pic:blipFill>
                        <pic:spPr>
                          <a:xfrm>
                            <a:off x="0" y="0"/>
                            <a:ext cx="1619885" cy="16795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18"/>
                <w:highlight w:val="none"/>
                <w14:textFill>
                  <w14:solidFill>
                    <w14:schemeClr w14:val="tx1"/>
                  </w14:solidFill>
                </w14:textFill>
              </w:rPr>
              <w:t>图</w:t>
            </w:r>
            <w:r>
              <w:rPr>
                <w:rFonts w:hint="default" w:ascii="Times New Roman" w:hAnsi="Times New Roman" w:cs="Times New Roman"/>
                <w:b/>
                <w:color w:val="000000" w:themeColor="text1"/>
                <w:szCs w:val="18"/>
                <w:highlight w:val="none"/>
                <w:lang w:val="en-US" w:eastAsia="zh-CN"/>
                <w14:textFill>
                  <w14:solidFill>
                    <w14:schemeClr w14:val="tx1"/>
                  </w14:solidFill>
                </w14:textFill>
              </w:rPr>
              <w:t>6.4</w:t>
            </w:r>
            <w:r>
              <w:rPr>
                <w:rFonts w:hint="default" w:ascii="Times New Roman" w:hAnsi="Times New Roman" w:cs="Times New Roman"/>
                <w:b/>
                <w:color w:val="000000" w:themeColor="text1"/>
                <w:szCs w:val="18"/>
                <w:highlight w:val="none"/>
                <w14:textFill>
                  <w14:solidFill>
                    <w14:schemeClr w14:val="tx1"/>
                  </w14:solidFill>
                </w14:textFill>
              </w:rPr>
              <w:t>.</w:t>
            </w:r>
            <w:r>
              <w:rPr>
                <w:rFonts w:hint="default" w:ascii="Times New Roman" w:hAnsi="Times New Roman" w:cs="Times New Roman"/>
                <w:b/>
                <w:color w:val="000000" w:themeColor="text1"/>
                <w:szCs w:val="18"/>
                <w:highlight w:val="none"/>
                <w:lang w:val="en-US" w:eastAsia="zh-CN"/>
                <w14:textFill>
                  <w14:solidFill>
                    <w14:schemeClr w14:val="tx1"/>
                  </w14:solidFill>
                </w14:textFill>
              </w:rPr>
              <w:t>14</w:t>
            </w:r>
            <w:r>
              <w:rPr>
                <w:rFonts w:hint="default" w:ascii="Times New Roman" w:hAnsi="Times New Roman" w:cs="Times New Roman"/>
                <w:b/>
                <w:color w:val="000000" w:themeColor="text1"/>
                <w:szCs w:val="18"/>
                <w:highlight w:val="none"/>
                <w14:textFill>
                  <w14:solidFill>
                    <w14:schemeClr w14:val="tx1"/>
                  </w14:solidFill>
                </w14:textFill>
              </w:rPr>
              <w:t xml:space="preserve"> </w:t>
            </w:r>
            <w:r>
              <w:rPr>
                <w:rFonts w:hint="default" w:ascii="Times New Roman" w:hAnsi="Times New Roman" w:cs="Times New Roman"/>
                <w:color w:val="000000" w:themeColor="text1"/>
                <w:szCs w:val="18"/>
                <w:highlight w:val="none"/>
                <w14:textFill>
                  <w14:solidFill>
                    <w14:schemeClr w14:val="tx1"/>
                  </w14:solidFill>
                </w14:textFill>
              </w:rPr>
              <w:t>叠合梁模构造示意图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pPr>
              <w:widowControl/>
              <w:jc w:val="center"/>
              <w:rPr>
                <w:rFonts w:hint="default" w:ascii="Times New Roman" w:hAnsi="Times New Roman" w:eastAsia="黑体" w:cs="Times New Roman"/>
                <w:color w:val="000000" w:themeColor="text1"/>
                <w:kern w:val="0"/>
                <w:sz w:val="16"/>
                <w:szCs w:val="16"/>
                <w:highlight w:val="none"/>
                <w:lang w:bidi="ar"/>
                <w14:textFill>
                  <w14:solidFill>
                    <w14:schemeClr w14:val="tx1"/>
                  </w14:solidFill>
                </w14:textFill>
              </w:rPr>
            </w:pPr>
            <w:r>
              <w:rPr>
                <w:rFonts w:hint="default" w:ascii="Times New Roman" w:hAnsi="Times New Roman" w:eastAsia="黑体" w:cs="Times New Roman"/>
                <w:color w:val="000000" w:themeColor="text1"/>
                <w:kern w:val="0"/>
                <w:sz w:val="16"/>
                <w:szCs w:val="16"/>
                <w:highlight w:val="none"/>
                <w:lang w:bidi="ar"/>
                <w14:textFill>
                  <w14:solidFill>
                    <w14:schemeClr w14:val="tx1"/>
                  </w14:solidFill>
                </w14:textFill>
              </w:rPr>
              <w:t>1—右侧模块叠合梁部分；2—预制叠合板；3—梁板现浇部分；</w:t>
            </w:r>
          </w:p>
          <w:p>
            <w:pPr>
              <w:widowControl/>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kern w:val="0"/>
                <w:sz w:val="16"/>
                <w:szCs w:val="16"/>
                <w:highlight w:val="none"/>
                <w:lang w:bidi="ar"/>
                <w14:textFill>
                  <w14:solidFill>
                    <w14:schemeClr w14:val="tx1"/>
                  </w14:solidFill>
                </w14:textFill>
              </w:rPr>
              <w:t>4—左侧模块梁模部分；5—防</w:t>
            </w:r>
            <w:r>
              <w:rPr>
                <w:rFonts w:hint="default" w:ascii="Times New Roman" w:hAnsi="Times New Roman" w:eastAsia="黑体" w:cs="Times New Roman"/>
                <w:color w:val="000000" w:themeColor="text1"/>
                <w:kern w:val="0"/>
                <w:sz w:val="16"/>
                <w:szCs w:val="16"/>
                <w:highlight w:val="none"/>
                <w:lang w:val="en-US" w:eastAsia="zh-CN" w:bidi="ar"/>
                <w14:textFill>
                  <w14:solidFill>
                    <w14:schemeClr w14:val="tx1"/>
                  </w14:solidFill>
                </w14:textFill>
              </w:rPr>
              <w:t>渗漏</w:t>
            </w:r>
            <w:r>
              <w:rPr>
                <w:rFonts w:hint="default" w:ascii="Times New Roman" w:hAnsi="Times New Roman" w:eastAsia="黑体" w:cs="Times New Roman"/>
                <w:color w:val="000000" w:themeColor="text1"/>
                <w:kern w:val="0"/>
                <w:sz w:val="16"/>
                <w:szCs w:val="16"/>
                <w:highlight w:val="none"/>
                <w:lang w:bidi="ar"/>
                <w14:textFill>
                  <w14:solidFill>
                    <w14:schemeClr w14:val="tx1"/>
                  </w14:solidFill>
                </w14:textFill>
              </w:rPr>
              <w:t>胶条</w:t>
            </w:r>
            <w:r>
              <w:rPr>
                <w:rFonts w:hint="default" w:ascii="Times New Roman" w:hAnsi="Times New Roman" w:eastAsia="黑体" w:cs="Times New Roman"/>
                <w:color w:val="000000" w:themeColor="text1"/>
                <w:kern w:val="0"/>
                <w:sz w:val="16"/>
                <w:szCs w:val="16"/>
                <w:highlight w:val="none"/>
                <w:lang w:eastAsia="zh-CN" w:bidi="ar"/>
                <w14:textFill>
                  <w14:solidFill>
                    <w14:schemeClr w14:val="tx1"/>
                  </w14:solidFill>
                </w14:textFill>
              </w:rPr>
              <w:t>；</w:t>
            </w:r>
            <w:r>
              <w:rPr>
                <w:rFonts w:hint="default" w:ascii="Times New Roman" w:hAnsi="Times New Roman" w:eastAsia="黑体" w:cs="Times New Roman"/>
                <w:color w:val="000000" w:themeColor="text1"/>
                <w:kern w:val="0"/>
                <w:sz w:val="16"/>
                <w:szCs w:val="16"/>
                <w:highlight w:val="none"/>
                <w:lang w:val="en-US" w:eastAsia="zh-CN" w:bidi="ar"/>
                <w14:textFill>
                  <w14:solidFill>
                    <w14:schemeClr w14:val="tx1"/>
                  </w14:solidFill>
                </w14:textFill>
              </w:rPr>
              <w:t>6—柔性垫层；7—上部隔墙</w:t>
            </w:r>
          </w:p>
        </w:tc>
      </w:tr>
    </w:tbl>
    <w:p>
      <w:pPr>
        <w:widowControl/>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bookmarkStart w:id="548" w:name="_Toc11785"/>
      <w:bookmarkStart w:id="549" w:name="_Toc18932"/>
      <w:bookmarkStart w:id="550" w:name="_Toc14240"/>
      <w:bookmarkStart w:id="551" w:name="_Toc2024"/>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6.4.15 </w:t>
      </w:r>
      <w:r>
        <w:rPr>
          <w:rFonts w:hint="default" w:ascii="Times New Roman" w:hAnsi="Times New Roman" w:cs="Times New Roman"/>
          <w:color w:val="000000" w:themeColor="text1"/>
          <w:sz w:val="21"/>
          <w:szCs w:val="21"/>
          <w:highlight w:val="none"/>
          <w14:textFill>
            <w14:solidFill>
              <w14:schemeClr w14:val="tx1"/>
            </w14:solidFill>
          </w14:textFill>
        </w:rPr>
        <w:t xml:space="preserve"> 模块</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化叠合剪力墙</w:t>
      </w:r>
      <w:r>
        <w:rPr>
          <w:rFonts w:hint="default" w:ascii="Times New Roman" w:hAnsi="Times New Roman" w:cs="Times New Roman"/>
          <w:color w:val="000000" w:themeColor="text1"/>
          <w:sz w:val="21"/>
          <w:szCs w:val="21"/>
          <w:highlight w:val="none"/>
          <w14:textFill>
            <w14:solidFill>
              <w14:schemeClr w14:val="tx1"/>
            </w14:solidFill>
          </w14:textFill>
        </w:rPr>
        <w:t>结构中</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的</w:t>
      </w:r>
      <w:r>
        <w:rPr>
          <w:rFonts w:hint="default" w:ascii="Times New Roman" w:hAnsi="Times New Roman" w:cs="Times New Roman"/>
          <w:color w:val="000000" w:themeColor="text1"/>
          <w:sz w:val="21"/>
          <w:szCs w:val="21"/>
          <w:highlight w:val="none"/>
          <w14:textFill>
            <w14:solidFill>
              <w14:schemeClr w14:val="tx1"/>
            </w14:solidFill>
          </w14:textFill>
        </w:rPr>
        <w:t>叠合剪力墙应符合下列</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 w:val="21"/>
          <w:szCs w:val="21"/>
          <w:highlight w:val="none"/>
          <w14:textFill>
            <w14:solidFill>
              <w14:schemeClr w14:val="tx1"/>
            </w14:solidFill>
          </w14:textFill>
        </w:rPr>
        <w:t>：</w:t>
      </w:r>
      <w:bookmarkEnd w:id="548"/>
      <w:bookmarkEnd w:id="549"/>
      <w:bookmarkEnd w:id="550"/>
      <w:bookmarkEnd w:id="551"/>
    </w:p>
    <w:p>
      <w:pPr>
        <w:spacing w:line="360" w:lineRule="exact"/>
        <w:ind w:firstLine="421" w:firstLineChars="200"/>
        <w:rPr>
          <w:rFonts w:hint="default" w:ascii="Times New Roman" w:hAnsi="Times New Roman" w:cs="Times New Roman"/>
          <w:color w:val="000000" w:themeColor="text1"/>
          <w:sz w:val="21"/>
          <w:szCs w:val="21"/>
          <w:highlight w:val="none"/>
          <w14:textFill>
            <w14:solidFill>
              <w14:schemeClr w14:val="tx1"/>
            </w14:solidFill>
          </w14:textFill>
        </w:rPr>
      </w:pPr>
      <w:bookmarkStart w:id="552" w:name="_Toc22681"/>
      <w:bookmarkStart w:id="553" w:name="_Toc13201"/>
      <w:bookmarkStart w:id="554" w:name="_Toc5411"/>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叠合剪力墙的墙体厚度应符合</w:t>
      </w:r>
      <w:r>
        <w:rPr>
          <w:rFonts w:hint="default" w:ascii="Times New Roman" w:hAnsi="Times New Roman" w:cs="Times New Roman"/>
          <w:strike w:val="0"/>
          <w:dstrike w:val="0"/>
          <w:color w:val="000000" w:themeColor="text1"/>
          <w:sz w:val="21"/>
          <w:szCs w:val="21"/>
          <w:highlight w:val="none"/>
          <w14:textFill>
            <w14:solidFill>
              <w14:schemeClr w14:val="tx1"/>
            </w14:solidFill>
          </w14:textFill>
        </w:rPr>
        <w:t>现行</w:t>
      </w:r>
      <w:r>
        <w:rPr>
          <w:rFonts w:hint="default" w:ascii="Times New Roman" w:hAnsi="Times New Roman" w:cs="Times New Roman"/>
          <w:strike w:val="0"/>
          <w:dstrike w:val="0"/>
          <w:color w:val="000000" w:themeColor="text1"/>
          <w:sz w:val="21"/>
          <w:szCs w:val="21"/>
          <w:highlight w:val="none"/>
          <w:lang w:val="en-US" w:eastAsia="zh-CN"/>
          <w14:textFill>
            <w14:solidFill>
              <w14:schemeClr w14:val="tx1"/>
            </w14:solidFill>
          </w14:textFill>
        </w:rPr>
        <w:t>行业标准</w:t>
      </w:r>
      <w:r>
        <w:rPr>
          <w:rFonts w:hint="default" w:ascii="Times New Roman" w:hAnsi="Times New Roman" w:cs="Times New Roman"/>
          <w:color w:val="000000" w:themeColor="text1"/>
          <w:sz w:val="21"/>
          <w:szCs w:val="21"/>
          <w:highlight w:val="none"/>
          <w14:textFill>
            <w14:solidFill>
              <w14:schemeClr w14:val="tx1"/>
            </w14:solidFill>
          </w14:textFill>
        </w:rPr>
        <w:t>《高层建筑混凝土结构技术规程》JGJ 3 中墙体稳定验算的有关规定</w:t>
      </w:r>
      <w:bookmarkEnd w:id="552"/>
      <w:bookmarkEnd w:id="553"/>
      <w:bookmarkEnd w:id="554"/>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555" w:name="_Toc17126"/>
      <w:bookmarkStart w:id="556" w:name="_Toc5691"/>
      <w:bookmarkStart w:id="557" w:name="_Toc2606"/>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Cambria Math" w:hAnsi="Cambria Math" w:cs="Cambria Math"/>
          <w:color w:val="000000" w:themeColor="text1"/>
          <w:sz w:val="21"/>
          <w:szCs w:val="21"/>
          <w:highlight w:val="none"/>
          <w14:textFill>
            <w14:solidFill>
              <w14:schemeClr w14:val="tx1"/>
            </w14:solidFill>
          </w14:textFill>
        </w:rPr>
        <w:t>叠合剪力墙的计算厚度</w:t>
      </w:r>
      <w:r>
        <w:rPr>
          <w:rFonts w:hint="default" w:ascii="Cambria Math" w:hAnsi="Cambria Math" w:cs="Cambria Math"/>
          <w:i/>
          <w:iCs/>
          <w:color w:val="000000" w:themeColor="text1"/>
          <w:sz w:val="21"/>
          <w:szCs w:val="21"/>
          <w:highlight w:val="none"/>
          <w14:textFill>
            <w14:solidFill>
              <w14:schemeClr w14:val="tx1"/>
            </w14:solidFill>
          </w14:textFill>
        </w:rPr>
        <w:t>b</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w</w:t>
      </w:r>
      <w:r>
        <w:rPr>
          <w:rFonts w:hint="default" w:ascii="Cambria Math" w:hAnsi="Cambria Math" w:cs="Cambria Math"/>
          <w:color w:val="000000" w:themeColor="text1"/>
          <w:sz w:val="21"/>
          <w:szCs w:val="21"/>
          <w:highlight w:val="none"/>
          <w14:textFill>
            <w14:solidFill>
              <w14:schemeClr w14:val="tx1"/>
            </w14:solidFill>
          </w14:textFill>
        </w:rPr>
        <w:t>取叠合剪力墙全截面有效结构厚度</w:t>
      </w:r>
      <w:r>
        <w:rPr>
          <w:rFonts w:hint="default" w:ascii="Cambria Math" w:hAnsi="Cambria Math" w:cs="Cambria Math"/>
          <w:color w:val="000000" w:themeColor="text1"/>
          <w:sz w:val="21"/>
          <w:szCs w:val="21"/>
          <w:highlight w:val="none"/>
          <w:lang w:eastAsia="zh-CN"/>
          <w14:textFill>
            <w14:solidFill>
              <w14:schemeClr w14:val="tx1"/>
            </w14:solidFill>
          </w14:textFill>
        </w:rPr>
        <w:t>：</w:t>
      </w:r>
      <w:r>
        <w:rPr>
          <w:rFonts w:hint="default" w:ascii="Cambria Math" w:hAnsi="Cambria Math" w:cs="Cambria Math"/>
          <w:color w:val="000000" w:themeColor="text1"/>
          <w:sz w:val="21"/>
          <w:szCs w:val="21"/>
          <w:highlight w:val="none"/>
          <w14:textFill>
            <w14:solidFill>
              <w14:schemeClr w14:val="tx1"/>
            </w14:solidFill>
          </w14:textFill>
        </w:rPr>
        <w:t xml:space="preserve">双面叠合剪力墙厚度取叶板厚度 </w:t>
      </w:r>
      <w:r>
        <w:rPr>
          <w:rFonts w:hint="default" w:ascii="Cambria Math" w:hAnsi="Cambria Math" w:cs="Cambria Math"/>
          <w:i/>
          <w:iCs/>
          <w:color w:val="000000" w:themeColor="text1"/>
          <w:sz w:val="21"/>
          <w:szCs w:val="21"/>
          <w:highlight w:val="none"/>
          <w14:textFill>
            <w14:solidFill>
              <w14:schemeClr w14:val="tx1"/>
            </w14:solidFill>
          </w14:textFill>
        </w:rPr>
        <w:t>t</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1</w:t>
      </w:r>
      <w:r>
        <w:rPr>
          <w:rFonts w:hint="default" w:ascii="Cambria Math" w:hAnsi="Cambria Math" w:cs="Cambria Math"/>
          <w:color w:val="000000" w:themeColor="text1"/>
          <w:sz w:val="21"/>
          <w:szCs w:val="21"/>
          <w:highlight w:val="none"/>
          <w14:textFill>
            <w14:solidFill>
              <w14:schemeClr w14:val="tx1"/>
            </w14:solidFill>
          </w14:textFill>
        </w:rPr>
        <w:t>、</w:t>
      </w:r>
      <w:r>
        <w:rPr>
          <w:rFonts w:hint="default" w:ascii="Cambria Math" w:hAnsi="Cambria Math" w:cs="Cambria Math"/>
          <w:i/>
          <w:iCs/>
          <w:color w:val="000000" w:themeColor="text1"/>
          <w:sz w:val="21"/>
          <w:szCs w:val="21"/>
          <w:highlight w:val="none"/>
          <w14:textFill>
            <w14:solidFill>
              <w14:schemeClr w14:val="tx1"/>
            </w14:solidFill>
          </w14:textFill>
        </w:rPr>
        <w:t>t</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2</w:t>
      </w:r>
      <w:r>
        <w:rPr>
          <w:rFonts w:hint="default" w:ascii="Cambria Math" w:hAnsi="Cambria Math" w:cs="Cambria Math"/>
          <w:color w:val="000000" w:themeColor="text1"/>
          <w:sz w:val="21"/>
          <w:szCs w:val="21"/>
          <w:highlight w:val="none"/>
          <w14:textFill>
            <w14:solidFill>
              <w14:schemeClr w14:val="tx1"/>
            </w14:solidFill>
          </w14:textFill>
        </w:rPr>
        <w:t>与后浇混凝土厚度</w:t>
      </w:r>
      <w:r>
        <w:rPr>
          <w:rFonts w:hint="default" w:ascii="Cambria Math" w:hAnsi="Cambria Math" w:cs="Cambria Math"/>
          <w:i/>
          <w:iCs/>
          <w:color w:val="000000" w:themeColor="text1"/>
          <w:sz w:val="21"/>
          <w:szCs w:val="21"/>
          <w:highlight w:val="none"/>
          <w14:textFill>
            <w14:solidFill>
              <w14:schemeClr w14:val="tx1"/>
            </w14:solidFill>
          </w14:textFill>
        </w:rPr>
        <w:t>t</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0</w:t>
      </w:r>
      <w:r>
        <w:rPr>
          <w:rFonts w:hint="default" w:ascii="Cambria Math" w:hAnsi="Cambria Math" w:cs="Cambria Math"/>
          <w:color w:val="000000" w:themeColor="text1"/>
          <w:sz w:val="21"/>
          <w:szCs w:val="21"/>
          <w:highlight w:val="none"/>
          <w14:textFill>
            <w14:solidFill>
              <w14:schemeClr w14:val="tx1"/>
            </w14:solidFill>
          </w14:textFill>
        </w:rPr>
        <w:t>之和</w:t>
      </w:r>
      <w:bookmarkEnd w:id="555"/>
      <w:bookmarkEnd w:id="556"/>
      <w:bookmarkEnd w:id="557"/>
      <w:r>
        <w:rPr>
          <w:rFonts w:hint="default" w:ascii="Cambria Math" w:hAnsi="Cambria Math" w:cs="Cambria Math"/>
          <w:color w:val="000000" w:themeColor="text1"/>
          <w:sz w:val="21"/>
          <w:szCs w:val="21"/>
          <w:highlight w:val="none"/>
          <w:lang w:eastAsia="zh-CN"/>
          <w14:textFill>
            <w14:solidFill>
              <w14:schemeClr w14:val="tx1"/>
            </w14:solidFill>
          </w14:textFill>
        </w:rPr>
        <w:t>；</w:t>
      </w:r>
      <w:bookmarkStart w:id="558" w:name="_Toc19880"/>
      <w:bookmarkStart w:id="559" w:name="_Toc12452"/>
      <w:bookmarkStart w:id="560" w:name="_Toc13219"/>
      <w:r>
        <w:rPr>
          <w:rFonts w:hint="default" w:ascii="Cambria Math" w:hAnsi="Cambria Math" w:cs="Cambria Math"/>
          <w:color w:val="000000" w:themeColor="text1"/>
          <w:sz w:val="21"/>
          <w:szCs w:val="21"/>
          <w:highlight w:val="none"/>
          <w14:textFill>
            <w14:solidFill>
              <w14:schemeClr w14:val="tx1"/>
            </w14:solidFill>
          </w14:textFill>
        </w:rPr>
        <w:t>单面叠合剪力墙边缘构件的计算厚度取叶板厚度</w:t>
      </w:r>
      <w:r>
        <w:rPr>
          <w:rFonts w:hint="default" w:ascii="Cambria Math" w:hAnsi="Cambria Math" w:cs="Cambria Math"/>
          <w:i/>
          <w:iCs/>
          <w:color w:val="000000" w:themeColor="text1"/>
          <w:sz w:val="21"/>
          <w:szCs w:val="21"/>
          <w:highlight w:val="none"/>
          <w14:textFill>
            <w14:solidFill>
              <w14:schemeClr w14:val="tx1"/>
            </w14:solidFill>
          </w14:textFill>
        </w:rPr>
        <w:t>t</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1</w:t>
      </w:r>
      <w:r>
        <w:rPr>
          <w:rFonts w:hint="default" w:ascii="Cambria Math" w:hAnsi="Cambria Math" w:cs="Cambria Math"/>
          <w:color w:val="000000" w:themeColor="text1"/>
          <w:sz w:val="21"/>
          <w:szCs w:val="21"/>
          <w:highlight w:val="none"/>
          <w14:textFill>
            <w14:solidFill>
              <w14:schemeClr w14:val="tx1"/>
            </w14:solidFill>
          </w14:textFill>
        </w:rPr>
        <w:t>与后浇混凝土厚度</w:t>
      </w:r>
      <w:r>
        <w:rPr>
          <w:rFonts w:hint="default" w:ascii="Cambria Math" w:hAnsi="Cambria Math" w:cs="Cambria Math"/>
          <w:i/>
          <w:iCs/>
          <w:color w:val="000000" w:themeColor="text1"/>
          <w:sz w:val="21"/>
          <w:szCs w:val="21"/>
          <w:highlight w:val="none"/>
          <w14:textFill>
            <w14:solidFill>
              <w14:schemeClr w14:val="tx1"/>
            </w14:solidFill>
          </w14:textFill>
        </w:rPr>
        <w:t>t</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0</w:t>
      </w:r>
      <w:r>
        <w:rPr>
          <w:rFonts w:hint="default" w:ascii="Cambria Math" w:hAnsi="Cambria Math" w:cs="Cambria Math"/>
          <w:color w:val="000000" w:themeColor="text1"/>
          <w:sz w:val="21"/>
          <w:szCs w:val="21"/>
          <w:highlight w:val="none"/>
          <w14:textFill>
            <w14:solidFill>
              <w14:schemeClr w14:val="tx1"/>
            </w14:solidFill>
          </w14:textFill>
        </w:rPr>
        <w:t>之和</w:t>
      </w:r>
      <w:bookmarkEnd w:id="558"/>
      <w:bookmarkEnd w:id="559"/>
      <w:bookmarkEnd w:id="560"/>
      <w:r>
        <w:rPr>
          <w:rFonts w:hint="default" w:ascii="Cambria Math" w:hAnsi="Cambria Math" w:cs="Cambria Math"/>
          <w:color w:val="000000" w:themeColor="text1"/>
          <w:sz w:val="2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 w:val="21"/>
          <w:szCs w:val="21"/>
          <w:highlight w:val="none"/>
          <w14:textFill>
            <w14:solidFill>
              <w14:schemeClr w14:val="tx1"/>
            </w14:solidFill>
          </w14:textFill>
        </w:rPr>
      </w:pPr>
      <w:bookmarkStart w:id="561" w:name="_Toc26676"/>
      <w:bookmarkStart w:id="562" w:name="_Toc45"/>
      <w:bookmarkStart w:id="563" w:name="_Toc19600"/>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墙肢厚度</w:t>
      </w:r>
      <w:r>
        <w:rPr>
          <w:rFonts w:hint="default" w:ascii="Cambria Math" w:hAnsi="Cambria Math" w:cs="Cambria Math"/>
          <w:i/>
          <w:iCs/>
          <w:color w:val="000000" w:themeColor="text1"/>
          <w:sz w:val="21"/>
          <w:szCs w:val="21"/>
          <w:highlight w:val="none"/>
          <w14:textFill>
            <w14:solidFill>
              <w14:schemeClr w14:val="tx1"/>
            </w14:solidFill>
          </w14:textFill>
        </w:rPr>
        <w:t>b</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w</w:t>
      </w:r>
      <w:r>
        <w:rPr>
          <w:rFonts w:hint="default" w:ascii="Times New Roman" w:hAnsi="Times New Roman" w:cs="Times New Roman"/>
          <w:color w:val="000000" w:themeColor="text1"/>
          <w:sz w:val="21"/>
          <w:szCs w:val="21"/>
          <w:highlight w:val="none"/>
          <w14:textFill>
            <w14:solidFill>
              <w14:schemeClr w14:val="tx1"/>
            </w14:solidFill>
          </w14:textFill>
        </w:rPr>
        <w:t>不宜小于 200mm，叶板厚度不宜小于50mm</w:t>
      </w:r>
      <w:bookmarkEnd w:id="561"/>
      <w:bookmarkEnd w:id="562"/>
      <w:bookmarkEnd w:id="563"/>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 w:val="21"/>
          <w:szCs w:val="21"/>
          <w:highlight w:val="none"/>
          <w14:textFill>
            <w14:solidFill>
              <w14:schemeClr w14:val="tx1"/>
            </w14:solidFill>
          </w14:textFill>
        </w:rPr>
      </w:pPr>
      <w:bookmarkStart w:id="564" w:name="_Toc30930"/>
      <w:bookmarkStart w:id="565" w:name="_Toc29905"/>
      <w:bookmarkStart w:id="566" w:name="_Toc11059"/>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叠合剪力墙后浇混凝土厚度</w:t>
      </w:r>
      <w:r>
        <w:rPr>
          <w:rFonts w:hint="default" w:ascii="Cambria Math" w:hAnsi="Cambria Math" w:cs="Cambria Math"/>
          <w:i/>
          <w:iCs/>
          <w:color w:val="000000" w:themeColor="text1"/>
          <w:sz w:val="21"/>
          <w:szCs w:val="21"/>
          <w:highlight w:val="none"/>
          <w14:textFill>
            <w14:solidFill>
              <w14:schemeClr w14:val="tx1"/>
            </w14:solidFill>
          </w14:textFill>
        </w:rPr>
        <w:t>t</w:t>
      </w:r>
      <w:r>
        <w:rPr>
          <w:rFonts w:hint="default" w:ascii="Cambria Math" w:hAnsi="Cambria Math" w:cs="Cambria Math"/>
          <w:i/>
          <w:iCs/>
          <w:color w:val="000000" w:themeColor="text1"/>
          <w:sz w:val="21"/>
          <w:szCs w:val="21"/>
          <w:highlight w:val="none"/>
          <w:vertAlign w:val="subscript"/>
          <w14:textFill>
            <w14:solidFill>
              <w14:schemeClr w14:val="tx1"/>
            </w14:solidFill>
          </w14:textFill>
        </w:rPr>
        <w:t>0</w:t>
      </w:r>
      <w:r>
        <w:rPr>
          <w:rFonts w:hint="default" w:ascii="Times New Roman" w:hAnsi="Times New Roman" w:cs="Times New Roman"/>
          <w:color w:val="000000" w:themeColor="text1"/>
          <w:sz w:val="21"/>
          <w:szCs w:val="21"/>
          <w:highlight w:val="none"/>
          <w14:textFill>
            <w14:solidFill>
              <w14:schemeClr w14:val="tx1"/>
            </w14:solidFill>
          </w14:textFill>
        </w:rPr>
        <w:t>不宜小于 100mm</w:t>
      </w:r>
      <w:bookmarkEnd w:id="564"/>
      <w:bookmarkEnd w:id="565"/>
      <w:bookmarkEnd w:id="566"/>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cs="Times New Roman"/>
          <w:color w:val="000000" w:themeColor="text1"/>
          <w:sz w:val="21"/>
          <w:szCs w:val="21"/>
          <w:highlight w:val="none"/>
          <w14:textFill>
            <w14:solidFill>
              <w14:schemeClr w14:val="tx1"/>
            </w14:solidFill>
          </w14:textFill>
        </w:rPr>
      </w:pPr>
      <w:bookmarkStart w:id="567" w:name="_Toc15214"/>
      <w:bookmarkStart w:id="568" w:name="_Toc17828"/>
      <w:bookmarkStart w:id="569" w:name="_Toc14499"/>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叶板中最外侧钢筋的混凝土保护层厚度不应小于15mm，且应符合现行国家标准《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混凝土结构设计标准</w:t>
      </w:r>
      <w:r>
        <w:rPr>
          <w:rFonts w:hint="default" w:ascii="Times New Roman" w:hAnsi="Times New Roman" w:cs="Times New Roman"/>
          <w:color w:val="000000" w:themeColor="text1"/>
          <w:sz w:val="21"/>
          <w:szCs w:val="21"/>
          <w:highlight w:val="none"/>
          <w14:textFill>
            <w14:solidFill>
              <w14:schemeClr w14:val="tx1"/>
            </w14:solidFill>
          </w14:textFill>
        </w:rPr>
        <w:t>》GB/T 50010 的规定</w:t>
      </w:r>
      <w:bookmarkEnd w:id="567"/>
      <w:bookmarkEnd w:id="568"/>
      <w:bookmarkEnd w:id="569"/>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p>
    <w:p>
      <w:pPr>
        <w:spacing w:line="360" w:lineRule="exact"/>
        <w:ind w:firstLine="421"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570" w:name="_Toc11488"/>
      <w:bookmarkStart w:id="571" w:name="_Toc31821"/>
      <w:bookmarkStart w:id="572" w:name="_Toc20058"/>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叶板内表面应设置粗糙面。通过混凝土配合比和施工工艺有效控制自然粗糙面效果，严禁出现浮浆</w:t>
      </w:r>
      <w:bookmarkEnd w:id="570"/>
      <w:bookmarkEnd w:id="571"/>
      <w:bookmarkEnd w:id="572"/>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 xml:space="preserve">  在重力荷载代表值作用下，预制叠合墙板的轴压比，一级（6、7、8度）时不宜大于0.5，二、三级时不宜大于0.55。</w:t>
      </w:r>
    </w:p>
    <w:bookmarkEnd w:id="480"/>
    <w:p>
      <w:pPr>
        <w:widowControl/>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bookmarkStart w:id="573" w:name="_Toc11371"/>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6.4.16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高层模块化结构剪力墙结构边缘构件轴压比、配筋和构造要求除应符合现行国家标准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《建筑抗震设计标准》GB/T 50011</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现行</w:t>
      </w:r>
      <w:r>
        <w:rPr>
          <w:rFonts w:hint="default" w:ascii="Times New Roman" w:hAnsi="Times New Roman" w:cs="Times New Roman"/>
          <w:color w:val="000000" w:themeColor="text1"/>
          <w:sz w:val="21"/>
          <w:szCs w:val="21"/>
          <w:highlight w:val="none"/>
          <w14:textFill>
            <w14:solidFill>
              <w14:schemeClr w14:val="tx1"/>
            </w14:solidFill>
          </w14:textFill>
        </w:rPr>
        <w:t xml:space="preserve">行业标准《高层建筑混凝土结构技术规程》JGJ 3 </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现行</w:t>
      </w:r>
      <w:r>
        <w:rPr>
          <w:rFonts w:hint="default" w:ascii="Times New Roman" w:hAnsi="Times New Roman" w:cs="Times New Roman"/>
          <w:color w:val="000000" w:themeColor="text1"/>
          <w:sz w:val="21"/>
          <w:szCs w:val="21"/>
          <w:highlight w:val="none"/>
          <w14:textFill>
            <w14:solidFill>
              <w14:schemeClr w14:val="tx1"/>
            </w14:solidFill>
          </w14:textFill>
        </w:rPr>
        <w:t>广东省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标准</w:t>
      </w:r>
      <w:r>
        <w:rPr>
          <w:rFonts w:hint="default" w:ascii="Times New Roman" w:hAnsi="Times New Roman" w:cs="Times New Roman"/>
          <w:color w:val="000000" w:themeColor="text1"/>
          <w:sz w:val="21"/>
          <w:szCs w:val="21"/>
          <w:highlight w:val="none"/>
          <w14:textFill>
            <w14:solidFill>
              <w14:schemeClr w14:val="tx1"/>
            </w14:solidFill>
          </w14:textFill>
        </w:rPr>
        <w:t xml:space="preserve">《高层建筑混凝土结构技术规程》DBJ15-92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和《高层建筑工业化技术标准》</w:t>
      </w:r>
      <w:r>
        <w:rPr>
          <w:rFonts w:hint="default" w:ascii="Times New Roman" w:hAnsi="Times New Roman" w:cs="Times New Roman"/>
          <w:color w:val="000000" w:themeColor="text1"/>
          <w:sz w:val="21"/>
          <w:szCs w:val="21"/>
          <w:highlight w:val="none"/>
          <w14:textFill>
            <w14:solidFill>
              <w14:schemeClr w14:val="tx1"/>
            </w14:solidFill>
          </w14:textFill>
        </w:rPr>
        <w:t>DBJ/T15-265的有关规定外，还应满足本标准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第</w:t>
      </w:r>
      <w:r>
        <w:rPr>
          <w:rFonts w:hint="default" w:ascii="Times New Roman" w:hAnsi="Times New Roman" w:cs="Times New Roman"/>
          <w:color w:val="000000" w:themeColor="text1"/>
          <w:sz w:val="21"/>
          <w:szCs w:val="21"/>
          <w:highlight w:val="none"/>
          <w14:textFill>
            <w14:solidFill>
              <w14:schemeClr w14:val="tx1"/>
            </w14:solidFill>
          </w14:textFill>
        </w:rPr>
        <w:t>6.</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.15条相关要求。</w:t>
      </w:r>
      <w:bookmarkEnd w:id="573"/>
      <w:r>
        <w:rPr>
          <w:rFonts w:hint="default" w:ascii="Times New Roman" w:hAnsi="Times New Roman" w:cs="Times New Roman"/>
          <w:color w:val="000000" w:themeColor="text1"/>
          <w:sz w:val="21"/>
          <w:szCs w:val="21"/>
          <w:highlight w:val="none"/>
          <w14:textFill>
            <w14:solidFill>
              <w14:schemeClr w14:val="tx1"/>
            </w14:solidFill>
          </w14:textFill>
        </w:rPr>
        <w:t xml:space="preserve"> </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574" w:name="_Toc13690"/>
      <w:bookmarkStart w:id="575" w:name="_Toc11763"/>
      <w:bookmarkStart w:id="576" w:name="_Toc26913"/>
      <w:bookmarkStart w:id="577" w:name="_Toc19784"/>
      <w:r>
        <w:rPr>
          <w:rFonts w:hint="default" w:ascii="Times New Roman" w:hAnsi="Times New Roman" w:eastAsia="黑体" w:cs="Times New Roman"/>
          <w:b/>
          <w:color w:val="000000" w:themeColor="text1"/>
          <w:sz w:val="24"/>
          <w:szCs w:val="24"/>
          <w:highlight w:val="none"/>
          <w14:textFill>
            <w14:solidFill>
              <w14:schemeClr w14:val="tx1"/>
            </w14:solidFill>
          </w14:textFill>
        </w:rPr>
        <w:t>6.</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模块单元结构设计</w:t>
      </w:r>
      <w:bookmarkEnd w:id="574"/>
      <w:bookmarkEnd w:id="575"/>
      <w:bookmarkEnd w:id="576"/>
      <w:bookmarkEnd w:id="577"/>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6.5.1 </w:t>
      </w:r>
      <w:r>
        <w:rPr>
          <w:rFonts w:hint="default" w:ascii="Times New Roman" w:hAnsi="Times New Roman" w:cs="Times New Roman"/>
          <w:color w:val="000000" w:themeColor="text1"/>
          <w:szCs w:val="21"/>
          <w:highlight w:val="none"/>
          <w14:textFill>
            <w14:solidFill>
              <w14:schemeClr w14:val="tx1"/>
            </w14:solidFill>
          </w14:textFill>
        </w:rPr>
        <w:t xml:space="preserve"> 模块单元除应符合本</w:t>
      </w:r>
      <w:r>
        <w:rPr>
          <w:rFonts w:hint="default" w:ascii="Times New Roman" w:hAnsi="Times New Roman" w:cs="Times New Roman"/>
          <w:color w:val="000000" w:themeColor="text1"/>
          <w:szCs w:val="21"/>
          <w:highlight w:val="none"/>
          <w:lang w:val="en-US" w:eastAsia="zh-CN"/>
          <w14:textFill>
            <w14:solidFill>
              <w14:schemeClr w14:val="tx1"/>
            </w14:solidFill>
          </w14:textFill>
        </w:rPr>
        <w:t>标准</w:t>
      </w:r>
      <w:r>
        <w:rPr>
          <w:rFonts w:hint="default" w:ascii="Times New Roman" w:hAnsi="Times New Roman" w:cs="Times New Roman"/>
          <w:color w:val="000000" w:themeColor="text1"/>
          <w:szCs w:val="21"/>
          <w:highlight w:val="none"/>
          <w14:textFill>
            <w14:solidFill>
              <w14:schemeClr w14:val="tx1"/>
            </w14:solidFill>
          </w14:textFill>
        </w:rPr>
        <w:t>第六章模块化结构在持久设计状况和地震设计状况中的各项设计要求外，尚应对模块单元进行短暂设计状况的验算。短暂设计状况的验算应符合国家现行标准《混凝土结构工程施工规范》GB 50666和行业标准《装配式混凝土结构技术规程》JGJ 1的有关规定。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6.5.2 </w:t>
      </w:r>
      <w:r>
        <w:rPr>
          <w:rFonts w:hint="default" w:ascii="Times New Roman" w:hAnsi="Times New Roman" w:cs="Times New Roman"/>
          <w:color w:val="000000" w:themeColor="text1"/>
          <w:szCs w:val="21"/>
          <w:highlight w:val="none"/>
          <w14:textFill>
            <w14:solidFill>
              <w14:schemeClr w14:val="tx1"/>
            </w14:solidFill>
          </w14:textFill>
        </w:rPr>
        <w:t xml:space="preserve"> 模块单元的设计应符合下列规定：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color w:val="000000" w:themeColor="text1"/>
          <w:szCs w:val="21"/>
          <w:highlight w:val="none"/>
          <w14:textFill>
            <w14:solidFill>
              <w14:schemeClr w14:val="tx1"/>
            </w14:solidFill>
          </w14:textFill>
        </w:rPr>
        <w:t xml:space="preserve"> 模块单元外形宜简单、规则，满足模数协调、标准化设计、规模化生产的要求；</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模块单元宜整合外围护系统、内装系统和机电管线系统的功能需求；</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3 </w:t>
      </w:r>
      <w:r>
        <w:rPr>
          <w:rFonts w:hint="default" w:ascii="Times New Roman" w:hAnsi="Times New Roman" w:cs="Times New Roman"/>
          <w:color w:val="000000" w:themeColor="text1"/>
          <w:szCs w:val="21"/>
          <w:highlight w:val="none"/>
          <w14:textFill>
            <w14:solidFill>
              <w14:schemeClr w14:val="tx1"/>
            </w14:solidFill>
          </w14:textFill>
        </w:rPr>
        <w:t xml:space="preserve"> 模块单元应具有一定的刚度和承载力</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不应产生在模块自重、吊运安装以及整体结构自重的作用下，对结构安全性和耐久性的不利变形和裂缝。</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6.5.3 </w:t>
      </w:r>
      <w:r>
        <w:rPr>
          <w:rFonts w:hint="default" w:ascii="Times New Roman" w:hAnsi="Times New Roman" w:cs="Times New Roman"/>
          <w:color w:val="000000" w:themeColor="text1"/>
          <w:szCs w:val="21"/>
          <w:highlight w:val="none"/>
          <w14:textFill>
            <w14:solidFill>
              <w14:schemeClr w14:val="tx1"/>
            </w14:solidFill>
          </w14:textFill>
        </w:rPr>
        <w:t xml:space="preserve"> 模块单元短暂设计</w:t>
      </w:r>
      <w:r>
        <w:rPr>
          <w:rFonts w:hint="default" w:ascii="Times New Roman" w:hAnsi="Times New Roman" w:cs="Times New Roman"/>
          <w:color w:val="000000" w:themeColor="text1"/>
          <w:szCs w:val="21"/>
          <w:highlight w:val="none"/>
          <w:lang w:val="en-US" w:eastAsia="zh-CN"/>
          <w14:textFill>
            <w14:solidFill>
              <w14:schemeClr w14:val="tx1"/>
            </w14:solidFill>
          </w14:textFill>
        </w:rPr>
        <w:t>工</w:t>
      </w:r>
      <w:r>
        <w:rPr>
          <w:rFonts w:hint="default" w:ascii="Times New Roman" w:hAnsi="Times New Roman" w:cs="Times New Roman"/>
          <w:color w:val="000000" w:themeColor="text1"/>
          <w:szCs w:val="21"/>
          <w:highlight w:val="none"/>
          <w14:textFill>
            <w14:solidFill>
              <w14:schemeClr w14:val="tx1"/>
            </w14:solidFill>
          </w14:textFill>
        </w:rPr>
        <w:t>况应包含脱模、运输、吊装、安装、储存等工况，并应符合下列规定：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color w:val="000000" w:themeColor="text1"/>
          <w:szCs w:val="21"/>
          <w:highlight w:val="none"/>
          <w14:textFill>
            <w14:solidFill>
              <w14:schemeClr w14:val="tx1"/>
            </w14:solidFill>
          </w14:textFill>
        </w:rPr>
        <w:t>应对模块单元进行整体稳定性分析；</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应对模块单元拼接节点进行承载力验算，并满足模块短暂设计工况下受力性能要求；</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应对模块非承重墙体、底板、顶板进行承载力验算，并满足模块短暂设计工况下受力性能要求；</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宜对箱模式模块进行实体单元的有限元分析，验算其强度和局部稳定性。</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6.5.4 </w:t>
      </w:r>
      <w:r>
        <w:rPr>
          <w:rFonts w:hint="default" w:ascii="Times New Roman" w:hAnsi="Times New Roman" w:cs="Times New Roman"/>
          <w:color w:val="000000" w:themeColor="text1"/>
          <w:szCs w:val="21"/>
          <w:highlight w:val="none"/>
          <w14:textFill>
            <w14:solidFill>
              <w14:schemeClr w14:val="tx1"/>
            </w14:solidFill>
          </w14:textFill>
        </w:rPr>
        <w:t xml:space="preserve"> 模块单元中的预埋吊件及临时支撑应根据现行国家标准《混凝土结构工程施工规范》GB50666的有关规定进行施工验算。</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6.5.5</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模块单元进行短暂设计状况作用组合时，相关计算系数应按现行国家标准《建筑结构荷载规范》GB 50009和《混凝土结构工程施工规范》GB 50666的有关规定执行。</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6.5.6 </w:t>
      </w:r>
      <w:r>
        <w:rPr>
          <w:rFonts w:hint="default" w:ascii="Times New Roman" w:hAnsi="Times New Roman" w:cs="Times New Roman"/>
          <w:color w:val="000000" w:themeColor="text1"/>
          <w:szCs w:val="21"/>
          <w:highlight w:val="none"/>
          <w14:textFill>
            <w14:solidFill>
              <w14:schemeClr w14:val="tx1"/>
            </w14:solidFill>
          </w14:textFill>
        </w:rPr>
        <w:t xml:space="preserve"> 模块单元在进行短暂设计状况验算时，荷载标准值的取值应符合下列规定：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模块单元应能够承担自身的重力荷载。模块等效静力荷载标准值应取构件自重标准值乘以动力系数。构件运输、吊运时，动力系数宜取1.5；构件储存、安装过程中就位、临时固定时，动力系数可取1.2；</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 xml:space="preserve"> 作用在模块单元上的风荷载，应符合现行国家标准《建筑结构荷载规范》GB 50009的有关规定，取重现期R为10年的基本风压值；</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3 </w:t>
      </w:r>
      <w:r>
        <w:rPr>
          <w:rFonts w:hint="default" w:ascii="Times New Roman" w:hAnsi="Times New Roman" w:cs="Times New Roman"/>
          <w:color w:val="000000" w:themeColor="text1"/>
          <w:szCs w:val="21"/>
          <w:highlight w:val="none"/>
          <w14:textFill>
            <w14:solidFill>
              <w14:schemeClr w14:val="tx1"/>
            </w14:solidFill>
          </w14:textFill>
        </w:rPr>
        <w:t xml:space="preserve"> 模块单元的顶板和底板尚应考虑在生产、施工安装过程中产生的施工活荷载，施工活荷载标准值可按实际情况计算，取值不宜小于1.5kN/m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6.5.7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模块单元中构件的施工验算应符合设计要求；当设计无具体要求时，构件应符合现行国家标准《混凝土结构工程施工规范》GB50666的有关规定。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6.5.8  </w:t>
      </w:r>
      <w:r>
        <w:rPr>
          <w:rFonts w:hint="default" w:ascii="Times New Roman" w:hAnsi="Times New Roman" w:cs="Times New Roman"/>
          <w:color w:val="000000" w:themeColor="text1"/>
          <w:szCs w:val="21"/>
          <w:highlight w:val="none"/>
          <w14:textFill>
            <w14:solidFill>
              <w14:schemeClr w14:val="tx1"/>
            </w14:solidFill>
          </w14:textFill>
        </w:rPr>
        <w:t>模块起吊状况下，吊点的布置及吊点力计算应符合下列规定：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吊点设置前应</w:t>
      </w:r>
      <w:r>
        <w:rPr>
          <w:rFonts w:hint="default" w:ascii="Times New Roman" w:hAnsi="Times New Roman" w:cs="Times New Roman"/>
          <w:color w:val="000000" w:themeColor="text1"/>
          <w:szCs w:val="21"/>
          <w:highlight w:val="none"/>
          <w:lang w:val="en-US" w:eastAsia="zh-CN"/>
          <w14:textFill>
            <w14:solidFill>
              <w14:schemeClr w14:val="tx1"/>
            </w14:solidFill>
          </w14:textFill>
        </w:rPr>
        <w:t>通过</w:t>
      </w:r>
      <w:r>
        <w:rPr>
          <w:rFonts w:hint="default" w:ascii="Times New Roman" w:hAnsi="Times New Roman" w:cs="Times New Roman"/>
          <w:color w:val="000000" w:themeColor="text1"/>
          <w:szCs w:val="21"/>
          <w:highlight w:val="none"/>
          <w14:textFill>
            <w14:solidFill>
              <w14:schemeClr w14:val="tx1"/>
            </w14:solidFill>
          </w14:textFill>
        </w:rPr>
        <w:t>计算确定模块重心点坐标；</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 xml:space="preserve"> 模块顶部吊点数量不应少于4个，吊点宜布置于重心周边的竖向构件上，宜避开门窗洞口顶部等薄弱处布置；</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吊点布置后应进行吊点</w:t>
      </w:r>
      <w:r>
        <w:rPr>
          <w:rFonts w:hint="default" w:ascii="Times New Roman" w:hAnsi="Times New Roman" w:cs="Times New Roman"/>
          <w:color w:val="000000" w:themeColor="text1"/>
          <w:szCs w:val="21"/>
          <w:highlight w:val="none"/>
          <w:lang w:val="en-US" w:eastAsia="zh-CN"/>
          <w14:textFill>
            <w14:solidFill>
              <w14:schemeClr w14:val="tx1"/>
            </w14:solidFill>
          </w14:textFill>
        </w:rPr>
        <w:t>受</w:t>
      </w:r>
      <w:r>
        <w:rPr>
          <w:rFonts w:hint="default" w:ascii="Times New Roman" w:hAnsi="Times New Roman" w:cs="Times New Roman"/>
          <w:color w:val="000000" w:themeColor="text1"/>
          <w:szCs w:val="21"/>
          <w:highlight w:val="none"/>
          <w14:textFill>
            <w14:solidFill>
              <w14:schemeClr w14:val="tx1"/>
            </w14:solidFill>
          </w14:textFill>
        </w:rPr>
        <w:t>力计算，</w:t>
      </w:r>
      <w:r>
        <w:rPr>
          <w:rFonts w:hint="default" w:ascii="Times New Roman" w:hAnsi="Times New Roman" w:cs="Times New Roman"/>
          <w:color w:val="000000" w:themeColor="text1"/>
          <w:szCs w:val="21"/>
          <w:highlight w:val="none"/>
          <w:lang w:val="en-US" w:eastAsia="zh-CN"/>
          <w14:textFill>
            <w14:solidFill>
              <w14:schemeClr w14:val="tx1"/>
            </w14:solidFill>
          </w14:textFill>
        </w:rPr>
        <w:t>宜</w:t>
      </w:r>
      <w:r>
        <w:rPr>
          <w:rFonts w:hint="default" w:ascii="Times New Roman" w:hAnsi="Times New Roman" w:cs="Times New Roman"/>
          <w:color w:val="000000" w:themeColor="text1"/>
          <w:szCs w:val="21"/>
          <w:highlight w:val="none"/>
          <w14:textFill>
            <w14:solidFill>
              <w14:schemeClr w14:val="tx1"/>
            </w14:solidFill>
          </w14:textFill>
        </w:rPr>
        <w:t>避免吊点在</w:t>
      </w:r>
      <w:r>
        <w:rPr>
          <w:rFonts w:hint="default" w:ascii="Times New Roman" w:hAnsi="Times New Roman" w:cs="Times New Roman"/>
          <w:color w:val="000000" w:themeColor="text1"/>
          <w:szCs w:val="21"/>
          <w:highlight w:val="none"/>
          <w:lang w:val="en-US" w:eastAsia="zh-CN"/>
          <w14:textFill>
            <w14:solidFill>
              <w14:schemeClr w14:val="tx1"/>
            </w14:solidFill>
          </w14:textFill>
        </w:rPr>
        <w:t>吊装</w:t>
      </w:r>
      <w:r>
        <w:rPr>
          <w:rFonts w:hint="default" w:ascii="Times New Roman" w:hAnsi="Times New Roman" w:cs="Times New Roman"/>
          <w:color w:val="000000" w:themeColor="text1"/>
          <w:szCs w:val="21"/>
          <w:highlight w:val="none"/>
          <w14:textFill>
            <w14:solidFill>
              <w14:schemeClr w14:val="tx1"/>
            </w14:solidFill>
          </w14:textFill>
        </w:rPr>
        <w:t>阶段因</w:t>
      </w:r>
      <w:r>
        <w:rPr>
          <w:rFonts w:hint="default" w:ascii="Times New Roman" w:hAnsi="Times New Roman" w:cs="Times New Roman"/>
          <w:color w:val="000000" w:themeColor="text1"/>
          <w:szCs w:val="21"/>
          <w:highlight w:val="none"/>
          <w:lang w:val="en-US" w:eastAsia="zh-CN"/>
          <w14:textFill>
            <w14:solidFill>
              <w14:schemeClr w14:val="tx1"/>
            </w14:solidFill>
          </w14:textFill>
        </w:rPr>
        <w:t>模块</w:t>
      </w:r>
      <w:r>
        <w:rPr>
          <w:rFonts w:hint="default" w:ascii="Times New Roman" w:hAnsi="Times New Roman" w:cs="Times New Roman"/>
          <w:color w:val="000000" w:themeColor="text1"/>
          <w:szCs w:val="21"/>
          <w:highlight w:val="none"/>
          <w14:textFill>
            <w14:solidFill>
              <w14:schemeClr w14:val="tx1"/>
            </w14:solidFill>
          </w14:textFill>
        </w:rPr>
        <w:t>偏心出现</w:t>
      </w:r>
      <w:r>
        <w:rPr>
          <w:rFonts w:hint="default" w:ascii="Times New Roman" w:hAnsi="Times New Roman" w:cs="Times New Roman"/>
          <w:color w:val="000000" w:themeColor="text1"/>
          <w:szCs w:val="21"/>
          <w:highlight w:val="none"/>
          <w:lang w:val="en-US" w:eastAsia="zh-CN"/>
          <w14:textFill>
            <w14:solidFill>
              <w14:schemeClr w14:val="tx1"/>
            </w14:solidFill>
          </w14:textFill>
        </w:rPr>
        <w:t>受力不均的情况</w:t>
      </w:r>
      <w:r>
        <w:rPr>
          <w:rFonts w:hint="default" w:ascii="Times New Roman" w:hAnsi="Times New Roman" w:cs="Times New Roman"/>
          <w:color w:val="000000" w:themeColor="text1"/>
          <w:szCs w:val="21"/>
          <w:highlight w:val="none"/>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6.5.9</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模块单元宜采用吊环进行吊装，并应符合下列规定：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color w:val="000000" w:themeColor="text1"/>
          <w:szCs w:val="21"/>
          <w:highlight w:val="none"/>
          <w14:textFill>
            <w14:solidFill>
              <w14:schemeClr w14:val="tx1"/>
            </w14:solidFill>
          </w14:textFill>
        </w:rPr>
        <w:t xml:space="preserve"> 吊环应采用HPB300钢筋或Q235B圆钢，并应验算在荷载标准值作用下的吊环应力，验算时每个吊环可按两个截面计算。对HPB300钢筋，吊环应力不应大于60N/mm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；对于Q235B圆钢，吊环应力不应大于45N/mm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当采用专用吊架起吊，吊链角度大于80度且无脱模吸附力作用时，对HPB300钢筋，吊环应力不大应于90N/mm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；对于Q235B圆钢，吊环应力不应大于70N/mm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当采用专用吊架起吊时，可按实际吊点布置情况进行计算，实际</w:t>
      </w:r>
      <w:r>
        <w:rPr>
          <w:rFonts w:hint="default" w:ascii="Times New Roman" w:hAnsi="Times New Roman" w:cs="Times New Roman"/>
          <w:color w:val="000000" w:themeColor="text1"/>
          <w:szCs w:val="21"/>
          <w:highlight w:val="none"/>
          <w:lang w:val="en-US" w:eastAsia="zh-CN"/>
          <w14:textFill>
            <w14:solidFill>
              <w14:schemeClr w14:val="tx1"/>
            </w14:solidFill>
          </w14:textFill>
        </w:rPr>
        <w:t>吊点计算所用荷载标准值</w:t>
      </w:r>
      <w:r>
        <w:rPr>
          <w:rFonts w:hint="default" w:ascii="Times New Roman" w:hAnsi="Times New Roman" w:cs="Times New Roman"/>
          <w:color w:val="000000" w:themeColor="text1"/>
          <w:szCs w:val="21"/>
          <w:highlight w:val="none"/>
          <w14:textFill>
            <w14:solidFill>
              <w14:schemeClr w14:val="tx1"/>
            </w14:solidFill>
          </w14:textFill>
        </w:rPr>
        <w:t>应乘以1.5的放大系数。</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5</w:t>
      </w: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0</w:t>
      </w:r>
      <w:r>
        <w:rPr>
          <w:rFonts w:hint="default" w:ascii="Times New Roman" w:hAnsi="Times New Roman" w:cs="Times New Roman"/>
          <w:b/>
          <w:bCs/>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模块单元起吊安全措施应符合下列规定：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1  </w:t>
      </w:r>
      <w:r>
        <w:rPr>
          <w:rFonts w:hint="default" w:ascii="Times New Roman" w:hAnsi="Times New Roman" w:cs="Times New Roman"/>
          <w:color w:val="000000" w:themeColor="text1"/>
          <w:szCs w:val="21"/>
          <w:highlight w:val="none"/>
          <w14:textFill>
            <w14:solidFill>
              <w14:schemeClr w14:val="tx1"/>
            </w14:solidFill>
          </w14:textFill>
        </w:rPr>
        <w:t>用钢吊架起吊时，模块与钢吊架之间吊链宜竖直受力，避免吊链倾斜产生的水平力对模块产生损坏；</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模块起吊前宜对门窗洞口进行加固处理，可采用钢杆或钢架支撑；</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模块起吊时</w:t>
      </w:r>
      <w:r>
        <w:rPr>
          <w:rFonts w:hint="default" w:ascii="Times New Roman" w:hAnsi="Times New Roman" w:cs="Times New Roman"/>
          <w:color w:val="000000" w:themeColor="text1"/>
          <w:szCs w:val="21"/>
          <w:highlight w:val="none"/>
          <w:lang w:val="en-US" w:eastAsia="zh-CN"/>
          <w14:textFill>
            <w14:solidFill>
              <w14:schemeClr w14:val="tx1"/>
            </w14:solidFill>
          </w14:textFill>
        </w:rPr>
        <w:t>宜</w:t>
      </w:r>
      <w:r>
        <w:rPr>
          <w:rFonts w:hint="default" w:ascii="Times New Roman" w:hAnsi="Times New Roman" w:cs="Times New Roman"/>
          <w:color w:val="000000" w:themeColor="text1"/>
          <w:szCs w:val="21"/>
          <w:highlight w:val="none"/>
          <w14:textFill>
            <w14:solidFill>
              <w14:schemeClr w14:val="tx1"/>
            </w14:solidFill>
          </w14:textFill>
        </w:rPr>
        <w:t>有备用安全措施，避免模块因吊点脱落而直接掉落。</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5</w:t>
      </w: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模块单元中的构件在脱模状况下的验算及加固措施，应符合下列规定：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模块单元脱模起吊时的混凝土立方体抗压强度不宜小于15MPa，</w:t>
      </w:r>
      <w:r>
        <w:rPr>
          <w:rFonts w:hint="default" w:ascii="Times New Roman" w:hAnsi="Times New Roman" w:cs="Times New Roman"/>
          <w:color w:val="000000" w:themeColor="text1"/>
          <w:szCs w:val="21"/>
          <w:highlight w:val="none"/>
          <w:lang w:val="en-US" w:eastAsia="zh-CN"/>
          <w14:textFill>
            <w14:solidFill>
              <w14:schemeClr w14:val="tx1"/>
            </w14:solidFill>
          </w14:textFill>
        </w:rPr>
        <w:t>模块吊装时混凝土立方体抗压强度</w:t>
      </w:r>
      <w:r>
        <w:rPr>
          <w:rFonts w:hint="default" w:ascii="Times New Roman" w:hAnsi="Times New Roman" w:cs="Times New Roman"/>
          <w:color w:val="000000" w:themeColor="text1"/>
          <w:szCs w:val="21"/>
          <w:highlight w:val="none"/>
          <w14:textFill>
            <w14:solidFill>
              <w14:schemeClr w14:val="tx1"/>
            </w14:solidFill>
          </w14:textFill>
        </w:rPr>
        <w:t>宜应达到设计</w:t>
      </w:r>
      <w:r>
        <w:rPr>
          <w:rFonts w:hint="default" w:ascii="Times New Roman" w:hAnsi="Times New Roman" w:cs="Times New Roman"/>
          <w:color w:val="000000" w:themeColor="text1"/>
          <w:szCs w:val="21"/>
          <w:highlight w:val="none"/>
          <w:lang w:val="en-US" w:eastAsia="zh-CN"/>
          <w14:textFill>
            <w14:solidFill>
              <w14:schemeClr w14:val="tx1"/>
            </w14:solidFill>
          </w14:textFill>
        </w:rPr>
        <w:t>要求</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模块单元中的构件进行脱模验算时，等效静力荷载标准值应取构件自重标准值乘以动力系数与脱模吸附力之和，且不宜小于构件自重标准值的1.5倍。其中动力系数不宜小于1.2，脱模吸附力应根据构件和模具的实际状况取用，且不宜小于1.5kN/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脱模阶段模块单元的顶板、底板按四边简支板进行承载力验算时，对于不满足计算要求的板应在脱模时设置临时支撑措施，模块吊装完成后可拆除；</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模块脱模吊点应按起吊状况下的吊点布置原则布置，并考虑脱模吸附力作用进行吊点承载力验算；</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当模块吊点上部吊链存在斜拉时，应对吊点处</w:t>
      </w:r>
      <w:r>
        <w:rPr>
          <w:rFonts w:hint="default" w:ascii="Times New Roman" w:hAnsi="Times New Roman" w:cs="Times New Roman"/>
          <w:color w:val="000000" w:themeColor="text1"/>
          <w:szCs w:val="21"/>
          <w:highlight w:val="none"/>
          <w:lang w:val="en-US" w:eastAsia="zh-CN"/>
          <w14:textFill>
            <w14:solidFill>
              <w14:schemeClr w14:val="tx1"/>
            </w14:solidFill>
          </w14:textFill>
        </w:rPr>
        <w:t>吊</w:t>
      </w:r>
      <w:r>
        <w:rPr>
          <w:rFonts w:hint="default" w:ascii="Times New Roman" w:hAnsi="Times New Roman" w:cs="Times New Roman"/>
          <w:color w:val="000000" w:themeColor="text1"/>
          <w:szCs w:val="21"/>
          <w:highlight w:val="none"/>
          <w14:textFill>
            <w14:solidFill>
              <w14:schemeClr w14:val="tx1"/>
            </w14:solidFill>
          </w14:textFill>
        </w:rPr>
        <w:t>杆起水平支撑作用的梁或板进行轴心受力验算。</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5</w:t>
      </w: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模块单元安装状况下的验算及支撑加固措施应符合下列规定：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模块</w:t>
      </w:r>
      <w:r>
        <w:rPr>
          <w:rFonts w:hint="default" w:ascii="Times New Roman" w:hAnsi="Times New Roman" w:cs="Times New Roman"/>
          <w:color w:val="000000" w:themeColor="text1"/>
          <w:szCs w:val="21"/>
          <w:highlight w:val="none"/>
          <w:lang w:val="en-US" w:eastAsia="zh-CN"/>
          <w14:textFill>
            <w14:solidFill>
              <w14:schemeClr w14:val="tx1"/>
            </w14:solidFill>
          </w14:textFill>
        </w:rPr>
        <w:t>单元</w:t>
      </w:r>
      <w:r>
        <w:rPr>
          <w:rFonts w:hint="default" w:ascii="Times New Roman" w:hAnsi="Times New Roman" w:cs="Times New Roman"/>
          <w:color w:val="000000" w:themeColor="text1"/>
          <w:szCs w:val="21"/>
          <w:highlight w:val="none"/>
          <w14:textFill>
            <w14:solidFill>
              <w14:schemeClr w14:val="tx1"/>
            </w14:solidFill>
          </w14:textFill>
        </w:rPr>
        <w:t>安装时，应进行水平风荷载下的抗倾覆验算，并应满足下式要求，当模块抗倾覆不满足时，则应设置临时支撑以满足模块的抗倾覆要求。</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6"/>
        <w:gridCol w:w="1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4836" w:type="dxa"/>
          </w:tcPr>
          <w:p>
            <w:pPr>
              <w:spacing w:line="360" w:lineRule="exact"/>
              <w:jc w:val="center"/>
              <w:outlineLvl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 xml:space="preserve">  </w:t>
            </w:r>
            <m:oMath>
              <m:sSub>
                <w:bookmarkStart w:id="578" w:name="_Toc15889"/>
                <w:bookmarkStart w:id="579" w:name="_Toc29645"/>
                <w:bookmarkStart w:id="580" w:name="_Toc17264"/>
                <w:bookmarkStart w:id="581" w:name="_Toc28972"/>
                <w:bookmarkStart w:id="582" w:name="_Toc11447"/>
                <w:bookmarkStart w:id="583" w:name="_Toc4649"/>
                <w:bookmarkStart w:id="584" w:name="_Toc20560"/>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M</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g</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14:textFill>
                    <w14:solidFill>
                      <w14:schemeClr w14:val="tx1"/>
                    </w14:solidFill>
                  </w14:textFill>
                </w:rPr>
                <m:t>/</m:t>
              </m:r>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M</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14:textFill>
                    <w14:solidFill>
                      <w14:schemeClr w14:val="tx1"/>
                    </w14:solidFill>
                  </w14:textFill>
                </w:rPr>
                <m:t>≥1.5</m:t>
              </m:r>
            </m:oMath>
            <w:bookmarkEnd w:id="578"/>
            <w:bookmarkEnd w:id="579"/>
            <w:bookmarkEnd w:id="580"/>
            <w:bookmarkEnd w:id="581"/>
            <w:bookmarkEnd w:id="582"/>
            <w:bookmarkEnd w:id="583"/>
            <w:bookmarkEnd w:id="584"/>
          </w:p>
        </w:tc>
        <w:tc>
          <w:tcPr>
            <w:tcW w:w="1299" w:type="dxa"/>
          </w:tcPr>
          <w:p>
            <w:pPr>
              <w:spacing w:line="360" w:lineRule="exact"/>
              <w:jc w:val="center"/>
              <w:outlineLvl w:val="0"/>
              <w:rPr>
                <w:rFonts w:hint="default" w:ascii="Times New Roman" w:hAnsi="Times New Roman" w:cs="Times New Roman"/>
                <w:color w:val="000000" w:themeColor="text1"/>
                <w:szCs w:val="21"/>
                <w:highlight w:val="none"/>
                <w14:textFill>
                  <w14:solidFill>
                    <w14:schemeClr w14:val="tx1"/>
                  </w14:solidFill>
                </w14:textFill>
              </w:rPr>
            </w:pPr>
            <w:bookmarkStart w:id="585" w:name="_Toc15177"/>
            <w:bookmarkStart w:id="586" w:name="_Toc3038"/>
            <w:bookmarkStart w:id="587" w:name="_Toc17490"/>
            <w:bookmarkStart w:id="588" w:name="_Toc23246"/>
            <w:bookmarkStart w:id="589" w:name="_Toc2703"/>
            <w:bookmarkStart w:id="590" w:name="_Toc8352"/>
            <w:bookmarkStart w:id="591" w:name="_Toc26227"/>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6.5.13</w:t>
            </w:r>
            <w:r>
              <w:rPr>
                <w:rFonts w:hint="default" w:ascii="Times New Roman" w:hAnsi="Times New Roman" w:cs="Times New Roman"/>
                <w:color w:val="000000" w:themeColor="text1"/>
                <w:szCs w:val="21"/>
                <w:highlight w:val="none"/>
                <w14:textFill>
                  <w14:solidFill>
                    <w14:schemeClr w14:val="tx1"/>
                  </w14:solidFill>
                </w14:textFill>
              </w:rPr>
              <w:t>-1)</w:t>
            </w:r>
            <w:bookmarkEnd w:id="585"/>
            <w:bookmarkEnd w:id="586"/>
            <w:bookmarkEnd w:id="587"/>
            <w:bookmarkEnd w:id="588"/>
            <w:bookmarkEnd w:id="589"/>
            <w:bookmarkEnd w:id="590"/>
            <w:bookmarkEnd w:id="591"/>
          </w:p>
        </w:tc>
      </w:tr>
    </w:tbl>
    <w:tbl>
      <w:tblPr>
        <w:tblStyle w:val="25"/>
        <w:tblW w:w="5182" w:type="pct"/>
        <w:tblInd w:w="-108" w:type="dxa"/>
        <w:tblLayout w:type="autofit"/>
        <w:tblCellMar>
          <w:top w:w="0" w:type="dxa"/>
          <w:left w:w="0" w:type="dxa"/>
          <w:bottom w:w="0" w:type="dxa"/>
          <w:right w:w="0" w:type="dxa"/>
        </w:tblCellMar>
      </w:tblPr>
      <w:tblGrid>
        <w:gridCol w:w="569"/>
        <w:gridCol w:w="540"/>
        <w:gridCol w:w="5025"/>
      </w:tblGrid>
      <w:tr>
        <w:tblPrEx>
          <w:tblCellMar>
            <w:top w:w="0" w:type="dxa"/>
            <w:left w:w="0" w:type="dxa"/>
            <w:bottom w:w="0" w:type="dxa"/>
            <w:right w:w="0" w:type="dxa"/>
          </w:tblCellMar>
        </w:tblPrEx>
        <w:trPr>
          <w:trHeight w:val="245" w:hRule="atLeast"/>
        </w:trPr>
        <w:tc>
          <w:tcPr>
            <w:tcW w:w="464" w:type="pct"/>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m:oMathPara>
              <m:oMathParaPr>
                <m:jc m:val="left"/>
              </m:oMathParaPr>
              <m:oMath>
                <m:r>
                  <m:rPr>
                    <m:sty m:val="p"/>
                  </m:rPr>
                  <w:rPr>
                    <w:rFonts w:hint="default" w:ascii="Cambria Math" w:hAnsi="Cambria Math" w:cs="Times New Roman"/>
                    <w:color w:val="000000" w:themeColor="text1"/>
                    <w:sz w:val="21"/>
                    <w:szCs w:val="21"/>
                    <w:highlight w:val="none"/>
                    <w14:textFill>
                      <w14:solidFill>
                        <w14:schemeClr w14:val="tx1"/>
                      </w14:solidFill>
                    </w14:textFill>
                  </w:rPr>
                  <m:t>式中：</m:t>
                </m:r>
              </m:oMath>
            </m:oMathPara>
          </w:p>
        </w:tc>
        <w:tc>
          <w:tcPr>
            <w:tcW w:w="440" w:type="pct"/>
            <w:noWrap w:val="0"/>
            <w:vAlign w:val="center"/>
          </w:tcPr>
          <w:p>
            <w:pPr>
              <w:adjustRightInd w:val="0"/>
              <w:snapToGrid w:val="0"/>
              <w:spacing w:line="360" w:lineRule="exact"/>
              <w:jc w:val="right"/>
              <w:rPr>
                <w:rFonts w:hint="default" w:ascii="Times New Roman" w:hAnsi="Times New Roman" w:cs="Times New Roman"/>
                <w:color w:val="000000" w:themeColor="text1"/>
                <w:szCs w:val="21"/>
                <w:highlight w:val="none"/>
                <w14:textFill>
                  <w14:solidFill>
                    <w14:schemeClr w14:val="tx1"/>
                  </w14:solidFill>
                </w14:textFill>
              </w:rPr>
            </w:pPr>
            <m:oMathPara>
              <m:oMathParaPr>
                <m:jc m:val="right"/>
              </m:oMathParaP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M</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m:t>
                    </m:r>
                    <m:ctrlPr>
                      <w:rPr>
                        <w:rFonts w:hint="default" w:ascii="Cambria Math" w:hAnsi="Cambria Math" w:cs="Times New Roman"/>
                        <w:i/>
                        <w:color w:val="000000" w:themeColor="text1"/>
                        <w:szCs w:val="21"/>
                        <w:highlight w:val="none"/>
                        <w14:textFill>
                          <w14:solidFill>
                            <w14:schemeClr w14:val="tx1"/>
                          </w14:solidFill>
                        </w14:textFill>
                      </w:rPr>
                    </m:ctrlPr>
                  </m:sub>
                </m:sSub>
              </m:oMath>
            </m:oMathPara>
          </w:p>
        </w:tc>
        <w:tc>
          <w:tcPr>
            <w:tcW w:w="4094" w:type="pct"/>
            <w:noWrap w:val="0"/>
            <w:vAlign w:val="center"/>
          </w:tcPr>
          <w:p>
            <w:pPr>
              <w:adjustRightInd w:val="0"/>
              <w:snapToGrid w:val="0"/>
              <w:spacing w:line="360" w:lineRule="exact"/>
              <w:ind w:left="0" w:firstLine="0" w:firstLineChars="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风荷载标准值作用下的倾覆力矩；</w:t>
            </w:r>
          </w:p>
        </w:tc>
      </w:tr>
      <w:tr>
        <w:tblPrEx>
          <w:tblCellMar>
            <w:top w:w="0" w:type="dxa"/>
            <w:left w:w="0" w:type="dxa"/>
            <w:bottom w:w="0" w:type="dxa"/>
            <w:right w:w="0" w:type="dxa"/>
          </w:tblCellMar>
        </w:tblPrEx>
        <w:trPr>
          <w:trHeight w:val="90" w:hRule="atLeast"/>
        </w:trPr>
        <w:tc>
          <w:tcPr>
            <w:tcW w:w="464" w:type="pct"/>
            <w:noWrap w:val="0"/>
            <w:vAlign w:val="top"/>
          </w:tcPr>
          <w:p>
            <w:pPr>
              <w:adjustRightInd w:val="0"/>
              <w:snapToGrid w:val="0"/>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440" w:type="pct"/>
            <w:noWrap w:val="0"/>
            <w:vAlign w:val="center"/>
          </w:tcPr>
          <w:p>
            <w:pPr>
              <w:adjustRightInd w:val="0"/>
              <w:snapToGrid w:val="0"/>
              <w:spacing w:line="360" w:lineRule="exact"/>
              <w:jc w:val="right"/>
              <w:rPr>
                <w:rFonts w:hint="default" w:ascii="Times New Roman" w:hAnsi="Times New Roman" w:cs="Times New Roman"/>
                <w:color w:val="000000" w:themeColor="text1"/>
                <w:szCs w:val="21"/>
                <w:highlight w:val="none"/>
                <w14:textFill>
                  <w14:solidFill>
                    <w14:schemeClr w14:val="tx1"/>
                  </w14:solidFill>
                </w14:textFill>
              </w:rPr>
            </w:pPr>
            <m:oMathPara>
              <m:oMathParaPr>
                <m:jc m:val="right"/>
              </m:oMathParaP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M</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g</m:t>
                    </m:r>
                    <m:ctrlPr>
                      <w:rPr>
                        <w:rFonts w:hint="default" w:ascii="Cambria Math" w:hAnsi="Cambria Math" w:cs="Times New Roman"/>
                        <w:i/>
                        <w:color w:val="000000" w:themeColor="text1"/>
                        <w:szCs w:val="21"/>
                        <w:highlight w:val="none"/>
                        <w14:textFill>
                          <w14:solidFill>
                            <w14:schemeClr w14:val="tx1"/>
                          </w14:solidFill>
                        </w14:textFill>
                      </w:rPr>
                    </m:ctrlPr>
                  </m:sub>
                </m:sSub>
              </m:oMath>
            </m:oMathPara>
          </w:p>
        </w:tc>
        <w:tc>
          <w:tcPr>
            <w:tcW w:w="4094" w:type="pct"/>
            <w:noWrap w:val="0"/>
            <w:vAlign w:val="center"/>
          </w:tcPr>
          <w:p>
            <w:pPr>
              <w:adjustRightInd w:val="0"/>
              <w:snapToGrid w:val="0"/>
              <w:spacing w:line="360" w:lineRule="exact"/>
              <w:jc w:val="both"/>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模块自重标准值下的抗倾覆力矩</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bl>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模块单元安装时，应进行水平风荷载下的抗滑移验算，并应满足下式要求，当模块抗滑移不满足时，应设置临时支撑以满足模块的抗滑移要求。</w:t>
      </w:r>
    </w:p>
    <w:tbl>
      <w:tblPr>
        <w:tblStyle w:val="26"/>
        <w:tblW w:w="61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6"/>
        <w:gridCol w:w="13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5" w:hRule="atLeast"/>
        </w:trPr>
        <w:tc>
          <w:tcPr>
            <w:tcW w:w="4836" w:type="dxa"/>
          </w:tcPr>
          <w:p>
            <w:pPr>
              <w:spacing w:line="360" w:lineRule="exact"/>
              <w:jc w:val="center"/>
              <w:outlineLvl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 xml:space="preserve">    </w:t>
            </w:r>
            <m:oMath>
              <w:bookmarkStart w:id="592" w:name="_Toc6722"/>
              <w:bookmarkStart w:id="593" w:name="_Toc15449"/>
              <w:bookmarkStart w:id="594" w:name="_Toc15065"/>
              <w:bookmarkStart w:id="595" w:name="_Toc24178"/>
              <w:bookmarkStart w:id="596" w:name="_Toc2071"/>
              <w:bookmarkStart w:id="597" w:name="_Toc447"/>
              <w:bookmarkStart w:id="598" w:name="_Toc9270"/>
              <m:r>
                <m:rPr/>
                <w:rPr>
                  <w:rFonts w:hint="default" w:ascii="Cambria Math" w:hAnsi="Cambria Math" w:cs="Times New Roman"/>
                  <w:color w:val="000000" w:themeColor="text1"/>
                  <w:szCs w:val="21"/>
                  <w:highlight w:val="none"/>
                  <w14:textFill>
                    <w14:solidFill>
                      <w14:schemeClr w14:val="tx1"/>
                    </w14:solidFill>
                  </w14:textFill>
                </w:rPr>
                <m:t>μG/</m:t>
              </m:r>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N</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m:t>
                  </m:r>
                  <m:ctrlPr>
                    <w:rPr>
                      <w:rFonts w:hint="default" w:ascii="Cambria Math" w:hAnsi="Cambria Math" w:cs="Times New Roman"/>
                      <w:i/>
                      <w:color w:val="000000" w:themeColor="text1"/>
                      <w:szCs w:val="21"/>
                      <w:highlight w:val="none"/>
                      <w14:textFill>
                        <w14:solidFill>
                          <w14:schemeClr w14:val="tx1"/>
                        </w14:solidFill>
                      </w14:textFill>
                    </w:rPr>
                  </m:ctrlPr>
                </m:sub>
              </m:sSub>
              <m:r>
                <m:rPr/>
                <w:rPr>
                  <w:rFonts w:hint="default" w:ascii="Cambria Math" w:hAnsi="Cambria Math" w:cs="Times New Roman"/>
                  <w:color w:val="000000" w:themeColor="text1"/>
                  <w:szCs w:val="21"/>
                  <w:highlight w:val="none"/>
                  <w14:textFill>
                    <w14:solidFill>
                      <w14:schemeClr w14:val="tx1"/>
                    </w14:solidFill>
                  </w14:textFill>
                </w:rPr>
                <m:t>≥1.3</m:t>
              </m:r>
            </m:oMath>
            <w:bookmarkEnd w:id="592"/>
            <w:bookmarkEnd w:id="593"/>
            <w:bookmarkEnd w:id="594"/>
            <w:bookmarkEnd w:id="595"/>
            <w:bookmarkEnd w:id="596"/>
            <w:bookmarkEnd w:id="597"/>
            <w:bookmarkEnd w:id="598"/>
          </w:p>
        </w:tc>
        <w:tc>
          <w:tcPr>
            <w:tcW w:w="1308" w:type="dxa"/>
          </w:tcPr>
          <w:p>
            <w:pPr>
              <w:spacing w:line="360" w:lineRule="exact"/>
              <w:jc w:val="center"/>
              <w:outlineLvl w:val="0"/>
              <w:rPr>
                <w:rFonts w:hint="default" w:ascii="Times New Roman" w:hAnsi="Times New Roman" w:cs="Times New Roman"/>
                <w:color w:val="000000" w:themeColor="text1"/>
                <w:szCs w:val="21"/>
                <w:highlight w:val="none"/>
                <w14:textFill>
                  <w14:solidFill>
                    <w14:schemeClr w14:val="tx1"/>
                  </w14:solidFill>
                </w14:textFill>
              </w:rPr>
            </w:pPr>
            <w:bookmarkStart w:id="599" w:name="_Toc18324"/>
            <w:bookmarkStart w:id="600" w:name="_Toc7533"/>
            <w:bookmarkStart w:id="601" w:name="_Toc7456"/>
            <w:bookmarkStart w:id="602" w:name="_Toc25195"/>
            <w:bookmarkStart w:id="603" w:name="_Toc459"/>
            <w:bookmarkStart w:id="604" w:name="_Toc4731"/>
            <w:bookmarkStart w:id="605" w:name="_Toc14214"/>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6.5.13</w:t>
            </w:r>
            <w:r>
              <w:rPr>
                <w:rFonts w:hint="default" w:ascii="Times New Roman" w:hAnsi="Times New Roman" w:cs="Times New Roman"/>
                <w:color w:val="000000" w:themeColor="text1"/>
                <w:szCs w:val="21"/>
                <w:highlight w:val="none"/>
                <w14:textFill>
                  <w14:solidFill>
                    <w14:schemeClr w14:val="tx1"/>
                  </w14:solidFill>
                </w14:textFill>
              </w:rPr>
              <w:t>-2)</w:t>
            </w:r>
            <w:bookmarkEnd w:id="599"/>
            <w:bookmarkEnd w:id="600"/>
            <w:bookmarkEnd w:id="601"/>
            <w:bookmarkEnd w:id="602"/>
            <w:bookmarkEnd w:id="603"/>
            <w:bookmarkEnd w:id="604"/>
            <w:bookmarkEnd w:id="605"/>
          </w:p>
        </w:tc>
      </w:tr>
    </w:tbl>
    <w:tbl>
      <w:tblPr>
        <w:tblStyle w:val="25"/>
        <w:tblW w:w="6149" w:type="dxa"/>
        <w:tblInd w:w="-108" w:type="dxa"/>
        <w:tblLayout w:type="autofit"/>
        <w:tblCellMar>
          <w:top w:w="0" w:type="dxa"/>
          <w:left w:w="0" w:type="dxa"/>
          <w:bottom w:w="0" w:type="dxa"/>
          <w:right w:w="0" w:type="dxa"/>
        </w:tblCellMar>
      </w:tblPr>
      <w:tblGrid>
        <w:gridCol w:w="561"/>
        <w:gridCol w:w="535"/>
        <w:gridCol w:w="5053"/>
      </w:tblGrid>
      <w:tr>
        <w:trPr>
          <w:trHeight w:val="245" w:hRule="atLeast"/>
        </w:trPr>
        <w:tc>
          <w:tcPr>
            <w:tcW w:w="561" w:type="dxa"/>
            <w:noWrap w:val="0"/>
            <w:vAlign w:val="top"/>
          </w:tcPr>
          <w:p>
            <w:pPr>
              <w:adjustRightInd w:val="0"/>
              <w:snapToGrid w:val="0"/>
              <w:spacing w:line="360" w:lineRule="exact"/>
              <w:jc w:val="left"/>
              <w:rPr>
                <w:rFonts w:hint="default" w:ascii="Times New Roman" w:hAnsi="Times New Roman" w:cs="Times New Roman"/>
                <w:color w:val="000000" w:themeColor="text1"/>
                <w:szCs w:val="21"/>
                <w:highlight w:val="none"/>
                <w14:textFill>
                  <w14:solidFill>
                    <w14:schemeClr w14:val="tx1"/>
                  </w14:solidFill>
                </w14:textFill>
              </w:rPr>
            </w:pPr>
            <m:oMathPara>
              <m:oMathParaPr>
                <m:jc m:val="left"/>
              </m:oMathParaPr>
              <m:oMath>
                <m:r>
                  <m:rPr>
                    <m:sty m:val="p"/>
                  </m:rPr>
                  <w:rPr>
                    <w:rFonts w:hint="default" w:ascii="Cambria Math" w:hAnsi="Cambria Math" w:cs="Times New Roman"/>
                    <w:color w:val="000000" w:themeColor="text1"/>
                    <w:sz w:val="21"/>
                    <w:szCs w:val="21"/>
                    <w:highlight w:val="none"/>
                    <w14:textFill>
                      <w14:solidFill>
                        <w14:schemeClr w14:val="tx1"/>
                      </w14:solidFill>
                    </w14:textFill>
                  </w:rPr>
                  <m:t>式中：</m:t>
                </m:r>
              </m:oMath>
            </m:oMathPara>
          </w:p>
        </w:tc>
        <w:tc>
          <w:tcPr>
            <w:tcW w:w="535" w:type="dxa"/>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ParaPr>
                <m:jc m:val="right"/>
              </m:oMathParaPr>
              <m:oMath>
                <m:r>
                  <m:rPr/>
                  <w:rPr>
                    <w:rFonts w:hint="default" w:ascii="Cambria Math" w:hAnsi="Cambria Math" w:cs="Times New Roman"/>
                    <w:color w:val="000000" w:themeColor="text1"/>
                    <w:szCs w:val="21"/>
                    <w:highlight w:val="none"/>
                    <w14:textFill>
                      <w14:solidFill>
                        <w14:schemeClr w14:val="tx1"/>
                      </w14:solidFill>
                    </w14:textFill>
                  </w:rPr>
                  <m:t>μ</m:t>
                </m:r>
              </m:oMath>
            </m:oMathPara>
          </w:p>
        </w:tc>
        <w:tc>
          <w:tcPr>
            <w:tcW w:w="5053" w:type="dxa"/>
            <w:noWrap w:val="0"/>
            <w:vAlign w:val="center"/>
          </w:tcPr>
          <w:p>
            <w:pPr>
              <w:adjustRightInd w:val="0"/>
              <w:snapToGrid w:val="0"/>
              <w:spacing w:line="360" w:lineRule="exact"/>
              <w:ind w:left="0" w:firstLine="0" w:firstLineChars="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摩擦系数，取0.4；</w:t>
            </w:r>
          </w:p>
        </w:tc>
      </w:tr>
      <w:tr>
        <w:trPr>
          <w:trHeight w:val="90" w:hRule="atLeast"/>
        </w:trPr>
        <w:tc>
          <w:tcPr>
            <w:tcW w:w="561" w:type="dxa"/>
            <w:noWrap w:val="0"/>
            <w:vAlign w:val="top"/>
          </w:tcPr>
          <w:p>
            <w:pPr>
              <w:adjustRightInd w:val="0"/>
              <w:snapToGrid w:val="0"/>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535" w:type="dxa"/>
            <w:noWrap w:val="0"/>
            <w:vAlign w:val="center"/>
          </w:tcPr>
          <w:p>
            <w:pPr>
              <w:adjustRightInd w:val="0"/>
              <w:snapToGrid w:val="0"/>
              <w:spacing w:line="360" w:lineRule="exact"/>
              <w:jc w:val="center"/>
              <w:rPr>
                <w:rFonts w:hint="default" w:ascii="Times New Roman" w:hAnsi="Times New Roman" w:cs="Times New Roman"/>
                <w:color w:val="000000" w:themeColor="text1"/>
                <w:szCs w:val="21"/>
                <w:highlight w:val="none"/>
                <w14:textFill>
                  <w14:solidFill>
                    <w14:schemeClr w14:val="tx1"/>
                  </w14:solidFill>
                </w14:textFill>
              </w:rPr>
            </w:pPr>
            <m:oMathPara>
              <m:oMathParaPr>
                <m:jc m:val="right"/>
              </m:oMathParaPr>
              <m:oMath>
                <m:r>
                  <m:rPr/>
                  <w:rPr>
                    <w:rFonts w:hint="default" w:ascii="Cambria Math" w:hAnsi="Cambria Math" w:cs="Times New Roman"/>
                    <w:color w:val="000000" w:themeColor="text1"/>
                    <w:szCs w:val="21"/>
                    <w:highlight w:val="none"/>
                    <w14:textFill>
                      <w14:solidFill>
                        <w14:schemeClr w14:val="tx1"/>
                      </w14:solidFill>
                    </w14:textFill>
                  </w:rPr>
                  <m:t>G</m:t>
                </m:r>
              </m:oMath>
            </m:oMathPara>
          </w:p>
        </w:tc>
        <w:tc>
          <w:tcPr>
            <w:tcW w:w="5053" w:type="dxa"/>
            <w:noWrap w:val="0"/>
            <w:vAlign w:val="center"/>
          </w:tcPr>
          <w:p>
            <w:pPr>
              <w:adjustRightInd w:val="0"/>
              <w:snapToGrid w:val="0"/>
              <w:spacing w:line="360" w:lineRule="exact"/>
              <w:jc w:val="both"/>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模块的重力荷载标准值；</w:t>
            </w:r>
          </w:p>
        </w:tc>
      </w:tr>
      <w:tr>
        <w:trPr>
          <w:trHeight w:val="90" w:hRule="atLeast"/>
        </w:trPr>
        <w:tc>
          <w:tcPr>
            <w:tcW w:w="561" w:type="dxa"/>
            <w:noWrap w:val="0"/>
            <w:vAlign w:val="top"/>
          </w:tcPr>
          <w:p>
            <w:pPr>
              <w:adjustRightInd w:val="0"/>
              <w:snapToGrid w:val="0"/>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535" w:type="dxa"/>
            <w:noWrap w:val="0"/>
            <w:vAlign w:val="center"/>
          </w:tcPr>
          <w:p>
            <w:pPr>
              <w:adjustRightInd w:val="0"/>
              <w:snapToGrid w:val="0"/>
              <w:spacing w:line="360" w:lineRule="exact"/>
              <w:jc w:val="center"/>
              <w:rPr>
                <w:rFonts w:hint="default" w:ascii="Cambria Math" w:hAnsi="Cambria Math" w:cs="Times New Roman"/>
                <w:i/>
                <w:color w:val="000000" w:themeColor="text1"/>
                <w:szCs w:val="21"/>
                <w:highlight w:val="none"/>
                <w14:textFill>
                  <w14:solidFill>
                    <w14:schemeClr w14:val="tx1"/>
                  </w14:solidFill>
                </w14:textFill>
                <w:oMath/>
              </w:rPr>
            </w:pPr>
            <m:oMathPara>
              <m:oMathParaPr>
                <m:jc m:val="right"/>
              </m:oMathParaPr>
              <m:oMath>
                <m:sSub>
                  <m:sSubPr>
                    <m:ctrlPr>
                      <w:rPr>
                        <w:rFonts w:hint="default" w:ascii="Cambria Math" w:hAnsi="Cambria Math" w:cs="Times New Roman"/>
                        <w:i/>
                        <w:color w:val="000000" w:themeColor="text1"/>
                        <w:szCs w:val="21"/>
                        <w:highlight w:val="none"/>
                        <w14:textFill>
                          <w14:solidFill>
                            <w14:schemeClr w14:val="tx1"/>
                          </w14:solidFill>
                        </w14:textFill>
                      </w:rPr>
                    </m:ctrlPr>
                  </m:sSubPr>
                  <m:e>
                    <m:r>
                      <m:rPr/>
                      <w:rPr>
                        <w:rFonts w:hint="default" w:ascii="Cambria Math" w:hAnsi="Cambria Math" w:cs="Times New Roman"/>
                        <w:color w:val="000000" w:themeColor="text1"/>
                        <w:szCs w:val="21"/>
                        <w:highlight w:val="none"/>
                        <w14:textFill>
                          <w14:solidFill>
                            <w14:schemeClr w14:val="tx1"/>
                          </w14:solidFill>
                        </w14:textFill>
                      </w:rPr>
                      <m:t>N</m:t>
                    </m:r>
                    <m:ctrlPr>
                      <w:rPr>
                        <w:rFonts w:hint="default" w:ascii="Cambria Math" w:hAnsi="Cambria Math" w:cs="Times New Roman"/>
                        <w:i/>
                        <w:color w:val="000000" w:themeColor="text1"/>
                        <w:szCs w:val="21"/>
                        <w:highlight w:val="none"/>
                        <w14:textFill>
                          <w14:solidFill>
                            <w14:schemeClr w14:val="tx1"/>
                          </w14:solidFill>
                        </w14:textFill>
                      </w:rPr>
                    </m:ctrlPr>
                  </m:e>
                  <m:sub>
                    <m:r>
                      <m:rPr/>
                      <w:rPr>
                        <w:rFonts w:hint="default" w:ascii="Cambria Math" w:hAnsi="Cambria Math" w:cs="Times New Roman"/>
                        <w:color w:val="000000" w:themeColor="text1"/>
                        <w:szCs w:val="21"/>
                        <w:highlight w:val="none"/>
                        <w14:textFill>
                          <w14:solidFill>
                            <w14:schemeClr w14:val="tx1"/>
                          </w14:solidFill>
                        </w14:textFill>
                      </w:rPr>
                      <m:t>w</m:t>
                    </m:r>
                    <m:ctrlPr>
                      <w:rPr>
                        <w:rFonts w:hint="default" w:ascii="Cambria Math" w:hAnsi="Cambria Math" w:cs="Times New Roman"/>
                        <w:i/>
                        <w:color w:val="000000" w:themeColor="text1"/>
                        <w:szCs w:val="21"/>
                        <w:highlight w:val="none"/>
                        <w14:textFill>
                          <w14:solidFill>
                            <w14:schemeClr w14:val="tx1"/>
                          </w14:solidFill>
                        </w14:textFill>
                      </w:rPr>
                    </m:ctrlPr>
                  </m:sub>
                </m:sSub>
              </m:oMath>
            </m:oMathPara>
          </w:p>
        </w:tc>
        <w:tc>
          <w:tcPr>
            <w:tcW w:w="5053" w:type="dxa"/>
            <w:noWrap w:val="0"/>
            <w:vAlign w:val="center"/>
          </w:tcPr>
          <w:p>
            <w:pPr>
              <w:adjustRightInd w:val="0"/>
              <w:snapToGrid w:val="0"/>
              <w:spacing w:line="360" w:lineRule="exact"/>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风荷载标准值作用下的水平力</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bl>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叠合板浇筑时宜设置板下支撑；当有充足依据时，可不设置板下支撑。</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sectPr>
          <w:footerReference r:id="rId6" w:type="default"/>
          <w:footerReference r:id="rId7" w:type="even"/>
          <w:pgSz w:w="7937" w:h="11509"/>
          <w:pgMar w:top="1083" w:right="1009" w:bottom="1083" w:left="1009" w:header="851" w:footer="992" w:gutter="0"/>
          <w:pgNumType w:fmt="decimal"/>
          <w:cols w:space="0" w:num="1"/>
          <w:docGrid w:type="lines" w:linePitch="333" w:charSpace="4423"/>
        </w:sectPr>
      </w:pPr>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施工状态下应对模壳板及隔墙进行强度、变形和稳定性分析。</w:t>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606" w:name="_Toc7796"/>
      <w:bookmarkStart w:id="607" w:name="_Toc25418"/>
      <w:bookmarkStart w:id="608" w:name="_Toc15980"/>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 xml:space="preserve"> </w:t>
      </w:r>
      <w:bookmarkStart w:id="609" w:name="_Toc10935"/>
      <w:bookmarkStart w:id="610" w:name="_Toc32083"/>
      <w:bookmarkStart w:id="611" w:name="_Toc11679"/>
      <w:bookmarkStart w:id="612" w:name="_Toc2869"/>
      <w:r>
        <w:rPr>
          <w:rFonts w:hint="default" w:ascii="Times New Roman" w:hAnsi="Times New Roman" w:eastAsia="黑体" w:cs="Times New Roman"/>
          <w:color w:val="000000" w:themeColor="text1"/>
          <w:sz w:val="28"/>
          <w:szCs w:val="28"/>
          <w:highlight w:val="none"/>
          <w14:textFill>
            <w14:solidFill>
              <w14:schemeClr w14:val="tx1"/>
            </w14:solidFill>
          </w14:textFill>
        </w:rPr>
        <w:t xml:space="preserve">7  </w:t>
      </w:r>
      <w:bookmarkStart w:id="613" w:name="_Toc12002"/>
      <w:r>
        <w:rPr>
          <w:rFonts w:hint="default" w:ascii="Times New Roman" w:hAnsi="Times New Roman" w:eastAsia="黑体" w:cs="Times New Roman"/>
          <w:color w:val="000000" w:themeColor="text1"/>
          <w:sz w:val="28"/>
          <w:szCs w:val="28"/>
          <w:highlight w:val="none"/>
          <w14:textFill>
            <w14:solidFill>
              <w14:schemeClr w14:val="tx1"/>
            </w14:solidFill>
          </w14:textFill>
        </w:rPr>
        <w:t>设备管线与内装系统设计</w:t>
      </w:r>
      <w:bookmarkEnd w:id="606"/>
      <w:bookmarkEnd w:id="607"/>
      <w:bookmarkEnd w:id="608"/>
      <w:bookmarkEnd w:id="609"/>
      <w:bookmarkEnd w:id="610"/>
      <w:bookmarkEnd w:id="611"/>
      <w:bookmarkEnd w:id="612"/>
      <w:bookmarkEnd w:id="613"/>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614" w:name="_Toc12827"/>
      <w:bookmarkStart w:id="615" w:name="_Toc16969"/>
      <w:bookmarkStart w:id="616" w:name="_Toc110952718"/>
      <w:bookmarkStart w:id="617" w:name="_Toc3722"/>
      <w:bookmarkStart w:id="618" w:name="_Toc331"/>
      <w:bookmarkStart w:id="619" w:name="_Toc1290"/>
      <w:bookmarkStart w:id="620" w:name="_Toc6166"/>
      <w:bookmarkStart w:id="621" w:name="_Toc16512"/>
      <w:bookmarkStart w:id="622" w:name="_Toc6029"/>
      <w:bookmarkStart w:id="623" w:name="_Toc110958486"/>
      <w:bookmarkStart w:id="624" w:name="_Toc517"/>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7.1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 般 规 定</w:t>
      </w:r>
      <w:bookmarkEnd w:id="614"/>
      <w:bookmarkEnd w:id="615"/>
      <w:bookmarkEnd w:id="616"/>
      <w:bookmarkEnd w:id="617"/>
      <w:bookmarkEnd w:id="618"/>
      <w:bookmarkEnd w:id="619"/>
      <w:bookmarkEnd w:id="620"/>
      <w:bookmarkEnd w:id="621"/>
      <w:bookmarkEnd w:id="622"/>
      <w:bookmarkEnd w:id="623"/>
      <w:bookmarkEnd w:id="624"/>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7.1.1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设备管线和内装系统应符合国家现行标准《建筑内部装修设计防火规范》 GB 50222、《民用建筑工程室内环境污染控制标准》GB 50325、《民用建筑隔声设计规范》GB 50118</w:t>
      </w:r>
      <w:r>
        <w:rPr>
          <w:rFonts w:hint="default" w:ascii="Times New Roman" w:hAnsi="Times New Roman" w:cs="Times New Roman"/>
          <w:color w:val="000000" w:themeColor="text1"/>
          <w:szCs w:val="21"/>
          <w:highlight w:val="none"/>
          <w:lang w:val="en-US" w:eastAsia="zh-CN"/>
          <w14:textFill>
            <w14:solidFill>
              <w14:schemeClr w14:val="tx1"/>
            </w14:solidFill>
          </w14:textFill>
        </w:rPr>
        <w:t>和现行行业标准</w:t>
      </w:r>
      <w:r>
        <w:rPr>
          <w:rFonts w:hint="default" w:ascii="Times New Roman" w:hAnsi="Times New Roman" w:cs="Times New Roman"/>
          <w:color w:val="000000" w:themeColor="text1"/>
          <w:szCs w:val="21"/>
          <w:highlight w:val="none"/>
          <w14:textFill>
            <w14:solidFill>
              <w14:schemeClr w14:val="tx1"/>
            </w14:solidFill>
          </w14:textFill>
        </w:rPr>
        <w:t>《住宅室内装饰装修设计规范》JGJ 367等有关规定。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7.1.2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混凝土模块化建筑的设备与管线的抗震设计应符合现行国家标准《建筑与市政工程抗震通用规范》GB 55002</w:t>
      </w:r>
      <w:r>
        <w:rPr>
          <w:rFonts w:hint="default" w:ascii="Times New Roman" w:hAnsi="Times New Roman"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Cs w:val="21"/>
          <w:highlight w:val="none"/>
          <w14:textFill>
            <w14:solidFill>
              <w14:schemeClr w14:val="tx1"/>
            </w14:solidFill>
          </w14:textFill>
        </w:rPr>
        <w:t>《建筑机电工程抗震设计规范》GB 50981的有关规定。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7.1.3</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机电设计、内装设计应与建筑设计、结构设计等同步进行，机电设计宜结合内装设计</w:t>
      </w:r>
      <w:r>
        <w:rPr>
          <w:rFonts w:hint="default" w:ascii="Times New Roman" w:hAnsi="Times New Roman" w:cs="Times New Roman"/>
          <w:color w:val="000000" w:themeColor="text1"/>
          <w:szCs w:val="21"/>
          <w:highlight w:val="none"/>
          <w:lang w:val="en-US" w:eastAsia="zh-CN"/>
          <w14:textFill>
            <w14:solidFill>
              <w14:schemeClr w14:val="tx1"/>
            </w14:solidFill>
          </w14:textFill>
        </w:rPr>
        <w:t>敷设</w:t>
      </w:r>
      <w:r>
        <w:rPr>
          <w:rFonts w:hint="default" w:ascii="Times New Roman" w:hAnsi="Times New Roman" w:cs="Times New Roman"/>
          <w:color w:val="000000" w:themeColor="text1"/>
          <w:szCs w:val="21"/>
          <w:highlight w:val="none"/>
          <w14:textFill>
            <w14:solidFill>
              <w14:schemeClr w14:val="tx1"/>
            </w14:solidFill>
          </w14:textFill>
        </w:rPr>
        <w:t>管线及设备。</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7.1.4</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机电设备系统、内装系统应满足模块标准化设计、集成化安装的要求，并应满足运输、吊装及成品保护的要求。</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7.1.5</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机电设备及管线的连接应采用标准化接口，应选用耐腐蚀、抗老化、连接可靠的管线及设备。</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7.1.6</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公共管线、阀门、检修口、计量仪表、电表箱、配电箱、智能化配线箱等，宜统一集中设置在公共区域。</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625" w:name="_Toc15158"/>
      <w:bookmarkStart w:id="626" w:name="_Toc10484"/>
      <w:bookmarkStart w:id="627" w:name="_Toc22315"/>
      <w:bookmarkStart w:id="628" w:name="_Toc834"/>
      <w:bookmarkStart w:id="629" w:name="_Toc7409"/>
      <w:r>
        <w:rPr>
          <w:rFonts w:hint="default" w:ascii="Times New Roman" w:hAnsi="Times New Roman" w:cs="Times New Roman"/>
          <w:b/>
          <w:bCs/>
          <w:color w:val="000000" w:themeColor="text1"/>
          <w:szCs w:val="21"/>
          <w:highlight w:val="none"/>
          <w14:textFill>
            <w14:solidFill>
              <w14:schemeClr w14:val="tx1"/>
            </w14:solidFill>
          </w14:textFill>
        </w:rPr>
        <w:t xml:space="preserve">7.1.7 </w:t>
      </w:r>
      <w:r>
        <w:rPr>
          <w:rFonts w:hint="default" w:ascii="Times New Roman" w:hAnsi="Times New Roman" w:cs="Times New Roman"/>
          <w:color w:val="000000" w:themeColor="text1"/>
          <w:szCs w:val="21"/>
          <w:highlight w:val="none"/>
          <w14:textFill>
            <w14:solidFill>
              <w14:schemeClr w14:val="tx1"/>
            </w14:solidFill>
          </w14:textFill>
        </w:rPr>
        <w:t xml:space="preserve"> 设备与管线的布置应符合下列规定：</w:t>
      </w:r>
      <w:bookmarkEnd w:id="625"/>
      <w:bookmarkEnd w:id="626"/>
      <w:bookmarkEnd w:id="627"/>
      <w:bookmarkEnd w:id="628"/>
      <w:bookmarkEnd w:id="629"/>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30" w:name="_Toc20636"/>
      <w:bookmarkStart w:id="631" w:name="_Toc483"/>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设备与管线的布置应减少模块间的连接，宜布置在吊顶下实现管线</w:t>
      </w:r>
      <w:r>
        <w:rPr>
          <w:rFonts w:hint="default" w:ascii="Times New Roman" w:hAnsi="Times New Roman" w:cs="Times New Roman"/>
          <w:color w:val="000000" w:themeColor="text1"/>
          <w:szCs w:val="21"/>
          <w:highlight w:val="none"/>
          <w:lang w:val="en-US" w:eastAsia="zh-CN"/>
          <w14:textFill>
            <w14:solidFill>
              <w14:schemeClr w14:val="tx1"/>
            </w14:solidFill>
          </w14:textFill>
        </w:rPr>
        <w:t>与主体结构</w:t>
      </w:r>
      <w:r>
        <w:rPr>
          <w:rFonts w:hint="default" w:ascii="Times New Roman" w:hAnsi="Times New Roman" w:cs="Times New Roman"/>
          <w:color w:val="000000" w:themeColor="text1"/>
          <w:szCs w:val="21"/>
          <w:highlight w:val="none"/>
          <w14:textFill>
            <w14:solidFill>
              <w14:schemeClr w14:val="tx1"/>
            </w14:solidFill>
          </w14:textFill>
        </w:rPr>
        <w:t>分离；</w:t>
      </w:r>
      <w:bookmarkEnd w:id="630"/>
      <w:bookmarkEnd w:id="631"/>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32" w:name="_Toc18305"/>
      <w:bookmarkStart w:id="633" w:name="_Toc1520"/>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服务</w:t>
      </w:r>
      <w:r>
        <w:rPr>
          <w:rFonts w:hint="default" w:ascii="Times New Roman" w:hAnsi="Times New Roman" w:cs="Times New Roman"/>
          <w:color w:val="000000" w:themeColor="text1"/>
          <w:szCs w:val="21"/>
          <w:highlight w:val="none"/>
          <w:lang w:val="en-US" w:eastAsia="zh-CN"/>
          <w14:textFill>
            <w14:solidFill>
              <w14:schemeClr w14:val="tx1"/>
            </w14:solidFill>
          </w14:textFill>
        </w:rPr>
        <w:t>于</w:t>
      </w:r>
      <w:r>
        <w:rPr>
          <w:rFonts w:hint="default" w:ascii="Times New Roman" w:hAnsi="Times New Roman" w:cs="Times New Roman"/>
          <w:color w:val="000000" w:themeColor="text1"/>
          <w:szCs w:val="21"/>
          <w:highlight w:val="none"/>
          <w14:textFill>
            <w14:solidFill>
              <w14:schemeClr w14:val="tx1"/>
            </w14:solidFill>
          </w14:textFill>
        </w:rPr>
        <w:t>上下层的设备及管线应集中布置在管道井内，并应设置隔断和保护。</w:t>
      </w:r>
      <w:bookmarkEnd w:id="632"/>
      <w:bookmarkEnd w:id="633"/>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634" w:name="_Toc21718"/>
      <w:bookmarkStart w:id="635" w:name="_Toc21712"/>
      <w:bookmarkStart w:id="636" w:name="_Toc27690"/>
      <w:bookmarkStart w:id="637" w:name="_Toc8690"/>
      <w:bookmarkStart w:id="638" w:name="_Toc20298"/>
      <w:r>
        <w:rPr>
          <w:rFonts w:hint="default" w:ascii="Times New Roman" w:hAnsi="Times New Roman" w:cs="Times New Roman"/>
          <w:b/>
          <w:bCs/>
          <w:color w:val="000000" w:themeColor="text1"/>
          <w:szCs w:val="21"/>
          <w:highlight w:val="none"/>
          <w14:textFill>
            <w14:solidFill>
              <w14:schemeClr w14:val="tx1"/>
            </w14:solidFill>
          </w14:textFill>
        </w:rPr>
        <w:t>7.1.8</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机电设备、管线及内装系统的安装应符合下列规定：</w:t>
      </w:r>
      <w:bookmarkEnd w:id="634"/>
      <w:bookmarkEnd w:id="635"/>
      <w:bookmarkEnd w:id="636"/>
      <w:bookmarkEnd w:id="637"/>
      <w:bookmarkEnd w:id="638"/>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39" w:name="_Toc17805"/>
      <w:bookmarkStart w:id="640" w:name="_Toc8156"/>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应结合混凝土模块化建筑的特点，区分工厂与现场安装的工作内容；</w:t>
      </w:r>
      <w:bookmarkEnd w:id="639"/>
      <w:bookmarkEnd w:id="64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41" w:name="_Toc11165"/>
      <w:bookmarkStart w:id="642" w:name="_Toc4921"/>
      <w:bookmarkStart w:id="643" w:name="_Toc19200"/>
      <w:bookmarkStart w:id="644" w:name="_Toc22639"/>
      <w:bookmarkStart w:id="645" w:name="_Toc28958"/>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当管线跨越模块时，应</w:t>
      </w:r>
      <w:r>
        <w:rPr>
          <w:rFonts w:hint="default" w:ascii="Times New Roman" w:hAnsi="Times New Roman" w:cs="Times New Roman"/>
          <w:color w:val="000000" w:themeColor="text1"/>
          <w:szCs w:val="21"/>
          <w:highlight w:val="none"/>
          <w:lang w:val="en-US" w:eastAsia="zh-CN"/>
          <w14:textFill>
            <w14:solidFill>
              <w14:schemeClr w14:val="tx1"/>
            </w14:solidFill>
          </w14:textFill>
        </w:rPr>
        <w:t>在模块间连接位置</w:t>
      </w:r>
      <w:r>
        <w:rPr>
          <w:rFonts w:hint="default" w:ascii="Times New Roman" w:hAnsi="Times New Roman" w:cs="Times New Roman"/>
          <w:color w:val="000000" w:themeColor="text1"/>
          <w:szCs w:val="21"/>
          <w:highlight w:val="none"/>
          <w14:textFill>
            <w14:solidFill>
              <w14:schemeClr w14:val="tx1"/>
            </w14:solidFill>
          </w14:textFill>
        </w:rPr>
        <w:t>预留对接槽口；</w:t>
      </w:r>
      <w:bookmarkEnd w:id="641"/>
      <w:bookmarkEnd w:id="642"/>
      <w:bookmarkEnd w:id="643"/>
      <w:bookmarkEnd w:id="644"/>
      <w:bookmarkEnd w:id="645"/>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46" w:name="_Toc8054"/>
      <w:bookmarkStart w:id="647" w:name="_Toc13608"/>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当工厂内安装的管道、设备固定在梁模或墙模上时，所选固定件不应穿透梁模或墙模；</w:t>
      </w:r>
      <w:bookmarkEnd w:id="646"/>
      <w:bookmarkEnd w:id="647"/>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48" w:name="_Toc17061"/>
      <w:bookmarkStart w:id="649" w:name="_Toc7101"/>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当设备管线穿越预制楼板或预制墙体时，应在工厂内预留套管或孔洞，不应在模块单元安装后凿剔沟槽、孔洞；</w:t>
      </w:r>
      <w:bookmarkEnd w:id="648"/>
      <w:bookmarkEnd w:id="649"/>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50" w:name="_Toc417"/>
      <w:bookmarkStart w:id="651" w:name="_Toc19008"/>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当设备、管线穿越楼板、墙体时，应采取防水、防火、隔声、密封、保温隔热等措施，防火封堵应符合现行国家标准《建筑设计防火规范》GB 50016的有关规定。</w:t>
      </w:r>
      <w:bookmarkEnd w:id="650"/>
      <w:bookmarkEnd w:id="651"/>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7.1.9 </w:t>
      </w:r>
      <w:r>
        <w:rPr>
          <w:rFonts w:hint="default" w:ascii="Times New Roman" w:hAnsi="Times New Roman" w:cs="Times New Roman"/>
          <w:color w:val="000000" w:themeColor="text1"/>
          <w:szCs w:val="21"/>
          <w:highlight w:val="none"/>
          <w14:textFill>
            <w14:solidFill>
              <w14:schemeClr w14:val="tx1"/>
            </w14:solidFill>
          </w14:textFill>
        </w:rPr>
        <w:t xml:space="preserve"> 设备管线系统应采用建筑信息模型技术，机电设备管线宜共用支吊架并满足一体化预制的要求。</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652" w:name="_Toc110952720"/>
      <w:bookmarkStart w:id="653" w:name="_Toc23488"/>
      <w:bookmarkStart w:id="654" w:name="_Toc110958488"/>
      <w:bookmarkStart w:id="655" w:name="_Toc18912"/>
      <w:bookmarkStart w:id="656" w:name="_Toc18368"/>
      <w:bookmarkStart w:id="657" w:name="_Toc26143"/>
      <w:bookmarkStart w:id="658" w:name="_Toc10086"/>
      <w:bookmarkStart w:id="659" w:name="_Toc18465"/>
      <w:bookmarkStart w:id="660" w:name="_Toc22847"/>
      <w:bookmarkStart w:id="661" w:name="_Toc21406"/>
      <w:bookmarkStart w:id="662" w:name="_Toc1070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7.2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给水排水系统</w:t>
      </w:r>
      <w:bookmarkEnd w:id="652"/>
      <w:bookmarkEnd w:id="653"/>
      <w:bookmarkEnd w:id="654"/>
      <w:bookmarkEnd w:id="655"/>
      <w:bookmarkEnd w:id="656"/>
      <w:bookmarkEnd w:id="657"/>
      <w:bookmarkEnd w:id="658"/>
      <w:bookmarkEnd w:id="659"/>
      <w:bookmarkEnd w:id="660"/>
      <w:bookmarkEnd w:id="661"/>
      <w:bookmarkEnd w:id="662"/>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663" w:name="_Toc110952721"/>
      <w:bookmarkStart w:id="664" w:name="_Toc110958489"/>
      <w:bookmarkStart w:id="665" w:name="_Toc23801"/>
      <w:r>
        <w:rPr>
          <w:rFonts w:hint="default" w:ascii="Times New Roman" w:hAnsi="Times New Roman" w:cs="Times New Roman"/>
          <w:b/>
          <w:bCs/>
          <w:color w:val="000000" w:themeColor="text1"/>
          <w:szCs w:val="21"/>
          <w:highlight w:val="none"/>
          <w14:textFill>
            <w14:solidFill>
              <w14:schemeClr w14:val="tx1"/>
            </w14:solidFill>
          </w14:textFill>
        </w:rPr>
        <w:t>7.2.1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混凝土模块化建筑给水排水系统设计应符合现行国家标准《建筑给水排水设计标准》GB 50015和《建筑给水排水与节水通用规范》GB 55020的有关规定。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666" w:name="_Toc29610"/>
      <w:bookmarkStart w:id="667" w:name="_Toc15480"/>
      <w:bookmarkStart w:id="668" w:name="_Toc10808"/>
      <w:bookmarkStart w:id="669" w:name="_Toc12902"/>
      <w:bookmarkStart w:id="670" w:name="_Toc26499"/>
      <w:r>
        <w:rPr>
          <w:rFonts w:hint="default" w:ascii="Times New Roman" w:hAnsi="Times New Roman" w:cs="Times New Roman"/>
          <w:b/>
          <w:bCs/>
          <w:color w:val="000000" w:themeColor="text1"/>
          <w:szCs w:val="21"/>
          <w:highlight w:val="none"/>
          <w14:textFill>
            <w14:solidFill>
              <w14:schemeClr w14:val="tx1"/>
            </w14:solidFill>
          </w14:textFill>
        </w:rPr>
        <w:t>7.2.2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给水系统设计应符合下列规定：</w:t>
      </w:r>
      <w:bookmarkEnd w:id="666"/>
      <w:bookmarkEnd w:id="667"/>
      <w:bookmarkEnd w:id="668"/>
      <w:bookmarkEnd w:id="669"/>
      <w:bookmarkEnd w:id="67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71" w:name="_Toc5312"/>
      <w:bookmarkStart w:id="672" w:name="_Toc17969"/>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混凝土模块化建筑室内给水横管宜结合室内装修在吊顶内敷设，吊顶内的阀门处应设置检修口，模块之间的管道接口应选用便于安装、拆卸、更换的接头方式；</w:t>
      </w:r>
      <w:bookmarkEnd w:id="671"/>
      <w:bookmarkEnd w:id="672"/>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73" w:name="_Toc7171"/>
      <w:bookmarkStart w:id="674" w:name="_Toc19968"/>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管道不得直接敷设在建筑物结构层内，暗敷在墙槽中的给水支管应结合墙模厚度及墙体装饰做法预留管槽，敷设在墙体管槽内的给水支管的外径不宜大于25mm；</w:t>
      </w:r>
      <w:bookmarkEnd w:id="673"/>
      <w:bookmarkEnd w:id="674"/>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675" w:name="_Toc17448"/>
      <w:bookmarkStart w:id="676" w:name="_Toc6188"/>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给水管道穿越混凝土梁模时，应在梁模上预留钢套管，预留钢套管定位应满足钢筋笼吊装、安装的要求</w:t>
      </w:r>
      <w:bookmarkEnd w:id="675"/>
      <w:bookmarkEnd w:id="676"/>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77" w:name="_Toc28995"/>
      <w:bookmarkStart w:id="678" w:name="_Toc5803"/>
      <w:r>
        <w:rPr>
          <w:rFonts w:hint="default" w:ascii="Times New Roman" w:hAnsi="Times New Roman" w:cs="Times New Roman"/>
          <w:b/>
          <w:bCs/>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敷设在吊顶或楼地面架空层的给水管道应采取防腐蚀、隔声减噪和防结露等措施。</w:t>
      </w:r>
      <w:bookmarkEnd w:id="677"/>
      <w:bookmarkEnd w:id="678"/>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679" w:name="_Toc27125"/>
      <w:bookmarkStart w:id="680" w:name="_Toc690"/>
      <w:bookmarkStart w:id="681" w:name="_Toc28705"/>
      <w:bookmarkStart w:id="682" w:name="_Toc2307"/>
      <w:bookmarkStart w:id="683" w:name="_Toc15487"/>
      <w:r>
        <w:rPr>
          <w:rFonts w:hint="default" w:ascii="Times New Roman" w:hAnsi="Times New Roman" w:cs="Times New Roman"/>
          <w:b/>
          <w:bCs/>
          <w:color w:val="000000" w:themeColor="text1"/>
          <w:szCs w:val="21"/>
          <w:highlight w:val="none"/>
          <w14:textFill>
            <w14:solidFill>
              <w14:schemeClr w14:val="tx1"/>
            </w14:solidFill>
          </w14:textFill>
        </w:rPr>
        <w:t xml:space="preserve">7.2.3 </w:t>
      </w:r>
      <w:r>
        <w:rPr>
          <w:rFonts w:hint="default" w:ascii="Times New Roman" w:hAnsi="Times New Roman" w:cs="Times New Roman"/>
          <w:color w:val="000000" w:themeColor="text1"/>
          <w:szCs w:val="21"/>
          <w:highlight w:val="none"/>
          <w14:textFill>
            <w14:solidFill>
              <w14:schemeClr w14:val="tx1"/>
            </w14:solidFill>
          </w14:textFill>
        </w:rPr>
        <w:t xml:space="preserve"> 排水设计应符合下列规定：</w:t>
      </w:r>
      <w:bookmarkEnd w:id="679"/>
      <w:bookmarkEnd w:id="680"/>
      <w:bookmarkEnd w:id="681"/>
      <w:bookmarkEnd w:id="682"/>
      <w:bookmarkEnd w:id="683"/>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84" w:name="_Toc24819"/>
      <w:bookmarkStart w:id="685" w:name="_Toc28142"/>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卫生间优先采用同层排水技术；并应结合建筑层高、楼板跨度、卫生部品及管道</w:t>
      </w:r>
      <w:bookmarkEnd w:id="684"/>
      <w:bookmarkEnd w:id="685"/>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bookmarkStart w:id="686" w:name="_Toc1612"/>
      <w:bookmarkStart w:id="687" w:name="_Toc27141"/>
      <w:r>
        <w:rPr>
          <w:rFonts w:hint="default" w:ascii="Times New Roman" w:hAnsi="Times New Roman" w:cs="Times New Roman"/>
          <w:color w:val="000000" w:themeColor="text1"/>
          <w:szCs w:val="21"/>
          <w:highlight w:val="none"/>
          <w14:textFill>
            <w14:solidFill>
              <w14:schemeClr w14:val="tx1"/>
            </w14:solidFill>
          </w14:textFill>
        </w:rPr>
        <w:t>长度、坡度等因素综合确定方案。同层排水管道敷设在架空层时，宜设置积水排出装置；</w:t>
      </w:r>
      <w:bookmarkEnd w:id="686"/>
      <w:bookmarkEnd w:id="687"/>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88" w:name="_Toc8319"/>
      <w:bookmarkStart w:id="689" w:name="_Toc10022"/>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卫生间排水立管设置于室内时，应设置于排水管道井中，管道井的设置应便于上下层管道连接和检修；</w:t>
      </w:r>
      <w:bookmarkEnd w:id="688"/>
      <w:bookmarkEnd w:id="689"/>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690" w:name="_Toc7709"/>
      <w:bookmarkStart w:id="691" w:name="_Toc16197"/>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卫生间模块排水支管水平穿墙模时，应预留钢套管，接管方式应满足现场施工工序的要求</w:t>
      </w:r>
      <w:bookmarkEnd w:id="690"/>
      <w:bookmarkEnd w:id="69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692" w:name="_Toc7511"/>
      <w:bookmarkStart w:id="693" w:name="_Toc16337"/>
      <w:bookmarkStart w:id="694" w:name="_Toc29430"/>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排水支管采用集成化的新技术、新产品时应有可靠依据。</w:t>
      </w:r>
      <w:bookmarkEnd w:id="692"/>
      <w:bookmarkEnd w:id="693"/>
      <w:bookmarkEnd w:id="694"/>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695" w:name="_Toc24799"/>
      <w:bookmarkStart w:id="696" w:name="_Toc32409"/>
      <w:bookmarkStart w:id="697" w:name="_Toc4357"/>
      <w:bookmarkStart w:id="698" w:name="_Toc26542"/>
      <w:bookmarkStart w:id="699" w:name="_Toc2480"/>
      <w:bookmarkStart w:id="700" w:name="_Toc19970"/>
      <w:bookmarkStart w:id="701" w:name="_Toc19837"/>
      <w:bookmarkStart w:id="702" w:name="_Toc13282"/>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7.3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通风、空调及燃气</w:t>
      </w:r>
      <w:bookmarkEnd w:id="663"/>
      <w:bookmarkEnd w:id="664"/>
      <w:r>
        <w:rPr>
          <w:rFonts w:hint="default" w:ascii="Times New Roman" w:hAnsi="Times New Roman" w:eastAsia="黑体" w:cs="Times New Roman"/>
          <w:color w:val="000000" w:themeColor="text1"/>
          <w:sz w:val="24"/>
          <w:szCs w:val="24"/>
          <w:highlight w:val="none"/>
          <w14:textFill>
            <w14:solidFill>
              <w14:schemeClr w14:val="tx1"/>
            </w14:solidFill>
          </w14:textFill>
        </w:rPr>
        <w:t>系统</w:t>
      </w:r>
      <w:bookmarkEnd w:id="665"/>
      <w:bookmarkEnd w:id="695"/>
      <w:bookmarkEnd w:id="696"/>
      <w:bookmarkEnd w:id="697"/>
      <w:bookmarkEnd w:id="698"/>
      <w:bookmarkEnd w:id="699"/>
      <w:bookmarkEnd w:id="700"/>
      <w:bookmarkEnd w:id="701"/>
      <w:bookmarkEnd w:id="702"/>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7.3.1</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混凝土模块化建筑的供暖、通风、空调设计应符合现行国家标准《民用建筑供暖通风与空气调节设计规范》GB 50736的有关规定。</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703" w:name="_Toc31559"/>
      <w:bookmarkStart w:id="704" w:name="_Toc18621"/>
      <w:bookmarkStart w:id="705" w:name="_Toc17620"/>
      <w:bookmarkStart w:id="706" w:name="_Toc19712"/>
      <w:bookmarkStart w:id="707" w:name="_Toc27271"/>
      <w:r>
        <w:rPr>
          <w:rFonts w:hint="default" w:ascii="Times New Roman" w:hAnsi="Times New Roman" w:cs="Times New Roman"/>
          <w:b/>
          <w:bCs/>
          <w:color w:val="000000" w:themeColor="text1"/>
          <w:szCs w:val="21"/>
          <w:highlight w:val="none"/>
          <w14:textFill>
            <w14:solidFill>
              <w14:schemeClr w14:val="tx1"/>
            </w14:solidFill>
          </w14:textFill>
        </w:rPr>
        <w:t>7.3.2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通风与空调设备、管线设计应符合下列规定：</w:t>
      </w:r>
      <w:bookmarkEnd w:id="703"/>
      <w:bookmarkEnd w:id="704"/>
      <w:bookmarkEnd w:id="705"/>
      <w:bookmarkEnd w:id="706"/>
      <w:bookmarkEnd w:id="707"/>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bookmarkStart w:id="708" w:name="_Toc21417"/>
      <w:bookmarkStart w:id="709" w:name="_Toc29691"/>
      <w:r>
        <w:rPr>
          <w:rFonts w:hint="default" w:ascii="Times New Roman" w:hAnsi="Times New Roman" w:cs="Times New Roman"/>
          <w:color w:val="000000" w:themeColor="text1"/>
          <w:szCs w:val="21"/>
          <w:highlight w:val="none"/>
          <w14:textFill>
            <w14:solidFill>
              <w14:schemeClr w14:val="tx1"/>
            </w14:solidFill>
          </w14:textFill>
        </w:rPr>
        <w:t>1  模块内通风与空调设备、管线应方便维修更换，维修更换时不应影响主体结构，并宜与主体结构分离；</w:t>
      </w:r>
      <w:bookmarkEnd w:id="708"/>
      <w:bookmarkEnd w:id="709"/>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10" w:name="_Toc1741"/>
      <w:bookmarkStart w:id="711" w:name="_Toc6909"/>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模块内通风与空调设备、管线应定位准确，并宜集中设置、减少平面交叉；</w:t>
      </w:r>
      <w:bookmarkEnd w:id="710"/>
      <w:bookmarkEnd w:id="711"/>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12" w:name="_Toc3064"/>
      <w:bookmarkStart w:id="713" w:name="_Toc21482"/>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模块内通风与空调设备的安装及管线敷设宜在工厂内完成，当设备整体安装时，管线应与模块单元上的预埋件可靠连接，并宜采取隔振、隔音措施；</w:t>
      </w:r>
      <w:bookmarkEnd w:id="712"/>
      <w:bookmarkEnd w:id="713"/>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714" w:name="_Toc28780"/>
      <w:bookmarkStart w:id="715" w:name="_Toc26795"/>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模块间管线连接应符合《通风与空调工程施工规范》GB 50738、《通风与空调工程施工质量验收规范》GB 50243等相关要求</w:t>
      </w:r>
      <w:bookmarkEnd w:id="714"/>
      <w:bookmarkEnd w:id="715"/>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716" w:name="_Toc3749"/>
      <w:bookmarkStart w:id="717" w:name="_Toc26385"/>
      <w:bookmarkStart w:id="718" w:name="_Toc24883"/>
      <w:r>
        <w:rPr>
          <w:rFonts w:hint="default" w:ascii="Times New Roman" w:hAnsi="Times New Roman" w:cs="Times New Roman"/>
          <w:b/>
          <w:bCs/>
          <w:color w:val="000000" w:themeColor="text1"/>
          <w:szCs w:val="21"/>
          <w:highlight w:val="none"/>
          <w14:textFill>
            <w14:solidFill>
              <w14:schemeClr w14:val="tx1"/>
            </w14:solidFill>
          </w14:textFill>
        </w:rPr>
        <w:t>7.3.3</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模块单元中管线的预留预埋应符合下列规定：</w:t>
      </w:r>
      <w:bookmarkEnd w:id="716"/>
      <w:bookmarkEnd w:id="717"/>
      <w:bookmarkEnd w:id="718"/>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719" w:name="_Toc4600"/>
      <w:bookmarkStart w:id="720" w:name="_Toc25362"/>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穿梁和剪力墙的套管采用国标普通焊接钢套管，穿非承重墙时套管采用塑料套管</w:t>
      </w:r>
      <w:bookmarkEnd w:id="719"/>
      <w:bookmarkEnd w:id="720"/>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21" w:name="_Toc16869"/>
      <w:bookmarkStart w:id="722" w:name="_Toc26827"/>
      <w:r>
        <w:rPr>
          <w:rFonts w:hint="default" w:ascii="Times New Roman" w:hAnsi="Times New Roman" w:cs="Times New Roman"/>
          <w:b/>
          <w:bCs/>
          <w:color w:val="000000" w:themeColor="text1"/>
          <w:szCs w:val="21"/>
          <w:highlight w:val="none"/>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 xml:space="preserve"> 预留预埋套管应遵守结构设计模数网格，预制构件上预留的孔洞、套管、坑槽应选择在对构件受力影响最小的部位，孔洞位置应考虑模数，避开钢筋。</w:t>
      </w:r>
      <w:bookmarkEnd w:id="721"/>
      <w:bookmarkEnd w:id="722"/>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7.3.4</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燃气系统设计应符合现行国家标准《燃气工程项目规范》GB 55009的有关规定。</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723" w:name="_Toc6324"/>
      <w:bookmarkStart w:id="724" w:name="_Toc18137"/>
      <w:bookmarkStart w:id="725" w:name="_Toc25033"/>
      <w:bookmarkStart w:id="726" w:name="_Toc4507"/>
      <w:bookmarkStart w:id="727" w:name="_Toc17306"/>
      <w:bookmarkStart w:id="728" w:name="_Toc110958490"/>
      <w:bookmarkStart w:id="729" w:name="_Toc4393"/>
      <w:bookmarkStart w:id="730" w:name="_Toc31038"/>
      <w:bookmarkStart w:id="731" w:name="_Toc110952722"/>
      <w:bookmarkStart w:id="732" w:name="_Toc3700"/>
      <w:bookmarkStart w:id="733" w:name="_Toc2652"/>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7.4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电 气 系 统</w:t>
      </w:r>
      <w:bookmarkEnd w:id="723"/>
      <w:bookmarkEnd w:id="724"/>
      <w:bookmarkEnd w:id="725"/>
      <w:bookmarkEnd w:id="726"/>
      <w:bookmarkEnd w:id="727"/>
      <w:bookmarkEnd w:id="728"/>
      <w:bookmarkEnd w:id="729"/>
      <w:bookmarkEnd w:id="730"/>
      <w:bookmarkEnd w:id="731"/>
      <w:bookmarkEnd w:id="732"/>
      <w:bookmarkEnd w:id="733"/>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734" w:name="_Toc22308"/>
      <w:r>
        <w:rPr>
          <w:rFonts w:hint="default" w:ascii="Times New Roman" w:hAnsi="Times New Roman" w:cs="Times New Roman"/>
          <w:b/>
          <w:bCs/>
          <w:color w:val="000000" w:themeColor="text1"/>
          <w:szCs w:val="21"/>
          <w:highlight w:val="none"/>
          <w14:textFill>
            <w14:solidFill>
              <w14:schemeClr w14:val="tx1"/>
            </w14:solidFill>
          </w14:textFill>
        </w:rPr>
        <w:t xml:space="preserve">7.4.1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电气及智能化设备和管线宜采用工厂预制与装配，其设计应满足工厂生产、施工安装及使用维护的要求，建筑的部件与电气设备及管线之间的连接应采用标准化接口，并便于安装维护。电气及智能化设计和设备选型，应符合现行国家标准的要求。</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735" w:name="_Toc25746"/>
      <w:bookmarkStart w:id="736" w:name="_Toc2171"/>
      <w:r>
        <w:rPr>
          <w:rFonts w:hint="default" w:ascii="Times New Roman" w:hAnsi="Times New Roman" w:cs="Times New Roman"/>
          <w:b/>
          <w:bCs/>
          <w:color w:val="000000" w:themeColor="text1"/>
          <w:szCs w:val="21"/>
          <w:highlight w:val="none"/>
          <w14:textFill>
            <w14:solidFill>
              <w14:schemeClr w14:val="tx1"/>
            </w14:solidFill>
          </w14:textFill>
        </w:rPr>
        <w:t>7.4.2</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混凝土模块化建筑的电气设备与管线设计应符合下列规定：</w:t>
      </w:r>
      <w:bookmarkEnd w:id="735"/>
      <w:bookmarkEnd w:id="736"/>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37" w:name="_Toc30855"/>
      <w:bookmarkStart w:id="738" w:name="_Toc24543"/>
      <w:bookmarkStart w:id="739" w:name="_Toc26240"/>
      <w:bookmarkStart w:id="740" w:name="_Toc5441"/>
      <w:r>
        <w:rPr>
          <w:rFonts w:hint="default" w:ascii="Times New Roman" w:hAnsi="Times New Roman" w:cs="Times New Roman"/>
          <w:b/>
          <w:bCs/>
          <w:color w:val="000000" w:themeColor="text1"/>
          <w:szCs w:val="21"/>
          <w:highlight w:val="none"/>
          <w14:textFill>
            <w14:solidFill>
              <w14:schemeClr w14:val="tx1"/>
            </w14:solidFill>
          </w14:textFill>
        </w:rPr>
        <w:t xml:space="preserve">1 </w:t>
      </w:r>
      <w:r>
        <w:rPr>
          <w:rFonts w:hint="default" w:ascii="Times New Roman" w:hAnsi="Times New Roman" w:cs="Times New Roman"/>
          <w:color w:val="000000" w:themeColor="text1"/>
          <w:szCs w:val="21"/>
          <w:highlight w:val="none"/>
          <w14:textFill>
            <w14:solidFill>
              <w14:schemeClr w14:val="tx1"/>
            </w14:solidFill>
          </w14:textFill>
        </w:rPr>
        <w:t xml:space="preserve"> </w:t>
      </w:r>
      <w:bookmarkEnd w:id="737"/>
      <w:bookmarkStart w:id="741" w:name="_Hlk174365817"/>
      <w:r>
        <w:rPr>
          <w:rFonts w:hint="default" w:ascii="Times New Roman" w:hAnsi="Times New Roman" w:cs="Times New Roman"/>
          <w:color w:val="000000" w:themeColor="text1"/>
          <w:szCs w:val="21"/>
          <w:highlight w:val="none"/>
          <w14:textFill>
            <w14:solidFill>
              <w14:schemeClr w14:val="tx1"/>
            </w14:solidFill>
          </w14:textFill>
        </w:rPr>
        <w:t>当模块单元在工厂进行预制时，模块内的电气设备及管线宜在工厂内完成预制；</w:t>
      </w:r>
      <w:bookmarkEnd w:id="738"/>
      <w:bookmarkEnd w:id="739"/>
      <w:bookmarkEnd w:id="740"/>
      <w:bookmarkEnd w:id="741"/>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42" w:name="_Toc29458"/>
      <w:bookmarkStart w:id="743" w:name="_Toc15935"/>
      <w:bookmarkStart w:id="744" w:name="_Toc6330"/>
      <w:r>
        <w:rPr>
          <w:rFonts w:hint="default" w:ascii="Times New Roman" w:hAnsi="Times New Roman" w:cs="Times New Roman"/>
          <w:b/>
          <w:bCs/>
          <w:color w:val="000000" w:themeColor="text1"/>
          <w:szCs w:val="21"/>
          <w:highlight w:val="none"/>
          <w14:textFill>
            <w14:solidFill>
              <w14:schemeClr w14:val="tx1"/>
            </w14:solidFill>
          </w14:textFill>
        </w:rPr>
        <w:t xml:space="preserve">2 </w:t>
      </w:r>
      <w:r>
        <w:rPr>
          <w:rFonts w:hint="default" w:ascii="Times New Roman" w:hAnsi="Times New Roman" w:cs="Times New Roman"/>
          <w:color w:val="000000" w:themeColor="text1"/>
          <w:szCs w:val="21"/>
          <w:highlight w:val="none"/>
          <w14:textFill>
            <w14:solidFill>
              <w14:schemeClr w14:val="tx1"/>
            </w14:solidFill>
          </w14:textFill>
        </w:rPr>
        <w:t xml:space="preserve"> 设备与管线宜与主体结构相分离，应方便维修更换，且不应影响主体结构安全；当管线必须暗敷时，宜在结构现浇层或垫层内敷设；</w:t>
      </w:r>
      <w:bookmarkEnd w:id="742"/>
      <w:bookmarkEnd w:id="743"/>
      <w:bookmarkEnd w:id="74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45" w:name="_Toc23791"/>
      <w:bookmarkStart w:id="746" w:name="_Toc23785"/>
      <w:bookmarkStart w:id="747" w:name="_Toc15870"/>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电气与智能化管线应进行综合设计，集中设置、准确定位、减少平面交叉，同一部位严禁2根以上管线交叉敷设；</w:t>
      </w:r>
      <w:bookmarkEnd w:id="745"/>
      <w:bookmarkEnd w:id="746"/>
      <w:bookmarkEnd w:id="747"/>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48" w:name="_Toc282"/>
      <w:bookmarkStart w:id="749" w:name="_Toc21421"/>
      <w:bookmarkStart w:id="750" w:name="_Toc14036"/>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电气与智能化管线宜采用同层敷设方式，结合装配式装修在架空层、吊顶、隔墙空腔内敷设，并减少上下模块间的竖向连接，竖向管线宜统一设置在预制板内或装饰墙体内集中引下，并保持安全间距；</w:t>
      </w:r>
      <w:bookmarkEnd w:id="748"/>
      <w:bookmarkEnd w:id="749"/>
      <w:bookmarkEnd w:id="75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51" w:name="_Toc10203"/>
      <w:bookmarkStart w:id="752" w:name="_Toc20488"/>
      <w:bookmarkStart w:id="753" w:name="_Toc22535"/>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设备与管线设计应与主体结构设计同步进行，预留预埋等应满足结构专业相关要求，不得在安装完成后的预制构件上剔</w:t>
      </w:r>
      <w:r>
        <w:rPr>
          <w:rFonts w:hint="default" w:ascii="Times New Roman" w:hAnsi="Times New Roman" w:cs="Times New Roman"/>
          <w:color w:val="000000" w:themeColor="text1"/>
          <w:szCs w:val="21"/>
          <w:highlight w:val="none"/>
          <w:lang w:val="en-US" w:eastAsia="zh-CN"/>
          <w14:textFill>
            <w14:solidFill>
              <w14:schemeClr w14:val="tx1"/>
            </w14:solidFill>
          </w14:textFill>
        </w:rPr>
        <w:t>凿</w:t>
      </w:r>
      <w:r>
        <w:rPr>
          <w:rFonts w:hint="default" w:ascii="Times New Roman" w:hAnsi="Times New Roman" w:cs="Times New Roman"/>
          <w:color w:val="000000" w:themeColor="text1"/>
          <w:szCs w:val="21"/>
          <w:highlight w:val="none"/>
          <w14:textFill>
            <w14:solidFill>
              <w14:schemeClr w14:val="tx1"/>
            </w14:solidFill>
          </w14:textFill>
        </w:rPr>
        <w:t>沟槽、打孔开洞等；</w:t>
      </w:r>
      <w:bookmarkEnd w:id="751"/>
      <w:bookmarkEnd w:id="752"/>
      <w:bookmarkEnd w:id="753"/>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754" w:name="_Toc113"/>
      <w:bookmarkStart w:id="755" w:name="_Toc11833"/>
      <w:bookmarkStart w:id="756" w:name="_Toc22537"/>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 xml:space="preserve">  设备与管线穿越楼板和墙体时，应有防水、防火、隔声、密封等措施，防火封堵应满足现行国家标准《建筑设计防火规范》GB</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50016</w:t>
      </w:r>
      <w:r>
        <w:rPr>
          <w:rFonts w:hint="default" w:ascii="Times New Roman" w:hAnsi="Times New Roman"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Cs w:val="21"/>
          <w:highlight w:val="none"/>
          <w14:textFill>
            <w14:solidFill>
              <w14:schemeClr w14:val="tx1"/>
            </w14:solidFill>
          </w14:textFill>
        </w:rPr>
        <w:t>《建筑防火通用规范》GB</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55037的相关要求</w:t>
      </w:r>
      <w:bookmarkEnd w:id="754"/>
      <w:bookmarkEnd w:id="755"/>
      <w:bookmarkEnd w:id="756"/>
      <w:r>
        <w:rPr>
          <w:rFonts w:hint="default" w:ascii="Times New Roman" w:hAnsi="Times New Roman" w:cs="Times New Roman"/>
          <w:color w:val="000000" w:themeColor="text1"/>
          <w:szCs w:val="21"/>
          <w:highlight w:val="none"/>
          <w:lang w:eastAsia="zh-CN"/>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757" w:name="_Toc15391"/>
      <w:bookmarkStart w:id="758" w:name="_Toc26910"/>
      <w:bookmarkStart w:id="759" w:name="_Toc1646"/>
      <w:bookmarkStart w:id="760" w:name="_Toc27220"/>
      <w:bookmarkStart w:id="761" w:name="_Toc32366"/>
      <w:r>
        <w:rPr>
          <w:rFonts w:hint="default" w:ascii="Times New Roman" w:hAnsi="Times New Roman" w:cs="Times New Roman"/>
          <w:b/>
          <w:bCs/>
          <w:color w:val="000000" w:themeColor="text1"/>
          <w:szCs w:val="21"/>
          <w:highlight w:val="none"/>
          <w14:textFill>
            <w14:solidFill>
              <w14:schemeClr w14:val="tx1"/>
            </w14:solidFill>
          </w14:textFill>
        </w:rPr>
        <w:t>7.4.3</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混凝土模块化建筑的预留预埋应符合下列规定：</w:t>
      </w:r>
      <w:bookmarkEnd w:id="757"/>
      <w:bookmarkEnd w:id="758"/>
      <w:bookmarkEnd w:id="759"/>
      <w:bookmarkEnd w:id="760"/>
      <w:bookmarkEnd w:id="761"/>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62" w:name="_Toc19498"/>
      <w:bookmarkStart w:id="763" w:name="_Toc157"/>
      <w:r>
        <w:rPr>
          <w:rFonts w:hint="default" w:ascii="Times New Roman" w:hAnsi="Times New Roman" w:cs="Times New Roman"/>
          <w:b/>
          <w:bCs/>
          <w:color w:val="000000" w:themeColor="text1"/>
          <w:szCs w:val="21"/>
          <w:highlight w:val="none"/>
          <w14:textFill>
            <w14:solidFill>
              <w14:schemeClr w14:val="tx1"/>
            </w14:solidFill>
          </w14:textFill>
        </w:rPr>
        <w:t xml:space="preserve">1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混凝土模块化建筑的连接管、接线盒等应做适当预留，出线口和接线盒应准确定位，预留孔洞的大小应满足相应公差要求；</w:t>
      </w:r>
      <w:bookmarkEnd w:id="762"/>
      <w:bookmarkEnd w:id="763"/>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64" w:name="_Toc17885"/>
      <w:bookmarkStart w:id="765" w:name="_Toc14223"/>
      <w:bookmarkStart w:id="766" w:name="_Toc22672"/>
      <w:bookmarkStart w:id="767" w:name="_Toc22853"/>
      <w:bookmarkStart w:id="768" w:name="_Toc6210"/>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同一建筑的土建接口宜集中部位设置；</w:t>
      </w:r>
      <w:bookmarkEnd w:id="764"/>
      <w:bookmarkEnd w:id="765"/>
      <w:bookmarkEnd w:id="766"/>
      <w:bookmarkEnd w:id="767"/>
      <w:bookmarkEnd w:id="768"/>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69" w:name="_Toc5626"/>
      <w:bookmarkStart w:id="770" w:name="_Toc27002"/>
      <w:bookmarkStart w:id="771" w:name="_Toc4162"/>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叠合板现浇层内预埋管线需折线布置时，应在折弯点设置转接盒；</w:t>
      </w:r>
      <w:bookmarkEnd w:id="769"/>
      <w:bookmarkEnd w:id="770"/>
      <w:bookmarkEnd w:id="771"/>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772" w:name="_Toc14129"/>
      <w:bookmarkStart w:id="773" w:name="_Toc4444"/>
      <w:bookmarkStart w:id="774" w:name="_Toc25030"/>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孔洞及接线盒不应在模块单元受力部位和节点连接区域设置，隔墙两侧的电气设备不应直接连通设置</w:t>
      </w:r>
      <w:bookmarkEnd w:id="772"/>
      <w:bookmarkEnd w:id="773"/>
      <w:bookmarkEnd w:id="774"/>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75" w:name="_Toc21253"/>
      <w:bookmarkStart w:id="776" w:name="_Toc1493"/>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模块单元生产、运输、安装时，应做好安装盒、预留导管及导管连接头的保护，避免被破坏或杂物污染、封堵。</w:t>
      </w:r>
      <w:bookmarkEnd w:id="775"/>
      <w:bookmarkEnd w:id="776"/>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777" w:name="_Toc18064"/>
      <w:bookmarkStart w:id="778" w:name="_Toc9040"/>
      <w:bookmarkStart w:id="779" w:name="_Toc30474"/>
      <w:bookmarkStart w:id="780" w:name="_Toc3646"/>
      <w:bookmarkStart w:id="781" w:name="_Toc5529"/>
      <w:r>
        <w:rPr>
          <w:rFonts w:hint="default" w:ascii="Times New Roman" w:hAnsi="Times New Roman" w:cs="Times New Roman"/>
          <w:b/>
          <w:bCs/>
          <w:color w:val="000000" w:themeColor="text1"/>
          <w:szCs w:val="21"/>
          <w:highlight w:val="none"/>
          <w14:textFill>
            <w14:solidFill>
              <w14:schemeClr w14:val="tx1"/>
            </w14:solidFill>
          </w14:textFill>
        </w:rPr>
        <w:t>7.4.4</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混凝土模块化建筑防雷及接地应符合下列规定：</w:t>
      </w:r>
      <w:bookmarkEnd w:id="777"/>
      <w:bookmarkEnd w:id="778"/>
      <w:bookmarkEnd w:id="779"/>
      <w:bookmarkEnd w:id="780"/>
      <w:bookmarkEnd w:id="781"/>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82" w:name="_Toc21776"/>
      <w:bookmarkStart w:id="783" w:name="_Toc13941"/>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应优先利用模块内金属体做防雷引下线。作为专用防雷引下线的钢筋应上端与接闪器、下端与防雷接地装置可靠连接，结构施工时应做明显标记；</w:t>
      </w:r>
      <w:bookmarkEnd w:id="782"/>
      <w:bookmarkEnd w:id="783"/>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84" w:name="_Toc30235"/>
      <w:bookmarkStart w:id="785" w:name="_Toc24109"/>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当模块单元外墙上的金属管道、栏杆、门窗、金属围护部（构）件、金属遮阳部（构）件等金属物需要做防雷连接时，应通过与相关模块单元内部的金属件与防雷装置连接成电气通路；</w:t>
      </w:r>
      <w:bookmarkEnd w:id="784"/>
      <w:bookmarkEnd w:id="785"/>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86" w:name="_Toc21892"/>
      <w:bookmarkStart w:id="787" w:name="_Toc8605"/>
      <w:bookmarkStart w:id="788" w:name="_Toc26445"/>
      <w:bookmarkStart w:id="789" w:name="_Toc6113"/>
      <w:bookmarkStart w:id="790" w:name="_Toc30475"/>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共用接地装置电阻值应满足各种接地电阻要求的最小值；</w:t>
      </w:r>
      <w:bookmarkEnd w:id="786"/>
      <w:bookmarkEnd w:id="787"/>
      <w:bookmarkEnd w:id="788"/>
      <w:bookmarkEnd w:id="789"/>
      <w:bookmarkEnd w:id="79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791" w:name="_Toc14105"/>
      <w:bookmarkStart w:id="792" w:name="_Toc25181"/>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设置等电位联结的场所，各构件内的钢筋应做可靠的电气连接，并与等电位联结端子箱连通。</w:t>
      </w:r>
      <w:bookmarkEnd w:id="791"/>
      <w:bookmarkEnd w:id="792"/>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793" w:name="_Toc7687"/>
      <w:bookmarkStart w:id="794" w:name="_Toc31901"/>
      <w:bookmarkStart w:id="795" w:name="_Toc28267"/>
      <w:bookmarkStart w:id="796" w:name="_Toc7215"/>
      <w:bookmarkStart w:id="797" w:name="_Toc17367"/>
      <w:bookmarkStart w:id="798" w:name="_Toc15756"/>
      <w:bookmarkStart w:id="799" w:name="_Toc24796"/>
      <w:bookmarkStart w:id="800" w:name="_Toc6419"/>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7.5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内 装 系 统</w:t>
      </w:r>
      <w:bookmarkEnd w:id="734"/>
      <w:bookmarkEnd w:id="793"/>
      <w:bookmarkEnd w:id="794"/>
      <w:bookmarkEnd w:id="795"/>
      <w:bookmarkEnd w:id="796"/>
      <w:bookmarkEnd w:id="797"/>
      <w:bookmarkEnd w:id="798"/>
      <w:bookmarkEnd w:id="799"/>
      <w:bookmarkEnd w:id="800"/>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7.</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5.1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混凝土模块化建筑</w:t>
      </w:r>
      <w:r>
        <w:rPr>
          <w:rFonts w:hint="default" w:ascii="Times New Roman" w:hAnsi="Times New Roman" w:cs="Times New Roman"/>
          <w:color w:val="000000" w:themeColor="text1"/>
          <w:szCs w:val="21"/>
          <w:highlight w:val="none"/>
          <w:lang w:eastAsia="zh"/>
          <w14:textFill>
            <w14:solidFill>
              <w14:schemeClr w14:val="tx1"/>
            </w14:solidFill>
          </w14:textFill>
        </w:rPr>
        <w:t>内装系统</w:t>
      </w:r>
      <w:r>
        <w:rPr>
          <w:rFonts w:hint="default" w:ascii="Times New Roman" w:hAnsi="Times New Roman" w:cs="Times New Roman"/>
          <w:color w:val="000000" w:themeColor="text1"/>
          <w:szCs w:val="21"/>
          <w:highlight w:val="none"/>
          <w14:textFill>
            <w14:solidFill>
              <w14:schemeClr w14:val="tx1"/>
            </w14:solidFill>
          </w14:textFill>
        </w:rPr>
        <w:t>设计应与建筑设计同步协同进行，并应与结构系统、外围护系统及设备和管线系统进行一体化集成设计。</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bookmarkStart w:id="801" w:name="_Toc22470"/>
      <w:bookmarkStart w:id="802" w:name="_Toc6089"/>
      <w:bookmarkStart w:id="803" w:name="_Toc28726"/>
      <w:bookmarkStart w:id="804" w:name="_Toc16277"/>
      <w:r>
        <w:rPr>
          <w:rFonts w:hint="default" w:ascii="Times New Roman" w:hAnsi="Times New Roman" w:cs="Times New Roman"/>
          <w:b/>
          <w:color w:val="000000" w:themeColor="text1"/>
          <w:szCs w:val="21"/>
          <w:highlight w:val="none"/>
          <w14:textFill>
            <w14:solidFill>
              <w14:schemeClr w14:val="tx1"/>
            </w14:solidFill>
          </w14:textFill>
        </w:rPr>
        <w:t xml:space="preserve">7.5.2 </w:t>
      </w:r>
      <w:r>
        <w:rPr>
          <w:rFonts w:hint="default" w:ascii="Times New Roman" w:hAnsi="Times New Roman" w:cs="Times New Roman"/>
          <w:color w:val="000000" w:themeColor="text1"/>
          <w:szCs w:val="21"/>
          <w:highlight w:val="none"/>
          <w14:textFill>
            <w14:solidFill>
              <w14:schemeClr w14:val="tx1"/>
            </w14:solidFill>
          </w14:textFill>
        </w:rPr>
        <w:t xml:space="preserve"> 内装系统宜采用装配式装修，并应符合下列规定：</w:t>
      </w:r>
      <w:bookmarkEnd w:id="801"/>
      <w:bookmarkEnd w:id="802"/>
      <w:bookmarkEnd w:id="803"/>
      <w:bookmarkEnd w:id="80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05" w:name="_Toc12981"/>
      <w:bookmarkStart w:id="806" w:name="_Toc47"/>
      <w:bookmarkStart w:id="807" w:name="_Toc1101"/>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模块内部装修，除模块间接口位置外，宜在工厂内完成；</w:t>
      </w:r>
      <w:bookmarkEnd w:id="805"/>
      <w:bookmarkEnd w:id="806"/>
      <w:bookmarkEnd w:id="807"/>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08" w:name="_Toc10855"/>
      <w:bookmarkStart w:id="809" w:name="_Toc24130"/>
      <w:r>
        <w:rPr>
          <w:rFonts w:hint="default" w:ascii="Times New Roman" w:hAnsi="Times New Roman" w:cs="Times New Roman"/>
          <w:b/>
          <w:bCs/>
          <w:color w:val="000000" w:themeColor="text1"/>
          <w:szCs w:val="21"/>
          <w:highlight w:val="none"/>
          <w:lang w:eastAsia="zh"/>
          <w14:textFill>
            <w14:solidFill>
              <w14:schemeClr w14:val="tx1"/>
            </w14:solidFill>
          </w14:textFill>
        </w:rPr>
        <w:t xml:space="preserve">2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室内装饰装修设计宜与建筑设计同步进行，部品选型时应明确相关技术参数；</w:t>
      </w:r>
      <w:bookmarkEnd w:id="808"/>
      <w:bookmarkEnd w:id="809"/>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810" w:name="_Toc15101"/>
      <w:bookmarkStart w:id="811" w:name="_Toc3586"/>
      <w:r>
        <w:rPr>
          <w:rFonts w:hint="default" w:ascii="Times New Roman" w:hAnsi="Times New Roman" w:cs="Times New Roman"/>
          <w:b/>
          <w:bCs/>
          <w:color w:val="000000" w:themeColor="text1"/>
          <w:szCs w:val="21"/>
          <w:highlight w:val="none"/>
          <w:lang w:eastAsia="zh"/>
          <w14:textFill>
            <w14:solidFill>
              <w14:schemeClr w14:val="tx1"/>
            </w14:solidFill>
          </w14:textFill>
        </w:rPr>
        <w:t>3</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按照室内装配式装修的设计、部品生产及施工，应满足参数化、模数化、通用化和协同一致的要求，同时，也要遵循少规格、多组合等原则满足多样化的需求</w:t>
      </w:r>
      <w:bookmarkEnd w:id="810"/>
      <w:bookmarkEnd w:id="811"/>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12" w:name="_Toc2393"/>
      <w:bookmarkStart w:id="813" w:name="_Toc10841"/>
      <w:r>
        <w:rPr>
          <w:rFonts w:hint="default" w:ascii="Times New Roman" w:hAnsi="Times New Roman" w:cs="Times New Roman"/>
          <w:b/>
          <w:bCs/>
          <w:color w:val="000000" w:themeColor="text1"/>
          <w:szCs w:val="21"/>
          <w:highlight w:val="none"/>
          <w:lang w:eastAsia="zh"/>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室内装配式装修设计应采用标准化构造节点及统一的连接方式，连接构造宜遵循可逆安装与无损拆除的设计原则，在建筑全寿命期满足易维护、可更换的要求；</w:t>
      </w:r>
      <w:bookmarkEnd w:id="812"/>
      <w:bookmarkEnd w:id="813"/>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14" w:name="_Toc10380"/>
      <w:bookmarkStart w:id="815" w:name="_Toc30222"/>
      <w:bookmarkStart w:id="816" w:name="_Toc22169"/>
      <w:r>
        <w:rPr>
          <w:rFonts w:hint="default" w:ascii="Times New Roman" w:hAnsi="Times New Roman" w:cs="Times New Roman"/>
          <w:b/>
          <w:bCs/>
          <w:color w:val="000000" w:themeColor="text1"/>
          <w:szCs w:val="21"/>
          <w:highlight w:val="none"/>
          <w:lang w:eastAsia="zh"/>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室内装配式装修设计应遵循管线分离的原则；</w:t>
      </w:r>
      <w:bookmarkEnd w:id="814"/>
      <w:bookmarkEnd w:id="815"/>
      <w:bookmarkEnd w:id="816"/>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17" w:name="_Toc3635"/>
      <w:bookmarkStart w:id="818" w:name="_Toc17483"/>
      <w:r>
        <w:rPr>
          <w:rFonts w:hint="default" w:ascii="Times New Roman" w:hAnsi="Times New Roman" w:cs="Times New Roman"/>
          <w:b/>
          <w:bCs/>
          <w:color w:val="000000" w:themeColor="text1"/>
          <w:szCs w:val="21"/>
          <w:highlight w:val="none"/>
          <w:lang w:eastAsia="zh"/>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 xml:space="preserve">  室内装配式装修施工图设计文件应采用建筑室内主体完成面和装修完成面尺寸标注；</w:t>
      </w:r>
      <w:bookmarkEnd w:id="817"/>
      <w:bookmarkEnd w:id="818"/>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19" w:name="_Toc31651"/>
      <w:bookmarkStart w:id="820" w:name="_Toc31866"/>
      <w:r>
        <w:rPr>
          <w:rFonts w:hint="default" w:ascii="Times New Roman" w:hAnsi="Times New Roman" w:cs="Times New Roman"/>
          <w:b/>
          <w:bCs/>
          <w:color w:val="000000" w:themeColor="text1"/>
          <w:szCs w:val="21"/>
          <w:highlight w:val="none"/>
          <w:lang w:eastAsia="zh"/>
          <w14:textFill>
            <w14:solidFill>
              <w14:schemeClr w14:val="tx1"/>
            </w14:solidFill>
          </w14:textFill>
        </w:rPr>
        <w:t>7</w:t>
      </w:r>
      <w:r>
        <w:rPr>
          <w:rFonts w:hint="default" w:ascii="Times New Roman" w:hAnsi="Times New Roman" w:cs="Times New Roman"/>
          <w:b/>
          <w:bCs/>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室内装配式装修设计应采用建筑信息模型（BIM），实现全过程信息化管理和专业协同。</w:t>
      </w:r>
      <w:bookmarkEnd w:id="819"/>
      <w:bookmarkEnd w:id="820"/>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 xml:space="preserve">7.5.3 </w:t>
      </w:r>
      <w:r>
        <w:rPr>
          <w:rFonts w:hint="default" w:ascii="Times New Roman" w:hAnsi="Times New Roman" w:cs="Times New Roman"/>
          <w:color w:val="000000" w:themeColor="text1"/>
          <w:szCs w:val="21"/>
          <w:highlight w:val="none"/>
          <w14:textFill>
            <w14:solidFill>
              <w14:schemeClr w14:val="tx1"/>
            </w14:solidFill>
          </w14:textFill>
        </w:rPr>
        <w:t xml:space="preserve"> 内装部品宜结合设备管线进行集成设计，内装部品的装配宜满足干式工法的要求。</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7.5.</w:t>
      </w:r>
      <w:r>
        <w:rPr>
          <w:rFonts w:hint="default" w:ascii="Times New Roman" w:hAnsi="Times New Roman" w:cs="Times New Roman"/>
          <w:b/>
          <w:color w:val="000000" w:themeColor="text1"/>
          <w:szCs w:val="21"/>
          <w:highlight w:val="none"/>
          <w:lang w:eastAsia="zh"/>
          <w14:textFill>
            <w14:solidFill>
              <w14:schemeClr w14:val="tx1"/>
            </w14:solidFill>
          </w14:textFill>
        </w:rPr>
        <w:t>4</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模块单元内</w:t>
      </w:r>
      <w:r>
        <w:rPr>
          <w:rFonts w:hint="default" w:ascii="Times New Roman" w:hAnsi="Times New Roman" w:cs="Times New Roman"/>
          <w:color w:val="000000" w:themeColor="text1"/>
          <w:szCs w:val="21"/>
          <w:highlight w:val="none"/>
          <w:lang w:eastAsia="zh"/>
          <w14:textFill>
            <w14:solidFill>
              <w14:schemeClr w14:val="tx1"/>
            </w14:solidFill>
          </w14:textFill>
        </w:rPr>
        <w:t>的隔墙系统</w:t>
      </w:r>
      <w:r>
        <w:rPr>
          <w:rFonts w:hint="default" w:ascii="Times New Roman" w:hAnsi="Times New Roman" w:cs="Times New Roman"/>
          <w:color w:val="000000" w:themeColor="text1"/>
          <w:szCs w:val="21"/>
          <w:highlight w:val="none"/>
          <w:lang w:val="en-US" w:eastAsia="zh-CN"/>
          <w14:textFill>
            <w14:solidFill>
              <w14:schemeClr w14:val="tx1"/>
            </w14:solidFill>
          </w14:textFill>
        </w:rPr>
        <w:t>宜</w:t>
      </w:r>
      <w:r>
        <w:rPr>
          <w:rFonts w:hint="default" w:ascii="Times New Roman" w:hAnsi="Times New Roman" w:cs="Times New Roman"/>
          <w:color w:val="000000" w:themeColor="text1"/>
          <w:szCs w:val="21"/>
          <w:highlight w:val="none"/>
          <w14:textFill>
            <w14:solidFill>
              <w14:schemeClr w14:val="tx1"/>
            </w14:solidFill>
          </w14:textFill>
        </w:rPr>
        <w:t>选用非砌筑免抹灰的轻质墙体，可选用龙骨隔墙、条板隔墙或其他干式工法施工的隔墙。不同设备管线安装于隔墙或墙面系统时，应采取必要的加固、隔声、减振和防火封堵措施，并满足以下要求：</w:t>
      </w:r>
    </w:p>
    <w:p>
      <w:pPr>
        <w:spacing w:line="360" w:lineRule="exact"/>
        <w:ind w:firstLine="421"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bookmarkStart w:id="821" w:name="_Toc23211"/>
      <w:bookmarkStart w:id="822" w:name="_Toc2909"/>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隔墙的隔声性能不应低于现行国家标准《民用建筑隔声设计规范》GB 50118中对各类建筑</w:t>
      </w:r>
      <w:r>
        <w:rPr>
          <w:rFonts w:hint="default" w:ascii="Times New Roman" w:hAnsi="Times New Roman" w:cs="Times New Roman"/>
          <w:color w:val="000000" w:themeColor="text1"/>
          <w:szCs w:val="21"/>
          <w:highlight w:val="none"/>
          <w:lang w:val="en-US" w:eastAsia="zh-CN"/>
          <w14:textFill>
            <w14:solidFill>
              <w14:schemeClr w14:val="tx1"/>
            </w14:solidFill>
          </w14:textFill>
        </w:rPr>
        <w:t>主要用房的</w:t>
      </w:r>
      <w:r>
        <w:rPr>
          <w:rFonts w:hint="default" w:ascii="Times New Roman" w:hAnsi="Times New Roman" w:cs="Times New Roman"/>
          <w:color w:val="000000" w:themeColor="text1"/>
          <w:szCs w:val="21"/>
          <w:highlight w:val="none"/>
          <w14:textFill>
            <w14:solidFill>
              <w14:schemeClr w14:val="tx1"/>
            </w14:solidFill>
          </w14:textFill>
        </w:rPr>
        <w:t>隔声性能及绿色建筑对应的要求</w:t>
      </w:r>
      <w:bookmarkEnd w:id="821"/>
      <w:bookmarkEnd w:id="822"/>
      <w:r>
        <w:rPr>
          <w:rFonts w:hint="default" w:ascii="Times New Roman" w:hAnsi="Times New Roman" w:cs="Times New Roman"/>
          <w:color w:val="000000" w:themeColor="text1"/>
          <w:szCs w:val="21"/>
          <w:highlight w:val="none"/>
          <w:lang w:eastAsia="zh-CN"/>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23" w:name="_Toc11453"/>
      <w:bookmarkStart w:id="824" w:name="_Toc27474"/>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龙骨隔墙的构造组成和厚度应根据防火、隔声、空腔内设备管线安装等方面的要求确定；</w:t>
      </w:r>
      <w:bookmarkEnd w:id="823"/>
      <w:bookmarkEnd w:id="82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25" w:name="_Toc19651"/>
      <w:bookmarkStart w:id="826" w:name="_Toc31098"/>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龙骨隔墙内的防火、保温、隔声填充材料宜选用岩棉、玻璃棉等不燃材料；</w:t>
      </w:r>
      <w:bookmarkEnd w:id="825"/>
      <w:bookmarkEnd w:id="826"/>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27" w:name="_Toc22808"/>
      <w:bookmarkStart w:id="828" w:name="_Toc28401"/>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条板隔墙应根据使用功能和使用部位需求，确定墙体的材料和厚度；</w:t>
      </w:r>
      <w:bookmarkEnd w:id="827"/>
      <w:bookmarkEnd w:id="828"/>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29" w:name="_Toc5527"/>
      <w:bookmarkStart w:id="830" w:name="_Toc31920"/>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隔墙和墙面宜采用集成饰面层的墙面，饰面层宜在工厂内完成；</w:t>
      </w:r>
      <w:bookmarkEnd w:id="829"/>
      <w:bookmarkEnd w:id="83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31" w:name="_Toc6153"/>
      <w:bookmarkStart w:id="832" w:name="_Toc20159"/>
      <w:r>
        <w:rPr>
          <w:rFonts w:hint="default" w:ascii="Times New Roman" w:hAnsi="Times New Roman" w:cs="Times New Roman"/>
          <w:b/>
          <w:bCs/>
          <w:color w:val="000000" w:themeColor="text1"/>
          <w:szCs w:val="21"/>
          <w:highlight w:val="none"/>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 xml:space="preserve">  隔墙及墙面系统需吊挂重物和设备时，应采取对应的加固或连接措施。</w:t>
      </w:r>
      <w:bookmarkEnd w:id="831"/>
      <w:bookmarkEnd w:id="832"/>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7.5.</w:t>
      </w:r>
      <w:r>
        <w:rPr>
          <w:rFonts w:hint="default" w:ascii="Times New Roman" w:hAnsi="Times New Roman" w:cs="Times New Roman"/>
          <w:b/>
          <w:color w:val="000000" w:themeColor="text1"/>
          <w:szCs w:val="21"/>
          <w:highlight w:val="none"/>
          <w:lang w:eastAsia="zh"/>
          <w14:textFill>
            <w14:solidFill>
              <w14:schemeClr w14:val="tx1"/>
            </w14:solidFill>
          </w14:textFill>
        </w:rPr>
        <w:t>5</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模块单元内</w:t>
      </w:r>
      <w:r>
        <w:rPr>
          <w:rFonts w:hint="default" w:ascii="Times New Roman" w:hAnsi="Times New Roman" w:cs="Times New Roman"/>
          <w:color w:val="000000" w:themeColor="text1"/>
          <w:szCs w:val="21"/>
          <w:highlight w:val="none"/>
          <w:lang w:eastAsia="zh"/>
          <w14:textFill>
            <w14:solidFill>
              <w14:schemeClr w14:val="tx1"/>
            </w14:solidFill>
          </w14:textFill>
        </w:rPr>
        <w:t>的</w:t>
      </w:r>
      <w:r>
        <w:rPr>
          <w:rFonts w:hint="default" w:ascii="Times New Roman" w:hAnsi="Times New Roman" w:cs="Times New Roman"/>
          <w:color w:val="000000" w:themeColor="text1"/>
          <w:szCs w:val="21"/>
          <w:highlight w:val="none"/>
          <w14:textFill>
            <w14:solidFill>
              <w14:schemeClr w14:val="tx1"/>
            </w14:solidFill>
          </w14:textFill>
        </w:rPr>
        <w:t>吊顶系统可采用明龙骨、暗龙骨或无龙骨吊顶或其他干式工法的吊顶，根据房间的功能和装饰要求选择装饰面层材料和构造做法，宜选用带饰面的成品材料，并满足以下</w:t>
      </w:r>
      <w:r>
        <w:rPr>
          <w:rFonts w:hint="default" w:ascii="Times New Roman" w:hAnsi="Times New Roman" w:cs="Times New Roman"/>
          <w:color w:val="000000" w:themeColor="text1"/>
          <w:szCs w:val="21"/>
          <w:highlight w:val="none"/>
          <w:lang w:val="en-US" w:eastAsia="zh-CN"/>
          <w14:textFill>
            <w14:solidFill>
              <w14:schemeClr w14:val="tx1"/>
            </w14:solidFill>
          </w14:textFill>
        </w:rPr>
        <w:t>规定</w:t>
      </w:r>
      <w:r>
        <w:rPr>
          <w:rFonts w:hint="default" w:ascii="Times New Roman" w:hAnsi="Times New Roman" w:cs="Times New Roman"/>
          <w:color w:val="000000" w:themeColor="text1"/>
          <w:szCs w:val="21"/>
          <w:highlight w:val="none"/>
          <w14:textFill>
            <w14:solidFill>
              <w14:schemeClr w14:val="tx1"/>
            </w14:solidFill>
          </w14:textFill>
        </w:rPr>
        <w:t>：</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33" w:name="_Toc21887"/>
      <w:bookmarkStart w:id="834" w:name="_Toc5046"/>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吊顶系统排布应与空调末端、灯具、烟感器、检修口等设备的位置协同设计；</w:t>
      </w:r>
      <w:bookmarkEnd w:id="833"/>
      <w:bookmarkEnd w:id="83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35" w:name="_Toc28710"/>
      <w:bookmarkStart w:id="836" w:name="_Toc9488"/>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吊顶内敷设设备管线时，应在管线密集的位置设置检修口；</w:t>
      </w:r>
      <w:bookmarkEnd w:id="835"/>
      <w:bookmarkEnd w:id="836"/>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37" w:name="_Toc31628"/>
      <w:bookmarkStart w:id="838" w:name="_Toc6164"/>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吊顶龙骨及配件应采用金属材质；</w:t>
      </w:r>
      <w:bookmarkEnd w:id="837"/>
      <w:bookmarkEnd w:id="838"/>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39" w:name="_Toc6163"/>
      <w:bookmarkStart w:id="840" w:name="_Toc20843"/>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有声学设计要求的场所应选用吸音吊顶等做法，也可采用金属穿孔板结合吸声材料的做法；</w:t>
      </w:r>
      <w:bookmarkEnd w:id="839"/>
      <w:bookmarkEnd w:id="84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41" w:name="_Toc8685"/>
      <w:bookmarkStart w:id="842" w:name="_Toc6404"/>
      <w:r>
        <w:rPr>
          <w:rFonts w:hint="default" w:ascii="Times New Roman" w:hAnsi="Times New Roman" w:cs="Times New Roman"/>
          <w:b/>
          <w:bCs/>
          <w:color w:val="000000" w:themeColor="text1"/>
          <w:szCs w:val="21"/>
          <w:highlight w:val="none"/>
          <w:lang w:eastAsia="zh"/>
          <w14:textFill>
            <w14:solidFill>
              <w14:schemeClr w14:val="tx1"/>
            </w14:solidFill>
          </w14:textFill>
        </w:rPr>
        <w:t>5</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天花边沿处宜使用金属收口条或成品收口构件进行收口。</w:t>
      </w:r>
      <w:bookmarkEnd w:id="841"/>
      <w:bookmarkEnd w:id="842"/>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43" w:name="_Toc24782"/>
      <w:bookmarkStart w:id="844" w:name="_Toc9993"/>
      <w:r>
        <w:rPr>
          <w:rFonts w:hint="default" w:ascii="Times New Roman" w:hAnsi="Times New Roman" w:cs="Times New Roman"/>
          <w:b/>
          <w:bCs/>
          <w:color w:val="000000" w:themeColor="text1"/>
          <w:szCs w:val="21"/>
          <w:highlight w:val="none"/>
          <w:lang w:eastAsia="zh"/>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 xml:space="preserve">  吊顶系统与墙或梁交接处，应设置伸缩缝隙或收口线脚；</w:t>
      </w:r>
      <w:bookmarkEnd w:id="843"/>
      <w:bookmarkEnd w:id="84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45" w:name="_Toc24846"/>
      <w:bookmarkStart w:id="846" w:name="_Toc19772"/>
      <w:r>
        <w:rPr>
          <w:rFonts w:hint="default" w:ascii="Times New Roman" w:hAnsi="Times New Roman" w:cs="Times New Roman"/>
          <w:b/>
          <w:bCs/>
          <w:color w:val="000000" w:themeColor="text1"/>
          <w:szCs w:val="21"/>
          <w:highlight w:val="none"/>
          <w:lang w:eastAsia="zh"/>
          <w14:textFill>
            <w14:solidFill>
              <w14:schemeClr w14:val="tx1"/>
            </w14:solidFill>
          </w14:textFill>
        </w:rPr>
        <w:t>7</w:t>
      </w:r>
      <w:r>
        <w:rPr>
          <w:rFonts w:hint="default" w:ascii="Times New Roman" w:hAnsi="Times New Roman" w:cs="Times New Roman"/>
          <w:color w:val="000000" w:themeColor="text1"/>
          <w:szCs w:val="21"/>
          <w:highlight w:val="none"/>
          <w14:textFill>
            <w14:solidFill>
              <w14:schemeClr w14:val="tx1"/>
            </w14:solidFill>
          </w14:textFill>
        </w:rPr>
        <w:t xml:space="preserve">  室内顶部大型或重型装饰装修部品部件或设备应与主体结构可靠连接。</w:t>
      </w:r>
      <w:bookmarkEnd w:id="845"/>
      <w:bookmarkEnd w:id="846"/>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7.5</w:t>
      </w:r>
      <w:r>
        <w:rPr>
          <w:rFonts w:hint="default" w:ascii="Times New Roman" w:hAnsi="Times New Roman" w:cs="Times New Roman"/>
          <w:b/>
          <w:color w:val="000000" w:themeColor="text1"/>
          <w:szCs w:val="21"/>
          <w:highlight w:val="none"/>
          <w:lang w:eastAsia="zh"/>
          <w14:textFill>
            <w14:solidFill>
              <w14:schemeClr w14:val="tx1"/>
            </w14:solidFill>
          </w14:textFill>
        </w:rPr>
        <w:t>.6</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模块单元内</w:t>
      </w:r>
      <w:r>
        <w:rPr>
          <w:rFonts w:hint="default" w:ascii="Times New Roman" w:hAnsi="Times New Roman" w:cs="Times New Roman"/>
          <w:color w:val="000000" w:themeColor="text1"/>
          <w:szCs w:val="21"/>
          <w:highlight w:val="none"/>
          <w:lang w:eastAsia="zh"/>
          <w14:textFill>
            <w14:solidFill>
              <w14:schemeClr w14:val="tx1"/>
            </w14:solidFill>
          </w14:textFill>
        </w:rPr>
        <w:t>的</w:t>
      </w:r>
      <w:r>
        <w:rPr>
          <w:rFonts w:hint="default" w:ascii="Times New Roman" w:hAnsi="Times New Roman" w:cs="Times New Roman"/>
          <w:color w:val="000000" w:themeColor="text1"/>
          <w:szCs w:val="21"/>
          <w:highlight w:val="none"/>
          <w14:textFill>
            <w14:solidFill>
              <w14:schemeClr w14:val="tx1"/>
            </w14:solidFill>
          </w14:textFill>
        </w:rPr>
        <w:t>楼地面系统宜选用集成化部品，宜采用干式施工工法的饰面材料，并应符合下列规定：</w:t>
      </w:r>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bookmarkStart w:id="847" w:name="_Toc29460"/>
      <w:bookmarkStart w:id="848" w:name="_Toc11729"/>
      <w:r>
        <w:rPr>
          <w:rFonts w:hint="default" w:ascii="Times New Roman" w:hAnsi="Times New Roman" w:cs="Times New Roman"/>
          <w:color w:val="000000" w:themeColor="text1"/>
          <w:szCs w:val="21"/>
          <w:highlight w:val="none"/>
          <w14:textFill>
            <w14:solidFill>
              <w14:schemeClr w14:val="tx1"/>
            </w14:solidFill>
          </w14:textFill>
        </w:rPr>
        <w:t>1 楼地面系统应与主体结构有可靠连接，且施工安装时不应破坏主体结构；</w:t>
      </w:r>
      <w:bookmarkEnd w:id="847"/>
      <w:bookmarkEnd w:id="848"/>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bookmarkStart w:id="849" w:name="_Toc26722"/>
      <w:bookmarkStart w:id="850" w:name="_Toc1717"/>
      <w:r>
        <w:rPr>
          <w:rFonts w:hint="default" w:ascii="Times New Roman" w:hAnsi="Times New Roman" w:cs="Times New Roman"/>
          <w:color w:val="000000" w:themeColor="text1"/>
          <w:szCs w:val="21"/>
          <w:highlight w:val="none"/>
          <w14:textFill>
            <w14:solidFill>
              <w14:schemeClr w14:val="tx1"/>
            </w14:solidFill>
          </w14:textFill>
        </w:rPr>
        <w:t>2 架空楼地面内架空高度应计算确定，满足管线排布、隔声构造的需要，并应设置检修口或便于拆装的构造。</w:t>
      </w:r>
      <w:bookmarkEnd w:id="849"/>
      <w:bookmarkEnd w:id="850"/>
    </w:p>
    <w:p>
      <w:pPr>
        <w:spacing w:line="360" w:lineRule="exact"/>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bookmarkStart w:id="851" w:name="_Toc28562"/>
      <w:bookmarkStart w:id="852" w:name="_Toc19296"/>
      <w:r>
        <w:rPr>
          <w:rFonts w:hint="default" w:ascii="Times New Roman" w:hAnsi="Times New Roman" w:cs="Times New Roman"/>
          <w:color w:val="000000" w:themeColor="text1"/>
          <w:szCs w:val="21"/>
          <w:highlight w:val="none"/>
          <w:lang w:eastAsia="zh"/>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潮湿区域楼地面系统宜采用防滑，防潮类部品，并宜在模块内完成防水处理。</w:t>
      </w:r>
      <w:bookmarkEnd w:id="851"/>
      <w:bookmarkEnd w:id="852"/>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7.5</w:t>
      </w:r>
      <w:r>
        <w:rPr>
          <w:rFonts w:hint="default" w:ascii="Times New Roman" w:hAnsi="Times New Roman" w:cs="Times New Roman"/>
          <w:b/>
          <w:bCs/>
          <w:color w:val="000000" w:themeColor="text1"/>
          <w:szCs w:val="21"/>
          <w:highlight w:val="none"/>
          <w:lang w:eastAsia="zh"/>
          <w14:textFill>
            <w14:solidFill>
              <w14:schemeClr w14:val="tx1"/>
            </w14:solidFill>
          </w14:textFill>
        </w:rPr>
        <w:t>.7</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多个模块单元拼接的区域，对于楼面装饰层的现场施工与接驳处理应预留相应的工作面，并应符合以下规定：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53" w:name="_Toc28685"/>
      <w:bookmarkStart w:id="854" w:name="_Toc7476"/>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使用地胶作为地面饰面时，宜在现场进行地面找平后铺贴；</w:t>
      </w:r>
      <w:bookmarkEnd w:id="853"/>
      <w:bookmarkEnd w:id="85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55" w:name="_Toc3072"/>
      <w:bookmarkStart w:id="856" w:name="_Toc15443"/>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使用瓷砖作为地面饰面时，可采用错缝对齐的铺贴形式；</w:t>
      </w:r>
      <w:bookmarkEnd w:id="855"/>
      <w:bookmarkEnd w:id="856"/>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57" w:name="_Toc17784"/>
      <w:bookmarkStart w:id="858" w:name="_Toc12684"/>
      <w:r>
        <w:rPr>
          <w:rFonts w:hint="default" w:ascii="Times New Roman" w:hAnsi="Times New Roman" w:cs="Times New Roman"/>
          <w:b/>
          <w:bCs/>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 xml:space="preserve">  多个模块的饰面材料拼接处宜设置门槛石、门套线；</w:t>
      </w:r>
      <w:bookmarkEnd w:id="857"/>
      <w:bookmarkEnd w:id="858"/>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59" w:name="_Toc6139"/>
      <w:bookmarkStart w:id="860" w:name="_Toc14896"/>
      <w:r>
        <w:rPr>
          <w:rFonts w:hint="default" w:ascii="Times New Roman" w:hAnsi="Times New Roman" w:cs="Times New Roman"/>
          <w:b/>
          <w:bCs/>
          <w:color w:val="000000" w:themeColor="text1"/>
          <w:szCs w:val="2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 xml:space="preserve">  多个模块的饰面材料拼接处应进行防水防溢防渗措施处理；</w:t>
      </w:r>
      <w:bookmarkEnd w:id="859"/>
      <w:bookmarkEnd w:id="860"/>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61" w:name="_Toc25019"/>
      <w:bookmarkStart w:id="862" w:name="_Toc17414"/>
      <w:r>
        <w:rPr>
          <w:rFonts w:hint="default" w:ascii="Times New Roman" w:hAnsi="Times New Roman" w:cs="Times New Roman"/>
          <w:b/>
          <w:bCs/>
          <w:color w:val="000000" w:themeColor="text1"/>
          <w:szCs w:val="21"/>
          <w:highlight w:val="none"/>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 xml:space="preserve">  装修施工宜采用具备一定容错的调平工艺。</w:t>
      </w:r>
      <w:bookmarkEnd w:id="861"/>
      <w:bookmarkEnd w:id="862"/>
      <w:r>
        <w:rPr>
          <w:rFonts w:hint="default" w:ascii="Times New Roman" w:hAnsi="Times New Roman" w:cs="Times New Roman"/>
          <w:color w:val="000000" w:themeColor="text1"/>
          <w:szCs w:val="21"/>
          <w:highlight w:val="none"/>
          <w14:textFill>
            <w14:solidFill>
              <w14:schemeClr w14:val="tx1"/>
            </w14:solidFill>
          </w14:textFill>
        </w:rPr>
        <w:t xml:space="preserve"> </w:t>
      </w:r>
    </w:p>
    <w:p>
      <w:pPr>
        <w:widowControl/>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7.5.</w:t>
      </w:r>
      <w:r>
        <w:rPr>
          <w:rFonts w:hint="default" w:ascii="Times New Roman" w:hAnsi="Times New Roman" w:cs="Times New Roman"/>
          <w:b/>
          <w:bCs/>
          <w:color w:val="000000" w:themeColor="text1"/>
          <w:szCs w:val="21"/>
          <w:highlight w:val="none"/>
          <w:lang w:eastAsia="zh"/>
          <w14:textFill>
            <w14:solidFill>
              <w14:schemeClr w14:val="tx1"/>
            </w14:solidFill>
          </w14:textFill>
        </w:rPr>
        <w:t>8</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 xml:space="preserve"> 内装修设计应体现二次机电末端点位，并应符合下列规定：</w:t>
      </w:r>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63" w:name="_Toc25905"/>
      <w:bookmarkStart w:id="864" w:name="_Toc23438"/>
      <w:r>
        <w:rPr>
          <w:rFonts w:hint="default" w:ascii="Times New Roman" w:hAnsi="Times New Roman" w:cs="Times New Roman"/>
          <w:b/>
          <w:bCs/>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 xml:space="preserve">  内装修设计应在一次机电基础上进行深化设计和末端定位，并应符合机电消防相关要求；</w:t>
      </w:r>
      <w:bookmarkEnd w:id="863"/>
      <w:bookmarkEnd w:id="864"/>
    </w:p>
    <w:p>
      <w:pPr>
        <w:spacing w:line="360" w:lineRule="exact"/>
        <w:ind w:firstLine="421" w:firstLineChars="200"/>
        <w:rPr>
          <w:rFonts w:hint="default" w:ascii="Times New Roman" w:hAnsi="Times New Roman" w:cs="Times New Roman"/>
          <w:color w:val="000000" w:themeColor="text1"/>
          <w:szCs w:val="21"/>
          <w:highlight w:val="none"/>
          <w14:textFill>
            <w14:solidFill>
              <w14:schemeClr w14:val="tx1"/>
            </w14:solidFill>
          </w14:textFill>
        </w:rPr>
      </w:pPr>
      <w:bookmarkStart w:id="865" w:name="_Toc2015"/>
      <w:bookmarkStart w:id="866" w:name="_Toc22543"/>
      <w:r>
        <w:rPr>
          <w:rFonts w:hint="default" w:ascii="Times New Roman" w:hAnsi="Times New Roman"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内装修图纸应包含所有机电系统的平面图、尺寸图、连线图和综合点位图。</w:t>
      </w:r>
      <w:bookmarkEnd w:id="865"/>
      <w:bookmarkEnd w:id="866"/>
    </w:p>
    <w:p>
      <w:pPr>
        <w:spacing w:line="360" w:lineRule="exact"/>
        <w:rPr>
          <w:rFonts w:hint="default" w:ascii="Times New Roman" w:hAnsi="Times New Roman" w:cs="Times New Roman"/>
          <w:color w:val="000000" w:themeColor="text1"/>
          <w:highlight w:val="none"/>
          <w:lang w:bidi="ar"/>
          <w14:textFill>
            <w14:solidFill>
              <w14:schemeClr w14:val="tx1"/>
            </w14:solidFill>
          </w14:textFill>
        </w:rPr>
      </w:pPr>
      <w:r>
        <w:rPr>
          <w:rFonts w:hint="default" w:ascii="Times New Roman" w:hAnsi="Times New Roman" w:cs="Times New Roman"/>
          <w:color w:val="000000" w:themeColor="text1"/>
          <w:highlight w:val="none"/>
          <w:lang w:bidi="ar"/>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867" w:name="_Toc579"/>
      <w:bookmarkStart w:id="868" w:name="_Toc21325"/>
      <w:bookmarkStart w:id="869" w:name="_Toc30429"/>
      <w:bookmarkStart w:id="870" w:name="_Toc23938"/>
      <w:bookmarkStart w:id="871" w:name="_Toc9239"/>
      <w:bookmarkStart w:id="872" w:name="_Toc28545"/>
      <w:bookmarkStart w:id="873" w:name="_Toc20059"/>
      <w:bookmarkStart w:id="874" w:name="_Toc15978"/>
      <w:bookmarkStart w:id="875" w:name="_Toc1718"/>
      <w:bookmarkStart w:id="876" w:name="_Toc5904"/>
      <w:bookmarkStart w:id="877" w:name="_Toc28751"/>
      <w:bookmarkStart w:id="878" w:name="_Toc29578"/>
      <w:bookmarkStart w:id="879" w:name="OLE_LINK24"/>
      <w:r>
        <w:rPr>
          <w:rFonts w:hint="default" w:ascii="Times New Roman" w:hAnsi="Times New Roman" w:eastAsia="黑体" w:cs="Times New Roman"/>
          <w:color w:val="000000" w:themeColor="text1"/>
          <w:sz w:val="28"/>
          <w:szCs w:val="28"/>
          <w:highlight w:val="none"/>
          <w14:textFill>
            <w14:solidFill>
              <w14:schemeClr w14:val="tx1"/>
            </w14:solidFill>
          </w14:textFill>
        </w:rPr>
        <w:t>8  模块单元生产与运输</w:t>
      </w:r>
      <w:bookmarkEnd w:id="867"/>
      <w:bookmarkEnd w:id="868"/>
      <w:bookmarkEnd w:id="869"/>
      <w:bookmarkEnd w:id="870"/>
      <w:bookmarkEnd w:id="871"/>
      <w:bookmarkEnd w:id="872"/>
      <w:bookmarkEnd w:id="873"/>
      <w:bookmarkEnd w:id="874"/>
      <w:bookmarkEnd w:id="875"/>
      <w:bookmarkEnd w:id="876"/>
      <w:bookmarkEnd w:id="877"/>
      <w:bookmarkEnd w:id="878"/>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880" w:name="_Toc16757"/>
      <w:bookmarkStart w:id="881" w:name="_Toc9526"/>
      <w:bookmarkStart w:id="882" w:name="_Toc8825"/>
      <w:bookmarkStart w:id="883" w:name="_Toc645"/>
      <w:bookmarkStart w:id="884" w:name="_Toc13034"/>
      <w:bookmarkStart w:id="885" w:name="_Toc6159"/>
      <w:bookmarkStart w:id="886" w:name="_Toc25433"/>
      <w:bookmarkStart w:id="887" w:name="_Toc10557"/>
      <w:bookmarkStart w:id="888" w:name="_Toc30578"/>
      <w:bookmarkStart w:id="889" w:name="_Toc25396"/>
      <w:bookmarkStart w:id="890" w:name="_Toc10956"/>
      <w:bookmarkStart w:id="891" w:name="_Toc1177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8.1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 般 规 定</w:t>
      </w:r>
      <w:bookmarkEnd w:id="880"/>
      <w:bookmarkEnd w:id="881"/>
      <w:bookmarkEnd w:id="882"/>
      <w:bookmarkEnd w:id="883"/>
      <w:bookmarkEnd w:id="884"/>
      <w:bookmarkEnd w:id="885"/>
      <w:bookmarkEnd w:id="886"/>
      <w:bookmarkEnd w:id="887"/>
      <w:bookmarkEnd w:id="888"/>
      <w:bookmarkEnd w:id="889"/>
      <w:bookmarkEnd w:id="890"/>
      <w:bookmarkEnd w:id="891"/>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8.1.1  </w:t>
      </w:r>
      <w:r>
        <w:rPr>
          <w:rFonts w:hint="default" w:ascii="Times New Roman" w:hAnsi="Times New Roman" w:cs="Times New Roman"/>
          <w:color w:val="000000" w:themeColor="text1"/>
          <w:highlight w:val="none"/>
          <w14:textFill>
            <w14:solidFill>
              <w14:schemeClr w14:val="tx1"/>
            </w14:solidFill>
          </w14:textFill>
        </w:rPr>
        <w:t>生产单位应具备保证产品质量要求的生产工艺设施、试验检测条件，建立完善的质量管理体系和制度，包括模块单元深化设计、预拌混凝土生产、混凝土预制构件生产、各种材料部品的进厂和加工安装等，并</w:t>
      </w:r>
      <w:r>
        <w:rPr>
          <w:rFonts w:hint="default" w:ascii="Times New Roman" w:hAnsi="Times New Roman" w:cs="Times New Roman"/>
          <w:color w:val="000000" w:themeColor="text1"/>
          <w:highlight w:val="none"/>
          <w:lang w:val="en-US"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建立质量可追溯的信息化管理系统。</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8.1.2 </w:t>
      </w:r>
      <w:r>
        <w:rPr>
          <w:rFonts w:hint="default" w:ascii="Times New Roman" w:hAnsi="Times New Roman" w:cs="Times New Roman"/>
          <w:color w:val="000000" w:themeColor="text1"/>
          <w:highlight w:val="none"/>
          <w14:textFill>
            <w14:solidFill>
              <w14:schemeClr w14:val="tx1"/>
            </w14:solidFill>
          </w14:textFill>
        </w:rPr>
        <w:t xml:space="preserve"> 生产单位应具备模块单元的深化设计能力，包括模具、</w:t>
      </w:r>
      <w:r>
        <w:rPr>
          <w:rFonts w:hint="default" w:ascii="Times New Roman" w:hAnsi="Times New Roman" w:cs="Times New Roman"/>
          <w:color w:val="000000" w:themeColor="text1"/>
          <w:highlight w:val="none"/>
          <w:lang w:val="en-US" w:eastAsia="zh-CN"/>
          <w14:textFill>
            <w14:solidFill>
              <w14:schemeClr w14:val="tx1"/>
            </w14:solidFill>
          </w14:textFill>
        </w:rPr>
        <w:t>钢筋布置、起吊及安装预留预埋</w:t>
      </w:r>
      <w:r>
        <w:rPr>
          <w:rFonts w:hint="default" w:ascii="Times New Roman" w:hAnsi="Times New Roman" w:cs="Times New Roman"/>
          <w:color w:val="000000" w:themeColor="text1"/>
          <w:highlight w:val="none"/>
          <w14:textFill>
            <w14:solidFill>
              <w14:schemeClr w14:val="tx1"/>
            </w14:solidFill>
          </w14:textFill>
        </w:rPr>
        <w:t>等的深化设计，铝合金门窗、栏杆、机电、装修等专业的深化设计配合。</w:t>
      </w:r>
    </w:p>
    <w:p>
      <w:pPr>
        <w:rPr>
          <w:rFonts w:hint="default" w:ascii="Times New Roman" w:hAnsi="Times New Roman" w:eastAsia="宋体" w:cs="Times New Roman"/>
          <w:b/>
          <w:color w:val="000000" w:themeColor="text1"/>
          <w:highlight w:val="none"/>
          <w:lang w:eastAsia="zh-CN"/>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8.1</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3</w:t>
      </w:r>
      <w:r>
        <w:rPr>
          <w:rFonts w:hint="default" w:ascii="Times New Roman" w:hAnsi="Times New Roman" w:eastAsia="黑体" w:cs="Times New Roman"/>
          <w:b/>
          <w:color w:val="000000" w:themeColor="text1"/>
          <w:highlight w:val="none"/>
          <w14:textFill>
            <w14:solidFill>
              <w14:schemeClr w14:val="tx1"/>
            </w14:solidFill>
          </w14:textFill>
        </w:rPr>
        <w:t xml:space="preserve">   </w:t>
      </w:r>
      <w:r>
        <w:rPr>
          <w:rFonts w:hint="default" w:ascii="Times New Roman" w:hAnsi="Times New Roman" w:cs="Times New Roman"/>
          <w:b w:val="0"/>
          <w:color w:val="000000" w:themeColor="text1"/>
          <w:highlight w:val="none"/>
          <w:lang w:val="en-US" w:eastAsia="zh-CN"/>
          <w14:textFill>
            <w14:solidFill>
              <w14:schemeClr w14:val="tx1"/>
            </w14:solidFill>
          </w14:textFill>
        </w:rPr>
        <w:t>模块单元</w:t>
      </w:r>
      <w:r>
        <w:rPr>
          <w:rFonts w:hint="default" w:ascii="Times New Roman" w:hAnsi="Times New Roman" w:eastAsia="宋体" w:cs="Times New Roman"/>
          <w:b w:val="0"/>
          <w:color w:val="000000" w:themeColor="text1"/>
          <w:highlight w:val="none"/>
          <w14:textFill>
            <w14:solidFill>
              <w14:schemeClr w14:val="tx1"/>
            </w14:solidFill>
          </w14:textFill>
        </w:rPr>
        <w:t>生产前，应由建设单位组织设计、生产、施工单位进行设计文件交底和会审。</w:t>
      </w:r>
      <w:r>
        <w:rPr>
          <w:rFonts w:hint="default" w:ascii="Times New Roman" w:hAnsi="Times New Roman" w:cs="Times New Roman"/>
          <w:color w:val="000000" w:themeColor="text1"/>
          <w:highlight w:val="none"/>
          <w14:textFill>
            <w14:solidFill>
              <w14:schemeClr w14:val="tx1"/>
            </w14:solidFill>
          </w14:textFill>
        </w:rPr>
        <w:t>生产单位</w:t>
      </w:r>
      <w:r>
        <w:rPr>
          <w:rFonts w:hint="default" w:ascii="Times New Roman" w:hAnsi="Times New Roman" w:cs="Times New Roman"/>
          <w:color w:val="000000" w:themeColor="text1"/>
          <w:highlight w:val="none"/>
          <w:lang w:val="en-US" w:eastAsia="zh-CN"/>
          <w14:textFill>
            <w14:solidFill>
              <w14:schemeClr w14:val="tx1"/>
            </w14:solidFill>
          </w14:textFill>
        </w:rPr>
        <w:t>根据加工详图</w:t>
      </w:r>
      <w:r>
        <w:rPr>
          <w:rFonts w:hint="default" w:ascii="Times New Roman" w:hAnsi="Times New Roman" w:cs="Times New Roman"/>
          <w:color w:val="000000" w:themeColor="text1"/>
          <w:highlight w:val="none"/>
          <w14:textFill>
            <w14:solidFill>
              <w14:schemeClr w14:val="tx1"/>
            </w14:solidFill>
          </w14:textFill>
        </w:rPr>
        <w:t>进行产品试制、制作样板，经建设、设计、施工和监理单位联合验收合格后方可实施批量生产。</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8.1.</w:t>
      </w:r>
      <w:r>
        <w:rPr>
          <w:rFonts w:hint="default" w:ascii="Times New Roman" w:hAnsi="Times New Roman"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模块单元</w:t>
      </w:r>
      <w:r>
        <w:rPr>
          <w:rFonts w:hint="default" w:ascii="Times New Roman" w:hAnsi="Times New Roman" w:cs="Times New Roman"/>
          <w:color w:val="000000" w:themeColor="text1"/>
          <w:highlight w:val="none"/>
          <w14:textFill>
            <w14:solidFill>
              <w14:schemeClr w14:val="tx1"/>
            </w14:solidFill>
          </w14:textFill>
        </w:rPr>
        <w:t>生产前</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生产单位</w:t>
      </w:r>
      <w:r>
        <w:rPr>
          <w:rFonts w:hint="default" w:ascii="Times New Roman" w:hAnsi="Times New Roman" w:cs="Times New Roman"/>
          <w:color w:val="000000" w:themeColor="text1"/>
          <w:highlight w:val="none"/>
          <w14:textFill>
            <w14:solidFill>
              <w14:schemeClr w14:val="tx1"/>
            </w14:solidFill>
          </w14:textFill>
        </w:rPr>
        <w:t>应编制生产方案，生产方案宜包括模块单元生产车间及堆场规划、模具方案及计划、生产计划及生产工艺、人材机资源计划、质量控制方法与措施、成品存放、装修与机电安装、装车运输及成品保护等。</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8.1.</w:t>
      </w:r>
      <w:r>
        <w:rPr>
          <w:rFonts w:hint="default" w:ascii="Times New Roman" w:hAnsi="Times New Roman" w:cs="Times New Roman"/>
          <w:b/>
          <w:color w:val="000000" w:themeColor="text1"/>
          <w:highlight w:val="none"/>
          <w:lang w:val="en-US" w:eastAsia="zh-CN"/>
          <w14:textFill>
            <w14:solidFill>
              <w14:schemeClr w14:val="tx1"/>
            </w14:solidFill>
          </w14:textFill>
        </w:rPr>
        <w:t>5</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color w:val="000000" w:themeColor="text1"/>
          <w:highlight w:val="none"/>
          <w:lang w:val="en-US" w:eastAsia="zh-CN"/>
          <w14:textFill>
            <w14:solidFill>
              <w14:schemeClr w14:val="tx1"/>
            </w14:solidFill>
          </w14:textFill>
        </w:rPr>
        <w:t>单元</w:t>
      </w:r>
      <w:r>
        <w:rPr>
          <w:rFonts w:hint="default" w:ascii="Times New Roman" w:hAnsi="Times New Roman" w:cs="Times New Roman"/>
          <w:color w:val="000000" w:themeColor="text1"/>
          <w:highlight w:val="none"/>
          <w14:textFill>
            <w14:solidFill>
              <w14:schemeClr w14:val="tx1"/>
            </w14:solidFill>
          </w14:textFill>
        </w:rPr>
        <w:t>生产中采用新技术、新工艺、新材料、新设备时，生产单位应制定专门的生产方案</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必要时</w:t>
      </w:r>
      <w:r>
        <w:rPr>
          <w:rFonts w:hint="default" w:ascii="Times New Roman" w:hAnsi="Times New Roman" w:cs="Times New Roman"/>
          <w:color w:val="000000" w:themeColor="text1"/>
          <w:highlight w:val="none"/>
          <w:lang w:val="en-US"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进行样品试制，经检验合格后方可实施。</w:t>
      </w:r>
    </w:p>
    <w:p>
      <w:pPr>
        <w:rPr>
          <w:rFonts w:hint="default" w:ascii="Times New Roman" w:hAnsi="Times New Roman" w:cs="Times New Roman"/>
          <w:color w:val="000000" w:themeColor="text1"/>
          <w:highlight w:val="none"/>
          <w14:textFill>
            <w14:solidFill>
              <w14:schemeClr w14:val="tx1"/>
            </w14:solidFill>
          </w14:textFill>
        </w:rPr>
      </w:pPr>
      <w:bookmarkStart w:id="892" w:name="_Toc15352"/>
      <w:bookmarkStart w:id="893" w:name="_Toc7993"/>
      <w:bookmarkStart w:id="894" w:name="_Toc10610"/>
      <w:r>
        <w:rPr>
          <w:rFonts w:hint="default" w:ascii="Times New Roman" w:hAnsi="Times New Roman" w:cs="Times New Roman"/>
          <w:b/>
          <w:color w:val="000000" w:themeColor="text1"/>
          <w:highlight w:val="none"/>
          <w14:textFill>
            <w14:solidFill>
              <w14:schemeClr w14:val="tx1"/>
            </w14:solidFill>
          </w14:textFill>
        </w:rPr>
        <w:t>8.1.</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采用模块化叠合剪力墙结构体系时</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color w:val="000000" w:themeColor="text1"/>
          <w:highlight w:val="none"/>
          <w:lang w:val="en-US" w:eastAsia="zh-CN"/>
          <w14:textFill>
            <w14:solidFill>
              <w14:schemeClr w14:val="tx1"/>
            </w14:solidFill>
          </w14:textFill>
        </w:rPr>
        <w:t>单元</w:t>
      </w:r>
      <w:r>
        <w:rPr>
          <w:rFonts w:hint="default" w:ascii="Times New Roman" w:hAnsi="Times New Roman" w:cs="Times New Roman"/>
          <w:color w:val="000000" w:themeColor="text1"/>
          <w:highlight w:val="none"/>
          <w14:textFill>
            <w14:solidFill>
              <w14:schemeClr w14:val="tx1"/>
            </w14:solidFill>
          </w14:textFill>
        </w:rPr>
        <w:t>生产中所用的预制构件</w:t>
      </w:r>
      <w:r>
        <w:rPr>
          <w:rFonts w:hint="default" w:ascii="Times New Roman" w:hAnsi="Times New Roman" w:cs="Times New Roman"/>
          <w:color w:val="000000" w:themeColor="text1"/>
          <w:highlight w:val="none"/>
          <w:lang w:val="en-US" w:eastAsia="zh-CN"/>
          <w14:textFill>
            <w14:solidFill>
              <w14:schemeClr w14:val="tx1"/>
            </w14:solidFill>
          </w14:textFill>
        </w:rPr>
        <w:t>质量</w:t>
      </w:r>
      <w:r>
        <w:rPr>
          <w:rFonts w:hint="default" w:ascii="Times New Roman" w:hAnsi="Times New Roman" w:cs="Times New Roman"/>
          <w:color w:val="000000" w:themeColor="text1"/>
          <w:highlight w:val="none"/>
          <w14:textFill>
            <w14:solidFill>
              <w14:schemeClr w14:val="tx1"/>
            </w14:solidFill>
          </w14:textFill>
        </w:rPr>
        <w:t>应</w:t>
      </w:r>
      <w:r>
        <w:rPr>
          <w:rFonts w:hint="default" w:ascii="Times New Roman" w:hAnsi="Times New Roman" w:cs="Times New Roman"/>
          <w:color w:val="000000" w:themeColor="text1"/>
          <w:highlight w:val="none"/>
          <w:lang w:val="en-US" w:eastAsia="zh-CN"/>
          <w14:textFill>
            <w14:solidFill>
              <w14:schemeClr w14:val="tx1"/>
            </w14:solidFill>
          </w14:textFill>
        </w:rPr>
        <w:t>符合</w:t>
      </w:r>
      <w:r>
        <w:rPr>
          <w:rFonts w:hint="default" w:ascii="Times New Roman" w:hAnsi="Times New Roman" w:cs="Times New Roman"/>
          <w:color w:val="000000" w:themeColor="text1"/>
          <w:highlight w:val="none"/>
          <w14:textFill>
            <w14:solidFill>
              <w14:schemeClr w14:val="tx1"/>
            </w14:solidFill>
          </w14:textFill>
        </w:rPr>
        <w:t>设计要求及国家现行标准《装配式混凝土建筑技术标准》GB/T 51231的</w:t>
      </w:r>
      <w:r>
        <w:rPr>
          <w:rFonts w:hint="default" w:ascii="Times New Roman" w:hAnsi="Times New Roman" w:cs="Times New Roman"/>
          <w:color w:val="000000" w:themeColor="text1"/>
          <w:highlight w:val="none"/>
          <w:lang w:val="en-US" w:eastAsia="zh-CN"/>
          <w14:textFill>
            <w14:solidFill>
              <w14:schemeClr w14:val="tx1"/>
            </w14:solidFill>
          </w14:textFill>
        </w:rPr>
        <w:t>有关规定</w:t>
      </w:r>
      <w:r>
        <w:rPr>
          <w:rFonts w:hint="default" w:ascii="Times New Roman" w:hAnsi="Times New Roman" w:cs="Times New Roman"/>
          <w:color w:val="000000" w:themeColor="text1"/>
          <w:highlight w:val="none"/>
          <w14:textFill>
            <w14:solidFill>
              <w14:schemeClr w14:val="tx1"/>
            </w14:solidFill>
          </w14:textFill>
        </w:rPr>
        <w:t>。</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8.1.</w:t>
      </w:r>
      <w:r>
        <w:rPr>
          <w:rFonts w:hint="default" w:ascii="Times New Roman" w:hAnsi="Times New Roman" w:cs="Times New Roman"/>
          <w:b/>
          <w:color w:val="000000" w:themeColor="text1"/>
          <w:highlight w:val="none"/>
          <w:lang w:val="en-US" w:eastAsia="zh-CN"/>
          <w14:textFill>
            <w14:solidFill>
              <w14:schemeClr w14:val="tx1"/>
            </w14:solidFill>
          </w14:textFill>
        </w:rPr>
        <w:t>7</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模块单元生产过程中，生产单位应对各工序进行质量检验，并形成记录。对涉及结构安全和使用功能的关键工序及隐蔽工程，必须经生产单位专业质检员及驻场监造人员验收合格，方可进入下道工序。</w:t>
      </w:r>
    </w:p>
    <w:p>
      <w:pPr>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8.1.</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 xml:space="preserve"> 当模块单元生产采用分片式组装时</w:t>
      </w:r>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模块组装前预制构件单元混凝土强度不应小于15MPa，模块组装完成后混凝土强度应满足</w:t>
      </w:r>
      <w:r>
        <w:rPr>
          <w:rFonts w:hint="default" w:ascii="Times New Roman" w:hAnsi="Times New Roman" w:cs="Times New Roman"/>
          <w:bCs/>
          <w:color w:val="000000" w:themeColor="text1"/>
          <w:highlight w:val="none"/>
          <w:lang w:val="en-US" w:eastAsia="zh-CN"/>
          <w14:textFill>
            <w14:solidFill>
              <w14:schemeClr w14:val="tx1"/>
            </w14:solidFill>
          </w14:textFill>
        </w:rPr>
        <w:t>设计</w:t>
      </w:r>
      <w:r>
        <w:rPr>
          <w:rFonts w:hint="default" w:ascii="Times New Roman" w:hAnsi="Times New Roman" w:cs="Times New Roman"/>
          <w:bCs/>
          <w:color w:val="000000" w:themeColor="text1"/>
          <w:highlight w:val="none"/>
          <w14:textFill>
            <w14:solidFill>
              <w14:schemeClr w14:val="tx1"/>
            </w14:solidFill>
          </w14:textFill>
        </w:rPr>
        <w:t>要求后方可出厂。</w:t>
      </w:r>
    </w:p>
    <w:bookmarkEnd w:id="892"/>
    <w:bookmarkEnd w:id="893"/>
    <w:bookmarkEnd w:id="894"/>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895" w:name="_Toc26257"/>
      <w:bookmarkStart w:id="896" w:name="_Toc6149"/>
      <w:bookmarkStart w:id="897" w:name="_Toc1482"/>
      <w:bookmarkStart w:id="898" w:name="_Toc5672"/>
      <w:bookmarkStart w:id="899" w:name="_Toc23453"/>
      <w:bookmarkStart w:id="900" w:name="_Toc13661"/>
      <w:bookmarkStart w:id="901" w:name="_Toc19638"/>
      <w:bookmarkStart w:id="902" w:name="_Toc10015"/>
      <w:bookmarkStart w:id="903" w:name="_Toc20136"/>
      <w:bookmarkStart w:id="904" w:name="_Toc17941"/>
      <w:bookmarkStart w:id="905" w:name="_Toc21881"/>
      <w:bookmarkStart w:id="906" w:name="_Toc7438"/>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模具</w:t>
      </w:r>
      <w:bookmarkEnd w:id="895"/>
      <w:bookmarkEnd w:id="896"/>
      <w:bookmarkEnd w:id="897"/>
      <w:bookmarkEnd w:id="898"/>
      <w:bookmarkEnd w:id="899"/>
      <w:bookmarkEnd w:id="900"/>
      <w:bookmarkEnd w:id="901"/>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及预埋件</w:t>
      </w:r>
      <w:bookmarkEnd w:id="902"/>
      <w:bookmarkEnd w:id="903"/>
      <w:bookmarkEnd w:id="904"/>
      <w:bookmarkEnd w:id="905"/>
      <w:bookmarkEnd w:id="906"/>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模块单元的模具方案，应根据产品体系、产品型号及数量、生产工艺等制定，并应建立模具制作、验收、使用、维修、报废制度。</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模具应具有足够的强度、刚度和整体稳固性，并应符合下列规定：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模具应装拆方便，并应满足预制模块质量、生产工艺和周转次数等要求。</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907" w:name="_Toc27857"/>
      <w:bookmarkStart w:id="908" w:name="_Toc9811"/>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模具方案及质量</w:t>
      </w:r>
      <w:r>
        <w:rPr>
          <w:rFonts w:hint="default" w:ascii="Times New Roman" w:hAnsi="Times New Roman" w:cs="Times New Roman"/>
          <w:color w:val="000000" w:themeColor="text1"/>
          <w:highlight w:val="none"/>
          <w:lang w:val="en-US" w:eastAsia="zh-CN"/>
          <w14:textFill>
            <w14:solidFill>
              <w14:schemeClr w14:val="tx1"/>
            </w14:solidFill>
          </w14:textFill>
        </w:rPr>
        <w:t>通过</w:t>
      </w:r>
      <w:r>
        <w:rPr>
          <w:rFonts w:hint="default" w:ascii="Times New Roman" w:hAnsi="Times New Roman" w:cs="Times New Roman"/>
          <w:color w:val="000000" w:themeColor="text1"/>
          <w:highlight w:val="none"/>
          <w14:textFill>
            <w14:solidFill>
              <w14:schemeClr w14:val="tx1"/>
            </w14:solidFill>
          </w14:textFill>
        </w:rPr>
        <w:t>产品样板检验合格后批量制作模具</w:t>
      </w:r>
      <w:bookmarkEnd w:id="907"/>
      <w:bookmarkEnd w:id="908"/>
      <w:r>
        <w:rPr>
          <w:rFonts w:hint="default" w:ascii="Times New Roman" w:hAnsi="Times New Roman" w:cs="Times New Roman"/>
          <w:color w:val="000000" w:themeColor="text1"/>
          <w:highlight w:val="none"/>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模具各部件之间应连接牢固，接缝紧密，附带的埋件或工装应定位准确，安装牢固。</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用作底模的台座、胎模应平整光洁，不得有下沉、裂缝、起砂和起鼓。</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909" w:name="_Toc8079"/>
      <w:bookmarkStart w:id="910" w:name="_Toc25637"/>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对于高度大于2m的模具应满足高空作业的安全要求</w:t>
      </w:r>
      <w:bookmarkEnd w:id="909"/>
      <w:bookmarkEnd w:id="910"/>
      <w:r>
        <w:rPr>
          <w:rFonts w:hint="default" w:ascii="Times New Roman" w:hAnsi="Times New Roman" w:cs="Times New Roman"/>
          <w:color w:val="000000" w:themeColor="text1"/>
          <w:highlight w:val="none"/>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模具应采取防止变形和锈蚀的措施，侧模、预埋件和预留孔洞定位措施应定期进行检查。</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除设计有特殊要求外，模具尺寸偏差和检验方法应符合表8.</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.3的规定。</w:t>
      </w:r>
    </w:p>
    <w:p>
      <w:pPr>
        <w:pStyle w:val="51"/>
        <w:rPr>
          <w:rFonts w:hint="default" w:ascii="Times New Roman" w:hAnsi="Times New Roman" w:cs="Times New Roman"/>
          <w:color w:val="000000" w:themeColor="text1"/>
          <w:highlight w:val="none"/>
          <w14:textFill>
            <w14:solidFill>
              <w14:schemeClr w14:val="tx1"/>
            </w14:solidFill>
          </w14:textFill>
        </w:rPr>
      </w:pPr>
    </w:p>
    <w:p>
      <w:pPr>
        <w:pStyle w:val="51"/>
        <w:rPr>
          <w:rFonts w:hint="default" w:ascii="Times New Roman" w:hAnsi="Times New Roman" w:cs="Times New Roman"/>
          <w:color w:val="000000" w:themeColor="text1"/>
          <w:highlight w:val="none"/>
          <w14:textFill>
            <w14:solidFill>
              <w14:schemeClr w14:val="tx1"/>
            </w14:solidFill>
          </w14:textFill>
        </w:rPr>
      </w:pPr>
    </w:p>
    <w:p>
      <w:pPr>
        <w:pStyle w:val="51"/>
        <w:rPr>
          <w:rFonts w:hint="default" w:ascii="Times New Roman" w:hAnsi="Times New Roman" w:cs="Times New Roman"/>
          <w:color w:val="000000" w:themeColor="text1"/>
          <w:highlight w:val="none"/>
          <w14:textFill>
            <w14:solidFill>
              <w14:schemeClr w14:val="tx1"/>
            </w14:solidFill>
          </w14:textFill>
        </w:rPr>
      </w:pPr>
    </w:p>
    <w:p>
      <w:pPr>
        <w:pStyle w:val="5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 xml:space="preserve"> 混凝土模块模具尺寸的允许偏差和检验方法</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751"/>
        <w:gridCol w:w="1151"/>
        <w:gridCol w:w="1394"/>
        <w:gridCol w:w="2839"/>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50" w:type="pct"/>
            <w:gridSpan w:val="2"/>
            <w:tcBorders>
              <w:top w:val="single" w:color="auto" w:sz="12"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检验项目及内容</w:t>
            </w:r>
          </w:p>
        </w:tc>
        <w:tc>
          <w:tcPr>
            <w:tcW w:w="1136" w:type="pct"/>
            <w:tcBorders>
              <w:top w:val="single" w:color="auto" w:sz="12"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允许偏差(mm)</w:t>
            </w:r>
          </w:p>
        </w:tc>
        <w:tc>
          <w:tcPr>
            <w:tcW w:w="2313" w:type="pct"/>
            <w:tcBorders>
              <w:top w:val="single" w:color="auto" w:sz="12"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12" w:type="pct"/>
            <w:vMerge w:val="restart"/>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长度</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14:textFill>
                  <w14:solidFill>
                    <w14:schemeClr w14:val="tx1"/>
                  </w14:solidFill>
                </w14:textFill>
              </w:rPr>
              <w:t>m</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2313" w:type="pct"/>
            <w:vMerge w:val="restart"/>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用钢尺量平行构件高度方向，取其中偏差绝对值较大处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12" w:type="pct"/>
            <w:vMerge w:val="continue"/>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&gt;12m</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2313" w:type="pct"/>
            <w:vMerge w:val="continue"/>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12" w:type="pct"/>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宽</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m</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2313" w:type="pct"/>
            <w:vMerge w:val="restart"/>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用钢尺测量两端或中部，取其中偏差绝对值较大处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12" w:type="pct"/>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高</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m</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0，-3</w:t>
            </w:r>
          </w:p>
        </w:tc>
        <w:tc>
          <w:tcPr>
            <w:tcW w:w="2313" w:type="pct"/>
            <w:vMerge w:val="continue"/>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对角线</w:t>
            </w:r>
            <w:r>
              <w:rPr>
                <w:rFonts w:hint="default" w:ascii="Times New Roman" w:hAnsi="Times New Roman" w:cs="Times New Roman"/>
                <w:color w:val="000000" w:themeColor="text1"/>
                <w:highlight w:val="none"/>
                <w:lang w:val="en-US" w:eastAsia="zh-CN"/>
                <w14:textFill>
                  <w14:solidFill>
                    <w14:schemeClr w14:val="tx1"/>
                  </w14:solidFill>
                </w14:textFill>
              </w:rPr>
              <w:t>差</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2313" w:type="pct"/>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用钢尺量纵、横两个方向对角线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侧向弯曲</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l/1500且≤5</w:t>
            </w:r>
          </w:p>
        </w:tc>
        <w:tc>
          <w:tcPr>
            <w:tcW w:w="2313" w:type="pct"/>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拉线，用钢尺测量侧向弯曲最大处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翘曲</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l/1500</w:t>
            </w:r>
          </w:p>
        </w:tc>
        <w:tc>
          <w:tcPr>
            <w:tcW w:w="2313" w:type="pct"/>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对角拉线测量交点间距离值的两倍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底模表面平整度</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2313" w:type="pct"/>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用2m靠尺和塞尺检查</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组装缝隙</w:t>
            </w:r>
          </w:p>
        </w:tc>
        <w:tc>
          <w:tcPr>
            <w:tcW w:w="1136" w:type="pct"/>
            <w:tcBorders>
              <w:top w:val="single" w:color="000000" w:sz="4" w:space="0"/>
              <w:left w:val="single" w:color="000000" w:sz="4" w:space="0"/>
              <w:bottom w:val="single" w:color="000000" w:sz="4"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2313" w:type="pct"/>
            <w:tcBorders>
              <w:top w:val="single" w:color="000000" w:sz="4" w:space="0"/>
              <w:left w:val="single" w:color="000000" w:sz="4" w:space="0"/>
              <w:bottom w:val="single" w:color="000000" w:sz="4"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用塞片或塞尺量</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550" w:type="pct"/>
            <w:gridSpan w:val="2"/>
            <w:tcBorders>
              <w:top w:val="single" w:color="000000" w:sz="4" w:space="0"/>
              <w:left w:val="single" w:color="auto" w:sz="12" w:space="0"/>
              <w:bottom w:val="single" w:color="auto" w:sz="12"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端模与侧模高低差</w:t>
            </w:r>
          </w:p>
        </w:tc>
        <w:tc>
          <w:tcPr>
            <w:tcW w:w="1136" w:type="pct"/>
            <w:tcBorders>
              <w:top w:val="single" w:color="000000" w:sz="4" w:space="0"/>
              <w:left w:val="single" w:color="000000" w:sz="4" w:space="0"/>
              <w:bottom w:val="single" w:color="auto" w:sz="12" w:space="0"/>
              <w:right w:val="single" w:color="000000" w:sz="4"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2313" w:type="pct"/>
            <w:tcBorders>
              <w:top w:val="single" w:color="000000" w:sz="4" w:space="0"/>
              <w:left w:val="single" w:color="000000" w:sz="4" w:space="0"/>
              <w:bottom w:val="single" w:color="auto" w:sz="12" w:space="0"/>
              <w:right w:val="single" w:color="auto" w:sz="12" w:space="0"/>
            </w:tcBorders>
            <w:vAlign w:val="center"/>
          </w:tcPr>
          <w:p>
            <w:pPr>
              <w:pStyle w:val="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用钢尺量</w:t>
            </w:r>
          </w:p>
        </w:tc>
      </w:tr>
    </w:tbl>
    <w:p>
      <w:pPr>
        <w:pStyle w:val="53"/>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注：</w:t>
      </w:r>
      <w:r>
        <w:rPr>
          <w:rFonts w:hint="default" w:ascii="Times New Roman" w:hAnsi="Times New Roman" w:cs="Times New Roman"/>
          <w:i/>
          <w:color w:val="000000" w:themeColor="text1"/>
          <w:sz w:val="18"/>
          <w:szCs w:val="18"/>
          <w:highlight w:val="none"/>
          <w14:textFill>
            <w14:solidFill>
              <w14:schemeClr w14:val="tx1"/>
            </w14:solidFill>
          </w14:textFill>
        </w:rPr>
        <w:t>l</w:t>
      </w:r>
      <w:r>
        <w:rPr>
          <w:rFonts w:hint="default" w:ascii="Times New Roman" w:hAnsi="Times New Roman" w:cs="Times New Roman"/>
          <w:color w:val="000000" w:themeColor="text1"/>
          <w:sz w:val="18"/>
          <w:szCs w:val="18"/>
          <w:highlight w:val="none"/>
          <w14:textFill>
            <w14:solidFill>
              <w14:schemeClr w14:val="tx1"/>
            </w14:solidFill>
          </w14:textFill>
        </w:rPr>
        <w:t>为模具与混凝土接触面中最长边的尺寸</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模块上的预埋件和预留孔洞宜通过模具进行定位，并安装牢固，其安装偏差应符合表8.</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.4的规定。</w:t>
      </w:r>
    </w:p>
    <w:p>
      <w:pPr>
        <w:widowControl/>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表</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8.</w:t>
      </w:r>
      <w:r>
        <w:rPr>
          <w:rFonts w:hint="default" w:ascii="Times New Roman" w:hAnsi="Times New Roman" w:eastAsia="黑体" w:cs="Times New Roman"/>
          <w:b/>
          <w:color w:val="000000" w:themeColor="text1"/>
          <w:kern w:val="0"/>
          <w:sz w:val="18"/>
          <w:szCs w:val="21"/>
          <w:highlight w:val="none"/>
          <w:lang w:val="en-US" w:eastAsia="zh-CN"/>
          <w14:textFill>
            <w14:solidFill>
              <w14:schemeClr w14:val="tx1"/>
            </w14:solidFill>
          </w14:textFill>
        </w:rPr>
        <w:t>2</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 xml:space="preserve">.4 </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 xml:space="preserve"> 模具上预埋件、预留孔洞安装允许偏差</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115"/>
        <w:gridCol w:w="1544"/>
        <w:gridCol w:w="945"/>
        <w:gridCol w:w="1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54"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项次</w:t>
            </w:r>
          </w:p>
        </w:tc>
        <w:tc>
          <w:tcPr>
            <w:tcW w:w="2167" w:type="pct"/>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检测项目及内容</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允许偏差(mm)</w:t>
            </w:r>
          </w:p>
        </w:tc>
        <w:tc>
          <w:tcPr>
            <w:tcW w:w="1607"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54"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909"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预埋钢板、建筑幕墙用槽式预埋组件</w:t>
            </w: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平面高差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用钢直尺和塞尺检查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54"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2167" w:type="pct"/>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预埋管、电线盒、电线管水平和垂直方向的中心线位置偏移、预留孔（或波纹管）</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用尺量测纵横两个方向的中心线位置，取其中较大值</w:t>
            </w:r>
          </w:p>
        </w:tc>
      </w:tr>
    </w:tbl>
    <w:p>
      <w:pPr>
        <w:jc w:val="center"/>
        <w:rPr>
          <w:rFonts w:hint="default" w:ascii="Times New Roman" w:hAnsi="Times New Roman" w:eastAsia="黑体" w:cs="Times New Roman"/>
          <w:color w:val="000000" w:themeColor="text1"/>
          <w:kern w:val="0"/>
          <w:sz w:val="18"/>
          <w:szCs w:val="21"/>
          <w:highlight w:val="none"/>
          <w:lang w:val="en-US" w:eastAsia="zh-CN"/>
          <w14:textFill>
            <w14:solidFill>
              <w14:schemeClr w14:val="tx1"/>
            </w14:solidFill>
          </w14:textFill>
        </w:rPr>
      </w:pPr>
    </w:p>
    <w:p>
      <w:pPr>
        <w:jc w:val="center"/>
        <w:rPr>
          <w:rFonts w:hint="default" w:ascii="Times New Roman" w:hAnsi="Times New Roman" w:eastAsia="黑体" w:cs="Times New Roman"/>
          <w:color w:val="000000" w:themeColor="text1"/>
          <w:kern w:val="0"/>
          <w:sz w:val="18"/>
          <w:szCs w:val="21"/>
          <w:highlight w:val="none"/>
          <w:lang w:val="en-US" w:eastAsia="zh-CN"/>
          <w14:textFill>
            <w14:solidFill>
              <w14:schemeClr w14:val="tx1"/>
            </w14:solidFill>
          </w14:textFill>
        </w:rPr>
      </w:pPr>
    </w:p>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lang w:val="en-US" w:eastAsia="zh-CN"/>
          <w14:textFill>
            <w14:solidFill>
              <w14:schemeClr w14:val="tx1"/>
            </w14:solidFill>
          </w14:textFill>
        </w:rPr>
        <w:t>续</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表</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8.</w:t>
      </w:r>
      <w:r>
        <w:rPr>
          <w:rFonts w:hint="default" w:ascii="Times New Roman" w:hAnsi="Times New Roman" w:eastAsia="黑体" w:cs="Times New Roman"/>
          <w:b/>
          <w:color w:val="000000" w:themeColor="text1"/>
          <w:kern w:val="0"/>
          <w:sz w:val="18"/>
          <w:szCs w:val="21"/>
          <w:highlight w:val="none"/>
          <w:lang w:val="en-US" w:eastAsia="zh-CN"/>
          <w14:textFill>
            <w14:solidFill>
              <w14:schemeClr w14:val="tx1"/>
            </w14:solidFill>
          </w14:textFill>
        </w:rPr>
        <w:t>2</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.4</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115"/>
        <w:gridCol w:w="1544"/>
        <w:gridCol w:w="945"/>
        <w:gridCol w:w="1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57" w:type="dxa"/>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项次</w:t>
            </w:r>
          </w:p>
        </w:tc>
        <w:tc>
          <w:tcPr>
            <w:tcW w:w="2659" w:type="dxa"/>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检测项目及内容</w:t>
            </w:r>
          </w:p>
        </w:tc>
        <w:tc>
          <w:tcPr>
            <w:tcW w:w="945" w:type="dxa"/>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允许偏差(mm)</w:t>
            </w:r>
          </w:p>
        </w:tc>
        <w:tc>
          <w:tcPr>
            <w:tcW w:w="1972" w:type="dxa"/>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909"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插筋</w:t>
            </w: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用尺量测纵横两个方向的中心线位置，取其中较大值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0"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外露长度</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909"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吊环</w:t>
            </w: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外露长度</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0，-5</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909"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预埋螺栓</w:t>
            </w: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外露长度</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909"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预埋螺母</w:t>
            </w: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1"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平面高差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用钢直尺和塞尺检查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54"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909"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预留洞</w:t>
            </w: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尺寸</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+3，0</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用尺量测纵横两个方向的尺寸，取其较大值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909"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预埋连接件及连接钢筋</w:t>
            </w: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预埋连接件中心线位置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连接钢筋中心线位置</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用尺量测纵横两个方向的中心线位置，取其较大值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0" w:hRule="atLeast"/>
          <w:jc w:val="center"/>
        </w:trPr>
        <w:tc>
          <w:tcPr>
            <w:tcW w:w="454"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909"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5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连接钢筋外露长度</w:t>
            </w:r>
          </w:p>
        </w:tc>
        <w:tc>
          <w:tcPr>
            <w:tcW w:w="77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1607" w:type="pct"/>
            <w:vAlign w:val="center"/>
          </w:tcPr>
          <w:p>
            <w:pPr>
              <w:pStyle w:val="5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用尺量测</w:t>
            </w:r>
          </w:p>
        </w:tc>
      </w:tr>
    </w:tbl>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预制模块中预埋门窗框时，应在模具上设置限位装置进行固定，并应逐件检验。门窗框安装偏差和检验方法应符合表8.</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.5的规定。</w:t>
      </w:r>
    </w:p>
    <w:p>
      <w:pPr>
        <w:pStyle w:val="5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 xml:space="preserve"> 门窗框安装允许偏差和检验方法</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249"/>
        <w:gridCol w:w="1497"/>
        <w:gridCol w:w="21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50" w:type="pct"/>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w:t>
            </w:r>
          </w:p>
        </w:tc>
        <w:tc>
          <w:tcPr>
            <w:tcW w:w="122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允许偏差</w:t>
            </w:r>
          </w:p>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(mm)</w:t>
            </w:r>
          </w:p>
        </w:tc>
        <w:tc>
          <w:tcPr>
            <w:tcW w:w="1729"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2" w:type="pct"/>
            <w:vMerge w:val="restar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锚固脚片</w:t>
            </w:r>
          </w:p>
        </w:tc>
        <w:tc>
          <w:tcPr>
            <w:tcW w:w="101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122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729"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2" w:type="pct"/>
            <w:vMerge w:val="continue"/>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018"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外露长度</w:t>
            </w:r>
          </w:p>
        </w:tc>
        <w:tc>
          <w:tcPr>
            <w:tcW w:w="122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1729"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pct"/>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门窗框位置</w:t>
            </w:r>
          </w:p>
        </w:tc>
        <w:tc>
          <w:tcPr>
            <w:tcW w:w="122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729"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pct"/>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门窗框高、宽</w:t>
            </w:r>
          </w:p>
        </w:tc>
        <w:tc>
          <w:tcPr>
            <w:tcW w:w="122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729"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pct"/>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门窗框对角线</w:t>
            </w:r>
          </w:p>
        </w:tc>
        <w:tc>
          <w:tcPr>
            <w:tcW w:w="122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729"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pct"/>
            <w:gridSpan w:val="2"/>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门窗框的平整度</w:t>
            </w:r>
          </w:p>
        </w:tc>
        <w:tc>
          <w:tcPr>
            <w:tcW w:w="1220"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729" w:type="pct"/>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bl>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911" w:name="_Toc16610"/>
      <w:bookmarkStart w:id="912" w:name="_Toc19102"/>
      <w:bookmarkStart w:id="913" w:name="_Toc21506"/>
      <w:bookmarkStart w:id="914" w:name="_Toc10325"/>
      <w:bookmarkStart w:id="915" w:name="_Toc18398"/>
      <w:bookmarkStart w:id="916" w:name="_Toc424"/>
      <w:bookmarkStart w:id="917" w:name="_Toc7450"/>
      <w:bookmarkStart w:id="918" w:name="_Toc7926"/>
      <w:bookmarkStart w:id="919" w:name="_Toc14362"/>
      <w:bookmarkStart w:id="920" w:name="_Toc10307"/>
      <w:bookmarkStart w:id="921" w:name="_Toc21154"/>
      <w:bookmarkStart w:id="922" w:name="_Toc20016"/>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钢筋</w:t>
      </w:r>
      <w:bookmarkEnd w:id="911"/>
      <w:bookmarkEnd w:id="912"/>
      <w:bookmarkEnd w:id="913"/>
      <w:bookmarkEnd w:id="914"/>
      <w:bookmarkEnd w:id="915"/>
      <w:bookmarkEnd w:id="916"/>
      <w:bookmarkEnd w:id="917"/>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加工及安装</w:t>
      </w:r>
      <w:bookmarkEnd w:id="918"/>
      <w:bookmarkEnd w:id="919"/>
      <w:bookmarkEnd w:id="920"/>
      <w:bookmarkEnd w:id="921"/>
      <w:bookmarkEnd w:id="922"/>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钢筋应符合现行国家标准《混凝土结构工程施工规范》GB 50666的有关规定，并宜采用自动化机械设备加工。</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钢筋连接除应符合现行国家标准《混凝土结构工程施工规范》GB 50666的有关规定外，并应符合下列规定：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钢筋接头的方式、位置、同一截面受力钢筋的接头百分率、钢筋的搭接长度及锚固长度等应符合设计要求和国家现行有关标准的规定；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钢筋焊接接头和机械连接接头均应进行工艺检验，合格后方可进行模块单元生产；</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923" w:name="_Toc31937"/>
      <w:bookmarkStart w:id="924" w:name="_Toc23684"/>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钢筋焊接接头和机械连接接头应全数检查外观质量；</w:t>
      </w:r>
      <w:bookmarkEnd w:id="923"/>
      <w:bookmarkEnd w:id="924"/>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焊接接头、钢筋机械连接接头力学性能应符合现行行业标准《钢筋焊接及验收规程》JGJ 18和《钢筋机械连接技术规程》JGJ 107的有关规定。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钢筋网片、钢筋骨架和钢筋桁架等半成品应检查合格后进行安装，并应符合下列规定：</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 xml:space="preserve">1  </w:t>
      </w:r>
      <w:r>
        <w:rPr>
          <w:rFonts w:hint="default" w:ascii="Times New Roman" w:hAnsi="Times New Roman" w:cs="Times New Roman"/>
          <w:color w:val="000000" w:themeColor="text1"/>
          <w:szCs w:val="24"/>
          <w:highlight w:val="none"/>
          <w14:textFill>
            <w14:solidFill>
              <w14:schemeClr w14:val="tx1"/>
            </w14:solidFill>
          </w14:textFill>
        </w:rPr>
        <w:t>钢筋表面不得有油污，不应严重锈蚀；</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 xml:space="preserve">2  </w:t>
      </w:r>
      <w:r>
        <w:rPr>
          <w:rFonts w:hint="default" w:ascii="Times New Roman" w:hAnsi="Times New Roman" w:cs="Times New Roman"/>
          <w:color w:val="000000" w:themeColor="text1"/>
          <w:szCs w:val="24"/>
          <w:highlight w:val="none"/>
          <w14:textFill>
            <w14:solidFill>
              <w14:schemeClr w14:val="tx1"/>
            </w14:solidFill>
          </w14:textFill>
        </w:rPr>
        <w:t>钢筋网片和钢筋骨架宜采用专用吊具进行吊运；</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 xml:space="preserve">3  </w:t>
      </w:r>
      <w:r>
        <w:rPr>
          <w:rFonts w:hint="default" w:ascii="Times New Roman" w:hAnsi="Times New Roman" w:cs="Times New Roman"/>
          <w:color w:val="000000" w:themeColor="text1"/>
          <w:szCs w:val="24"/>
          <w:highlight w:val="none"/>
          <w14:textFill>
            <w14:solidFill>
              <w14:schemeClr w14:val="tx1"/>
            </w14:solidFill>
          </w14:textFill>
        </w:rPr>
        <w:t>保护层垫块间距应满足钢筋限位及变形控制要求，钢筋绑扎丝甩扣应弯向构件内侧。垫块宜与钢筋骨架或网片绑扎牢固，按梅花状布置。</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当采用钢筋焊接网片时，钢筋焊接网片应符合现行国家标准《钢筋混凝土用钢第3部分：钢筋焊接网》GB/T 1497.3的有关规定。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钢筋加工安装允许偏差应符合表8.</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.5的规定。</w:t>
      </w:r>
    </w:p>
    <w:p>
      <w:pPr>
        <w:pStyle w:val="5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钢筋加工安装允许偏差</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32"/>
        <w:gridCol w:w="1820"/>
        <w:gridCol w:w="1417"/>
        <w:gridCol w:w="226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1998" w:type="pct"/>
            <w:gridSpan w:val="2"/>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允许偏差</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mm</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restar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钢筋</w:t>
            </w:r>
          </w:p>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网片</w:t>
            </w: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长、宽</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网眼尺寸</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钢尺量连续三档，取最大值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restar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钢筋</w:t>
            </w:r>
          </w:p>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骨架</w:t>
            </w: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长</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宽</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厚</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0，-5</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钢筋间距</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钢尺量两端，中间各一点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restar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受力</w:t>
            </w:r>
          </w:p>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钢筋</w:t>
            </w: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位置</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vMerge w:val="restar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钢尺量两端，中间各一点，取最大值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排距</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1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受力</w:t>
            </w:r>
          </w:p>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钢筋</w:t>
            </w:r>
          </w:p>
        </w:tc>
        <w:tc>
          <w:tcPr>
            <w:tcW w:w="1483"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楼板、外墙板、楼梯、阳台板</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1998" w:type="pct"/>
            <w:gridSpan w:val="2"/>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绑扎钢筋、横向钢筋间距</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钢尺量连续三档，取最大值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1998" w:type="pct"/>
            <w:gridSpan w:val="2"/>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箍筋间距</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钢尺量连续三档，取最大值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1998" w:type="pct"/>
            <w:gridSpan w:val="2"/>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钢筋弯起点位置</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1846"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bl>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25" w:name="_Toc23601"/>
      <w:bookmarkStart w:id="926" w:name="_Toc25290"/>
      <w:bookmarkStart w:id="927" w:name="_Toc6745"/>
      <w:bookmarkStart w:id="928" w:name="_Toc14783"/>
      <w:bookmarkStart w:id="929" w:name="_Toc20178"/>
      <w:bookmarkStart w:id="930" w:name="_Toc3182"/>
      <w:bookmarkStart w:id="931" w:name="_Toc2141"/>
      <w:bookmarkStart w:id="932" w:name="_Toc8180"/>
      <w:bookmarkStart w:id="933" w:name="_Toc3230"/>
      <w:bookmarkStart w:id="934" w:name="_Toc23312"/>
      <w:bookmarkStart w:id="935" w:name="_Toc8506"/>
      <w:bookmarkStart w:id="936" w:name="_Toc31210"/>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成型、养护及脱模</w:t>
      </w:r>
      <w:bookmarkEnd w:id="925"/>
      <w:bookmarkEnd w:id="926"/>
      <w:bookmarkEnd w:id="927"/>
      <w:bookmarkEnd w:id="928"/>
      <w:bookmarkEnd w:id="929"/>
      <w:bookmarkEnd w:id="930"/>
      <w:bookmarkEnd w:id="931"/>
      <w:bookmarkEnd w:id="932"/>
      <w:bookmarkEnd w:id="933"/>
    </w:p>
    <w:p>
      <w:pPr>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模块单元的成型、养护及脱模应符合现行国家标准《混凝土结构工程施工规范》GB 50666的有关规定。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lang w:val="en-US" w:eastAsia="zh-CN"/>
          <w14:textFill>
            <w14:solidFill>
              <w14:schemeClr w14:val="tx1"/>
            </w14:solidFill>
          </w14:textFill>
        </w:rPr>
        <w:t>模具组装，全预制</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color w:val="000000" w:themeColor="text1"/>
          <w:highlight w:val="none"/>
          <w:lang w:val="en-US" w:eastAsia="zh-CN"/>
          <w14:textFill>
            <w14:solidFill>
              <w14:schemeClr w14:val="tx1"/>
            </w14:solidFill>
          </w14:textFill>
        </w:rPr>
        <w:t>单元的模具组装完成后，应进行模具精度检测及隐蔽工种验收；叠合模块单元在构件拼装前应检查工装架的尺寸精度，保证各构件的平面位置、垂直度等精度满足要求，拼接缝封模板应保证与墙面及板面平齐，密封良好不泥浆</w:t>
      </w:r>
      <w:r>
        <w:rPr>
          <w:rFonts w:hint="default" w:ascii="Times New Roman" w:hAnsi="Times New Roman" w:cs="Times New Roman"/>
          <w:color w:val="000000" w:themeColor="text1"/>
          <w:highlight w:val="none"/>
          <w14:textFill>
            <w14:solidFill>
              <w14:schemeClr w14:val="tx1"/>
            </w14:solidFill>
          </w14:textFill>
        </w:rPr>
        <w:t>。</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 xml:space="preserve"> 混凝土浇筑应布料均衡</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浇筑应保证混凝土的均匀性和密实性。模块单元应根据形状、规格和材料等确定浇筑</w:t>
      </w:r>
      <w:r>
        <w:rPr>
          <w:rFonts w:hint="default" w:ascii="Times New Roman" w:hAnsi="Times New Roman" w:cs="Times New Roman"/>
          <w:color w:val="000000" w:themeColor="text1"/>
          <w:highlight w:val="none"/>
          <w:lang w:val="en-US" w:eastAsia="zh-CN"/>
          <w14:textFill>
            <w14:solidFill>
              <w14:schemeClr w14:val="tx1"/>
            </w14:solidFill>
          </w14:textFill>
        </w:rPr>
        <w:t>工艺，全预制模块单元</w:t>
      </w:r>
      <w:r>
        <w:rPr>
          <w:rFonts w:hint="default" w:ascii="Times New Roman" w:hAnsi="Times New Roman" w:cs="Times New Roman"/>
          <w:color w:val="000000" w:themeColor="text1"/>
          <w:highlight w:val="none"/>
          <w14:textFill>
            <w14:solidFill>
              <w14:schemeClr w14:val="tx1"/>
            </w14:solidFill>
          </w14:textFill>
        </w:rPr>
        <w:t>宜分层浇筑</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叠合模块单元的降板、沉箱非平面构件宜分次间隔浇筑，分层分次间隔浇筑混凝土浇筑间隔时间不应超过混凝土初凝时间，防止形成施工缝</w:t>
      </w:r>
      <w:r>
        <w:rPr>
          <w:rFonts w:hint="default" w:ascii="Times New Roman" w:hAnsi="Times New Roman" w:cs="Times New Roman"/>
          <w:color w:val="000000" w:themeColor="text1"/>
          <w:highlight w:val="none"/>
          <w14:textFill>
            <w14:solidFill>
              <w14:schemeClr w14:val="tx1"/>
            </w14:solidFill>
          </w14:textFill>
        </w:rPr>
        <w:t>。</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当模块单元生产需要多次浇筑时，应符合下列规定：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混凝土振捣应能使模具或模板内各个部位混凝土密实、均匀，不应漏振、欠振、过振；</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全预制</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color w:val="000000" w:themeColor="text1"/>
          <w:highlight w:val="none"/>
          <w:lang w:val="en-US" w:eastAsia="zh-CN"/>
          <w14:textFill>
            <w14:solidFill>
              <w14:schemeClr w14:val="tx1"/>
            </w14:solidFill>
          </w14:textFill>
        </w:rPr>
        <w:t>单元</w:t>
      </w:r>
      <w:r>
        <w:rPr>
          <w:rFonts w:hint="default" w:ascii="Times New Roman" w:hAnsi="Times New Roman" w:cs="Times New Roman"/>
          <w:color w:val="000000" w:themeColor="text1"/>
          <w:highlight w:val="none"/>
          <w14:textFill>
            <w14:solidFill>
              <w14:schemeClr w14:val="tx1"/>
            </w14:solidFill>
          </w14:textFill>
        </w:rPr>
        <w:t>混凝土振捣宜采用插入式振动棒、附着振动器或其他机械振捣</w:t>
      </w:r>
      <w:r>
        <w:rPr>
          <w:rFonts w:hint="default" w:ascii="Times New Roman" w:hAnsi="Times New Roman" w:cs="Times New Roman"/>
          <w:color w:val="000000" w:themeColor="text1"/>
          <w:highlight w:val="none"/>
          <w:lang w:val="en-US" w:eastAsia="zh-CN"/>
          <w14:textFill>
            <w14:solidFill>
              <w14:schemeClr w14:val="tx1"/>
            </w14:solidFill>
          </w14:textFill>
        </w:rPr>
        <w:t>相结合的</w:t>
      </w:r>
      <w:r>
        <w:rPr>
          <w:rFonts w:hint="default" w:ascii="Times New Roman" w:hAnsi="Times New Roman" w:cs="Times New Roman"/>
          <w:color w:val="000000" w:themeColor="text1"/>
          <w:highlight w:val="none"/>
          <w14:textFill>
            <w14:solidFill>
              <w14:schemeClr w14:val="tx1"/>
            </w14:solidFill>
          </w14:textFill>
        </w:rPr>
        <w:t>方式</w:t>
      </w:r>
      <w:r>
        <w:rPr>
          <w:rFonts w:hint="default" w:ascii="Times New Roman" w:hAnsi="Times New Roman" w:cs="Times New Roman"/>
          <w:color w:val="000000" w:themeColor="text1"/>
          <w:highlight w:val="none"/>
          <w:lang w:val="en-US" w:eastAsia="zh-CN"/>
          <w14:textFill>
            <w14:solidFill>
              <w14:schemeClr w14:val="tx1"/>
            </w14:solidFill>
          </w14:textFill>
        </w:rPr>
        <w:t>进行振捣</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叠合</w:t>
      </w:r>
      <w:r>
        <w:rPr>
          <w:rFonts w:hint="default" w:ascii="Times New Roman" w:hAnsi="Times New Roman" w:cs="Times New Roman"/>
          <w:color w:val="000000" w:themeColor="text1"/>
          <w:highlight w:val="none"/>
          <w14:textFill>
            <w14:solidFill>
              <w14:schemeClr w14:val="tx1"/>
            </w14:solidFill>
          </w14:textFill>
        </w:rPr>
        <w:t>模块单元</w:t>
      </w:r>
      <w:r>
        <w:rPr>
          <w:rFonts w:hint="default" w:ascii="Times New Roman" w:hAnsi="Times New Roman" w:cs="Times New Roman"/>
          <w:color w:val="000000" w:themeColor="text1"/>
          <w:highlight w:val="none"/>
          <w:lang w:val="en-US" w:eastAsia="zh-CN"/>
          <w14:textFill>
            <w14:solidFill>
              <w14:schemeClr w14:val="tx1"/>
            </w14:solidFill>
          </w14:textFill>
        </w:rPr>
        <w:t>的平板构件宜采用振动台、平板</w:t>
      </w:r>
      <w:r>
        <w:rPr>
          <w:rFonts w:hint="default" w:ascii="Times New Roman" w:hAnsi="Times New Roman" w:cs="Times New Roman"/>
          <w:color w:val="000000" w:themeColor="text1"/>
          <w:highlight w:val="none"/>
          <w14:textFill>
            <w14:solidFill>
              <w14:schemeClr w14:val="tx1"/>
            </w14:solidFill>
          </w14:textFill>
        </w:rPr>
        <w:t>平板振动器</w:t>
      </w:r>
      <w:r>
        <w:rPr>
          <w:rFonts w:hint="default" w:ascii="Times New Roman" w:hAnsi="Times New Roman" w:cs="Times New Roman"/>
          <w:color w:val="000000" w:themeColor="text1"/>
          <w:highlight w:val="none"/>
          <w:lang w:val="en-US" w:eastAsia="zh-CN"/>
          <w14:textFill>
            <w14:solidFill>
              <w14:schemeClr w14:val="tx1"/>
            </w14:solidFill>
          </w14:textFill>
        </w:rPr>
        <w:t>等方式进行振捣。</w:t>
      </w:r>
      <w:r>
        <w:rPr>
          <w:rFonts w:hint="default" w:ascii="Times New Roman" w:hAnsi="Times New Roman" w:cs="Times New Roman"/>
          <w:color w:val="000000" w:themeColor="text1"/>
          <w:highlight w:val="none"/>
          <w14:textFill>
            <w14:solidFill>
              <w14:schemeClr w14:val="tx1"/>
            </w14:solidFill>
          </w14:textFill>
        </w:rPr>
        <w:t>振捣方式和振捣设备应根据混凝土品种、工作性、模块预制部位的规格和形状等因素确定。</w:t>
      </w:r>
    </w:p>
    <w:p>
      <w:pPr>
        <w:ind w:firstLine="421" w:firstLineChars="20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混凝土浇筑振捣应采取防止模具、钢筋、预埋件及其定位件移位的措施。</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.5</w:t>
      </w:r>
      <w:r>
        <w:rPr>
          <w:rFonts w:hint="eastAsia"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叠合</w:t>
      </w:r>
      <w:r>
        <w:rPr>
          <w:rFonts w:hint="default" w:ascii="Times New Roman" w:hAnsi="Times New Roman" w:cs="Times New Roman"/>
          <w:color w:val="000000" w:themeColor="text1"/>
          <w:highlight w:val="none"/>
          <w14:textFill>
            <w14:solidFill>
              <w14:schemeClr w14:val="tx1"/>
            </w14:solidFill>
          </w14:textFill>
        </w:rPr>
        <w:t>模块单元</w:t>
      </w:r>
      <w:r>
        <w:rPr>
          <w:rFonts w:hint="default" w:ascii="Times New Roman" w:hAnsi="Times New Roman" w:cs="Times New Roman"/>
          <w:color w:val="000000" w:themeColor="text1"/>
          <w:highlight w:val="none"/>
          <w:lang w:val="en-US" w:eastAsia="zh-CN"/>
          <w14:textFill>
            <w14:solidFill>
              <w14:schemeClr w14:val="tx1"/>
            </w14:solidFill>
          </w14:textFill>
        </w:rPr>
        <w:t>拼装连接节点混凝土</w:t>
      </w:r>
      <w:r>
        <w:rPr>
          <w:rFonts w:hint="default" w:ascii="Times New Roman" w:hAnsi="Times New Roman" w:cs="Times New Roman"/>
          <w:color w:val="000000" w:themeColor="text1"/>
          <w:highlight w:val="none"/>
          <w14:textFill>
            <w14:solidFill>
              <w14:schemeClr w14:val="tx1"/>
            </w14:solidFill>
          </w14:textFill>
        </w:rPr>
        <w:t>浇筑时，应符合下列规定：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结合面应为粗糙面，并应清除浮浆、松动石子、软弱混凝土层；</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结合面处应洒水湿润，但不应有积水；</w:t>
      </w:r>
    </w:p>
    <w:p>
      <w:pPr>
        <w:ind w:firstLine="421"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后浇混凝土强度等级及性能应</w:t>
      </w:r>
      <w:r>
        <w:rPr>
          <w:rFonts w:hint="default" w:ascii="Times New Roman" w:hAnsi="Times New Roman" w:cs="Times New Roman"/>
          <w:color w:val="000000" w:themeColor="text1"/>
          <w:highlight w:val="none"/>
          <w:lang w:val="en-US" w:eastAsia="zh-CN"/>
          <w14:textFill>
            <w14:solidFill>
              <w14:schemeClr w14:val="tx1"/>
            </w14:solidFill>
          </w14:textFill>
        </w:rPr>
        <w:t>不低于叠合构件混凝土的设计强度</w:t>
      </w:r>
      <w:r>
        <w:rPr>
          <w:rFonts w:hint="default" w:ascii="Times New Roman" w:hAnsi="Times New Roman" w:cs="Times New Roman"/>
          <w:color w:val="000000" w:themeColor="text1"/>
          <w:highlight w:val="none"/>
          <w14:textFill>
            <w14:solidFill>
              <w14:schemeClr w14:val="tx1"/>
            </w14:solidFill>
          </w14:textFill>
        </w:rPr>
        <w:t>，宜采用</w:t>
      </w:r>
      <w:r>
        <w:rPr>
          <w:rFonts w:hint="default" w:ascii="Times New Roman" w:hAnsi="Times New Roman" w:cs="Times New Roman"/>
          <w:color w:val="000000" w:themeColor="text1"/>
          <w:highlight w:val="none"/>
          <w:lang w:val="en-US" w:eastAsia="zh-CN"/>
          <w14:textFill>
            <w14:solidFill>
              <w14:schemeClr w14:val="tx1"/>
            </w14:solidFill>
          </w14:textFill>
        </w:rPr>
        <w:t>无</w:t>
      </w:r>
      <w:r>
        <w:rPr>
          <w:rFonts w:hint="default" w:ascii="Times New Roman" w:hAnsi="Times New Roman" w:cs="Times New Roman"/>
          <w:color w:val="000000" w:themeColor="text1"/>
          <w:highlight w:val="none"/>
          <w14:textFill>
            <w14:solidFill>
              <w14:schemeClr w14:val="tx1"/>
            </w14:solidFill>
          </w14:textFill>
        </w:rPr>
        <w:t>收缩的技术措施。</w:t>
      </w:r>
      <w:r>
        <w:rPr>
          <w:rFonts w:hint="default" w:ascii="Times New Roman" w:hAnsi="Times New Roman" w:cs="Times New Roman"/>
          <w:color w:val="000000" w:themeColor="text1"/>
          <w:highlight w:val="none"/>
          <w:lang w:val="en-US" w:eastAsia="zh-CN"/>
          <w14:textFill>
            <w14:solidFill>
              <w14:schemeClr w14:val="tx1"/>
            </w14:solidFill>
          </w14:textFill>
        </w:rPr>
        <w:t>为提高拼结节点混凝土强度，可可采用高强灌浆料。</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b/>
          <w:color w:val="000000" w:themeColor="text1"/>
          <w:highlight w:val="none"/>
          <w14:textFill>
            <w14:solidFill>
              <w14:schemeClr w14:val="tx1"/>
            </w14:solidFill>
          </w14:textFill>
        </w:rPr>
        <w:t>8.</w:t>
      </w:r>
      <w:r>
        <w:rPr>
          <w:rFonts w:hint="default" w:ascii="Times New Roman" w:hAnsi="Times New Roman" w:eastAsia="黑体"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黑体"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color w:val="000000" w:themeColor="text1"/>
          <w:highlight w:val="none"/>
          <w:lang w:val="en-US" w:eastAsia="zh-CN"/>
          <w14:textFill>
            <w14:solidFill>
              <w14:schemeClr w14:val="tx1"/>
            </w14:solidFill>
          </w14:textFill>
        </w:rPr>
        <w:t>单元</w:t>
      </w:r>
      <w:r>
        <w:rPr>
          <w:rFonts w:hint="default" w:ascii="Times New Roman" w:hAnsi="Times New Roman" w:cs="Times New Roman"/>
          <w:color w:val="000000" w:themeColor="text1"/>
          <w:highlight w:val="none"/>
          <w14:textFill>
            <w14:solidFill>
              <w14:schemeClr w14:val="tx1"/>
            </w14:solidFill>
          </w14:textFill>
        </w:rPr>
        <w:t>粗糙面成型应符合下列规定：</w:t>
      </w:r>
    </w:p>
    <w:p>
      <w:pPr>
        <w:ind w:firstLine="421"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lang w:val="en-US" w:eastAsia="zh-CN"/>
          <w14:textFill>
            <w14:solidFill>
              <w14:schemeClr w14:val="tx1"/>
            </w14:solidFill>
          </w14:textFill>
        </w:rPr>
        <w:t>全预制</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color w:val="000000" w:themeColor="text1"/>
          <w:highlight w:val="none"/>
          <w:lang w:val="en-US" w:eastAsia="zh-CN"/>
          <w14:textFill>
            <w14:solidFill>
              <w14:schemeClr w14:val="tx1"/>
            </w14:solidFill>
          </w14:textFill>
        </w:rPr>
        <w:t>单元的连接部位</w:t>
      </w:r>
      <w:r>
        <w:rPr>
          <w:rFonts w:hint="default" w:ascii="Times New Roman" w:hAnsi="Times New Roman" w:cs="Times New Roman"/>
          <w:color w:val="000000" w:themeColor="text1"/>
          <w:highlight w:val="none"/>
          <w14:textFill>
            <w14:solidFill>
              <w14:schemeClr w14:val="tx1"/>
            </w14:solidFill>
          </w14:textFill>
        </w:rPr>
        <w:t>粗糙面</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宜</w:t>
      </w:r>
      <w:r>
        <w:rPr>
          <w:rFonts w:hint="default" w:ascii="Times New Roman" w:hAnsi="Times New Roman" w:cs="Times New Roman"/>
          <w:color w:val="000000" w:themeColor="text1"/>
          <w:highlight w:val="none"/>
          <w14:textFill>
            <w14:solidFill>
              <w14:schemeClr w14:val="tx1"/>
            </w14:solidFill>
          </w14:textFill>
        </w:rPr>
        <w:t>采用具有粗糙度的成品模板自成粗糙度工艺</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或采用在</w:t>
      </w:r>
      <w:r>
        <w:rPr>
          <w:rFonts w:hint="default" w:ascii="Times New Roman" w:hAnsi="Times New Roman" w:cs="Times New Roman"/>
          <w:color w:val="000000" w:themeColor="text1"/>
          <w:highlight w:val="none"/>
          <w14:textFill>
            <w14:solidFill>
              <w14:schemeClr w14:val="tx1"/>
            </w14:solidFill>
          </w14:textFill>
        </w:rPr>
        <w:t>模板面预涂缓凝剂工艺，</w:t>
      </w:r>
      <w:r>
        <w:rPr>
          <w:rFonts w:hint="default" w:ascii="Times New Roman" w:hAnsi="Times New Roman" w:cs="Times New Roman"/>
          <w:color w:val="000000" w:themeColor="text1"/>
          <w:highlight w:val="none"/>
          <w:lang w:val="en-US" w:eastAsia="zh-CN"/>
          <w14:textFill>
            <w14:solidFill>
              <w14:schemeClr w14:val="tx1"/>
            </w14:solidFill>
          </w14:textFill>
        </w:rPr>
        <w:t>在模块单元脱模后，</w:t>
      </w:r>
      <w:r>
        <w:rPr>
          <w:rFonts w:hint="default" w:ascii="Times New Roman" w:hAnsi="Times New Roman" w:cs="Times New Roman"/>
          <w:color w:val="000000" w:themeColor="text1"/>
          <w:highlight w:val="none"/>
          <w14:textFill>
            <w14:solidFill>
              <w14:schemeClr w14:val="tx1"/>
            </w14:solidFill>
          </w14:textFill>
        </w:rPr>
        <w:t>采用高压水冲洗露出</w:t>
      </w:r>
      <w:r>
        <w:rPr>
          <w:rFonts w:hint="default" w:ascii="Times New Roman" w:hAnsi="Times New Roman" w:cs="Times New Roman"/>
          <w:color w:val="000000" w:themeColor="text1"/>
          <w:highlight w:val="none"/>
          <w:lang w:val="en-US" w:eastAsia="zh-CN"/>
          <w14:textFill>
            <w14:solidFill>
              <w14:schemeClr w14:val="tx1"/>
            </w14:solidFill>
          </w14:textFill>
        </w:rPr>
        <w:t>骨料形成粗糙面。</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lang w:val="en-US" w:eastAsia="zh-CN"/>
          <w14:textFill>
            <w14:solidFill>
              <w14:schemeClr w14:val="tx1"/>
            </w14:solidFill>
          </w14:textFill>
        </w:rPr>
        <w:t>叠合模块单元的组成构件，叠合墙、叠合板的叠合面宜采用拉毛工艺成型粗糙面；叠合梁及构件的连接节点部位，宜采用在</w:t>
      </w:r>
      <w:r>
        <w:rPr>
          <w:rFonts w:hint="default" w:ascii="Times New Roman" w:hAnsi="Times New Roman" w:cs="Times New Roman"/>
          <w:color w:val="000000" w:themeColor="text1"/>
          <w:highlight w:val="none"/>
          <w14:textFill>
            <w14:solidFill>
              <w14:schemeClr w14:val="tx1"/>
            </w14:solidFill>
          </w14:textFill>
        </w:rPr>
        <w:t>模板面预涂缓凝剂</w:t>
      </w:r>
      <w:r>
        <w:rPr>
          <w:rFonts w:hint="default" w:ascii="Times New Roman" w:hAnsi="Times New Roman" w:cs="Times New Roman"/>
          <w:color w:val="000000" w:themeColor="text1"/>
          <w:highlight w:val="none"/>
          <w:lang w:val="en-US" w:eastAsia="zh-CN"/>
          <w14:textFill>
            <w14:solidFill>
              <w14:schemeClr w14:val="tx1"/>
            </w14:solidFill>
          </w14:textFill>
        </w:rPr>
        <w:t>洗水工艺成型粗糙面。</w:t>
      </w:r>
      <w:r>
        <w:rPr>
          <w:rFonts w:hint="default" w:ascii="Times New Roman" w:hAnsi="Times New Roman" w:cs="Times New Roman"/>
          <w:color w:val="000000" w:themeColor="text1"/>
          <w:highlight w:val="none"/>
          <w14:textFill>
            <w14:solidFill>
              <w14:schemeClr w14:val="tx1"/>
            </w14:solidFill>
          </w14:textFill>
        </w:rPr>
        <w:t>模块粗糙面也</w:t>
      </w:r>
      <w:r>
        <w:rPr>
          <w:rFonts w:hint="default" w:ascii="Times New Roman" w:hAnsi="Times New Roman" w:cs="Times New Roman"/>
          <w:color w:val="000000" w:themeColor="text1"/>
          <w:highlight w:val="none"/>
          <w:lang w:val="en-US" w:eastAsia="zh-CN"/>
          <w14:textFill>
            <w14:solidFill>
              <w14:schemeClr w14:val="tx1"/>
            </w14:solidFill>
          </w14:textFill>
        </w:rPr>
        <w:t>宜</w:t>
      </w:r>
      <w:r>
        <w:rPr>
          <w:rFonts w:hint="default" w:ascii="Times New Roman" w:hAnsi="Times New Roman" w:cs="Times New Roman"/>
          <w:color w:val="000000" w:themeColor="text1"/>
          <w:highlight w:val="none"/>
          <w14:textFill>
            <w14:solidFill>
              <w14:schemeClr w14:val="tx1"/>
            </w14:solidFill>
          </w14:textFill>
        </w:rPr>
        <w:t>在混凝土初凝前进行拉毛处理。</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lang w:val="en-US" w:eastAsia="zh-CN"/>
          <w14:textFill>
            <w14:solidFill>
              <w14:schemeClr w14:val="tx1"/>
            </w14:solidFill>
          </w14:textFill>
        </w:rPr>
        <w:t>拉毛工艺成型粗糙面宜</w:t>
      </w:r>
      <w:r>
        <w:rPr>
          <w:rFonts w:hint="default" w:ascii="Times New Roman" w:hAnsi="Times New Roman" w:cs="Times New Roman"/>
          <w:color w:val="000000" w:themeColor="text1"/>
          <w:highlight w:val="none"/>
          <w14:textFill>
            <w14:solidFill>
              <w14:schemeClr w14:val="tx1"/>
            </w14:solidFill>
          </w14:textFill>
        </w:rPr>
        <w:t>在混凝土初凝前进行拉毛处理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预涂缓凝剂</w:t>
      </w:r>
      <w:r>
        <w:rPr>
          <w:rFonts w:hint="default" w:ascii="Times New Roman" w:hAnsi="Times New Roman" w:cs="Times New Roman"/>
          <w:color w:val="000000" w:themeColor="text1"/>
          <w:highlight w:val="none"/>
          <w:lang w:val="en-US" w:eastAsia="zh-CN"/>
          <w14:textFill>
            <w14:solidFill>
              <w14:schemeClr w14:val="tx1"/>
            </w14:solidFill>
          </w14:textFill>
        </w:rPr>
        <w:t>洗水工艺成型粗糙面宜在缓凝剂有效缓凝时效内冲洗，保证</w:t>
      </w:r>
      <w:r>
        <w:rPr>
          <w:rFonts w:hint="default" w:ascii="Times New Roman" w:hAnsi="Times New Roman" w:cs="Times New Roman"/>
          <w:color w:val="000000" w:themeColor="text1"/>
          <w:szCs w:val="24"/>
          <w:highlight w:val="none"/>
          <w14:textFill>
            <w14:solidFill>
              <w14:schemeClr w14:val="tx1"/>
            </w14:solidFill>
          </w14:textFill>
        </w:rPr>
        <w:t>粗糙度符合设计文件及国家现行有关标准的规定。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 xml:space="preserve">.7  </w:t>
      </w:r>
      <w:r>
        <w:rPr>
          <w:rFonts w:hint="default" w:ascii="Times New Roman" w:hAnsi="Times New Roman" w:cs="Times New Roman"/>
          <w:color w:val="000000" w:themeColor="text1"/>
          <w:highlight w:val="none"/>
          <w14:textFill>
            <w14:solidFill>
              <w14:schemeClr w14:val="tx1"/>
            </w14:solidFill>
          </w14:textFill>
        </w:rPr>
        <w:t>模块单元养护宜根据模块特点和生产任务量选择适宜的养护方式。</w:t>
      </w:r>
      <w:r>
        <w:rPr>
          <w:rFonts w:hint="default" w:ascii="Times New Roman" w:hAnsi="Times New Roman" w:cs="Times New Roman"/>
          <w:color w:val="000000" w:themeColor="text1"/>
          <w:highlight w:val="none"/>
          <w:lang w:val="en-US" w:eastAsia="zh-CN"/>
          <w14:textFill>
            <w14:solidFill>
              <w14:schemeClr w14:val="tx1"/>
            </w14:solidFill>
          </w14:textFill>
        </w:rPr>
        <w:t>脱模前宜采用覆盖保湿自然养护，工期紧时，宜采用蒸汽养护；脱模后，应进行淋水养护，养护期不少于7天。</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 xml:space="preserve">.8  </w:t>
      </w:r>
      <w:r>
        <w:rPr>
          <w:rFonts w:hint="default" w:ascii="Times New Roman" w:hAnsi="Times New Roman" w:cs="Times New Roman"/>
          <w:color w:val="000000" w:themeColor="text1"/>
          <w:highlight w:val="none"/>
          <w14:textFill>
            <w14:solidFill>
              <w14:schemeClr w14:val="tx1"/>
            </w14:solidFill>
          </w14:textFill>
        </w:rPr>
        <w:t>模块单元脱模起吊时，应符合下列规定：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全预制</w:t>
      </w:r>
      <w:r>
        <w:rPr>
          <w:rFonts w:hint="default" w:ascii="Times New Roman" w:hAnsi="Times New Roman" w:cs="Times New Roman"/>
          <w:color w:val="000000" w:themeColor="text1"/>
          <w:highlight w:val="none"/>
          <w14:textFill>
            <w14:solidFill>
              <w14:schemeClr w14:val="tx1"/>
            </w14:solidFill>
          </w14:textFill>
        </w:rPr>
        <w:t>模块单元脱模</w:t>
      </w:r>
      <w:r>
        <w:rPr>
          <w:rFonts w:hint="default" w:ascii="Times New Roman" w:hAnsi="Times New Roman" w:cs="Times New Roman"/>
          <w:color w:val="000000" w:themeColor="text1"/>
          <w:highlight w:val="none"/>
          <w:lang w:val="en-US" w:eastAsia="zh-CN"/>
          <w14:textFill>
            <w14:solidFill>
              <w14:schemeClr w14:val="tx1"/>
            </w14:solidFill>
          </w14:textFill>
        </w:rPr>
        <w:t>起吊，</w:t>
      </w:r>
      <w:r>
        <w:rPr>
          <w:rFonts w:hint="default" w:ascii="Times New Roman" w:hAnsi="Times New Roman" w:cs="Times New Roman"/>
          <w:color w:val="000000" w:themeColor="text1"/>
          <w:highlight w:val="none"/>
          <w14:textFill>
            <w14:solidFill>
              <w14:schemeClr w14:val="tx1"/>
            </w14:solidFill>
          </w14:textFill>
        </w:rPr>
        <w:t>混凝土强度应经设计验算确定</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且强度不低于20MPa。</w:t>
      </w:r>
    </w:p>
    <w:p>
      <w:pPr>
        <w:ind w:firstLine="421"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叠合模块单元起吊，拼装连接节点混凝土强度不低于30MPa。</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对于设有门洞、窗洞等较大洞口的模块单元，脱模起吊时应进行加固；</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模块单元的脱模起吊应采用平衡吊架。</w:t>
      </w:r>
    </w:p>
    <w:p>
      <w:pP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szCs w:val="24"/>
          <w:highlight w:val="none"/>
          <w14:textFill>
            <w14:solidFill>
              <w14:schemeClr w14:val="tx1"/>
            </w14:solidFill>
          </w14:textFill>
        </w:rPr>
        <w:t xml:space="preserve">.9  </w:t>
      </w:r>
      <w:r>
        <w:rPr>
          <w:rFonts w:hint="default" w:ascii="Times New Roman" w:hAnsi="Times New Roman" w:cs="Times New Roman"/>
          <w:color w:val="000000" w:themeColor="text1"/>
          <w:szCs w:val="24"/>
          <w:highlight w:val="none"/>
          <w14:textFill>
            <w14:solidFill>
              <w14:schemeClr w14:val="tx1"/>
            </w14:solidFill>
          </w14:textFill>
        </w:rPr>
        <w:t>混凝土强度检查数量与检验方法应符合现行国家标准《混凝土强度检验评定标准》GB/T 50107有关规定。</w:t>
      </w:r>
    </w:p>
    <w:p>
      <w:pP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szCs w:val="24"/>
          <w:highlight w:val="none"/>
          <w:lang w:val="en-US" w:eastAsia="zh-CN"/>
          <w14:textFill>
            <w14:solidFill>
              <w14:schemeClr w14:val="tx1"/>
            </w14:solidFill>
          </w14:textFill>
        </w:rPr>
        <w:t>4</w:t>
      </w:r>
      <w:r>
        <w:rPr>
          <w:rFonts w:hint="default" w:ascii="Times New Roman" w:hAnsi="Times New Roman" w:cs="Times New Roman"/>
          <w:b/>
          <w:color w:val="000000" w:themeColor="text1"/>
          <w:szCs w:val="24"/>
          <w:highlight w:val="none"/>
          <w14:textFill>
            <w14:solidFill>
              <w14:schemeClr w14:val="tx1"/>
            </w14:solidFill>
          </w14:textFill>
        </w:rPr>
        <w:t xml:space="preserve">.10  </w:t>
      </w:r>
      <w:r>
        <w:rPr>
          <w:rFonts w:hint="default" w:ascii="Times New Roman" w:hAnsi="Times New Roman" w:cs="Times New Roman"/>
          <w:bCs/>
          <w:color w:val="000000" w:themeColor="text1"/>
          <w:szCs w:val="24"/>
          <w:highlight w:val="none"/>
          <w14:textFill>
            <w14:solidFill>
              <w14:schemeClr w14:val="tx1"/>
            </w14:solidFill>
          </w14:textFill>
        </w:rPr>
        <w:t>模块构件组装的钢筋连接部位施工，应符合现行国家标准《混凝土结构工程施工规范》GB50666相关规定。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szCs w:val="24"/>
          <w:highlight w:val="none"/>
          <w:lang w:val="en-US" w:eastAsia="zh-CN"/>
          <w14:textFill>
            <w14:solidFill>
              <w14:schemeClr w14:val="tx1"/>
            </w14:solidFill>
          </w14:textFill>
        </w:rPr>
        <w:t>4</w:t>
      </w:r>
      <w:r>
        <w:rPr>
          <w:rFonts w:hint="default" w:ascii="Times New Roman" w:hAnsi="Times New Roman" w:cs="Times New Roman"/>
          <w:b/>
          <w:color w:val="000000" w:themeColor="text1"/>
          <w:szCs w:val="24"/>
          <w:highlight w:val="none"/>
          <w14:textFill>
            <w14:solidFill>
              <w14:schemeClr w14:val="tx1"/>
            </w14:solidFill>
          </w14:textFill>
        </w:rPr>
        <w:t>.1</w:t>
      </w:r>
      <w:r>
        <w:rPr>
          <w:rFonts w:hint="default" w:ascii="Times New Roman" w:hAnsi="Times New Roman" w:cs="Times New Roman"/>
          <w:b/>
          <w:color w:val="000000" w:themeColor="text1"/>
          <w:szCs w:val="24"/>
          <w:highlight w:val="none"/>
          <w:lang w:val="en-US" w:eastAsia="zh-CN"/>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灌浆料性能试验方法应符合现行</w:t>
      </w:r>
      <w:r>
        <w:rPr>
          <w:rFonts w:hint="default" w:ascii="Times New Roman" w:hAnsi="Times New Roman" w:cs="Times New Roman"/>
          <w:color w:val="000000" w:themeColor="text1"/>
          <w:highlight w:val="none"/>
          <w:lang w:val="en-US" w:eastAsia="zh-CN"/>
          <w14:textFill>
            <w14:solidFill>
              <w14:schemeClr w14:val="tx1"/>
            </w14:solidFill>
          </w14:textFill>
        </w:rPr>
        <w:t>国家</w:t>
      </w:r>
      <w:r>
        <w:rPr>
          <w:rFonts w:hint="default" w:ascii="Times New Roman" w:hAnsi="Times New Roman" w:cs="Times New Roman"/>
          <w:color w:val="000000" w:themeColor="text1"/>
          <w:highlight w:val="none"/>
          <w14:textFill>
            <w14:solidFill>
              <w14:schemeClr w14:val="tx1"/>
            </w14:solidFill>
          </w14:textFill>
        </w:rPr>
        <w:t>标准《水泥基灌浆材料应用技术规范》GB/T 50448的</w:t>
      </w:r>
      <w:r>
        <w:rPr>
          <w:rFonts w:hint="default" w:ascii="Times New Roman" w:hAnsi="Times New Roman" w:cs="Times New Roman"/>
          <w:bCs/>
          <w:color w:val="000000" w:themeColor="text1"/>
          <w:szCs w:val="24"/>
          <w:highlight w:val="none"/>
          <w14:textFill>
            <w14:solidFill>
              <w14:schemeClr w14:val="tx1"/>
            </w14:solidFill>
          </w14:textFill>
        </w:rPr>
        <w:t>相关规定</w:t>
      </w:r>
      <w:r>
        <w:rPr>
          <w:rFonts w:hint="default" w:ascii="Times New Roman" w:hAnsi="Times New Roman" w:cs="Times New Roman"/>
          <w:color w:val="000000" w:themeColor="text1"/>
          <w:highlight w:val="none"/>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37" w:name="_Toc5080"/>
      <w:bookmarkStart w:id="938" w:name="_Toc25057"/>
      <w:bookmarkStart w:id="939" w:name="_Toc26094"/>
      <w:bookmarkStart w:id="940" w:name="_Toc20996"/>
      <w:bookmarkStart w:id="941" w:name="_Toc19984"/>
      <w:bookmarkStart w:id="942" w:name="_Toc25928"/>
      <w:bookmarkStart w:id="943" w:name="_Toc21309"/>
      <w:bookmarkStart w:id="944" w:name="_Toc24564"/>
      <w:bookmarkStart w:id="945" w:name="_Toc1539"/>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吊</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运</w:t>
      </w:r>
      <w:r>
        <w:rPr>
          <w:rFonts w:hint="default" w:ascii="Times New Roman" w:hAnsi="Times New Roman" w:eastAsia="黑体" w:cs="Times New Roman"/>
          <w:color w:val="000000" w:themeColor="text1"/>
          <w:sz w:val="24"/>
          <w:szCs w:val="24"/>
          <w:highlight w:val="none"/>
          <w14:textFill>
            <w14:solidFill>
              <w14:schemeClr w14:val="tx1"/>
            </w14:solidFill>
          </w14:textFill>
        </w:rPr>
        <w:t>、存放</w:t>
      </w:r>
      <w:bookmarkEnd w:id="937"/>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5</w:t>
      </w: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模块单元吊运</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图8.5.1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吊具和起重设备应根据模块的形状、尺寸、重量和作业半径等要求确定，并应符合国家现行有关标准及产品应用技术手册的规定；</w:t>
      </w:r>
    </w:p>
    <w:p>
      <w:pPr>
        <w:ind w:firstLine="421"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模块单元吊运应采用符合承载力的平衡吊架。吊架与模块之间</w:t>
      </w:r>
      <w:r>
        <w:rPr>
          <w:rFonts w:hint="default" w:ascii="Times New Roman" w:hAnsi="Times New Roman" w:cs="Times New Roman"/>
          <w:color w:val="000000" w:themeColor="text1"/>
          <w:highlight w:val="none"/>
          <w:lang w:val="en-US" w:eastAsia="zh-CN"/>
          <w14:textFill>
            <w14:solidFill>
              <w14:schemeClr w14:val="tx1"/>
            </w14:solidFill>
          </w14:textFill>
        </w:rPr>
        <w:t>的吊索具可采用手拉</w:t>
      </w:r>
      <w:r>
        <w:rPr>
          <w:rFonts w:hint="default" w:ascii="Times New Roman" w:hAnsi="Times New Roman" w:cs="Times New Roman"/>
          <w:color w:val="000000" w:themeColor="text1"/>
          <w:highlight w:val="none"/>
          <w14:textFill>
            <w14:solidFill>
              <w14:schemeClr w14:val="tx1"/>
            </w14:solidFill>
          </w14:textFill>
        </w:rPr>
        <w:t>葫芦</w:t>
      </w:r>
      <w:r>
        <w:rPr>
          <w:rFonts w:hint="default" w:ascii="Times New Roman" w:hAnsi="Times New Roman" w:cs="Times New Roman"/>
          <w:color w:val="000000" w:themeColor="text1"/>
          <w:highlight w:val="none"/>
          <w:lang w:val="en-US" w:eastAsia="zh-CN"/>
          <w14:textFill>
            <w14:solidFill>
              <w14:schemeClr w14:val="tx1"/>
            </w14:solidFill>
          </w14:textFill>
        </w:rPr>
        <w:t>方式调整长短，以保证模块水平起吊；</w:t>
      </w:r>
    </w:p>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1653540" cy="1689100"/>
            <wp:effectExtent l="0" t="0" r="3810" b="635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31"/>
                    <a:stretch>
                      <a:fillRect/>
                    </a:stretch>
                  </pic:blipFill>
                  <pic:spPr>
                    <a:xfrm>
                      <a:off x="0" y="0"/>
                      <a:ext cx="1653540" cy="1689100"/>
                    </a:xfrm>
                    <a:prstGeom prst="rect">
                      <a:avLst/>
                    </a:prstGeom>
                    <a:noFill/>
                    <a:ln>
                      <a:noFill/>
                    </a:ln>
                  </pic:spPr>
                </pic:pic>
              </a:graphicData>
            </a:graphic>
          </wp:inline>
        </w:drawing>
      </w:r>
    </w:p>
    <w:p>
      <w:pPr>
        <w:jc w:val="center"/>
        <w:rPr>
          <w:rFonts w:hint="default" w:ascii="Times New Roman" w:hAnsi="Times New Roman" w:eastAsia="黑体" w:cs="Times New Roman"/>
          <w:color w:val="000000" w:themeColor="text1"/>
          <w:sz w:val="18"/>
          <w:szCs w:val="20"/>
          <w:highlight w:val="none"/>
          <w14:textFill>
            <w14:solidFill>
              <w14:schemeClr w14:val="tx1"/>
            </w14:solidFill>
          </w14:textFill>
        </w:rPr>
      </w:pPr>
      <w:r>
        <w:rPr>
          <w:rFonts w:hint="default" w:ascii="Times New Roman" w:hAnsi="Times New Roman" w:eastAsia="黑体" w:cs="Times New Roman"/>
          <w:color w:val="000000" w:themeColor="text1"/>
          <w:sz w:val="18"/>
          <w:szCs w:val="20"/>
          <w:highlight w:val="none"/>
          <w14:textFill>
            <w14:solidFill>
              <w14:schemeClr w14:val="tx1"/>
            </w14:solidFill>
          </w14:textFill>
        </w:rPr>
        <w:t>图</w:t>
      </w:r>
      <w:r>
        <w:rPr>
          <w:rFonts w:hint="default" w:ascii="Times New Roman" w:hAnsi="Times New Roman" w:eastAsia="黑体" w:cs="Times New Roman"/>
          <w:b/>
          <w:color w:val="000000" w:themeColor="text1"/>
          <w:sz w:val="18"/>
          <w:szCs w:val="20"/>
          <w:highlight w:val="none"/>
          <w14:textFill>
            <w14:solidFill>
              <w14:schemeClr w14:val="tx1"/>
            </w14:solidFill>
          </w14:textFill>
        </w:rPr>
        <w:t>8.</w:t>
      </w:r>
      <w:r>
        <w:rPr>
          <w:rFonts w:hint="default" w:ascii="Times New Roman" w:hAnsi="Times New Roman" w:eastAsia="黑体" w:cs="Times New Roman"/>
          <w:b/>
          <w:color w:val="000000" w:themeColor="text1"/>
          <w:sz w:val="18"/>
          <w:szCs w:val="20"/>
          <w:highlight w:val="none"/>
          <w:lang w:val="en-US" w:eastAsia="zh-CN"/>
          <w14:textFill>
            <w14:solidFill>
              <w14:schemeClr w14:val="tx1"/>
            </w14:solidFill>
          </w14:textFill>
        </w:rPr>
        <w:t>5</w:t>
      </w:r>
      <w:r>
        <w:rPr>
          <w:rFonts w:hint="default" w:ascii="Times New Roman" w:hAnsi="Times New Roman" w:eastAsia="黑体" w:cs="Times New Roman"/>
          <w:b/>
          <w:color w:val="000000" w:themeColor="text1"/>
          <w:sz w:val="18"/>
          <w:szCs w:val="20"/>
          <w:highlight w:val="none"/>
          <w14:textFill>
            <w14:solidFill>
              <w14:schemeClr w14:val="tx1"/>
            </w14:solidFill>
          </w14:textFill>
        </w:rPr>
        <w:t xml:space="preserve">.1 </w:t>
      </w:r>
      <w:r>
        <w:rPr>
          <w:rFonts w:hint="default" w:ascii="Times New Roman" w:hAnsi="Times New Roman" w:eastAsia="黑体" w:cs="Times New Roman"/>
          <w:color w:val="000000" w:themeColor="text1"/>
          <w:sz w:val="18"/>
          <w:szCs w:val="20"/>
          <w:highlight w:val="none"/>
          <w14:textFill>
            <w14:solidFill>
              <w14:schemeClr w14:val="tx1"/>
            </w14:solidFill>
          </w14:textFill>
        </w:rPr>
        <w:t>模块单元吊装示意图</w:t>
      </w:r>
    </w:p>
    <w:p>
      <w:pPr>
        <w:pStyle w:val="45"/>
        <w:ind w:left="0" w:firstLine="0" w:firstLineChars="0"/>
        <w:jc w:val="center"/>
        <w:rPr>
          <w:rFonts w:hint="default" w:ascii="Times New Roman" w:hAnsi="Times New Roman" w:eastAsia="黑体" w:cs="Times New Roman"/>
          <w:color w:val="000000" w:themeColor="text1"/>
          <w:sz w:val="18"/>
          <w:szCs w:val="20"/>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t>1-</w:t>
      </w:r>
      <w:r>
        <w:rPr>
          <w:rFonts w:hint="default" w:ascii="Times New Roman" w:hAnsi="Times New Roman" w:eastAsia="黑体" w:cs="Times New Roman"/>
          <w:b w:val="0"/>
          <w:bCs w:val="0"/>
          <w:color w:val="000000" w:themeColor="text1"/>
          <w:sz w:val="18"/>
          <w:szCs w:val="18"/>
          <w:highlight w:val="none"/>
          <w:lang w:val="en-US" w:eastAsia="zh-CN"/>
          <w14:textFill>
            <w14:solidFill>
              <w14:schemeClr w14:val="tx1"/>
            </w14:solidFill>
          </w14:textFill>
        </w:rPr>
        <w:t>吊链</w:t>
      </w:r>
      <w: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t>；2-</w:t>
      </w:r>
      <w:r>
        <w:rPr>
          <w:rFonts w:hint="default" w:ascii="Times New Roman" w:hAnsi="Times New Roman" w:eastAsia="黑体" w:cs="Times New Roman"/>
          <w:b w:val="0"/>
          <w:bCs w:val="0"/>
          <w:color w:val="000000" w:themeColor="text1"/>
          <w:sz w:val="18"/>
          <w:szCs w:val="18"/>
          <w:highlight w:val="none"/>
          <w:lang w:val="en-US" w:eastAsia="zh-CN"/>
          <w14:textFill>
            <w14:solidFill>
              <w14:schemeClr w14:val="tx1"/>
            </w14:solidFill>
          </w14:textFill>
        </w:rPr>
        <w:t>吊架</w:t>
      </w:r>
      <w: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t>；3-</w:t>
      </w:r>
      <w:r>
        <w:rPr>
          <w:rFonts w:hint="default" w:ascii="Times New Roman" w:hAnsi="Times New Roman" w:eastAsia="黑体" w:cs="Times New Roman"/>
          <w:b w:val="0"/>
          <w:bCs w:val="0"/>
          <w:color w:val="000000" w:themeColor="text1"/>
          <w:sz w:val="18"/>
          <w:szCs w:val="18"/>
          <w:highlight w:val="none"/>
          <w:lang w:val="en-US" w:eastAsia="zh-CN"/>
          <w14:textFill>
            <w14:solidFill>
              <w14:schemeClr w14:val="tx1"/>
            </w14:solidFill>
          </w14:textFill>
        </w:rPr>
        <w:t>葫芦</w:t>
      </w:r>
      <w:r>
        <w:rPr>
          <w:rFonts w:hint="default" w:ascii="Times New Roman" w:hAnsi="Times New Roman" w:eastAsia="黑体" w:cs="Times New Roman"/>
          <w:b w:val="0"/>
          <w:bCs w:val="0"/>
          <w:color w:val="000000" w:themeColor="text1"/>
          <w:sz w:val="18"/>
          <w:szCs w:val="18"/>
          <w:highlight w:val="none"/>
          <w14:textFill>
            <w14:solidFill>
              <w14:schemeClr w14:val="tx1"/>
            </w14:solidFill>
          </w14:textFill>
        </w:rPr>
        <w:t>；4-</w:t>
      </w:r>
      <w:r>
        <w:rPr>
          <w:rFonts w:hint="default" w:ascii="Times New Roman" w:hAnsi="Times New Roman" w:eastAsia="黑体" w:cs="Times New Roman"/>
          <w:b w:val="0"/>
          <w:bCs w:val="0"/>
          <w:color w:val="000000" w:themeColor="text1"/>
          <w:sz w:val="18"/>
          <w:szCs w:val="18"/>
          <w:highlight w:val="none"/>
          <w:lang w:val="en-US" w:eastAsia="zh-CN"/>
          <w14:textFill>
            <w14:solidFill>
              <w14:schemeClr w14:val="tx1"/>
            </w14:solidFill>
          </w14:textFill>
        </w:rPr>
        <w:t>吊钉或吊钩</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吊点数量、位置应经计算确定，应保证吊具连接可靠，应保证起重设备的主钩位置、吊具及构件重心在竖直方向上重合；</w:t>
      </w:r>
    </w:p>
    <w:p>
      <w:pPr>
        <w:ind w:firstLine="421"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lang w:val="en-US" w:eastAsia="zh-CN"/>
          <w14:textFill>
            <w14:solidFill>
              <w14:schemeClr w14:val="tx1"/>
            </w14:solidFill>
          </w14:textFill>
        </w:rPr>
        <w:t>吊具上部</w:t>
      </w:r>
      <w:r>
        <w:rPr>
          <w:rFonts w:hint="default" w:ascii="Times New Roman" w:hAnsi="Times New Roman" w:cs="Times New Roman"/>
          <w:color w:val="000000" w:themeColor="text1"/>
          <w:highlight w:val="none"/>
          <w14:textFill>
            <w14:solidFill>
              <w14:schemeClr w14:val="tx1"/>
            </w14:solidFill>
          </w14:textFill>
        </w:rPr>
        <w:t>吊</w:t>
      </w:r>
      <w:r>
        <w:rPr>
          <w:rFonts w:hint="default" w:ascii="Times New Roman" w:hAnsi="Times New Roman" w:cs="Times New Roman"/>
          <w:color w:val="000000" w:themeColor="text1"/>
          <w:highlight w:val="none"/>
          <w:lang w:val="en-US" w:eastAsia="zh-CN"/>
          <w14:textFill>
            <w14:solidFill>
              <w14:schemeClr w14:val="tx1"/>
            </w14:solidFill>
          </w14:textFill>
        </w:rPr>
        <w:t>链</w:t>
      </w:r>
      <w:r>
        <w:rPr>
          <w:rFonts w:hint="default" w:ascii="Times New Roman" w:hAnsi="Times New Roman" w:cs="Times New Roman"/>
          <w:color w:val="000000" w:themeColor="text1"/>
          <w:highlight w:val="none"/>
          <w14:textFill>
            <w14:solidFill>
              <w14:schemeClr w14:val="tx1"/>
            </w14:solidFill>
          </w14:textFill>
        </w:rPr>
        <w:t>水平夹角不宜小于60°，不应小于45°；</w:t>
      </w:r>
      <w:r>
        <w:rPr>
          <w:rFonts w:hint="default" w:ascii="Times New Roman" w:hAnsi="Times New Roman" w:cs="Times New Roman"/>
          <w:color w:val="000000" w:themeColor="text1"/>
          <w:highlight w:val="none"/>
          <w:lang w:val="en-US" w:eastAsia="zh-CN"/>
          <w14:textFill>
            <w14:solidFill>
              <w14:schemeClr w14:val="tx1"/>
            </w14:solidFill>
          </w14:textFill>
        </w:rPr>
        <w:t>吊具下部吊链</w:t>
      </w:r>
      <w:r>
        <w:rPr>
          <w:rFonts w:hint="default" w:ascii="Times New Roman" w:hAnsi="Times New Roman" w:cs="Times New Roman"/>
          <w:color w:val="000000" w:themeColor="text1"/>
          <w:highlight w:val="none"/>
          <w14:textFill>
            <w14:solidFill>
              <w14:schemeClr w14:val="tx1"/>
            </w14:solidFill>
          </w14:textFill>
        </w:rPr>
        <w:t>水平夹角不宜小于</w:t>
      </w:r>
      <w:r>
        <w:rPr>
          <w:rFonts w:hint="default" w:ascii="Times New Roman" w:hAnsi="Times New Roman" w:cs="Times New Roman"/>
          <w:color w:val="000000" w:themeColor="text1"/>
          <w:highlight w:val="none"/>
          <w:lang w:val="en-US" w:eastAsia="zh-CN"/>
          <w14:textFill>
            <w14:solidFill>
              <w14:schemeClr w14:val="tx1"/>
            </w14:solidFill>
          </w14:textFill>
        </w:rPr>
        <w:t>85</w:t>
      </w:r>
      <w:r>
        <w:rPr>
          <w:rFonts w:hint="default" w:ascii="Times New Roman" w:hAnsi="Times New Roman" w:cs="Times New Roman"/>
          <w:color w:val="000000" w:themeColor="text1"/>
          <w:highlight w:val="none"/>
          <w14:textFill>
            <w14:solidFill>
              <w14:schemeClr w14:val="tx1"/>
            </w14:solidFill>
          </w14:textFill>
        </w:rPr>
        <w:t>°，不应小于</w:t>
      </w:r>
      <w:r>
        <w:rPr>
          <w:rFonts w:hint="default" w:ascii="Times New Roman" w:hAnsi="Times New Roman" w:cs="Times New Roman"/>
          <w:color w:val="000000" w:themeColor="text1"/>
          <w:highlight w:val="none"/>
          <w:lang w:val="en-US" w:eastAsia="zh-CN"/>
          <w14:textFill>
            <w14:solidFill>
              <w14:schemeClr w14:val="tx1"/>
            </w14:solidFill>
          </w14:textFill>
        </w:rPr>
        <w:t>75</w:t>
      </w:r>
      <w:r>
        <w:rPr>
          <w:rFonts w:hint="default" w:ascii="Times New Roman" w:hAnsi="Times New Roman" w:cs="Times New Roman"/>
          <w:color w:val="000000" w:themeColor="text1"/>
          <w:highlight w:val="none"/>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模块吊运应采用慢起、稳升、缓放的操作方式，吊运过程，应保持稳定，不得偏斜、摇摆和扭转，严禁吊装构件长时间悬停在空中；</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应采取避免混凝土模块变形和损伤的临时加固措施。</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5</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混凝土模块存放应符合下列规定：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存放场地应平整、坚实，并应有排水措施；</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存放库区宜实行分区管理和信息化台账管理；</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对储存场地进行规划设计，考虑模块吊重、吊装及出货检查预留一定纵横向间距；</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模块应按照一定产品品种、规格型号、检验状态分类存放，产品标识应准确、清晰、明显；</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模块底部垫块支点位置应合理布置，支点宜与起吊点位置一致；对于跨度较大的模块，底部垫块支点做法应进行深化设计出具方案；</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若模块后续进行装修，垫块应进行调平，确保模块装修前放置水平；</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7  </w:t>
      </w:r>
      <w:r>
        <w:rPr>
          <w:rFonts w:hint="default" w:ascii="Times New Roman" w:hAnsi="Times New Roman" w:cs="Times New Roman"/>
          <w:color w:val="000000" w:themeColor="text1"/>
          <w:highlight w:val="none"/>
          <w14:textFill>
            <w14:solidFill>
              <w14:schemeClr w14:val="tx1"/>
            </w14:solidFill>
          </w14:textFill>
        </w:rPr>
        <w:t>与清水混凝土面接触的垫块应采取防污染措施</w:t>
      </w:r>
      <w:r>
        <w:rPr>
          <w:rFonts w:hint="default" w:ascii="Times New Roman" w:hAnsi="Times New Roman" w:cs="Times New Roman"/>
          <w:color w:val="000000" w:themeColor="text1"/>
          <w:highlight w:val="none"/>
          <w:lang w:eastAsia="zh-CN"/>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46" w:name="_Toc23957"/>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设备管线安装及装修</w:t>
      </w:r>
      <w:bookmarkEnd w:id="946"/>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模块的设备管线安装前，应按设计图纸核对预留预埋套管、线盒、预留孔洞及开槽的定位和尺寸，并应区分模块工厂集成部分和现场施工部分。</w:t>
      </w:r>
    </w:p>
    <w:p>
      <w:pPr>
        <w:pStyle w:val="8"/>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w:t>
      </w:r>
      <w:r>
        <w:rPr>
          <w:rFonts w:hint="eastAsia"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针对模块单元设备与管线工程中的工序隐蔽，应经专业质检员检验合格方可进入下道工序，模块单元出厂前应经必要的功能试验及检测。</w:t>
      </w:r>
    </w:p>
    <w:p>
      <w:pPr>
        <w:pStyle w:val="8"/>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w:t>
      </w:r>
      <w:r>
        <w:rPr>
          <w:rFonts w:hint="eastAsia"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室内外装修（装饰装修、门窗）应符合国家现行标准《民用建筑工程室内环境污染控制标准》GB 50325 </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《住宅装饰装修工程施工规范》GB 50327的有关规定</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满足</w:t>
      </w:r>
      <w:r>
        <w:rPr>
          <w:rFonts w:hint="default" w:ascii="Times New Roman" w:hAnsi="Times New Roman" w:cs="Times New Roman"/>
          <w:color w:val="000000" w:themeColor="text1"/>
          <w:highlight w:val="none"/>
          <w14:textFill>
            <w14:solidFill>
              <w14:schemeClr w14:val="tx1"/>
            </w14:solidFill>
          </w14:textFill>
        </w:rPr>
        <w:t xml:space="preserve">国家现行标准《建筑装饰装修工程质量验收标准》GB 50210 </w:t>
      </w:r>
      <w:r>
        <w:rPr>
          <w:rFonts w:hint="default" w:ascii="Times New Roman" w:hAnsi="Times New Roman" w:cs="Times New Roman"/>
          <w:color w:val="000000" w:themeColor="text1"/>
          <w:highlight w:val="none"/>
          <w:lang w:val="en-US" w:eastAsia="zh-CN"/>
          <w14:textFill>
            <w14:solidFill>
              <w14:schemeClr w14:val="tx1"/>
            </w14:solidFill>
          </w14:textFill>
        </w:rPr>
        <w:t>和</w:t>
      </w:r>
      <w:r>
        <w:rPr>
          <w:rFonts w:hint="default" w:ascii="Times New Roman" w:hAnsi="Times New Roman" w:cs="Times New Roman"/>
          <w:color w:val="000000" w:themeColor="text1"/>
          <w:highlight w:val="none"/>
          <w14:textFill>
            <w14:solidFill>
              <w14:schemeClr w14:val="tx1"/>
            </w14:solidFill>
          </w14:textFill>
        </w:rPr>
        <w:t>《建筑内部装修设计防火规范》GB 50222</w:t>
      </w:r>
      <w:r>
        <w:rPr>
          <w:rFonts w:hint="default" w:ascii="Times New Roman" w:hAnsi="Times New Roman" w:cs="Times New Roman"/>
          <w:color w:val="000000" w:themeColor="text1"/>
          <w:highlight w:val="none"/>
          <w:lang w:val="en-US" w:eastAsia="zh-CN"/>
          <w14:textFill>
            <w14:solidFill>
              <w14:schemeClr w14:val="tx1"/>
            </w14:solidFill>
          </w14:textFill>
        </w:rPr>
        <w:t>的要求。</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w:t>
      </w:r>
      <w:r>
        <w:rPr>
          <w:rFonts w:hint="eastAsia"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内装装修的安装次序宜按楼地面系统，</w:t>
      </w:r>
      <w:r>
        <w:rPr>
          <w:rFonts w:hint="default" w:ascii="Times New Roman" w:hAnsi="Times New Roman" w:cs="Times New Roman"/>
          <w:color w:val="000000" w:themeColor="text1"/>
          <w:highlight w:val="none"/>
          <w:lang w:val="en-US" w:eastAsia="zh-CN"/>
          <w14:textFill>
            <w14:solidFill>
              <w14:schemeClr w14:val="tx1"/>
            </w14:solidFill>
          </w14:textFill>
        </w:rPr>
        <w:t>隔墙墙面</w:t>
      </w:r>
      <w:r>
        <w:rPr>
          <w:rFonts w:hint="default" w:ascii="Times New Roman" w:hAnsi="Times New Roman" w:cs="Times New Roman"/>
          <w:color w:val="000000" w:themeColor="text1"/>
          <w:highlight w:val="none"/>
          <w14:textFill>
            <w14:solidFill>
              <w14:schemeClr w14:val="tx1"/>
            </w14:solidFill>
          </w14:textFill>
        </w:rPr>
        <w:t>系统，吊顶系统的安装次序相配合。</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w:t>
      </w:r>
      <w:r>
        <w:rPr>
          <w:rFonts w:hint="eastAsia" w:cs="Times New Roman"/>
          <w:b/>
          <w:color w:val="000000" w:themeColor="text1"/>
          <w:highlight w:val="none"/>
          <w:lang w:val="en-US" w:eastAsia="zh-CN"/>
          <w14:textFill>
            <w14:solidFill>
              <w14:schemeClr w14:val="tx1"/>
            </w14:solidFill>
          </w14:textFill>
        </w:rPr>
        <w:t>5</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模块装修宜在接缝位置两侧预留一段不装修区域，拼装后装修。</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w:t>
      </w:r>
      <w:r>
        <w:rPr>
          <w:rFonts w:hint="eastAsia"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模块装修应不影响临时支撑构件的拆卸。</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w:t>
      </w:r>
      <w:r>
        <w:rPr>
          <w:rFonts w:hint="eastAsia" w:cs="Times New Roman"/>
          <w:b/>
          <w:color w:val="000000" w:themeColor="text1"/>
          <w:highlight w:val="none"/>
          <w:lang w:val="en-US" w:eastAsia="zh-CN"/>
          <w14:textFill>
            <w14:solidFill>
              <w14:schemeClr w14:val="tx1"/>
            </w14:solidFill>
          </w14:textFill>
        </w:rPr>
        <w:t>7</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装饰悬挂件应有悬挂技术措施，应符合设计要求。</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w:t>
      </w:r>
      <w:r>
        <w:rPr>
          <w:rFonts w:hint="eastAsia"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模块内电气系统、电气装置等的检测还应符合现行国家标准《建筑电气工程施工质量验收规范》GB50303的有关规定。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bCs/>
          <w:color w:val="000000" w:themeColor="text1"/>
          <w:highlight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9</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模块单元的装修质量检验应包括墙面、地面、天花、机电和门窗等内容。</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bCs/>
          <w:color w:val="000000" w:themeColor="text1"/>
          <w:highlight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0</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内、外面砖或石材饰面与模块单元混凝土的粘结强度应符合现行行业标准《建筑工程饰面砖粘结强度检验标准》JGJ110和《外墙饰面砖工程施工及验收规程》JGJ126的有关规定，并应满足下列要求：</w:t>
      </w:r>
    </w:p>
    <w:p>
      <w:pPr>
        <w:ind w:firstLine="421" w:firstLineChars="200"/>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1</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模块单元的内、外面砖或石材饰面，应提前进行深化设计；</w:t>
      </w:r>
    </w:p>
    <w:p>
      <w:pPr>
        <w:ind w:firstLine="421" w:firstLineChars="200"/>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2</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地面铺贴应考虑坡度要求，地漏位置宜位于瓷砖中间，并顺对角线切割找坡；</w:t>
      </w:r>
    </w:p>
    <w:p>
      <w:pPr>
        <w:ind w:firstLine="421" w:firstLineChars="200"/>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3</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瓷砖位置预留洞应采用专用开孔器，并用胶泥封堵；</w:t>
      </w:r>
    </w:p>
    <w:p>
      <w:pPr>
        <w:ind w:firstLine="421" w:firstLineChars="200"/>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4</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收边收口应顺直，填缝饱满。</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bCs/>
          <w:color w:val="000000" w:themeColor="text1"/>
          <w:highlight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1</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卫浴及厨房模块单元应进行蓄水试验，其排水坡度、通风装置、安装及检修用管道空间、地面防水层均应符合设计要求和</w:t>
      </w:r>
      <w:r>
        <w:rPr>
          <w:rFonts w:hint="default" w:ascii="Times New Roman" w:hAnsi="Times New Roman" w:cs="Times New Roman"/>
          <w:color w:val="000000" w:themeColor="text1"/>
          <w:highlight w:val="none"/>
          <w:lang w:eastAsia="zh-CN"/>
          <w14:textFill>
            <w14:solidFill>
              <w14:schemeClr w14:val="tx1"/>
            </w14:solidFill>
          </w14:textFill>
        </w:rPr>
        <w:t>本标准</w:t>
      </w:r>
      <w:r>
        <w:rPr>
          <w:rFonts w:hint="default" w:ascii="Times New Roman" w:hAnsi="Times New Roman" w:cs="Times New Roman"/>
          <w:color w:val="000000" w:themeColor="text1"/>
          <w:highlight w:val="none"/>
          <w14:textFill>
            <w14:solidFill>
              <w14:schemeClr w14:val="tx1"/>
            </w14:solidFill>
          </w14:textFill>
        </w:rPr>
        <w:t>的有关规定。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bCs/>
          <w:color w:val="000000" w:themeColor="text1"/>
          <w:highlight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模块单元出厂前应对有防水要求的外墙、外窗、门进行淋水试验。</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bCs/>
          <w:color w:val="000000" w:themeColor="text1"/>
          <w:highlight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外立面涂料应满足现行国家</w:t>
      </w:r>
      <w:r>
        <w:rPr>
          <w:rFonts w:hint="default" w:ascii="Times New Roman" w:hAnsi="Times New Roman" w:cs="Times New Roman"/>
          <w:color w:val="000000" w:themeColor="text1"/>
          <w:highlight w:val="none"/>
          <w:lang w:val="en-US" w:eastAsia="zh-CN"/>
          <w14:textFill>
            <w14:solidFill>
              <w14:schemeClr w14:val="tx1"/>
            </w14:solidFill>
          </w14:textFill>
        </w:rPr>
        <w:t>现行</w:t>
      </w:r>
      <w:r>
        <w:rPr>
          <w:rFonts w:hint="default" w:ascii="Times New Roman" w:hAnsi="Times New Roman" w:cs="Times New Roman"/>
          <w:color w:val="000000" w:themeColor="text1"/>
          <w:highlight w:val="none"/>
          <w14:textFill>
            <w14:solidFill>
              <w14:schemeClr w14:val="tx1"/>
            </w14:solidFill>
          </w14:textFill>
        </w:rPr>
        <w:t>标准《建筑装饰装修工程质量验收标准》GB50210等要求。</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bCs/>
          <w:color w:val="000000" w:themeColor="text1"/>
          <w:highlight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幕墙及门窗栏杆应满足现行国家标准《建筑装饰装修工程质量验收标准》GB50210、《金属与石材幕墙工程技术规范》JGJ133等要求，幕墙工程观感检验应符合下列规定：</w:t>
      </w:r>
    </w:p>
    <w:p>
      <w:pPr>
        <w:ind w:firstLine="421" w:firstLineChars="200"/>
        <w:jc w:val="left"/>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1</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幕墙外露框应横平竖直，造型应符合设计要求；</w:t>
      </w:r>
    </w:p>
    <w:p>
      <w:pPr>
        <w:ind w:firstLine="421" w:firstLineChars="200"/>
        <w:jc w:val="left"/>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2</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幕墙的胶缝应横平竖直，表面应光滑无污染；</w:t>
      </w:r>
    </w:p>
    <w:p>
      <w:pPr>
        <w:ind w:firstLine="421" w:firstLineChars="200"/>
        <w:jc w:val="left"/>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3</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铝合金板应无脱膜现象，颜色应均匀，其色差可同色板相差一级；</w:t>
      </w:r>
    </w:p>
    <w:p>
      <w:pPr>
        <w:ind w:firstLine="421" w:firstLineChars="200"/>
        <w:jc w:val="left"/>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4</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缝的处理，应保持外观效果的一致性，并应符合设计要求；</w:t>
      </w:r>
    </w:p>
    <w:p>
      <w:pPr>
        <w:ind w:firstLine="421"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5</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val="en-US" w:eastAsia="zh-CN" w:bidi="ar"/>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金属板材表面应平整，站在距幕墙表面 3m 处肉眼观察时不应有可觉察的变形、波纹或局部压砸等缺陷。</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947" w:name="_Toc11572"/>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成品保护与运输</w:t>
      </w:r>
      <w:bookmarkEnd w:id="947"/>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7</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1</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混凝土模块成品保护应符合下列规定：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模块成品外露保温板应采取防止开裂措施，外露钢筋应采取防弯折、防碰伤措施，外露预埋件和连结件等外露金属件应按不同环境类别进行防护或防腐、防锈；</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吊装前预埋螺栓孔宜保持清洁；</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预埋孔洞应临时封堵，防止堵塞；</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模块应在外侧设置防水罩等防水措施，防水罩宜设有可开启入口，防水措施应满足绿色可回收、不影响装修和吊运、包装便于装卸等要求；</w:t>
      </w:r>
    </w:p>
    <w:p>
      <w:pPr>
        <w:ind w:firstLine="421" w:firstLineChars="20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玻璃、瓷砖、木柜等</w:t>
      </w:r>
      <w:r>
        <w:rPr>
          <w:rFonts w:hint="default" w:ascii="Times New Roman" w:hAnsi="Times New Roman" w:cs="Times New Roman"/>
          <w:color w:val="000000" w:themeColor="text1"/>
          <w:highlight w:val="none"/>
          <w:lang w:val="en-US" w:eastAsia="zh-CN"/>
          <w14:textFill>
            <w14:solidFill>
              <w14:schemeClr w14:val="tx1"/>
            </w14:solidFill>
          </w14:textFill>
        </w:rPr>
        <w:t>室内装饰装修，</w:t>
      </w:r>
      <w:r>
        <w:rPr>
          <w:rFonts w:hint="default" w:ascii="Times New Roman" w:hAnsi="Times New Roman" w:cs="Times New Roman"/>
          <w:color w:val="000000" w:themeColor="text1"/>
          <w:highlight w:val="none"/>
          <w14:textFill>
            <w14:solidFill>
              <w14:schemeClr w14:val="tx1"/>
            </w14:solidFill>
          </w14:textFill>
        </w:rPr>
        <w:t>宜</w:t>
      </w:r>
      <w:r>
        <w:rPr>
          <w:rFonts w:hint="default" w:ascii="Times New Roman" w:hAnsi="Times New Roman" w:cs="Times New Roman"/>
          <w:color w:val="000000" w:themeColor="text1"/>
          <w:highlight w:val="none"/>
          <w:lang w:val="en-US" w:eastAsia="zh-CN"/>
          <w14:textFill>
            <w14:solidFill>
              <w14:schemeClr w14:val="tx1"/>
            </w14:solidFill>
          </w14:textFill>
        </w:rPr>
        <w:t>采</w:t>
      </w:r>
      <w:r>
        <w:rPr>
          <w:rFonts w:hint="default" w:ascii="Times New Roman" w:hAnsi="Times New Roman" w:cs="Times New Roman"/>
          <w:color w:val="000000" w:themeColor="text1"/>
          <w:highlight w:val="none"/>
          <w14:textFill>
            <w14:solidFill>
              <w14:schemeClr w14:val="tx1"/>
            </w14:solidFill>
          </w14:textFill>
        </w:rPr>
        <w:t>用胶纸、</w:t>
      </w:r>
      <w:r>
        <w:rPr>
          <w:rFonts w:hint="default" w:ascii="Times New Roman" w:hAnsi="Times New Roman" w:cs="Times New Roman"/>
          <w:color w:val="000000" w:themeColor="text1"/>
          <w:highlight w:val="none"/>
          <w:lang w:val="en-US" w:eastAsia="zh-CN"/>
          <w14:textFill>
            <w14:solidFill>
              <w14:schemeClr w14:val="tx1"/>
            </w14:solidFill>
          </w14:textFill>
        </w:rPr>
        <w:t>气</w:t>
      </w:r>
      <w:r>
        <w:rPr>
          <w:rFonts w:hint="default" w:ascii="Times New Roman" w:hAnsi="Times New Roman" w:cs="Times New Roman"/>
          <w:color w:val="000000" w:themeColor="text1"/>
          <w:highlight w:val="none"/>
          <w14:textFill>
            <w14:solidFill>
              <w14:schemeClr w14:val="tx1"/>
            </w14:solidFill>
          </w14:textFill>
        </w:rPr>
        <w:t>泡</w:t>
      </w:r>
      <w:r>
        <w:rPr>
          <w:rFonts w:hint="default" w:ascii="Times New Roman" w:hAnsi="Times New Roman" w:cs="Times New Roman"/>
          <w:color w:val="000000" w:themeColor="text1"/>
          <w:highlight w:val="none"/>
          <w:lang w:val="en-US" w:eastAsia="zh-CN"/>
          <w14:textFill>
            <w14:solidFill>
              <w14:schemeClr w14:val="tx1"/>
            </w14:solidFill>
          </w14:textFill>
        </w:rPr>
        <w:t>膜</w:t>
      </w:r>
      <w:r>
        <w:rPr>
          <w:rFonts w:hint="default" w:ascii="Times New Roman" w:hAnsi="Times New Roman" w:cs="Times New Roman"/>
          <w:color w:val="000000" w:themeColor="text1"/>
          <w:highlight w:val="none"/>
          <w14:textFill>
            <w14:solidFill>
              <w14:schemeClr w14:val="tx1"/>
            </w14:solidFill>
          </w14:textFill>
        </w:rPr>
        <w:t>等进行</w:t>
      </w:r>
      <w:r>
        <w:rPr>
          <w:rFonts w:hint="default" w:ascii="Times New Roman" w:hAnsi="Times New Roman" w:cs="Times New Roman"/>
          <w:color w:val="000000" w:themeColor="text1"/>
          <w:highlight w:val="none"/>
          <w:lang w:val="en-US" w:eastAsia="zh-CN"/>
          <w14:textFill>
            <w14:solidFill>
              <w14:schemeClr w14:val="tx1"/>
            </w14:solidFill>
          </w14:textFill>
        </w:rPr>
        <w:t>包装</w:t>
      </w:r>
      <w:r>
        <w:rPr>
          <w:rFonts w:hint="default" w:ascii="Times New Roman" w:hAnsi="Times New Roman" w:cs="Times New Roman"/>
          <w:color w:val="000000" w:themeColor="text1"/>
          <w:highlight w:val="none"/>
          <w14:textFill>
            <w14:solidFill>
              <w14:schemeClr w14:val="tx1"/>
            </w14:solidFill>
          </w14:textFill>
        </w:rPr>
        <w:t>保护</w:t>
      </w:r>
      <w:r>
        <w:rPr>
          <w:rFonts w:hint="default" w:ascii="Times New Roman" w:hAnsi="Times New Roman" w:cs="Times New Roman"/>
          <w:color w:val="000000" w:themeColor="text1"/>
          <w:highlight w:val="none"/>
          <w:lang w:eastAsia="zh-CN"/>
          <w14:textFill>
            <w14:solidFill>
              <w14:schemeClr w14:val="tx1"/>
            </w14:solidFill>
          </w14:textFill>
        </w:rPr>
        <w:t>；</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7</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混凝土模块运输应当制定道路运输组织方案</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合理选择运输路线及车辆，制定应急管理措施等</w:t>
      </w:r>
      <w:r>
        <w:rPr>
          <w:rFonts w:hint="default" w:ascii="Times New Roman" w:hAnsi="Times New Roman" w:cs="Times New Roman"/>
          <w:color w:val="000000" w:themeColor="text1"/>
          <w:highlight w:val="none"/>
          <w14:textFill>
            <w14:solidFill>
              <w14:schemeClr w14:val="tx1"/>
            </w14:solidFill>
          </w14:textFill>
        </w:rPr>
        <w:t>。涉及超限运输的应当按照</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交通运输部令2021年第12号</w:t>
      </w:r>
      <w:r>
        <w:rPr>
          <w:rFonts w:hint="default" w:ascii="Times New Roman" w:hAnsi="Times New Roman" w:cs="Times New Roman"/>
          <w:color w:val="000000" w:themeColor="text1"/>
          <w:highlight w:val="none"/>
          <w14:textFill>
            <w14:solidFill>
              <w14:schemeClr w14:val="tx1"/>
            </w14:solidFill>
          </w14:textFill>
        </w:rPr>
        <w:t>《超限运输车辆行驶公路管理规定》</w:t>
      </w:r>
      <w:r>
        <w:rPr>
          <w:rFonts w:hint="default" w:ascii="Times New Roman" w:hAnsi="Times New Roman" w:cs="Times New Roman"/>
          <w:color w:val="000000" w:themeColor="text1"/>
          <w:highlight w:val="none"/>
          <w:lang w:val="en-US" w:eastAsia="zh-CN"/>
          <w14:textFill>
            <w14:solidFill>
              <w14:schemeClr w14:val="tx1"/>
            </w14:solidFill>
          </w14:textFill>
        </w:rPr>
        <w:t>要求</w:t>
      </w:r>
      <w:r>
        <w:rPr>
          <w:rFonts w:hint="default" w:ascii="Times New Roman" w:hAnsi="Times New Roman" w:cs="Times New Roman"/>
          <w:color w:val="000000" w:themeColor="text1"/>
          <w:highlight w:val="none"/>
          <w14:textFill>
            <w14:solidFill>
              <w14:schemeClr w14:val="tx1"/>
            </w14:solidFill>
          </w14:textFill>
        </w:rPr>
        <w:t>办理相应的审批手续。</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7</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模块单元在运输过程中应符合下列安全措施：</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模块运输时应满足道路运输的相关要求；</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模块运输时应采取相应固</w:t>
      </w:r>
      <w:r>
        <w:rPr>
          <w:rFonts w:hint="default" w:ascii="Times New Roman" w:hAnsi="Times New Roman" w:cs="Times New Roman"/>
          <w:color w:val="000000" w:themeColor="text1"/>
          <w:highlight w:val="none"/>
          <w:lang w:val="en-US" w:eastAsia="zh-CN"/>
          <w14:textFill>
            <w14:solidFill>
              <w14:schemeClr w14:val="tx1"/>
            </w14:solidFill>
          </w14:textFill>
        </w:rPr>
        <w:t>定</w:t>
      </w:r>
      <w:r>
        <w:rPr>
          <w:rFonts w:hint="default" w:ascii="Times New Roman" w:hAnsi="Times New Roman" w:cs="Times New Roman"/>
          <w:color w:val="000000" w:themeColor="text1"/>
          <w:highlight w:val="none"/>
          <w14:textFill>
            <w14:solidFill>
              <w14:schemeClr w14:val="tx1"/>
            </w14:solidFill>
          </w14:textFill>
        </w:rPr>
        <w:t>措施，防止模块移动、倾倒或变形；</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模块的底部应设置垫板或者横撑，减小底板内力；模块顶板可参照脱模状况下的内力验算承载力，不满足时应设置同等加固措施；</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门窗洞口处宜进行支撑加固，模块边角部宜设置保护衬垫；</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模块单元开口位置</w:t>
      </w:r>
      <w:r>
        <w:rPr>
          <w:rFonts w:hint="default" w:ascii="Times New Roman" w:hAnsi="Times New Roman" w:cs="Times New Roman"/>
          <w:color w:val="000000" w:themeColor="text1"/>
          <w:highlight w:val="none"/>
          <w:lang w:val="en-US" w:eastAsia="zh-CN"/>
          <w14:textFill>
            <w14:solidFill>
              <w14:schemeClr w14:val="tx1"/>
            </w14:solidFill>
          </w14:textFill>
        </w:rPr>
        <w:t>宜</w:t>
      </w:r>
      <w:r>
        <w:rPr>
          <w:rFonts w:hint="default" w:ascii="Times New Roman" w:hAnsi="Times New Roman" w:cs="Times New Roman"/>
          <w:color w:val="000000" w:themeColor="text1"/>
          <w:highlight w:val="none"/>
          <w14:textFill>
            <w14:solidFill>
              <w14:schemeClr w14:val="tx1"/>
            </w14:solidFill>
          </w14:textFill>
        </w:rPr>
        <w:t>设置封盖物，防止雨水进入模块内部；</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对于有降板的混凝土模块或其他不能平稳放置的模块，应设计专门的运输架，并进行强度、稳定性和刚度验算</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保证模块均匀受力，防止开裂、变形</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运输车辆选择</w:t>
      </w:r>
      <w:r>
        <w:rPr>
          <w:rFonts w:hint="default" w:ascii="Times New Roman" w:hAnsi="Times New Roman" w:cs="Times New Roman"/>
          <w:color w:val="000000" w:themeColor="text1"/>
          <w:highlight w:val="none"/>
          <w14:textFill>
            <w14:solidFill>
              <w14:schemeClr w14:val="tx1"/>
            </w14:solidFill>
          </w14:textFill>
        </w:rPr>
        <w:t>应</w:t>
      </w:r>
      <w:r>
        <w:rPr>
          <w:rFonts w:hint="default" w:ascii="Times New Roman" w:hAnsi="Times New Roman" w:cs="Times New Roman"/>
          <w:color w:val="000000" w:themeColor="text1"/>
          <w:highlight w:val="none"/>
          <w:lang w:val="en-US" w:eastAsia="zh-CN"/>
          <w14:textFill>
            <w14:solidFill>
              <w14:schemeClr w14:val="tx1"/>
            </w14:solidFill>
          </w14:textFill>
        </w:rPr>
        <w:t>满足</w:t>
      </w:r>
      <w:r>
        <w:rPr>
          <w:rFonts w:hint="default" w:ascii="Times New Roman" w:hAnsi="Times New Roman" w:cs="Times New Roman"/>
          <w:color w:val="000000" w:themeColor="text1"/>
          <w:highlight w:val="none"/>
          <w14:textFill>
            <w14:solidFill>
              <w14:schemeClr w14:val="tx1"/>
            </w14:solidFill>
          </w14:textFill>
        </w:rPr>
        <w:t>模块重量</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尺寸</w:t>
      </w:r>
      <w:r>
        <w:rPr>
          <w:rFonts w:hint="default" w:ascii="Times New Roman" w:hAnsi="Times New Roman" w:cs="Times New Roman"/>
          <w:color w:val="000000" w:themeColor="text1"/>
          <w:highlight w:val="none"/>
          <w14:textFill>
            <w14:solidFill>
              <w14:schemeClr w14:val="tx1"/>
            </w14:solidFill>
          </w14:textFill>
        </w:rPr>
        <w:t>的运输</w:t>
      </w:r>
      <w:r>
        <w:rPr>
          <w:rFonts w:hint="default" w:ascii="Times New Roman" w:hAnsi="Times New Roman" w:cs="Times New Roman"/>
          <w:color w:val="000000" w:themeColor="text1"/>
          <w:highlight w:val="none"/>
          <w:lang w:val="en-US" w:eastAsia="zh-CN"/>
          <w14:textFill>
            <w14:solidFill>
              <w14:schemeClr w14:val="tx1"/>
            </w14:solidFill>
          </w14:textFill>
        </w:rPr>
        <w:t>需求</w:t>
      </w:r>
      <w:r>
        <w:rPr>
          <w:rFonts w:hint="default" w:ascii="Times New Roman" w:hAnsi="Times New Roman" w:cs="Times New Roman"/>
          <w:color w:val="000000" w:themeColor="text1"/>
          <w:highlight w:val="none"/>
          <w:lang w:eastAsia="zh-CN"/>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48" w:name="_Toc22788"/>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模块单元检验</w:t>
      </w:r>
      <w:bookmarkEnd w:id="948"/>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模块单元的出厂检验应包括下列内容：</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模块单元的观感质量与尺寸偏差检验；</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模块单元的水密性及防水性能检验；</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模块单元的机电系统功能检验；</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模块单元的装饰装修完整性检验；</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 xml:space="preserve">  模块单元的生产过程资料核查，应包括钢筋、混凝土、金属波纹管、灌浆套筒、机电、装饰装修等原材料质量证明文件、复试报告以及各工序验收记录等。</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模块单元生产时应采取措施避免出现外观质量的严重缺陷。外观质量缺陷根据其影响结构性能、安装和使用功能的严重程度，可按现行国家标准《混凝土结构工程施工质量验收规范》GB 50204的有关规定执行，划分为严重缺陷和一般缺陷。</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模块单元出厂前应及时对其外观质量进行全数目测检查。模块单元外观质量不应有</w:t>
      </w:r>
      <w:r>
        <w:rPr>
          <w:rFonts w:hint="default" w:ascii="Times New Roman" w:hAnsi="Times New Roman" w:cs="Times New Roman"/>
          <w:color w:val="000000" w:themeColor="text1"/>
          <w:highlight w:val="none"/>
          <w:lang w:val="en-US" w:eastAsia="zh-CN"/>
          <w14:textFill>
            <w14:solidFill>
              <w14:schemeClr w14:val="tx1"/>
            </w14:solidFill>
          </w14:textFill>
        </w:rPr>
        <w:t>严重</w:t>
      </w:r>
      <w:r>
        <w:rPr>
          <w:rFonts w:hint="default" w:ascii="Times New Roman" w:hAnsi="Times New Roman" w:cs="Times New Roman"/>
          <w:color w:val="000000" w:themeColor="text1"/>
          <w:highlight w:val="none"/>
          <w14:textFill>
            <w14:solidFill>
              <w14:schemeClr w14:val="tx1"/>
            </w14:solidFill>
          </w14:textFill>
        </w:rPr>
        <w:t>缺陷，对已经出现的严重缺陷应制定技术处理方案进行处理并重新检验，对出现的一般缺陷应进行修整并达到合格。</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模块单元不应有影响结构性能、安装和使用功能的尺寸偏差。对超过尺寸允许偏差且影响结构性能和安装、使用功能的部位应经设计单位认可，制定技术处理方案进行处理，并重新检查验收。</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szCs w:val="24"/>
          <w:highlight w:val="none"/>
          <w:lang w:val="en-US" w:eastAsia="zh-CN"/>
          <w14:textFill>
            <w14:solidFill>
              <w14:schemeClr w14:val="tx1"/>
            </w14:solidFill>
          </w14:textFill>
        </w:rPr>
        <w:t>8</w:t>
      </w:r>
      <w:r>
        <w:rPr>
          <w:rFonts w:hint="default" w:ascii="Times New Roman" w:hAnsi="Times New Roman" w:cs="Times New Roman"/>
          <w:b/>
          <w:color w:val="000000" w:themeColor="text1"/>
          <w:szCs w:val="24"/>
          <w:highlight w:val="none"/>
          <w14:textFill>
            <w14:solidFill>
              <w14:schemeClr w14:val="tx1"/>
            </w14:solidFill>
          </w14:textFill>
        </w:rPr>
        <w:t xml:space="preserve">.5  </w:t>
      </w:r>
      <w:r>
        <w:rPr>
          <w:rFonts w:hint="default" w:ascii="Times New Roman" w:hAnsi="Times New Roman" w:cs="Times New Roman"/>
          <w:color w:val="000000" w:themeColor="text1"/>
          <w:szCs w:val="24"/>
          <w:highlight w:val="none"/>
          <w14:textFill>
            <w14:solidFill>
              <w14:schemeClr w14:val="tx1"/>
            </w14:solidFill>
          </w14:textFill>
        </w:rPr>
        <w:t>模块单元</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图8.8.5</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的预制构件的尺寸偏差和检验方法应满足</w:t>
      </w:r>
      <w:r>
        <w:rPr>
          <w:rFonts w:hint="default" w:ascii="Times New Roman" w:hAnsi="Times New Roman" w:cs="Times New Roman"/>
          <w:color w:val="000000" w:themeColor="text1"/>
          <w:szCs w:val="24"/>
          <w:highlight w:val="none"/>
          <w:lang w:val="en-US" w:eastAsia="zh-CN"/>
          <w14:textFill>
            <w14:solidFill>
              <w14:schemeClr w14:val="tx1"/>
            </w14:solidFill>
          </w14:textFill>
        </w:rPr>
        <w:t>现行行业标准《装配式混凝土结构技术规程》JGJ 1</w:t>
      </w:r>
      <w:r>
        <w:rPr>
          <w:rFonts w:hint="default" w:ascii="Times New Roman" w:hAnsi="Times New Roman" w:cs="Times New Roman"/>
          <w:color w:val="000000" w:themeColor="text1"/>
          <w:szCs w:val="24"/>
          <w:highlight w:val="none"/>
          <w14:textFill>
            <w14:solidFill>
              <w14:schemeClr w14:val="tx1"/>
            </w14:solidFill>
          </w14:textFill>
        </w:rPr>
        <w:t>的</w:t>
      </w:r>
      <w:r>
        <w:rPr>
          <w:rFonts w:hint="default" w:ascii="Times New Roman" w:hAnsi="Times New Roman" w:cs="Times New Roman"/>
          <w:color w:val="000000" w:themeColor="text1"/>
          <w:szCs w:val="24"/>
          <w:highlight w:val="none"/>
          <w:lang w:val="en-US" w:eastAsia="zh-CN"/>
          <w14:textFill>
            <w14:solidFill>
              <w14:schemeClr w14:val="tx1"/>
            </w14:solidFill>
          </w14:textFill>
        </w:rPr>
        <w:t>有关</w:t>
      </w:r>
      <w:r>
        <w:rPr>
          <w:rFonts w:hint="default" w:ascii="Times New Roman" w:hAnsi="Times New Roman" w:cs="Times New Roman"/>
          <w:color w:val="000000" w:themeColor="text1"/>
          <w:szCs w:val="24"/>
          <w:highlight w:val="none"/>
          <w14:textFill>
            <w14:solidFill>
              <w14:schemeClr w14:val="tx1"/>
            </w14:solidFill>
          </w14:textFill>
        </w:rPr>
        <w:t>要求，模块的整体尺寸偏差和检验方法，应符合表8.</w:t>
      </w:r>
      <w:r>
        <w:rPr>
          <w:rFonts w:hint="default" w:ascii="Times New Roman" w:hAnsi="Times New Roman" w:cs="Times New Roman"/>
          <w:color w:val="000000" w:themeColor="text1"/>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Cs w:val="24"/>
          <w:highlight w:val="none"/>
          <w14:textFill>
            <w14:solidFill>
              <w14:schemeClr w14:val="tx1"/>
            </w14:solidFill>
          </w14:textFill>
        </w:rPr>
        <w:t>.5的规定。</w:t>
      </w:r>
    </w:p>
    <w:p>
      <w:pPr>
        <w:ind w:firstLine="42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检查数量：同种类型的模块单元不超过10个为一批，每批检查1个。</w:t>
      </w:r>
    </w:p>
    <w:p>
      <w:pPr>
        <w:pStyle w:val="5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1845945" cy="1028065"/>
            <wp:effectExtent l="0" t="0" r="1905" b="635"/>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pic:cNvPicPr>
                  </pic:nvPicPr>
                  <pic:blipFill>
                    <a:blip r:embed="rId32"/>
                    <a:stretch>
                      <a:fillRect/>
                    </a:stretch>
                  </pic:blipFill>
                  <pic:spPr>
                    <a:xfrm>
                      <a:off x="0" y="0"/>
                      <a:ext cx="1845945" cy="1028065"/>
                    </a:xfrm>
                    <a:prstGeom prst="rect">
                      <a:avLst/>
                    </a:prstGeom>
                    <a:noFill/>
                    <a:ln>
                      <a:noFill/>
                    </a:ln>
                  </pic:spPr>
                </pic:pic>
              </a:graphicData>
            </a:graphic>
          </wp:inline>
        </w:drawing>
      </w:r>
    </w:p>
    <w:p>
      <w:pPr>
        <w:pStyle w:val="5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 xml:space="preserve"> 模块单元示意图</w:t>
      </w:r>
    </w:p>
    <w:p>
      <w:pPr>
        <w:pStyle w:val="51"/>
        <w:jc w:val="center"/>
        <w:rPr>
          <w:rFonts w:hint="default" w:ascii="Times New Roman" w:hAnsi="Times New Roman" w:cs="Times New Roman"/>
          <w:color w:val="000000" w:themeColor="text1"/>
          <w:highlight w:val="none"/>
          <w14:textFill>
            <w14:solidFill>
              <w14:schemeClr w14:val="tx1"/>
            </w14:solidFill>
          </w14:textFill>
        </w:rPr>
      </w:pPr>
    </w:p>
    <w:p>
      <w:pPr>
        <w:pStyle w:val="51"/>
        <w:jc w:val="center"/>
        <w:rPr>
          <w:rFonts w:hint="default" w:ascii="Times New Roman" w:hAnsi="Times New Roman" w:cs="Times New Roman"/>
          <w:color w:val="000000" w:themeColor="text1"/>
          <w:highlight w:val="none"/>
          <w14:textFill>
            <w14:solidFill>
              <w14:schemeClr w14:val="tx1"/>
            </w14:solidFill>
          </w14:textFill>
        </w:rPr>
      </w:pPr>
    </w:p>
    <w:p>
      <w:pPr>
        <w:pStyle w:val="51"/>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 xml:space="preserve"> 模块单元尺寸允许偏差及检验方法</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7"/>
        <w:gridCol w:w="440"/>
        <w:gridCol w:w="1867"/>
        <w:gridCol w:w="996"/>
        <w:gridCol w:w="1142"/>
        <w:gridCol w:w="1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000" w:type="pct"/>
            <w:gridSpan w:val="4"/>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  目</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允许偏差(mm)</w:t>
            </w:r>
          </w:p>
        </w:tc>
        <w:tc>
          <w:tcPr>
            <w:tcW w:w="106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外部尺寸</w:t>
            </w:r>
          </w:p>
        </w:tc>
        <w:tc>
          <w:tcPr>
            <w:tcW w:w="35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长度</w:t>
            </w:r>
          </w:p>
        </w:tc>
        <w:tc>
          <w:tcPr>
            <w:tcW w:w="1522"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AB、A'B'、CD、C'D'</w:t>
            </w:r>
          </w:p>
        </w:tc>
        <w:tc>
          <w:tcPr>
            <w:tcW w:w="81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≤6m</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106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35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22"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81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&gt;6m</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35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宽度</w:t>
            </w: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AC、A'C'、BD、B'D'</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106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钢尺量一端及中部，取其中偏差绝对值较大处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35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高度</w:t>
            </w: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AA'、BB'、CC'、DD'</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6" w:type="pct"/>
            <w:gridSpan w:val="2"/>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对角线差</w:t>
            </w:r>
          </w:p>
        </w:tc>
        <w:tc>
          <w:tcPr>
            <w:tcW w:w="1522"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│AD-BC│、│A'D'-B'C'│</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│AB'-A'B│、│CD'-C'D│</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│AC'-A'C│、│BD'-B'D│</w:t>
            </w:r>
          </w:p>
        </w:tc>
        <w:tc>
          <w:tcPr>
            <w:tcW w:w="812"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对角线长度</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sz w:val="16"/>
                <w:szCs w:val="25"/>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m</w:t>
            </w:r>
          </w:p>
        </w:tc>
        <w:tc>
          <w:tcPr>
            <w:tcW w:w="931"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06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钢尺量两个对角线的长度，取其绝对值的差值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1522"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812"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93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1522"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81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对角线长度</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&gt;6m</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666" w:type="pct"/>
            <w:gridSpan w:val="2"/>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内部净空</w:t>
            </w: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-10，+2</w:t>
            </w:r>
          </w:p>
        </w:tc>
        <w:tc>
          <w:tcPr>
            <w:tcW w:w="106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钢尺量一端及中部，取其中偏差绝对值较大处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宽度</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高度</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表面平整度</w:t>
            </w: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内表面</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06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2m靠尺和塞尺检查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外表面</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水平极差</w:t>
            </w: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顶板（天花）表面</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106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使用激光扫平仪和钢尺（或靠尺）检查，测量房间四角与同一水平基准线的高差，取最大值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底板（地面）表面</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垂直度</w:t>
            </w:r>
          </w:p>
        </w:tc>
        <w:tc>
          <w:tcPr>
            <w:tcW w:w="1522"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柱、墙板</w:t>
            </w:r>
          </w:p>
        </w:tc>
        <w:tc>
          <w:tcPr>
            <w:tcW w:w="81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06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2m垂直检测尺或吊线、钢尺量测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22"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812"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&gt;3m</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06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666" w:type="pct"/>
            <w:gridSpan w:val="2"/>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设备安装</w:t>
            </w: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预留点位定位尺寸</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06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设备标高</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106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666" w:type="pct"/>
            <w:gridSpan w:val="2"/>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2334"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设备支吊架位置</w:t>
            </w:r>
          </w:p>
        </w:tc>
        <w:tc>
          <w:tcPr>
            <w:tcW w:w="931"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106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bl>
    <w:p>
      <w:pPr>
        <w:pStyle w:val="53"/>
        <w:rPr>
          <w:rFonts w:hint="default" w:ascii="Times New Roman" w:hAnsi="Times New Roman" w:cs="Times New Roman"/>
          <w:b/>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注：</w:t>
      </w:r>
      <w:r>
        <w:rPr>
          <w:rFonts w:hint="default" w:ascii="Times New Roman" w:hAnsi="Times New Roman" w:cs="Times New Roman"/>
          <w:iCs/>
          <w:color w:val="000000" w:themeColor="text1"/>
          <w:sz w:val="18"/>
          <w:szCs w:val="18"/>
          <w:highlight w:val="none"/>
          <w14:textFill>
            <w14:solidFill>
              <w14:schemeClr w14:val="tx1"/>
            </w14:solidFill>
          </w14:textFill>
        </w:rPr>
        <w:t>表格中所检查的模块单元尺寸为模块单元装修前的尺寸。</w:t>
      </w:r>
    </w:p>
    <w:p>
      <w:pP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8.</w:t>
      </w:r>
      <w:r>
        <w:rPr>
          <w:rFonts w:hint="default" w:ascii="Times New Roman" w:hAnsi="Times New Roman" w:cs="Times New Roman"/>
          <w:b/>
          <w:color w:val="000000" w:themeColor="text1"/>
          <w:szCs w:val="24"/>
          <w:highlight w:val="none"/>
          <w:lang w:val="en-US" w:eastAsia="zh-CN"/>
          <w14:textFill>
            <w14:solidFill>
              <w14:schemeClr w14:val="tx1"/>
            </w14:solidFill>
          </w14:textFill>
        </w:rPr>
        <w:t>8</w:t>
      </w:r>
      <w:r>
        <w:rPr>
          <w:rFonts w:hint="default" w:ascii="Times New Roman" w:hAnsi="Times New Roman" w:cs="Times New Roman"/>
          <w:b/>
          <w:color w:val="000000" w:themeColor="text1"/>
          <w:szCs w:val="24"/>
          <w:highlight w:val="none"/>
          <w14:textFill>
            <w14:solidFill>
              <w14:schemeClr w14:val="tx1"/>
            </w14:solidFill>
          </w14:textFill>
        </w:rPr>
        <w:t xml:space="preserve">.6  </w:t>
      </w:r>
      <w:r>
        <w:rPr>
          <w:rFonts w:hint="default" w:ascii="Times New Roman" w:hAnsi="Times New Roman" w:cs="Times New Roman"/>
          <w:color w:val="000000" w:themeColor="text1"/>
          <w:szCs w:val="24"/>
          <w:highlight w:val="none"/>
          <w14:textFill>
            <w14:solidFill>
              <w14:schemeClr w14:val="tx1"/>
            </w14:solidFill>
          </w14:textFill>
        </w:rPr>
        <w:t>模块单元的对拉孔、设备孔、门窗口、预埋件、预留插筋、键槽的位置和检验方法应符合表8.</w:t>
      </w:r>
      <w:r>
        <w:rPr>
          <w:rFonts w:hint="default" w:ascii="Times New Roman" w:hAnsi="Times New Roman" w:cs="Times New Roman"/>
          <w:color w:val="000000" w:themeColor="text1"/>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Cs w:val="24"/>
          <w:highlight w:val="none"/>
          <w14:textFill>
            <w14:solidFill>
              <w14:schemeClr w14:val="tx1"/>
            </w14:solidFill>
          </w14:textFill>
        </w:rPr>
        <w:t>.6的规定。</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检查数量：全数检查</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 xml:space="preserve">  </w:t>
      </w:r>
    </w:p>
    <w:p>
      <w:pPr>
        <w:pStyle w:val="5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 xml:space="preserve"> 模块单元尺寸允许偏差及检验方法</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966"/>
        <w:gridCol w:w="1356"/>
        <w:gridCol w:w="1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2999" w:type="pct"/>
            <w:gridSpan w:val="2"/>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  目</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允许偏差(mm)</w:t>
            </w:r>
          </w:p>
        </w:tc>
        <w:tc>
          <w:tcPr>
            <w:tcW w:w="89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对拉孔</w:t>
            </w: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89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孔尺寸</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设备孔</w:t>
            </w: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89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洞口尺寸、深度</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门窗口</w:t>
            </w: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89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宽度、高度</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预埋件</w:t>
            </w: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预埋件锚板中心线位置</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89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预埋件锚板与混凝土面</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平面高差</w:t>
            </w:r>
          </w:p>
        </w:tc>
        <w:tc>
          <w:tcPr>
            <w:tcW w:w="110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0，-5</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110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预埋螺栓中心线位置</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预埋螺栓外露长度</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+10，-5</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预埋套筒、螺母中心线位置</w:t>
            </w:r>
          </w:p>
        </w:tc>
        <w:tc>
          <w:tcPr>
            <w:tcW w:w="1105" w:type="pc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预埋套筒、螺母与</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混凝土面平面高差</w:t>
            </w:r>
          </w:p>
        </w:tc>
        <w:tc>
          <w:tcPr>
            <w:tcW w:w="110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0，-5</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110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预埋件</w:t>
            </w:r>
          </w:p>
        </w:tc>
        <w:tc>
          <w:tcPr>
            <w:tcW w:w="241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线管、电盒、木砖、吊环在</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构件平面的中心线位置偏差</w:t>
            </w:r>
          </w:p>
        </w:tc>
        <w:tc>
          <w:tcPr>
            <w:tcW w:w="110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c>
          <w:tcPr>
            <w:tcW w:w="89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110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线管、电盒、木砖、吊环在</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构件表面混凝土高差</w:t>
            </w:r>
          </w:p>
        </w:tc>
        <w:tc>
          <w:tcPr>
            <w:tcW w:w="1105" w:type="pct"/>
            <w:vMerge w:val="restart"/>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0，-10</w:t>
            </w: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581" w:type="pct"/>
            <w:vMerge w:val="continue"/>
            <w:tcBorders>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110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895" w:type="pct"/>
            <w:vMerge w:val="continue"/>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restar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预留插筋</w:t>
            </w:r>
          </w:p>
        </w:tc>
        <w:tc>
          <w:tcPr>
            <w:tcW w:w="2418" w:type="pc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1105" w:type="pc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895" w:type="pct"/>
            <w:vMerge w:val="restar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外露长度</w:t>
            </w:r>
          </w:p>
        </w:tc>
        <w:tc>
          <w:tcPr>
            <w:tcW w:w="1105" w:type="pc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+5，-5</w:t>
            </w:r>
          </w:p>
        </w:tc>
        <w:tc>
          <w:tcPr>
            <w:tcW w:w="895" w:type="pct"/>
            <w:vMerge w:val="continue"/>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restart"/>
            <w:tcBorders>
              <w:top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键槽</w:t>
            </w:r>
          </w:p>
        </w:tc>
        <w:tc>
          <w:tcPr>
            <w:tcW w:w="2418" w:type="pc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中心线位置</w:t>
            </w:r>
          </w:p>
        </w:tc>
        <w:tc>
          <w:tcPr>
            <w:tcW w:w="1105" w:type="pct"/>
            <w:tcBorders>
              <w:top w:val="single" w:color="auto" w:sz="4" w:space="0"/>
              <w:bottom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895" w:type="pct"/>
            <w:vMerge w:val="restart"/>
            <w:tcBorders>
              <w:top w:val="single" w:color="auto" w:sz="4"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尺量检查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81" w:type="pct"/>
            <w:vMerge w:val="continue"/>
            <w:tcBorders>
              <w:bottom w:val="single" w:color="auto" w:sz="12"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c>
          <w:tcPr>
            <w:tcW w:w="2418" w:type="pct"/>
            <w:tcBorders>
              <w:top w:val="single" w:color="auto" w:sz="4" w:space="0"/>
              <w:bottom w:val="single" w:color="auto" w:sz="12"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长度、宽度、深度</w:t>
            </w:r>
          </w:p>
        </w:tc>
        <w:tc>
          <w:tcPr>
            <w:tcW w:w="1105" w:type="pct"/>
            <w:tcBorders>
              <w:top w:val="single" w:color="auto" w:sz="4" w:space="0"/>
              <w:bottom w:val="single" w:color="auto" w:sz="12"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895" w:type="pct"/>
            <w:vMerge w:val="continue"/>
            <w:tcBorders>
              <w:bottom w:val="single" w:color="auto" w:sz="12" w:space="0"/>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center"/>
              <w:rPr>
                <w:rFonts w:hint="default" w:ascii="Times New Roman" w:hAnsi="Times New Roman" w:cs="Times New Roman"/>
                <w:color w:val="000000" w:themeColor="text1"/>
                <w:highlight w:val="none"/>
                <w14:textFill>
                  <w14:solidFill>
                    <w14:schemeClr w14:val="tx1"/>
                  </w14:solidFill>
                </w14:textFill>
              </w:rPr>
            </w:pPr>
          </w:p>
        </w:tc>
      </w:tr>
    </w:tbl>
    <w:p>
      <w:pPr>
        <w:pStyle w:val="53"/>
        <w:rPr>
          <w:rFonts w:hint="default" w:ascii="Times New Roman" w:hAnsi="Times New Roman" w:cs="Times New Roman"/>
          <w:iCs/>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注：</w:t>
      </w:r>
      <w:r>
        <w:rPr>
          <w:rFonts w:hint="default" w:ascii="Times New Roman" w:hAnsi="Times New Roman" w:cs="Times New Roman"/>
          <w:iCs/>
          <w:color w:val="000000" w:themeColor="text1"/>
          <w:sz w:val="18"/>
          <w:szCs w:val="18"/>
          <w:highlight w:val="none"/>
          <w14:textFill>
            <w14:solidFill>
              <w14:schemeClr w14:val="tx1"/>
            </w14:solidFill>
          </w14:textFill>
        </w:rPr>
        <w:t>检查中心线、螺栓和孔道位置偏差时，应沿纵横两个方向量测，并取其中偏差较大值。</w:t>
      </w:r>
    </w:p>
    <w:p>
      <w:pP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bCs/>
          <w:color w:val="000000" w:themeColor="text1"/>
          <w:szCs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zCs w:val="24"/>
          <w:highlight w:val="none"/>
          <w14:textFill>
            <w14:solidFill>
              <w14:schemeClr w14:val="tx1"/>
            </w14:solidFill>
          </w14:textFill>
        </w:rPr>
        <w:t>.7</w:t>
      </w:r>
      <w:r>
        <w:rPr>
          <w:rFonts w:hint="default" w:ascii="Times New Roman" w:hAnsi="Times New Roman" w:cs="Times New Roman"/>
          <w:b/>
          <w:color w:val="000000" w:themeColor="text1"/>
          <w:szCs w:val="24"/>
          <w:highlight w:val="none"/>
          <w14:textFill>
            <w14:solidFill>
              <w14:schemeClr w14:val="tx1"/>
            </w14:solidFill>
          </w14:textFill>
        </w:rPr>
        <w:t xml:space="preserve"> </w:t>
      </w:r>
      <w:r>
        <w:rPr>
          <w:rFonts w:hint="default" w:ascii="Times New Roman" w:hAnsi="Times New Roman" w:cs="Times New Roman"/>
          <w:color w:val="000000" w:themeColor="text1"/>
          <w:szCs w:val="24"/>
          <w:highlight w:val="none"/>
          <w14:textFill>
            <w14:solidFill>
              <w14:schemeClr w14:val="tx1"/>
            </w14:solidFill>
          </w14:textFill>
        </w:rPr>
        <w:t xml:space="preserve"> 模块装饰工程检查验收标准应符合表8.</w:t>
      </w:r>
      <w:r>
        <w:rPr>
          <w:rFonts w:hint="default" w:ascii="Times New Roman" w:hAnsi="Times New Roman" w:cs="Times New Roman"/>
          <w:color w:val="000000" w:themeColor="text1"/>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Cs w:val="24"/>
          <w:highlight w:val="none"/>
          <w14:textFill>
            <w14:solidFill>
              <w14:schemeClr w14:val="tx1"/>
            </w14:solidFill>
          </w14:textFill>
        </w:rPr>
        <w:t>.7的规定。</w:t>
      </w:r>
    </w:p>
    <w:p>
      <w:pPr>
        <w:pStyle w:val="5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.7</w:t>
      </w:r>
      <w:r>
        <w:rPr>
          <w:rFonts w:hint="default"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模块装饰检查验收标准</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531"/>
        <w:gridCol w:w="1580"/>
        <w:gridCol w:w="934"/>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95" w:type="pct"/>
            <w:gridSpan w:val="2"/>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合格标准及允许偏差</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抽检数量</w:t>
            </w:r>
          </w:p>
        </w:tc>
        <w:tc>
          <w:tcPr>
            <w:tcW w:w="1155"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吊顶</w:t>
            </w: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表面平整度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靠尺、塞尺和钢尺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接缝直线度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接缝高低差</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1mm</w:t>
            </w:r>
          </w:p>
        </w:tc>
        <w:tc>
          <w:tcPr>
            <w:tcW w:w="761"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饰面板</w:t>
            </w: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表面平整度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观察，钢尺、塞尺或直角尺检查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立面垂直度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接缝高低差</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阴阳角方正</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压条直线度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接缝高地差</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抹灰(腻子)</w:t>
            </w: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立面垂直度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观察，钢尺、塞尺或直角尺检查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表面平整度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阴阳角方正</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分格条(缝)直线度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墙裙勒脚上口直线度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铺贴瓷砖</w:t>
            </w: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立面垂直度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观察，钢尺、塞尺或直角尺检查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表面平整度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阴阳角方正</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接缝直线度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接缝高低差</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0.5mm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接缝宽度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卫生间门、入户门</w:t>
            </w: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门框定位</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符合图纸尺寸</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7" w:type="pct"/>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门框垂直度</w:t>
            </w:r>
          </w:p>
        </w:tc>
        <w:tc>
          <w:tcPr>
            <w:tcW w:w="1288"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2m内，≤3mm</w:t>
            </w:r>
          </w:p>
        </w:tc>
        <w:tc>
          <w:tcPr>
            <w:tcW w:w="761"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水平尺、塞尺检查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门框水平度</w:t>
            </w:r>
          </w:p>
        </w:tc>
        <w:tc>
          <w:tcPr>
            <w:tcW w:w="1288"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2m内，≤3mm</w:t>
            </w:r>
          </w:p>
        </w:tc>
        <w:tc>
          <w:tcPr>
            <w:tcW w:w="761"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水平尺、塞尺检查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p>
        </w:tc>
        <w:tc>
          <w:tcPr>
            <w:tcW w:w="1248"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开门方向</w:t>
            </w:r>
          </w:p>
        </w:tc>
        <w:tc>
          <w:tcPr>
            <w:tcW w:w="1288"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卫生间、入户门开</w:t>
            </w:r>
          </w:p>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门方向符合图纸</w:t>
            </w:r>
          </w:p>
        </w:tc>
        <w:tc>
          <w:tcPr>
            <w:tcW w:w="761"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155" w:type="pct"/>
            <w:tcBorders>
              <w:tl2br w:val="nil"/>
              <w:tr2bl w:val="nil"/>
            </w:tcBorders>
            <w:vAlign w:val="center"/>
          </w:tcPr>
          <w:p>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核对图纸确认</w:t>
            </w:r>
          </w:p>
        </w:tc>
      </w:tr>
    </w:tbl>
    <w:p>
      <w:pPr>
        <w:jc w:val="center"/>
        <w:rPr>
          <w:color w:val="000000" w:themeColor="text1"/>
          <w:sz w:val="18"/>
          <w:szCs w:val="18"/>
          <w14:textFill>
            <w14:solidFill>
              <w14:schemeClr w14:val="tx1"/>
            </w14:solidFill>
          </w14:textFill>
        </w:rPr>
      </w:pPr>
      <w:r>
        <w:rPr>
          <w:rFonts w:hint="eastAsia" w:ascii="黑体" w:hAnsi="黑体" w:eastAsia="黑体" w:cs="黑体"/>
          <w:color w:val="000000" w:themeColor="text1"/>
          <w:sz w:val="18"/>
          <w:szCs w:val="18"/>
          <w:highlight w:val="none"/>
          <w:lang w:val="en-US" w:eastAsia="zh-CN"/>
          <w14:textFill>
            <w14:solidFill>
              <w14:schemeClr w14:val="tx1"/>
            </w14:solidFill>
          </w14:textFill>
        </w:rPr>
        <w:t>续</w:t>
      </w:r>
      <w:r>
        <w:rPr>
          <w:rFonts w:hint="eastAsia" w:ascii="黑体" w:hAnsi="黑体" w:eastAsia="黑体" w:cs="黑体"/>
          <w:color w:val="000000" w:themeColor="text1"/>
          <w:sz w:val="18"/>
          <w:szCs w:val="18"/>
          <w:highlight w:val="none"/>
          <w14:textFill>
            <w14:solidFill>
              <w14:schemeClr w14:val="tx1"/>
            </w14:solidFill>
          </w14:textFill>
        </w:rPr>
        <w:t>表</w:t>
      </w:r>
      <w:r>
        <w:rPr>
          <w:rFonts w:hint="default" w:ascii="Times New Roman" w:hAnsi="Times New Roman" w:cs="Times New Roman"/>
          <w:b/>
          <w:color w:val="000000" w:themeColor="text1"/>
          <w:sz w:val="18"/>
          <w:szCs w:val="18"/>
          <w:highlight w:val="none"/>
          <w14:textFill>
            <w14:solidFill>
              <w14:schemeClr w14:val="tx1"/>
            </w14:solidFill>
          </w14:textFill>
        </w:rPr>
        <w:t>8.</w:t>
      </w:r>
      <w:r>
        <w:rPr>
          <w:rFonts w:hint="default" w:ascii="Times New Roman" w:hAnsi="Times New Roman" w:cs="Times New Roman"/>
          <w:b/>
          <w:color w:val="000000" w:themeColor="text1"/>
          <w:sz w:val="18"/>
          <w:szCs w:val="18"/>
          <w:highlight w:val="none"/>
          <w:lang w:val="en-US" w:eastAsia="zh-CN"/>
          <w14:textFill>
            <w14:solidFill>
              <w14:schemeClr w14:val="tx1"/>
            </w14:solidFill>
          </w14:textFill>
        </w:rPr>
        <w:t>8</w:t>
      </w:r>
      <w:r>
        <w:rPr>
          <w:rFonts w:hint="default" w:ascii="Times New Roman" w:hAnsi="Times New Roman" w:cs="Times New Roman"/>
          <w:b/>
          <w:color w:val="000000" w:themeColor="text1"/>
          <w:sz w:val="18"/>
          <w:szCs w:val="18"/>
          <w:highlight w:val="none"/>
          <w14:textFill>
            <w14:solidFill>
              <w14:schemeClr w14:val="tx1"/>
            </w14:solidFill>
          </w14:textFill>
        </w:rPr>
        <w:t>.7</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542"/>
        <w:gridCol w:w="1569"/>
        <w:gridCol w:w="947"/>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213" w:type="dxa"/>
            <w:gridSpan w:val="2"/>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合格标准及允许偏差</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抽检数量</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卫生间门、入户门</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门扇间隙</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shd w:val="clear" w:color="FFFFFF" w:fill="D9D9D9"/>
                <w14:textFill>
                  <w14:solidFill>
                    <w14:schemeClr w14:val="tx1"/>
                  </w14:solidFill>
                </w14:textFill>
              </w:rPr>
              <w:t>门扇间隙均匀度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间隙均匀</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关上后观察与门间隙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门锁处缝隙</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门扇闭合性</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门缝无漏光</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观察，关门后检查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卫生间门状态</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开关灵活，滑轨运</w:t>
            </w:r>
          </w:p>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行正常</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手动开关门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卫生间门扇门框渗水试验</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不渗水</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抽检</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卫生间门内试水，观察，手触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窗</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窗框定位</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符合图纸尺寸</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窗框垂直度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水平尺、塞尺检查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窗框水平度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水平尺、塞尺检查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打胶</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窗框与墙面的拼缝打防水胶，打胶通长，饱满，无断裂</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atLeast"/>
          <w:jc w:val="center"/>
        </w:trPr>
        <w:tc>
          <w:tcPr>
            <w:tcW w:w="671"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机电线盒</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同一室内的底盒标高差</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机电线盒</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数量</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符合图纸数量</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根据图纸查验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幕墙</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金属幕墙立柱、横梁安装偏差</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幕墙垂直度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激光经纬仪或经纬仪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竖向板材直线度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竖向板材直线度 ≤3mm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靠尺、塞尺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横向板材水平度不大于2000mm</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水平仪</w:t>
            </w:r>
          </w:p>
        </w:tc>
      </w:tr>
    </w:tbl>
    <w:p>
      <w:pPr>
        <w:jc w:val="center"/>
        <w:rPr>
          <w:rFonts w:hint="eastAsia" w:ascii="黑体" w:hAnsi="黑体" w:eastAsia="黑体" w:cs="黑体"/>
          <w:color w:val="000000" w:themeColor="text1"/>
          <w:sz w:val="18"/>
          <w:szCs w:val="18"/>
          <w:highlight w:val="none"/>
          <w:lang w:val="en-US" w:eastAsia="zh-CN"/>
          <w14:textFill>
            <w14:solidFill>
              <w14:schemeClr w14:val="tx1"/>
            </w14:solidFill>
          </w14:textFill>
        </w:rPr>
      </w:pPr>
    </w:p>
    <w:p>
      <w:pPr>
        <w:jc w:val="center"/>
        <w:rPr>
          <w:color w:val="000000" w:themeColor="text1"/>
          <w14:textFill>
            <w14:solidFill>
              <w14:schemeClr w14:val="tx1"/>
            </w14:solidFill>
          </w14:textFill>
        </w:rPr>
      </w:pPr>
      <w:r>
        <w:rPr>
          <w:rFonts w:hint="eastAsia" w:ascii="黑体" w:hAnsi="黑体" w:eastAsia="黑体" w:cs="黑体"/>
          <w:color w:val="000000" w:themeColor="text1"/>
          <w:sz w:val="18"/>
          <w:szCs w:val="18"/>
          <w:highlight w:val="none"/>
          <w:lang w:val="en-US" w:eastAsia="zh-CN"/>
          <w14:textFill>
            <w14:solidFill>
              <w14:schemeClr w14:val="tx1"/>
            </w14:solidFill>
          </w14:textFill>
        </w:rPr>
        <w:t>续</w:t>
      </w:r>
      <w:r>
        <w:rPr>
          <w:rFonts w:hint="eastAsia" w:ascii="黑体" w:hAnsi="黑体" w:eastAsia="黑体" w:cs="黑体"/>
          <w:color w:val="000000" w:themeColor="text1"/>
          <w:sz w:val="18"/>
          <w:szCs w:val="18"/>
          <w:highlight w:val="none"/>
          <w14:textFill>
            <w14:solidFill>
              <w14:schemeClr w14:val="tx1"/>
            </w14:solidFill>
          </w14:textFill>
        </w:rPr>
        <w:t>表</w:t>
      </w:r>
      <w:r>
        <w:rPr>
          <w:rFonts w:hint="default" w:ascii="Times New Roman" w:hAnsi="Times New Roman" w:cs="Times New Roman"/>
          <w:b/>
          <w:color w:val="000000" w:themeColor="text1"/>
          <w:sz w:val="18"/>
          <w:szCs w:val="18"/>
          <w:highlight w:val="none"/>
          <w14:textFill>
            <w14:solidFill>
              <w14:schemeClr w14:val="tx1"/>
            </w14:solidFill>
          </w14:textFill>
        </w:rPr>
        <w:t>8.</w:t>
      </w:r>
      <w:r>
        <w:rPr>
          <w:rFonts w:hint="default" w:ascii="Times New Roman" w:hAnsi="Times New Roman" w:cs="Times New Roman"/>
          <w:b/>
          <w:color w:val="000000" w:themeColor="text1"/>
          <w:sz w:val="18"/>
          <w:szCs w:val="18"/>
          <w:highlight w:val="none"/>
          <w:lang w:val="en-US" w:eastAsia="zh-CN"/>
          <w14:textFill>
            <w14:solidFill>
              <w14:schemeClr w14:val="tx1"/>
            </w14:solidFill>
          </w14:textFill>
        </w:rPr>
        <w:t>8</w:t>
      </w:r>
      <w:r>
        <w:rPr>
          <w:rFonts w:hint="default" w:ascii="Times New Roman" w:hAnsi="Times New Roman" w:cs="Times New Roman"/>
          <w:b/>
          <w:color w:val="000000" w:themeColor="text1"/>
          <w:sz w:val="18"/>
          <w:szCs w:val="18"/>
          <w:highlight w:val="none"/>
          <w14:textFill>
            <w14:solidFill>
              <w14:schemeClr w14:val="tx1"/>
            </w14:solidFill>
          </w14:textFill>
        </w:rPr>
        <w:t>.7</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542"/>
        <w:gridCol w:w="1569"/>
        <w:gridCol w:w="947"/>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13" w:type="dxa"/>
            <w:gridSpan w:val="2"/>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合格标准及允许偏差</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抽检数量</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幕墙</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同高度相邻两根横向构件高度差</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钢板尺、塞尺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幕墙横向水平度，不大于 3m 的层高</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幕墙横向水平度，大于 3m 的层高</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水平仪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涂饰</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颜色</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均匀一致</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光泽、光滑</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光泽均匀，光滑无挡手感</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返碱、咬色</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允许少量轻微</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流坠、疙瘩</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允许少量轻微</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砂眼、刷纹</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允许少量轻微砂眼，无刷纹</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涂饰</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立面垂直度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2m垂直检测尺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表面平整度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2m靠尺和塞尺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阴阳角方正</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200mm直角检测尺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涂饰</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装饰线、分色线直线度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拉通线，钢直尺检查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墙裙、勒脚上口直线度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拉通线，钢直尺检查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restart"/>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栏杆工程</w:t>
            </w: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护栏垂直度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1m垂直检测尺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栏杆间距</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0，-6mm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扶手直线度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4mm</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拉通线，钢直尺检查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vMerge w:val="continue"/>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p>
        </w:tc>
        <w:tc>
          <w:tcPr>
            <w:tcW w:w="1542"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扶手高度</w:t>
            </w:r>
          </w:p>
        </w:tc>
        <w:tc>
          <w:tcPr>
            <w:tcW w:w="1569"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﹢6mm,0</w:t>
            </w:r>
          </w:p>
        </w:tc>
        <w:tc>
          <w:tcPr>
            <w:tcW w:w="947"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全数检查</w:t>
            </w:r>
          </w:p>
        </w:tc>
        <w:tc>
          <w:tcPr>
            <w:tcW w:w="1404" w:type="dxa"/>
            <w:tcBorders>
              <w:tl2br w:val="nil"/>
              <w:tr2bl w:val="nil"/>
            </w:tcBorders>
            <w:vAlign w:val="center"/>
          </w:tcPr>
          <w:p>
            <w:pPr>
              <w:pStyle w:val="5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钢尺检查</w:t>
            </w:r>
          </w:p>
        </w:tc>
      </w:tr>
    </w:tbl>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szCs w:val="24"/>
          <w:highlight w:val="none"/>
          <w:lang w:val="en-US" w:eastAsia="zh-CN"/>
          <w14:textFill>
            <w14:solidFill>
              <w14:schemeClr w14:val="tx1"/>
            </w14:solidFill>
          </w14:textFill>
        </w:rPr>
        <w:t>8</w:t>
      </w:r>
      <w:r>
        <w:rPr>
          <w:rFonts w:hint="default" w:ascii="Times New Roman" w:hAnsi="Times New Roman" w:cs="Times New Roman"/>
          <w:b/>
          <w:color w:val="000000" w:themeColor="text1"/>
          <w:szCs w:val="24"/>
          <w:highlight w:val="none"/>
          <w14:textFill>
            <w14:solidFill>
              <w14:schemeClr w14:val="tx1"/>
            </w14:solidFill>
          </w14:textFill>
        </w:rPr>
        <w:t xml:space="preserve">.8  </w:t>
      </w:r>
      <w:r>
        <w:rPr>
          <w:rFonts w:hint="default" w:ascii="Times New Roman" w:hAnsi="Times New Roman" w:cs="Times New Roman"/>
          <w:color w:val="000000" w:themeColor="text1"/>
          <w:szCs w:val="24"/>
          <w:highlight w:val="none"/>
          <w14:textFill>
            <w14:solidFill>
              <w14:schemeClr w14:val="tx1"/>
            </w14:solidFill>
          </w14:textFill>
        </w:rPr>
        <w:t>模块单元的预埋件、插筋、对拉孔、设备孔、预埋波纹管的规格、数量和间距应满足设计要求。</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检查数量：全数检验。</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检验方法：观察和量测。</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szCs w:val="24"/>
          <w:highlight w:val="none"/>
          <w:lang w:val="en-US" w:eastAsia="zh-CN"/>
          <w14:textFill>
            <w14:solidFill>
              <w14:schemeClr w14:val="tx1"/>
            </w14:solidFill>
          </w14:textFill>
        </w:rPr>
        <w:t>8</w:t>
      </w:r>
      <w:r>
        <w:rPr>
          <w:rFonts w:hint="default" w:ascii="Times New Roman" w:hAnsi="Times New Roman" w:cs="Times New Roman"/>
          <w:b/>
          <w:color w:val="000000" w:themeColor="text1"/>
          <w:szCs w:val="24"/>
          <w:highlight w:val="none"/>
          <w14:textFill>
            <w14:solidFill>
              <w14:schemeClr w14:val="tx1"/>
            </w14:solidFill>
          </w14:textFill>
        </w:rPr>
        <w:t xml:space="preserve">.9  </w:t>
      </w:r>
      <w:r>
        <w:rPr>
          <w:rFonts w:hint="default" w:ascii="Times New Roman" w:hAnsi="Times New Roman" w:cs="Times New Roman"/>
          <w:color w:val="000000" w:themeColor="text1"/>
          <w:szCs w:val="24"/>
          <w:highlight w:val="none"/>
          <w14:textFill>
            <w14:solidFill>
              <w14:schemeClr w14:val="tx1"/>
            </w14:solidFill>
          </w14:textFill>
        </w:rPr>
        <w:t>模块单元的粗糙面或键槽成型质量应满足设计要求。</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检查数量：全数检验。</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检验方法：观察和量测。</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.10  </w:t>
      </w:r>
      <w:r>
        <w:rPr>
          <w:rFonts w:hint="default" w:ascii="Times New Roman" w:hAnsi="Times New Roman" w:cs="Times New Roman"/>
          <w:color w:val="000000" w:themeColor="text1"/>
          <w:highlight w:val="none"/>
          <w14:textFill>
            <w14:solidFill>
              <w14:schemeClr w14:val="tx1"/>
            </w14:solidFill>
          </w14:textFill>
        </w:rPr>
        <w:t>模块单元的装修质量检验应包括墙面、地面、天花、机电和门窗等内容，并宜根据附录A中样式出示模块单元装修质量检测报告。</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检验方法：应符合本</w:t>
      </w:r>
      <w:r>
        <w:rPr>
          <w:rFonts w:hint="default" w:ascii="Times New Roman" w:hAnsi="Times New Roman" w:cs="Times New Roman"/>
          <w:color w:val="000000" w:themeColor="text1"/>
          <w:highlight w:val="none"/>
          <w:lang w:val="en-US" w:eastAsia="zh-CN"/>
          <w14:textFill>
            <w14:solidFill>
              <w14:schemeClr w14:val="tx1"/>
            </w14:solidFill>
          </w14:textFill>
        </w:rPr>
        <w:t>标准</w:t>
      </w:r>
      <w:r>
        <w:rPr>
          <w:rFonts w:hint="default" w:ascii="Times New Roman" w:hAnsi="Times New Roman" w:cs="Times New Roman"/>
          <w:color w:val="000000" w:themeColor="text1"/>
          <w:highlight w:val="none"/>
          <w14:textFill>
            <w14:solidFill>
              <w14:schemeClr w14:val="tx1"/>
            </w14:solidFill>
          </w14:textFill>
        </w:rPr>
        <w:t>附录</w:t>
      </w:r>
      <w:r>
        <w:rPr>
          <w:rFonts w:hint="default" w:ascii="Times New Roman" w:hAnsi="Times New Roman" w:cs="Times New Roman"/>
          <w:color w:val="000000" w:themeColor="text1"/>
          <w:highlight w:val="none"/>
          <w:lang w:val="en-US" w:eastAsia="zh-CN"/>
          <w14:textFill>
            <w14:solidFill>
              <w14:schemeClr w14:val="tx1"/>
            </w14:solidFill>
          </w14:textFill>
        </w:rPr>
        <w:t>A</w:t>
      </w:r>
      <w:r>
        <w:rPr>
          <w:rFonts w:hint="default" w:ascii="Times New Roman" w:hAnsi="Times New Roman" w:cs="Times New Roman"/>
          <w:color w:val="000000" w:themeColor="text1"/>
          <w:highlight w:val="none"/>
          <w14:textFill>
            <w14:solidFill>
              <w14:schemeClr w14:val="tx1"/>
            </w14:solidFill>
          </w14:textFill>
        </w:rPr>
        <w:t>的规定。</w:t>
      </w:r>
    </w:p>
    <w:p>
      <w:pP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szCs w:val="24"/>
          <w:highlight w:val="none"/>
          <w:lang w:val="en-US" w:eastAsia="zh-CN"/>
          <w14:textFill>
            <w14:solidFill>
              <w14:schemeClr w14:val="tx1"/>
            </w14:solidFill>
          </w14:textFill>
        </w:rPr>
        <w:t>8</w:t>
      </w:r>
      <w:r>
        <w:rPr>
          <w:rFonts w:hint="default" w:ascii="Times New Roman" w:hAnsi="Times New Roman" w:cs="Times New Roman"/>
          <w:b/>
          <w:color w:val="000000" w:themeColor="text1"/>
          <w:szCs w:val="24"/>
          <w:highlight w:val="none"/>
          <w14:textFill>
            <w14:solidFill>
              <w14:schemeClr w14:val="tx1"/>
            </w14:solidFill>
          </w14:textFill>
        </w:rPr>
        <w:t xml:space="preserve">.11  </w:t>
      </w:r>
      <w:r>
        <w:rPr>
          <w:rFonts w:hint="default" w:ascii="Times New Roman" w:hAnsi="Times New Roman" w:cs="Times New Roman"/>
          <w:color w:val="000000" w:themeColor="text1"/>
          <w:szCs w:val="24"/>
          <w:highlight w:val="none"/>
          <w14:textFill>
            <w14:solidFill>
              <w14:schemeClr w14:val="tx1"/>
            </w14:solidFill>
          </w14:textFill>
        </w:rPr>
        <w:t>内、外面砖或石材饰面与模块单元混凝土的粘结强度应符合现行行业标准《建筑工程饰面砖粘结强度检验标准》JGJ 110和《外墙饰面砖工程施工及验收规程》JGJ 126的有关规定。</w:t>
      </w:r>
    </w:p>
    <w:p>
      <w:pPr>
        <w:ind w:firstLine="42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检查数量：按同一工程、同一工艺分批抽样检验。</w:t>
      </w:r>
    </w:p>
    <w:p>
      <w:pPr>
        <w:ind w:firstLine="42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检验方法：检查试验报告单。</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.12  </w:t>
      </w:r>
      <w:r>
        <w:rPr>
          <w:rFonts w:hint="default" w:ascii="Times New Roman" w:hAnsi="Times New Roman" w:cs="Times New Roman"/>
          <w:color w:val="000000" w:themeColor="text1"/>
          <w:highlight w:val="none"/>
          <w14:textFill>
            <w14:solidFill>
              <w14:schemeClr w14:val="tx1"/>
            </w14:solidFill>
          </w14:textFill>
        </w:rPr>
        <w:t>模块单元</w:t>
      </w:r>
      <w:r>
        <w:rPr>
          <w:rFonts w:hint="default" w:ascii="Times New Roman" w:hAnsi="Times New Roman" w:cs="Times New Roman"/>
          <w:color w:val="000000" w:themeColor="text1"/>
          <w:highlight w:val="none"/>
          <w:lang w:val="en-US" w:eastAsia="zh-CN"/>
          <w14:textFill>
            <w14:solidFill>
              <w14:schemeClr w14:val="tx1"/>
            </w14:solidFill>
          </w14:textFill>
        </w:rPr>
        <w:t>首件生产达到设计起吊强度后，批量生产</w:t>
      </w:r>
      <w:r>
        <w:rPr>
          <w:rFonts w:hint="default" w:ascii="Times New Roman" w:hAnsi="Times New Roman" w:cs="Times New Roman"/>
          <w:color w:val="000000" w:themeColor="text1"/>
          <w:highlight w:val="none"/>
          <w14:textFill>
            <w14:solidFill>
              <w14:schemeClr w14:val="tx1"/>
            </w14:solidFill>
          </w14:textFill>
        </w:rPr>
        <w:t>前应进行吊装测试。</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检查数量：检测1个。</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检验方法：应符合本</w:t>
      </w:r>
      <w:r>
        <w:rPr>
          <w:rFonts w:hint="default" w:ascii="Times New Roman" w:hAnsi="Times New Roman" w:cs="Times New Roman"/>
          <w:color w:val="000000" w:themeColor="text1"/>
          <w:highlight w:val="none"/>
          <w:lang w:val="en-US" w:eastAsia="zh-CN"/>
          <w14:textFill>
            <w14:solidFill>
              <w14:schemeClr w14:val="tx1"/>
            </w14:solidFill>
          </w14:textFill>
        </w:rPr>
        <w:t>标准</w:t>
      </w:r>
      <w:r>
        <w:rPr>
          <w:rFonts w:hint="default" w:ascii="Times New Roman" w:hAnsi="Times New Roman" w:cs="Times New Roman"/>
          <w:color w:val="000000" w:themeColor="text1"/>
          <w:highlight w:val="none"/>
          <w14:textFill>
            <w14:solidFill>
              <w14:schemeClr w14:val="tx1"/>
            </w14:solidFill>
          </w14:textFill>
        </w:rPr>
        <w:t>附录</w:t>
      </w:r>
      <w:r>
        <w:rPr>
          <w:rFonts w:hint="default" w:ascii="Times New Roman" w:hAnsi="Times New Roman" w:cs="Times New Roman"/>
          <w:color w:val="000000" w:themeColor="text1"/>
          <w:highlight w:val="none"/>
          <w:lang w:val="en-US" w:eastAsia="zh-CN"/>
          <w14:textFill>
            <w14:solidFill>
              <w14:schemeClr w14:val="tx1"/>
            </w14:solidFill>
          </w14:textFill>
        </w:rPr>
        <w:t>B</w:t>
      </w:r>
      <w:r>
        <w:rPr>
          <w:rFonts w:hint="default" w:ascii="Times New Roman" w:hAnsi="Times New Roman" w:cs="Times New Roman"/>
          <w:color w:val="000000" w:themeColor="text1"/>
          <w:highlight w:val="none"/>
          <w14:textFill>
            <w14:solidFill>
              <w14:schemeClr w14:val="tx1"/>
            </w14:solidFill>
          </w14:textFill>
        </w:rPr>
        <w:t>的规定。</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.13  </w:t>
      </w:r>
      <w:r>
        <w:rPr>
          <w:rFonts w:hint="default" w:ascii="Times New Roman" w:hAnsi="Times New Roman" w:cs="Times New Roman"/>
          <w:color w:val="000000" w:themeColor="text1"/>
          <w:highlight w:val="none"/>
          <w14:textFill>
            <w14:solidFill>
              <w14:schemeClr w14:val="tx1"/>
            </w14:solidFill>
          </w14:textFill>
        </w:rPr>
        <w:t>卫浴及厨房模块单元应进行蓄水试验，其排水坡度、通风装置、安装及检修用管道空间、地面防水层均应符合设计要求和</w:t>
      </w:r>
      <w:r>
        <w:rPr>
          <w:rFonts w:hint="default" w:ascii="Times New Roman" w:hAnsi="Times New Roman" w:cs="Times New Roman"/>
          <w:color w:val="000000" w:themeColor="text1"/>
          <w:highlight w:val="none"/>
          <w:lang w:eastAsia="zh-CN"/>
          <w14:textFill>
            <w14:solidFill>
              <w14:schemeClr w14:val="tx1"/>
            </w14:solidFill>
          </w14:textFill>
        </w:rPr>
        <w:t>本标准</w:t>
      </w:r>
      <w:r>
        <w:rPr>
          <w:rFonts w:hint="default" w:ascii="Times New Roman" w:hAnsi="Times New Roman" w:cs="Times New Roman"/>
          <w:color w:val="000000" w:themeColor="text1"/>
          <w:highlight w:val="none"/>
          <w14:textFill>
            <w14:solidFill>
              <w14:schemeClr w14:val="tx1"/>
            </w14:solidFill>
          </w14:textFill>
        </w:rPr>
        <w:t>的有关规定。</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检查数量：同种类型的模块单元每次抽检数量不应少于该品种数量的10％且不少于5件。</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检验方法：蓄水试验前，应封堵试验区域内的排水口，蓄水时间不应小于24h，蓄水深度最浅处不应小于25mm。</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.14  </w:t>
      </w:r>
      <w:r>
        <w:rPr>
          <w:rFonts w:hint="default" w:ascii="Times New Roman" w:hAnsi="Times New Roman" w:cs="Times New Roman"/>
          <w:color w:val="000000" w:themeColor="text1"/>
          <w:highlight w:val="none"/>
          <w14:textFill>
            <w14:solidFill>
              <w14:schemeClr w14:val="tx1"/>
            </w14:solidFill>
          </w14:textFill>
        </w:rPr>
        <w:t>模块单元出厂前应对有防水要求的外墙、外窗、门进行淋水试验。</w:t>
      </w:r>
    </w:p>
    <w:p>
      <w:pPr>
        <w:ind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检验方法：试验前应关闭</w:t>
      </w:r>
      <w:r>
        <w:rPr>
          <w:rFonts w:hint="default" w:ascii="Times New Roman" w:hAnsi="Times New Roman" w:cs="Times New Roman"/>
          <w:color w:val="000000" w:themeColor="text1"/>
          <w:highlight w:val="none"/>
          <w:lang w:val="en-US" w:eastAsia="zh-CN"/>
          <w14:textFill>
            <w14:solidFill>
              <w14:schemeClr w14:val="tx1"/>
            </w14:solidFill>
          </w14:textFill>
        </w:rPr>
        <w:t>门窗</w:t>
      </w:r>
      <w:r>
        <w:rPr>
          <w:rFonts w:hint="default" w:ascii="Times New Roman" w:hAnsi="Times New Roman" w:cs="Times New Roman"/>
          <w:color w:val="000000" w:themeColor="text1"/>
          <w:highlight w:val="none"/>
          <w14:textFill>
            <w14:solidFill>
              <w14:schemeClr w14:val="tx1"/>
            </w14:solidFill>
          </w14:textFill>
        </w:rPr>
        <w:t>，封闭各种预留洞口，采用淋水管线对模块单元自上而下淋水，淋水水压不应低于0.3MPa，并应能在待测区域表面形成均匀水幕，检查背水面渗漏情况。</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949" w:name="_Toc25086"/>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资料及交付</w:t>
      </w:r>
      <w:bookmarkEnd w:id="949"/>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9</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1</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模块单元的资料应与产品生产同步形成、收集和整理，生产厂家归档资料宜包括下列内容：</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模块单元加工合同；</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模块单元加工图纸及其他设计文件；</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生产方案和质量计划等文件；</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原材料质量证明文件、复</w:t>
      </w:r>
      <w:r>
        <w:rPr>
          <w:rFonts w:hint="default" w:ascii="Times New Roman" w:hAnsi="Times New Roman" w:cs="Times New Roman"/>
          <w:color w:val="000000" w:themeColor="text1"/>
          <w:highlight w:val="none"/>
          <w:lang w:val="en-US" w:eastAsia="zh-CN"/>
          <w14:textFill>
            <w14:solidFill>
              <w14:schemeClr w14:val="tx1"/>
            </w14:solidFill>
          </w14:textFill>
        </w:rPr>
        <w:t>检</w:t>
      </w:r>
      <w:r>
        <w:rPr>
          <w:rFonts w:hint="default" w:ascii="Times New Roman" w:hAnsi="Times New Roman" w:cs="Times New Roman"/>
          <w:color w:val="000000" w:themeColor="text1"/>
          <w:highlight w:val="none"/>
          <w14:textFill>
            <w14:solidFill>
              <w14:schemeClr w14:val="tx1"/>
            </w14:solidFill>
          </w14:textFill>
        </w:rPr>
        <w:t>试验记录和试验报告；</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混凝土试配及配合比资料；</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混凝土送货单；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7  </w:t>
      </w:r>
      <w:r>
        <w:rPr>
          <w:rFonts w:hint="default" w:ascii="Times New Roman" w:hAnsi="Times New Roman" w:cs="Times New Roman"/>
          <w:color w:val="000000" w:themeColor="text1"/>
          <w:highlight w:val="none"/>
          <w14:textFill>
            <w14:solidFill>
              <w14:schemeClr w14:val="tx1"/>
            </w14:solidFill>
          </w14:textFill>
        </w:rPr>
        <w:t>混凝土强度报告；</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8  </w:t>
      </w:r>
      <w:r>
        <w:rPr>
          <w:rFonts w:hint="default" w:ascii="Times New Roman" w:hAnsi="Times New Roman" w:cs="Times New Roman"/>
          <w:color w:val="000000" w:themeColor="text1"/>
          <w:highlight w:val="none"/>
          <w14:textFill>
            <w14:solidFill>
              <w14:schemeClr w14:val="tx1"/>
            </w14:solidFill>
          </w14:textFill>
        </w:rPr>
        <w:t>钢筋检验资料、钢筋接头的试验报告；</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9</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模具检验资料；</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10  </w:t>
      </w:r>
      <w:r>
        <w:rPr>
          <w:rFonts w:hint="default" w:ascii="Times New Roman" w:hAnsi="Times New Roman" w:cs="Times New Roman"/>
          <w:color w:val="000000" w:themeColor="text1"/>
          <w:highlight w:val="none"/>
          <w14:textFill>
            <w14:solidFill>
              <w14:schemeClr w14:val="tx1"/>
            </w14:solidFill>
          </w14:textFill>
        </w:rPr>
        <w:t>混凝土浇筑记录；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11  </w:t>
      </w:r>
      <w:r>
        <w:rPr>
          <w:rFonts w:hint="default" w:ascii="Times New Roman" w:hAnsi="Times New Roman" w:cs="Times New Roman"/>
          <w:color w:val="000000" w:themeColor="text1"/>
          <w:highlight w:val="none"/>
          <w14:textFill>
            <w14:solidFill>
              <w14:schemeClr w14:val="tx1"/>
            </w14:solidFill>
          </w14:textFill>
        </w:rPr>
        <w:t>混凝土养护记录；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12  </w:t>
      </w:r>
      <w:r>
        <w:rPr>
          <w:rFonts w:hint="default" w:ascii="Times New Roman" w:hAnsi="Times New Roman" w:cs="Times New Roman"/>
          <w:color w:val="000000" w:themeColor="text1"/>
          <w:highlight w:val="none"/>
          <w14:textFill>
            <w14:solidFill>
              <w14:schemeClr w14:val="tx1"/>
            </w14:solidFill>
          </w14:textFill>
        </w:rPr>
        <w:t>模块单元的预制构件的尺寸偏差及外观质量检验记录；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13  </w:t>
      </w:r>
      <w:r>
        <w:rPr>
          <w:rFonts w:hint="default" w:ascii="Times New Roman" w:hAnsi="Times New Roman" w:cs="Times New Roman"/>
          <w:color w:val="000000" w:themeColor="text1"/>
          <w:highlight w:val="none"/>
          <w14:textFill>
            <w14:solidFill>
              <w14:schemeClr w14:val="tx1"/>
            </w14:solidFill>
          </w14:textFill>
        </w:rPr>
        <w:t>模块单元尺寸偏差及外观质量检验记录；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14</w:t>
      </w:r>
      <w:r>
        <w:rPr>
          <w:rFonts w:hint="default" w:ascii="Times New Roman" w:hAnsi="Times New Roman" w:cs="Times New Roman"/>
          <w:color w:val="000000" w:themeColor="text1"/>
          <w:highlight w:val="none"/>
          <w14:textFill>
            <w14:solidFill>
              <w14:schemeClr w14:val="tx1"/>
            </w14:solidFill>
          </w14:textFill>
        </w:rPr>
        <w:t xml:space="preserve">  模块单元吊装测试报告；</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15  </w:t>
      </w:r>
      <w:r>
        <w:rPr>
          <w:rFonts w:hint="default" w:ascii="Times New Roman" w:hAnsi="Times New Roman" w:cs="Times New Roman"/>
          <w:color w:val="000000" w:themeColor="text1"/>
          <w:highlight w:val="none"/>
          <w14:textFill>
            <w14:solidFill>
              <w14:schemeClr w14:val="tx1"/>
            </w14:solidFill>
          </w14:textFill>
        </w:rPr>
        <w:t>模块单元蓄水试验报告；</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16  </w:t>
      </w:r>
      <w:r>
        <w:rPr>
          <w:rFonts w:hint="default" w:ascii="Times New Roman" w:hAnsi="Times New Roman" w:cs="Times New Roman"/>
          <w:color w:val="000000" w:themeColor="text1"/>
          <w:highlight w:val="none"/>
          <w14:textFill>
            <w14:solidFill>
              <w14:schemeClr w14:val="tx1"/>
            </w14:solidFill>
          </w14:textFill>
        </w:rPr>
        <w:t>模块单元淋水试验报告；</w:t>
      </w:r>
    </w:p>
    <w:p>
      <w:pPr>
        <w:ind w:firstLine="421" w:firstLineChars="20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17</w:t>
      </w:r>
      <w:r>
        <w:rPr>
          <w:rFonts w:hint="default" w:ascii="Times New Roman" w:hAnsi="Times New Roman" w:cs="Times New Roman"/>
          <w:color w:val="000000" w:themeColor="text1"/>
          <w:highlight w:val="none"/>
          <w14:textFill>
            <w14:solidFill>
              <w14:schemeClr w14:val="tx1"/>
            </w14:solidFill>
          </w14:textFill>
        </w:rPr>
        <w:t xml:space="preserve">  模块单元使用功能检验记录；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18  </w:t>
      </w:r>
      <w:r>
        <w:rPr>
          <w:rFonts w:hint="default" w:ascii="Times New Roman" w:hAnsi="Times New Roman" w:cs="Times New Roman"/>
          <w:color w:val="000000" w:themeColor="text1"/>
          <w:highlight w:val="none"/>
          <w14:textFill>
            <w14:solidFill>
              <w14:schemeClr w14:val="tx1"/>
            </w14:solidFill>
          </w14:textFill>
        </w:rPr>
        <w:t>模块出厂合格证；</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19  </w:t>
      </w:r>
      <w:r>
        <w:rPr>
          <w:rFonts w:hint="default" w:ascii="Times New Roman" w:hAnsi="Times New Roman" w:cs="Times New Roman"/>
          <w:color w:val="000000" w:themeColor="text1"/>
          <w:highlight w:val="none"/>
          <w14:textFill>
            <w14:solidFill>
              <w14:schemeClr w14:val="tx1"/>
            </w14:solidFill>
          </w14:textFill>
        </w:rPr>
        <w:t>质量事故分析和处理资料；</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20  </w:t>
      </w:r>
      <w:r>
        <w:rPr>
          <w:rFonts w:hint="default" w:ascii="Times New Roman" w:hAnsi="Times New Roman" w:cs="Times New Roman"/>
          <w:color w:val="000000" w:themeColor="text1"/>
          <w:highlight w:val="none"/>
          <w14:textFill>
            <w14:solidFill>
              <w14:schemeClr w14:val="tx1"/>
            </w14:solidFill>
          </w14:textFill>
        </w:rPr>
        <w:t>其他与模块单元生产和质量有关的重要文件资料。</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9</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模块单元交付的文件资料应包括下列内容：</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出厂合格证；</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产品质量证明文件</w:t>
      </w:r>
      <w:bookmarkEnd w:id="934"/>
      <w:bookmarkEnd w:id="935"/>
      <w:bookmarkEnd w:id="936"/>
      <w:bookmarkEnd w:id="938"/>
      <w:bookmarkEnd w:id="939"/>
      <w:bookmarkEnd w:id="940"/>
      <w:bookmarkEnd w:id="941"/>
      <w:bookmarkEnd w:id="942"/>
      <w:bookmarkEnd w:id="943"/>
      <w:bookmarkEnd w:id="944"/>
      <w:bookmarkEnd w:id="945"/>
      <w:r>
        <w:rPr>
          <w:rFonts w:hint="default" w:ascii="Times New Roman" w:hAnsi="Times New Roman" w:cs="Times New Roman"/>
          <w:color w:val="000000" w:themeColor="text1"/>
          <w:highlight w:val="none"/>
          <w:lang w:eastAsia="zh-CN"/>
          <w14:textFill>
            <w14:solidFill>
              <w14:schemeClr w14:val="tx1"/>
            </w14:solidFill>
          </w14:textFill>
        </w:rPr>
        <w:t>。</w:t>
      </w:r>
    </w:p>
    <w:p>
      <w:pPr>
        <w:pStyle w:val="39"/>
        <w:spacing w:line="360" w:lineRule="auto"/>
        <w:jc w:val="center"/>
        <w:rPr>
          <w:rFonts w:hint="default" w:ascii="Times New Roman" w:hAnsi="Times New Roman" w:cs="Times New Roman"/>
          <w:color w:val="000000" w:themeColor="text1"/>
          <w:spacing w:val="20"/>
          <w:sz w:val="32"/>
          <w:szCs w:val="32"/>
          <w:highlight w:val="none"/>
          <w14:textFill>
            <w14:solidFill>
              <w14:schemeClr w14:val="tx1"/>
            </w14:solidFill>
          </w14:textFill>
        </w:rPr>
      </w:pPr>
    </w:p>
    <w:p>
      <w:pPr>
        <w:pStyle w:val="37"/>
        <w:spacing w:after="240" w:line="360" w:lineRule="auto"/>
        <w:ind w:left="480"/>
        <w:jc w:val="right"/>
        <w:rPr>
          <w:rFonts w:hint="default" w:ascii="Times New Roman" w:hAnsi="Times New Roman" w:eastAsia="黑体" w:cs="Times New Roman"/>
          <w:b/>
          <w:bCs/>
          <w:color w:val="000000" w:themeColor="text1"/>
          <w:spacing w:val="-11"/>
          <w:sz w:val="28"/>
          <w:szCs w:val="28"/>
          <w:highlight w:val="none"/>
          <w14:textFill>
            <w14:solidFill>
              <w14:schemeClr w14:val="tx1"/>
            </w14:solidFill>
          </w14:textFill>
        </w:rPr>
      </w:pPr>
    </w:p>
    <w:p>
      <w:pPr>
        <w:rPr>
          <w:rFonts w:hint="default" w:ascii="Times New Roman" w:hAnsi="Times New Roman" w:cs="Times New Roman"/>
          <w:color w:val="000000" w:themeColor="text1"/>
          <w:kern w:val="0"/>
          <w:sz w:val="44"/>
          <w:szCs w:val="44"/>
          <w:highlight w:val="none"/>
          <w14:textFill>
            <w14:solidFill>
              <w14:schemeClr w14:val="tx1"/>
            </w14:solidFill>
          </w14:textFill>
        </w:rPr>
      </w:pPr>
    </w:p>
    <w:p>
      <w:pPr>
        <w:ind w:firstLine="420" w:firstLineChars="200"/>
        <w:rPr>
          <w:rFonts w:hint="default" w:ascii="Times New Roman" w:hAnsi="Times New Roman" w:cs="Times New Roman"/>
          <w:color w:val="000000" w:themeColor="text1"/>
          <w:highlight w:val="none"/>
          <w14:textFill>
            <w14:solidFill>
              <w14:schemeClr w14:val="tx1"/>
            </w14:solidFill>
          </w14:textFill>
        </w:rPr>
      </w:pPr>
    </w:p>
    <w:p>
      <w:pPr>
        <w:widowControl/>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pStyle w:val="2"/>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950" w:name="_Toc19584"/>
      <w:bookmarkStart w:id="951" w:name="_Toc20558"/>
      <w:bookmarkStart w:id="952" w:name="_Toc10089"/>
      <w:bookmarkStart w:id="953" w:name="_Toc30793"/>
      <w:bookmarkStart w:id="954" w:name="_Toc3923"/>
      <w:bookmarkStart w:id="955" w:name="_Toc22854"/>
      <w:bookmarkStart w:id="956" w:name="_Toc4456"/>
      <w:bookmarkStart w:id="957" w:name="_Toc31176"/>
      <w:r>
        <w:rPr>
          <w:rFonts w:hint="default" w:ascii="Times New Roman" w:hAnsi="Times New Roman" w:eastAsia="黑体" w:cs="Times New Roman"/>
          <w:color w:val="000000" w:themeColor="text1"/>
          <w:sz w:val="28"/>
          <w:szCs w:val="28"/>
          <w:highlight w:val="none"/>
          <w14:textFill>
            <w14:solidFill>
              <w14:schemeClr w14:val="tx1"/>
            </w14:solidFill>
          </w14:textFill>
        </w:rPr>
        <w:t>9  施 工 安 装</w:t>
      </w:r>
      <w:bookmarkEnd w:id="950"/>
      <w:bookmarkEnd w:id="951"/>
      <w:bookmarkEnd w:id="952"/>
      <w:bookmarkEnd w:id="953"/>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58" w:name="_Toc32745"/>
      <w:bookmarkStart w:id="959" w:name="_Toc23729"/>
      <w:bookmarkStart w:id="960" w:name="_Toc9944"/>
      <w:bookmarkStart w:id="961" w:name="_Toc23923"/>
      <w:bookmarkStart w:id="962" w:name="_Toc7040"/>
      <w:bookmarkStart w:id="963" w:name="_Toc20039"/>
      <w:bookmarkStart w:id="964" w:name="_Toc15516"/>
      <w:bookmarkStart w:id="965" w:name="_Toc84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9.1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 般 规 定</w:t>
      </w:r>
      <w:bookmarkEnd w:id="958"/>
      <w:bookmarkEnd w:id="959"/>
      <w:bookmarkEnd w:id="960"/>
      <w:bookmarkEnd w:id="961"/>
      <w:bookmarkEnd w:id="962"/>
      <w:bookmarkEnd w:id="963"/>
      <w:bookmarkEnd w:id="964"/>
      <w:bookmarkEnd w:id="965"/>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9.1.1  </w:t>
      </w:r>
      <w:r>
        <w:rPr>
          <w:rFonts w:hint="default" w:ascii="Times New Roman" w:hAnsi="Times New Roman" w:cs="Times New Roman"/>
          <w:color w:val="000000" w:themeColor="text1"/>
          <w:highlight w:val="none"/>
          <w14:textFill>
            <w14:solidFill>
              <w14:schemeClr w14:val="tx1"/>
            </w14:solidFill>
          </w14:textFill>
        </w:rPr>
        <w:t>安装施工前，应针对混凝土模块化建筑施工要点和难点制定施工组织设计和安全专项施工方案，符合超过一定危险性工程情形的，应按有关规定组织专家评审论证。</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9.1.</w:t>
      </w:r>
      <w:r>
        <w:rPr>
          <w:rFonts w:hint="default" w:ascii="Times New Roman" w:hAnsi="Times New Roman" w:eastAsia="PMingLiU"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安装施工前，应进行首件样板验收，并宜选取有代表性的模块进行样板间试拼装。根据试安装情况，及时调整和优化施工方案和施工工艺。经检验符合设计要求和</w:t>
      </w:r>
      <w:r>
        <w:rPr>
          <w:rFonts w:hint="default" w:ascii="Times New Roman" w:hAnsi="Times New Roman" w:cs="Times New Roman"/>
          <w:color w:val="000000" w:themeColor="text1"/>
          <w:highlight w:val="none"/>
          <w:lang w:eastAsia="zh-CN"/>
          <w14:textFill>
            <w14:solidFill>
              <w14:schemeClr w14:val="tx1"/>
            </w14:solidFill>
          </w14:textFill>
        </w:rPr>
        <w:t>本标准</w:t>
      </w:r>
      <w:r>
        <w:rPr>
          <w:rFonts w:hint="default" w:ascii="Times New Roman" w:hAnsi="Times New Roman" w:cs="Times New Roman"/>
          <w:color w:val="000000" w:themeColor="text1"/>
          <w:highlight w:val="none"/>
          <w14:textFill>
            <w14:solidFill>
              <w14:schemeClr w14:val="tx1"/>
            </w14:solidFill>
          </w14:textFill>
        </w:rPr>
        <w:t>相关要求后，方可进行正式的现场组合安装工作。</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9.1.</w:t>
      </w:r>
      <w:r>
        <w:rPr>
          <w:rFonts w:hint="default" w:ascii="Times New Roman" w:hAnsi="Times New Roman" w:cs="Times New Roman" w:eastAsiaTheme="minorEastAsia"/>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安装施工作业人员在上岗前应进行专项技能培训，并应具备相应的从业资格证明。特种设备操作人员</w:t>
      </w:r>
      <w:r>
        <w:rPr>
          <w:rFonts w:hint="default" w:ascii="Times New Roman" w:hAnsi="Times New Roman" w:cs="Times New Roman"/>
          <w:color w:val="000000" w:themeColor="text1"/>
          <w:highlight w:val="none"/>
          <w:lang w:val="en-US"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持证上岗。</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9.1.</w:t>
      </w:r>
      <w:r>
        <w:rPr>
          <w:rFonts w:hint="default" w:ascii="Times New Roman" w:hAnsi="Times New Roman" w:eastAsia="PMingLiU"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安装施工过程中</w:t>
      </w:r>
      <w:r>
        <w:rPr>
          <w:rFonts w:hint="default" w:ascii="Times New Roman" w:hAnsi="Times New Roman" w:cs="Times New Roman"/>
          <w:color w:val="000000" w:themeColor="text1"/>
          <w:highlight w:val="none"/>
          <w:lang w:val="en-US"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确保施工安全。安全措施包含但不限于高处作业、建筑机械使用、施工现场临时用电及建筑施工起重吊装等方面，相应措施应符合现行国家标准、行业标准及地方标准等。</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9.</w:t>
      </w:r>
      <w:r>
        <w:rPr>
          <w:rFonts w:hint="default" w:ascii="Times New Roman" w:hAnsi="Times New Roman" w:eastAsia="PMingLiU" w:cs="Times New Roman"/>
          <w:b/>
          <w:color w:val="000000" w:themeColor="text1"/>
          <w:highlight w:val="none"/>
          <w14:textFill>
            <w14:solidFill>
              <w14:schemeClr w14:val="tx1"/>
            </w14:solidFill>
          </w14:textFill>
        </w:rPr>
        <w:t>1</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eastAsia="PMingLiU"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安装施工应落实绿色施工的相关要求，采取相应的保证措施。保证措施应符合</w:t>
      </w:r>
      <w:r>
        <w:rPr>
          <w:rFonts w:hint="default" w:ascii="Times New Roman" w:hAnsi="Times New Roman" w:cs="Times New Roman"/>
          <w:color w:val="000000" w:themeColor="text1"/>
          <w:highlight w:val="none"/>
          <w:lang w:val="en-US" w:eastAsia="zh-CN"/>
          <w14:textFill>
            <w14:solidFill>
              <w14:schemeClr w14:val="tx1"/>
            </w14:solidFill>
          </w14:textFill>
        </w:rPr>
        <w:t>现行国家标准</w:t>
      </w:r>
      <w:r>
        <w:rPr>
          <w:rFonts w:hint="default" w:ascii="Times New Roman" w:hAnsi="Times New Roman" w:cs="Times New Roman"/>
          <w:color w:val="000000" w:themeColor="text1"/>
          <w:highlight w:val="none"/>
          <w14:textFill>
            <w14:solidFill>
              <w14:schemeClr w14:val="tx1"/>
            </w14:solidFill>
          </w14:textFill>
        </w:rPr>
        <w:t>《建筑工程绿色施工规范》GB/T 50905和《装配式混凝土建筑技术标准》GB</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T 51231等</w:t>
      </w:r>
      <w:r>
        <w:rPr>
          <w:rFonts w:hint="default" w:ascii="Times New Roman" w:hAnsi="Times New Roman"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14:textFill>
            <w14:solidFill>
              <w14:schemeClr w14:val="tx1"/>
            </w14:solidFill>
          </w14:textFill>
        </w:rPr>
        <w:t>有关规定，同时应满足地</w:t>
      </w:r>
      <w:r>
        <w:rPr>
          <w:rFonts w:hint="default" w:ascii="Times New Roman" w:hAnsi="Times New Roman" w:cs="Times New Roman"/>
          <w:color w:val="000000" w:themeColor="text1"/>
          <w:highlight w:val="none"/>
          <w:lang w:val="en-US" w:eastAsia="zh-CN"/>
          <w14:textFill>
            <w14:solidFill>
              <w14:schemeClr w14:val="tx1"/>
            </w14:solidFill>
          </w14:textFill>
        </w:rPr>
        <w:t>方相关</w:t>
      </w:r>
      <w:r>
        <w:rPr>
          <w:rFonts w:hint="default" w:ascii="Times New Roman" w:hAnsi="Times New Roman" w:cs="Times New Roman"/>
          <w:color w:val="000000" w:themeColor="text1"/>
          <w:highlight w:val="none"/>
          <w14:textFill>
            <w14:solidFill>
              <w14:schemeClr w14:val="tx1"/>
            </w14:solidFill>
          </w14:textFill>
        </w:rPr>
        <w:t>环境保护管理标准及规定。</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9.</w:t>
      </w:r>
      <w:r>
        <w:rPr>
          <w:rFonts w:hint="default" w:ascii="Times New Roman" w:hAnsi="Times New Roman" w:eastAsia="PMingLiU" w:cs="Times New Roman"/>
          <w:b/>
          <w:color w:val="000000" w:themeColor="text1"/>
          <w:highlight w:val="none"/>
          <w14:textFill>
            <w14:solidFill>
              <w14:schemeClr w14:val="tx1"/>
            </w14:solidFill>
          </w14:textFill>
        </w:rPr>
        <w:t>1</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eastAsiaTheme="minorEastAsia"/>
          <w:b/>
          <w:color w:val="000000" w:themeColor="text1"/>
          <w:highlight w:val="none"/>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模块运至现场后，应进行外观质量验收，并对模块的合格证书、质量证明文件等进行核查，以确保其符合规定要求后方可进行安装。</w:t>
      </w:r>
    </w:p>
    <w:p>
      <w:pPr>
        <w:widowControl/>
        <w:spacing w:line="360" w:lineRule="exact"/>
        <w:ind w:firstLine="0" w:firstLineChars="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9.1.7 </w:t>
      </w:r>
      <w:r>
        <w:rPr>
          <w:rFonts w:hint="default" w:ascii="Times New Roman" w:hAnsi="Times New Roman" w:cs="Times New Roman"/>
          <w:color w:val="000000" w:themeColor="text1"/>
          <w:highlight w:val="none"/>
          <w14:textFill>
            <w14:solidFill>
              <w14:schemeClr w14:val="tx1"/>
            </w14:solidFill>
          </w14:textFill>
        </w:rPr>
        <w:t>混凝土模块化建筑</w:t>
      </w:r>
      <w:r>
        <w:rPr>
          <w:rFonts w:hint="default" w:ascii="Times New Roman" w:hAnsi="Times New Roman" w:cs="Times New Roman"/>
          <w:color w:val="000000" w:themeColor="text1"/>
          <w:highlight w:val="none"/>
          <w:lang w:val="en-US"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在模块单元吊装前</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根据现场工序安排，对现场模块安装区域的结构板面、防水、给排水等工序完成隐蔽验收。</w:t>
      </w:r>
    </w:p>
    <w:p>
      <w:pPr>
        <w:ind w:firstLine="422"/>
        <w:rPr>
          <w:rFonts w:hint="default" w:ascii="Times New Roman" w:hAnsi="Times New Roman" w:cs="Times New Roman"/>
          <w:color w:val="000000" w:themeColor="text1"/>
          <w:highlight w:val="none"/>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66" w:name="_Toc3247"/>
      <w:bookmarkStart w:id="967" w:name="_Toc10533"/>
      <w:bookmarkStart w:id="968" w:name="_Toc23953"/>
      <w:bookmarkStart w:id="969" w:name="_Toc9017"/>
      <w:bookmarkStart w:id="970" w:name="_Toc10284"/>
      <w:bookmarkStart w:id="971" w:name="_Toc1153"/>
      <w:bookmarkStart w:id="972" w:name="_Toc25561"/>
      <w:bookmarkStart w:id="973" w:name="_Toc1631"/>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9.2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施 工 准 备</w:t>
      </w:r>
      <w:bookmarkEnd w:id="966"/>
      <w:bookmarkEnd w:id="967"/>
      <w:bookmarkEnd w:id="968"/>
      <w:bookmarkEnd w:id="969"/>
      <w:bookmarkEnd w:id="970"/>
      <w:bookmarkEnd w:id="971"/>
      <w:bookmarkEnd w:id="972"/>
      <w:bookmarkEnd w:id="973"/>
    </w:p>
    <w:p>
      <w:pPr>
        <w:ind w:firstLine="0"/>
        <w:rPr>
          <w:rFonts w:hint="default" w:ascii="Times New Roman" w:hAnsi="Times New Roman" w:eastAsia="PMingLiU" w:cs="Times New Roman"/>
          <w:color w:val="000000" w:themeColor="text1"/>
          <w:highlight w:val="none"/>
          <w14:textFill>
            <w14:solidFill>
              <w14:schemeClr w14:val="tx1"/>
            </w14:solidFill>
          </w14:textFill>
        </w:rPr>
      </w:pPr>
      <w:bookmarkStart w:id="974" w:name="_Toc16629"/>
      <w:bookmarkStart w:id="975" w:name="_Toc64"/>
      <w:r>
        <w:rPr>
          <w:rFonts w:hint="default" w:ascii="Times New Roman" w:hAnsi="Times New Roman" w:cs="Times New Roman"/>
          <w:b/>
          <w:color w:val="000000" w:themeColor="text1"/>
          <w:highlight w:val="none"/>
          <w14:textFill>
            <w14:solidFill>
              <w14:schemeClr w14:val="tx1"/>
            </w14:solidFill>
          </w14:textFill>
        </w:rPr>
        <w:t>9.2.</w:t>
      </w:r>
      <w:r>
        <w:rPr>
          <w:rFonts w:hint="default" w:ascii="Times New Roman" w:hAnsi="Times New Roman" w:eastAsia="PMingLiU"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施工</w:t>
      </w:r>
      <w:r>
        <w:rPr>
          <w:rFonts w:hint="default" w:ascii="Times New Roman" w:hAnsi="Times New Roman" w:cs="Times New Roman"/>
          <w:bCs/>
          <w:color w:val="000000" w:themeColor="text1"/>
          <w:highlight w:val="none"/>
          <w14:textFill>
            <w14:solidFill>
              <w14:schemeClr w14:val="tx1"/>
            </w14:solidFill>
          </w14:textFill>
        </w:rPr>
        <w:t>现场</w:t>
      </w:r>
      <w:r>
        <w:rPr>
          <w:rFonts w:hint="default" w:ascii="Times New Roman" w:hAnsi="Times New Roman" w:cs="Times New Roman"/>
          <w:color w:val="000000" w:themeColor="text1"/>
          <w:highlight w:val="none"/>
          <w14:textFill>
            <w14:solidFill>
              <w14:schemeClr w14:val="tx1"/>
            </w14:solidFill>
          </w14:textFill>
        </w:rPr>
        <w:t>设置的运输通道、模块存放场地、转运及起吊场地，应符合下列规定：</w:t>
      </w:r>
      <w:bookmarkEnd w:id="974"/>
      <w:bookmarkEnd w:id="975"/>
    </w:p>
    <w:p>
      <w:pPr>
        <w:ind w:firstLine="421" w:firstLineChars="200"/>
        <w:rPr>
          <w:rFonts w:hint="default" w:ascii="Times New Roman" w:hAnsi="Times New Roman" w:eastAsia="PMingLiU" w:cs="Times New Roman"/>
          <w:bCs/>
          <w:color w:val="000000" w:themeColor="text1"/>
          <w:highlight w:val="none"/>
          <w14:textFill>
            <w14:solidFill>
              <w14:schemeClr w14:val="tx1"/>
            </w14:solidFill>
          </w14:textFill>
        </w:rPr>
      </w:pPr>
      <w:bookmarkStart w:id="976" w:name="_Toc12952"/>
      <w:r>
        <w:rPr>
          <w:rFonts w:hint="default" w:ascii="Times New Roman" w:hAnsi="Times New Roman" w:cs="Times New Roman"/>
          <w:b/>
          <w:bCs/>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现场运输道路、存放场地、转运及起吊场地应坚实平整，并应设置排水措施；</w:t>
      </w:r>
      <w:bookmarkEnd w:id="976"/>
    </w:p>
    <w:p>
      <w:pPr>
        <w:ind w:firstLine="420" w:firstLineChars="200"/>
        <w:rPr>
          <w:rFonts w:hint="default" w:ascii="Times New Roman" w:hAnsi="Times New Roman" w:eastAsia="PMingLiU" w:cs="Times New Roman"/>
          <w:bCs/>
          <w:color w:val="000000" w:themeColor="text1"/>
          <w:highlight w:val="none"/>
          <w14:textFill>
            <w14:solidFill>
              <w14:schemeClr w14:val="tx1"/>
            </w14:solidFill>
          </w14:textFill>
        </w:rPr>
      </w:pPr>
      <w:r>
        <w:rPr>
          <w:rFonts w:hint="default" w:ascii="Times New Roman" w:hAnsi="Times New Roman" w:eastAsia="PMingLiU" w:cs="Times New Roman"/>
          <w:b/>
          <w:bCs/>
          <w:color w:val="000000" w:themeColor="text1"/>
          <w:highlight w:val="none"/>
          <w14:textFill>
            <w14:solidFill>
              <w14:schemeClr w14:val="tx1"/>
            </w14:solidFill>
          </w14:textFill>
        </w:rPr>
        <w:t xml:space="preserve">2  </w:t>
      </w:r>
      <w:r>
        <w:rPr>
          <w:rFonts w:hint="default" w:ascii="Times New Roman" w:hAnsi="Times New Roman" w:cs="Times New Roman"/>
          <w:bCs/>
          <w:color w:val="000000" w:themeColor="text1"/>
          <w:highlight w:val="none"/>
          <w14:textFill>
            <w14:solidFill>
              <w14:schemeClr w14:val="tx1"/>
            </w14:solidFill>
          </w14:textFill>
        </w:rPr>
        <w:t>应合理规划模块运输通道和临时堆放场地，并应采取成品堆放保护措施；</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PMingLiU" w:cs="Times New Roman"/>
          <w:b/>
          <w:bCs/>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施工现场内部道路应按照模块运输车辆的参数，合理设置转弯半径及道路坡度。</w:t>
      </w:r>
    </w:p>
    <w:p>
      <w:pPr>
        <w:ind w:firstLine="0"/>
        <w:rPr>
          <w:rFonts w:hint="default" w:ascii="Times New Roman" w:hAnsi="Times New Roman" w:cs="Times New Roman"/>
          <w:color w:val="000000" w:themeColor="text1"/>
          <w:highlight w:val="none"/>
          <w14:textFill>
            <w14:solidFill>
              <w14:schemeClr w14:val="tx1"/>
            </w14:solidFill>
          </w14:textFill>
        </w:rPr>
      </w:pPr>
      <w:bookmarkStart w:id="977" w:name="_Toc16622"/>
      <w:bookmarkStart w:id="978" w:name="_Toc11300"/>
      <w:r>
        <w:rPr>
          <w:rFonts w:hint="default" w:ascii="Times New Roman" w:hAnsi="Times New Roman" w:cs="Times New Roman"/>
          <w:b/>
          <w:color w:val="000000" w:themeColor="text1"/>
          <w:highlight w:val="none"/>
          <w14:textFill>
            <w14:solidFill>
              <w14:schemeClr w14:val="tx1"/>
            </w14:solidFill>
          </w14:textFill>
        </w:rPr>
        <w:t>9.2.</w:t>
      </w:r>
      <w:r>
        <w:rPr>
          <w:rFonts w:hint="default" w:ascii="Times New Roman" w:hAnsi="Times New Roman" w:eastAsia="PMingLiU"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bCs/>
          <w:color w:val="000000" w:themeColor="text1"/>
          <w:highlight w:val="none"/>
          <w14:textFill>
            <w14:solidFill>
              <w14:schemeClr w14:val="tx1"/>
            </w14:solidFill>
          </w14:textFill>
        </w:rPr>
        <w:t>单元</w:t>
      </w:r>
      <w:r>
        <w:rPr>
          <w:rFonts w:hint="default" w:ascii="Times New Roman" w:hAnsi="Times New Roman" w:cs="Times New Roman"/>
          <w:color w:val="000000" w:themeColor="text1"/>
          <w:highlight w:val="none"/>
          <w14:textFill>
            <w14:solidFill>
              <w14:schemeClr w14:val="tx1"/>
            </w14:solidFill>
          </w14:textFill>
        </w:rPr>
        <w:t>吊装起重机械的选用和操作应符合现行行业标准《建筑机械使用安全技术规程》JGJ 33等</w:t>
      </w:r>
      <w:r>
        <w:rPr>
          <w:rFonts w:hint="default" w:ascii="Times New Roman" w:hAnsi="Times New Roman"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14:textFill>
            <w14:solidFill>
              <w14:schemeClr w14:val="tx1"/>
            </w14:solidFill>
          </w14:textFill>
        </w:rPr>
        <w:t>有关规定。起重机械的吨位和型号应根据模块重量和施工平面布置综合选择，起重机械安全监控系统应满足《建筑塔式起重机安全监控系统应用技术规程》JGJ332等有关规定。</w:t>
      </w:r>
      <w:bookmarkEnd w:id="977"/>
      <w:bookmarkEnd w:id="978"/>
    </w:p>
    <w:p>
      <w:pPr>
        <w:ind w:firstLine="0"/>
        <w:rPr>
          <w:rFonts w:hint="default" w:ascii="Times New Roman" w:hAnsi="Times New Roman" w:cs="Times New Roman"/>
          <w:color w:val="000000" w:themeColor="text1"/>
          <w:highlight w:val="none"/>
          <w14:textFill>
            <w14:solidFill>
              <w14:schemeClr w14:val="tx1"/>
            </w14:solidFill>
          </w14:textFill>
        </w:rPr>
      </w:pPr>
      <w:bookmarkStart w:id="979" w:name="_Toc6802"/>
      <w:bookmarkStart w:id="980" w:name="_Toc10439"/>
      <w:r>
        <w:rPr>
          <w:rFonts w:hint="default" w:ascii="Times New Roman" w:hAnsi="Times New Roman" w:cs="Times New Roman"/>
          <w:b/>
          <w:color w:val="000000" w:themeColor="text1"/>
          <w:highlight w:val="none"/>
          <w14:textFill>
            <w14:solidFill>
              <w14:schemeClr w14:val="tx1"/>
            </w14:solidFill>
          </w14:textFill>
        </w:rPr>
        <w:t>9.2.</w:t>
      </w:r>
      <w:r>
        <w:rPr>
          <w:rFonts w:hint="default" w:ascii="Times New Roman" w:hAnsi="Times New Roman" w:eastAsia="PMingLiU"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bCs/>
          <w:color w:val="000000" w:themeColor="text1"/>
          <w:highlight w:val="none"/>
          <w14:textFill>
            <w14:solidFill>
              <w14:schemeClr w14:val="tx1"/>
            </w14:solidFill>
          </w14:textFill>
        </w:rPr>
        <w:t>单元</w:t>
      </w:r>
      <w:r>
        <w:rPr>
          <w:rFonts w:hint="default" w:ascii="Times New Roman" w:hAnsi="Times New Roman" w:cs="Times New Roman"/>
          <w:color w:val="000000" w:themeColor="text1"/>
          <w:highlight w:val="none"/>
          <w14:textFill>
            <w14:solidFill>
              <w14:schemeClr w14:val="tx1"/>
            </w14:solidFill>
          </w14:textFill>
        </w:rPr>
        <w:t>吊装应按照设计说明</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采用符合模块重量和吊点分布的专用吊架，</w:t>
      </w:r>
      <w:r>
        <w:rPr>
          <w:rFonts w:hint="default" w:ascii="Times New Roman" w:hAnsi="Times New Roman" w:cs="Times New Roman"/>
          <w:color w:val="000000" w:themeColor="text1"/>
          <w:highlight w:val="none"/>
          <w:lang w:val="en-US" w:eastAsia="zh-CN"/>
          <w14:textFill>
            <w14:solidFill>
              <w14:schemeClr w14:val="tx1"/>
            </w14:solidFill>
          </w14:textFill>
        </w:rPr>
        <w:t>宜</w:t>
      </w:r>
      <w:r>
        <w:rPr>
          <w:rFonts w:hint="default" w:ascii="Times New Roman" w:hAnsi="Times New Roman" w:cs="Times New Roman"/>
          <w:color w:val="000000" w:themeColor="text1"/>
          <w:highlight w:val="none"/>
          <w14:textFill>
            <w14:solidFill>
              <w14:schemeClr w14:val="tx1"/>
            </w14:solidFill>
          </w14:textFill>
        </w:rPr>
        <w:t>选用智能吊架。吊架应保证模块在吊装过程中保持平稳，吊架下方与模块吊点相连的吊链与水平方向的夹角不应小于75度，不宜小于80度。</w:t>
      </w:r>
      <w:bookmarkEnd w:id="979"/>
      <w:bookmarkEnd w:id="980"/>
    </w:p>
    <w:p>
      <w:pPr>
        <w:ind w:firstLine="0"/>
        <w:rPr>
          <w:rFonts w:hint="default" w:ascii="Times New Roman" w:hAnsi="Times New Roman" w:eastAsia="PMingLiU" w:cs="Times New Roman"/>
          <w:bCs/>
          <w:color w:val="000000" w:themeColor="text1"/>
          <w:highlight w:val="none"/>
          <w14:textFill>
            <w14:solidFill>
              <w14:schemeClr w14:val="tx1"/>
            </w14:solidFill>
          </w14:textFill>
        </w:rPr>
      </w:pPr>
      <w:bookmarkStart w:id="981" w:name="_Toc13756"/>
      <w:bookmarkStart w:id="982" w:name="_Toc5960"/>
      <w:bookmarkStart w:id="983" w:name="_Toc20219"/>
      <w:r>
        <w:rPr>
          <w:rFonts w:hint="default" w:ascii="Times New Roman" w:hAnsi="Times New Roman" w:cs="Times New Roman"/>
          <w:b/>
          <w:bCs/>
          <w:color w:val="000000" w:themeColor="text1"/>
          <w:highlight w:val="none"/>
          <w14:textFill>
            <w14:solidFill>
              <w14:schemeClr w14:val="tx1"/>
            </w14:solidFill>
          </w14:textFill>
        </w:rPr>
        <w:t>9.2.4</w:t>
      </w:r>
      <w:r>
        <w:rPr>
          <w:rFonts w:hint="default" w:ascii="Times New Roman" w:hAnsi="Times New Roman" w:eastAsia="PMingLiU"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模块吊装前，应进行下列准备工作：</w:t>
      </w:r>
      <w:bookmarkEnd w:id="981"/>
      <w:bookmarkEnd w:id="982"/>
      <w:bookmarkEnd w:id="983"/>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bookmarkStart w:id="984" w:name="_Toc4737"/>
      <w:r>
        <w:rPr>
          <w:rFonts w:hint="default" w:ascii="Times New Roman" w:hAnsi="Times New Roman" w:cs="Times New Roman"/>
          <w:b/>
          <w:bCs/>
          <w:color w:val="000000" w:themeColor="text1"/>
          <w:highlight w:val="none"/>
          <w14:textFill>
            <w14:solidFill>
              <w14:schemeClr w14:val="tx1"/>
            </w14:solidFill>
          </w14:textFill>
        </w:rPr>
        <w:t xml:space="preserve">1  </w:t>
      </w:r>
      <w:r>
        <w:rPr>
          <w:rFonts w:hint="default" w:ascii="Times New Roman" w:hAnsi="Times New Roman" w:cs="Times New Roman"/>
          <w:bCs/>
          <w:color w:val="000000" w:themeColor="text1"/>
          <w:highlight w:val="none"/>
          <w14:textFill>
            <w14:solidFill>
              <w14:schemeClr w14:val="tx1"/>
            </w14:solidFill>
          </w14:textFill>
        </w:rPr>
        <w:t>复核</w:t>
      </w:r>
      <w:r>
        <w:rPr>
          <w:rFonts w:hint="default" w:ascii="Times New Roman" w:hAnsi="Times New Roman" w:cs="Times New Roman"/>
          <w:color w:val="000000" w:themeColor="text1"/>
          <w:highlight w:val="none"/>
          <w14:textFill>
            <w14:solidFill>
              <w14:schemeClr w14:val="tx1"/>
            </w14:solidFill>
          </w14:textFill>
        </w:rPr>
        <w:t>模块型号与标牌是否匹配</w:t>
      </w:r>
      <w:bookmarkEnd w:id="984"/>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复核模块的混凝土强度、尺寸、管线布置、开洞位置等是否满足设计和安装要求</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复核模块吊点设置是否满足设计要求</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复核模块薄弱部位的临时加固措施是否满足设计要求</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 xml:space="preserve">  对模块进行测量划线，并在模块上绘制安装定位标记和对齐墨线。</w:t>
      </w:r>
    </w:p>
    <w:p>
      <w:pPr>
        <w:ind w:firstLine="421"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 xml:space="preserve">6 </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复核</w:t>
      </w:r>
      <w:r>
        <w:rPr>
          <w:rFonts w:hint="default" w:ascii="Times New Roman" w:hAnsi="Times New Roman" w:cs="Times New Roman"/>
          <w:color w:val="000000" w:themeColor="text1"/>
          <w:szCs w:val="21"/>
          <w:highlight w:val="none"/>
          <w14:textFill>
            <w14:solidFill>
              <w14:schemeClr w14:val="tx1"/>
            </w14:solidFill>
          </w14:textFill>
        </w:rPr>
        <w:t>座浆料</w:t>
      </w:r>
      <w:r>
        <w:rPr>
          <w:rFonts w:hint="default" w:ascii="Times New Roman" w:hAnsi="Times New Roman" w:cs="Times New Roman"/>
          <w:color w:val="000000" w:themeColor="text1"/>
          <w:szCs w:val="21"/>
          <w:highlight w:val="none"/>
          <w:u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封浆料</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灌浆料</w:t>
      </w:r>
      <w:r>
        <w:rPr>
          <w:rFonts w:hint="default" w:ascii="Times New Roman" w:hAnsi="Times New Roman" w:cs="Times New Roman"/>
          <w:color w:val="000000" w:themeColor="text1"/>
          <w:highlight w:val="none"/>
          <w14:textFill>
            <w14:solidFill>
              <w14:schemeClr w14:val="tx1"/>
            </w14:solidFill>
          </w14:textFill>
        </w:rPr>
        <w:t>的型号、性能</w:t>
      </w:r>
      <w:r>
        <w:rPr>
          <w:rFonts w:hint="default"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szCs w:val="21"/>
          <w:highlight w:val="none"/>
          <w14:textFill>
            <w14:solidFill>
              <w14:schemeClr w14:val="tx1"/>
            </w14:solidFill>
          </w14:textFill>
        </w:rPr>
        <w:t>流动度检测</w:t>
      </w:r>
      <w:r>
        <w:rPr>
          <w:rFonts w:hint="default" w:ascii="Times New Roman" w:hAnsi="Times New Roman" w:cs="Times New Roman"/>
          <w:color w:val="000000" w:themeColor="text1"/>
          <w:highlight w:val="none"/>
          <w:lang w:val="en-US" w:eastAsia="zh-CN"/>
          <w14:textFill>
            <w14:solidFill>
              <w14:schemeClr w14:val="tx1"/>
            </w14:solidFill>
          </w14:textFill>
        </w:rPr>
        <w:t>是否满足</w:t>
      </w:r>
      <w:r>
        <w:rPr>
          <w:rFonts w:hint="default" w:ascii="Times New Roman" w:hAnsi="Times New Roman" w:cs="Times New Roman"/>
          <w:color w:val="000000" w:themeColor="text1"/>
          <w:highlight w:val="none"/>
          <w14:textFill>
            <w14:solidFill>
              <w14:schemeClr w14:val="tx1"/>
            </w14:solidFill>
          </w14:textFill>
        </w:rPr>
        <w:t>设计</w:t>
      </w:r>
      <w:r>
        <w:rPr>
          <w:rFonts w:hint="default" w:ascii="Times New Roman" w:hAnsi="Times New Roman" w:cs="Times New Roman"/>
          <w:color w:val="000000" w:themeColor="text1"/>
          <w:highlight w:val="none"/>
          <w:lang w:val="en-US" w:eastAsia="zh-CN"/>
          <w14:textFill>
            <w14:solidFill>
              <w14:schemeClr w14:val="tx1"/>
            </w14:solidFill>
          </w14:textFill>
        </w:rPr>
        <w:t>及规范</w:t>
      </w:r>
      <w:r>
        <w:rPr>
          <w:rFonts w:hint="default" w:ascii="Times New Roman" w:hAnsi="Times New Roman" w:cs="Times New Roman"/>
          <w:color w:val="000000" w:themeColor="text1"/>
          <w:highlight w:val="none"/>
          <w14:textFill>
            <w14:solidFill>
              <w14:schemeClr w14:val="tx1"/>
            </w14:solidFill>
          </w14:textFill>
        </w:rPr>
        <w:t>要求，产品质量证明文件</w:t>
      </w:r>
      <w:r>
        <w:rPr>
          <w:rFonts w:hint="default" w:ascii="Times New Roman" w:hAnsi="Times New Roman" w:cs="Times New Roman"/>
          <w:color w:val="000000" w:themeColor="text1"/>
          <w:highlight w:val="none"/>
          <w:lang w:val="en-US" w:eastAsia="zh-CN"/>
          <w14:textFill>
            <w14:solidFill>
              <w14:schemeClr w14:val="tx1"/>
            </w14:solidFill>
          </w14:textFill>
        </w:rPr>
        <w:t>是否</w:t>
      </w:r>
      <w:r>
        <w:rPr>
          <w:rFonts w:hint="default" w:ascii="Times New Roman" w:hAnsi="Times New Roman" w:cs="Times New Roman"/>
          <w:color w:val="000000" w:themeColor="text1"/>
          <w:highlight w:val="none"/>
          <w14:textFill>
            <w14:solidFill>
              <w14:schemeClr w14:val="tx1"/>
            </w14:solidFill>
          </w14:textFill>
        </w:rPr>
        <w:t>齐全</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9.2.5  </w:t>
      </w:r>
      <w:r>
        <w:rPr>
          <w:rFonts w:hint="default" w:ascii="Times New Roman" w:hAnsi="Times New Roman" w:cs="Times New Roman"/>
          <w:color w:val="000000" w:themeColor="text1"/>
          <w:highlight w:val="none"/>
          <w14:textFill>
            <w14:solidFill>
              <w14:schemeClr w14:val="tx1"/>
            </w14:solidFill>
          </w14:textFill>
        </w:rPr>
        <w:t>安装施工前，应确保吊装条件、施工作业面以及作业人员满足要求，并应进行下列工作：</w:t>
      </w:r>
    </w:p>
    <w:p>
      <w:pPr>
        <w:ind w:firstLine="420" w:firstLineChars="200"/>
        <w:rPr>
          <w:rFonts w:hint="default" w:ascii="Times New Roman" w:hAnsi="Times New Roman" w:eastAsia="宋体" w:cs="Times New Roman"/>
          <w:bCs/>
          <w:color w:val="000000" w:themeColor="text1"/>
          <w:highlight w:val="none"/>
          <w:lang w:eastAsia="zh-CN"/>
          <w14:textFill>
            <w14:solidFill>
              <w14:schemeClr w14:val="tx1"/>
            </w14:solidFill>
          </w14:textFill>
        </w:rPr>
      </w:pPr>
      <w:bookmarkStart w:id="985" w:name="_Toc21840"/>
      <w:r>
        <w:rPr>
          <w:rFonts w:hint="default" w:ascii="Times New Roman" w:hAnsi="Times New Roman" w:eastAsia="PMingLiU" w:cs="Times New Roman"/>
          <w:b/>
          <w:bCs/>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 xml:space="preserve"> 核实现场环境、天气、道路状况等是否满足吊装施工要求</w:t>
      </w:r>
      <w:bookmarkEnd w:id="985"/>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eastAsia="PMingLiU" w:cs="Times New Roman"/>
          <w:b/>
          <w:bCs/>
          <w:color w:val="000000" w:themeColor="text1"/>
          <w:highlight w:val="none"/>
          <w14:textFill>
            <w14:solidFill>
              <w14:schemeClr w14:val="tx1"/>
            </w14:solidFill>
          </w14:textFill>
        </w:rPr>
        <w:t xml:space="preserve">2  </w:t>
      </w:r>
      <w:r>
        <w:rPr>
          <w:rFonts w:hint="default" w:ascii="Times New Roman" w:hAnsi="Times New Roman" w:cs="Times New Roman"/>
          <w:bCs/>
          <w:color w:val="000000" w:themeColor="text1"/>
          <w:highlight w:val="none"/>
          <w14:textFill>
            <w14:solidFill>
              <w14:schemeClr w14:val="tx1"/>
            </w14:solidFill>
          </w14:textFill>
        </w:rPr>
        <w:t>复核吊装设备及吊具是否处于安全操作状态，并</w:t>
      </w:r>
      <w:r>
        <w:rPr>
          <w:rFonts w:hint="default" w:ascii="Times New Roman" w:hAnsi="Times New Roman" w:cs="Times New Roman"/>
          <w:color w:val="000000" w:themeColor="text1"/>
          <w:highlight w:val="none"/>
          <w14:textFill>
            <w14:solidFill>
              <w14:schemeClr w14:val="tx1"/>
            </w14:solidFill>
          </w14:textFill>
        </w:rPr>
        <w:t>应严格按照吊装方案及图纸要求选择吊具挂点</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eastAsia="PMingLiU" w:cs="Times New Roman"/>
          <w:b/>
          <w:bCs/>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核对已完</w:t>
      </w:r>
      <w:r>
        <w:rPr>
          <w:rFonts w:hint="default" w:ascii="Times New Roman" w:hAnsi="Times New Roman" w:cs="Times New Roman"/>
          <w:color w:val="000000" w:themeColor="text1"/>
          <w:highlight w:val="none"/>
          <w:lang w:val="en-US" w:eastAsia="zh-CN"/>
          <w14:textFill>
            <w14:solidFill>
              <w14:schemeClr w14:val="tx1"/>
            </w14:solidFill>
          </w14:textFill>
        </w:rPr>
        <w:t>工</w:t>
      </w:r>
      <w:r>
        <w:rPr>
          <w:rFonts w:hint="default" w:ascii="Times New Roman" w:hAnsi="Times New Roman" w:cs="Times New Roman"/>
          <w:color w:val="000000" w:themeColor="text1"/>
          <w:highlight w:val="none"/>
          <w14:textFill>
            <w14:solidFill>
              <w14:schemeClr w14:val="tx1"/>
            </w14:solidFill>
          </w14:textFill>
        </w:rPr>
        <w:t>结构、基础的外观质量和尺寸，确认混凝土强度和预留预埋符合设计要求</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PMingLiU" w:cs="Times New Roman"/>
          <w:b/>
          <w:bCs/>
          <w:color w:val="000000" w:themeColor="text1"/>
          <w:highlight w:val="none"/>
          <w14:textFill>
            <w14:solidFill>
              <w14:schemeClr w14:val="tx1"/>
            </w14:solidFill>
          </w14:textFill>
        </w:rPr>
        <w:t xml:space="preserve">4  </w:t>
      </w:r>
      <w:r>
        <w:rPr>
          <w:rFonts w:hint="default" w:ascii="Times New Roman" w:hAnsi="Times New Roman" w:cs="Times New Roman"/>
          <w:bCs/>
          <w:color w:val="000000" w:themeColor="text1"/>
          <w:highlight w:val="none"/>
          <w14:textFill>
            <w14:solidFill>
              <w14:schemeClr w14:val="tx1"/>
            </w14:solidFill>
          </w14:textFill>
        </w:rPr>
        <w:t>对安装工作面进行测量放线、设置模块安装定位标识，</w:t>
      </w:r>
      <w:r>
        <w:rPr>
          <w:rFonts w:hint="default" w:ascii="Times New Roman" w:hAnsi="Times New Roman" w:cs="Times New Roman"/>
          <w:color w:val="000000" w:themeColor="text1"/>
          <w:highlight w:val="none"/>
          <w14:textFill>
            <w14:solidFill>
              <w14:schemeClr w14:val="tx1"/>
            </w14:solidFill>
          </w14:textFill>
        </w:rPr>
        <w:t>测量放线应符合现行国家标准《工程测量标准》GB 50026及《工程测量通用规范》GB55018等有关规定</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PMingLiU" w:cs="Times New Roman"/>
          <w:b/>
          <w:bCs/>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 xml:space="preserve">  提前做好施工作业人员的交底工作，并在安装施工前核查特种作业人员持证上岗情况，高空作业人员应进行班前身体状况排查及安全防护用品佩戴检查</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  核对工作面安全设施验收情况，安全防护措施应处于有效状态</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eastAsiaTheme="minorEastAsia"/>
          <w:b/>
          <w:color w:val="000000" w:themeColor="text1"/>
          <w:highlight w:val="none"/>
          <w14:textFill>
            <w14:solidFill>
              <w14:schemeClr w14:val="tx1"/>
            </w14:solidFill>
          </w14:textFill>
        </w:rPr>
        <w:t>7</w:t>
      </w:r>
      <w:r>
        <w:rPr>
          <w:rFonts w:hint="default" w:ascii="Times New Roman" w:hAnsi="Times New Roman" w:eastAsia="PMingLiU" w:cs="Times New Roman"/>
          <w:b/>
          <w:color w:val="000000" w:themeColor="text1"/>
          <w:highlight w:val="none"/>
          <w14:textFill>
            <w14:solidFill>
              <w14:schemeClr w14:val="tx1"/>
            </w14:solidFill>
          </w14:textFill>
        </w:rPr>
        <w:t xml:space="preserve">  </w:t>
      </w:r>
      <w:r>
        <w:rPr>
          <w:rFonts w:hint="default" w:ascii="Times New Roman" w:hAnsi="Times New Roman" w:eastAsia="宋体" w:cs="Times New Roman"/>
          <w:b w:val="0"/>
          <w:color w:val="000000" w:themeColor="text1"/>
          <w:highlight w:val="none"/>
          <w14:textFill>
            <w14:solidFill>
              <w14:schemeClr w14:val="tx1"/>
            </w14:solidFill>
          </w14:textFill>
        </w:rPr>
        <w:t>应提前</w:t>
      </w:r>
      <w:r>
        <w:rPr>
          <w:rFonts w:hint="default" w:ascii="Times New Roman" w:hAnsi="Times New Roman" w:cs="Times New Roman"/>
          <w:color w:val="000000" w:themeColor="text1"/>
          <w:highlight w:val="none"/>
          <w14:textFill>
            <w14:solidFill>
              <w14:schemeClr w14:val="tx1"/>
            </w14:solidFill>
          </w14:textFill>
        </w:rPr>
        <w:t>根据建筑物的平面形状、结构形式、安装机械的规格和数量、现场施工条件等因素，划分吊装流水段，宜采用BIM等技术提前进行吊装模拟，通过吊装工况分析，确定安装顺序，宜采用可视化交底技术组织完成相关技术交底。</w:t>
      </w:r>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86" w:name="_Toc7789"/>
      <w:bookmarkStart w:id="987" w:name="_Toc14939"/>
      <w:bookmarkStart w:id="988" w:name="_Toc3569"/>
      <w:bookmarkStart w:id="989" w:name="_Toc32309"/>
      <w:bookmarkStart w:id="990" w:name="_Toc11827"/>
      <w:bookmarkStart w:id="991" w:name="_Toc26183"/>
      <w:bookmarkStart w:id="992" w:name="_Toc30007"/>
      <w:bookmarkStart w:id="993" w:name="_Toc31663"/>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9.3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 块 安 装</w:t>
      </w:r>
      <w:bookmarkEnd w:id="986"/>
      <w:bookmarkEnd w:id="987"/>
      <w:bookmarkEnd w:id="988"/>
      <w:bookmarkEnd w:id="989"/>
      <w:bookmarkEnd w:id="990"/>
      <w:bookmarkEnd w:id="991"/>
      <w:bookmarkEnd w:id="992"/>
      <w:bookmarkEnd w:id="993"/>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9.3.1  </w:t>
      </w:r>
      <w:r>
        <w:rPr>
          <w:rFonts w:hint="default" w:ascii="Times New Roman" w:hAnsi="Times New Roman" w:cs="Times New Roman"/>
          <w:color w:val="000000" w:themeColor="text1"/>
          <w:highlight w:val="none"/>
          <w14:textFill>
            <w14:solidFill>
              <w14:schemeClr w14:val="tx1"/>
            </w14:solidFill>
          </w14:textFill>
        </w:rPr>
        <w:t>模块单元的安装应符合下列规定：</w:t>
      </w:r>
    </w:p>
    <w:p>
      <w:pPr>
        <w:ind w:firstLine="420" w:firstLineChars="200"/>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eastAsia="PMingLiU" w:cs="Times New Roman"/>
          <w:b/>
          <w:color w:val="000000" w:themeColor="text1"/>
          <w:highlight w:val="none"/>
          <w14:textFill>
            <w14:solidFill>
              <w14:schemeClr w14:val="tx1"/>
            </w14:solidFill>
          </w14:textFill>
        </w:rPr>
        <w:t xml:space="preserve">1  </w:t>
      </w:r>
      <w:r>
        <w:rPr>
          <w:rFonts w:hint="default" w:ascii="Times New Roman" w:hAnsi="Times New Roman" w:eastAsia="宋体" w:cs="Times New Roman"/>
          <w:b w:val="0"/>
          <w:color w:val="000000" w:themeColor="text1"/>
          <w:highlight w:val="none"/>
          <w14:textFill>
            <w14:solidFill>
              <w14:schemeClr w14:val="tx1"/>
            </w14:solidFill>
          </w14:textFill>
        </w:rPr>
        <w:t>模块安装应按照拟定的吊装顺序进行吊装</w:t>
      </w:r>
      <w:r>
        <w:rPr>
          <w:rFonts w:hint="default" w:ascii="Times New Roman" w:hAnsi="Times New Roman" w:eastAsia="宋体" w:cs="Times New Roman"/>
          <w:bCs w:val="0"/>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吊装顺序应遵循“先难后易、合理有序”的原则，宜优先</w:t>
      </w:r>
      <w:r>
        <w:rPr>
          <w:rFonts w:hint="default" w:ascii="Times New Roman" w:hAnsi="Times New Roman" w:cs="Times New Roman"/>
          <w:color w:val="000000" w:themeColor="text1"/>
          <w:highlight w:val="none"/>
          <w:lang w:val="en-US" w:eastAsia="zh-CN"/>
          <w14:textFill>
            <w14:solidFill>
              <w14:schemeClr w14:val="tx1"/>
            </w14:solidFill>
          </w14:textFill>
        </w:rPr>
        <w:t>吊装边</w:t>
      </w:r>
      <w:r>
        <w:rPr>
          <w:rFonts w:hint="default" w:ascii="Times New Roman" w:hAnsi="Times New Roman" w:cs="Times New Roman"/>
          <w:color w:val="000000" w:themeColor="text1"/>
          <w:highlight w:val="none"/>
          <w14:textFill>
            <w14:solidFill>
              <w14:schemeClr w14:val="tx1"/>
            </w14:solidFill>
          </w14:textFill>
        </w:rPr>
        <w:t>角箱后中间箱、先特殊箱后</w:t>
      </w:r>
      <w:r>
        <w:rPr>
          <w:rFonts w:hint="default" w:ascii="Times New Roman" w:hAnsi="Times New Roman" w:cs="Times New Roman"/>
          <w:color w:val="000000" w:themeColor="text1"/>
          <w:highlight w:val="none"/>
          <w:lang w:val="en-US" w:eastAsia="zh-CN"/>
          <w14:textFill>
            <w14:solidFill>
              <w14:schemeClr w14:val="tx1"/>
            </w14:solidFill>
          </w14:textFill>
        </w:rPr>
        <w:t>标准</w:t>
      </w:r>
      <w:r>
        <w:rPr>
          <w:rFonts w:hint="default" w:ascii="Times New Roman" w:hAnsi="Times New Roman" w:cs="Times New Roman"/>
          <w:color w:val="000000" w:themeColor="text1"/>
          <w:highlight w:val="none"/>
          <w14:textFill>
            <w14:solidFill>
              <w14:schemeClr w14:val="tx1"/>
            </w14:solidFill>
          </w14:textFill>
        </w:rPr>
        <w:t>箱的顺序，并按照</w:t>
      </w:r>
      <w:r>
        <w:rPr>
          <w:rFonts w:hint="default" w:ascii="Times New Roman" w:hAnsi="Times New Roman" w:cs="Times New Roman"/>
          <w:color w:val="000000" w:themeColor="text1"/>
          <w:highlight w:val="none"/>
          <w:lang w:val="en-US" w:eastAsia="zh-CN"/>
          <w14:textFill>
            <w14:solidFill>
              <w14:schemeClr w14:val="tx1"/>
            </w14:solidFill>
          </w14:textFill>
        </w:rPr>
        <w:t>单侧安</w:t>
      </w:r>
      <w:r>
        <w:rPr>
          <w:rFonts w:hint="default" w:ascii="Times New Roman" w:hAnsi="Times New Roman" w:cs="Times New Roman"/>
          <w:color w:val="000000" w:themeColor="text1"/>
          <w:highlight w:val="none"/>
          <w14:textFill>
            <w14:solidFill>
              <w14:schemeClr w14:val="tx1"/>
            </w14:solidFill>
          </w14:textFill>
        </w:rPr>
        <w:t>装流程</w:t>
      </w:r>
      <w:r>
        <w:rPr>
          <w:rFonts w:hint="default" w:ascii="Times New Roman" w:hAnsi="Times New Roman" w:cs="Times New Roman"/>
          <w:color w:val="000000" w:themeColor="text1"/>
          <w:highlight w:val="none"/>
          <w:lang w:val="en-US" w:eastAsia="zh-CN"/>
          <w14:textFill>
            <w14:solidFill>
              <w14:schemeClr w14:val="tx1"/>
            </w14:solidFill>
          </w14:textFill>
        </w:rPr>
        <w:t>施工</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确保模块</w:t>
      </w:r>
      <w:r>
        <w:rPr>
          <w:rFonts w:hint="default" w:ascii="Times New Roman" w:hAnsi="Times New Roman" w:cs="Times New Roman"/>
          <w:color w:val="000000" w:themeColor="text1"/>
          <w:highlight w:val="none"/>
          <w:lang w:val="en-US" w:eastAsia="zh-CN"/>
          <w14:textFill>
            <w14:solidFill>
              <w14:schemeClr w14:val="tx1"/>
            </w14:solidFill>
          </w14:textFill>
        </w:rPr>
        <w:t>安</w:t>
      </w:r>
      <w:r>
        <w:rPr>
          <w:rFonts w:hint="default" w:ascii="Times New Roman" w:hAnsi="Times New Roman" w:cs="Times New Roman"/>
          <w:color w:val="000000" w:themeColor="text1"/>
          <w:highlight w:val="none"/>
          <w14:textFill>
            <w14:solidFill>
              <w14:schemeClr w14:val="tx1"/>
            </w14:solidFill>
          </w14:textFill>
        </w:rPr>
        <w:t>装施工便捷</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PMingLiU" w:cs="Times New Roman"/>
          <w:b/>
          <w:bCs/>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模块安装就位后，应进行二次复核，控制模块安装累计误差，确保安装精度及质量符合设计和相关规范要求</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994" w:name="_Toc1169"/>
      <w:r>
        <w:rPr>
          <w:rFonts w:hint="default" w:ascii="Times New Roman" w:hAnsi="Times New Roman" w:cs="Times New Roman"/>
          <w:b/>
          <w:bCs/>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模块吊装为大型构件吊装，其安装时，应提前做好基层调平，</w:t>
      </w:r>
      <w:r>
        <w:rPr>
          <w:rFonts w:hint="default" w:ascii="Times New Roman" w:hAnsi="Times New Roman" w:cs="Times New Roman"/>
          <w:color w:val="000000" w:themeColor="text1"/>
          <w:highlight w:val="none"/>
          <w:lang w:val="en-US" w:eastAsia="zh-CN"/>
          <w14:textFill>
            <w14:solidFill>
              <w14:schemeClr w14:val="tx1"/>
            </w14:solidFill>
          </w14:textFill>
        </w:rPr>
        <w:t>宜</w:t>
      </w:r>
      <w:r>
        <w:rPr>
          <w:rFonts w:hint="default" w:ascii="Times New Roman" w:hAnsi="Times New Roman" w:cs="Times New Roman"/>
          <w:color w:val="000000" w:themeColor="text1"/>
          <w:highlight w:val="none"/>
          <w14:textFill>
            <w14:solidFill>
              <w14:schemeClr w14:val="tx1"/>
            </w14:solidFill>
          </w14:textFill>
        </w:rPr>
        <w:t>一次吊装到位，模块下落高度距地50mm</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200mm时，宜在空中利用工装工具进行定位，避免二次调整。若无法采用工装工具情况下，应先保证平面位置准确，再调整标高，后调整中心水平位移，最后调整垂直偏差；</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4</w:t>
      </w:r>
      <w:r>
        <w:rPr>
          <w:rFonts w:hint="default" w:ascii="Times New Roman" w:hAnsi="Times New Roman" w:eastAsia="PMingLiU"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模块在吊装过程中，应设置缆风绳控制模块转动；</w:t>
      </w:r>
      <w:bookmarkEnd w:id="994"/>
    </w:p>
    <w:p>
      <w:pPr>
        <w:ind w:firstLine="420" w:firstLineChars="200"/>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模块安装应采用定位锥或其他可靠的工装工具辅助安装，以提高模块安装效率和精度</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模块的临时支撑安装应满足设计要求，拼装过程中不得随意拆除临时支撑，待达到设计</w:t>
      </w:r>
      <w:r>
        <w:rPr>
          <w:rFonts w:hint="default" w:ascii="Times New Roman" w:hAnsi="Times New Roman" w:cs="Times New Roman"/>
          <w:color w:val="000000" w:themeColor="text1"/>
          <w:highlight w:val="none"/>
          <w:lang w:val="en-US" w:eastAsia="zh-CN"/>
          <w14:textFill>
            <w14:solidFill>
              <w14:schemeClr w14:val="tx1"/>
            </w14:solidFill>
          </w14:textFill>
        </w:rPr>
        <w:t>规定</w:t>
      </w:r>
      <w:r>
        <w:rPr>
          <w:rFonts w:hint="default" w:ascii="Times New Roman" w:hAnsi="Times New Roman" w:cs="Times New Roman"/>
          <w:color w:val="000000" w:themeColor="text1"/>
          <w:highlight w:val="none"/>
          <w14:textFill>
            <w14:solidFill>
              <w14:schemeClr w14:val="tx1"/>
            </w14:solidFill>
          </w14:textFill>
        </w:rPr>
        <w:t>条件后，方可拆除</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7</w:t>
      </w:r>
      <w:r>
        <w:rPr>
          <w:rFonts w:hint="default" w:ascii="Times New Roman" w:hAnsi="Times New Roman" w:eastAsia="PMingLiU"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模块在安装过程中损坏的涂层和连接部位，应按现行国家标准《混凝土结构工程施工质量验收规范》GB 50204的有关规定进行修补。</w:t>
      </w:r>
    </w:p>
    <w:p>
      <w:pPr>
        <w:ind w:firstLine="0"/>
        <w:rPr>
          <w:rFonts w:hint="default" w:ascii="Times New Roman" w:hAnsi="Times New Roman" w:cs="Times New Roman"/>
          <w:color w:val="000000" w:themeColor="text1"/>
          <w:highlight w:val="none"/>
          <w14:textFill>
            <w14:solidFill>
              <w14:schemeClr w14:val="tx1"/>
            </w14:solidFill>
          </w14:textFill>
        </w:rPr>
      </w:pPr>
      <w:bookmarkStart w:id="995" w:name="_Toc5317"/>
      <w:bookmarkStart w:id="996" w:name="_Toc15375"/>
      <w:r>
        <w:rPr>
          <w:rFonts w:hint="default" w:ascii="Times New Roman" w:hAnsi="Times New Roman" w:cs="Times New Roman"/>
          <w:b/>
          <w:bCs/>
          <w:color w:val="000000" w:themeColor="text1"/>
          <w:kern w:val="0"/>
          <w:highlight w:val="none"/>
          <w:lang w:bidi="en-US"/>
          <w14:textFill>
            <w14:solidFill>
              <w14:schemeClr w14:val="tx1"/>
            </w14:solidFill>
          </w14:textFill>
        </w:rPr>
        <w:t>9.</w:t>
      </w:r>
      <w:r>
        <w:rPr>
          <w:rFonts w:hint="default" w:ascii="Times New Roman" w:hAnsi="Times New Roman" w:eastAsia="Times New Roman" w:cs="Times New Roman"/>
          <w:b/>
          <w:bCs/>
          <w:color w:val="000000" w:themeColor="text1"/>
          <w:kern w:val="0"/>
          <w:highlight w:val="none"/>
          <w:lang w:bidi="en-US"/>
          <w14:textFill>
            <w14:solidFill>
              <w14:schemeClr w14:val="tx1"/>
            </w14:solidFill>
          </w14:textFill>
        </w:rPr>
        <w:t>3</w:t>
      </w:r>
      <w:r>
        <w:rPr>
          <w:rFonts w:hint="default" w:ascii="Times New Roman" w:hAnsi="Times New Roman" w:cs="Times New Roman"/>
          <w:b/>
          <w:bCs/>
          <w:color w:val="000000" w:themeColor="text1"/>
          <w:kern w:val="0"/>
          <w:highlight w:val="none"/>
          <w:lang w:bidi="en-US"/>
          <w14:textFill>
            <w14:solidFill>
              <w14:schemeClr w14:val="tx1"/>
            </w14:solidFill>
          </w14:textFill>
        </w:rPr>
        <w:t>.</w:t>
      </w:r>
      <w:r>
        <w:rPr>
          <w:rFonts w:hint="default" w:ascii="Times New Roman" w:hAnsi="Times New Roman" w:cs="Times New Roman" w:eastAsiaTheme="minorEastAsia"/>
          <w:b/>
          <w:bCs/>
          <w:color w:val="000000" w:themeColor="text1"/>
          <w:kern w:val="0"/>
          <w:highlight w:val="none"/>
          <w:lang w:val="en-US" w:eastAsia="zh-CN" w:bidi="en-US"/>
          <w14:textFill>
            <w14:solidFill>
              <w14:schemeClr w14:val="tx1"/>
            </w14:solidFill>
          </w14:textFill>
        </w:rPr>
        <w:t>2</w:t>
      </w:r>
      <w:r>
        <w:rPr>
          <w:rFonts w:hint="default" w:ascii="Times New Roman" w:hAnsi="Times New Roman" w:eastAsia="Times New Roman" w:cs="Times New Roman"/>
          <w:b/>
          <w:bCs/>
          <w:color w:val="000000" w:themeColor="text1"/>
          <w:kern w:val="0"/>
          <w:highlight w:val="none"/>
          <w:lang w:bidi="en-US"/>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模块安装时，混凝土模块底部与混凝土楼板之间应设置</w:t>
      </w:r>
      <w:r>
        <w:rPr>
          <w:rFonts w:hint="default" w:ascii="Times New Roman" w:hAnsi="Times New Roman" w:cs="Times New Roman"/>
          <w:color w:val="000000" w:themeColor="text1"/>
          <w:highlight w:val="none"/>
          <w:lang w:val="en-US" w:eastAsia="zh-CN"/>
          <w14:textFill>
            <w14:solidFill>
              <w14:schemeClr w14:val="tx1"/>
            </w14:solidFill>
          </w14:textFill>
        </w:rPr>
        <w:t>调</w:t>
      </w:r>
      <w:r>
        <w:rPr>
          <w:rFonts w:hint="default" w:ascii="Times New Roman" w:hAnsi="Times New Roman" w:cs="Times New Roman"/>
          <w:color w:val="000000" w:themeColor="text1"/>
          <w:highlight w:val="none"/>
          <w14:textFill>
            <w14:solidFill>
              <w14:schemeClr w14:val="tx1"/>
            </w14:solidFill>
          </w14:textFill>
        </w:rPr>
        <w:t>平垫片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校平垫片应符合下列规定：</w:t>
      </w:r>
      <w:bookmarkEnd w:id="995"/>
      <w:bookmarkEnd w:id="996"/>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lang w:val="en-US" w:eastAsia="zh-CN"/>
          <w14:textFill>
            <w14:solidFill>
              <w14:schemeClr w14:val="tx1"/>
            </w14:solidFill>
          </w14:textFill>
        </w:rPr>
        <w:t>调</w:t>
      </w:r>
      <w:r>
        <w:rPr>
          <w:rFonts w:hint="default" w:ascii="Times New Roman" w:hAnsi="Times New Roman" w:cs="Times New Roman"/>
          <w:color w:val="000000" w:themeColor="text1"/>
          <w:highlight w:val="none"/>
          <w14:textFill>
            <w14:solidFill>
              <w14:schemeClr w14:val="tx1"/>
            </w14:solidFill>
          </w14:textFill>
        </w:rPr>
        <w:t>平垫片应采用耐用材料且具备足够强度，其材质及性能应满足设计相关要求</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若设计有具体要求，则</w:t>
      </w:r>
      <w:r>
        <w:rPr>
          <w:rFonts w:hint="default" w:ascii="Times New Roman" w:hAnsi="Times New Roman" w:cs="Times New Roman"/>
          <w:color w:val="000000" w:themeColor="text1"/>
          <w:highlight w:val="none"/>
          <w:lang w:val="en-US" w:eastAsia="zh-CN"/>
          <w14:textFill>
            <w14:solidFill>
              <w14:schemeClr w14:val="tx1"/>
            </w14:solidFill>
          </w14:textFill>
        </w:rPr>
        <w:t>调</w:t>
      </w:r>
      <w:r>
        <w:rPr>
          <w:rFonts w:hint="default" w:ascii="Times New Roman" w:hAnsi="Times New Roman" w:cs="Times New Roman"/>
          <w:color w:val="000000" w:themeColor="text1"/>
          <w:highlight w:val="none"/>
          <w14:textFill>
            <w14:solidFill>
              <w14:schemeClr w14:val="tx1"/>
            </w14:solidFill>
          </w14:textFill>
        </w:rPr>
        <w:t>平垫片应根据设计要求放置；若设计无具体要求，则</w:t>
      </w:r>
      <w:r>
        <w:rPr>
          <w:rFonts w:hint="default" w:ascii="Times New Roman" w:hAnsi="Times New Roman" w:cs="Times New Roman"/>
          <w:color w:val="000000" w:themeColor="text1"/>
          <w:highlight w:val="none"/>
          <w:lang w:val="en-US" w:eastAsia="zh-CN"/>
          <w14:textFill>
            <w14:solidFill>
              <w14:schemeClr w14:val="tx1"/>
            </w14:solidFill>
          </w14:textFill>
        </w:rPr>
        <w:t>调</w:t>
      </w:r>
      <w:r>
        <w:rPr>
          <w:rFonts w:hint="default" w:ascii="Times New Roman" w:hAnsi="Times New Roman" w:cs="Times New Roman"/>
          <w:color w:val="000000" w:themeColor="text1"/>
          <w:highlight w:val="none"/>
          <w14:textFill>
            <w14:solidFill>
              <w14:schemeClr w14:val="tx1"/>
            </w14:solidFill>
          </w14:textFill>
        </w:rPr>
        <w:t>平垫片宜放置在模块刚度较大部位</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lang w:val="en-US" w:eastAsia="zh-CN"/>
          <w14:textFill>
            <w14:solidFill>
              <w14:schemeClr w14:val="tx1"/>
            </w14:solidFill>
          </w14:textFill>
        </w:rPr>
        <w:t>调</w:t>
      </w:r>
      <w:r>
        <w:rPr>
          <w:rFonts w:hint="default" w:ascii="Times New Roman" w:hAnsi="Times New Roman" w:cs="Times New Roman"/>
          <w:color w:val="000000" w:themeColor="text1"/>
          <w:highlight w:val="none"/>
          <w14:textFill>
            <w14:solidFill>
              <w14:schemeClr w14:val="tx1"/>
            </w14:solidFill>
          </w14:textFill>
        </w:rPr>
        <w:t>平垫片在模块安装、连接全过程中应</w:t>
      </w:r>
      <w:r>
        <w:rPr>
          <w:rFonts w:hint="default" w:ascii="Times New Roman" w:hAnsi="Times New Roman" w:cs="Times New Roman"/>
          <w:color w:val="000000" w:themeColor="text1"/>
          <w:highlight w:val="none"/>
          <w:lang w:val="en-US" w:eastAsia="zh-CN"/>
          <w14:textFill>
            <w14:solidFill>
              <w14:schemeClr w14:val="tx1"/>
            </w14:solidFill>
          </w14:textFill>
        </w:rPr>
        <w:t>具有</w:t>
      </w:r>
      <w:r>
        <w:rPr>
          <w:rFonts w:hint="default" w:ascii="Times New Roman" w:hAnsi="Times New Roman" w:cs="Times New Roman"/>
          <w:color w:val="000000" w:themeColor="text1"/>
          <w:highlight w:val="none"/>
          <w14:textFill>
            <w14:solidFill>
              <w14:schemeClr w14:val="tx1"/>
            </w14:solidFill>
          </w14:textFill>
        </w:rPr>
        <w:t>防止模块移动</w:t>
      </w:r>
      <w:r>
        <w:rPr>
          <w:rFonts w:hint="default" w:ascii="Times New Roman" w:hAnsi="Times New Roman" w:cs="Times New Roman"/>
          <w:color w:val="000000" w:themeColor="text1"/>
          <w:highlight w:val="none"/>
          <w:lang w:val="en-US" w:eastAsia="zh-CN"/>
          <w14:textFill>
            <w14:solidFill>
              <w14:schemeClr w14:val="tx1"/>
            </w14:solidFill>
          </w14:textFill>
        </w:rPr>
        <w:t>的措施</w:t>
      </w:r>
      <w:r>
        <w:rPr>
          <w:rFonts w:hint="default" w:ascii="Times New Roman" w:hAnsi="Times New Roman" w:cs="Times New Roman"/>
          <w:color w:val="000000" w:themeColor="text1"/>
          <w:highlight w:val="none"/>
          <w14:textFill>
            <w14:solidFill>
              <w14:schemeClr w14:val="tx1"/>
            </w14:solidFill>
          </w14:textFill>
        </w:rPr>
        <w:t>。</w:t>
      </w:r>
    </w:p>
    <w:p>
      <w:pPr>
        <w:ind w:firstLine="0" w:firstLineChars="0"/>
        <w:rPr>
          <w:rFonts w:hint="default" w:ascii="Times New Roman" w:hAnsi="Times New Roman" w:eastAsia="宋体" w:cs="Times New Roman"/>
          <w:b/>
          <w:bCs/>
          <w:color w:val="000000" w:themeColor="text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highlight w:val="none"/>
          <w:lang w:val="en-US" w:eastAsia="zh-CN" w:bidi="en-US"/>
          <w14:textFill>
            <w14:solidFill>
              <w14:schemeClr w14:val="tx1"/>
            </w14:solidFill>
          </w14:textFill>
        </w:rPr>
        <w:t xml:space="preserve">9.3.3 </w:t>
      </w:r>
      <w:r>
        <w:rPr>
          <w:rFonts w:hint="default" w:ascii="Times New Roman" w:hAnsi="Times New Roman" w:cs="Times New Roman"/>
          <w:b w:val="0"/>
          <w:bCs w:val="0"/>
          <w:color w:val="000000" w:themeColor="text1"/>
          <w:highlight w:val="none"/>
          <w:lang w:val="en-US" w:eastAsia="zh-CN" w:bidi="en-US"/>
          <w14:textFill>
            <w14:solidFill>
              <w14:schemeClr w14:val="tx1"/>
            </w14:solidFill>
          </w14:textFill>
        </w:rPr>
        <w:t>模块安装时，支持面</w:t>
      </w:r>
      <w:r>
        <w:rPr>
          <w:rFonts w:hint="default" w:ascii="Times New Roman" w:hAnsi="Times New Roman" w:cs="Times New Roman"/>
          <w:color w:val="000000" w:themeColor="text1"/>
          <w:highlight w:val="none"/>
          <w:lang w:val="en-US" w:eastAsia="zh-CN"/>
          <w14:textFill>
            <w14:solidFill>
              <w14:schemeClr w14:val="tx1"/>
            </w14:solidFill>
          </w14:textFill>
        </w:rPr>
        <w:t>座浆料布置范围、高度应满足设计要求。如模块落位后再次起吊，应对座浆层进行重新复核。</w:t>
      </w:r>
    </w:p>
    <w:p>
      <w:pPr>
        <w:ind w:firstLine="0"/>
        <w:rPr>
          <w:rFonts w:hint="default" w:ascii="Times New Roman" w:hAnsi="Times New Roman" w:eastAsia="PMingLiU" w:cs="Times New Roman"/>
          <w:color w:val="000000" w:themeColor="text1"/>
          <w:highlight w:val="none"/>
          <w14:textFill>
            <w14:solidFill>
              <w14:schemeClr w14:val="tx1"/>
            </w14:solidFill>
          </w14:textFill>
        </w:rPr>
      </w:pPr>
      <w:bookmarkStart w:id="997" w:name="_Toc9645"/>
      <w:bookmarkStart w:id="998" w:name="_Toc2082"/>
      <w:r>
        <w:rPr>
          <w:rFonts w:hint="default" w:ascii="Times New Roman" w:hAnsi="Times New Roman" w:cs="Times New Roman"/>
          <w:b/>
          <w:bCs/>
          <w:color w:val="000000" w:themeColor="text1"/>
          <w:highlight w:val="none"/>
          <w:lang w:bidi="en-US"/>
          <w14:textFill>
            <w14:solidFill>
              <w14:schemeClr w14:val="tx1"/>
            </w14:solidFill>
          </w14:textFill>
        </w:rPr>
        <w:t>9.3</w:t>
      </w:r>
      <w:r>
        <w:rPr>
          <w:rFonts w:hint="default" w:ascii="Times New Roman" w:hAnsi="Times New Roman" w:cs="Times New Roman"/>
          <w:b/>
          <w:bCs/>
          <w:color w:val="000000" w:themeColor="text1"/>
          <w:highlight w:val="none"/>
          <w:lang w:val="en-US" w:eastAsia="zh-CN" w:bidi="en-US"/>
          <w14:textFill>
            <w14:solidFill>
              <w14:schemeClr w14:val="tx1"/>
            </w14:solidFill>
          </w14:textFill>
        </w:rPr>
        <w:t>.4</w:t>
      </w:r>
      <w:r>
        <w:rPr>
          <w:rFonts w:hint="default" w:ascii="Times New Roman" w:hAnsi="Times New Roman" w:cs="Times New Roman"/>
          <w:b/>
          <w:bCs/>
          <w:color w:val="000000" w:themeColor="text1"/>
          <w:highlight w:val="none"/>
          <w:lang w:bidi="en-US"/>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混凝土模块化结构的尺寸偏差及检验方法应符合表</w:t>
      </w:r>
      <w:r>
        <w:rPr>
          <w:rFonts w:hint="default" w:ascii="Times New Roman" w:hAnsi="Times New Roman" w:cs="Times New Roman"/>
          <w:color w:val="000000" w:themeColor="text1"/>
          <w:highlight w:val="none"/>
          <w:lang w:bidi="en-US"/>
          <w14:textFill>
            <w14:solidFill>
              <w14:schemeClr w14:val="tx1"/>
            </w14:solidFill>
          </w14:textFill>
        </w:rPr>
        <w:t>9.</w:t>
      </w:r>
      <w:r>
        <w:rPr>
          <w:rFonts w:hint="default" w:ascii="Times New Roman" w:hAnsi="Times New Roman" w:eastAsia="Times New Roman" w:cs="Times New Roman"/>
          <w:color w:val="000000" w:themeColor="text1"/>
          <w:highlight w:val="none"/>
          <w:lang w:bidi="en-US"/>
          <w14:textFill>
            <w14:solidFill>
              <w14:schemeClr w14:val="tx1"/>
            </w14:solidFill>
          </w14:textFill>
        </w:rPr>
        <w:t>3</w:t>
      </w:r>
      <w:r>
        <w:rPr>
          <w:rFonts w:hint="default" w:ascii="Times New Roman" w:hAnsi="Times New Roman" w:cs="Times New Roman"/>
          <w:color w:val="000000" w:themeColor="text1"/>
          <w:highlight w:val="none"/>
          <w:lang w:bidi="en-US"/>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bidi="en-US"/>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的规定。</w:t>
      </w:r>
      <w:bookmarkEnd w:id="997"/>
      <w:bookmarkEnd w:id="998"/>
    </w:p>
    <w:p>
      <w:pPr>
        <w:autoSpaceDE w:val="0"/>
        <w:autoSpaceDN w:val="0"/>
        <w:adjustRightInd w:val="0"/>
        <w:ind w:firstLine="360"/>
        <w:jc w:val="center"/>
        <w:rPr>
          <w:rFonts w:hint="default" w:ascii="Times New Roman" w:hAnsi="Times New Roman" w:eastAsia="黑体" w:cs="Times New Roman"/>
          <w:color w:val="000000" w:themeColor="text1"/>
          <w:kern w:val="0"/>
          <w:sz w:val="18"/>
          <w:szCs w:val="2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表</w:t>
      </w:r>
      <w:r>
        <w:rPr>
          <w:rFonts w:hint="default" w:ascii="Times New Roman" w:hAnsi="Times New Roman" w:eastAsia="黑体" w:cs="Times New Roman"/>
          <w:b/>
          <w:bCs/>
          <w:color w:val="000000" w:themeColor="text1"/>
          <w:kern w:val="0"/>
          <w:sz w:val="18"/>
          <w:szCs w:val="21"/>
          <w:highlight w:val="none"/>
          <w:lang w:bidi="en-US"/>
          <w14:textFill>
            <w14:solidFill>
              <w14:schemeClr w14:val="tx1"/>
            </w14:solidFill>
          </w14:textFill>
        </w:rPr>
        <w:t>9.3.</w:t>
      </w:r>
      <w:r>
        <w:rPr>
          <w:rFonts w:hint="default" w:ascii="Times New Roman" w:hAnsi="Times New Roman" w:eastAsia="黑体" w:cs="Times New Roman"/>
          <w:b/>
          <w:bCs/>
          <w:color w:val="000000" w:themeColor="text1"/>
          <w:kern w:val="0"/>
          <w:sz w:val="18"/>
          <w:szCs w:val="21"/>
          <w:highlight w:val="none"/>
          <w:lang w:val="en-US" w:eastAsia="zh-CN" w:bidi="en-US"/>
          <w14:textFill>
            <w14:solidFill>
              <w14:schemeClr w14:val="tx1"/>
            </w14:solidFill>
          </w14:textFill>
        </w:rPr>
        <w:t>4</w:t>
      </w:r>
      <w:r>
        <w:rPr>
          <w:rFonts w:hint="default" w:ascii="Times New Roman" w:hAnsi="Times New Roman" w:eastAsia="PMingLiU" w:cs="Times New Roman"/>
          <w:b/>
          <w:color w:val="000000" w:themeColor="text1"/>
          <w:kern w:val="0"/>
          <w:sz w:val="18"/>
          <w:szCs w:val="21"/>
          <w:highlight w:val="none"/>
          <w14:textFill>
            <w14:solidFill>
              <w14:schemeClr w14:val="tx1"/>
            </w14:solidFill>
          </w14:textFill>
        </w:rPr>
        <w:t xml:space="preserve"> </w:t>
      </w:r>
      <w:r>
        <w:rPr>
          <w:rFonts w:hint="default" w:ascii="Times New Roman" w:hAnsi="Times New Roman" w:eastAsia="PMingLiU" w:cs="Times New Roman"/>
          <w:color w:val="000000" w:themeColor="text1"/>
          <w:kern w:val="0"/>
          <w:sz w:val="18"/>
          <w:szCs w:val="21"/>
          <w:highlight w:val="none"/>
          <w14:textFill>
            <w14:solidFill>
              <w14:schemeClr w14:val="tx1"/>
            </w14:solidFill>
          </w14:textFill>
        </w:rPr>
        <w:t xml:space="preserve"> </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模块安</w:t>
      </w:r>
      <w:r>
        <w:rPr>
          <w:rFonts w:hint="default" w:ascii="Times New Roman" w:hAnsi="Times New Roman" w:eastAsia="黑体" w:cs="Times New Roman"/>
          <w:color w:val="000000" w:themeColor="text1"/>
          <w:kern w:val="0"/>
          <w:sz w:val="18"/>
          <w:szCs w:val="21"/>
          <w:highlight w:val="none"/>
          <w:lang w:val="en-US" w:eastAsia="zh-CN"/>
          <w14:textFill>
            <w14:solidFill>
              <w14:schemeClr w14:val="tx1"/>
            </w14:solidFill>
          </w14:textFill>
        </w:rPr>
        <w:t>装</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尺寸的允许偏差及检验方法</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1912"/>
        <w:gridCol w:w="2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项目</w:t>
            </w:r>
          </w:p>
        </w:tc>
        <w:tc>
          <w:tcPr>
            <w:tcW w:w="1558"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允许偏差（mm）</w:t>
            </w:r>
          </w:p>
        </w:tc>
        <w:tc>
          <w:tcPr>
            <w:tcW w:w="1927"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模块底座外轮廓偏移</w:t>
            </w:r>
          </w:p>
        </w:tc>
        <w:tc>
          <w:tcPr>
            <w:tcW w:w="1558"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w:t>
            </w:r>
            <w:r>
              <w:rPr>
                <w:rFonts w:hint="default" w:ascii="Times New Roman" w:hAnsi="Times New Roman" w:eastAsia="宋体" w:cs="Times New Roman"/>
                <w:color w:val="000000" w:themeColor="text1"/>
                <w:sz w:val="16"/>
                <w:szCs w:val="20"/>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6"/>
                <w:szCs w:val="20"/>
                <w:highlight w:val="none"/>
                <w14:textFill>
                  <w14:solidFill>
                    <w14:schemeClr w14:val="tx1"/>
                  </w14:solidFill>
                </w14:textFill>
              </w:rPr>
              <w:t>，+5</w:t>
            </w:r>
          </w:p>
        </w:tc>
        <w:tc>
          <w:tcPr>
            <w:tcW w:w="1927"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模块垂直度</w:t>
            </w:r>
          </w:p>
        </w:tc>
        <w:tc>
          <w:tcPr>
            <w:tcW w:w="1558"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5</w:t>
            </w:r>
          </w:p>
        </w:tc>
        <w:tc>
          <w:tcPr>
            <w:tcW w:w="1927"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激光水平仪、尺量（检查墙面）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模块标高</w:t>
            </w:r>
          </w:p>
        </w:tc>
        <w:tc>
          <w:tcPr>
            <w:tcW w:w="1558"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-5</w:t>
            </w:r>
          </w:p>
        </w:tc>
        <w:tc>
          <w:tcPr>
            <w:tcW w:w="1927"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激光水平仪、尺量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模块底部水平度</w:t>
            </w:r>
          </w:p>
        </w:tc>
        <w:tc>
          <w:tcPr>
            <w:tcW w:w="1558"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5</w:t>
            </w:r>
          </w:p>
        </w:tc>
        <w:tc>
          <w:tcPr>
            <w:tcW w:w="1927" w:type="pct"/>
            <w:tcBorders>
              <w:tl2br w:val="nil"/>
              <w:tr2bl w:val="nil"/>
            </w:tcBorders>
            <w:shd w:val="clear" w:color="auto" w:fill="auto"/>
            <w:vAlign w:val="center"/>
          </w:tcPr>
          <w:p>
            <w:pPr>
              <w:pStyle w:val="7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00" w:themeColor="text1"/>
                <w:sz w:val="16"/>
                <w:szCs w:val="20"/>
                <w:highlight w:val="none"/>
                <w14:textFill>
                  <w14:solidFill>
                    <w14:schemeClr w14:val="tx1"/>
                  </w14:solidFill>
                </w14:textFill>
              </w:rPr>
            </w:pPr>
            <w:r>
              <w:rPr>
                <w:rFonts w:hint="default" w:ascii="Times New Roman" w:hAnsi="Times New Roman" w:eastAsia="宋体" w:cs="Times New Roman"/>
                <w:color w:val="000000" w:themeColor="text1"/>
                <w:sz w:val="16"/>
                <w:szCs w:val="20"/>
                <w:highlight w:val="none"/>
                <w14:textFill>
                  <w14:solidFill>
                    <w14:schemeClr w14:val="tx1"/>
                  </w14:solidFill>
                </w14:textFill>
              </w:rPr>
              <w:t>激光水平仪、尺量</w:t>
            </w:r>
          </w:p>
        </w:tc>
      </w:tr>
    </w:tbl>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999" w:name="_Toc964"/>
      <w:bookmarkStart w:id="1000" w:name="_Toc29943"/>
      <w:bookmarkStart w:id="1001" w:name="_Toc184"/>
      <w:bookmarkStart w:id="1002" w:name="_Toc13602"/>
      <w:bookmarkStart w:id="1003" w:name="_Toc2837"/>
      <w:bookmarkStart w:id="1004" w:name="_Toc6709"/>
      <w:bookmarkStart w:id="1005" w:name="_Toc25850"/>
      <w:bookmarkStart w:id="1006" w:name="_Toc18350"/>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9.4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 块 连 接</w:t>
      </w:r>
      <w:bookmarkEnd w:id="999"/>
      <w:bookmarkEnd w:id="1000"/>
      <w:bookmarkEnd w:id="1001"/>
      <w:bookmarkEnd w:id="1002"/>
      <w:bookmarkEnd w:id="1003"/>
      <w:bookmarkEnd w:id="1004"/>
      <w:bookmarkEnd w:id="1005"/>
      <w:bookmarkEnd w:id="1006"/>
    </w:p>
    <w:p>
      <w:pPr>
        <w:ind w:firstLine="0"/>
        <w:rPr>
          <w:rFonts w:hint="default" w:ascii="Times New Roman" w:hAnsi="Times New Roman" w:eastAsia="PMingLiU" w:cs="Times New Roman"/>
          <w:color w:val="000000" w:themeColor="text1"/>
          <w:highlight w:val="none"/>
          <w14:textFill>
            <w14:solidFill>
              <w14:schemeClr w14:val="tx1"/>
            </w14:solidFill>
          </w14:textFill>
        </w:rPr>
      </w:pPr>
      <w:bookmarkStart w:id="1007" w:name="_Toc3187"/>
      <w:bookmarkStart w:id="1008" w:name="_Toc23268"/>
      <w:r>
        <w:rPr>
          <w:rFonts w:hint="default" w:ascii="Times New Roman" w:hAnsi="Times New Roman" w:cs="Times New Roman"/>
          <w:b/>
          <w:bCs/>
          <w:color w:val="000000" w:themeColor="text1"/>
          <w:kern w:val="0"/>
          <w:highlight w:val="none"/>
          <w:lang w:bidi="en-US"/>
          <w14:textFill>
            <w14:solidFill>
              <w14:schemeClr w14:val="tx1"/>
            </w14:solidFill>
          </w14:textFill>
        </w:rPr>
        <w:t>9.</w:t>
      </w:r>
      <w:r>
        <w:rPr>
          <w:rFonts w:hint="default" w:ascii="Times New Roman" w:hAnsi="Times New Roman" w:eastAsia="Times New Roman" w:cs="Times New Roman"/>
          <w:b/>
          <w:bCs/>
          <w:color w:val="000000" w:themeColor="text1"/>
          <w:kern w:val="0"/>
          <w:highlight w:val="none"/>
          <w:lang w:bidi="en-US"/>
          <w14:textFill>
            <w14:solidFill>
              <w14:schemeClr w14:val="tx1"/>
            </w14:solidFill>
          </w14:textFill>
        </w:rPr>
        <w:t>4</w:t>
      </w:r>
      <w:r>
        <w:rPr>
          <w:rFonts w:hint="default" w:ascii="Times New Roman" w:hAnsi="Times New Roman" w:cs="Times New Roman"/>
          <w:b/>
          <w:bCs/>
          <w:color w:val="000000" w:themeColor="text1"/>
          <w:kern w:val="0"/>
          <w:highlight w:val="none"/>
          <w:lang w:bidi="en-US"/>
          <w14:textFill>
            <w14:solidFill>
              <w14:schemeClr w14:val="tx1"/>
            </w14:solidFill>
          </w14:textFill>
        </w:rPr>
        <w:t>.</w:t>
      </w:r>
      <w:r>
        <w:rPr>
          <w:rFonts w:hint="default" w:ascii="Times New Roman" w:hAnsi="Times New Roman" w:eastAsia="Times New Roman" w:cs="Times New Roman"/>
          <w:b/>
          <w:bCs/>
          <w:color w:val="000000" w:themeColor="text1"/>
          <w:kern w:val="0"/>
          <w:highlight w:val="none"/>
          <w:lang w:bidi="en-US"/>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钢筋工程、混凝土工程及模板工程除符合本章规定外，尚应符合现行国家标准《混凝土结构工程施工规范》</w:t>
      </w:r>
      <w:r>
        <w:rPr>
          <w:rFonts w:hint="default" w:ascii="Times New Roman" w:hAnsi="Times New Roman" w:eastAsia="Times New Roman" w:cs="Times New Roman"/>
          <w:color w:val="000000" w:themeColor="text1"/>
          <w:highlight w:val="none"/>
          <w:lang w:bidi="en-US"/>
          <w14:textFill>
            <w14:solidFill>
              <w14:schemeClr w14:val="tx1"/>
            </w14:solidFill>
          </w14:textFill>
        </w:rPr>
        <w:t xml:space="preserve">GB </w:t>
      </w:r>
      <w:r>
        <w:rPr>
          <w:rFonts w:hint="default" w:ascii="Times New Roman" w:hAnsi="Times New Roman" w:eastAsia="Times New Roman" w:cs="Times New Roman"/>
          <w:color w:val="000000" w:themeColor="text1"/>
          <w:highlight w:val="none"/>
          <w14:textFill>
            <w14:solidFill>
              <w14:schemeClr w14:val="tx1"/>
            </w14:solidFill>
          </w14:textFill>
        </w:rPr>
        <w:t>50666</w:t>
      </w:r>
      <w:r>
        <w:rPr>
          <w:rFonts w:hint="default" w:ascii="Times New Roman" w:hAnsi="Times New Roman" w:cs="Times New Roman"/>
          <w:color w:val="000000" w:themeColor="text1"/>
          <w:highlight w:val="none"/>
          <w14:textFill>
            <w14:solidFill>
              <w14:schemeClr w14:val="tx1"/>
            </w14:solidFill>
          </w14:textFill>
        </w:rPr>
        <w:t>的有关规定。当</w:t>
      </w:r>
      <w:r>
        <w:rPr>
          <w:rFonts w:hint="default" w:ascii="Times New Roman" w:hAnsi="Times New Roman" w:cs="Times New Roman"/>
          <w:color w:val="000000" w:themeColor="text1"/>
          <w:highlight w:val="none"/>
          <w:lang w:val="en-US" w:eastAsia="zh-CN"/>
          <w14:textFill>
            <w14:solidFill>
              <w14:schemeClr w14:val="tx1"/>
            </w14:solidFill>
          </w14:textFill>
        </w:rPr>
        <w:t>采用</w:t>
      </w:r>
      <w:r>
        <w:rPr>
          <w:rFonts w:hint="default" w:ascii="Times New Roman" w:hAnsi="Times New Roman" w:cs="Times New Roman"/>
          <w:color w:val="000000" w:themeColor="text1"/>
          <w:highlight w:val="none"/>
          <w14:textFill>
            <w14:solidFill>
              <w14:schemeClr w14:val="tx1"/>
            </w14:solidFill>
          </w14:textFill>
        </w:rPr>
        <w:t>自密实混凝土时，应符合现行行业标准《自密实混凝土应用技术规程》</w:t>
      </w:r>
      <w:r>
        <w:rPr>
          <w:rFonts w:hint="default" w:ascii="Times New Roman" w:hAnsi="Times New Roman" w:eastAsia="Times New Roman" w:cs="Times New Roman"/>
          <w:color w:val="000000" w:themeColor="text1"/>
          <w:highlight w:val="none"/>
          <w:lang w:bidi="en-US"/>
          <w14:textFill>
            <w14:solidFill>
              <w14:schemeClr w14:val="tx1"/>
            </w14:solidFill>
          </w14:textFill>
        </w:rPr>
        <w:t>JGJ/T 283</w:t>
      </w:r>
      <w:r>
        <w:rPr>
          <w:rFonts w:hint="default" w:ascii="Times New Roman" w:hAnsi="Times New Roman" w:cs="Times New Roman"/>
          <w:color w:val="000000" w:themeColor="text1"/>
          <w:highlight w:val="none"/>
          <w14:textFill>
            <w14:solidFill>
              <w14:schemeClr w14:val="tx1"/>
            </w14:solidFill>
          </w14:textFill>
        </w:rPr>
        <w:t>的有关规定。</w:t>
      </w:r>
      <w:bookmarkEnd w:id="1007"/>
      <w:bookmarkEnd w:id="1008"/>
    </w:p>
    <w:p>
      <w:pPr>
        <w:ind w:firstLine="0"/>
        <w:rPr>
          <w:rFonts w:hint="default" w:ascii="Times New Roman" w:hAnsi="Times New Roman" w:cs="Times New Roman"/>
          <w:color w:val="000000" w:themeColor="text1"/>
          <w:highlight w:val="none"/>
          <w14:textFill>
            <w14:solidFill>
              <w14:schemeClr w14:val="tx1"/>
            </w14:solidFill>
          </w14:textFill>
        </w:rPr>
      </w:pPr>
      <w:bookmarkStart w:id="1009" w:name="_Toc30251"/>
      <w:bookmarkStart w:id="1010" w:name="_Toc24727"/>
      <w:bookmarkStart w:id="1011" w:name="_Toc2174"/>
      <w:r>
        <w:rPr>
          <w:rFonts w:hint="default" w:ascii="Times New Roman" w:hAnsi="Times New Roman" w:cs="Times New Roman"/>
          <w:b/>
          <w:bCs/>
          <w:color w:val="000000" w:themeColor="text1"/>
          <w:kern w:val="0"/>
          <w:highlight w:val="none"/>
          <w:lang w:bidi="en-US"/>
          <w14:textFill>
            <w14:solidFill>
              <w14:schemeClr w14:val="tx1"/>
            </w14:solidFill>
          </w14:textFill>
        </w:rPr>
        <w:t>9.</w:t>
      </w:r>
      <w:r>
        <w:rPr>
          <w:rFonts w:hint="default" w:ascii="Times New Roman" w:hAnsi="Times New Roman" w:eastAsia="Times New Roman" w:cs="Times New Roman"/>
          <w:b/>
          <w:bCs/>
          <w:color w:val="000000" w:themeColor="text1"/>
          <w:kern w:val="0"/>
          <w:highlight w:val="none"/>
          <w:lang w:bidi="en-US"/>
          <w14:textFill>
            <w14:solidFill>
              <w14:schemeClr w14:val="tx1"/>
            </w14:solidFill>
          </w14:textFill>
        </w:rPr>
        <w:t>4</w:t>
      </w:r>
      <w:r>
        <w:rPr>
          <w:rFonts w:hint="default" w:ascii="Times New Roman" w:hAnsi="Times New Roman" w:cs="Times New Roman"/>
          <w:b/>
          <w:bCs/>
          <w:color w:val="000000" w:themeColor="text1"/>
          <w:kern w:val="0"/>
          <w:highlight w:val="none"/>
          <w:lang w:bidi="en-US"/>
          <w14:textFill>
            <w14:solidFill>
              <w14:schemeClr w14:val="tx1"/>
            </w14:solidFill>
          </w14:textFill>
        </w:rPr>
        <w:t>.</w:t>
      </w:r>
      <w:r>
        <w:rPr>
          <w:rFonts w:hint="default" w:ascii="Times New Roman" w:hAnsi="Times New Roman" w:eastAsia="Times New Roman" w:cs="Times New Roman"/>
          <w:b/>
          <w:bCs/>
          <w:color w:val="000000" w:themeColor="text1"/>
          <w:kern w:val="0"/>
          <w:highlight w:val="none"/>
          <w:lang w:bidi="en-US"/>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模块单元的连接应符合下列规定：</w:t>
      </w:r>
      <w:bookmarkEnd w:id="1009"/>
      <w:bookmarkEnd w:id="1010"/>
      <w:bookmarkEnd w:id="1011"/>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highlight w:val="none"/>
          <w:lang w:val="en-US" w:eastAsia="zh-CN" w:bidi="en-US"/>
          <w14:textFill>
            <w14:solidFill>
              <w14:schemeClr w14:val="tx1"/>
            </w14:solidFill>
          </w14:textFill>
        </w:rPr>
        <w:t>1</w:t>
      </w:r>
      <w:r>
        <w:rPr>
          <w:rFonts w:hint="default" w:ascii="Times New Roman" w:hAnsi="Times New Roman" w:eastAsia="Times New Roman" w:cs="Times New Roman"/>
          <w:b/>
          <w:bCs/>
          <w:color w:val="000000" w:themeColor="text1"/>
          <w:kern w:val="0"/>
          <w:highlight w:val="none"/>
          <w:lang w:bidi="en-US"/>
          <w14:textFill>
            <w14:solidFill>
              <w14:schemeClr w14:val="tx1"/>
            </w14:solidFill>
          </w14:textFill>
        </w:rPr>
        <w:t xml:space="preserve">  </w:t>
      </w:r>
      <w:r>
        <w:rPr>
          <w:rFonts w:hint="default" w:ascii="Times New Roman" w:hAnsi="Times New Roman" w:cs="Times New Roman"/>
          <w:b w:val="0"/>
          <w:bCs w:val="0"/>
          <w:color w:val="000000" w:themeColor="text1"/>
          <w:kern w:val="2"/>
          <w:highlight w:val="none"/>
          <w:lang w:bidi="en-US"/>
          <w14:textFill>
            <w14:solidFill>
              <w14:schemeClr w14:val="tx1"/>
            </w14:solidFill>
          </w14:textFill>
        </w:rPr>
        <w:t>模块</w:t>
      </w:r>
      <w:r>
        <w:rPr>
          <w:rFonts w:hint="default" w:ascii="Times New Roman" w:hAnsi="Times New Roman" w:cs="Times New Roman"/>
          <w:color w:val="000000" w:themeColor="text1"/>
          <w:highlight w:val="none"/>
          <w14:textFill>
            <w14:solidFill>
              <w14:schemeClr w14:val="tx1"/>
            </w14:solidFill>
          </w14:textFill>
        </w:rPr>
        <w:t>后浇混凝土的施工</w:t>
      </w:r>
      <w:r>
        <w:rPr>
          <w:rFonts w:hint="default" w:ascii="Times New Roman" w:hAnsi="Times New Roman" w:cs="Times New Roman"/>
          <w:color w:val="000000" w:themeColor="text1"/>
          <w:highlight w:val="none"/>
          <w:lang w:val="en-US" w:eastAsia="zh-CN"/>
          <w14:textFill>
            <w14:solidFill>
              <w14:schemeClr w14:val="tx1"/>
            </w14:solidFill>
          </w14:textFill>
        </w:rPr>
        <w:t>及模块间的连接</w:t>
      </w:r>
      <w:r>
        <w:rPr>
          <w:rFonts w:hint="default" w:ascii="Times New Roman" w:hAnsi="Times New Roman" w:cs="Times New Roman"/>
          <w:color w:val="000000" w:themeColor="text1"/>
          <w:highlight w:val="none"/>
          <w14:textFill>
            <w14:solidFill>
              <w14:schemeClr w14:val="tx1"/>
            </w14:solidFill>
          </w14:textFill>
        </w:rPr>
        <w:t>应符合现行国家标准《混凝土结构工程施工规范》GB 50666和《装配式混凝土建筑技术标准》GB/T 51231及设计要求的有关规定</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金属波纹管内上下层钢筋连接完成后，应采用专用工装工具进行定位，并应采用可靠的临时固定措施控制钢筋在金属波纹管的相对位置及其外露长度满足设计要求</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金属波纹管在模块吊装前及管内混凝土浇筑前均</w:t>
      </w:r>
      <w:r>
        <w:rPr>
          <w:rFonts w:hint="default" w:ascii="Times New Roman" w:hAnsi="Times New Roman" w:cs="Times New Roman"/>
          <w:color w:val="000000" w:themeColor="text1"/>
          <w:highlight w:val="none"/>
          <w:lang w:val="en-US"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进行波纹管位置、规格、数量的检查；当金属波纹管内有杂物时，应及时清理干净</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在模块拼缝处</w:t>
      </w:r>
      <w:r>
        <w:rPr>
          <w:rFonts w:hint="default" w:ascii="Times New Roman" w:hAnsi="Times New Roman" w:cs="Times New Roman"/>
          <w:color w:val="000000" w:themeColor="text1"/>
          <w:highlight w:val="none"/>
          <w14:textFill>
            <w14:solidFill>
              <w14:schemeClr w14:val="tx1"/>
            </w14:solidFill>
          </w14:textFill>
        </w:rPr>
        <w:t>封浆料</w:t>
      </w:r>
      <w:r>
        <w:rPr>
          <w:rFonts w:hint="default" w:ascii="Times New Roman" w:hAnsi="Times New Roman" w:cs="Times New Roman"/>
          <w:color w:val="000000" w:themeColor="text1"/>
          <w:highlight w:val="none"/>
          <w:lang w:val="en-US" w:eastAsia="zh-CN"/>
          <w14:textFill>
            <w14:solidFill>
              <w14:schemeClr w14:val="tx1"/>
            </w14:solidFill>
          </w14:textFill>
        </w:rPr>
        <w:t>施工完成并达到设计强度后，再进行竖向构件空腔混凝土浇筑施工</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9.4.3 </w:t>
      </w:r>
      <w:r>
        <w:rPr>
          <w:rFonts w:hint="default" w:ascii="Times New Roman" w:hAnsi="Times New Roman" w:cs="Times New Roman"/>
          <w:color w:val="000000" w:themeColor="text1"/>
          <w:highlight w:val="none"/>
          <w14:textFill>
            <w14:solidFill>
              <w14:schemeClr w14:val="tx1"/>
            </w14:solidFill>
          </w14:textFill>
        </w:rPr>
        <w:t xml:space="preserve"> 后浇混凝土部分的模板与支架应符合下列规定：</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模块楼板宜进行免支撑设计，当楼板跨度不满足免支撑要求时，宜</w:t>
      </w:r>
      <w:r>
        <w:rPr>
          <w:rFonts w:hint="default" w:ascii="Times New Roman" w:hAnsi="Times New Roman" w:cs="Times New Roman"/>
          <w:color w:val="000000" w:themeColor="text1"/>
          <w:highlight w:val="none"/>
          <w:lang w:val="en-US" w:eastAsia="zh-CN"/>
          <w14:textFill>
            <w14:solidFill>
              <w14:schemeClr w14:val="tx1"/>
            </w14:solidFill>
          </w14:textFill>
        </w:rPr>
        <w:t>采用</w:t>
      </w:r>
      <w:r>
        <w:rPr>
          <w:rFonts w:hint="default" w:ascii="Times New Roman" w:hAnsi="Times New Roman" w:cs="Times New Roman"/>
          <w:color w:val="000000" w:themeColor="text1"/>
          <w:highlight w:val="none"/>
          <w14:textFill>
            <w14:solidFill>
              <w14:schemeClr w14:val="tx1"/>
            </w14:solidFill>
          </w14:textFill>
        </w:rPr>
        <w:t>工具式快拆支架，并应在模块设计说明书和施工安全专项方案中提供相应计算文件</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 xml:space="preserve"> 模板与预制模块接缝处应采取防止漏浆的措施</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拼缝及降板部分后浇混凝土，宜采用定型模板</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模板应保证后浇混凝土部分形状、尺寸和位置准确</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 xml:space="preserve">  涉及悬挑结构或预制阳台、凸窗等构件的支撑，应按照相关规定进行支架验算，支架保留层数应符合相关规定</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9.4.4  </w:t>
      </w:r>
      <w:r>
        <w:rPr>
          <w:rFonts w:hint="default" w:ascii="Times New Roman" w:hAnsi="Times New Roman" w:cs="Times New Roman"/>
          <w:color w:val="000000" w:themeColor="text1"/>
          <w:highlight w:val="none"/>
          <w14:textFill>
            <w14:solidFill>
              <w14:schemeClr w14:val="tx1"/>
            </w14:solidFill>
          </w14:textFill>
        </w:rPr>
        <w:t>拆模时后浇混凝土强度应符合现行国家标准《混凝土结构工程施工规范》GB 50666的有关规定，并应符合设计要求。</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9.4.</w:t>
      </w:r>
      <w:r>
        <w:rPr>
          <w:rFonts w:hint="eastAsia" w:cs="Times New Roman"/>
          <w:b/>
          <w:color w:val="000000" w:themeColor="text1"/>
          <w:highlight w:val="none"/>
          <w:lang w:val="en-US" w:eastAsia="zh-CN"/>
          <w14:textFill>
            <w14:solidFill>
              <w14:schemeClr w14:val="tx1"/>
            </w14:solidFill>
          </w14:textFill>
        </w:rPr>
        <w:t>5</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相邻模块之间的机电管线连接，宜采用接缝两边预留过路箱的方式。</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9.4.</w:t>
      </w:r>
      <w:r>
        <w:rPr>
          <w:rFonts w:hint="eastAsia"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kern w:val="0"/>
          <w:szCs w:val="24"/>
          <w:highlight w:val="none"/>
          <w:lang w:bidi="ar"/>
          <w14:textFill>
            <w14:solidFill>
              <w14:schemeClr w14:val="tx1"/>
            </w14:solidFill>
          </w14:textFill>
        </w:rPr>
        <w:t>设备与管线的现场连接安装应符合现行国家标准《建筑给水排水及采暖工程施工质量验收规范》GB 50242和《通风与空调工程施工质量验收规范》GB 50243的有关规定，并应符合下列规定：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 xml:space="preserve">1 </w:t>
      </w:r>
      <w:r>
        <w:rPr>
          <w:rFonts w:hint="default" w:ascii="Times New Roman" w:hAnsi="Times New Roman" w:cs="Times New Roman"/>
          <w:color w:val="000000" w:themeColor="text1"/>
          <w:kern w:val="0"/>
          <w:szCs w:val="24"/>
          <w:highlight w:val="none"/>
          <w:lang w:bidi="ar"/>
          <w14:textFill>
            <w14:solidFill>
              <w14:schemeClr w14:val="tx1"/>
            </w14:solidFill>
          </w14:textFill>
        </w:rPr>
        <w:t>模块之间水管的连接应在模块拼装完成后实施，并应分别进行排水管灌水及通球试验，给水管道的严密性及强度试验；</w:t>
      </w:r>
    </w:p>
    <w:p>
      <w:pPr>
        <w:ind w:firstLine="421" w:firstLineChars="200"/>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bCs/>
          <w:color w:val="000000" w:themeColor="text1"/>
          <w:kern w:val="0"/>
          <w:szCs w:val="24"/>
          <w:highlight w:val="none"/>
          <w:lang w:bidi="ar"/>
          <w14:textFill>
            <w14:solidFill>
              <w14:schemeClr w14:val="tx1"/>
            </w14:solidFill>
          </w14:textFill>
        </w:rPr>
        <w:t xml:space="preserve">2  </w:t>
      </w:r>
      <w:r>
        <w:rPr>
          <w:rFonts w:hint="default" w:ascii="Times New Roman" w:hAnsi="Times New Roman" w:cs="Times New Roman"/>
          <w:color w:val="000000" w:themeColor="text1"/>
          <w:kern w:val="0"/>
          <w:szCs w:val="24"/>
          <w:highlight w:val="none"/>
          <w:lang w:bidi="ar"/>
          <w14:textFill>
            <w14:solidFill>
              <w14:schemeClr w14:val="tx1"/>
            </w14:solidFill>
          </w14:textFill>
        </w:rPr>
        <w:t>模块间风管的现场连接宜采用法兰连接；</w:t>
      </w:r>
    </w:p>
    <w:p>
      <w:pPr>
        <w:ind w:firstLine="421" w:firstLineChars="200"/>
        <w:jc w:val="left"/>
        <w:rPr>
          <w:rFonts w:hint="default" w:ascii="Times New Roman" w:hAnsi="Times New Roman" w:cs="Times New Roman"/>
          <w:color w:val="000000" w:themeColor="text1"/>
          <w:kern w:val="0"/>
          <w:szCs w:val="24"/>
          <w:highlight w:val="none"/>
          <w:lang w:bidi="ar"/>
          <w14:textFill>
            <w14:solidFill>
              <w14:schemeClr w14:val="tx1"/>
            </w14:solidFill>
          </w14:textFill>
        </w:rPr>
      </w:pPr>
      <w:r>
        <w:rPr>
          <w:rFonts w:hint="default" w:ascii="Times New Roman" w:hAnsi="Times New Roman" w:cs="Times New Roman"/>
          <w:b/>
          <w:color w:val="000000" w:themeColor="text1"/>
          <w:kern w:val="0"/>
          <w:szCs w:val="24"/>
          <w:highlight w:val="none"/>
          <w:lang w:bidi="ar"/>
          <w14:textFill>
            <w14:solidFill>
              <w14:schemeClr w14:val="tx1"/>
            </w14:solidFill>
          </w14:textFill>
        </w:rPr>
        <w:t>3</w:t>
      </w:r>
      <w:r>
        <w:rPr>
          <w:rFonts w:hint="default" w:ascii="Times New Roman" w:hAnsi="Times New Roman" w:cs="Times New Roman"/>
          <w:color w:val="000000" w:themeColor="text1"/>
          <w:kern w:val="0"/>
          <w:szCs w:val="24"/>
          <w:highlight w:val="none"/>
          <w:lang w:bidi="ar"/>
          <w14:textFill>
            <w14:solidFill>
              <w14:schemeClr w14:val="tx1"/>
            </w14:solidFill>
          </w14:textFill>
        </w:rPr>
        <w:t xml:space="preserve">  模块单元中机电管线及设备固定在模块顶板时，固定件不得穿透模块顶板，出厂前应进行淋水实验，不渗水、漏水为合格。</w:t>
      </w:r>
    </w:p>
    <w:p>
      <w:pPr>
        <w:keepNext/>
        <w:keepLines/>
        <w:pageBreakBefore w:val="0"/>
        <w:widowControl w:val="0"/>
        <w:kinsoku/>
        <w:wordWrap/>
        <w:overflowPunct/>
        <w:topLinePunct w:val="0"/>
        <w:autoSpaceDE/>
        <w:autoSpaceDN/>
        <w:bidi w:val="0"/>
        <w:adjustRightInd/>
        <w:snapToGrid/>
        <w:spacing w:before="240" w:after="240"/>
        <w:ind w:firstLine="0"/>
        <w:jc w:val="center"/>
        <w:textAlignment w:val="auto"/>
        <w:outlineLvl w:val="1"/>
        <w:rPr>
          <w:rFonts w:hint="default" w:ascii="Times New Roman" w:hAnsi="Times New Roman" w:eastAsia="黑体" w:cs="Times New Roman"/>
          <w:b/>
          <w:bCs/>
          <w:color w:val="000000" w:themeColor="text1"/>
          <w:sz w:val="24"/>
          <w:szCs w:val="24"/>
          <w:highlight w:val="none"/>
          <w14:textFill>
            <w14:solidFill>
              <w14:schemeClr w14:val="tx1"/>
            </w14:solidFill>
          </w14:textFill>
        </w:rPr>
      </w:pPr>
      <w:bookmarkStart w:id="1012" w:name="_Toc263"/>
      <w:bookmarkStart w:id="1013" w:name="_Toc19933"/>
      <w:bookmarkStart w:id="1014" w:name="_Toc24922"/>
      <w:bookmarkStart w:id="1015" w:name="_Toc23941"/>
      <w:bookmarkStart w:id="1016" w:name="_Toc6854"/>
      <w:bookmarkStart w:id="1017" w:name="_Toc798"/>
      <w:bookmarkStart w:id="1018" w:name="_Toc2258"/>
      <w:bookmarkStart w:id="1019" w:name="_Toc29501"/>
      <w:r>
        <w:rPr>
          <w:rFonts w:hint="default" w:ascii="Times New Roman" w:hAnsi="Times New Roman" w:eastAsia="黑体" w:cs="Times New Roman"/>
          <w:b/>
          <w:bCs/>
          <w:color w:val="000000" w:themeColor="text1"/>
          <w:sz w:val="24"/>
          <w:szCs w:val="24"/>
          <w:highlight w:val="none"/>
          <w14:textFill>
            <w14:solidFill>
              <w14:schemeClr w14:val="tx1"/>
            </w14:solidFill>
          </w14:textFill>
        </w:rPr>
        <w:t>9.5  施工安全与环境保护</w:t>
      </w:r>
      <w:bookmarkEnd w:id="1012"/>
      <w:bookmarkEnd w:id="1013"/>
      <w:bookmarkEnd w:id="1014"/>
      <w:bookmarkEnd w:id="1015"/>
      <w:bookmarkEnd w:id="1016"/>
      <w:bookmarkEnd w:id="1017"/>
      <w:bookmarkEnd w:id="1018"/>
      <w:bookmarkEnd w:id="1019"/>
    </w:p>
    <w:p>
      <w:pPr>
        <w:ind w:firstLine="0"/>
        <w:rPr>
          <w:rFonts w:hint="default" w:ascii="Times New Roman" w:hAnsi="Times New Roman" w:cs="Times New Roman"/>
          <w:b/>
          <w:color w:val="000000" w:themeColor="text1"/>
          <w:highlight w:val="none"/>
          <w14:textFill>
            <w14:solidFill>
              <w14:schemeClr w14:val="tx1"/>
            </w14:solidFill>
          </w14:textFill>
        </w:rPr>
      </w:pPr>
      <w:bookmarkStart w:id="1020" w:name="_Toc5375"/>
      <w:bookmarkStart w:id="1021" w:name="_Toc16111"/>
      <w:r>
        <w:rPr>
          <w:rFonts w:hint="default" w:ascii="Times New Roman" w:hAnsi="Times New Roman" w:cs="Times New Roman"/>
          <w:b/>
          <w:color w:val="000000" w:themeColor="text1"/>
          <w:highlight w:val="none"/>
          <w14:textFill>
            <w14:solidFill>
              <w14:schemeClr w14:val="tx1"/>
            </w14:solidFill>
          </w14:textFill>
        </w:rPr>
        <w:t xml:space="preserve">9.5.1  </w:t>
      </w:r>
      <w:r>
        <w:rPr>
          <w:rFonts w:hint="default" w:ascii="Times New Roman" w:hAnsi="Times New Roman" w:cs="Times New Roman"/>
          <w:bCs/>
          <w:color w:val="000000" w:themeColor="text1"/>
          <w:highlight w:val="none"/>
          <w14:textFill>
            <w14:solidFill>
              <w14:schemeClr w14:val="tx1"/>
            </w14:solidFill>
          </w14:textFill>
        </w:rPr>
        <w:t>模块施工前，应按照</w:t>
      </w:r>
      <w:r>
        <w:rPr>
          <w:rFonts w:hint="default" w:ascii="Times New Roman" w:hAnsi="Times New Roman" w:cs="Times New Roman"/>
          <w:bCs/>
          <w:color w:val="000000" w:themeColor="text1"/>
          <w:highlight w:val="none"/>
          <w:lang w:val="zh-CN"/>
          <w14:textFill>
            <w14:solidFill>
              <w14:schemeClr w14:val="tx1"/>
            </w14:solidFill>
          </w14:textFill>
        </w:rPr>
        <w:t>《危险性较大的分部分项工程安全管理规定》（住房城乡建设部令第37号）</w:t>
      </w:r>
      <w:r>
        <w:rPr>
          <w:rFonts w:hint="default" w:ascii="Times New Roman" w:hAnsi="Times New Roman" w:cs="Times New Roman"/>
          <w:bCs/>
          <w:color w:val="000000" w:themeColor="text1"/>
          <w:highlight w:val="none"/>
          <w14:textFill>
            <w14:solidFill>
              <w14:schemeClr w14:val="tx1"/>
            </w14:solidFill>
          </w14:textFill>
        </w:rPr>
        <w:t>、住房和城乡建设部办公厅关于印发危险性较大的分部分项工程专项施工方案编制指南的通知</w:t>
      </w:r>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建办质﹝20</w:t>
      </w:r>
      <w:r>
        <w:rPr>
          <w:rFonts w:hint="default" w:ascii="Times New Roman" w:hAnsi="Times New Roman" w:cs="Times New Roman"/>
          <w:bCs/>
          <w:color w:val="000000" w:themeColor="text1"/>
          <w:highlight w:val="none"/>
          <w:lang w:val="en-US" w:eastAsia="zh-CN"/>
          <w14:textFill>
            <w14:solidFill>
              <w14:schemeClr w14:val="tx1"/>
            </w14:solidFill>
          </w14:textFill>
        </w:rPr>
        <w:t>21</w:t>
      </w:r>
      <w:r>
        <w:rPr>
          <w:rFonts w:hint="default" w:ascii="Times New Roman" w:hAnsi="Times New Roman" w:cs="Times New Roman"/>
          <w:bCs/>
          <w:color w:val="000000" w:themeColor="text1"/>
          <w:highlight w:val="none"/>
          <w14:textFill>
            <w14:solidFill>
              <w14:schemeClr w14:val="tx1"/>
            </w14:solidFill>
          </w14:textFill>
        </w:rPr>
        <w:t>﹞48号</w:t>
      </w:r>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等有关现行危险性较大的分部分项工程管理办法及《危险性较大的分部分项工程专项施工方案严重缺陷清单（试行）》等相关规定，制定安全专项施工方案。</w:t>
      </w:r>
      <w:bookmarkEnd w:id="1020"/>
      <w:bookmarkEnd w:id="1021"/>
    </w:p>
    <w:p>
      <w:pPr>
        <w:ind w:firstLine="0"/>
        <w:rPr>
          <w:rFonts w:hint="default" w:ascii="Times New Roman" w:hAnsi="Times New Roman" w:cs="Times New Roman"/>
          <w:color w:val="000000" w:themeColor="text1"/>
          <w:highlight w:val="none"/>
          <w14:textFill>
            <w14:solidFill>
              <w14:schemeClr w14:val="tx1"/>
            </w14:solidFill>
          </w14:textFill>
        </w:rPr>
      </w:pPr>
      <w:bookmarkStart w:id="1022" w:name="_Toc19899"/>
      <w:bookmarkStart w:id="1023" w:name="_Toc371"/>
      <w:r>
        <w:rPr>
          <w:rFonts w:hint="default" w:ascii="Times New Roman" w:hAnsi="Times New Roman" w:cs="Times New Roman"/>
          <w:b/>
          <w:color w:val="000000" w:themeColor="text1"/>
          <w:highlight w:val="none"/>
          <w14:textFill>
            <w14:solidFill>
              <w14:schemeClr w14:val="tx1"/>
            </w14:solidFill>
          </w14:textFill>
        </w:rPr>
        <w:t xml:space="preserve">9.5.2 </w:t>
      </w:r>
      <w:r>
        <w:rPr>
          <w:rFonts w:hint="default" w:ascii="Times New Roman" w:hAnsi="Times New Roman" w:cs="Times New Roman"/>
          <w:color w:val="000000" w:themeColor="text1"/>
          <w:highlight w:val="none"/>
          <w14:textFill>
            <w14:solidFill>
              <w14:schemeClr w14:val="tx1"/>
            </w14:solidFill>
          </w14:textFill>
        </w:rPr>
        <w:t xml:space="preserve"> 混凝土模块化建筑施工应执行国家、地方、行业和企业的安全生产法规和规章制度，落实各级各类人员的安全生产职责。</w:t>
      </w:r>
      <w:bookmarkEnd w:id="1022"/>
      <w:bookmarkEnd w:id="1023"/>
    </w:p>
    <w:p>
      <w:pPr>
        <w:ind w:firstLine="0"/>
        <w:rPr>
          <w:rFonts w:hint="default" w:ascii="Times New Roman" w:hAnsi="Times New Roman" w:cs="Times New Roman"/>
          <w:color w:val="000000" w:themeColor="text1"/>
          <w:highlight w:val="none"/>
          <w14:textFill>
            <w14:solidFill>
              <w14:schemeClr w14:val="tx1"/>
            </w14:solidFill>
          </w14:textFill>
        </w:rPr>
      </w:pPr>
      <w:bookmarkStart w:id="1024" w:name="_Toc1710"/>
      <w:bookmarkStart w:id="1025" w:name="_Toc13132"/>
      <w:r>
        <w:rPr>
          <w:rFonts w:hint="default" w:ascii="Times New Roman" w:hAnsi="Times New Roman" w:cs="Times New Roman"/>
          <w:b/>
          <w:color w:val="000000" w:themeColor="text1"/>
          <w:highlight w:val="none"/>
          <w14:textFill>
            <w14:solidFill>
              <w14:schemeClr w14:val="tx1"/>
            </w14:solidFill>
          </w14:textFill>
        </w:rPr>
        <w:t xml:space="preserve">9.5.3  </w:t>
      </w:r>
      <w:r>
        <w:rPr>
          <w:rFonts w:hint="default" w:ascii="Times New Roman" w:hAnsi="Times New Roman" w:cs="Times New Roman"/>
          <w:color w:val="000000" w:themeColor="text1"/>
          <w:highlight w:val="none"/>
          <w14:textFill>
            <w14:solidFill>
              <w14:schemeClr w14:val="tx1"/>
            </w14:solidFill>
          </w14:textFill>
        </w:rPr>
        <w:t>施工单位应根据工程施工特点对重大危险源进行识别并予以公示，并制定相应的安全生产应急预案。</w:t>
      </w:r>
      <w:bookmarkEnd w:id="1024"/>
      <w:bookmarkEnd w:id="1025"/>
    </w:p>
    <w:p>
      <w:pPr>
        <w:ind w:firstLine="0"/>
        <w:rPr>
          <w:rFonts w:hint="default" w:ascii="Times New Roman" w:hAnsi="Times New Roman" w:cs="Times New Roman"/>
          <w:color w:val="000000" w:themeColor="text1"/>
          <w:highlight w:val="none"/>
          <w14:textFill>
            <w14:solidFill>
              <w14:schemeClr w14:val="tx1"/>
            </w14:solidFill>
          </w14:textFill>
        </w:rPr>
      </w:pPr>
      <w:bookmarkStart w:id="1026" w:name="_Toc3108"/>
      <w:bookmarkStart w:id="1027" w:name="_Toc684"/>
      <w:r>
        <w:rPr>
          <w:rFonts w:hint="default" w:ascii="Times New Roman" w:hAnsi="Times New Roman" w:cs="Times New Roman"/>
          <w:b/>
          <w:color w:val="000000" w:themeColor="text1"/>
          <w:highlight w:val="none"/>
          <w14:textFill>
            <w14:solidFill>
              <w14:schemeClr w14:val="tx1"/>
            </w14:solidFill>
          </w14:textFill>
        </w:rPr>
        <w:t xml:space="preserve">9.5.4  </w:t>
      </w:r>
      <w:r>
        <w:rPr>
          <w:rFonts w:hint="default" w:ascii="Times New Roman" w:hAnsi="Times New Roman" w:cs="Times New Roman"/>
          <w:color w:val="000000" w:themeColor="text1"/>
          <w:szCs w:val="21"/>
          <w:highlight w:val="none"/>
          <w14:textFill>
            <w14:solidFill>
              <w14:schemeClr w14:val="tx1"/>
            </w14:solidFill>
          </w14:textFill>
        </w:rPr>
        <w:t>施工</w:t>
      </w:r>
      <w:r>
        <w:rPr>
          <w:rFonts w:hint="default" w:ascii="Times New Roman" w:hAnsi="Times New Roman" w:cs="Times New Roman"/>
          <w:color w:val="000000" w:themeColor="text1"/>
          <w:highlight w:val="none"/>
          <w14:textFill>
            <w14:solidFill>
              <w14:schemeClr w14:val="tx1"/>
            </w14:solidFill>
          </w14:textFill>
        </w:rPr>
        <w:t>单位</w:t>
      </w:r>
      <w:r>
        <w:rPr>
          <w:rFonts w:hint="default" w:ascii="Times New Roman" w:hAnsi="Times New Roman" w:cs="Times New Roman"/>
          <w:color w:val="000000" w:themeColor="text1"/>
          <w:szCs w:val="21"/>
          <w:highlight w:val="none"/>
          <w14:textFill>
            <w14:solidFill>
              <w14:schemeClr w14:val="tx1"/>
            </w14:solidFill>
          </w14:textFill>
        </w:rPr>
        <w:t>应对从事模块吊装作业及相关人员进行安全培训与交底，培训与交底内容应包含模块进场、卸车、存放、吊装、就位等关键环节。</w:t>
      </w:r>
      <w:bookmarkEnd w:id="1026"/>
      <w:bookmarkEnd w:id="1027"/>
    </w:p>
    <w:p>
      <w:pPr>
        <w:ind w:firstLine="0"/>
        <w:rPr>
          <w:rFonts w:hint="default" w:ascii="Times New Roman" w:hAnsi="Times New Roman" w:cs="Times New Roman"/>
          <w:color w:val="000000" w:themeColor="text1"/>
          <w:highlight w:val="none"/>
          <w14:textFill>
            <w14:solidFill>
              <w14:schemeClr w14:val="tx1"/>
            </w14:solidFill>
          </w14:textFill>
        </w:rPr>
      </w:pPr>
      <w:bookmarkStart w:id="1028" w:name="_Toc7552"/>
      <w:bookmarkStart w:id="1029" w:name="_Toc12933"/>
      <w:r>
        <w:rPr>
          <w:rFonts w:hint="default" w:ascii="Times New Roman" w:hAnsi="Times New Roman" w:cs="Times New Roman"/>
          <w:b/>
          <w:color w:val="000000" w:themeColor="text1"/>
          <w:highlight w:val="none"/>
          <w14:textFill>
            <w14:solidFill>
              <w14:schemeClr w14:val="tx1"/>
            </w14:solidFill>
          </w14:textFill>
        </w:rPr>
        <w:t xml:space="preserve">9.5.5  </w:t>
      </w:r>
      <w:r>
        <w:rPr>
          <w:rFonts w:hint="default" w:ascii="Times New Roman" w:hAnsi="Times New Roman" w:cs="Times New Roman"/>
          <w:color w:val="000000" w:themeColor="text1"/>
          <w:highlight w:val="none"/>
          <w14:textFill>
            <w14:solidFill>
              <w14:schemeClr w14:val="tx1"/>
            </w14:solidFill>
          </w14:textFill>
        </w:rPr>
        <w:t>施工作业中使用的专用吊具、吊索、定型工具式支撑、支架等，应进行安全验算，并定期检查，确保其安全状态。</w:t>
      </w:r>
      <w:bookmarkEnd w:id="1028"/>
      <w:bookmarkEnd w:id="1029"/>
    </w:p>
    <w:p>
      <w:pPr>
        <w:ind w:firstLine="0"/>
        <w:rPr>
          <w:rFonts w:hint="default" w:ascii="Times New Roman" w:hAnsi="Times New Roman" w:cs="Times New Roman"/>
          <w:color w:val="000000" w:themeColor="text1"/>
          <w:highlight w:val="none"/>
          <w14:textFill>
            <w14:solidFill>
              <w14:schemeClr w14:val="tx1"/>
            </w14:solidFill>
          </w14:textFill>
        </w:rPr>
      </w:pPr>
      <w:bookmarkStart w:id="1030" w:name="_Toc8357"/>
      <w:bookmarkStart w:id="1031" w:name="_Toc11899"/>
      <w:r>
        <w:rPr>
          <w:rFonts w:hint="default" w:ascii="Times New Roman" w:hAnsi="Times New Roman" w:cs="Times New Roman"/>
          <w:b/>
          <w:color w:val="000000" w:themeColor="text1"/>
          <w:highlight w:val="none"/>
          <w14:textFill>
            <w14:solidFill>
              <w14:schemeClr w14:val="tx1"/>
            </w14:solidFill>
          </w14:textFill>
        </w:rPr>
        <w:t xml:space="preserve">9.5.6  </w:t>
      </w:r>
      <w:r>
        <w:rPr>
          <w:rFonts w:hint="default" w:ascii="Times New Roman" w:hAnsi="Times New Roman" w:cs="Times New Roman"/>
          <w:color w:val="000000" w:themeColor="text1"/>
          <w:highlight w:val="none"/>
          <w14:textFill>
            <w14:solidFill>
              <w14:schemeClr w14:val="tx1"/>
            </w14:solidFill>
          </w14:textFill>
        </w:rPr>
        <w:t>安装作业开始前，应对安装作业区进行围护，并设置明显的标识。</w:t>
      </w:r>
      <w:bookmarkEnd w:id="1030"/>
      <w:bookmarkEnd w:id="1031"/>
    </w:p>
    <w:p>
      <w:pPr>
        <w:ind w:firstLine="0"/>
        <w:rPr>
          <w:rFonts w:hint="default" w:ascii="Times New Roman" w:hAnsi="Times New Roman" w:cs="Times New Roman"/>
          <w:color w:val="000000" w:themeColor="text1"/>
          <w:highlight w:val="none"/>
          <w14:textFill>
            <w14:solidFill>
              <w14:schemeClr w14:val="tx1"/>
            </w14:solidFill>
          </w14:textFill>
        </w:rPr>
      </w:pPr>
      <w:bookmarkStart w:id="1032" w:name="_Toc23607"/>
      <w:bookmarkStart w:id="1033" w:name="_Toc10184"/>
      <w:r>
        <w:rPr>
          <w:rFonts w:hint="default" w:ascii="Times New Roman" w:hAnsi="Times New Roman" w:cs="Times New Roman"/>
          <w:b/>
          <w:color w:val="000000" w:themeColor="text1"/>
          <w:highlight w:val="none"/>
          <w14:textFill>
            <w14:solidFill>
              <w14:schemeClr w14:val="tx1"/>
            </w14:solidFill>
          </w14:textFill>
        </w:rPr>
        <w:t xml:space="preserve">9.5.7 </w:t>
      </w:r>
      <w:r>
        <w:rPr>
          <w:rFonts w:hint="default" w:ascii="Times New Roman" w:hAnsi="Times New Roman" w:cs="Times New Roman"/>
          <w:color w:val="000000" w:themeColor="text1"/>
          <w:highlight w:val="none"/>
          <w14:textFill>
            <w14:solidFill>
              <w14:schemeClr w14:val="tx1"/>
            </w14:solidFill>
          </w14:textFill>
        </w:rPr>
        <w:t xml:space="preserve"> 安装作业时，作业区坠落半径范围应拉设警戒线，并根据危险源级别进行安全旁站，严禁无关人员进入作业区。高处安装作业时，人员应按有关规定正确佩戴安全防护措施。</w:t>
      </w:r>
      <w:bookmarkEnd w:id="1032"/>
      <w:bookmarkEnd w:id="1033"/>
    </w:p>
    <w:p>
      <w:pPr>
        <w:ind w:firstLine="0"/>
        <w:rPr>
          <w:rFonts w:hint="default" w:ascii="Times New Roman" w:hAnsi="Times New Roman" w:cs="Times New Roman"/>
          <w:color w:val="000000" w:themeColor="text1"/>
          <w:highlight w:val="none"/>
          <w14:textFill>
            <w14:solidFill>
              <w14:schemeClr w14:val="tx1"/>
            </w14:solidFill>
          </w14:textFill>
        </w:rPr>
      </w:pPr>
      <w:bookmarkStart w:id="1034" w:name="_Toc1347"/>
      <w:bookmarkStart w:id="1035" w:name="_Toc27905"/>
      <w:bookmarkStart w:id="1036" w:name="_Toc23155"/>
      <w:r>
        <w:rPr>
          <w:rFonts w:hint="default" w:ascii="Times New Roman" w:hAnsi="Times New Roman" w:cs="Times New Roman"/>
          <w:b/>
          <w:color w:val="000000" w:themeColor="text1"/>
          <w:highlight w:val="none"/>
          <w14:textFill>
            <w14:solidFill>
              <w14:schemeClr w14:val="tx1"/>
            </w14:solidFill>
          </w14:textFill>
        </w:rPr>
        <w:t xml:space="preserve">9.5.8  </w:t>
      </w:r>
      <w:r>
        <w:rPr>
          <w:rFonts w:hint="default" w:ascii="Times New Roman" w:hAnsi="Times New Roman" w:cs="Times New Roman"/>
          <w:color w:val="000000" w:themeColor="text1"/>
          <w:highlight w:val="none"/>
          <w14:textFill>
            <w14:solidFill>
              <w14:schemeClr w14:val="tx1"/>
            </w14:solidFill>
          </w14:textFill>
        </w:rPr>
        <w:t>吊装作业安全应符合下列规定：</w:t>
      </w:r>
      <w:bookmarkEnd w:id="1034"/>
      <w:bookmarkEnd w:id="1035"/>
      <w:bookmarkEnd w:id="1036"/>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模块吊装前，应对作业环境及吊装条件进行确认，并对作业人员安全保护措施进行检查；</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遇到大雨、大雾、</w:t>
      </w:r>
      <w:r>
        <w:rPr>
          <w:rFonts w:hint="default" w:ascii="Times New Roman" w:hAnsi="Times New Roman" w:cs="Times New Roman"/>
          <w:color w:val="000000" w:themeColor="text1"/>
          <w:highlight w:val="none"/>
          <w:lang w:val="en-US" w:eastAsia="zh-CN"/>
          <w14:textFill>
            <w14:solidFill>
              <w14:schemeClr w14:val="tx1"/>
            </w14:solidFill>
          </w14:textFill>
        </w:rPr>
        <w:t>极端高温天气</w:t>
      </w:r>
      <w:r>
        <w:rPr>
          <w:rFonts w:hint="default" w:ascii="Times New Roman" w:hAnsi="Times New Roman" w:cs="Times New Roman"/>
          <w:color w:val="000000" w:themeColor="text1"/>
          <w:highlight w:val="none"/>
          <w14:textFill>
            <w14:solidFill>
              <w14:schemeClr w14:val="tx1"/>
            </w14:solidFill>
          </w14:textFill>
        </w:rPr>
        <w:t>及5级以上大风天等恶劣天气时，禁止进行吊装作业；</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起吊后，应先将模块单元提升300mm，确保吊具安全且模块平稳后，方可缓慢提升构件；</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1037" w:name="_Toc29848"/>
      <w:r>
        <w:rPr>
          <w:rFonts w:hint="default" w:ascii="Times New Roman" w:hAnsi="Times New Roman" w:cs="Times New Roman"/>
          <w:b/>
          <w:bCs/>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 xml:space="preserve"> 吊运时，模块单元吊运路径下方严禁站人；</w:t>
      </w:r>
      <w:bookmarkEnd w:id="1037"/>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 xml:space="preserve">  高空作业时，可通过缆风绳调整模块方向，严禁直接手扶模块单元；</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 xml:space="preserve">  模块就位时，应待模块降落至距板面1m以内作业人员才可靠近，并应在模块单元就位固定后进行脱钩；</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 xml:space="preserve">  模块单元吊装时应设置有效的防护系统，防护系统应经计算确定。</w:t>
      </w:r>
    </w:p>
    <w:p>
      <w:pPr>
        <w:ind w:firstLine="0"/>
        <w:rPr>
          <w:rFonts w:hint="default" w:ascii="Times New Roman" w:hAnsi="Times New Roman" w:cs="Times New Roman"/>
          <w:color w:val="000000" w:themeColor="text1"/>
          <w:highlight w:val="none"/>
          <w14:textFill>
            <w14:solidFill>
              <w14:schemeClr w14:val="tx1"/>
            </w14:solidFill>
          </w14:textFill>
        </w:rPr>
      </w:pPr>
      <w:bookmarkStart w:id="1038" w:name="_Toc7646"/>
      <w:bookmarkStart w:id="1039" w:name="_Toc3352"/>
      <w:r>
        <w:rPr>
          <w:rFonts w:hint="default" w:ascii="Times New Roman" w:hAnsi="Times New Roman" w:cs="Times New Roman"/>
          <w:b/>
          <w:color w:val="000000" w:themeColor="text1"/>
          <w:highlight w:val="none"/>
          <w14:textFill>
            <w14:solidFill>
              <w14:schemeClr w14:val="tx1"/>
            </w14:solidFill>
          </w14:textFill>
        </w:rPr>
        <w:t xml:space="preserve">9.5.9  </w:t>
      </w:r>
      <w:r>
        <w:rPr>
          <w:rFonts w:hint="default" w:ascii="Times New Roman" w:hAnsi="Times New Roman" w:cs="Times New Roman"/>
          <w:color w:val="000000" w:themeColor="text1"/>
          <w:highlight w:val="none"/>
          <w14:textFill>
            <w14:solidFill>
              <w14:schemeClr w14:val="tx1"/>
            </w14:solidFill>
          </w14:textFill>
        </w:rPr>
        <w:t>混凝土模块化建筑施工过程中，凡涉及临边与洞口作业、攀登与悬空作业、操作平台、交叉作业及安全网搭设的，应采取有效的高处作业安全技术措施。</w:t>
      </w:r>
      <w:bookmarkEnd w:id="1038"/>
      <w:bookmarkEnd w:id="1039"/>
    </w:p>
    <w:p>
      <w:pPr>
        <w:ind w:firstLine="0"/>
        <w:rPr>
          <w:rFonts w:hint="default" w:ascii="Times New Roman" w:hAnsi="Times New Roman" w:cs="Times New Roman"/>
          <w:color w:val="000000" w:themeColor="text1"/>
          <w:highlight w:val="none"/>
          <w14:textFill>
            <w14:solidFill>
              <w14:schemeClr w14:val="tx1"/>
            </w14:solidFill>
          </w14:textFill>
        </w:rPr>
      </w:pPr>
      <w:bookmarkStart w:id="1040" w:name="_Toc27789"/>
      <w:bookmarkStart w:id="1041" w:name="_Toc22874"/>
      <w:r>
        <w:rPr>
          <w:rFonts w:hint="default" w:ascii="Times New Roman" w:hAnsi="Times New Roman" w:cs="Times New Roman"/>
          <w:b/>
          <w:color w:val="000000" w:themeColor="text1"/>
          <w:highlight w:val="none"/>
          <w14:textFill>
            <w14:solidFill>
              <w14:schemeClr w14:val="tx1"/>
            </w14:solidFill>
          </w14:textFill>
        </w:rPr>
        <w:t xml:space="preserve">9.5.10  </w:t>
      </w:r>
      <w:r>
        <w:rPr>
          <w:rFonts w:hint="default" w:ascii="Times New Roman" w:hAnsi="Times New Roman" w:cs="Times New Roman"/>
          <w:color w:val="000000" w:themeColor="text1"/>
          <w:highlight w:val="none"/>
          <w14:textFill>
            <w14:solidFill>
              <w14:schemeClr w14:val="tx1"/>
            </w14:solidFill>
          </w14:textFill>
        </w:rPr>
        <w:t>模块单元吊装就位后，应根据设计要求采取可靠的临时固定措施。</w:t>
      </w:r>
      <w:bookmarkEnd w:id="1040"/>
      <w:bookmarkEnd w:id="1041"/>
    </w:p>
    <w:p>
      <w:pPr>
        <w:ind w:firstLine="0"/>
        <w:rPr>
          <w:rFonts w:hint="default" w:ascii="Times New Roman" w:hAnsi="Times New Roman" w:cs="Times New Roman"/>
          <w:color w:val="000000" w:themeColor="text1"/>
          <w:highlight w:val="none"/>
          <w14:textFill>
            <w14:solidFill>
              <w14:schemeClr w14:val="tx1"/>
            </w14:solidFill>
          </w14:textFill>
        </w:rPr>
      </w:pPr>
      <w:bookmarkStart w:id="1042" w:name="_Toc23975"/>
      <w:bookmarkStart w:id="1043" w:name="_Toc11700"/>
      <w:r>
        <w:rPr>
          <w:rFonts w:hint="default" w:ascii="Times New Roman" w:hAnsi="Times New Roman" w:cs="Times New Roman"/>
          <w:b/>
          <w:color w:val="000000" w:themeColor="text1"/>
          <w:highlight w:val="none"/>
          <w14:textFill>
            <w14:solidFill>
              <w14:schemeClr w14:val="tx1"/>
            </w14:solidFill>
          </w14:textFill>
        </w:rPr>
        <w:t xml:space="preserve">9.5.11  </w:t>
      </w:r>
      <w:r>
        <w:rPr>
          <w:rFonts w:hint="default" w:ascii="Times New Roman" w:hAnsi="Times New Roman" w:cs="Times New Roman"/>
          <w:color w:val="000000" w:themeColor="text1"/>
          <w:highlight w:val="none"/>
          <w14:textFill>
            <w14:solidFill>
              <w14:schemeClr w14:val="tx1"/>
            </w14:solidFill>
          </w14:textFill>
        </w:rPr>
        <w:t>现场应采用可靠的定型化防护，模块单元安装过程中的废弃物应进行分类回收，建筑废弃物应由有资质的单位按照有关规定进行处理。</w:t>
      </w:r>
      <w:bookmarkEnd w:id="1042"/>
      <w:bookmarkEnd w:id="1043"/>
    </w:p>
    <w:p>
      <w:pPr>
        <w:ind w:firstLine="0"/>
        <w:rPr>
          <w:rFonts w:hint="default" w:ascii="Times New Roman" w:hAnsi="Times New Roman" w:cs="Times New Roman"/>
          <w:color w:val="000000" w:themeColor="text1"/>
          <w:highlight w:val="none"/>
          <w14:textFill>
            <w14:solidFill>
              <w14:schemeClr w14:val="tx1"/>
            </w14:solidFill>
          </w14:textFill>
        </w:rPr>
      </w:pPr>
      <w:bookmarkStart w:id="1044" w:name="_Toc25944"/>
      <w:bookmarkStart w:id="1045" w:name="_Toc2299"/>
      <w:r>
        <w:rPr>
          <w:rFonts w:hint="default" w:ascii="Times New Roman" w:hAnsi="Times New Roman" w:cs="Times New Roman"/>
          <w:b/>
          <w:color w:val="000000" w:themeColor="text1"/>
          <w:highlight w:val="none"/>
          <w14:textFill>
            <w14:solidFill>
              <w14:schemeClr w14:val="tx1"/>
            </w14:solidFill>
          </w14:textFill>
        </w:rPr>
        <w:t xml:space="preserve">9.5.12  </w:t>
      </w:r>
      <w:r>
        <w:rPr>
          <w:rFonts w:hint="default" w:ascii="Times New Roman" w:hAnsi="Times New Roman" w:cs="Times New Roman"/>
          <w:bCs/>
          <w:color w:val="000000" w:themeColor="text1"/>
          <w:highlight w:val="none"/>
          <w14:textFill>
            <w14:solidFill>
              <w14:schemeClr w14:val="tx1"/>
            </w14:solidFill>
          </w14:textFill>
        </w:rPr>
        <w:t>施工</w:t>
      </w:r>
      <w:r>
        <w:rPr>
          <w:rFonts w:hint="default" w:ascii="Times New Roman" w:hAnsi="Times New Roman" w:cs="Times New Roman"/>
          <w:color w:val="000000" w:themeColor="text1"/>
          <w:highlight w:val="none"/>
          <w14:textFill>
            <w14:solidFill>
              <w14:schemeClr w14:val="tx1"/>
            </w14:solidFill>
          </w14:textFill>
        </w:rPr>
        <w:t>现场</w:t>
      </w:r>
      <w:r>
        <w:rPr>
          <w:rFonts w:hint="default" w:ascii="Times New Roman" w:hAnsi="Times New Roman" w:cs="Times New Roman"/>
          <w:bCs/>
          <w:color w:val="000000" w:themeColor="text1"/>
          <w:highlight w:val="none"/>
          <w14:textFill>
            <w14:solidFill>
              <w14:schemeClr w14:val="tx1"/>
            </w14:solidFill>
          </w14:textFill>
        </w:rPr>
        <w:t>应因地制宜的合理规划模块运输道路及临时堆放场地，避免场地资源浪费。</w:t>
      </w:r>
      <w:r>
        <w:rPr>
          <w:rFonts w:hint="default" w:ascii="Times New Roman" w:hAnsi="Times New Roman" w:cs="Times New Roman"/>
          <w:color w:val="000000" w:themeColor="text1"/>
          <w:highlight w:val="none"/>
          <w14:textFill>
            <w14:solidFill>
              <w14:schemeClr w14:val="tx1"/>
            </w14:solidFill>
          </w14:textFill>
        </w:rPr>
        <w:br w:type="page"/>
      </w:r>
      <w:bookmarkEnd w:id="1044"/>
      <w:bookmarkEnd w:id="1045"/>
    </w:p>
    <w:p>
      <w:pPr>
        <w:pStyle w:val="2"/>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046" w:name="_Toc26185"/>
      <w:bookmarkStart w:id="1047" w:name="_Toc12961"/>
      <w:bookmarkStart w:id="1048" w:name="_Toc28896"/>
      <w:bookmarkStart w:id="1049" w:name="_Toc32566"/>
      <w:bookmarkStart w:id="1050" w:name="_Toc110958506"/>
      <w:bookmarkStart w:id="1051" w:name="_Toc20156"/>
      <w:bookmarkStart w:id="1052" w:name="_Toc110952738"/>
      <w:bookmarkStart w:id="1053" w:name="_Toc150"/>
      <w:bookmarkStart w:id="1054" w:name="_Toc25005"/>
      <w:bookmarkStart w:id="1055" w:name="_Toc25895"/>
      <w:r>
        <w:rPr>
          <w:rFonts w:hint="default" w:ascii="Times New Roman" w:hAnsi="Times New Roman" w:eastAsia="黑体" w:cs="Times New Roman"/>
          <w:color w:val="000000" w:themeColor="text1"/>
          <w:sz w:val="28"/>
          <w:szCs w:val="28"/>
          <w:highlight w:val="none"/>
          <w14:textFill>
            <w14:solidFill>
              <w14:schemeClr w14:val="tx1"/>
            </w14:solidFill>
          </w14:textFill>
        </w:rPr>
        <w:t>10  质 量 验 收</w:t>
      </w:r>
      <w:bookmarkEnd w:id="1046"/>
      <w:bookmarkEnd w:id="1047"/>
      <w:bookmarkEnd w:id="1048"/>
      <w:bookmarkEnd w:id="1049"/>
      <w:bookmarkEnd w:id="1050"/>
      <w:bookmarkEnd w:id="1051"/>
      <w:bookmarkEnd w:id="1052"/>
      <w:bookmarkEnd w:id="1053"/>
      <w:bookmarkEnd w:id="1054"/>
      <w:bookmarkEnd w:id="1055"/>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056" w:name="_Toc25425"/>
      <w:bookmarkStart w:id="1057" w:name="_Toc23562"/>
      <w:bookmarkStart w:id="1058" w:name="_Toc110952739"/>
      <w:bookmarkStart w:id="1059" w:name="_Toc1799"/>
      <w:bookmarkStart w:id="1060" w:name="_Toc25463"/>
      <w:bookmarkStart w:id="1061" w:name="_Toc8945"/>
      <w:bookmarkStart w:id="1062" w:name="_Toc110958507"/>
      <w:bookmarkStart w:id="1063" w:name="_Toc6707"/>
      <w:bookmarkStart w:id="1064" w:name="_Toc20546"/>
      <w:bookmarkStart w:id="1065" w:name="_Toc5516"/>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10.1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 般 规 定</w:t>
      </w:r>
      <w:bookmarkEnd w:id="1056"/>
      <w:bookmarkEnd w:id="1057"/>
      <w:bookmarkEnd w:id="1058"/>
      <w:bookmarkEnd w:id="1059"/>
      <w:bookmarkEnd w:id="1060"/>
      <w:bookmarkEnd w:id="1061"/>
      <w:bookmarkEnd w:id="1062"/>
      <w:bookmarkEnd w:id="1063"/>
      <w:bookmarkEnd w:id="1064"/>
      <w:bookmarkEnd w:id="1065"/>
    </w:p>
    <w:p>
      <w:pPr>
        <w:ind w:firstLine="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10.1.1  </w:t>
      </w:r>
      <w:r>
        <w:rPr>
          <w:rFonts w:hint="default" w:ascii="Times New Roman" w:hAnsi="Times New Roman" w:cs="Times New Roman"/>
          <w:color w:val="000000" w:themeColor="text1"/>
          <w:highlight w:val="none"/>
          <w14:textFill>
            <w14:solidFill>
              <w14:schemeClr w14:val="tx1"/>
            </w14:solidFill>
          </w14:textFill>
        </w:rPr>
        <w:t>模块单元应在模块生产、出厂、进场、现场安装等阶段进行质量验收。</w:t>
      </w:r>
    </w:p>
    <w:p>
      <w:pPr>
        <w:ind w:firstLine="0"/>
        <w:rPr>
          <w:rFonts w:hint="default" w:ascii="Times New Roman" w:hAnsi="Times New Roman" w:cs="Times New Roman"/>
          <w:color w:val="000000" w:themeColor="text1"/>
          <w:highlight w:val="none"/>
          <w14:textFill>
            <w14:solidFill>
              <w14:schemeClr w14:val="tx1"/>
            </w14:solidFill>
          </w14:textFill>
        </w:rPr>
      </w:pPr>
      <w:bookmarkStart w:id="1066" w:name="_Toc5201"/>
      <w:bookmarkStart w:id="1067" w:name="_Toc20970"/>
      <w:r>
        <w:rPr>
          <w:rFonts w:hint="default" w:ascii="Times New Roman" w:hAnsi="Times New Roman" w:cs="Times New Roman"/>
          <w:b/>
          <w:bCs/>
          <w:color w:val="000000" w:themeColor="text1"/>
          <w:highlight w:val="none"/>
          <w14:textFill>
            <w14:solidFill>
              <w14:schemeClr w14:val="tx1"/>
            </w14:solidFill>
          </w14:textFill>
        </w:rPr>
        <w:t>10.1.2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混凝土</w:t>
      </w:r>
      <w:r>
        <w:rPr>
          <w:rFonts w:hint="default" w:ascii="Times New Roman" w:hAnsi="Times New Roman" w:cs="Times New Roman"/>
          <w:color w:val="000000" w:themeColor="text1"/>
          <w:highlight w:val="none"/>
          <w14:textFill>
            <w14:solidFill>
              <w14:schemeClr w14:val="tx1"/>
            </w14:solidFill>
          </w14:textFill>
        </w:rPr>
        <w:t>模块化建筑的检验批、分项工程、分部（子分部）及单位工程的验收，除本</w:t>
      </w:r>
      <w:r>
        <w:rPr>
          <w:rFonts w:hint="default" w:ascii="Times New Roman" w:hAnsi="Times New Roman" w:cs="Times New Roman"/>
          <w:color w:val="000000" w:themeColor="text1"/>
          <w:highlight w:val="none"/>
          <w:lang w:eastAsia="zh-CN"/>
          <w14:textFill>
            <w14:solidFill>
              <w14:schemeClr w14:val="tx1"/>
            </w14:solidFill>
          </w14:textFill>
        </w:rPr>
        <w:t>标准</w:t>
      </w:r>
      <w:r>
        <w:rPr>
          <w:rFonts w:hint="default" w:ascii="Times New Roman" w:hAnsi="Times New Roman" w:cs="Times New Roman"/>
          <w:color w:val="000000" w:themeColor="text1"/>
          <w:highlight w:val="none"/>
          <w14:textFill>
            <w14:solidFill>
              <w14:schemeClr w14:val="tx1"/>
            </w14:solidFill>
          </w14:textFill>
        </w:rPr>
        <w:t>有特殊规定外，尚应符合现行国家标准《建筑工程施工质量验收统一标准》GB 50300、《混凝土结构工程施工质量验收规范》GB 50204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现行行业标准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装配式混凝土结构技术规程</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JGJ 1</w:t>
      </w:r>
      <w:r>
        <w:rPr>
          <w:rFonts w:hint="default" w:ascii="Times New Roman" w:hAnsi="Times New Roman" w:cs="Times New Roman"/>
          <w:color w:val="000000" w:themeColor="text1"/>
          <w:highlight w:val="none"/>
          <w14:textFill>
            <w14:solidFill>
              <w14:schemeClr w14:val="tx1"/>
            </w14:solidFill>
          </w14:textFill>
        </w:rPr>
        <w:t>及《广东省房屋建筑工程竣工验收技术资料统一用表》</w:t>
      </w:r>
      <w:r>
        <w:rPr>
          <w:rFonts w:hint="default" w:ascii="Times New Roman" w:hAnsi="Times New Roman" w:cs="Times New Roman"/>
          <w:color w:val="000000" w:themeColor="text1"/>
          <w:highlight w:val="none"/>
          <w:lang w:val="en-US" w:eastAsia="zh-CN"/>
          <w14:textFill>
            <w14:solidFill>
              <w14:schemeClr w14:val="tx1"/>
            </w14:solidFill>
          </w14:textFill>
        </w:rPr>
        <w:t>等的</w:t>
      </w:r>
      <w:r>
        <w:rPr>
          <w:rFonts w:hint="default" w:ascii="Times New Roman" w:hAnsi="Times New Roman" w:cs="Times New Roman"/>
          <w:color w:val="000000" w:themeColor="text1"/>
          <w:highlight w:val="none"/>
          <w14:textFill>
            <w14:solidFill>
              <w14:schemeClr w14:val="tx1"/>
            </w14:solidFill>
          </w14:textFill>
        </w:rPr>
        <w:t>有关规定。</w:t>
      </w:r>
      <w:bookmarkEnd w:id="1066"/>
      <w:bookmarkEnd w:id="1067"/>
    </w:p>
    <w:p>
      <w:pPr>
        <w:ind w:firstLine="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10.1.3  </w:t>
      </w:r>
      <w:r>
        <w:rPr>
          <w:rFonts w:hint="default" w:ascii="Times New Roman" w:hAnsi="Times New Roman" w:cs="Times New Roman"/>
          <w:bCs/>
          <w:color w:val="000000" w:themeColor="text1"/>
          <w:highlight w:val="none"/>
          <w14:textFill>
            <w14:solidFill>
              <w14:schemeClr w14:val="tx1"/>
            </w14:solidFill>
          </w14:textFill>
        </w:rPr>
        <w:t>混凝土模块化建筑的结构工程应按混凝土结构子分部工程和模块单元子分部工程进行验收，混凝土结构子分部中其他分项工程应符合现行国家标准《混凝土结构工程施工质量验收规范》GB 50204 的有关规定</w:t>
      </w:r>
      <w:r>
        <w:rPr>
          <w:rFonts w:hint="default" w:ascii="Times New Roman" w:hAnsi="Times New Roman" w:cs="Times New Roman"/>
          <w:color w:val="000000" w:themeColor="text1"/>
          <w:szCs w:val="24"/>
          <w:highlight w:val="none"/>
          <w14:textFill>
            <w14:solidFill>
              <w14:schemeClr w14:val="tx1"/>
            </w14:solidFill>
          </w14:textFill>
        </w:rPr>
        <w:t>。结合混凝土模块化建筑的特点，在工厂、现场混凝土浇筑前，应提前做好隐蔽验收工作，并形成相应验收记录。</w:t>
      </w:r>
    </w:p>
    <w:p>
      <w:pPr>
        <w:ind w:firstLine="0"/>
        <w:rPr>
          <w:rFonts w:hint="default" w:ascii="Times New Roman" w:hAnsi="Times New Roman" w:cs="Times New Roman"/>
          <w:color w:val="000000" w:themeColor="text1"/>
          <w:szCs w:val="24"/>
          <w:highlight w:val="none"/>
          <w14:textFill>
            <w14:solidFill>
              <w14:schemeClr w14:val="tx1"/>
            </w14:solidFill>
          </w14:textFill>
        </w:rPr>
      </w:pPr>
      <w:bookmarkStart w:id="1068" w:name="_Toc5007"/>
      <w:bookmarkStart w:id="1069" w:name="_Toc30279"/>
      <w:r>
        <w:rPr>
          <w:rFonts w:hint="default" w:ascii="Times New Roman" w:hAnsi="Times New Roman" w:cs="Times New Roman"/>
          <w:b/>
          <w:color w:val="000000" w:themeColor="text1"/>
          <w:highlight w:val="none"/>
          <w14:textFill>
            <w14:solidFill>
              <w14:schemeClr w14:val="tx1"/>
            </w14:solidFill>
          </w14:textFill>
        </w:rPr>
        <w:t xml:space="preserve">10.1.4  </w:t>
      </w:r>
      <w:r>
        <w:rPr>
          <w:rFonts w:hint="default" w:ascii="Times New Roman" w:hAnsi="Times New Roman" w:cs="Times New Roman"/>
          <w:bCs/>
          <w:color w:val="000000" w:themeColor="text1"/>
          <w:highlight w:val="none"/>
          <w14:textFill>
            <w14:solidFill>
              <w14:schemeClr w14:val="tx1"/>
            </w14:solidFill>
          </w14:textFill>
        </w:rPr>
        <w:t>室内</w:t>
      </w:r>
      <w:r>
        <w:rPr>
          <w:rFonts w:hint="default" w:ascii="Times New Roman" w:hAnsi="Times New Roman" w:cs="Times New Roman"/>
          <w:color w:val="000000" w:themeColor="text1"/>
          <w:szCs w:val="24"/>
          <w:highlight w:val="none"/>
          <w14:textFill>
            <w14:solidFill>
              <w14:schemeClr w14:val="tx1"/>
            </w14:solidFill>
          </w14:textFill>
        </w:rPr>
        <w:t>给水排水系统应按模块单元子分部工程和单位工程的分部工程分别验收，其施工质量要求和验收标准均应符合现行国家标准《建筑给水排水及采暖工程施工质量验收规范》GB 50242的有关规定。</w:t>
      </w:r>
      <w:bookmarkEnd w:id="1068"/>
      <w:bookmarkEnd w:id="1069"/>
    </w:p>
    <w:p>
      <w:pPr>
        <w:ind w:firstLine="0"/>
        <w:rPr>
          <w:rFonts w:hint="default" w:ascii="Times New Roman" w:hAnsi="Times New Roman" w:cs="Times New Roman"/>
          <w:color w:val="000000" w:themeColor="text1"/>
          <w:szCs w:val="24"/>
          <w:highlight w:val="none"/>
          <w14:textFill>
            <w14:solidFill>
              <w14:schemeClr w14:val="tx1"/>
            </w14:solidFill>
          </w14:textFill>
        </w:rPr>
      </w:pPr>
      <w:bookmarkStart w:id="1070" w:name="_Toc9336"/>
      <w:bookmarkStart w:id="1071" w:name="_Toc24003"/>
      <w:r>
        <w:rPr>
          <w:rFonts w:hint="default" w:ascii="Times New Roman" w:hAnsi="Times New Roman" w:cs="Times New Roman"/>
          <w:b/>
          <w:color w:val="000000" w:themeColor="text1"/>
          <w:highlight w:val="none"/>
          <w14:textFill>
            <w14:solidFill>
              <w14:schemeClr w14:val="tx1"/>
            </w14:solidFill>
          </w14:textFill>
        </w:rPr>
        <w:t xml:space="preserve">10.1.5  </w:t>
      </w:r>
      <w:r>
        <w:rPr>
          <w:rFonts w:hint="default" w:ascii="Times New Roman" w:hAnsi="Times New Roman" w:cs="Times New Roman"/>
          <w:bCs/>
          <w:color w:val="000000" w:themeColor="text1"/>
          <w:highlight w:val="none"/>
          <w14:textFill>
            <w14:solidFill>
              <w14:schemeClr w14:val="tx1"/>
            </w14:solidFill>
          </w14:textFill>
        </w:rPr>
        <w:t>室内</w:t>
      </w:r>
      <w:r>
        <w:rPr>
          <w:rFonts w:hint="default" w:ascii="Times New Roman" w:hAnsi="Times New Roman" w:cs="Times New Roman"/>
          <w:color w:val="000000" w:themeColor="text1"/>
          <w:szCs w:val="24"/>
          <w:highlight w:val="none"/>
          <w14:textFill>
            <w14:solidFill>
              <w14:schemeClr w14:val="tx1"/>
            </w14:solidFill>
          </w14:textFill>
        </w:rPr>
        <w:t>电气系统、电气装置等的检测应按模块单元子分部工程和单位工程的分部工程分别验收，应符合现行国家标准《建筑电气工程施工质量验收规范》GB 50303及《火灾自动报警系统施工及验收标准》GB 50166的有关规定。</w:t>
      </w:r>
      <w:bookmarkEnd w:id="1070"/>
      <w:bookmarkEnd w:id="1071"/>
    </w:p>
    <w:p>
      <w:pPr>
        <w:ind w:firstLine="0"/>
        <w:rPr>
          <w:rFonts w:hint="default" w:ascii="Times New Roman" w:hAnsi="Times New Roman" w:cs="Times New Roman"/>
          <w:color w:val="000000" w:themeColor="text1"/>
          <w:szCs w:val="24"/>
          <w:highlight w:val="none"/>
          <w14:textFill>
            <w14:solidFill>
              <w14:schemeClr w14:val="tx1"/>
            </w14:solidFill>
          </w14:textFill>
        </w:rPr>
      </w:pPr>
      <w:bookmarkStart w:id="1072" w:name="_Toc31846"/>
      <w:bookmarkStart w:id="1073" w:name="_Toc27234"/>
      <w:r>
        <w:rPr>
          <w:rFonts w:hint="default" w:ascii="Times New Roman" w:hAnsi="Times New Roman" w:cs="Times New Roman"/>
          <w:b/>
          <w:color w:val="000000" w:themeColor="text1"/>
          <w:highlight w:val="none"/>
          <w14:textFill>
            <w14:solidFill>
              <w14:schemeClr w14:val="tx1"/>
            </w14:solidFill>
          </w14:textFill>
        </w:rPr>
        <w:t xml:space="preserve">10.1.6  </w:t>
      </w:r>
      <w:r>
        <w:rPr>
          <w:rFonts w:hint="default" w:ascii="Times New Roman" w:hAnsi="Times New Roman" w:cs="Times New Roman"/>
          <w:color w:val="000000" w:themeColor="text1"/>
          <w:szCs w:val="24"/>
          <w:highlight w:val="none"/>
          <w14:textFill>
            <w14:solidFill>
              <w14:schemeClr w14:val="tx1"/>
            </w14:solidFill>
          </w14:textFill>
        </w:rPr>
        <w:t>通风与空调工程应按模块单元子分部工程和单位工程分部工程分别验收，应</w:t>
      </w:r>
      <w:bookmarkStart w:id="1074" w:name="_Hlk175079597"/>
      <w:r>
        <w:rPr>
          <w:rFonts w:hint="default" w:ascii="Times New Roman" w:hAnsi="Times New Roman" w:cs="Times New Roman"/>
          <w:color w:val="000000" w:themeColor="text1"/>
          <w:szCs w:val="24"/>
          <w:highlight w:val="none"/>
          <w14:textFill>
            <w14:solidFill>
              <w14:schemeClr w14:val="tx1"/>
            </w14:solidFill>
          </w14:textFill>
        </w:rPr>
        <w:t>符合现行国家标准《通风与空调工程施工质量验收规范》GB 50243的有关规定。</w:t>
      </w:r>
      <w:bookmarkEnd w:id="1072"/>
      <w:bookmarkEnd w:id="1073"/>
    </w:p>
    <w:bookmarkEnd w:id="1074"/>
    <w:p>
      <w:pPr>
        <w:ind w:firstLine="0"/>
        <w:rPr>
          <w:rFonts w:hint="default" w:ascii="Times New Roman" w:hAnsi="Times New Roman" w:cs="Times New Roman"/>
          <w:bCs/>
          <w:color w:val="000000" w:themeColor="text1"/>
          <w:highlight w:val="none"/>
          <w14:textFill>
            <w14:solidFill>
              <w14:schemeClr w14:val="tx1"/>
            </w14:solidFill>
          </w14:textFill>
        </w:rPr>
      </w:pPr>
      <w:bookmarkStart w:id="1075" w:name="_Toc27048"/>
      <w:bookmarkStart w:id="1076" w:name="_Toc36"/>
      <w:r>
        <w:rPr>
          <w:rFonts w:hint="default" w:ascii="Times New Roman" w:hAnsi="Times New Roman" w:cs="Times New Roman"/>
          <w:b/>
          <w:color w:val="000000" w:themeColor="text1"/>
          <w:highlight w:val="none"/>
          <w14:textFill>
            <w14:solidFill>
              <w14:schemeClr w14:val="tx1"/>
            </w14:solidFill>
          </w14:textFill>
        </w:rPr>
        <w:t xml:space="preserve">10.1.7  </w:t>
      </w:r>
      <w:r>
        <w:rPr>
          <w:rFonts w:hint="default" w:ascii="Times New Roman" w:hAnsi="Times New Roman" w:cs="Times New Roman"/>
          <w:bCs/>
          <w:color w:val="000000" w:themeColor="text1"/>
          <w:highlight w:val="none"/>
          <w14:textFill>
            <w14:solidFill>
              <w14:schemeClr w14:val="tx1"/>
            </w14:solidFill>
          </w14:textFill>
        </w:rPr>
        <w:t>内装修工程</w:t>
      </w:r>
      <w:r>
        <w:rPr>
          <w:rFonts w:hint="default" w:ascii="Times New Roman" w:hAnsi="Times New Roman" w:cs="Times New Roman"/>
          <w:color w:val="000000" w:themeColor="text1"/>
          <w:szCs w:val="24"/>
          <w:highlight w:val="none"/>
          <w14:textFill>
            <w14:solidFill>
              <w14:schemeClr w14:val="tx1"/>
            </w14:solidFill>
          </w14:textFill>
        </w:rPr>
        <w:t>应按模块单元子分项工程和单位工程分部工程分别验收，应符合</w:t>
      </w:r>
      <w:r>
        <w:rPr>
          <w:rFonts w:hint="default" w:ascii="Times New Roman" w:hAnsi="Times New Roman" w:cs="Times New Roman"/>
          <w:bCs/>
          <w:color w:val="000000" w:themeColor="text1"/>
          <w:highlight w:val="none"/>
          <w14:textFill>
            <w14:solidFill>
              <w14:schemeClr w14:val="tx1"/>
            </w14:solidFill>
          </w14:textFill>
        </w:rPr>
        <w:t>国家现行标准《建筑装饰装修工程质量验收标准》GB 50210、《建筑轻质条板隔墙技术规程》JGJ/T 157和《公共建筑吊顶工程技术规程》JGJ 345的有关规定。</w:t>
      </w:r>
      <w:bookmarkEnd w:id="1075"/>
      <w:bookmarkEnd w:id="1076"/>
    </w:p>
    <w:p>
      <w:pPr>
        <w:ind w:firstLine="0"/>
        <w:rPr>
          <w:rFonts w:hint="default" w:ascii="Times New Roman" w:hAnsi="Times New Roman" w:cs="Times New Roman"/>
          <w:color w:val="000000" w:themeColor="text1"/>
          <w:highlight w:val="none"/>
          <w14:textFill>
            <w14:solidFill>
              <w14:schemeClr w14:val="tx1"/>
            </w14:solidFill>
          </w14:textFill>
        </w:rPr>
      </w:pPr>
      <w:bookmarkStart w:id="1077" w:name="_Toc21520"/>
      <w:bookmarkStart w:id="1078" w:name="_Toc11539"/>
      <w:r>
        <w:rPr>
          <w:rFonts w:hint="default" w:ascii="Times New Roman" w:hAnsi="Times New Roman" w:cs="Times New Roman"/>
          <w:b/>
          <w:bCs/>
          <w:color w:val="000000" w:themeColor="text1"/>
          <w:highlight w:val="none"/>
          <w14:textFill>
            <w14:solidFill>
              <w14:schemeClr w14:val="tx1"/>
            </w14:solidFill>
          </w14:textFill>
        </w:rPr>
        <w:t xml:space="preserve">10.1.8  </w:t>
      </w:r>
      <w:r>
        <w:rPr>
          <w:rFonts w:hint="default" w:ascii="Times New Roman" w:hAnsi="Times New Roman" w:cs="Times New Roman"/>
          <w:bCs/>
          <w:color w:val="000000" w:themeColor="text1"/>
          <w:highlight w:val="none"/>
          <w14:textFill>
            <w14:solidFill>
              <w14:schemeClr w14:val="tx1"/>
            </w14:solidFill>
          </w14:textFill>
        </w:rPr>
        <w:t>模块单元生产及现场施工的各检验批</w:t>
      </w:r>
      <w:r>
        <w:rPr>
          <w:rFonts w:hint="default" w:ascii="Times New Roman" w:hAnsi="Times New Roman" w:cs="Times New Roman"/>
          <w:color w:val="000000" w:themeColor="text1"/>
          <w:highlight w:val="none"/>
          <w14:textFill>
            <w14:solidFill>
              <w14:schemeClr w14:val="tx1"/>
            </w14:solidFill>
          </w14:textFill>
        </w:rPr>
        <w:t>质量验收应包括实物检查和资料检查，并应符合相关现行质量验收规范要求</w:t>
      </w:r>
      <w:bookmarkEnd w:id="1077"/>
      <w:bookmarkEnd w:id="1078"/>
      <w:r>
        <w:rPr>
          <w:rFonts w:hint="default" w:ascii="Times New Roman" w:hAnsi="Times New Roman" w:cs="Times New Roman"/>
          <w:color w:val="000000" w:themeColor="text1"/>
          <w:highlight w:val="none"/>
          <w14:textFill>
            <w14:solidFill>
              <w14:schemeClr w14:val="tx1"/>
            </w14:solidFill>
          </w14:textFill>
        </w:rPr>
        <w:t>。</w:t>
      </w:r>
    </w:p>
    <w:p>
      <w:pPr>
        <w:ind w:firstLine="0"/>
        <w:rPr>
          <w:rFonts w:hint="default" w:ascii="Times New Roman" w:hAnsi="Times New Roman" w:cs="Times New Roman"/>
          <w:color w:val="000000" w:themeColor="text1"/>
          <w:szCs w:val="24"/>
          <w:highlight w:val="none"/>
          <w14:textFill>
            <w14:solidFill>
              <w14:schemeClr w14:val="tx1"/>
            </w14:solidFill>
          </w14:textFill>
        </w:rPr>
      </w:pPr>
      <w:bookmarkStart w:id="1079" w:name="_Toc18953"/>
      <w:bookmarkStart w:id="1080" w:name="_Toc30118"/>
      <w:r>
        <w:rPr>
          <w:rFonts w:hint="default" w:ascii="Times New Roman" w:hAnsi="Times New Roman" w:cs="Times New Roman"/>
          <w:b/>
          <w:bCs/>
          <w:color w:val="000000" w:themeColor="text1"/>
          <w:highlight w:val="none"/>
          <w14:textFill>
            <w14:solidFill>
              <w14:schemeClr w14:val="tx1"/>
            </w14:solidFill>
          </w14:textFill>
        </w:rPr>
        <w:t xml:space="preserve">10.1.9  </w:t>
      </w:r>
      <w:r>
        <w:rPr>
          <w:rFonts w:hint="default" w:ascii="Times New Roman" w:hAnsi="Times New Roman" w:cs="Times New Roman"/>
          <w:color w:val="000000" w:themeColor="text1"/>
          <w:szCs w:val="24"/>
          <w:highlight w:val="none"/>
          <w14:textFill>
            <w14:solidFill>
              <w14:schemeClr w14:val="tx1"/>
            </w14:solidFill>
          </w14:textFill>
        </w:rPr>
        <w:t>不合格的模块单元的处理应符合下列规定：</w:t>
      </w:r>
      <w:bookmarkEnd w:id="1079"/>
      <w:bookmarkEnd w:id="1080"/>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1</w:t>
      </w:r>
      <w:r>
        <w:rPr>
          <w:rFonts w:hint="default" w:ascii="Times New Roman" w:hAnsi="Times New Roman" w:cs="Times New Roman"/>
          <w:color w:val="000000" w:themeColor="text1"/>
          <w:szCs w:val="24"/>
          <w:highlight w:val="none"/>
          <w14:textFill>
            <w14:solidFill>
              <w14:schemeClr w14:val="tx1"/>
            </w14:solidFill>
          </w14:textFill>
        </w:rPr>
        <w:t xml:space="preserve">  材料、构配件、器具及半成品检验批不合格时不得使用；</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 xml:space="preserve">  模块单元出厂前、安装前及安装后质量不合格的检验批，应及时返工、返修，并重新组织验收</w:t>
      </w:r>
      <w:bookmarkStart w:id="1081" w:name="_Toc25098"/>
      <w:bookmarkStart w:id="1082" w:name="_Toc10098"/>
      <w:r>
        <w:rPr>
          <w:rFonts w:hint="default" w:ascii="Times New Roman" w:hAnsi="Times New Roman" w:cs="Times New Roman"/>
          <w:color w:val="000000" w:themeColor="text1"/>
          <w:szCs w:val="24"/>
          <w:highlight w:val="none"/>
          <w14:textFill>
            <w14:solidFill>
              <w14:schemeClr w14:val="tx1"/>
            </w14:solidFill>
          </w14:textFill>
        </w:rPr>
        <w:t>；</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3</w:t>
      </w:r>
      <w:r>
        <w:rPr>
          <w:rFonts w:hint="default" w:ascii="Times New Roman" w:hAnsi="Times New Roman" w:cs="Times New Roman"/>
          <w:color w:val="000000" w:themeColor="text1"/>
          <w:szCs w:val="24"/>
          <w:highlight w:val="none"/>
          <w14:textFill>
            <w14:solidFill>
              <w14:schemeClr w14:val="tx1"/>
            </w14:solidFill>
          </w14:textFill>
        </w:rPr>
        <w:t xml:space="preserve">  经检测单位检测鉴定，能够达到设计要求的检验批，应予以验收；</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 xml:space="preserve">4  </w:t>
      </w:r>
      <w:r>
        <w:rPr>
          <w:rFonts w:hint="default" w:ascii="Times New Roman" w:hAnsi="Times New Roman" w:cs="Times New Roman"/>
          <w:color w:val="000000" w:themeColor="text1"/>
          <w:szCs w:val="24"/>
          <w:highlight w:val="none"/>
          <w14:textFill>
            <w14:solidFill>
              <w14:schemeClr w14:val="tx1"/>
            </w14:solidFill>
          </w14:textFill>
        </w:rPr>
        <w:t>经检测单位检测鉴定，达不到设计要求，但经原设计单位核算认可满足结构安全和使用功能的检验批，可予以验收；</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 xml:space="preserve">5  </w:t>
      </w:r>
      <w:r>
        <w:rPr>
          <w:rFonts w:hint="default" w:ascii="Times New Roman" w:hAnsi="Times New Roman" w:cs="Times New Roman"/>
          <w:color w:val="000000" w:themeColor="text1"/>
          <w:szCs w:val="24"/>
          <w:highlight w:val="none"/>
          <w14:textFill>
            <w14:solidFill>
              <w14:schemeClr w14:val="tx1"/>
            </w14:solidFill>
          </w14:textFill>
        </w:rPr>
        <w:t>经返修或加固处理，能够满足结构安全使用要求的分项、分部工程，可根据技术处理方案和协商文件进行验收；</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6</w:t>
      </w:r>
      <w:r>
        <w:rPr>
          <w:rFonts w:hint="default" w:ascii="Times New Roman" w:hAnsi="Times New Roman" w:cs="Times New Roman"/>
          <w:color w:val="000000" w:themeColor="text1"/>
          <w:szCs w:val="24"/>
          <w:highlight w:val="none"/>
          <w14:textFill>
            <w14:solidFill>
              <w14:schemeClr w14:val="tx1"/>
            </w14:solidFill>
          </w14:textFill>
        </w:rPr>
        <w:t xml:space="preserve">  经返修或加固处理仍不能满足安全使用要求的分部工程，严禁验收。</w:t>
      </w:r>
    </w:p>
    <w:p>
      <w:pPr>
        <w:ind w:firstLine="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10.1.10</w:t>
      </w:r>
      <w:r>
        <w:rPr>
          <w:rFonts w:hint="default" w:ascii="Times New Roman" w:hAnsi="Times New Roman" w:cs="Times New Roman"/>
          <w:b/>
          <w:color w:val="000000" w:themeColor="text1"/>
          <w:szCs w:val="24"/>
          <w:highlight w:val="none"/>
          <w14:textFill>
            <w14:solidFill>
              <w14:schemeClr w14:val="tx1"/>
            </w14:solidFill>
          </w14:textFill>
        </w:rPr>
        <w:t xml:space="preserve"> </w:t>
      </w:r>
      <w:r>
        <w:rPr>
          <w:rFonts w:hint="default" w:ascii="Times New Roman" w:hAnsi="Times New Roman" w:cs="Times New Roman"/>
          <w:color w:val="000000" w:themeColor="text1"/>
          <w:szCs w:val="24"/>
          <w:highlight w:val="none"/>
          <w14:textFill>
            <w14:solidFill>
              <w14:schemeClr w14:val="tx1"/>
            </w14:solidFill>
          </w14:textFill>
        </w:rPr>
        <w:t xml:space="preserve"> 检验合格的预制模块成品，应在预制模块表面设有合格标识。预制模块出厂前应符合下列规定，方可出具附录C规定的预制模块出厂合格证</w:t>
      </w:r>
      <w:r>
        <w:rPr>
          <w:rFonts w:hint="default" w:ascii="Times New Roman" w:hAnsi="Times New Roman" w:cs="Times New Roman"/>
          <w:color w:val="000000" w:themeColor="text1"/>
          <w:szCs w:val="24"/>
          <w:highlight w:val="none"/>
          <w:lang w:eastAsia="zh-CN"/>
          <w14:textFill>
            <w14:solidFill>
              <w14:schemeClr w14:val="tx1"/>
            </w14:solidFill>
          </w14:textFill>
        </w:rPr>
        <w:t>：</w:t>
      </w:r>
      <w:bookmarkEnd w:id="1081"/>
      <w:bookmarkEnd w:id="1082"/>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1</w:t>
      </w:r>
      <w:r>
        <w:rPr>
          <w:rFonts w:hint="default" w:ascii="Times New Roman" w:hAnsi="Times New Roman" w:cs="Times New Roman"/>
          <w:color w:val="000000" w:themeColor="text1"/>
          <w:szCs w:val="24"/>
          <w:highlight w:val="none"/>
          <w14:textFill>
            <w14:solidFill>
              <w14:schemeClr w14:val="tx1"/>
            </w14:solidFill>
          </w14:textFill>
        </w:rPr>
        <w:t xml:space="preserve">  所用原材料按批次检验合格；</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 xml:space="preserve">  生产过程质量检验合格；</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 xml:space="preserve">3 </w:t>
      </w:r>
      <w:r>
        <w:rPr>
          <w:rFonts w:hint="default" w:ascii="Times New Roman" w:hAnsi="Times New Roman" w:cs="Times New Roman"/>
          <w:color w:val="000000" w:themeColor="text1"/>
          <w:szCs w:val="24"/>
          <w:highlight w:val="none"/>
          <w14:textFill>
            <w14:solidFill>
              <w14:schemeClr w14:val="tx1"/>
            </w14:solidFill>
          </w14:textFill>
        </w:rPr>
        <w:t xml:space="preserve"> 成品质量检验合格；</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 xml:space="preserve">4 </w:t>
      </w:r>
      <w:r>
        <w:rPr>
          <w:rFonts w:hint="default" w:ascii="Times New Roman" w:hAnsi="Times New Roman" w:cs="Times New Roman"/>
          <w:color w:val="000000" w:themeColor="text1"/>
          <w:szCs w:val="24"/>
          <w:highlight w:val="none"/>
          <w14:textFill>
            <w14:solidFill>
              <w14:schemeClr w14:val="tx1"/>
            </w14:solidFill>
          </w14:textFill>
        </w:rPr>
        <w:t xml:space="preserve"> 各项质量检验记录可追溯。</w:t>
      </w:r>
    </w:p>
    <w:p>
      <w:pPr>
        <w:ind w:firstLine="0"/>
        <w:rPr>
          <w:rFonts w:hint="default" w:ascii="Times New Roman" w:hAnsi="Times New Roman" w:cs="Times New Roman"/>
          <w:color w:val="000000" w:themeColor="text1"/>
          <w:highlight w:val="none"/>
          <w14:textFill>
            <w14:solidFill>
              <w14:schemeClr w14:val="tx1"/>
            </w14:solidFill>
          </w14:textFill>
        </w:rPr>
      </w:pPr>
      <w:bookmarkStart w:id="1083" w:name="_Toc28122"/>
      <w:bookmarkStart w:id="1084" w:name="_Toc4314"/>
      <w:r>
        <w:rPr>
          <w:rFonts w:hint="default" w:ascii="Times New Roman" w:hAnsi="Times New Roman" w:cs="Times New Roman"/>
          <w:b/>
          <w:bCs/>
          <w:color w:val="000000" w:themeColor="text1"/>
          <w:highlight w:val="none"/>
          <w14:textFill>
            <w14:solidFill>
              <w14:schemeClr w14:val="tx1"/>
            </w14:solidFill>
          </w14:textFill>
        </w:rPr>
        <w:t xml:space="preserve">10.1.11  </w:t>
      </w:r>
      <w:r>
        <w:rPr>
          <w:rFonts w:hint="default" w:ascii="Times New Roman" w:hAnsi="Times New Roman" w:cs="Times New Roman"/>
          <w:bCs/>
          <w:color w:val="000000" w:themeColor="text1"/>
          <w:highlight w:val="none"/>
          <w14:textFill>
            <w14:solidFill>
              <w14:schemeClr w14:val="tx1"/>
            </w14:solidFill>
          </w14:textFill>
        </w:rPr>
        <w:t>混凝土</w:t>
      </w:r>
      <w:r>
        <w:rPr>
          <w:rFonts w:hint="default" w:ascii="Times New Roman" w:hAnsi="Times New Roman" w:cs="Times New Roman"/>
          <w:color w:val="000000" w:themeColor="text1"/>
          <w:highlight w:val="none"/>
          <w14:textFill>
            <w14:solidFill>
              <w14:schemeClr w14:val="tx1"/>
            </w14:solidFill>
          </w14:textFill>
        </w:rPr>
        <w:t>模块化建筑主体结构验收时，应提供下列文件和记录：</w:t>
      </w:r>
      <w:bookmarkEnd w:id="1083"/>
      <w:bookmarkEnd w:id="1084"/>
    </w:p>
    <w:p>
      <w:pPr>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1085" w:name="_Toc13525"/>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highlight w:val="none"/>
          <w14:textFill>
            <w14:solidFill>
              <w14:schemeClr w14:val="tx1"/>
            </w14:solidFill>
          </w14:textFill>
        </w:rPr>
        <w:t>工程设计文件、模块单元制作和安装的深化设计图；</w:t>
      </w:r>
      <w:bookmarkEnd w:id="1085"/>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模块单元、主要材料及构配件的产品合格证、质量证明文件、进场验收记录、抽样复验报告；</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3  </w:t>
      </w:r>
      <w:r>
        <w:rPr>
          <w:rFonts w:hint="default" w:ascii="Times New Roman" w:hAnsi="Times New Roman" w:cs="Times New Roman"/>
          <w:color w:val="000000" w:themeColor="text1"/>
          <w:highlight w:val="none"/>
          <w14:textFill>
            <w14:solidFill>
              <w14:schemeClr w14:val="tx1"/>
            </w14:solidFill>
          </w14:textFill>
        </w:rPr>
        <w:t>模块单元生产制作隐蔽验收记录、安装施工记录；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4  </w:t>
      </w:r>
      <w:r>
        <w:rPr>
          <w:rFonts w:hint="default" w:ascii="Times New Roman" w:hAnsi="Times New Roman" w:cs="Times New Roman"/>
          <w:color w:val="000000" w:themeColor="text1"/>
          <w:highlight w:val="none"/>
          <w14:textFill>
            <w14:solidFill>
              <w14:schemeClr w14:val="tx1"/>
            </w14:solidFill>
          </w14:textFill>
        </w:rPr>
        <w:t>现浇混凝土部位的隐蔽工程检查验收文件；</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5  </w:t>
      </w:r>
      <w:r>
        <w:rPr>
          <w:rFonts w:hint="default" w:ascii="Times New Roman" w:hAnsi="Times New Roman" w:cs="Times New Roman"/>
          <w:color w:val="000000" w:themeColor="text1"/>
          <w:highlight w:val="none"/>
          <w14:textFill>
            <w14:solidFill>
              <w14:schemeClr w14:val="tx1"/>
            </w14:solidFill>
          </w14:textFill>
        </w:rPr>
        <w:t>现浇混凝土、灌浆料、坐浆料强度检测报告；</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6  </w:t>
      </w:r>
      <w:r>
        <w:rPr>
          <w:rFonts w:hint="default" w:ascii="Times New Roman" w:hAnsi="Times New Roman" w:cs="Times New Roman"/>
          <w:color w:val="000000" w:themeColor="text1"/>
          <w:highlight w:val="none"/>
          <w14:textFill>
            <w14:solidFill>
              <w14:schemeClr w14:val="tx1"/>
            </w14:solidFill>
          </w14:textFill>
        </w:rPr>
        <w:t>墙模后浇混凝土的施工检验记录；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7  </w:t>
      </w:r>
      <w:r>
        <w:rPr>
          <w:rFonts w:hint="default" w:ascii="Times New Roman" w:hAnsi="Times New Roman" w:cs="Times New Roman"/>
          <w:color w:val="000000" w:themeColor="text1"/>
          <w:highlight w:val="none"/>
          <w14:textFill>
            <w14:solidFill>
              <w14:schemeClr w14:val="tx1"/>
            </w14:solidFill>
          </w14:textFill>
        </w:rPr>
        <w:t>外墙防水施工质量检验记录；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8  </w:t>
      </w:r>
      <w:r>
        <w:rPr>
          <w:rFonts w:hint="default" w:ascii="Times New Roman" w:hAnsi="Times New Roman" w:cs="Times New Roman"/>
          <w:color w:val="000000" w:themeColor="text1"/>
          <w:highlight w:val="none"/>
          <w14:textFill>
            <w14:solidFill>
              <w14:schemeClr w14:val="tx1"/>
            </w14:solidFill>
          </w14:textFill>
        </w:rPr>
        <w:t>混凝土模块化建筑工程的重大质量问题的处理方案和验收记录；</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1086" w:name="_Toc27057"/>
      <w:r>
        <w:rPr>
          <w:rFonts w:hint="default" w:ascii="Times New Roman" w:hAnsi="Times New Roman" w:cs="Times New Roman"/>
          <w:b/>
          <w:color w:val="000000" w:themeColor="text1"/>
          <w:highlight w:val="none"/>
          <w14:textFill>
            <w14:solidFill>
              <w14:schemeClr w14:val="tx1"/>
            </w14:solidFill>
          </w14:textFill>
        </w:rPr>
        <w:t xml:space="preserve">9  </w:t>
      </w:r>
      <w:r>
        <w:rPr>
          <w:rFonts w:hint="default" w:ascii="Times New Roman" w:hAnsi="Times New Roman" w:cs="Times New Roman"/>
          <w:color w:val="000000" w:themeColor="text1"/>
          <w:highlight w:val="none"/>
          <w14:textFill>
            <w14:solidFill>
              <w14:schemeClr w14:val="tx1"/>
            </w14:solidFill>
          </w14:textFill>
        </w:rPr>
        <w:t>混凝土模块化建筑工程的其他文件和记录。</w:t>
      </w:r>
      <w:bookmarkEnd w:id="1086"/>
    </w:p>
    <w:p>
      <w:pPr>
        <w:ind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10.1.12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室内环境的质量验收应在内装工程完成后进行，并应符合现行国家标准《民用建筑工程室内环境污染控制规范》GB50325的有关规定。</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10.1.13  </w:t>
      </w:r>
      <w:r>
        <w:rPr>
          <w:rFonts w:hint="default" w:ascii="Times New Roman" w:hAnsi="Times New Roman" w:cs="Times New Roman"/>
          <w:bCs/>
          <w:color w:val="000000" w:themeColor="text1"/>
          <w:highlight w:val="none"/>
          <w14:textFill>
            <w14:solidFill>
              <w14:schemeClr w14:val="tx1"/>
            </w14:solidFill>
          </w14:textFill>
        </w:rPr>
        <w:t>混凝土</w:t>
      </w:r>
      <w:r>
        <w:rPr>
          <w:rFonts w:hint="default" w:ascii="Times New Roman" w:hAnsi="Times New Roman" w:cs="Times New Roman"/>
          <w:color w:val="000000" w:themeColor="text1"/>
          <w:highlight w:val="none"/>
          <w14:textFill>
            <w14:solidFill>
              <w14:schemeClr w14:val="tx1"/>
            </w14:solidFill>
          </w14:textFill>
        </w:rPr>
        <w:t>模块化建筑竣工验收时，除满足主体结构验收资料要求外，还应满足现行国家标准《混凝土结构工程施工质量验收规范》GB50204、《建筑工程施工质量验收统一标准》GB50300</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现行行业标准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装配式混凝土结构技术规程</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JGJ 1</w:t>
      </w:r>
      <w:r>
        <w:rPr>
          <w:rFonts w:hint="default" w:ascii="Times New Roman" w:hAnsi="Times New Roman" w:cs="Times New Roman"/>
          <w:color w:val="000000" w:themeColor="text1"/>
          <w:highlight w:val="none"/>
          <w14:textFill>
            <w14:solidFill>
              <w14:schemeClr w14:val="tx1"/>
            </w14:solidFill>
          </w14:textFill>
        </w:rPr>
        <w:t>及</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广东省房屋建筑工程竣工验收技术资料统一用表</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等相关要求。</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10.1.14  </w:t>
      </w:r>
      <w:r>
        <w:rPr>
          <w:rFonts w:hint="default" w:ascii="Times New Roman" w:hAnsi="Times New Roman" w:cs="Times New Roman"/>
          <w:color w:val="000000" w:themeColor="text1"/>
          <w:highlight w:val="none"/>
          <w14:textFill>
            <w14:solidFill>
              <w14:schemeClr w14:val="tx1"/>
            </w14:solidFill>
          </w14:textFill>
        </w:rPr>
        <w:t>混凝土模块化建筑验收合格交付使用时，应提供房屋使用说明书，说明书中应涵盖房屋使用注意事项及维护管理相关要求。</w:t>
      </w:r>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087" w:name="_Toc110952740"/>
      <w:bookmarkStart w:id="1088" w:name="_Toc110958508"/>
      <w:bookmarkStart w:id="1089" w:name="_Toc5796"/>
      <w:bookmarkStart w:id="1090" w:name="_Toc18736"/>
      <w:bookmarkStart w:id="1091" w:name="_Toc18980"/>
      <w:bookmarkStart w:id="1092" w:name="_Toc13628"/>
      <w:bookmarkStart w:id="1093" w:name="_Toc8983"/>
      <w:bookmarkStart w:id="1094" w:name="_Toc25326"/>
      <w:bookmarkStart w:id="1095" w:name="_Toc11187"/>
      <w:bookmarkStart w:id="1096" w:name="_Toc26066"/>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10.2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模块单元</w:t>
      </w:r>
      <w:bookmarkEnd w:id="1087"/>
      <w:bookmarkEnd w:id="1088"/>
      <w:r>
        <w:rPr>
          <w:rFonts w:hint="default" w:ascii="Times New Roman" w:hAnsi="Times New Roman" w:eastAsia="黑体" w:cs="Times New Roman"/>
          <w:color w:val="000000" w:themeColor="text1"/>
          <w:sz w:val="24"/>
          <w:szCs w:val="24"/>
          <w:highlight w:val="none"/>
          <w14:textFill>
            <w14:solidFill>
              <w14:schemeClr w14:val="tx1"/>
            </w14:solidFill>
          </w14:textFill>
        </w:rPr>
        <w:t>进场验收</w:t>
      </w:r>
      <w:bookmarkEnd w:id="1089"/>
      <w:bookmarkEnd w:id="1090"/>
      <w:bookmarkEnd w:id="1091"/>
      <w:bookmarkEnd w:id="1092"/>
      <w:bookmarkEnd w:id="1093"/>
      <w:bookmarkEnd w:id="1094"/>
      <w:bookmarkEnd w:id="1095"/>
      <w:bookmarkEnd w:id="1096"/>
    </w:p>
    <w:p>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I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主</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控</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项</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目</w:t>
      </w:r>
    </w:p>
    <w:p>
      <w:pPr>
        <w:ind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10.2.1  </w:t>
      </w:r>
      <w:r>
        <w:rPr>
          <w:rFonts w:hint="default" w:ascii="Times New Roman" w:hAnsi="Times New Roman" w:cs="Times New Roman"/>
          <w:color w:val="000000" w:themeColor="text1"/>
          <w:highlight w:val="none"/>
          <w14:textFill>
            <w14:solidFill>
              <w14:schemeClr w14:val="tx1"/>
            </w14:solidFill>
          </w14:textFill>
        </w:rPr>
        <w:t>模块单元产品进场时，应检查模块单元的产品合格证、混凝土强度检验报告、钢筋套筒等工艺检验报告</w:t>
      </w:r>
      <w:r>
        <w:rPr>
          <w:rFonts w:hint="default"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14:textFill>
            <w14:solidFill>
              <w14:schemeClr w14:val="tx1"/>
            </w14:solidFill>
          </w14:textFill>
        </w:rPr>
        <w:t>合同要求的其他质量证明文件。</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检验方法：检查相关</w:t>
      </w:r>
      <w:r>
        <w:rPr>
          <w:rFonts w:hint="default" w:ascii="Times New Roman" w:hAnsi="Times New Roman" w:cs="Times New Roman"/>
          <w:color w:val="000000" w:themeColor="text1"/>
          <w:highlight w:val="none"/>
          <w:lang w:val="en-US" w:eastAsia="zh-CN"/>
          <w14:textFill>
            <w14:solidFill>
              <w14:schemeClr w14:val="tx1"/>
            </w14:solidFill>
          </w14:textFill>
        </w:rPr>
        <w:t>质量证明文件</w:t>
      </w:r>
      <w:r>
        <w:rPr>
          <w:rFonts w:hint="default" w:ascii="Times New Roman" w:hAnsi="Times New Roman" w:cs="Times New Roman"/>
          <w:color w:val="000000" w:themeColor="text1"/>
          <w:highlight w:val="none"/>
          <w14:textFill>
            <w14:solidFill>
              <w14:schemeClr w14:val="tx1"/>
            </w14:solidFill>
          </w14:textFill>
        </w:rPr>
        <w:t>。</w:t>
      </w:r>
    </w:p>
    <w:p>
      <w:pPr>
        <w:ind w:firstLine="0"/>
        <w:rPr>
          <w:rFonts w:hint="default" w:ascii="Times New Roman" w:hAnsi="Times New Roman" w:cs="Times New Roman"/>
          <w:color w:val="000000" w:themeColor="text1"/>
          <w:highlight w:val="none"/>
          <w14:textFill>
            <w14:solidFill>
              <w14:schemeClr w14:val="tx1"/>
            </w14:solidFill>
          </w14:textFill>
        </w:rPr>
      </w:pPr>
      <w:bookmarkStart w:id="1097" w:name="_Toc14194"/>
      <w:bookmarkStart w:id="1098" w:name="_Toc7015"/>
      <w:r>
        <w:rPr>
          <w:rFonts w:hint="default" w:ascii="Times New Roman" w:hAnsi="Times New Roman" w:cs="Times New Roman"/>
          <w:b/>
          <w:color w:val="000000" w:themeColor="text1"/>
          <w:highlight w:val="none"/>
          <w14:textFill>
            <w14:solidFill>
              <w14:schemeClr w14:val="tx1"/>
            </w14:solidFill>
          </w14:textFill>
        </w:rPr>
        <w:t>10.2.</w:t>
      </w: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模块单元的混凝土外观质量不应有严重缺陷，且不应有影响结构性能、安装和使用功能的尺寸偏差。</w:t>
      </w:r>
      <w:bookmarkEnd w:id="1097"/>
      <w:bookmarkEnd w:id="1098"/>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检验方法：观察、尺量；检查处理记录。</w:t>
      </w:r>
    </w:p>
    <w:p>
      <w:pPr>
        <w:ind w:firstLine="0"/>
        <w:rPr>
          <w:rFonts w:hint="default" w:ascii="Times New Roman" w:hAnsi="Times New Roman" w:cs="Times New Roman"/>
          <w:color w:val="000000" w:themeColor="text1"/>
          <w:highlight w:val="none"/>
          <w14:textFill>
            <w14:solidFill>
              <w14:schemeClr w14:val="tx1"/>
            </w14:solidFill>
          </w14:textFill>
        </w:rPr>
      </w:pPr>
      <w:bookmarkStart w:id="1099" w:name="_Toc29670"/>
      <w:bookmarkStart w:id="1100" w:name="_Toc25581"/>
      <w:r>
        <w:rPr>
          <w:rFonts w:hint="default" w:ascii="Times New Roman" w:hAnsi="Times New Roman" w:cs="Times New Roman"/>
          <w:b/>
          <w:color w:val="000000" w:themeColor="text1"/>
          <w:highlight w:val="none"/>
          <w14:textFill>
            <w14:solidFill>
              <w14:schemeClr w14:val="tx1"/>
            </w14:solidFill>
          </w14:textFill>
        </w:rPr>
        <w:t>10.2.</w:t>
      </w: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模块上的预埋件的材料质量、规格和数量以及预留孔洞的数量应符合设计要求。</w:t>
      </w:r>
      <w:bookmarkEnd w:id="1099"/>
      <w:bookmarkEnd w:id="1100"/>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检验方法：观察、尺量；检查产品合格证</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 xml:space="preserve">10.2.4 </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模块单元表面预贴饰面砖、石材等饰面与混凝土的粘结性能应符合设计和国家现行有关标准的规定。</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w:t>
      </w:r>
      <w:r>
        <w:rPr>
          <w:rFonts w:hint="default" w:ascii="Times New Roman" w:hAnsi="Times New Roman" w:cs="Times New Roman"/>
          <w:color w:val="000000" w:themeColor="text1"/>
          <w:highlight w:val="none"/>
          <w:lang w:val="en-US" w:eastAsia="zh-CN"/>
          <w14:textFill>
            <w14:solidFill>
              <w14:schemeClr w14:val="tx1"/>
            </w14:solidFill>
          </w14:textFill>
        </w:rPr>
        <w:t>按批检查。</w:t>
      </w:r>
    </w:p>
    <w:p>
      <w:pPr>
        <w:ind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w:t>
      </w:r>
      <w:r>
        <w:rPr>
          <w:rFonts w:hint="default" w:ascii="Times New Roman" w:hAnsi="Times New Roman" w:cs="Times New Roman"/>
          <w:color w:val="000000" w:themeColor="text1"/>
          <w:highlight w:val="none"/>
          <w:lang w:val="en-US" w:eastAsia="zh-CN"/>
          <w14:textFill>
            <w14:solidFill>
              <w14:schemeClr w14:val="tx1"/>
            </w14:solidFill>
          </w14:textFill>
        </w:rPr>
        <w:t>检查拉拔强度检验报告。</w:t>
      </w:r>
    </w:p>
    <w:p>
      <w:pPr>
        <w:ind w:firstLine="420" w:firstLineChars="200"/>
        <w:rPr>
          <w:rFonts w:hint="default" w:ascii="Times New Roman" w:hAnsi="Times New Roman" w:cs="Times New Roman"/>
          <w:color w:val="000000" w:themeColor="text1"/>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II  一 般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项</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目</w:t>
      </w:r>
    </w:p>
    <w:p>
      <w:pPr>
        <w:ind w:firstLine="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2"/>
          <w:highlight w:val="none"/>
          <w:lang w:val="en-US" w:eastAsia="zh-CN"/>
          <w14:textFill>
            <w14:solidFill>
              <w14:schemeClr w14:val="tx1"/>
            </w14:solidFill>
          </w14:textFill>
        </w:rPr>
        <w:t xml:space="preserve">10.2.5  </w:t>
      </w:r>
      <w:r>
        <w:rPr>
          <w:rFonts w:hint="default" w:ascii="Times New Roman" w:hAnsi="Times New Roman" w:cs="Times New Roman"/>
          <w:color w:val="000000" w:themeColor="text1"/>
          <w:szCs w:val="24"/>
          <w:highlight w:val="none"/>
          <w14:textFill>
            <w14:solidFill>
              <w14:schemeClr w14:val="tx1"/>
            </w14:solidFill>
          </w14:textFill>
        </w:rPr>
        <w:t>模块单元应在明显</w:t>
      </w:r>
      <w:r>
        <w:rPr>
          <w:rFonts w:hint="default" w:ascii="Times New Roman" w:hAnsi="Times New Roman" w:cs="Times New Roman"/>
          <w:bCs/>
          <w:color w:val="000000" w:themeColor="text1"/>
          <w:highlight w:val="none"/>
          <w14:textFill>
            <w14:solidFill>
              <w14:schemeClr w14:val="tx1"/>
            </w14:solidFill>
          </w14:textFill>
        </w:rPr>
        <w:t>部位</w:t>
      </w:r>
      <w:r>
        <w:rPr>
          <w:rFonts w:hint="default" w:ascii="Times New Roman" w:hAnsi="Times New Roman" w:cs="Times New Roman"/>
          <w:color w:val="000000" w:themeColor="text1"/>
          <w:szCs w:val="24"/>
          <w:highlight w:val="none"/>
          <w14:textFill>
            <w14:solidFill>
              <w14:schemeClr w14:val="tx1"/>
            </w14:solidFill>
          </w14:textFill>
        </w:rPr>
        <w:t>标明生产单位、项目名称、模块型号、生产日期、安装部位、安装方向、</w:t>
      </w:r>
      <w:r>
        <w:rPr>
          <w:rFonts w:hint="default" w:ascii="Times New Roman" w:hAnsi="Times New Roman" w:cs="Times New Roman"/>
          <w:color w:val="000000" w:themeColor="text1"/>
          <w:szCs w:val="24"/>
          <w:highlight w:val="none"/>
          <w:lang w:val="en-US" w:eastAsia="zh-CN"/>
          <w14:textFill>
            <w14:solidFill>
              <w14:schemeClr w14:val="tx1"/>
            </w14:solidFill>
          </w14:textFill>
        </w:rPr>
        <w:t>产品</w:t>
      </w:r>
      <w:r>
        <w:rPr>
          <w:rFonts w:hint="default" w:ascii="Times New Roman" w:hAnsi="Times New Roman" w:cs="Times New Roman"/>
          <w:color w:val="000000" w:themeColor="text1"/>
          <w:szCs w:val="24"/>
          <w:highlight w:val="none"/>
          <w14:textFill>
            <w14:solidFill>
              <w14:schemeClr w14:val="tx1"/>
            </w14:solidFill>
          </w14:textFill>
        </w:rPr>
        <w:t>合格标志等内容。</w:t>
      </w:r>
    </w:p>
    <w:p>
      <w:pPr>
        <w:ind w:firstLine="42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检查数量：全数检查。</w:t>
      </w:r>
    </w:p>
    <w:p>
      <w:pPr>
        <w:ind w:firstLine="42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检验方法：观察</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检查</w:t>
      </w:r>
      <w:r>
        <w:rPr>
          <w:rFonts w:hint="default" w:ascii="Times New Roman" w:hAnsi="Times New Roman" w:cs="Times New Roman"/>
          <w:color w:val="000000" w:themeColor="text1"/>
          <w:szCs w:val="24"/>
          <w:highlight w:val="none"/>
          <w:lang w:val="en-US" w:eastAsia="zh-CN"/>
          <w14:textFill>
            <w14:solidFill>
              <w14:schemeClr w14:val="tx1"/>
            </w14:solidFill>
          </w14:textFill>
        </w:rPr>
        <w:t>模块标识</w:t>
      </w:r>
      <w:r>
        <w:rPr>
          <w:rFonts w:hint="default" w:ascii="Times New Roman" w:hAnsi="Times New Roman" w:cs="Times New Roman"/>
          <w:color w:val="000000" w:themeColor="text1"/>
          <w:szCs w:val="24"/>
          <w:highlight w:val="none"/>
          <w14:textFill>
            <w14:solidFill>
              <w14:schemeClr w14:val="tx1"/>
            </w14:solidFill>
          </w14:textFill>
        </w:rPr>
        <w:t>。</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10.2.</w:t>
      </w:r>
      <w:r>
        <w:rPr>
          <w:rFonts w:hint="default" w:ascii="Times New Roman" w:hAnsi="Times New Roman" w:cs="Times New Roman"/>
          <w:b/>
          <w:color w:val="000000" w:themeColor="text1"/>
          <w:highlight w:val="none"/>
          <w:lang w:val="en-US" w:eastAsia="zh-CN"/>
          <w14:textFill>
            <w14:solidFill>
              <w14:schemeClr w14:val="tx1"/>
            </w14:solidFill>
          </w14:textFill>
        </w:rPr>
        <w:t>6</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bCs/>
          <w:color w:val="000000" w:themeColor="text1"/>
          <w:highlight w:val="none"/>
          <w14:textFill>
            <w14:solidFill>
              <w14:schemeClr w14:val="tx1"/>
            </w14:solidFill>
          </w14:textFill>
        </w:rPr>
        <w:t>单元</w:t>
      </w:r>
      <w:r>
        <w:rPr>
          <w:rFonts w:hint="default" w:ascii="Times New Roman" w:hAnsi="Times New Roman" w:cs="Times New Roman"/>
          <w:color w:val="000000" w:themeColor="text1"/>
          <w:highlight w:val="none"/>
          <w14:textFill>
            <w14:solidFill>
              <w14:schemeClr w14:val="tx1"/>
            </w14:solidFill>
          </w14:textFill>
        </w:rPr>
        <w:t>外观质量不应有一般缺陷，对出现的一般缺陷应要求模块生产单位按技术处理方案进行处理，并重新检查验收。</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检验方法：观察，检查技术处理方案和处理记录。</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10.2</w:t>
      </w:r>
      <w:r>
        <w:rPr>
          <w:rFonts w:hint="default" w:ascii="Times New Roman" w:hAnsi="Times New Roman" w:cs="Times New Roman"/>
          <w:b/>
          <w:color w:val="000000" w:themeColor="text1"/>
          <w:highlight w:val="none"/>
          <w:lang w:val="en-US" w:eastAsia="zh-CN"/>
          <w14:textFill>
            <w14:solidFill>
              <w14:schemeClr w14:val="tx1"/>
            </w14:solidFill>
          </w14:textFill>
        </w:rPr>
        <w:t>.7</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模块单元粗糙面的外观质量、键槽的外观质量和数量应符合设计要求。</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检验方法：观察，量测。</w:t>
      </w:r>
    </w:p>
    <w:p>
      <w:pPr>
        <w:ind w:firstLine="0"/>
        <w:rPr>
          <w:rFonts w:hint="default" w:ascii="Times New Roman" w:hAnsi="Times New Roman" w:cs="Times New Roman"/>
          <w:color w:val="000000" w:themeColor="text1"/>
          <w:highlight w:val="none"/>
          <w14:textFill>
            <w14:solidFill>
              <w14:schemeClr w14:val="tx1"/>
            </w14:solidFill>
          </w14:textFill>
        </w:rPr>
      </w:pPr>
      <w:bookmarkStart w:id="1101" w:name="_Toc24318"/>
      <w:bookmarkStart w:id="1102" w:name="_Toc21161"/>
      <w:r>
        <w:rPr>
          <w:rFonts w:hint="default" w:ascii="Times New Roman" w:hAnsi="Times New Roman" w:cs="Times New Roman"/>
          <w:b/>
          <w:color w:val="000000" w:themeColor="text1"/>
          <w:highlight w:val="none"/>
          <w14:textFill>
            <w14:solidFill>
              <w14:schemeClr w14:val="tx1"/>
            </w14:solidFill>
          </w14:textFill>
        </w:rPr>
        <w:t>10.2.</w:t>
      </w:r>
      <w:r>
        <w:rPr>
          <w:rFonts w:hint="default" w:ascii="Times New Roman" w:hAnsi="Times New Roman" w:cs="Times New Roman"/>
          <w:b/>
          <w:color w:val="000000" w:themeColor="text1"/>
          <w:highlight w:val="none"/>
          <w:lang w:eastAsia="zh-CN"/>
          <w14:textFill>
            <w14:solidFill>
              <w14:schemeClr w14:val="tx1"/>
            </w14:solidFill>
          </w14:textFill>
        </w:rPr>
        <w:t>8</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模块单元外形尺寸</w:t>
      </w:r>
      <w:r>
        <w:rPr>
          <w:rFonts w:hint="default" w:ascii="Times New Roman" w:hAnsi="Times New Roman" w:cs="Times New Roman"/>
          <w:bCs/>
          <w:color w:val="000000" w:themeColor="text1"/>
          <w:highlight w:val="none"/>
          <w14:textFill>
            <w14:solidFill>
              <w14:schemeClr w14:val="tx1"/>
            </w14:solidFill>
          </w14:textFill>
        </w:rPr>
        <w:t>偏差</w:t>
      </w:r>
      <w:r>
        <w:rPr>
          <w:rFonts w:hint="default" w:ascii="Times New Roman" w:hAnsi="Times New Roman" w:cs="Times New Roman"/>
          <w:color w:val="000000" w:themeColor="text1"/>
          <w:highlight w:val="none"/>
          <w14:textFill>
            <w14:solidFill>
              <w14:schemeClr w14:val="tx1"/>
            </w14:solidFill>
          </w14:textFill>
        </w:rPr>
        <w:t>和检验方法应分别符合</w:t>
      </w:r>
      <w:r>
        <w:rPr>
          <w:rFonts w:hint="default" w:ascii="Times New Roman" w:hAnsi="Times New Roman" w:cs="Times New Roman"/>
          <w:color w:val="000000" w:themeColor="text1"/>
          <w:highlight w:val="none"/>
          <w:lang w:eastAsia="zh-CN"/>
          <w14:textFill>
            <w14:solidFill>
              <w14:schemeClr w14:val="tx1"/>
            </w14:solidFill>
          </w14:textFill>
        </w:rPr>
        <w:t>本标准</w:t>
      </w:r>
      <w:r>
        <w:rPr>
          <w:rFonts w:hint="default" w:ascii="Times New Roman" w:hAnsi="Times New Roman" w:cs="Times New Roman"/>
          <w:color w:val="000000" w:themeColor="text1"/>
          <w:highlight w:val="none"/>
          <w14:textFill>
            <w14:solidFill>
              <w14:schemeClr w14:val="tx1"/>
            </w14:solidFill>
          </w14:textFill>
        </w:rPr>
        <w:t>表8.8.5的规定。</w:t>
      </w:r>
      <w:bookmarkEnd w:id="1101"/>
      <w:bookmarkEnd w:id="1102"/>
    </w:p>
    <w:p>
      <w:pPr>
        <w:ind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检验方法：观察，量测。</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10.2.</w:t>
      </w:r>
      <w:r>
        <w:rPr>
          <w:rFonts w:hint="default" w:ascii="Times New Roman" w:hAnsi="Times New Roman" w:cs="Times New Roman"/>
          <w:b/>
          <w:color w:val="000000" w:themeColor="text1"/>
          <w:highlight w:val="none"/>
          <w:lang w:val="en-US" w:eastAsia="zh-CN"/>
          <w14:textFill>
            <w14:solidFill>
              <w14:schemeClr w14:val="tx1"/>
            </w14:solidFill>
          </w14:textFill>
        </w:rPr>
        <w:t>9</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模块单元上的金属波纹管、注浆管内不应有杂物。</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检验方法：观察</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0"/>
        <w:rPr>
          <w:rFonts w:hint="default" w:ascii="Times New Roman" w:hAnsi="Times New Roman" w:cs="Times New Roman"/>
          <w:color w:val="000000" w:themeColor="text1"/>
          <w:szCs w:val="24"/>
          <w:highlight w:val="none"/>
          <w14:textFill>
            <w14:solidFill>
              <w14:schemeClr w14:val="tx1"/>
            </w14:solidFill>
          </w14:textFill>
        </w:rPr>
      </w:pPr>
      <w:bookmarkStart w:id="1103" w:name="_Toc370"/>
      <w:bookmarkStart w:id="1104" w:name="_Toc21101"/>
      <w:r>
        <w:rPr>
          <w:rFonts w:hint="default" w:ascii="Times New Roman" w:hAnsi="Times New Roman" w:cs="Times New Roman"/>
          <w:b/>
          <w:color w:val="000000" w:themeColor="text1"/>
          <w:szCs w:val="24"/>
          <w:highlight w:val="none"/>
          <w14:textFill>
            <w14:solidFill>
              <w14:schemeClr w14:val="tx1"/>
            </w14:solidFill>
          </w14:textFill>
        </w:rPr>
        <w:t>10.2.</w:t>
      </w:r>
      <w:r>
        <w:rPr>
          <w:rFonts w:hint="default" w:ascii="Times New Roman" w:hAnsi="Times New Roman" w:cs="Times New Roman"/>
          <w:b/>
          <w:color w:val="000000" w:themeColor="text1"/>
          <w:szCs w:val="24"/>
          <w:highlight w:val="none"/>
          <w:lang w:val="en-US" w:eastAsia="zh-CN"/>
          <w14:textFill>
            <w14:solidFill>
              <w14:schemeClr w14:val="tx1"/>
            </w14:solidFill>
          </w14:textFill>
        </w:rPr>
        <w:t>10</w:t>
      </w:r>
      <w:r>
        <w:rPr>
          <w:rFonts w:hint="default" w:ascii="Times New Roman" w:hAnsi="Times New Roman" w:cs="Times New Roman"/>
          <w:b/>
          <w:color w:val="000000" w:themeColor="text1"/>
          <w:szCs w:val="24"/>
          <w:highlight w:val="none"/>
          <w14:textFill>
            <w14:solidFill>
              <w14:schemeClr w14:val="tx1"/>
            </w14:solidFill>
          </w14:textFill>
        </w:rPr>
        <w:t xml:space="preserve">  </w:t>
      </w:r>
      <w:r>
        <w:rPr>
          <w:rFonts w:hint="default" w:ascii="Times New Roman" w:hAnsi="Times New Roman" w:cs="Times New Roman"/>
          <w:color w:val="000000" w:themeColor="text1"/>
          <w:szCs w:val="24"/>
          <w:highlight w:val="none"/>
          <w14:textFill>
            <w14:solidFill>
              <w14:schemeClr w14:val="tx1"/>
            </w14:solidFill>
          </w14:textFill>
        </w:rPr>
        <w:t>模块单元的饰面质量应符合设计要求，并应符合国家标准《建筑装饰装修工程质量验收规范》GB 50210 的有关规定。</w:t>
      </w:r>
      <w:bookmarkEnd w:id="1103"/>
      <w:bookmarkEnd w:id="1104"/>
    </w:p>
    <w:p>
      <w:pPr>
        <w:ind w:firstLine="420" w:firstLineChars="200"/>
        <w:rPr>
          <w:rFonts w:hint="default" w:ascii="Times New Roman" w:hAnsi="Times New Roman" w:eastAsia="宋体"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检查数量：全数检查</w:t>
      </w:r>
      <w:r>
        <w:rPr>
          <w:rFonts w:hint="default" w:ascii="Times New Roman" w:hAnsi="Times New Roman" w:cs="Times New Roman"/>
          <w:color w:val="000000" w:themeColor="text1"/>
          <w:szCs w:val="24"/>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检验方法：检查质量证明文件或设计文件</w:t>
      </w:r>
      <w:r>
        <w:rPr>
          <w:rFonts w:hint="default" w:ascii="Times New Roman" w:hAnsi="Times New Roman" w:cs="Times New Roman"/>
          <w:color w:val="000000" w:themeColor="text1"/>
          <w:szCs w:val="24"/>
          <w:highlight w:val="none"/>
          <w:lang w:eastAsia="zh-CN"/>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105" w:name="_Toc110952741"/>
      <w:bookmarkStart w:id="1106" w:name="_Toc21027"/>
      <w:bookmarkStart w:id="1107" w:name="_Toc20009"/>
      <w:bookmarkStart w:id="1108" w:name="_Toc12903"/>
      <w:bookmarkStart w:id="1109" w:name="_Toc31385"/>
      <w:bookmarkStart w:id="1110" w:name="_Toc21617"/>
      <w:bookmarkStart w:id="1111" w:name="_Toc110958509"/>
      <w:bookmarkStart w:id="1112" w:name="_Toc11092"/>
      <w:bookmarkStart w:id="1113" w:name="_Toc22214"/>
      <w:bookmarkStart w:id="1114" w:name="_Toc20242"/>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10.3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模块单元安装与连接</w:t>
      </w:r>
      <w:bookmarkEnd w:id="1105"/>
      <w:bookmarkEnd w:id="1106"/>
      <w:bookmarkEnd w:id="1107"/>
      <w:bookmarkEnd w:id="1108"/>
      <w:bookmarkEnd w:id="1109"/>
      <w:bookmarkEnd w:id="1110"/>
      <w:bookmarkEnd w:id="1111"/>
      <w:bookmarkEnd w:id="1112"/>
      <w:bookmarkEnd w:id="1113"/>
      <w:bookmarkEnd w:id="1114"/>
    </w:p>
    <w:p>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bookmarkStart w:id="1115" w:name="_Toc29017"/>
      <w:bookmarkStart w:id="1116" w:name="_Toc35"/>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I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主</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控</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项</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目</w:t>
      </w:r>
    </w:p>
    <w:p>
      <w:pPr>
        <w:ind w:firstLine="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10.3.1  </w:t>
      </w:r>
      <w:r>
        <w:rPr>
          <w:rFonts w:hint="default" w:ascii="Times New Roman" w:hAnsi="Times New Roman" w:cs="Times New Roman"/>
          <w:bCs/>
          <w:color w:val="000000" w:themeColor="text1"/>
          <w:highlight w:val="none"/>
          <w14:textFill>
            <w14:solidFill>
              <w14:schemeClr w14:val="tx1"/>
            </w14:solidFill>
          </w14:textFill>
        </w:rPr>
        <w:t>模块现浇结构连接节点及叠合构件浇筑混凝土前，应进行隐蔽工程验收。隐蔽工程验收应包括下列主要内容：</w:t>
      </w:r>
      <w:bookmarkEnd w:id="1115"/>
      <w:bookmarkEnd w:id="1116"/>
    </w:p>
    <w:p>
      <w:pPr>
        <w:ind w:firstLine="421" w:firstLineChars="200"/>
        <w:rPr>
          <w:rFonts w:hint="default" w:ascii="Times New Roman" w:hAnsi="Times New Roman" w:cs="Times New Roman"/>
          <w:bCs/>
          <w:color w:val="000000" w:themeColor="text1"/>
          <w:highlight w:val="none"/>
          <w14:textFill>
            <w14:solidFill>
              <w14:schemeClr w14:val="tx1"/>
            </w14:solidFill>
          </w14:textFill>
        </w:rPr>
      </w:pPr>
      <w:bookmarkStart w:id="1117" w:name="_Toc18337"/>
      <w:r>
        <w:rPr>
          <w:rFonts w:hint="default" w:ascii="Times New Roman" w:hAnsi="Times New Roman" w:cs="Times New Roman"/>
          <w:b/>
          <w:bCs/>
          <w:color w:val="000000" w:themeColor="text1"/>
          <w:highlight w:val="none"/>
          <w14:textFill>
            <w14:solidFill>
              <w14:schemeClr w14:val="tx1"/>
            </w14:solidFill>
          </w14:textFill>
        </w:rPr>
        <w:t xml:space="preserve">1  </w:t>
      </w:r>
      <w:r>
        <w:rPr>
          <w:rFonts w:hint="default" w:ascii="Times New Roman" w:hAnsi="Times New Roman" w:cs="Times New Roman"/>
          <w:bCs/>
          <w:color w:val="000000" w:themeColor="text1"/>
          <w:highlight w:val="none"/>
          <w14:textFill>
            <w14:solidFill>
              <w14:schemeClr w14:val="tx1"/>
            </w14:solidFill>
          </w14:textFill>
        </w:rPr>
        <w:t>混凝土粗糙面的质量；</w:t>
      </w:r>
      <w:bookmarkEnd w:id="1117"/>
    </w:p>
    <w:p>
      <w:pPr>
        <w:ind w:firstLine="421"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2  </w:t>
      </w:r>
      <w:r>
        <w:rPr>
          <w:rFonts w:hint="default" w:ascii="Times New Roman" w:hAnsi="Times New Roman" w:cs="Times New Roman"/>
          <w:bCs/>
          <w:color w:val="000000" w:themeColor="text1"/>
          <w:highlight w:val="none"/>
          <w14:textFill>
            <w14:solidFill>
              <w14:schemeClr w14:val="tx1"/>
            </w14:solidFill>
          </w14:textFill>
        </w:rPr>
        <w:t>钢筋的牌号、规格、数量、位置、间距，箍筋弯钩的弯折角度及平直段长度；</w:t>
      </w:r>
    </w:p>
    <w:p>
      <w:pPr>
        <w:ind w:firstLine="421"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3  </w:t>
      </w:r>
      <w:r>
        <w:rPr>
          <w:rFonts w:hint="default" w:ascii="Times New Roman" w:hAnsi="Times New Roman" w:cs="Times New Roman"/>
          <w:bCs/>
          <w:color w:val="000000" w:themeColor="text1"/>
          <w:highlight w:val="none"/>
          <w14:textFill>
            <w14:solidFill>
              <w14:schemeClr w14:val="tx1"/>
            </w14:solidFill>
          </w14:textFill>
        </w:rPr>
        <w:t>钢筋的连接方式、接头位置、接头数量、接头面积百分率、搭接长度、锚固方式及锚固长度；</w:t>
      </w:r>
    </w:p>
    <w:p>
      <w:pPr>
        <w:ind w:firstLine="421"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4  </w:t>
      </w:r>
      <w:r>
        <w:rPr>
          <w:rFonts w:hint="default" w:ascii="Times New Roman" w:hAnsi="Times New Roman" w:cs="Times New Roman"/>
          <w:bCs/>
          <w:color w:val="000000" w:themeColor="text1"/>
          <w:highlight w:val="none"/>
          <w14:textFill>
            <w14:solidFill>
              <w14:schemeClr w14:val="tx1"/>
            </w14:solidFill>
          </w14:textFill>
        </w:rPr>
        <w:t>预埋件、预留管线的规格、数量、位置；</w:t>
      </w:r>
    </w:p>
    <w:p>
      <w:pPr>
        <w:ind w:firstLine="421"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5  </w:t>
      </w:r>
      <w:r>
        <w:rPr>
          <w:rFonts w:hint="default" w:ascii="Times New Roman" w:hAnsi="Times New Roman" w:cs="Times New Roman"/>
          <w:bCs/>
          <w:color w:val="000000" w:themeColor="text1"/>
          <w:highlight w:val="none"/>
          <w14:textFill>
            <w14:solidFill>
              <w14:schemeClr w14:val="tx1"/>
            </w14:solidFill>
          </w14:textFill>
        </w:rPr>
        <w:t>其他隐蔽项目。</w:t>
      </w:r>
    </w:p>
    <w:p>
      <w:pPr>
        <w:ind w:firstLine="0"/>
        <w:rPr>
          <w:rFonts w:hint="default" w:ascii="Times New Roman" w:hAnsi="Times New Roman" w:cs="Times New Roman"/>
          <w:bCs/>
          <w:color w:val="000000" w:themeColor="text1"/>
          <w:highlight w:val="none"/>
          <w14:textFill>
            <w14:solidFill>
              <w14:schemeClr w14:val="tx1"/>
            </w14:solidFill>
          </w14:textFill>
        </w:rPr>
      </w:pPr>
      <w:bookmarkStart w:id="1118" w:name="_Toc32"/>
      <w:bookmarkStart w:id="1119" w:name="_Toc23890"/>
      <w:r>
        <w:rPr>
          <w:rFonts w:hint="default" w:ascii="Times New Roman" w:hAnsi="Times New Roman" w:cs="Times New Roman"/>
          <w:b/>
          <w:bCs/>
          <w:color w:val="000000" w:themeColor="text1"/>
          <w:highlight w:val="none"/>
          <w14:textFill>
            <w14:solidFill>
              <w14:schemeClr w14:val="tx1"/>
            </w14:solidFill>
          </w14:textFill>
        </w:rPr>
        <w:t xml:space="preserve">10.3.2  </w:t>
      </w:r>
      <w:r>
        <w:rPr>
          <w:rFonts w:hint="default" w:ascii="Times New Roman" w:hAnsi="Times New Roman" w:cs="Times New Roman"/>
          <w:bCs/>
          <w:color w:val="000000" w:themeColor="text1"/>
          <w:highlight w:val="none"/>
          <w14:textFill>
            <w14:solidFill>
              <w14:schemeClr w14:val="tx1"/>
            </w14:solidFill>
          </w14:textFill>
        </w:rPr>
        <w:t>采用后浇混凝土连接时，连接处后浇混凝土的强度应符合设计要求。</w:t>
      </w:r>
      <w:bookmarkEnd w:id="1118"/>
      <w:bookmarkEnd w:id="1119"/>
    </w:p>
    <w:p>
      <w:pPr>
        <w:ind w:firstLine="422"/>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检查数量</w:t>
      </w:r>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按批检验</w:t>
      </w:r>
      <w:r>
        <w:rPr>
          <w:rFonts w:hint="default" w:ascii="Times New Roman" w:hAnsi="Times New Roman" w:cs="Times New Roman"/>
          <w:bCs/>
          <w:color w:val="000000" w:themeColor="text1"/>
          <w:highlight w:val="none"/>
          <w:lang w:eastAsia="zh-CN"/>
          <w14:textFill>
            <w14:solidFill>
              <w14:schemeClr w14:val="tx1"/>
            </w14:solidFill>
          </w14:textFill>
        </w:rPr>
        <w:t>。</w:t>
      </w:r>
    </w:p>
    <w:p>
      <w:pPr>
        <w:ind w:firstLine="422"/>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检验方法：应符合现行国家标准《混凝土强度检验评定标准》GB/T</w:t>
      </w:r>
      <w:r>
        <w:rPr>
          <w:rFonts w:hint="default" w:ascii="Times New Roman" w:hAnsi="Times New Roman" w:cs="Times New Roman"/>
          <w:bCs/>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50107的有关规定。</w:t>
      </w:r>
    </w:p>
    <w:p>
      <w:pPr>
        <w:ind w:firstLine="0"/>
        <w:rPr>
          <w:rFonts w:hint="default" w:ascii="Times New Roman" w:hAnsi="Times New Roman" w:cs="Times New Roman"/>
          <w:bCs/>
          <w:color w:val="000000" w:themeColor="text1"/>
          <w:highlight w:val="none"/>
          <w14:textFill>
            <w14:solidFill>
              <w14:schemeClr w14:val="tx1"/>
            </w14:solidFill>
          </w14:textFill>
        </w:rPr>
      </w:pPr>
      <w:bookmarkStart w:id="1120" w:name="_Toc11197"/>
      <w:bookmarkStart w:id="1121" w:name="_Toc10902"/>
      <w:r>
        <w:rPr>
          <w:rFonts w:hint="default" w:ascii="Times New Roman" w:hAnsi="Times New Roman" w:cs="Times New Roman"/>
          <w:b/>
          <w:color w:val="000000" w:themeColor="text1"/>
          <w:highlight w:val="none"/>
          <w14:textFill>
            <w14:solidFill>
              <w14:schemeClr w14:val="tx1"/>
            </w14:solidFill>
          </w14:textFill>
        </w:rPr>
        <w:t>10.3.</w:t>
      </w:r>
      <w:r>
        <w:rPr>
          <w:rFonts w:hint="default" w:ascii="Times New Roman" w:hAnsi="Times New Roman" w:cs="Times New Roman"/>
          <w:b/>
          <w:color w:val="000000" w:themeColor="text1"/>
          <w:highlight w:val="none"/>
          <w:lang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lang w:val="en-US" w:eastAsia="zh-CN"/>
          <w14:textFill>
            <w14:solidFill>
              <w14:schemeClr w14:val="tx1"/>
            </w14:solidFill>
          </w14:textFill>
        </w:rPr>
        <w:t>模块</w:t>
      </w:r>
      <w:r>
        <w:rPr>
          <w:rFonts w:hint="default" w:ascii="Times New Roman" w:hAnsi="Times New Roman" w:cs="Times New Roman"/>
          <w:color w:val="000000" w:themeColor="text1"/>
          <w:highlight w:val="none"/>
          <w14:textFill>
            <w14:solidFill>
              <w14:schemeClr w14:val="tx1"/>
            </w14:solidFill>
          </w14:textFill>
        </w:rPr>
        <w:t>现浇结构使用</w:t>
      </w:r>
      <w:r>
        <w:rPr>
          <w:rFonts w:hint="default" w:ascii="Times New Roman" w:hAnsi="Times New Roman" w:cs="Times New Roman"/>
          <w:bCs/>
          <w:color w:val="000000" w:themeColor="text1"/>
          <w:highlight w:val="none"/>
          <w14:textFill>
            <w14:solidFill>
              <w14:schemeClr w14:val="tx1"/>
            </w14:solidFill>
          </w14:textFill>
        </w:rPr>
        <w:t>梁模、墙模、柱模或</w:t>
      </w:r>
      <w:r>
        <w:rPr>
          <w:rFonts w:hint="default" w:ascii="Times New Roman" w:hAnsi="Times New Roman" w:cs="Times New Roman"/>
          <w:color w:val="000000" w:themeColor="text1"/>
          <w:szCs w:val="21"/>
          <w:highlight w:val="none"/>
          <w14:textFill>
            <w14:solidFill>
              <w14:schemeClr w14:val="tx1"/>
            </w14:solidFill>
          </w14:textFill>
        </w:rPr>
        <w:t>金属波纹管</w:t>
      </w:r>
      <w:r>
        <w:rPr>
          <w:rFonts w:hint="default" w:ascii="Times New Roman" w:hAnsi="Times New Roman" w:cs="Times New Roman"/>
          <w:color w:val="000000" w:themeColor="text1"/>
          <w:highlight w:val="none"/>
          <w14:textFill>
            <w14:solidFill>
              <w14:schemeClr w14:val="tx1"/>
            </w14:solidFill>
          </w14:textFill>
        </w:rPr>
        <w:t>作为模板进行浇筑时，混凝土应浇筑密实：</w:t>
      </w:r>
      <w:bookmarkEnd w:id="1120"/>
      <w:bookmarkEnd w:id="1121"/>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检查数量：每1000平方米建筑面积检测1个构件，每层不少于3个构件。</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检验方法：超声法、阵列超声成像法</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0" w:firstLineChars="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10.3.</w:t>
      </w:r>
      <w:r>
        <w:rPr>
          <w:rFonts w:hint="default" w:ascii="Times New Roman" w:hAnsi="Times New Roman" w:cs="Times New Roman"/>
          <w:b/>
          <w:bCs/>
          <w:color w:val="000000" w:themeColor="text1"/>
          <w:highlight w:val="none"/>
          <w:lang w:eastAsia="zh-CN"/>
          <w14:textFill>
            <w14:solidFill>
              <w14:schemeClr w14:val="tx1"/>
            </w14:solidFill>
          </w14:textFill>
        </w:rPr>
        <w:t>4</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 xml:space="preserve"> 模块底部</w:t>
      </w:r>
      <w:r>
        <w:rPr>
          <w:rFonts w:hint="default" w:ascii="Times New Roman" w:hAnsi="Times New Roman" w:cs="Times New Roman"/>
          <w:bCs/>
          <w:color w:val="000000" w:themeColor="text1"/>
          <w:highlight w:val="none"/>
          <w:lang w:val="en-US" w:eastAsia="zh-CN"/>
          <w14:textFill>
            <w14:solidFill>
              <w14:schemeClr w14:val="tx1"/>
            </w14:solidFill>
          </w14:textFill>
        </w:rPr>
        <w:t>结构构件</w:t>
      </w:r>
      <w:r>
        <w:rPr>
          <w:rFonts w:hint="default" w:ascii="Times New Roman" w:hAnsi="Times New Roman" w:cs="Times New Roman"/>
          <w:bCs/>
          <w:color w:val="000000" w:themeColor="text1"/>
          <w:highlight w:val="none"/>
          <w14:textFill>
            <w14:solidFill>
              <w14:schemeClr w14:val="tx1"/>
            </w14:solidFill>
          </w14:textFill>
        </w:rPr>
        <w:t>接缝</w:t>
      </w:r>
      <w:r>
        <w:rPr>
          <w:rFonts w:hint="default" w:ascii="Times New Roman" w:hAnsi="Times New Roman" w:cs="Times New Roman"/>
          <w:bCs/>
          <w:color w:val="000000" w:themeColor="text1"/>
          <w:highlight w:val="none"/>
          <w:lang w:val="en-US" w:eastAsia="zh-CN"/>
          <w14:textFill>
            <w14:solidFill>
              <w14:schemeClr w14:val="tx1"/>
            </w14:solidFill>
          </w14:textFill>
        </w:rPr>
        <w:t>处</w:t>
      </w:r>
      <w:r>
        <w:rPr>
          <w:rFonts w:hint="default" w:ascii="Times New Roman" w:hAnsi="Times New Roman" w:cs="Times New Roman"/>
          <w:bCs/>
          <w:color w:val="000000" w:themeColor="text1"/>
          <w:highlight w:val="none"/>
          <w14:textFill>
            <w14:solidFill>
              <w14:schemeClr w14:val="tx1"/>
            </w14:solidFill>
          </w14:textFill>
        </w:rPr>
        <w:t>座浆强度应满足设计要求。</w:t>
      </w:r>
    </w:p>
    <w:p>
      <w:pPr>
        <w:ind w:firstLine="422"/>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检查数量：按批检验</w:t>
      </w:r>
      <w:r>
        <w:rPr>
          <w:rFonts w:hint="default" w:ascii="Times New Roman" w:hAnsi="Times New Roman" w:cs="Times New Roman"/>
          <w:bCs/>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检验方法：检查座浆材料强度试验报告及评定记录。</w:t>
      </w:r>
    </w:p>
    <w:p>
      <w:pPr>
        <w:ind w:firstLine="0" w:firstLineChars="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10.3.</w:t>
      </w:r>
      <w:r>
        <w:rPr>
          <w:rFonts w:hint="default" w:ascii="Times New Roman" w:hAnsi="Times New Roman" w:cs="Times New Roman"/>
          <w:b/>
          <w:bCs/>
          <w:color w:val="000000" w:themeColor="text1"/>
          <w:highlight w:val="none"/>
          <w:lang w:val="en-US" w:eastAsia="zh-CN"/>
          <w14:textFill>
            <w14:solidFill>
              <w14:schemeClr w14:val="tx1"/>
            </w14:solidFill>
          </w14:textFill>
        </w:rPr>
        <w:t>5</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 xml:space="preserve"> 钢筋采用机械连接时，其接头质量应符合现行行业标准《钢筋机械连接技术规程》JGJ107的有关规定。</w:t>
      </w:r>
    </w:p>
    <w:p>
      <w:pPr>
        <w:ind w:firstLine="422"/>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检查数量：应符合现行行业标准《钢筋机械连接技术规程》JGJ107的有关规定</w:t>
      </w:r>
      <w:r>
        <w:rPr>
          <w:rFonts w:hint="default" w:ascii="Times New Roman" w:hAnsi="Times New Roman" w:cs="Times New Roman"/>
          <w:bCs/>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检验方法：检查钢筋机械连接施工记录及平行试件的强度试验报告。</w:t>
      </w:r>
    </w:p>
    <w:p>
      <w:pPr>
        <w:ind w:firstLine="0"/>
        <w:rPr>
          <w:rFonts w:hint="default" w:ascii="Times New Roman" w:hAnsi="Times New Roman" w:cs="Times New Roman"/>
          <w:bCs/>
          <w:color w:val="000000" w:themeColor="text1"/>
          <w:highlight w:val="none"/>
          <w14:textFill>
            <w14:solidFill>
              <w14:schemeClr w14:val="tx1"/>
            </w14:solidFill>
          </w14:textFill>
        </w:rPr>
      </w:pPr>
      <w:bookmarkStart w:id="1122" w:name="_Toc17968"/>
      <w:bookmarkStart w:id="1123" w:name="_Toc7143"/>
      <w:r>
        <w:rPr>
          <w:rFonts w:hint="default" w:ascii="Times New Roman" w:hAnsi="Times New Roman" w:cs="Times New Roman"/>
          <w:b/>
          <w:bCs/>
          <w:color w:val="000000" w:themeColor="text1"/>
          <w:highlight w:val="none"/>
          <w14:textFill>
            <w14:solidFill>
              <w14:schemeClr w14:val="tx1"/>
            </w14:solidFill>
          </w14:textFill>
        </w:rPr>
        <w:t>10.3.</w:t>
      </w:r>
      <w:r>
        <w:rPr>
          <w:rFonts w:hint="default" w:ascii="Times New Roman" w:hAnsi="Times New Roman" w:cs="Times New Roman"/>
          <w:b/>
          <w:bCs/>
          <w:color w:val="000000" w:themeColor="text1"/>
          <w:highlight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模块单元的接缝处防水材料的性能及接缝防水施工质量验收应符合现行国家标准《装配式混凝土建筑技术标准》GB/T</w:t>
      </w:r>
      <w:r>
        <w:rPr>
          <w:rFonts w:hint="default" w:ascii="Times New Roman" w:hAnsi="Times New Roman" w:cs="Times New Roman"/>
          <w:bCs/>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51231 的有关规定。</w:t>
      </w:r>
      <w:bookmarkEnd w:id="1122"/>
      <w:bookmarkEnd w:id="1123"/>
    </w:p>
    <w:p>
      <w:pPr>
        <w:ind w:firstLine="422"/>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检查数量：按批检验</w:t>
      </w:r>
      <w:r>
        <w:rPr>
          <w:rFonts w:hint="default" w:ascii="Times New Roman" w:hAnsi="Times New Roman" w:cs="Times New Roman"/>
          <w:bCs/>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检验方法：检查现场淋水试验报告。</w:t>
      </w:r>
    </w:p>
    <w:p>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II  一 般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项</w:t>
      </w:r>
      <w:r>
        <w:rPr>
          <w:rFonts w:hint="default" w:ascii="Times New Roman" w:hAnsi="Times New Roman" w:eastAsia="黑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目</w:t>
      </w:r>
    </w:p>
    <w:p>
      <w:pPr>
        <w:ind w:firstLine="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10.3.</w:t>
      </w:r>
      <w:r>
        <w:rPr>
          <w:rFonts w:hint="default" w:ascii="Times New Roman" w:hAnsi="Times New Roman" w:cs="Times New Roman"/>
          <w:b/>
          <w:bCs/>
          <w:color w:val="000000" w:themeColor="text1"/>
          <w:highlight w:val="none"/>
          <w:lang w:val="en-US" w:eastAsia="zh-CN"/>
          <w14:textFill>
            <w14:solidFill>
              <w14:schemeClr w14:val="tx1"/>
            </w14:solidFill>
          </w14:textFill>
        </w:rPr>
        <w:t>7</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 xml:space="preserve"> 模块临时固定措施应符合设计、专项施工方案要求及国家现行有关标准的规定</w:t>
      </w:r>
    </w:p>
    <w:p>
      <w:pPr>
        <w:ind w:firstLine="422"/>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检查数量：全数检查</w:t>
      </w:r>
      <w:r>
        <w:rPr>
          <w:rFonts w:hint="default" w:ascii="Times New Roman" w:hAnsi="Times New Roman" w:cs="Times New Roman"/>
          <w:bCs/>
          <w:color w:val="000000" w:themeColor="text1"/>
          <w:highlight w:val="none"/>
          <w:lang w:val="en-US" w:eastAsia="zh-CN"/>
          <w14:textFill>
            <w14:solidFill>
              <w14:schemeClr w14:val="tx1"/>
            </w14:solidFill>
          </w14:textFill>
        </w:rPr>
        <w:t xml:space="preserve"> 。</w:t>
      </w:r>
    </w:p>
    <w:p>
      <w:pPr>
        <w:ind w:firstLine="422"/>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检验方法：观察检查、检查施工方案、施工记录或设计文件。</w:t>
      </w:r>
    </w:p>
    <w:p>
      <w:pPr>
        <w:ind w:firstLine="0"/>
        <w:rPr>
          <w:rFonts w:hint="default" w:ascii="Times New Roman" w:hAnsi="Times New Roman" w:cs="Times New Roman"/>
          <w:bCs/>
          <w:color w:val="000000" w:themeColor="text1"/>
          <w:highlight w:val="none"/>
          <w14:textFill>
            <w14:solidFill>
              <w14:schemeClr w14:val="tx1"/>
            </w14:solidFill>
          </w14:textFill>
        </w:rPr>
      </w:pPr>
      <w:bookmarkStart w:id="1124" w:name="_Toc21542"/>
      <w:bookmarkStart w:id="1125" w:name="_Toc3303"/>
      <w:r>
        <w:rPr>
          <w:rFonts w:hint="default" w:ascii="Times New Roman" w:hAnsi="Times New Roman" w:cs="Times New Roman"/>
          <w:b/>
          <w:bCs/>
          <w:color w:val="000000" w:themeColor="text1"/>
          <w:highlight w:val="none"/>
          <w14:textFill>
            <w14:solidFill>
              <w14:schemeClr w14:val="tx1"/>
            </w14:solidFill>
          </w14:textFill>
        </w:rPr>
        <w:t>10.3.</w:t>
      </w:r>
      <w:r>
        <w:rPr>
          <w:rFonts w:hint="default" w:ascii="Times New Roman" w:hAnsi="Times New Roman" w:cs="Times New Roman"/>
          <w:b/>
          <w:bCs/>
          <w:color w:val="000000" w:themeColor="text1"/>
          <w:highlight w:val="none"/>
          <w:lang w:val="en-US" w:eastAsia="zh-CN"/>
          <w14:textFill>
            <w14:solidFill>
              <w14:schemeClr w14:val="tx1"/>
            </w14:solidFill>
          </w14:textFill>
        </w:rPr>
        <w:t>8</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模块单元组合安装完成后，应按现行规范及设计要求，对成品进行检查验收，检查内容包括：模块间连接质量、模块尺寸</w:t>
      </w:r>
      <w:r>
        <w:rPr>
          <w:rFonts w:hint="default" w:ascii="Times New Roman" w:hAnsi="Times New Roman" w:cs="Times New Roman"/>
          <w:bCs/>
          <w:color w:val="000000" w:themeColor="text1"/>
          <w:highlight w:val="none"/>
          <w:lang w:val="en-US" w:eastAsia="zh-CN"/>
          <w14:textFill>
            <w14:solidFill>
              <w14:schemeClr w14:val="tx1"/>
            </w14:solidFill>
          </w14:textFill>
        </w:rPr>
        <w:t>及</w:t>
      </w:r>
      <w:r>
        <w:rPr>
          <w:rFonts w:hint="default" w:ascii="Times New Roman" w:hAnsi="Times New Roman" w:cs="Times New Roman"/>
          <w:bCs/>
          <w:color w:val="000000" w:themeColor="text1"/>
          <w:highlight w:val="none"/>
          <w14:textFill>
            <w14:solidFill>
              <w14:schemeClr w14:val="tx1"/>
            </w14:solidFill>
          </w14:textFill>
        </w:rPr>
        <w:t>防水渗漏等。</w:t>
      </w:r>
      <w:bookmarkEnd w:id="1124"/>
      <w:bookmarkEnd w:id="1125"/>
    </w:p>
    <w:p>
      <w:pPr>
        <w:ind w:firstLine="420" w:firstLineChars="200"/>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检查</w:t>
      </w:r>
      <w:r>
        <w:rPr>
          <w:rFonts w:hint="default" w:ascii="Times New Roman" w:hAnsi="Times New Roman" w:cs="Times New Roman"/>
          <w:bCs w:val="0"/>
          <w:color w:val="000000" w:themeColor="text1"/>
          <w:highlight w:val="none"/>
          <w14:textFill>
            <w14:solidFill>
              <w14:schemeClr w14:val="tx1"/>
            </w14:solidFill>
          </w14:textFill>
        </w:rPr>
        <w:t>数量</w:t>
      </w:r>
      <w:r>
        <w:rPr>
          <w:rFonts w:hint="default" w:ascii="Times New Roman" w:hAnsi="Times New Roman" w:cs="Times New Roman"/>
          <w:bCs/>
          <w:color w:val="000000" w:themeColor="text1"/>
          <w:highlight w:val="none"/>
          <w14:textFill>
            <w14:solidFill>
              <w14:schemeClr w14:val="tx1"/>
            </w14:solidFill>
          </w14:textFill>
        </w:rPr>
        <w:t>：全数检查</w:t>
      </w:r>
      <w:r>
        <w:rPr>
          <w:rFonts w:hint="default" w:ascii="Times New Roman" w:hAnsi="Times New Roman" w:cs="Times New Roman"/>
          <w:bCs/>
          <w:color w:val="000000" w:themeColor="text1"/>
          <w:highlight w:val="none"/>
          <w:lang w:val="en-US" w:eastAsia="zh-CN"/>
          <w14:textFill>
            <w14:solidFill>
              <w14:schemeClr w14:val="tx1"/>
            </w14:solidFill>
          </w14:textFill>
        </w:rPr>
        <w:t>。</w:t>
      </w:r>
    </w:p>
    <w:p>
      <w:pPr>
        <w:ind w:firstLine="420"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检验方法：观察、量测，检查施工方案、施工记录或设计文件。</w:t>
      </w:r>
    </w:p>
    <w:p>
      <w:pPr>
        <w:ind w:firstLine="0" w:firstLineChars="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lang w:val="en-US" w:eastAsia="zh-CN"/>
          <w14:textFill>
            <w14:solidFill>
              <w14:schemeClr w14:val="tx1"/>
            </w14:solidFill>
          </w14:textFill>
        </w:rPr>
        <w:t>10.3.9</w:t>
      </w:r>
      <w:r>
        <w:rPr>
          <w:rFonts w:hint="default" w:ascii="Times New Roman" w:hAnsi="Times New Roman"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现浇结构部分的外观质量、位置偏差、尺寸偏差验收应符合现行国家标准</w:t>
      </w:r>
      <w:r>
        <w:rPr>
          <w:rFonts w:hint="default" w:ascii="Times New Roman" w:hAnsi="Times New Roman" w:cs="Times New Roman"/>
          <w:color w:val="000000" w:themeColor="text1"/>
          <w:highlight w:val="none"/>
          <w14:textFill>
            <w14:solidFill>
              <w14:schemeClr w14:val="tx1"/>
            </w14:solidFill>
          </w14:textFill>
        </w:rPr>
        <w:t>《混凝土结构工程施工质量验收规范》GB 50204的有关规定</w:t>
      </w:r>
      <w:r>
        <w:rPr>
          <w:rFonts w:hint="default" w:ascii="Times New Roman" w:hAnsi="Times New Roman" w:cs="Times New Roman"/>
          <w:bCs/>
          <w:color w:val="000000" w:themeColor="text1"/>
          <w:highlight w:val="none"/>
          <w14:textFill>
            <w14:solidFill>
              <w14:schemeClr w14:val="tx1"/>
            </w14:solidFill>
          </w14:textFill>
        </w:rPr>
        <w:t>；</w:t>
      </w:r>
    </w:p>
    <w:p>
      <w:pPr>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检查数量：全数检查</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0" w:firstLineChars="200"/>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检验方法：观察、尺量</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0" w:firstLineChars="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10.3.</w:t>
      </w:r>
      <w:r>
        <w:rPr>
          <w:rFonts w:hint="default" w:ascii="Times New Roman" w:hAnsi="Times New Roman" w:cs="Times New Roman"/>
          <w:b/>
          <w:bCs w:val="0"/>
          <w:color w:val="000000" w:themeColor="text1"/>
          <w:highlight w:val="none"/>
          <w:lang w:val="en-US" w:eastAsia="zh-CN"/>
          <w14:textFill>
            <w14:solidFill>
              <w14:schemeClr w14:val="tx1"/>
            </w14:solidFill>
          </w14:textFill>
        </w:rPr>
        <w:t>10</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Cs/>
          <w:color w:val="000000" w:themeColor="text1"/>
          <w:highlight w:val="none"/>
          <w14:textFill>
            <w14:solidFill>
              <w14:schemeClr w14:val="tx1"/>
            </w14:solidFill>
          </w14:textFill>
        </w:rPr>
        <w:t xml:space="preserve"> 现浇结构部分的钢筋保护层厚度检验应符合下列规定：</w:t>
      </w:r>
    </w:p>
    <w:p>
      <w:pPr>
        <w:ind w:firstLine="421"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1</w:t>
      </w:r>
      <w:r>
        <w:rPr>
          <w:rFonts w:hint="default" w:ascii="Times New Roman" w:hAnsi="Times New Roman" w:cs="Times New Roman"/>
          <w:bCs/>
          <w:color w:val="000000" w:themeColor="text1"/>
          <w:highlight w:val="none"/>
          <w14:textFill>
            <w14:solidFill>
              <w14:schemeClr w14:val="tx1"/>
            </w14:solidFill>
          </w14:textFill>
        </w:rPr>
        <w:t xml:space="preserve">  现浇结构中的梁、剪力墙和柱等构件使用梁模、墙模或柱模作为模板进行浇筑时，可不检验钢筋保护层厚度；</w:t>
      </w:r>
    </w:p>
    <w:p>
      <w:pPr>
        <w:ind w:firstLine="421"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2</w:t>
      </w:r>
      <w:r>
        <w:rPr>
          <w:rFonts w:hint="default" w:ascii="Times New Roman" w:hAnsi="Times New Roman" w:cs="Times New Roman"/>
          <w:bCs/>
          <w:color w:val="000000" w:themeColor="text1"/>
          <w:highlight w:val="none"/>
          <w14:textFill>
            <w14:solidFill>
              <w14:schemeClr w14:val="tx1"/>
            </w14:solidFill>
          </w14:textFill>
        </w:rPr>
        <w:t xml:space="preserve">  现浇结构中的梁、剪力墙和柱等构件使用其他模板进行浇筑时，其钢筋保护层厚度检验应符合《混凝土结构工程施工质量验收规范》GB 50204中的有关规定。</w:t>
      </w:r>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126" w:name="_Toc7523"/>
      <w:bookmarkStart w:id="1127" w:name="_Toc27773"/>
      <w:bookmarkStart w:id="1128" w:name="_Toc18402"/>
      <w:bookmarkStart w:id="1129" w:name="_Toc7437"/>
      <w:bookmarkStart w:id="1130" w:name="_Toc27030"/>
      <w:bookmarkStart w:id="1131" w:name="_Toc14927"/>
      <w:bookmarkStart w:id="1132" w:name="_Toc1764"/>
      <w:bookmarkStart w:id="1133" w:name="_Toc13901"/>
      <w:bookmarkStart w:id="1134" w:name="OLE_LINK10"/>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10.4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设备管线安装</w:t>
      </w:r>
      <w:bookmarkEnd w:id="1126"/>
      <w:bookmarkEnd w:id="1127"/>
      <w:bookmarkEnd w:id="1128"/>
      <w:bookmarkEnd w:id="1129"/>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及内装</w:t>
      </w:r>
      <w:bookmarkEnd w:id="1130"/>
      <w:bookmarkEnd w:id="1131"/>
      <w:bookmarkEnd w:id="1132"/>
      <w:bookmarkEnd w:id="1133"/>
    </w:p>
    <w:p>
      <w:pPr>
        <w:ind w:firstLine="0"/>
        <w:rPr>
          <w:rFonts w:hint="default" w:ascii="Times New Roman" w:hAnsi="Times New Roman" w:cs="Times New Roman"/>
          <w:color w:val="000000" w:themeColor="text1"/>
          <w:highlight w:val="none"/>
          <w14:textFill>
            <w14:solidFill>
              <w14:schemeClr w14:val="tx1"/>
            </w14:solidFill>
          </w14:textFill>
        </w:rPr>
      </w:pPr>
      <w:bookmarkStart w:id="1135" w:name="_Toc14682"/>
      <w:bookmarkStart w:id="1136" w:name="_Toc20933"/>
      <w:r>
        <w:rPr>
          <w:rFonts w:hint="default" w:ascii="Times New Roman" w:hAnsi="Times New Roman" w:cs="Times New Roman"/>
          <w:b/>
          <w:bCs/>
          <w:color w:val="000000" w:themeColor="text1"/>
          <w:highlight w:val="none"/>
          <w14:textFill>
            <w14:solidFill>
              <w14:schemeClr w14:val="tx1"/>
            </w14:solidFill>
          </w14:textFill>
        </w:rPr>
        <w:t xml:space="preserve">10.4.1  </w:t>
      </w:r>
      <w:r>
        <w:rPr>
          <w:rFonts w:hint="default" w:ascii="Times New Roman" w:hAnsi="Times New Roman" w:cs="Times New Roman"/>
          <w:color w:val="000000" w:themeColor="text1"/>
          <w:highlight w:val="none"/>
          <w14:textFill>
            <w14:solidFill>
              <w14:schemeClr w14:val="tx1"/>
            </w14:solidFill>
          </w14:textFill>
        </w:rPr>
        <w:t>模块</w:t>
      </w:r>
      <w:r>
        <w:rPr>
          <w:rFonts w:hint="default" w:ascii="Times New Roman" w:hAnsi="Times New Roman" w:cs="Times New Roman"/>
          <w:bCs/>
          <w:color w:val="000000" w:themeColor="text1"/>
          <w:highlight w:val="none"/>
          <w14:textFill>
            <w14:solidFill>
              <w14:schemeClr w14:val="tx1"/>
            </w14:solidFill>
          </w14:textFill>
        </w:rPr>
        <w:t>给</w:t>
      </w:r>
      <w:r>
        <w:rPr>
          <w:rFonts w:hint="default" w:ascii="Times New Roman" w:hAnsi="Times New Roman" w:cs="Times New Roman"/>
          <w:color w:val="000000" w:themeColor="text1"/>
          <w:highlight w:val="none"/>
          <w14:textFill>
            <w14:solidFill>
              <w14:schemeClr w14:val="tx1"/>
            </w14:solidFill>
          </w14:textFill>
        </w:rPr>
        <w:t>排水系统的施工质量要求和验收标准应符合现行国家标准《建筑给水排水及采暖工程施工质量验收规范》GB 50242 的有关规定，并应满足</w:t>
      </w:r>
      <w:r>
        <w:rPr>
          <w:rFonts w:hint="default" w:ascii="Times New Roman" w:hAnsi="Times New Roman" w:cs="Times New Roman"/>
          <w:color w:val="000000" w:themeColor="text1"/>
          <w:highlight w:val="none"/>
          <w:lang w:val="en-US" w:eastAsia="zh-CN"/>
          <w14:textFill>
            <w14:solidFill>
              <w14:schemeClr w14:val="tx1"/>
            </w14:solidFill>
          </w14:textFill>
        </w:rPr>
        <w:t>以下规定</w:t>
      </w:r>
      <w:r>
        <w:rPr>
          <w:rFonts w:hint="default" w:ascii="Times New Roman" w:hAnsi="Times New Roman" w:cs="Times New Roman"/>
          <w:color w:val="000000" w:themeColor="text1"/>
          <w:highlight w:val="none"/>
          <w14:textFill>
            <w14:solidFill>
              <w14:schemeClr w14:val="tx1"/>
            </w14:solidFill>
          </w14:textFill>
        </w:rPr>
        <w:t>：</w:t>
      </w:r>
      <w:bookmarkEnd w:id="1135"/>
      <w:bookmarkEnd w:id="1136"/>
    </w:p>
    <w:bookmarkEnd w:id="1134"/>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给排水</w:t>
      </w:r>
      <w:r>
        <w:rPr>
          <w:rFonts w:hint="default" w:ascii="Times New Roman" w:hAnsi="Times New Roman" w:cs="Times New Roman"/>
          <w:bCs/>
          <w:color w:val="000000" w:themeColor="text1"/>
          <w:highlight w:val="none"/>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及配件的安装应位置准确、平整牢固，用观察和尺量检查施工质量</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给水管道应进行加压测试，各连接处不应有渗漏，用观察法检查施工质量</w:t>
      </w:r>
      <w:r>
        <w:rPr>
          <w:rFonts w:hint="default" w:ascii="Times New Roman" w:hAnsi="Times New Roman" w:cs="Times New Roman"/>
          <w:color w:val="000000" w:themeColor="text1"/>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排水管道应进行水密性测试，堵住除通气出口外的所有出口，在检测系统内灌满水保持15min，各连接处不应有渗漏，用观察法检查施工质量；</w:t>
      </w:r>
    </w:p>
    <w:p>
      <w:pPr>
        <w:ind w:firstLine="421" w:firstLineChars="200"/>
        <w:rPr>
          <w:rFonts w:hint="default" w:ascii="Times New Roman" w:hAnsi="Times New Roman" w:eastAsia="宋体"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4</w:t>
      </w:r>
      <w:r>
        <w:rPr>
          <w:rFonts w:hint="default" w:ascii="Times New Roman" w:hAnsi="Times New Roman" w:cs="Times New Roman"/>
          <w:color w:val="000000" w:themeColor="text1"/>
          <w:szCs w:val="24"/>
          <w:highlight w:val="none"/>
          <w14:textFill>
            <w14:solidFill>
              <w14:schemeClr w14:val="tx1"/>
            </w14:solidFill>
          </w14:textFill>
        </w:rPr>
        <w:t xml:space="preserve"> </w:t>
      </w:r>
      <w:r>
        <w:rPr>
          <w:rFonts w:hint="default" w:ascii="Times New Roman" w:hAnsi="Times New Roman" w:cs="Times New Roman"/>
          <w:color w:val="000000" w:themeColor="text1"/>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4"/>
          <w:highlight w:val="none"/>
          <w14:textFill>
            <w14:solidFill>
              <w14:schemeClr w14:val="tx1"/>
            </w14:solidFill>
          </w14:textFill>
        </w:rPr>
        <w:t>排水管道安装完成后，应检测立管的垂直度及水平管的坡度</w:t>
      </w:r>
      <w:r>
        <w:rPr>
          <w:rFonts w:hint="default" w:ascii="Times New Roman" w:hAnsi="Times New Roman" w:cs="Times New Roman"/>
          <w:color w:val="000000" w:themeColor="text1"/>
          <w:szCs w:val="24"/>
          <w:highlight w:val="none"/>
          <w:lang w:eastAsia="zh-CN"/>
          <w14:textFill>
            <w14:solidFill>
              <w14:schemeClr w14:val="tx1"/>
            </w14:solidFill>
          </w14:textFill>
        </w:rPr>
        <w:t>；</w:t>
      </w:r>
    </w:p>
    <w:p>
      <w:pPr>
        <w:ind w:firstLine="421"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5</w:t>
      </w:r>
      <w:r>
        <w:rPr>
          <w:rFonts w:hint="default" w:ascii="Times New Roman" w:hAnsi="Times New Roman" w:cs="Times New Roman"/>
          <w:color w:val="000000" w:themeColor="text1"/>
          <w:szCs w:val="24"/>
          <w:highlight w:val="none"/>
          <w14:textFill>
            <w14:solidFill>
              <w14:schemeClr w14:val="tx1"/>
            </w14:solidFill>
          </w14:textFill>
        </w:rPr>
        <w:t xml:space="preserve"> </w:t>
      </w:r>
      <w:r>
        <w:rPr>
          <w:rFonts w:hint="default" w:ascii="Times New Roman" w:hAnsi="Times New Roman" w:cs="Times New Roman"/>
          <w:color w:val="000000" w:themeColor="text1"/>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4"/>
          <w:highlight w:val="none"/>
          <w14:textFill>
            <w14:solidFill>
              <w14:schemeClr w14:val="tx1"/>
            </w14:solidFill>
          </w14:textFill>
        </w:rPr>
        <w:t>排水管道安装完成后应进行整个排水系统的灌水及通球试验；给水管道应进行整个系统的严密性及强度试验，试验结果应满足设计要求。</w:t>
      </w:r>
    </w:p>
    <w:p>
      <w:pPr>
        <w:ind w:firstLine="0"/>
        <w:rPr>
          <w:rFonts w:hint="default" w:ascii="Times New Roman" w:hAnsi="Times New Roman" w:cs="Times New Roman"/>
          <w:color w:val="000000" w:themeColor="text1"/>
          <w:szCs w:val="24"/>
          <w:highlight w:val="none"/>
          <w14:textFill>
            <w14:solidFill>
              <w14:schemeClr w14:val="tx1"/>
            </w14:solidFill>
          </w14:textFill>
        </w:rPr>
      </w:pPr>
      <w:bookmarkStart w:id="1137" w:name="_Toc831"/>
      <w:bookmarkStart w:id="1138" w:name="_Toc18267"/>
      <w:r>
        <w:rPr>
          <w:rFonts w:hint="default" w:ascii="Times New Roman" w:hAnsi="Times New Roman" w:cs="Times New Roman"/>
          <w:b/>
          <w:bCs/>
          <w:color w:val="000000" w:themeColor="text1"/>
          <w:szCs w:val="24"/>
          <w:highlight w:val="none"/>
          <w14:textFill>
            <w14:solidFill>
              <w14:schemeClr w14:val="tx1"/>
            </w14:solidFill>
          </w14:textFill>
        </w:rPr>
        <w:t xml:space="preserve">10.4.2  </w:t>
      </w:r>
      <w:r>
        <w:rPr>
          <w:rFonts w:hint="default" w:ascii="Times New Roman" w:hAnsi="Times New Roman" w:cs="Times New Roman"/>
          <w:color w:val="000000" w:themeColor="text1"/>
          <w:szCs w:val="24"/>
          <w:highlight w:val="none"/>
          <w14:textFill>
            <w14:solidFill>
              <w14:schemeClr w14:val="tx1"/>
            </w14:solidFill>
          </w14:textFill>
        </w:rPr>
        <w:t>模块内电气系统、电气装置等的检测应符合现行国家标准《建筑电气工程施工质量验收规范》GB 50303 的有关规定。</w:t>
      </w:r>
      <w:bookmarkEnd w:id="1137"/>
      <w:bookmarkEnd w:id="1138"/>
    </w:p>
    <w:p>
      <w:pPr>
        <w:widowControl/>
        <w:spacing w:line="360" w:lineRule="exact"/>
        <w:ind w:firstLine="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 xml:space="preserve">10.4.3  </w:t>
      </w:r>
      <w:r>
        <w:rPr>
          <w:rFonts w:hint="default" w:ascii="Times New Roman" w:hAnsi="Times New Roman" w:cs="Times New Roman"/>
          <w:color w:val="000000" w:themeColor="text1"/>
          <w:highlight w:val="none"/>
          <w14:textFill>
            <w14:solidFill>
              <w14:schemeClr w14:val="tx1"/>
            </w14:solidFill>
          </w14:textFill>
        </w:rPr>
        <w:t>模块内暖通、通风系统的施工质量要求和验收标准应符合现行国家标准《通风与空调工程施工质量验收规范》GB 50243的有关规定。</w:t>
      </w:r>
    </w:p>
    <w:p>
      <w:pPr>
        <w:ind w:firstLine="0"/>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w:t>
      </w:r>
      <w:r>
        <w:rPr>
          <w:rFonts w:hint="default" w:ascii="Times New Roman" w:hAnsi="Times New Roman" w:cs="Times New Roman"/>
          <w:b/>
          <w:bCs/>
          <w:color w:val="000000" w:themeColor="text1"/>
          <w:highlight w:val="none"/>
          <w:lang w:val="en-US" w:eastAsia="zh-CN"/>
          <w14:textFill>
            <w14:solidFill>
              <w14:schemeClr w14:val="tx1"/>
            </w14:solidFill>
          </w14:textFill>
        </w:rPr>
        <w:t>4</w:t>
      </w:r>
      <w:r>
        <w:rPr>
          <w:rFonts w:hint="default" w:ascii="Times New Roman" w:hAnsi="Times New Roman" w:cs="Times New Roman"/>
          <w:b/>
          <w:bCs/>
          <w:color w:val="000000" w:themeColor="text1"/>
          <w:highlight w:val="none"/>
          <w14:textFill>
            <w14:solidFill>
              <w14:schemeClr w14:val="tx1"/>
            </w14:solidFill>
          </w14:textFill>
        </w:rPr>
        <w:t>.</w:t>
      </w:r>
      <w:r>
        <w:rPr>
          <w:rFonts w:hint="default" w:ascii="Times New Roman" w:hAnsi="Times New Roman" w:cs="Times New Roman"/>
          <w:b/>
          <w:bCs/>
          <w:color w:val="000000" w:themeColor="text1"/>
          <w:highlight w:val="none"/>
          <w:lang w:val="en-US" w:eastAsia="zh-CN"/>
          <w14:textFill>
            <w14:solidFill>
              <w14:schemeClr w14:val="tx1"/>
            </w14:solidFill>
          </w14:textFill>
        </w:rPr>
        <w:t>4</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 w:val="0"/>
          <w:bCs/>
          <w:color w:val="000000" w:themeColor="text1"/>
          <w:highlight w:val="none"/>
          <w:lang w:val="en-US" w:eastAsia="zh-CN"/>
          <w14:textFill>
            <w14:solidFill>
              <w14:schemeClr w14:val="tx1"/>
            </w14:solidFill>
          </w14:textFill>
        </w:rPr>
        <w:t>模块内</w:t>
      </w:r>
      <w:r>
        <w:rPr>
          <w:rFonts w:hint="default" w:ascii="Times New Roman" w:hAnsi="Times New Roman" w:cs="Times New Roman"/>
          <w:b w:val="0"/>
          <w:bCs/>
          <w:color w:val="000000" w:themeColor="text1"/>
          <w:highlight w:val="none"/>
          <w14:textFill>
            <w14:solidFill>
              <w14:schemeClr w14:val="tx1"/>
            </w14:solidFill>
          </w14:textFill>
        </w:rPr>
        <w:t>集成式卫生间、厨房地面的防水应进行24h蓄水试验，并出具蓄水试验报告，其排水坡度、通风装置、安装及检修用管道空间、地面防水层均应符合设计要求和现行标准规范的有关规定</w:t>
      </w:r>
      <w:r>
        <w:rPr>
          <w:rFonts w:hint="default" w:ascii="Times New Roman" w:hAnsi="Times New Roman" w:cs="Times New Roman"/>
          <w:b w:val="0"/>
          <w:bCs/>
          <w:color w:val="000000" w:themeColor="text1"/>
          <w:highlight w:val="none"/>
          <w:lang w:eastAsia="zh-CN"/>
          <w14:textFill>
            <w14:solidFill>
              <w14:schemeClr w14:val="tx1"/>
            </w14:solidFill>
          </w14:textFill>
        </w:rPr>
        <w:t>。</w:t>
      </w:r>
    </w:p>
    <w:p>
      <w:pPr>
        <w:ind w:firstLine="0"/>
        <w:rPr>
          <w:rFonts w:hint="default" w:ascii="Times New Roman" w:hAnsi="Times New Roman" w:cs="Times New Roman"/>
          <w:b w:val="0"/>
          <w:bCs/>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lang w:val="en-US" w:eastAsia="zh-CN"/>
          <w14:textFill>
            <w14:solidFill>
              <w14:schemeClr w14:val="tx1"/>
            </w14:solidFill>
          </w14:textFill>
        </w:rPr>
        <w:t xml:space="preserve">10.4.5 </w:t>
      </w:r>
      <w:r>
        <w:rPr>
          <w:rFonts w:hint="default" w:ascii="Times New Roman" w:hAnsi="Times New Roman" w:cs="Times New Roman"/>
          <w:b w:val="0"/>
          <w:bCs/>
          <w:color w:val="000000" w:themeColor="text1"/>
          <w:highlight w:val="none"/>
          <w14:textFill>
            <w14:solidFill>
              <w14:schemeClr w14:val="tx1"/>
            </w14:solidFill>
          </w14:textFill>
        </w:rPr>
        <w:t>模块单元组合安装完成后，应按现行规范及设计要求，对成品</w:t>
      </w:r>
      <w:r>
        <w:rPr>
          <w:rFonts w:hint="default" w:ascii="Times New Roman" w:hAnsi="Times New Roman" w:cs="Times New Roman"/>
          <w:b w:val="0"/>
          <w:bCs/>
          <w:color w:val="000000" w:themeColor="text1"/>
          <w:highlight w:val="none"/>
          <w:lang w:val="en-US" w:eastAsia="zh-CN"/>
          <w14:textFill>
            <w14:solidFill>
              <w14:schemeClr w14:val="tx1"/>
            </w14:solidFill>
          </w14:textFill>
        </w:rPr>
        <w:t>设备管线及内装</w:t>
      </w:r>
      <w:r>
        <w:rPr>
          <w:rFonts w:hint="default" w:ascii="Times New Roman" w:hAnsi="Times New Roman" w:cs="Times New Roman"/>
          <w:b w:val="0"/>
          <w:bCs/>
          <w:color w:val="000000" w:themeColor="text1"/>
          <w:highlight w:val="none"/>
          <w14:textFill>
            <w14:solidFill>
              <w14:schemeClr w14:val="tx1"/>
            </w14:solidFill>
          </w14:textFill>
        </w:rPr>
        <w:t>进行检查验收，检查内容包括：</w:t>
      </w:r>
      <w:r>
        <w:rPr>
          <w:rFonts w:hint="default" w:ascii="Times New Roman" w:hAnsi="Times New Roman" w:cs="Times New Roman"/>
          <w:b w:val="0"/>
          <w:bCs/>
          <w:color w:val="000000" w:themeColor="text1"/>
          <w:highlight w:val="none"/>
          <w:lang w:val="en-US" w:eastAsia="zh-CN"/>
          <w14:textFill>
            <w14:solidFill>
              <w14:schemeClr w14:val="tx1"/>
            </w14:solidFill>
          </w14:textFill>
        </w:rPr>
        <w:t>机电管线连接质量</w:t>
      </w:r>
      <w:r>
        <w:rPr>
          <w:rFonts w:hint="default" w:ascii="Times New Roman" w:hAnsi="Times New Roman" w:cs="Times New Roman"/>
          <w:b w:val="0"/>
          <w:bCs/>
          <w:color w:val="000000" w:themeColor="text1"/>
          <w:highlight w:val="none"/>
          <w14:textFill>
            <w14:solidFill>
              <w14:schemeClr w14:val="tx1"/>
            </w14:solidFill>
          </w14:textFill>
        </w:rPr>
        <w:t>、室内给水排水检验、电器检验</w:t>
      </w:r>
      <w:r>
        <w:rPr>
          <w:rFonts w:hint="default" w:ascii="Times New Roman" w:hAnsi="Times New Roman" w:cs="Times New Roman"/>
          <w:b w:val="0"/>
          <w:bCs/>
          <w:color w:val="000000" w:themeColor="text1"/>
          <w:highlight w:val="none"/>
          <w:lang w:val="en-US" w:eastAsia="zh-CN"/>
          <w14:textFill>
            <w14:solidFill>
              <w14:schemeClr w14:val="tx1"/>
            </w14:solidFill>
          </w14:textFill>
        </w:rPr>
        <w:t>及内装接缝质量</w:t>
      </w:r>
      <w:r>
        <w:rPr>
          <w:rFonts w:hint="default" w:ascii="Times New Roman" w:hAnsi="Times New Roman" w:cs="Times New Roman"/>
          <w:b w:val="0"/>
          <w:bCs/>
          <w:color w:val="000000" w:themeColor="text1"/>
          <w:highlight w:val="none"/>
          <w14:textFill>
            <w14:solidFill>
              <w14:schemeClr w14:val="tx1"/>
            </w14:solidFill>
          </w14:textFill>
        </w:rPr>
        <w:t>等。</w:t>
      </w:r>
    </w:p>
    <w:p>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139" w:name="_Toc18518"/>
      <w:bookmarkStart w:id="1140" w:name="_Toc14711"/>
      <w:bookmarkStart w:id="1141" w:name="_Toc22662"/>
      <w:bookmarkStart w:id="1142" w:name="_Toc10853"/>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10.5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实</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体</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检</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验</w:t>
      </w:r>
      <w:bookmarkEnd w:id="1139"/>
      <w:bookmarkEnd w:id="1140"/>
      <w:bookmarkEnd w:id="1141"/>
      <w:bookmarkEnd w:id="1142"/>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 xml:space="preserve">10.5.1  </w:t>
      </w:r>
      <w:r>
        <w:rPr>
          <w:rFonts w:hint="default" w:ascii="Times New Roman" w:hAnsi="Times New Roman" w:cs="Times New Roman"/>
          <w:color w:val="000000" w:themeColor="text1"/>
          <w:highlight w:val="none"/>
          <w14:textFill>
            <w14:solidFill>
              <w14:schemeClr w14:val="tx1"/>
            </w14:solidFill>
          </w14:textFill>
        </w:rPr>
        <w:t>混凝土模块空腔内的后浇混凝土应密实。</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检查数量：应符合现行国家标准《装配式住宅建筑检测技术标准》JGJ</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T 485有关要求。</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检验方法：超声法、阵列超声成像法、冲击回波法检测</w:t>
      </w:r>
      <w:r>
        <w:rPr>
          <w:rFonts w:hint="default" w:ascii="Times New Roman" w:hAnsi="Times New Roman" w:cs="Times New Roman"/>
          <w:color w:val="000000" w:themeColor="text1"/>
          <w:highlight w:val="none"/>
          <w:lang w:eastAsia="zh-CN"/>
          <w14:textFill>
            <w14:solidFill>
              <w14:schemeClr w14:val="tx1"/>
            </w14:solidFill>
          </w14:textFill>
        </w:rPr>
        <w:t>，必要时采用局部破损法对超声法检测结果进行验证</w:t>
      </w:r>
      <w:r>
        <w:rPr>
          <w:rFonts w:hint="default" w:ascii="Times New Roman" w:hAnsi="Times New Roman" w:cs="Times New Roman"/>
          <w:color w:val="000000" w:themeColor="text1"/>
          <w:highlight w:val="none"/>
          <w14:textFill>
            <w14:solidFill>
              <w14:schemeClr w14:val="tx1"/>
            </w14:solidFill>
          </w14:textFill>
        </w:rPr>
        <w:t>。</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10.5.2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现浇混凝土强度应按不同强度等级分别检验。</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检查数量：应符合现行国家标准《混凝土结构工程施工质量验收规范》GB50204有关要求。</w:t>
      </w:r>
    </w:p>
    <w:p>
      <w:pPr>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检查方法：对混凝土外露部位采用回弹法进行检测，当回弹检测强度不满足设计要求时采用钻芯法进行检测。</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10.5.3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 xml:space="preserve"> 外墙接缝处应进行渗漏试验，试验前应关闭窗户，封闭各种预留洞口，检查雨后渗漏现象或现场淋水检验记录。</w:t>
      </w:r>
    </w:p>
    <w:p>
      <w:pPr>
        <w:ind w:firstLine="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 xml:space="preserve">10.5.4  </w:t>
      </w:r>
      <w:r>
        <w:rPr>
          <w:rFonts w:hint="default" w:ascii="Times New Roman" w:hAnsi="Times New Roman" w:cs="Times New Roman"/>
          <w:color w:val="000000" w:themeColor="text1"/>
          <w:highlight w:val="none"/>
          <w14:textFill>
            <w14:solidFill>
              <w14:schemeClr w14:val="tx1"/>
            </w14:solidFill>
          </w14:textFill>
        </w:rPr>
        <w:t>钢筋工程、混凝土工程</w:t>
      </w:r>
      <w:r>
        <w:rPr>
          <w:rFonts w:hint="default" w:ascii="Times New Roman" w:hAnsi="Times New Roman" w:cs="Times New Roman"/>
          <w:color w:val="000000" w:themeColor="text1"/>
          <w:highlight w:val="none"/>
          <w:lang w:val="en-US" w:eastAsia="zh-CN"/>
          <w14:textFill>
            <w14:solidFill>
              <w14:schemeClr w14:val="tx1"/>
            </w14:solidFill>
          </w14:textFill>
        </w:rPr>
        <w:t>等质量验收除满足本标准外，尚</w:t>
      </w:r>
      <w:r>
        <w:rPr>
          <w:rFonts w:hint="default" w:ascii="Times New Roman" w:hAnsi="Times New Roman" w:cs="Times New Roman"/>
          <w:color w:val="000000" w:themeColor="text1"/>
          <w:highlight w:val="none"/>
          <w14:textFill>
            <w14:solidFill>
              <w14:schemeClr w14:val="tx1"/>
            </w14:solidFill>
          </w14:textFill>
        </w:rPr>
        <w:t>应符合现行国家标准《混凝土结构工程施工质量验收规范》GB 50204 中的有关规定。</w:t>
      </w:r>
    </w:p>
    <w:bookmarkEnd w:id="954"/>
    <w:bookmarkEnd w:id="955"/>
    <w:bookmarkEnd w:id="956"/>
    <w:bookmarkEnd w:id="957"/>
    <w:p>
      <w:pPr>
        <w:rPr>
          <w:rFonts w:hint="default" w:ascii="Times New Roman" w:hAnsi="Times New Roman" w:cs="Times New Roman"/>
          <w:color w:val="000000" w:themeColor="text1"/>
          <w:highlight w:val="none"/>
          <w14:textFill>
            <w14:solidFill>
              <w14:schemeClr w14:val="tx1"/>
            </w14:solidFill>
          </w14:textFill>
        </w:rPr>
      </w:pPr>
    </w:p>
    <w:p>
      <w:pPr>
        <w:widowControl/>
        <w:spacing w:line="360" w:lineRule="exact"/>
        <w:jc w:val="left"/>
        <w:rPr>
          <w:rFonts w:hint="default" w:ascii="Times New Roman" w:hAnsi="Times New Roman" w:eastAsia="黑体" w:cs="Times New Roman"/>
          <w:bCs/>
          <w:color w:val="000000" w:themeColor="text1"/>
          <w:sz w:val="18"/>
          <w:szCs w:val="18"/>
          <w:highlight w:val="none"/>
          <w14:textFill>
            <w14:solidFill>
              <w14:schemeClr w14:val="tx1"/>
            </w14:solidFill>
          </w14:textFill>
        </w:rPr>
      </w:pPr>
      <w:r>
        <w:rPr>
          <w:rFonts w:hint="default" w:ascii="Times New Roman" w:hAnsi="Times New Roman" w:eastAsia="黑体" w:cs="Times New Roman"/>
          <w:bCs/>
          <w:color w:val="000000" w:themeColor="text1"/>
          <w:sz w:val="18"/>
          <w:szCs w:val="18"/>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143" w:name="_Toc14666"/>
      <w:bookmarkStart w:id="1144" w:name="_Toc14669"/>
      <w:bookmarkStart w:id="1145" w:name="_Toc7219"/>
      <w:bookmarkStart w:id="1146" w:name="_Toc20825"/>
      <w:bookmarkStart w:id="1147" w:name="_Toc17095"/>
      <w:bookmarkStart w:id="1148" w:name="_Toc9371"/>
      <w:bookmarkStart w:id="1149" w:name="_Toc16428"/>
      <w:bookmarkStart w:id="1150" w:name="_Toc22751"/>
      <w:bookmarkStart w:id="1151" w:name="_Toc486"/>
      <w:r>
        <w:rPr>
          <w:rFonts w:hint="default" w:ascii="Times New Roman" w:hAnsi="Times New Roman" w:eastAsia="黑体" w:cs="Times New Roman"/>
          <w:color w:val="000000" w:themeColor="text1"/>
          <w:sz w:val="28"/>
          <w:szCs w:val="28"/>
          <w:highlight w:val="none"/>
          <w14:textFill>
            <w14:solidFill>
              <w14:schemeClr w14:val="tx1"/>
            </w14:solidFill>
          </w14:textFill>
        </w:rPr>
        <w:t>11  智能建造</w:t>
      </w:r>
      <w:bookmarkEnd w:id="1143"/>
      <w:bookmarkEnd w:id="1144"/>
      <w:bookmarkEnd w:id="1145"/>
      <w:bookmarkEnd w:id="1146"/>
      <w:bookmarkEnd w:id="1147"/>
      <w:bookmarkEnd w:id="1148"/>
      <w:bookmarkEnd w:id="1149"/>
      <w:bookmarkEnd w:id="1150"/>
      <w:bookmarkEnd w:id="1151"/>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152" w:name="_Toc3335"/>
      <w:bookmarkStart w:id="1153" w:name="_Toc3500"/>
      <w:bookmarkStart w:id="1154" w:name="_Toc27823"/>
      <w:bookmarkStart w:id="1155" w:name="_Toc23328"/>
      <w:bookmarkStart w:id="1156" w:name="_Toc20235"/>
      <w:bookmarkStart w:id="1157" w:name="_Toc6151"/>
      <w:bookmarkStart w:id="1158" w:name="_Toc14890"/>
      <w:bookmarkStart w:id="1159" w:name="_Toc19741"/>
      <w:bookmarkStart w:id="1160" w:name="_Toc1829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11.1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 般 规 定</w:t>
      </w:r>
      <w:bookmarkEnd w:id="1152"/>
      <w:bookmarkEnd w:id="1153"/>
      <w:bookmarkEnd w:id="1154"/>
      <w:bookmarkEnd w:id="1155"/>
      <w:bookmarkEnd w:id="1156"/>
      <w:bookmarkEnd w:id="1157"/>
      <w:bookmarkEnd w:id="1158"/>
      <w:bookmarkEnd w:id="1159"/>
      <w:bookmarkEnd w:id="1160"/>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1.1</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混凝土模块化建筑的建造应采用</w:t>
      </w:r>
      <w:r>
        <w:rPr>
          <w:rFonts w:hint="default" w:ascii="Times New Roman" w:hAnsi="Times New Roman" w:cs="Times New Roman"/>
          <w:color w:val="000000" w:themeColor="text1"/>
          <w:szCs w:val="21"/>
          <w:highlight w:val="none"/>
          <w14:textFill>
            <w14:solidFill>
              <w14:schemeClr w14:val="tx1"/>
            </w14:solidFill>
          </w14:textFill>
        </w:rPr>
        <w:t>信息化管理</w:t>
      </w:r>
      <w:r>
        <w:rPr>
          <w:rFonts w:hint="default" w:ascii="Times New Roman" w:hAnsi="Times New Roman" w:cs="Times New Roman"/>
          <w:color w:val="000000" w:themeColor="text1"/>
          <w:szCs w:val="21"/>
          <w:highlight w:val="none"/>
          <w:lang w:eastAsia="zh"/>
          <w14:textFill>
            <w14:solidFill>
              <w14:schemeClr w14:val="tx1"/>
            </w14:solidFill>
          </w14:textFill>
        </w:rPr>
        <w:t>平台，并宜实现设计、</w:t>
      </w:r>
      <w:r>
        <w:rPr>
          <w:rFonts w:hint="default" w:ascii="Times New Roman" w:hAnsi="Times New Roman" w:cs="Times New Roman"/>
          <w:color w:val="000000" w:themeColor="text1"/>
          <w:szCs w:val="21"/>
          <w:highlight w:val="none"/>
          <w14:textFill>
            <w14:solidFill>
              <w14:schemeClr w14:val="tx1"/>
            </w14:solidFill>
          </w14:textFill>
        </w:rPr>
        <w:t>采购、</w:t>
      </w:r>
      <w:r>
        <w:rPr>
          <w:rFonts w:hint="default" w:ascii="Times New Roman" w:hAnsi="Times New Roman" w:cs="Times New Roman"/>
          <w:color w:val="000000" w:themeColor="text1"/>
          <w:szCs w:val="21"/>
          <w:highlight w:val="none"/>
          <w:lang w:eastAsia="zh"/>
          <w14:textFill>
            <w14:solidFill>
              <w14:schemeClr w14:val="tx1"/>
            </w14:solidFill>
          </w14:textFill>
        </w:rPr>
        <w:t>生产、运输、施工安装</w:t>
      </w:r>
      <w:r>
        <w:rPr>
          <w:rFonts w:hint="default" w:ascii="Times New Roman" w:hAnsi="Times New Roman" w:cs="Times New Roman"/>
          <w:color w:val="000000" w:themeColor="text1"/>
          <w:szCs w:val="21"/>
          <w:highlight w:val="none"/>
          <w14:textFill>
            <w14:solidFill>
              <w14:schemeClr w14:val="tx1"/>
            </w14:solidFill>
          </w14:textFill>
        </w:rPr>
        <w:t>、检测验收</w:t>
      </w:r>
      <w:r>
        <w:rPr>
          <w:rFonts w:hint="default" w:ascii="Times New Roman" w:hAnsi="Times New Roman" w:cs="Times New Roman"/>
          <w:color w:val="000000" w:themeColor="text1"/>
          <w:szCs w:val="21"/>
          <w:highlight w:val="none"/>
          <w:lang w:eastAsia="zh"/>
          <w14:textFill>
            <w14:solidFill>
              <w14:schemeClr w14:val="tx1"/>
            </w14:solidFill>
          </w14:textFill>
        </w:rPr>
        <w:t>及运维全过程数字化管理。</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1.2</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信息化管理平台的数据应长期保存，并应具备可追溯性</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eastAsia="zh"/>
          <w14:textFill>
            <w14:solidFill>
              <w14:schemeClr w14:val="tx1"/>
            </w14:solidFill>
          </w14:textFill>
        </w:rPr>
        <w:t>设计、</w:t>
      </w:r>
      <w:r>
        <w:rPr>
          <w:rFonts w:hint="default" w:ascii="Times New Roman" w:hAnsi="Times New Roman" w:cs="Times New Roman"/>
          <w:color w:val="000000" w:themeColor="text1"/>
          <w:szCs w:val="21"/>
          <w:highlight w:val="none"/>
          <w14:textFill>
            <w14:solidFill>
              <w14:schemeClr w14:val="tx1"/>
            </w14:solidFill>
          </w14:textFill>
        </w:rPr>
        <w:t>采购、</w:t>
      </w:r>
      <w:r>
        <w:rPr>
          <w:rFonts w:hint="default" w:ascii="Times New Roman" w:hAnsi="Times New Roman" w:cs="Times New Roman"/>
          <w:color w:val="000000" w:themeColor="text1"/>
          <w:szCs w:val="21"/>
          <w:highlight w:val="none"/>
          <w:lang w:eastAsia="zh"/>
          <w14:textFill>
            <w14:solidFill>
              <w14:schemeClr w14:val="tx1"/>
            </w14:solidFill>
          </w14:textFill>
        </w:rPr>
        <w:t>生产、施工、运维等各子系统数据应互联互通，数据存储方式宜采用区块链技术实现。</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161" w:name="_Toc1674"/>
      <w:bookmarkStart w:id="1162" w:name="_Toc10190"/>
      <w:bookmarkStart w:id="1163" w:name="_Toc14083"/>
      <w:bookmarkStart w:id="1164" w:name="_Toc32519"/>
      <w:bookmarkStart w:id="1165" w:name="_Toc7675"/>
      <w:bookmarkStart w:id="1166" w:name="_Toc5856"/>
      <w:bookmarkStart w:id="1167" w:name="_Toc3028"/>
      <w:bookmarkStart w:id="1168" w:name="_Toc18747"/>
      <w:bookmarkStart w:id="1169" w:name="_Toc1657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11.2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建筑信息模型</w:t>
      </w:r>
      <w:bookmarkEnd w:id="1161"/>
      <w:bookmarkEnd w:id="1162"/>
      <w:bookmarkEnd w:id="1163"/>
      <w:bookmarkEnd w:id="1164"/>
      <w:bookmarkEnd w:id="1165"/>
      <w:bookmarkEnd w:id="1166"/>
      <w:bookmarkEnd w:id="1167"/>
      <w:bookmarkEnd w:id="1168"/>
      <w:bookmarkEnd w:id="1169"/>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2.1</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混凝土模块化建筑应采用建筑信息模型</w:t>
      </w:r>
      <w:r>
        <w:rPr>
          <w:rFonts w:hint="default" w:ascii="Times New Roman" w:hAnsi="Times New Roman" w:cs="Times New Roman"/>
          <w:color w:val="000000" w:themeColor="text1"/>
          <w:szCs w:val="21"/>
          <w:highlight w:val="none"/>
          <w14:textFill>
            <w14:solidFill>
              <w14:schemeClr w14:val="tx1"/>
            </w14:solidFill>
          </w14:textFill>
        </w:rPr>
        <w:t>（BIM）</w:t>
      </w:r>
      <w:r>
        <w:rPr>
          <w:rFonts w:hint="default" w:ascii="Times New Roman" w:hAnsi="Times New Roman" w:cs="Times New Roman"/>
          <w:color w:val="000000" w:themeColor="text1"/>
          <w:szCs w:val="21"/>
          <w:highlight w:val="none"/>
          <w:lang w:eastAsia="zh"/>
          <w14:textFill>
            <w14:solidFill>
              <w14:schemeClr w14:val="tx1"/>
            </w14:solidFill>
          </w14:textFill>
        </w:rPr>
        <w:t>技术进行方案设计、</w:t>
      </w:r>
      <w:r>
        <w:rPr>
          <w:rFonts w:hint="default" w:ascii="Times New Roman" w:hAnsi="Times New Roman" w:cs="Times New Roman"/>
          <w:color w:val="000000" w:themeColor="text1"/>
          <w:szCs w:val="21"/>
          <w:highlight w:val="none"/>
          <w14:textFill>
            <w14:solidFill>
              <w14:schemeClr w14:val="tx1"/>
            </w14:solidFill>
          </w14:textFill>
        </w:rPr>
        <w:t>初步设计、</w:t>
      </w:r>
      <w:r>
        <w:rPr>
          <w:rFonts w:hint="default" w:ascii="Times New Roman" w:hAnsi="Times New Roman" w:cs="Times New Roman"/>
          <w:color w:val="000000" w:themeColor="text1"/>
          <w:szCs w:val="21"/>
          <w:highlight w:val="none"/>
          <w:lang w:eastAsia="zh"/>
          <w14:textFill>
            <w14:solidFill>
              <w14:schemeClr w14:val="tx1"/>
            </w14:solidFill>
          </w14:textFill>
        </w:rPr>
        <w:t>施工图设计及深化设计，并宜采用正向设计技术。</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2.2</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混凝土模块化建筑的建筑信息模型正向设计应符合下列规定：</w:t>
      </w:r>
    </w:p>
    <w:p>
      <w:pPr>
        <w:widowControl/>
        <w:spacing w:line="360" w:lineRule="exact"/>
        <w:ind w:firstLine="421" w:firstLineChars="200"/>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lang w:eastAsia="zh"/>
          <w14:textFill>
            <w14:solidFill>
              <w14:schemeClr w14:val="tx1"/>
            </w14:solidFill>
          </w14:textFill>
        </w:rPr>
        <w:t xml:space="preserve">1  </w:t>
      </w:r>
      <w:r>
        <w:rPr>
          <w:rFonts w:hint="default" w:ascii="Times New Roman" w:hAnsi="Times New Roman" w:cs="Times New Roman"/>
          <w:color w:val="000000" w:themeColor="text1"/>
          <w:szCs w:val="21"/>
          <w:highlight w:val="none"/>
          <w:lang w:eastAsia="zh"/>
          <w14:textFill>
            <w14:solidFill>
              <w14:schemeClr w14:val="tx1"/>
            </w14:solidFill>
          </w14:textFill>
        </w:rPr>
        <w:t>方案阶段应采用面向制造和装配的设计方法，</w:t>
      </w:r>
      <w:r>
        <w:rPr>
          <w:rFonts w:hint="default" w:ascii="Times New Roman" w:hAnsi="Times New Roman" w:cs="Times New Roman"/>
          <w:color w:val="000000" w:themeColor="text1"/>
          <w:szCs w:val="21"/>
          <w:highlight w:val="none"/>
          <w14:textFill>
            <w14:solidFill>
              <w14:schemeClr w14:val="tx1"/>
            </w14:solidFill>
          </w14:textFill>
        </w:rPr>
        <w:t>应在</w:t>
      </w:r>
      <w:r>
        <w:rPr>
          <w:rFonts w:hint="default" w:ascii="Times New Roman" w:hAnsi="Times New Roman" w:cs="Times New Roman"/>
          <w:color w:val="000000" w:themeColor="text1"/>
          <w:szCs w:val="21"/>
          <w:highlight w:val="none"/>
          <w:lang w:eastAsia="zh"/>
          <w14:textFill>
            <w14:solidFill>
              <w14:schemeClr w14:val="tx1"/>
            </w14:solidFill>
          </w14:textFill>
        </w:rPr>
        <w:t>方案设计</w:t>
      </w:r>
      <w:r>
        <w:rPr>
          <w:rFonts w:hint="default" w:ascii="Times New Roman" w:hAnsi="Times New Roman" w:cs="Times New Roman"/>
          <w:color w:val="000000" w:themeColor="text1"/>
          <w:szCs w:val="21"/>
          <w:highlight w:val="none"/>
          <w14:textFill>
            <w14:solidFill>
              <w14:schemeClr w14:val="tx1"/>
            </w14:solidFill>
          </w14:textFill>
        </w:rPr>
        <w:t>时考虑模块单元的布置与深化</w:t>
      </w:r>
      <w:r>
        <w:rPr>
          <w:rFonts w:hint="default" w:ascii="Times New Roman" w:hAnsi="Times New Roman" w:cs="Times New Roman"/>
          <w:color w:val="000000" w:themeColor="text1"/>
          <w:szCs w:val="21"/>
          <w:highlight w:val="none"/>
          <w:lang w:eastAsia="zh"/>
          <w14:textFill>
            <w14:solidFill>
              <w14:schemeClr w14:val="tx1"/>
            </w14:solidFill>
          </w14:textFill>
        </w:rPr>
        <w:t>；</w:t>
      </w:r>
    </w:p>
    <w:p>
      <w:pPr>
        <w:widowControl/>
        <w:spacing w:line="360" w:lineRule="exact"/>
        <w:ind w:firstLine="421" w:firstLineChars="200"/>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lang w:eastAsia="zh"/>
          <w14:textFill>
            <w14:solidFill>
              <w14:schemeClr w14:val="tx1"/>
            </w14:solidFill>
          </w14:textFill>
        </w:rPr>
        <w:t>2</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模块单元的深化设计，应包含</w:t>
      </w:r>
      <w:r>
        <w:rPr>
          <w:rFonts w:hint="default" w:ascii="Times New Roman" w:hAnsi="Times New Roman" w:cs="Times New Roman"/>
          <w:color w:val="000000" w:themeColor="text1"/>
          <w:szCs w:val="21"/>
          <w:highlight w:val="none"/>
          <w14:textFill>
            <w14:solidFill>
              <w14:schemeClr w14:val="tx1"/>
            </w14:solidFill>
          </w14:textFill>
        </w:rPr>
        <w:t>外围护深化、</w:t>
      </w:r>
      <w:r>
        <w:rPr>
          <w:rFonts w:hint="default" w:ascii="Times New Roman" w:hAnsi="Times New Roman" w:cs="Times New Roman"/>
          <w:color w:val="000000" w:themeColor="text1"/>
          <w:szCs w:val="21"/>
          <w:highlight w:val="none"/>
          <w:lang w:eastAsia="zh"/>
          <w14:textFill>
            <w14:solidFill>
              <w14:schemeClr w14:val="tx1"/>
            </w14:solidFill>
          </w14:textFill>
        </w:rPr>
        <w:t>结构深化、</w:t>
      </w:r>
      <w:r>
        <w:rPr>
          <w:rFonts w:hint="default" w:ascii="Times New Roman" w:hAnsi="Times New Roman" w:cs="Times New Roman"/>
          <w:color w:val="000000" w:themeColor="text1"/>
          <w:szCs w:val="21"/>
          <w:highlight w:val="none"/>
          <w14:textFill>
            <w14:solidFill>
              <w14:schemeClr w14:val="tx1"/>
            </w14:solidFill>
          </w14:textFill>
        </w:rPr>
        <w:t>机电</w:t>
      </w:r>
      <w:r>
        <w:rPr>
          <w:rFonts w:hint="default" w:ascii="Times New Roman" w:hAnsi="Times New Roman" w:cs="Times New Roman"/>
          <w:color w:val="000000" w:themeColor="text1"/>
          <w:szCs w:val="21"/>
          <w:highlight w:val="none"/>
          <w:lang w:eastAsia="zh"/>
          <w14:textFill>
            <w14:solidFill>
              <w14:schemeClr w14:val="tx1"/>
            </w14:solidFill>
          </w14:textFill>
        </w:rPr>
        <w:t>设备管线深化、</w:t>
      </w:r>
      <w:r>
        <w:rPr>
          <w:rFonts w:hint="default" w:ascii="Times New Roman" w:hAnsi="Times New Roman" w:cs="Times New Roman"/>
          <w:color w:val="000000" w:themeColor="text1"/>
          <w:szCs w:val="21"/>
          <w:highlight w:val="none"/>
          <w14:textFill>
            <w14:solidFill>
              <w14:schemeClr w14:val="tx1"/>
            </w14:solidFill>
          </w14:textFill>
        </w:rPr>
        <w:t>装饰</w:t>
      </w:r>
      <w:r>
        <w:rPr>
          <w:rFonts w:hint="default" w:ascii="Times New Roman" w:hAnsi="Times New Roman" w:cs="Times New Roman"/>
          <w:color w:val="000000" w:themeColor="text1"/>
          <w:szCs w:val="21"/>
          <w:highlight w:val="none"/>
          <w:lang w:eastAsia="zh"/>
          <w14:textFill>
            <w14:solidFill>
              <w14:schemeClr w14:val="tx1"/>
            </w14:solidFill>
          </w14:textFill>
        </w:rPr>
        <w:t>装修深化等。</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bookmarkStart w:id="1170" w:name="_Toc26053"/>
      <w:bookmarkStart w:id="1171" w:name="_Toc19039"/>
      <w:bookmarkStart w:id="1172" w:name="_Toc17353"/>
      <w:bookmarkStart w:id="1173" w:name="_Toc25423"/>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2.3</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建筑信息模型的创建应符合下列规定：</w:t>
      </w:r>
      <w:bookmarkEnd w:id="1170"/>
      <w:bookmarkEnd w:id="1171"/>
      <w:bookmarkEnd w:id="1172"/>
      <w:bookmarkEnd w:id="1173"/>
    </w:p>
    <w:p>
      <w:pPr>
        <w:widowControl/>
        <w:spacing w:line="360" w:lineRule="exact"/>
        <w:ind w:firstLine="421" w:firstLineChars="200"/>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lang w:eastAsia="zh"/>
          <w14:textFill>
            <w14:solidFill>
              <w14:schemeClr w14:val="tx1"/>
            </w14:solidFill>
          </w14:textFill>
        </w:rPr>
        <w:t>1</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建筑信息模型应根据项目的阶段和专业进行建筑信息模型创建规划，并应编写《建筑信息模型管理规则》，对模型文件采用统一的命名规则</w:t>
      </w:r>
      <w:r>
        <w:rPr>
          <w:rFonts w:hint="default" w:ascii="Times New Roman" w:hAnsi="Times New Roman" w:cs="Times New Roman"/>
          <w:color w:val="000000" w:themeColor="text1"/>
          <w:szCs w:val="21"/>
          <w:highlight w:val="none"/>
          <w14:textFill>
            <w14:solidFill>
              <w14:schemeClr w14:val="tx1"/>
            </w14:solidFill>
          </w14:textFill>
        </w:rPr>
        <w:t>、颜色规则、定位规则</w:t>
      </w:r>
      <w:r>
        <w:rPr>
          <w:rFonts w:hint="default" w:ascii="Times New Roman" w:hAnsi="Times New Roman" w:cs="Times New Roman"/>
          <w:color w:val="000000" w:themeColor="text1"/>
          <w:szCs w:val="21"/>
          <w:highlight w:val="none"/>
          <w:lang w:eastAsia="zh"/>
          <w14:textFill>
            <w14:solidFill>
              <w14:schemeClr w14:val="tx1"/>
            </w14:solidFill>
          </w14:textFill>
        </w:rPr>
        <w:t>；</w:t>
      </w:r>
    </w:p>
    <w:p>
      <w:pPr>
        <w:widowControl/>
        <w:spacing w:line="360" w:lineRule="exact"/>
        <w:ind w:firstLine="421" w:firstLineChars="200"/>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lang w:eastAsia="zh"/>
          <w14:textFill>
            <w14:solidFill>
              <w14:schemeClr w14:val="tx1"/>
            </w14:solidFill>
          </w14:textFill>
        </w:rPr>
        <w:t>2</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建筑信息模型应针对项目统一制定建筑信息模型的建模标准，并应编写《建筑信息模型建模标准》，确定各阶段建模内容、深度</w:t>
      </w:r>
      <w:r>
        <w:rPr>
          <w:rFonts w:hint="default" w:ascii="Times New Roman" w:hAnsi="Times New Roman" w:cs="Times New Roman"/>
          <w:color w:val="000000" w:themeColor="text1"/>
          <w:szCs w:val="21"/>
          <w:highlight w:val="none"/>
          <w14:textFill>
            <w14:solidFill>
              <w14:schemeClr w14:val="tx1"/>
            </w14:solidFill>
          </w14:textFill>
        </w:rPr>
        <w:t>及信息添加内容</w:t>
      </w:r>
      <w:r>
        <w:rPr>
          <w:rFonts w:hint="default" w:ascii="Times New Roman" w:hAnsi="Times New Roman" w:cs="Times New Roman"/>
          <w:color w:val="000000" w:themeColor="text1"/>
          <w:szCs w:val="21"/>
          <w:highlight w:val="none"/>
          <w:lang w:eastAsia="zh"/>
          <w14:textFill>
            <w14:solidFill>
              <w14:schemeClr w14:val="tx1"/>
            </w14:solidFill>
          </w14:textFill>
        </w:rPr>
        <w:t>；</w:t>
      </w:r>
    </w:p>
    <w:p>
      <w:pPr>
        <w:widowControl/>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bookmarkStart w:id="1174" w:name="_Toc23882"/>
      <w:bookmarkStart w:id="1175" w:name="_Toc20"/>
      <w:bookmarkStart w:id="1176" w:name="_Toc30271"/>
      <w:bookmarkStart w:id="1177" w:name="_Toc30368"/>
      <w:r>
        <w:rPr>
          <w:rFonts w:hint="default" w:ascii="Times New Roman" w:hAnsi="Times New Roman" w:cs="Times New Roman"/>
          <w:b/>
          <w:bCs/>
          <w:color w:val="000000" w:themeColor="text1"/>
          <w:szCs w:val="21"/>
          <w:highlight w:val="none"/>
          <w:lang w:eastAsia="zh"/>
          <w14:textFill>
            <w14:solidFill>
              <w14:schemeClr w14:val="tx1"/>
            </w14:solidFill>
          </w14:textFill>
        </w:rPr>
        <w:t>3</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建筑信息模型应根据应用场景采用合理的建模精度。</w:t>
      </w:r>
      <w:bookmarkEnd w:id="1174"/>
      <w:bookmarkEnd w:id="1175"/>
      <w:bookmarkEnd w:id="1176"/>
      <w:bookmarkEnd w:id="1177"/>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178" w:name="_Toc8885"/>
      <w:bookmarkStart w:id="1179" w:name="_Toc26249"/>
      <w:bookmarkStart w:id="1180" w:name="_Toc30585"/>
      <w:bookmarkStart w:id="1181" w:name="_Toc6678"/>
      <w:bookmarkStart w:id="1182" w:name="_Toc2044"/>
      <w:bookmarkStart w:id="1183" w:name="_Toc6949"/>
      <w:bookmarkStart w:id="1184" w:name="_Toc1430"/>
      <w:bookmarkStart w:id="1185" w:name="_Toc22018"/>
      <w:bookmarkStart w:id="1186" w:name="_Toc23278"/>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11.3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智能化生产和运输</w:t>
      </w:r>
      <w:bookmarkEnd w:id="1178"/>
      <w:bookmarkEnd w:id="1179"/>
      <w:bookmarkEnd w:id="1180"/>
      <w:bookmarkEnd w:id="1181"/>
      <w:bookmarkEnd w:id="1182"/>
      <w:bookmarkEnd w:id="1183"/>
      <w:bookmarkEnd w:id="1184"/>
      <w:bookmarkEnd w:id="1185"/>
      <w:bookmarkEnd w:id="1186"/>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11.</w:t>
      </w:r>
      <w:r>
        <w:rPr>
          <w:rFonts w:hint="default" w:ascii="Times New Roman" w:hAnsi="Times New Roman" w:cs="Times New Roman"/>
          <w:b/>
          <w:bCs w:val="0"/>
          <w:color w:val="000000" w:themeColor="text1"/>
          <w:szCs w:val="21"/>
          <w:highlight w:val="none"/>
          <w:lang w:eastAsia="zh"/>
          <w14:textFill>
            <w14:solidFill>
              <w14:schemeClr w14:val="tx1"/>
            </w14:solidFill>
          </w14:textFill>
        </w:rPr>
        <w:t>3.1</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应通过建筑信息模型实现对生产过程的可视化指导，并宜</w:t>
      </w:r>
      <w:r>
        <w:rPr>
          <w:rFonts w:hint="default" w:ascii="Times New Roman" w:hAnsi="Times New Roman" w:cs="Times New Roman"/>
          <w:color w:val="000000" w:themeColor="text1"/>
          <w:szCs w:val="21"/>
          <w:highlight w:val="none"/>
          <w14:textFill>
            <w14:solidFill>
              <w14:schemeClr w14:val="tx1"/>
            </w14:solidFill>
          </w14:textFill>
        </w:rPr>
        <w:t>通过</w:t>
      </w:r>
      <w:r>
        <w:rPr>
          <w:rFonts w:hint="default" w:ascii="Times New Roman" w:hAnsi="Times New Roman" w:cs="Times New Roman"/>
          <w:color w:val="000000" w:themeColor="text1"/>
          <w:szCs w:val="21"/>
          <w:highlight w:val="none"/>
          <w:lang w:eastAsia="zh"/>
          <w14:textFill>
            <w14:solidFill>
              <w14:schemeClr w14:val="tx1"/>
            </w14:solidFill>
          </w14:textFill>
        </w:rPr>
        <w:t>建筑信息模型</w:t>
      </w:r>
      <w:r>
        <w:rPr>
          <w:rFonts w:hint="default" w:ascii="Times New Roman" w:hAnsi="Times New Roman" w:cs="Times New Roman"/>
          <w:color w:val="000000" w:themeColor="text1"/>
          <w:szCs w:val="21"/>
          <w:highlight w:val="none"/>
          <w14:textFill>
            <w14:solidFill>
              <w14:schemeClr w14:val="tx1"/>
            </w14:solidFill>
          </w14:textFill>
        </w:rPr>
        <w:t>（BIM）</w:t>
      </w:r>
      <w:r>
        <w:rPr>
          <w:rFonts w:hint="default" w:ascii="Times New Roman" w:hAnsi="Times New Roman" w:cs="Times New Roman"/>
          <w:color w:val="000000" w:themeColor="text1"/>
          <w:szCs w:val="21"/>
          <w:highlight w:val="none"/>
          <w:lang w:eastAsia="zh"/>
          <w14:textFill>
            <w14:solidFill>
              <w14:schemeClr w14:val="tx1"/>
            </w14:solidFill>
          </w14:textFill>
        </w:rPr>
        <w:t>技术</w:t>
      </w:r>
      <w:r>
        <w:rPr>
          <w:rFonts w:hint="default" w:ascii="Times New Roman" w:hAnsi="Times New Roman" w:cs="Times New Roman"/>
          <w:color w:val="000000" w:themeColor="text1"/>
          <w:szCs w:val="21"/>
          <w:highlight w:val="none"/>
          <w14:textFill>
            <w14:solidFill>
              <w14:schemeClr w14:val="tx1"/>
            </w14:solidFill>
          </w14:textFill>
        </w:rPr>
        <w:t>进行深化设计，</w:t>
      </w:r>
      <w:r>
        <w:rPr>
          <w:rFonts w:hint="default" w:ascii="Times New Roman" w:hAnsi="Times New Roman" w:cs="Times New Roman"/>
          <w:color w:val="000000" w:themeColor="text1"/>
          <w:szCs w:val="21"/>
          <w:highlight w:val="none"/>
          <w:lang w:eastAsia="zh"/>
          <w14:textFill>
            <w14:solidFill>
              <w14:schemeClr w14:val="tx1"/>
            </w14:solidFill>
          </w14:textFill>
        </w:rPr>
        <w:t>自动导出物料清单。</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3.2</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应采用信息化</w:t>
      </w:r>
      <w:r>
        <w:rPr>
          <w:rFonts w:hint="default" w:ascii="Times New Roman" w:hAnsi="Times New Roman" w:cs="Times New Roman"/>
          <w:color w:val="000000" w:themeColor="text1"/>
          <w:szCs w:val="21"/>
          <w:highlight w:val="none"/>
          <w14:textFill>
            <w14:solidFill>
              <w14:schemeClr w14:val="tx1"/>
            </w14:solidFill>
          </w14:textFill>
        </w:rPr>
        <w:t>平台</w:t>
      </w:r>
      <w:r>
        <w:rPr>
          <w:rFonts w:hint="default" w:ascii="Times New Roman" w:hAnsi="Times New Roman" w:cs="Times New Roman"/>
          <w:color w:val="000000" w:themeColor="text1"/>
          <w:szCs w:val="21"/>
          <w:highlight w:val="none"/>
          <w:lang w:eastAsia="zh"/>
          <w14:textFill>
            <w14:solidFill>
              <w14:schemeClr w14:val="tx1"/>
            </w14:solidFill>
          </w14:textFill>
        </w:rPr>
        <w:t>进行生产计划管理、隐蔽验收、成品检查、入库管理、发货管理。</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3.3</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应采用信息化技术将模块单元的身份标识码与二维码绑定，并应全程追踪模块化单元的生产数据。</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3.4</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模块单元的运输宜采用智能交通系统进行物流运输管理，并宜实现可视化定位。</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187" w:name="_Toc30032"/>
      <w:bookmarkStart w:id="1188" w:name="_Toc8564"/>
      <w:bookmarkStart w:id="1189" w:name="_Toc11585"/>
      <w:bookmarkStart w:id="1190" w:name="_Toc6624"/>
      <w:bookmarkStart w:id="1191" w:name="_Toc8"/>
      <w:bookmarkStart w:id="1192" w:name="_Toc27153"/>
      <w:bookmarkStart w:id="1193" w:name="_Toc30289"/>
      <w:bookmarkStart w:id="1194" w:name="_Toc22336"/>
      <w:bookmarkStart w:id="1195" w:name="_Toc6859"/>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11.4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数字化施工</w:t>
      </w:r>
      <w:bookmarkEnd w:id="1187"/>
      <w:bookmarkEnd w:id="1188"/>
      <w:bookmarkEnd w:id="1189"/>
      <w:bookmarkEnd w:id="1190"/>
      <w:bookmarkEnd w:id="1191"/>
      <w:bookmarkEnd w:id="1192"/>
      <w:bookmarkEnd w:id="1193"/>
      <w:bookmarkEnd w:id="1194"/>
      <w:bookmarkEnd w:id="1195"/>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4.1</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混凝土模块化建筑的施工宜采用建筑信息模型技术进行可视化施工交底</w:t>
      </w:r>
      <w:r>
        <w:rPr>
          <w:rFonts w:hint="default" w:ascii="Times New Roman" w:hAnsi="Times New Roman" w:cs="Times New Roman"/>
          <w:color w:val="000000" w:themeColor="text1"/>
          <w:szCs w:val="21"/>
          <w:highlight w:val="none"/>
          <w14:textFill>
            <w14:solidFill>
              <w14:schemeClr w14:val="tx1"/>
            </w14:solidFill>
          </w14:textFill>
        </w:rPr>
        <w:t>、施工方案模拟、工程量计算等应用</w:t>
      </w:r>
      <w:r>
        <w:rPr>
          <w:rFonts w:hint="default" w:ascii="Times New Roman" w:hAnsi="Times New Roman" w:cs="Times New Roman"/>
          <w:color w:val="000000" w:themeColor="text1"/>
          <w:szCs w:val="21"/>
          <w:highlight w:val="none"/>
          <w:lang w:eastAsia="zh"/>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4.2</w:t>
      </w:r>
      <w:r>
        <w:rPr>
          <w:rFonts w:hint="default" w:ascii="Times New Roman" w:hAnsi="Times New Roman" w:cs="Times New Roman"/>
          <w:b/>
          <w:color w:val="000000" w:themeColor="text1"/>
          <w:szCs w:val="21"/>
          <w:highlight w:val="none"/>
          <w:lang w:eastAsia="zh"/>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混凝土模块化建筑的施工宜采用信息化</w:t>
      </w:r>
      <w:r>
        <w:rPr>
          <w:rFonts w:hint="default" w:ascii="Times New Roman" w:hAnsi="Times New Roman" w:cs="Times New Roman"/>
          <w:color w:val="000000" w:themeColor="text1"/>
          <w:szCs w:val="21"/>
          <w:highlight w:val="none"/>
          <w14:textFill>
            <w14:solidFill>
              <w14:schemeClr w14:val="tx1"/>
            </w14:solidFill>
          </w14:textFill>
        </w:rPr>
        <w:t>平台</w:t>
      </w:r>
      <w:r>
        <w:rPr>
          <w:rFonts w:hint="default" w:ascii="Times New Roman" w:hAnsi="Times New Roman" w:cs="Times New Roman"/>
          <w:color w:val="000000" w:themeColor="text1"/>
          <w:szCs w:val="21"/>
          <w:highlight w:val="none"/>
          <w:lang w:eastAsia="zh"/>
          <w14:textFill>
            <w14:solidFill>
              <w14:schemeClr w14:val="tx1"/>
            </w14:solidFill>
          </w14:textFill>
        </w:rPr>
        <w:t>进行施工进度管理</w:t>
      </w:r>
      <w:r>
        <w:rPr>
          <w:rFonts w:hint="default" w:ascii="Times New Roman" w:hAnsi="Times New Roman" w:cs="Times New Roman"/>
          <w:color w:val="000000" w:themeColor="text1"/>
          <w:szCs w:val="21"/>
          <w:highlight w:val="none"/>
          <w14:textFill>
            <w14:solidFill>
              <w14:schemeClr w14:val="tx1"/>
            </w14:solidFill>
          </w14:textFill>
        </w:rPr>
        <w:t>、施工质量管理</w:t>
      </w:r>
      <w:r>
        <w:rPr>
          <w:rFonts w:hint="default" w:ascii="Times New Roman" w:hAnsi="Times New Roman" w:cs="Times New Roman"/>
          <w:color w:val="000000" w:themeColor="text1"/>
          <w:szCs w:val="21"/>
          <w:highlight w:val="none"/>
          <w:lang w:eastAsia="zh"/>
          <w14:textFill>
            <w14:solidFill>
              <w14:schemeClr w14:val="tx1"/>
            </w14:solidFill>
          </w14:textFill>
        </w:rPr>
        <w:t>。</w:t>
      </w:r>
    </w:p>
    <w:p>
      <w:pPr>
        <w:widowControl/>
        <w:spacing w:line="360" w:lineRule="exact"/>
        <w:rPr>
          <w:rFonts w:hint="default" w:ascii="Times New Roman" w:hAnsi="Times New Roman" w:cs="Times New Roman"/>
          <w:color w:val="000000" w:themeColor="text1"/>
          <w:szCs w:val="21"/>
          <w:highlight w:val="none"/>
          <w:lang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 xml:space="preserve">4.3 </w:t>
      </w:r>
      <w:r>
        <w:rPr>
          <w:rFonts w:hint="default" w:ascii="Times New Roman" w:hAnsi="Times New Roman" w:cs="Times New Roman"/>
          <w:color w:val="000000" w:themeColor="text1"/>
          <w:szCs w:val="21"/>
          <w:highlight w:val="none"/>
          <w:lang w:eastAsia="zh"/>
          <w14:textFill>
            <w14:solidFill>
              <w14:schemeClr w14:val="tx1"/>
            </w14:solidFill>
          </w14:textFill>
        </w:rPr>
        <w:t xml:space="preserve"> 混凝土模块化建筑的施工宜采用人工智能技术，对高处作业、吊装区域等危险区域的安全行为与状态进行智能识别与监控。</w:t>
      </w:r>
    </w:p>
    <w:bookmarkEnd w:id="879"/>
    <w:p>
      <w:pPr>
        <w:widowControl/>
        <w:spacing w:line="360" w:lineRule="exact"/>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196" w:name="_Toc25654"/>
      <w:bookmarkStart w:id="1197" w:name="_Toc10505"/>
      <w:bookmarkStart w:id="1198" w:name="_Toc15665"/>
      <w:bookmarkStart w:id="1199" w:name="_Toc7850"/>
      <w:bookmarkStart w:id="1200" w:name="_Toc27839"/>
      <w:bookmarkStart w:id="1201" w:name="_Toc2743"/>
      <w:bookmarkStart w:id="1202" w:name="_Toc27622"/>
      <w:bookmarkStart w:id="1203" w:name="_Toc3027"/>
      <w:bookmarkStart w:id="1204" w:name="_Toc23540"/>
      <w:r>
        <w:rPr>
          <w:rFonts w:hint="default" w:ascii="Times New Roman" w:hAnsi="Times New Roman" w:eastAsia="黑体" w:cs="Times New Roman"/>
          <w:color w:val="000000" w:themeColor="text1"/>
          <w:sz w:val="28"/>
          <w:szCs w:val="28"/>
          <w:highlight w:val="none"/>
          <w14:textFill>
            <w14:solidFill>
              <w14:schemeClr w14:val="tx1"/>
            </w14:solidFill>
          </w14:textFill>
        </w:rPr>
        <w:t>附录A  模块单元装修质量检测报告</w:t>
      </w:r>
      <w:bookmarkEnd w:id="1196"/>
      <w:bookmarkEnd w:id="1197"/>
      <w:bookmarkEnd w:id="1198"/>
      <w:bookmarkEnd w:id="1199"/>
      <w:bookmarkEnd w:id="1200"/>
      <w:bookmarkEnd w:id="1201"/>
      <w:bookmarkEnd w:id="1202"/>
      <w:bookmarkEnd w:id="1203"/>
      <w:bookmarkEnd w:id="1204"/>
    </w:p>
    <w:p>
      <w:pPr>
        <w:autoSpaceDE w:val="0"/>
        <w:autoSpaceDN w:val="0"/>
        <w:adjustRightInd w:val="0"/>
        <w:spacing w:line="360" w:lineRule="exact"/>
        <w:jc w:val="center"/>
        <w:rPr>
          <w:rFonts w:hint="default" w:ascii="Times New Roman" w:hAnsi="Times New Roman" w:eastAsia="黑体" w:cs="Times New Roman"/>
          <w:color w:val="000000" w:themeColor="text1"/>
          <w:kern w:val="0"/>
          <w:sz w:val="18"/>
          <w:szCs w:val="21"/>
          <w:highlight w:val="none"/>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表</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A</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 xml:space="preserve">  模块单元装修质量检测报告</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96"/>
        <w:gridCol w:w="2106"/>
        <w:gridCol w:w="535"/>
        <w:gridCol w:w="535"/>
        <w:gridCol w:w="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3" w:type="pct"/>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检查项目</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检验方法</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检查</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结果</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结论</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墙面</w:t>
            </w: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外观质量</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光滑平整无划伤</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规格</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颜色</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与样板一致</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平整度</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&lt;3mm/2m</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地面</w:t>
            </w: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饰面材料规格</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饰面颜色</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与样板一致</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饰面安装</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安装牢固、平直</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空鼓</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无空鼓</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平整度</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&lt;3mm/2m</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天花</w:t>
            </w: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造型</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图案、颜色</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平整度</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&lt;3mm/2m</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机电</w:t>
            </w: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开关插座数量</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开关插座位置</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灯具数量</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通电及用电设备调试</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电路正常使用</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kern w:val="0"/>
                <w:sz w:val="15"/>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卫生间</w:t>
            </w: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卫浴设施</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配置齐全、位置正确、牢固</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kern w:val="0"/>
                <w:sz w:val="15"/>
                <w:szCs w:val="21"/>
                <w:highlight w:val="none"/>
                <w:lang w:val="en-US" w:eastAsia="zh-CN"/>
                <w14:textFill>
                  <w14:solidFill>
                    <w14:schemeClr w14:val="tx1"/>
                  </w14:solidFill>
                </w14:textFill>
              </w:rPr>
            </w:pPr>
          </w:p>
        </w:tc>
        <w:tc>
          <w:tcPr>
            <w:tcW w:w="1382"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闭水测试</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蓄水时间&gt;24小时，检验模块底部有无渗水、漏水现象</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43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bl>
    <w:p>
      <w:pPr>
        <w:jc w:val="center"/>
        <w:rPr>
          <w:rFonts w:hint="eastAsia" w:eastAsia="黑体" w:cs="Times New Roman"/>
          <w:color w:val="000000" w:themeColor="text1"/>
          <w:kern w:val="0"/>
          <w:sz w:val="18"/>
          <w:szCs w:val="21"/>
          <w:highlight w:val="none"/>
          <w:lang w:val="en-US" w:eastAsia="zh-CN"/>
          <w14:textFill>
            <w14:solidFill>
              <w14:schemeClr w14:val="tx1"/>
            </w14:solidFill>
          </w14:textFill>
        </w:rPr>
      </w:pPr>
    </w:p>
    <w:p>
      <w:pPr>
        <w:jc w:val="center"/>
        <w:rPr>
          <w:rFonts w:hint="eastAsia" w:eastAsia="黑体" w:cs="Times New Roman"/>
          <w:color w:val="000000" w:themeColor="text1"/>
          <w:kern w:val="0"/>
          <w:sz w:val="18"/>
          <w:szCs w:val="21"/>
          <w:highlight w:val="none"/>
          <w:lang w:val="en-US" w:eastAsia="zh-CN"/>
          <w14:textFill>
            <w14:solidFill>
              <w14:schemeClr w14:val="tx1"/>
            </w14:solidFill>
          </w14:textFill>
        </w:rPr>
      </w:pPr>
    </w:p>
    <w:p>
      <w:pPr>
        <w:jc w:val="center"/>
        <w:rPr>
          <w:color w:val="000000" w:themeColor="text1"/>
          <w14:textFill>
            <w14:solidFill>
              <w14:schemeClr w14:val="tx1"/>
            </w14:solidFill>
          </w14:textFill>
        </w:rPr>
      </w:pPr>
      <w:r>
        <w:rPr>
          <w:rFonts w:hint="eastAsia" w:eastAsia="黑体" w:cs="Times New Roman"/>
          <w:color w:val="000000" w:themeColor="text1"/>
          <w:kern w:val="0"/>
          <w:sz w:val="18"/>
          <w:szCs w:val="21"/>
          <w:highlight w:val="none"/>
          <w:lang w:val="en-US" w:eastAsia="zh-CN"/>
          <w14:textFill>
            <w14:solidFill>
              <w14:schemeClr w14:val="tx1"/>
            </w14:solidFill>
          </w14:textFill>
        </w:rPr>
        <w:t>续</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表</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A</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84"/>
        <w:gridCol w:w="2117"/>
        <w:gridCol w:w="535"/>
        <w:gridCol w:w="535"/>
        <w:gridCol w:w="5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9"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检查项目</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检验方法</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检查</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结果</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结论</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卫生间</w:t>
            </w: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给水系统渗水测试</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试验压力为工作压力的1.5倍，但不小于0.6MPa，升至规定的试验压力后停止加压，稳压1小时，观察接头部位是否有掉压和漏水现象</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排水系统渗水测试</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灌水&gt;30分钟无漏水</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门</w:t>
            </w: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外观质量</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光滑平整无划伤</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产品规格</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门扇垂直度</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2.0mm</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门扇与上框间留缝</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1</w:t>
            </w:r>
            <w:r>
              <w:rPr>
                <w:rFonts w:hint="default" w:ascii="Times New Roman" w:hAnsi="Times New Roman" w:cs="Times New Roman"/>
                <w:color w:val="000000" w:themeColor="text1"/>
                <w:kern w:val="0"/>
                <w:sz w:val="15"/>
                <w:szCs w:val="21"/>
                <w:highlight w:val="none"/>
                <w:lang w:val="en-US" w:eastAsia="zh-CN"/>
                <w14:textFill>
                  <w14:solidFill>
                    <w14:schemeClr w14:val="tx1"/>
                  </w14:solidFill>
                </w14:textFill>
              </w:rPr>
              <w:t>mm</w:t>
            </w:r>
            <w:r>
              <w:rPr>
                <w:rFonts w:hint="default" w:ascii="Times New Roman" w:hAnsi="Times New Roman" w:cs="Times New Roman"/>
                <w:color w:val="000000" w:themeColor="text1"/>
                <w:kern w:val="0"/>
                <w:sz w:val="15"/>
                <w:szCs w:val="21"/>
                <w:highlight w:val="none"/>
                <w14:textFill>
                  <w14:solidFill>
                    <w14:schemeClr w14:val="tx1"/>
                  </w14:solidFill>
                </w14:textFill>
              </w:rPr>
              <w:t>~3mm</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门扇与下框间留缝</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3</w:t>
            </w:r>
            <w:r>
              <w:rPr>
                <w:rFonts w:hint="default" w:ascii="Times New Roman" w:hAnsi="Times New Roman" w:cs="Times New Roman"/>
                <w:color w:val="000000" w:themeColor="text1"/>
                <w:kern w:val="0"/>
                <w:sz w:val="15"/>
                <w:szCs w:val="21"/>
                <w:highlight w:val="none"/>
                <w:lang w:val="en-US" w:eastAsia="zh-CN"/>
                <w14:textFill>
                  <w14:solidFill>
                    <w14:schemeClr w14:val="tx1"/>
                  </w14:solidFill>
                </w14:textFill>
              </w:rPr>
              <w:t>mm</w:t>
            </w:r>
            <w:r>
              <w:rPr>
                <w:rFonts w:hint="default" w:ascii="Times New Roman" w:hAnsi="Times New Roman" w:cs="Times New Roman"/>
                <w:color w:val="000000" w:themeColor="text1"/>
                <w:kern w:val="0"/>
                <w:sz w:val="15"/>
                <w:szCs w:val="21"/>
                <w:highlight w:val="none"/>
                <w14:textFill>
                  <w14:solidFill>
                    <w14:schemeClr w14:val="tx1"/>
                  </w14:solidFill>
                </w14:textFill>
              </w:rPr>
              <w:t>~5mm</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五金配件</w:t>
            </w:r>
          </w:p>
        </w:tc>
        <w:tc>
          <w:tcPr>
            <w:tcW w:w="2117"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配置齐全、位置正确、牢固</w:t>
            </w:r>
          </w:p>
        </w:tc>
        <w:tc>
          <w:tcPr>
            <w:tcW w:w="535"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restart"/>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铝窗</w:t>
            </w:r>
          </w:p>
        </w:tc>
        <w:tc>
          <w:tcPr>
            <w:tcW w:w="1684" w:type="dxa"/>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外观质量</w:t>
            </w:r>
          </w:p>
        </w:tc>
        <w:tc>
          <w:tcPr>
            <w:tcW w:w="2117" w:type="dxa"/>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光滑平整无划伤</w:t>
            </w:r>
          </w:p>
        </w:tc>
        <w:tc>
          <w:tcPr>
            <w:tcW w:w="535" w:type="dxa"/>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产品规格</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kern w:val="0"/>
                <w:sz w:val="15"/>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铝窗与防雷导线电阻</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用万用表检测电阻≤0.5Ω</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密封条与玻璃粘结质量</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密封条完好、牢固</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五金配件</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窗扇可正常开启、关闭灵活、牢固</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2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铝窗</w:t>
            </w:r>
          </w:p>
        </w:tc>
        <w:tc>
          <w:tcPr>
            <w:tcW w:w="16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试水</w:t>
            </w:r>
          </w:p>
        </w:tc>
        <w:tc>
          <w:tcPr>
            <w:tcW w:w="211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试水水压约为0.2MPa~0.3MPa，喷淋3分钟无漏水</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bl>
    <w:p>
      <w:pPr>
        <w:rPr>
          <w:rFonts w:hint="default" w:ascii="Times New Roman" w:hAnsi="Times New Roman" w:eastAsia="宋体" w:cs="Times New Roman"/>
          <w:color w:val="000000" w:themeColor="text1"/>
          <w:highlight w:val="none"/>
          <w:lang w:eastAsia="zh-CN"/>
          <w14:textFill>
            <w14:solidFill>
              <w14:schemeClr w14:val="tx1"/>
            </w14:solidFill>
          </w14:textFill>
        </w:rPr>
      </w:pPr>
    </w:p>
    <w:p>
      <w:pPr>
        <w:jc w:val="center"/>
        <w:rPr>
          <w:rFonts w:hint="default" w:ascii="Times New Roman" w:hAnsi="Times New Roman" w:eastAsia="黑体" w:cs="Times New Roman"/>
          <w:color w:val="000000" w:themeColor="text1"/>
          <w:kern w:val="0"/>
          <w:sz w:val="18"/>
          <w:szCs w:val="21"/>
          <w:highlight w:val="none"/>
          <w:lang w:val="en-US" w:eastAsia="zh-CN"/>
          <w14:textFill>
            <w14:solidFill>
              <w14:schemeClr w14:val="tx1"/>
            </w14:solidFill>
          </w14:textFill>
        </w:rPr>
      </w:pPr>
    </w:p>
    <w:p>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黑体" w:cs="Times New Roman"/>
          <w:color w:val="000000" w:themeColor="text1"/>
          <w:kern w:val="0"/>
          <w:sz w:val="18"/>
          <w:szCs w:val="21"/>
          <w:highlight w:val="none"/>
          <w:lang w:val="en-US" w:eastAsia="zh-CN"/>
          <w14:textFill>
            <w14:solidFill>
              <w14:schemeClr w14:val="tx1"/>
            </w14:solidFill>
          </w14:textFill>
        </w:rPr>
        <w:t>续</w:t>
      </w:r>
      <w:r>
        <w:rPr>
          <w:rFonts w:hint="default" w:ascii="Times New Roman" w:hAnsi="Times New Roman" w:eastAsia="黑体" w:cs="Times New Roman"/>
          <w:color w:val="000000" w:themeColor="text1"/>
          <w:kern w:val="0"/>
          <w:sz w:val="18"/>
          <w:szCs w:val="21"/>
          <w:highlight w:val="none"/>
          <w14:textFill>
            <w14:solidFill>
              <w14:schemeClr w14:val="tx1"/>
            </w14:solidFill>
          </w14:textFill>
        </w:rPr>
        <w:t>表</w:t>
      </w:r>
      <w:r>
        <w:rPr>
          <w:rFonts w:hint="default" w:ascii="Times New Roman" w:hAnsi="Times New Roman" w:eastAsia="黑体" w:cs="Times New Roman"/>
          <w:b/>
          <w:color w:val="000000" w:themeColor="text1"/>
          <w:kern w:val="0"/>
          <w:sz w:val="18"/>
          <w:szCs w:val="21"/>
          <w:highlight w:val="none"/>
          <w14:textFill>
            <w14:solidFill>
              <w14:schemeClr w14:val="tx1"/>
            </w14:solidFill>
          </w14:textFill>
        </w:rPr>
        <w:t>A</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765"/>
        <w:gridCol w:w="2036"/>
        <w:gridCol w:w="535"/>
        <w:gridCol w:w="535"/>
        <w:gridCol w:w="5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90"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检查项目</w:t>
            </w:r>
          </w:p>
        </w:tc>
        <w:tc>
          <w:tcPr>
            <w:tcW w:w="203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检验方法</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检查</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结果</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结论</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消防系统</w:t>
            </w:r>
          </w:p>
        </w:tc>
        <w:tc>
          <w:tcPr>
            <w:tcW w:w="176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雨淋阀组安装数量</w:t>
            </w:r>
          </w:p>
        </w:tc>
        <w:tc>
          <w:tcPr>
            <w:tcW w:w="203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76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雨淋阀组安装位置</w:t>
            </w:r>
          </w:p>
        </w:tc>
        <w:tc>
          <w:tcPr>
            <w:tcW w:w="203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符合图纸要求</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2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p>
        </w:tc>
        <w:tc>
          <w:tcPr>
            <w:tcW w:w="176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消防系统压力、渗水测试</w:t>
            </w:r>
          </w:p>
        </w:tc>
        <w:tc>
          <w:tcPr>
            <w:tcW w:w="203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测试压力为设计工作压力的1.5倍，保压1小时，检查是否有掉压和漏水</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c>
          <w:tcPr>
            <w:tcW w:w="537"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themeColor="text1"/>
                <w:kern w:val="0"/>
                <w:sz w:val="15"/>
                <w:szCs w:val="21"/>
                <w:highlight w:val="none"/>
                <w14:textFill>
                  <w14:solidFill>
                    <w14:schemeClr w14:val="tx1"/>
                  </w14:solidFill>
                </w14:textFill>
              </w:rPr>
            </w:pPr>
            <w:r>
              <w:rPr>
                <w:rFonts w:hint="default" w:ascii="Times New Roman" w:hAnsi="Times New Roman" w:cs="Times New Roman"/>
                <w:color w:val="000000" w:themeColor="text1"/>
                <w:kern w:val="0"/>
                <w:sz w:val="15"/>
                <w:szCs w:val="21"/>
                <w:highlight w:val="none"/>
                <w14:textFill>
                  <w14:solidFill>
                    <w14:schemeClr w14:val="tx1"/>
                  </w14:solidFill>
                </w14:textFill>
              </w:rPr>
              <w:t>　</w:t>
            </w:r>
          </w:p>
        </w:tc>
      </w:tr>
    </w:tbl>
    <w:p>
      <w:pPr>
        <w:widowControl/>
        <w:spacing w:line="360" w:lineRule="exact"/>
        <w:jc w:val="left"/>
        <w:rPr>
          <w:rFonts w:hint="default" w:ascii="Times New Roman" w:hAnsi="Times New Roman" w:cs="Times New Roman"/>
          <w:color w:val="000000" w:themeColor="text1"/>
          <w:highlight w:val="none"/>
          <w14:textFill>
            <w14:solidFill>
              <w14:schemeClr w14:val="tx1"/>
            </w14:solidFill>
          </w14:textFill>
        </w:rPr>
        <w:sectPr>
          <w:footerReference r:id="rId8" w:type="default"/>
          <w:pgSz w:w="7937" w:h="11509"/>
          <w:pgMar w:top="1083" w:right="1009" w:bottom="1083" w:left="1009" w:header="851" w:footer="992" w:gutter="0"/>
          <w:pgNumType w:fmt="decimal"/>
          <w:cols w:space="0" w:num="1"/>
          <w:docGrid w:type="lines" w:linePitch="333" w:charSpace="4423"/>
        </w:sectPr>
      </w:pP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205" w:name="_Toc30078"/>
      <w:bookmarkStart w:id="1206" w:name="_Toc23630"/>
      <w:r>
        <w:rPr>
          <w:rFonts w:hint="default" w:ascii="Times New Roman" w:hAnsi="Times New Roman" w:eastAsia="黑体" w:cs="Times New Roman"/>
          <w:color w:val="000000" w:themeColor="text1"/>
          <w:sz w:val="28"/>
          <w:szCs w:val="28"/>
          <w:highlight w:val="none"/>
          <w14:textFill>
            <w14:solidFill>
              <w14:schemeClr w14:val="tx1"/>
            </w14:solidFill>
          </w14:textFill>
        </w:rPr>
        <w:t>附录</w:t>
      </w:r>
      <w:r>
        <w:rPr>
          <w:rFonts w:hint="default" w:ascii="Times New Roman" w:hAnsi="Times New Roman" w:eastAsia="黑体" w:cs="Times New Roman"/>
          <w:color w:val="000000" w:themeColor="text1"/>
          <w:sz w:val="28"/>
          <w:szCs w:val="28"/>
          <w:highlight w:val="none"/>
          <w:lang w:eastAsia="zh-CN"/>
          <w14:textFill>
            <w14:solidFill>
              <w14:schemeClr w14:val="tx1"/>
            </w14:solidFill>
          </w14:textFill>
        </w:rPr>
        <w:t>B</w:t>
      </w:r>
      <w:r>
        <w:rPr>
          <w:rFonts w:hint="default" w:ascii="Times New Roman" w:hAnsi="Times New Roman" w:eastAsia="黑体" w:cs="Times New Roman"/>
          <w:color w:val="000000" w:themeColor="text1"/>
          <w:sz w:val="28"/>
          <w:szCs w:val="28"/>
          <w:highlight w:val="none"/>
          <w14:textFill>
            <w14:solidFill>
              <w14:schemeClr w14:val="tx1"/>
            </w14:solidFill>
          </w14:textFill>
        </w:rPr>
        <w:t xml:space="preserve">  模块单元吊装测试</w:t>
      </w:r>
      <w:bookmarkEnd w:id="1205"/>
      <w:bookmarkEnd w:id="1206"/>
    </w:p>
    <w:p>
      <w:pPr>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eastAsia="zh-CN"/>
          <w14:textFill>
            <w14:solidFill>
              <w14:schemeClr w14:val="tx1"/>
            </w14:solidFill>
          </w14:textFill>
        </w:rPr>
        <w:t>B</w:t>
      </w:r>
      <w:r>
        <w:rPr>
          <w:rFonts w:hint="default" w:ascii="Times New Roman" w:hAnsi="Times New Roman" w:cs="Times New Roman"/>
          <w:b/>
          <w:color w:val="000000" w:themeColor="text1"/>
          <w:highlight w:val="none"/>
          <w14:textFill>
            <w14:solidFill>
              <w14:schemeClr w14:val="tx1"/>
            </w14:solidFill>
          </w14:textFill>
        </w:rPr>
        <w:t xml:space="preserve">.0.1  </w:t>
      </w:r>
      <w:r>
        <w:rPr>
          <w:rFonts w:hint="default" w:ascii="Times New Roman" w:hAnsi="Times New Roman" w:cs="Times New Roman"/>
          <w:color w:val="000000" w:themeColor="text1"/>
          <w:highlight w:val="none"/>
          <w14:textFill>
            <w14:solidFill>
              <w14:schemeClr w14:val="tx1"/>
            </w14:solidFill>
          </w14:textFill>
        </w:rPr>
        <w:t>模块单元吊装测试用的吊架、吊环、吊钩和手拉葫芦等吊具及设备的规格、尺寸应与现场吊装方案保持一致。起重机械设备应满足吊装作业要求。</w:t>
      </w:r>
    </w:p>
    <w:p>
      <w:pPr>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eastAsia="zh-CN"/>
          <w14:textFill>
            <w14:solidFill>
              <w14:schemeClr w14:val="tx1"/>
            </w14:solidFill>
          </w14:textFill>
        </w:rPr>
        <w:t>B</w:t>
      </w:r>
      <w:r>
        <w:rPr>
          <w:rFonts w:hint="default" w:ascii="Times New Roman" w:hAnsi="Times New Roman" w:cs="Times New Roman"/>
          <w:b/>
          <w:color w:val="000000" w:themeColor="text1"/>
          <w:highlight w:val="none"/>
          <w14:textFill>
            <w14:solidFill>
              <w14:schemeClr w14:val="tx1"/>
            </w14:solidFill>
          </w14:textFill>
        </w:rPr>
        <w:t xml:space="preserve">.0.2  </w:t>
      </w:r>
      <w:r>
        <w:rPr>
          <w:rFonts w:hint="default" w:ascii="Times New Roman" w:hAnsi="Times New Roman" w:cs="Times New Roman"/>
          <w:color w:val="000000" w:themeColor="text1"/>
          <w:highlight w:val="none"/>
          <w14:textFill>
            <w14:solidFill>
              <w14:schemeClr w14:val="tx1"/>
            </w14:solidFill>
          </w14:textFill>
        </w:rPr>
        <w:t>模块单元吊装测试的场地、道路等条件应满足吊装作业要求。</w:t>
      </w:r>
    </w:p>
    <w:p>
      <w:pPr>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eastAsia="zh-CN"/>
          <w14:textFill>
            <w14:solidFill>
              <w14:schemeClr w14:val="tx1"/>
            </w14:solidFill>
          </w14:textFill>
        </w:rPr>
        <w:t>B</w:t>
      </w:r>
      <w:r>
        <w:rPr>
          <w:rFonts w:hint="default" w:ascii="Times New Roman" w:hAnsi="Times New Roman" w:cs="Times New Roman"/>
          <w:b/>
          <w:color w:val="000000" w:themeColor="text1"/>
          <w:highlight w:val="none"/>
          <w14:textFill>
            <w14:solidFill>
              <w14:schemeClr w14:val="tx1"/>
            </w14:solidFill>
          </w14:textFill>
        </w:rPr>
        <w:t xml:space="preserve">.0.3  </w:t>
      </w:r>
      <w:r>
        <w:rPr>
          <w:rFonts w:hint="default" w:ascii="Times New Roman" w:hAnsi="Times New Roman" w:cs="Times New Roman"/>
          <w:color w:val="000000" w:themeColor="text1"/>
          <w:highlight w:val="none"/>
          <w14:textFill>
            <w14:solidFill>
              <w14:schemeClr w14:val="tx1"/>
            </w14:solidFill>
          </w14:textFill>
        </w:rPr>
        <w:t>模块单元吊装测试前，其混凝土强度应达到起吊强度，并应将其上的模板、灰浆残渣、垃圾碎块等全部清除干净。</w:t>
      </w:r>
    </w:p>
    <w:p>
      <w:pPr>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eastAsia="zh-CN"/>
          <w14:textFill>
            <w14:solidFill>
              <w14:schemeClr w14:val="tx1"/>
            </w14:solidFill>
          </w14:textFill>
        </w:rPr>
        <w:t>B</w:t>
      </w:r>
      <w:r>
        <w:rPr>
          <w:rFonts w:hint="default" w:ascii="Times New Roman" w:hAnsi="Times New Roman" w:cs="Times New Roman"/>
          <w:b/>
          <w:color w:val="000000" w:themeColor="text1"/>
          <w:highlight w:val="none"/>
          <w14:textFill>
            <w14:solidFill>
              <w14:schemeClr w14:val="tx1"/>
            </w14:solidFill>
          </w14:textFill>
        </w:rPr>
        <w:t xml:space="preserve">.0.4  </w:t>
      </w:r>
      <w:r>
        <w:rPr>
          <w:rFonts w:hint="default" w:ascii="Times New Roman" w:hAnsi="Times New Roman" w:cs="Times New Roman"/>
          <w:color w:val="000000" w:themeColor="text1"/>
          <w:highlight w:val="none"/>
          <w14:textFill>
            <w14:solidFill>
              <w14:schemeClr w14:val="tx1"/>
            </w14:solidFill>
          </w14:textFill>
        </w:rPr>
        <w:t>模块单元的吊装测试应符合下列规定：</w:t>
      </w:r>
    </w:p>
    <w:p>
      <w:pPr>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模块单元上的吊点布置、吊环设计应符合</w:t>
      </w:r>
      <w:r>
        <w:rPr>
          <w:rFonts w:hint="default" w:ascii="Times New Roman" w:hAnsi="Times New Roman" w:cs="Times New Roman"/>
          <w:color w:val="000000" w:themeColor="text1"/>
          <w:highlight w:val="none"/>
          <w:lang w:eastAsia="zh-CN"/>
          <w14:textFill>
            <w14:solidFill>
              <w14:schemeClr w14:val="tx1"/>
            </w14:solidFill>
          </w14:textFill>
        </w:rPr>
        <w:t>本标准</w:t>
      </w:r>
      <w:r>
        <w:rPr>
          <w:rFonts w:hint="default" w:ascii="Times New Roman" w:hAnsi="Times New Roman" w:cs="Times New Roman"/>
          <w:color w:val="000000" w:themeColor="text1"/>
          <w:highlight w:val="none"/>
          <w14:textFill>
            <w14:solidFill>
              <w14:schemeClr w14:val="tx1"/>
            </w14:solidFill>
          </w14:textFill>
        </w:rPr>
        <w:t>的有关规定；</w:t>
      </w:r>
    </w:p>
    <w:p>
      <w:pPr>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 xml:space="preserve">  用手拉葫芦或长短吊链连接模块单元与吊架时，吊环与吊架预留孔位应逐一对应；</w:t>
      </w:r>
    </w:p>
    <w:p>
      <w:pPr>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xml:space="preserve">  起吊前应调整吊链，吊架应保证模块在吊装过程中保持平稳，吊架下方与模块吊点相连的吊链与水平方向的夹角不应小于75度，不宜小于80度；</w:t>
      </w:r>
    </w:p>
    <w:p>
      <w:pPr>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模块单元吊装测试中应采用慢起、稳升、缓放的操作方式，吊运过程，应保持稳定，不得偏斜、摇摆和扭转；</w:t>
      </w:r>
    </w:p>
    <w:p>
      <w:pPr>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 xml:space="preserve">  模块单元吊装测试中应</w:t>
      </w:r>
      <w:r>
        <w:rPr>
          <w:rFonts w:hint="default" w:ascii="Times New Roman" w:hAnsi="Times New Roman" w:cs="Times New Roman"/>
          <w:color w:val="000000" w:themeColor="text1"/>
          <w:highlight w:val="none"/>
          <w:lang w:val="en-US" w:eastAsia="zh-CN"/>
          <w14:textFill>
            <w14:solidFill>
              <w14:schemeClr w14:val="tx1"/>
            </w14:solidFill>
          </w14:textFill>
        </w:rPr>
        <w:t>加速提升与下降，通过模拟一定加速度下的冲击力情况下吊点的受力情况。但需注意</w:t>
      </w:r>
      <w:r>
        <w:rPr>
          <w:rFonts w:hint="default" w:ascii="Times New Roman" w:hAnsi="Times New Roman" w:cs="Times New Roman"/>
          <w:color w:val="000000" w:themeColor="text1"/>
          <w:highlight w:val="none"/>
          <w14:textFill>
            <w14:solidFill>
              <w14:schemeClr w14:val="tx1"/>
            </w14:solidFill>
          </w14:textFill>
        </w:rPr>
        <w:t>吊运过程</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14:textFill>
            <w14:solidFill>
              <w14:schemeClr w14:val="tx1"/>
            </w14:solidFill>
          </w14:textFill>
        </w:rPr>
        <w:t>，应保持稳定，不得偏斜、摇摆和扭转；</w:t>
      </w:r>
    </w:p>
    <w:p>
      <w:pPr>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 xml:space="preserve">  模块单元起吊后应进行前、后、上、下、左、右六个方向的运动情况测试，起吊速度不宜低于30m/min；</w:t>
      </w:r>
    </w:p>
    <w:p>
      <w:pPr>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 xml:space="preserve">  同一模块单元应至少重复进行3次吊装测试。</w:t>
      </w:r>
    </w:p>
    <w:p>
      <w:pPr>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eastAsia="zh-CN"/>
          <w14:textFill>
            <w14:solidFill>
              <w14:schemeClr w14:val="tx1"/>
            </w14:solidFill>
          </w14:textFill>
        </w:rPr>
        <w:t>B</w:t>
      </w:r>
      <w:r>
        <w:rPr>
          <w:rFonts w:hint="default" w:ascii="Times New Roman" w:hAnsi="Times New Roman" w:cs="Times New Roman"/>
          <w:b/>
          <w:color w:val="000000" w:themeColor="text1"/>
          <w:highlight w:val="none"/>
          <w14:textFill>
            <w14:solidFill>
              <w14:schemeClr w14:val="tx1"/>
            </w14:solidFill>
          </w14:textFill>
        </w:rPr>
        <w:t xml:space="preserve">.0.5  </w:t>
      </w:r>
      <w:r>
        <w:rPr>
          <w:rFonts w:hint="default" w:ascii="Times New Roman" w:hAnsi="Times New Roman" w:cs="Times New Roman"/>
          <w:color w:val="000000" w:themeColor="text1"/>
          <w:highlight w:val="none"/>
          <w14:textFill>
            <w14:solidFill>
              <w14:schemeClr w14:val="tx1"/>
            </w14:solidFill>
          </w14:textFill>
        </w:rPr>
        <w:t>模块单元在吊装测试中若出现明显的模块变形和混凝土损伤应重新进行模块单元吊装方案设计或采取临时加固措施。</w:t>
      </w:r>
    </w:p>
    <w:p>
      <w:pPr>
        <w:widowControl/>
        <w:spacing w:line="360" w:lineRule="exact"/>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pStyle w:val="2"/>
        <w:spacing w:before="168" w:beforeLines="50" w:after="168"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207" w:name="_Toc5429"/>
      <w:bookmarkStart w:id="1208" w:name="_Toc10889"/>
      <w:bookmarkStart w:id="1209" w:name="_Toc25868"/>
      <w:bookmarkStart w:id="1210" w:name="_Toc8824"/>
      <w:bookmarkStart w:id="1211" w:name="_Toc7504"/>
      <w:bookmarkStart w:id="1212" w:name="_Toc3822"/>
      <w:bookmarkStart w:id="1213" w:name="_Toc20130"/>
      <w:bookmarkStart w:id="1214" w:name="_Toc31255"/>
      <w:bookmarkStart w:id="1215" w:name="_Toc23024"/>
      <w:r>
        <w:rPr>
          <w:rFonts w:hint="default" w:ascii="Times New Roman" w:hAnsi="Times New Roman" w:eastAsia="黑体" w:cs="Times New Roman"/>
          <w:color w:val="000000" w:themeColor="text1"/>
          <w:sz w:val="28"/>
          <w:szCs w:val="28"/>
          <w:highlight w:val="none"/>
          <w14:textFill>
            <w14:solidFill>
              <w14:schemeClr w14:val="tx1"/>
            </w14:solidFill>
          </w14:textFill>
        </w:rPr>
        <w:t>附录</w:t>
      </w:r>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C</w:t>
      </w:r>
      <w:r>
        <w:rPr>
          <w:rFonts w:hint="default" w:ascii="Times New Roman" w:hAnsi="Times New Roman" w:eastAsia="黑体" w:cs="Times New Roman"/>
          <w:color w:val="000000" w:themeColor="text1"/>
          <w:sz w:val="28"/>
          <w:szCs w:val="28"/>
          <w:highlight w:val="none"/>
          <w14:textFill>
            <w14:solidFill>
              <w14:schemeClr w14:val="tx1"/>
            </w14:solidFill>
          </w14:textFill>
        </w:rPr>
        <w:t xml:space="preserve">  模块单元出厂合格证</w:t>
      </w:r>
      <w:bookmarkEnd w:id="1207"/>
      <w:r>
        <w:rPr>
          <w:rFonts w:hint="default" w:ascii="Times New Roman" w:hAnsi="Times New Roman" w:eastAsia="黑体" w:cs="Times New Roman"/>
          <w:color w:val="000000" w:themeColor="text1"/>
          <w:sz w:val="28"/>
          <w:szCs w:val="28"/>
          <w:highlight w:val="none"/>
          <w14:textFill>
            <w14:solidFill>
              <w14:schemeClr w14:val="tx1"/>
            </w14:solidFill>
          </w14:textFill>
        </w:rPr>
        <w:t xml:space="preserve">  </w:t>
      </w:r>
      <w:bookmarkEnd w:id="1208"/>
      <w:bookmarkEnd w:id="1209"/>
      <w:bookmarkEnd w:id="1210"/>
      <w:bookmarkEnd w:id="1211"/>
      <w:bookmarkEnd w:id="1212"/>
      <w:bookmarkEnd w:id="1213"/>
      <w:bookmarkEnd w:id="1214"/>
      <w:bookmarkEnd w:id="1215"/>
    </w:p>
    <w:p>
      <w:pPr>
        <w:pStyle w:val="51"/>
        <w:spacing w:line="36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b/>
          <w:color w:val="000000" w:themeColor="text1"/>
          <w:highlight w:val="none"/>
          <w:lang w:val="en-US" w:eastAsia="zh-CN"/>
          <w14:textFill>
            <w14:solidFill>
              <w14:schemeClr w14:val="tx1"/>
            </w14:solidFill>
          </w14:textFill>
        </w:rPr>
        <w:t>C</w:t>
      </w:r>
      <w:r>
        <w:rPr>
          <w:rFonts w:hint="default" w:ascii="Times New Roman" w:hAnsi="Times New Roman" w:cs="Times New Roman"/>
          <w:color w:val="000000" w:themeColor="text1"/>
          <w:highlight w:val="none"/>
          <w14:textFill>
            <w14:solidFill>
              <w14:schemeClr w14:val="tx1"/>
            </w14:solidFill>
          </w14:textFill>
        </w:rPr>
        <w:t xml:space="preserve">  模块单元出厂合格证（范本）</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784"/>
        <w:gridCol w:w="287"/>
        <w:gridCol w:w="1168"/>
        <w:gridCol w:w="569"/>
        <w:gridCol w:w="319"/>
        <w:gridCol w:w="323"/>
        <w:gridCol w:w="1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628" w:type="pct"/>
            <w:gridSpan w:val="4"/>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模块单元出厂合格证</w:t>
            </w:r>
          </w:p>
        </w:tc>
        <w:tc>
          <w:tcPr>
            <w:tcW w:w="987" w:type="pct"/>
            <w:gridSpan w:val="3"/>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合格证编号</w:t>
            </w:r>
          </w:p>
        </w:tc>
        <w:tc>
          <w:tcPr>
            <w:tcW w:w="1383" w:type="pc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2"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项目名称</w:t>
            </w:r>
          </w:p>
        </w:tc>
        <w:tc>
          <w:tcPr>
            <w:tcW w:w="3557" w:type="pct"/>
            <w:gridSpan w:val="6"/>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 w:hRule="atLeast"/>
          <w:jc w:val="center"/>
        </w:trPr>
        <w:tc>
          <w:tcPr>
            <w:tcW w:w="1442"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生产单位</w:t>
            </w:r>
          </w:p>
        </w:tc>
        <w:tc>
          <w:tcPr>
            <w:tcW w:w="3557" w:type="pct"/>
            <w:gridSpan w:val="6"/>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2"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模块编号</w:t>
            </w:r>
          </w:p>
        </w:tc>
        <w:tc>
          <w:tcPr>
            <w:tcW w:w="118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w:t>
            </w:r>
          </w:p>
        </w:tc>
        <w:tc>
          <w:tcPr>
            <w:tcW w:w="987" w:type="pct"/>
            <w:gridSpan w:val="3"/>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模块规格</w:t>
            </w:r>
          </w:p>
        </w:tc>
        <w:tc>
          <w:tcPr>
            <w:tcW w:w="1383" w:type="pc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 w:hRule="atLeast"/>
          <w:jc w:val="center"/>
        </w:trPr>
        <w:tc>
          <w:tcPr>
            <w:tcW w:w="1442"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模块出厂日期</w:t>
            </w:r>
          </w:p>
        </w:tc>
        <w:tc>
          <w:tcPr>
            <w:tcW w:w="118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p>
        </w:tc>
        <w:tc>
          <w:tcPr>
            <w:tcW w:w="987" w:type="pct"/>
            <w:gridSpan w:val="3"/>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混凝土设计强度等级</w:t>
            </w:r>
          </w:p>
        </w:tc>
        <w:tc>
          <w:tcPr>
            <w:tcW w:w="1383" w:type="pc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 w:hRule="atLeast"/>
          <w:jc w:val="center"/>
        </w:trPr>
        <w:tc>
          <w:tcPr>
            <w:tcW w:w="5000" w:type="pct"/>
            <w:gridSpan w:val="8"/>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模块单元性能检验评定结论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03" w:type="pc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类别</w:t>
            </w: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检验项目</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评定结论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 w:hRule="atLeast"/>
          <w:jc w:val="center"/>
        </w:trPr>
        <w:tc>
          <w:tcPr>
            <w:tcW w:w="803" w:type="pct"/>
            <w:vMerge w:val="restar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结构质量</w:t>
            </w: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混凝土抗压强度</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符合设计要求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 w:hRule="atLeast"/>
          <w:jc w:val="center"/>
        </w:trPr>
        <w:tc>
          <w:tcPr>
            <w:tcW w:w="803" w:type="pct"/>
            <w:vMerge w:val="continue"/>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钢筋原材料检测</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符合设计要求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03" w:type="pct"/>
            <w:vMerge w:val="continue"/>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模块结构外观及尺寸偏差</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 w:hRule="atLeast"/>
          <w:jc w:val="center"/>
        </w:trPr>
        <w:tc>
          <w:tcPr>
            <w:tcW w:w="803" w:type="pct"/>
            <w:vMerge w:val="restar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使用功能</w:t>
            </w: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卫生间等有防水要求部位</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闭水试验合格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03" w:type="pct"/>
            <w:vMerge w:val="continue"/>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建筑外围护部分（外墙/窗）</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淋水试验合格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03" w:type="pct"/>
            <w:vMerge w:val="restar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集成系统</w:t>
            </w: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预埋机电管线</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通畅，接口正确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03" w:type="pct"/>
            <w:vMerge w:val="continue"/>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装饰装修面层</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完好，安装牢固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 w:hRule="atLeast"/>
          <w:jc w:val="center"/>
        </w:trPr>
        <w:tc>
          <w:tcPr>
            <w:tcW w:w="803" w:type="pct"/>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bCs/>
                <w:color w:val="000000" w:themeColor="text1"/>
                <w:sz w:val="16"/>
                <w:szCs w:val="16"/>
                <w:highlight w:val="none"/>
                <w14:textFill>
                  <w14:solidFill>
                    <w14:schemeClr w14:val="tx1"/>
                  </w14:solidFill>
                </w14:textFill>
              </w:rPr>
              <w:t>资料核查</w:t>
            </w:r>
          </w:p>
        </w:tc>
        <w:tc>
          <w:tcPr>
            <w:tcW w:w="2549" w:type="pct"/>
            <w:gridSpan w:val="5"/>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主要材料证明文件及复试报告</w:t>
            </w:r>
          </w:p>
        </w:tc>
        <w:tc>
          <w:tcPr>
            <w:tcW w:w="1646" w:type="pct"/>
            <w:gridSpan w:val="2"/>
            <w:vAlign w:val="center"/>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齐全有效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000" w:type="pct"/>
            <w:gridSpan w:val="8"/>
          </w:tcPr>
          <w:p>
            <w:pP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1" w:hRule="atLeast"/>
          <w:jc w:val="center"/>
        </w:trPr>
        <w:tc>
          <w:tcPr>
            <w:tcW w:w="1676" w:type="pct"/>
            <w:gridSpan w:val="3"/>
          </w:tcPr>
          <w:p>
            <w:pPr>
              <w:jc w:val="cente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生产单位技术负责人</w:t>
            </w:r>
          </w:p>
        </w:tc>
        <w:tc>
          <w:tcPr>
            <w:tcW w:w="1415" w:type="pct"/>
            <w:gridSpan w:val="2"/>
          </w:tcPr>
          <w:p>
            <w:pPr>
              <w:jc w:val="cente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填表人</w:t>
            </w:r>
          </w:p>
        </w:tc>
        <w:tc>
          <w:tcPr>
            <w:tcW w:w="1907" w:type="pct"/>
            <w:gridSpan w:val="3"/>
          </w:tcPr>
          <w:p>
            <w:pPr>
              <w:jc w:val="cente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76" w:type="pct"/>
            <w:gridSpan w:val="3"/>
          </w:tcPr>
          <w:p>
            <w:pPr>
              <w:rPr>
                <w:rFonts w:hint="default" w:ascii="Times New Roman" w:hAnsi="Times New Roman" w:cs="Times New Roman"/>
                <w:color w:val="000000" w:themeColor="text1"/>
                <w:sz w:val="16"/>
                <w:szCs w:val="16"/>
                <w:highlight w:val="none"/>
                <w14:textFill>
                  <w14:solidFill>
                    <w14:schemeClr w14:val="tx1"/>
                  </w14:solidFill>
                </w14:textFill>
              </w:rPr>
            </w:pPr>
          </w:p>
        </w:tc>
        <w:tc>
          <w:tcPr>
            <w:tcW w:w="1415" w:type="pct"/>
            <w:gridSpan w:val="2"/>
          </w:tcPr>
          <w:p>
            <w:pPr>
              <w:rPr>
                <w:rFonts w:hint="default" w:ascii="Times New Roman" w:hAnsi="Times New Roman" w:cs="Times New Roman"/>
                <w:color w:val="000000" w:themeColor="text1"/>
                <w:sz w:val="16"/>
                <w:szCs w:val="16"/>
                <w:highlight w:val="none"/>
                <w14:textFill>
                  <w14:solidFill>
                    <w14:schemeClr w14:val="tx1"/>
                  </w14:solidFill>
                </w14:textFill>
              </w:rPr>
            </w:pPr>
          </w:p>
        </w:tc>
        <w:tc>
          <w:tcPr>
            <w:tcW w:w="1907" w:type="pct"/>
            <w:gridSpan w:val="3"/>
            <w:vMerge w:val="restart"/>
          </w:tcPr>
          <w:p>
            <w:pPr>
              <w:jc w:val="cente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 □ 合格 □ 不合格</w:t>
            </w:r>
          </w:p>
          <w:p>
            <w:pPr>
              <w:jc w:val="center"/>
              <w:rPr>
                <w:rFonts w:hint="default" w:ascii="Times New Roman" w:hAnsi="Times New Roman" w:cs="Times New Roman"/>
                <w:color w:val="000000" w:themeColor="text1"/>
                <w:sz w:val="16"/>
                <w:szCs w:val="16"/>
                <w:highlight w:val="none"/>
                <w14:textFill>
                  <w14:solidFill>
                    <w14:schemeClr w14:val="tx1"/>
                  </w14:solidFill>
                </w14:textFill>
              </w:rPr>
            </w:pPr>
            <w:r>
              <w:rPr>
                <w:rFonts w:hint="default" w:ascii="Times New Roman" w:hAnsi="Times New Roman" w:cs="Times New Roman"/>
                <w:color w:val="000000" w:themeColor="text1"/>
                <w:sz w:val="16"/>
                <w:szCs w:val="16"/>
                <w:highlight w:val="none"/>
                <w14:textFill>
                  <w14:solidFill>
                    <w14:schemeClr w14:val="tx1"/>
                  </w14:solidFill>
                </w14:textFill>
              </w:rPr>
              <w:t>供应单位名称（盖章）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1" w:hRule="atLeast"/>
          <w:jc w:val="center"/>
        </w:trPr>
        <w:tc>
          <w:tcPr>
            <w:tcW w:w="3092" w:type="pct"/>
            <w:gridSpan w:val="5"/>
          </w:tcPr>
          <w:p>
            <w:pPr>
              <w:rPr>
                <w:rFonts w:hint="default" w:ascii="Times New Roman" w:hAnsi="Times New Roman" w:cs="Times New Roman"/>
                <w:color w:val="000000" w:themeColor="text1"/>
                <w:sz w:val="16"/>
                <w:szCs w:val="16"/>
                <w14:textFill>
                  <w14:solidFill>
                    <w14:schemeClr w14:val="tx1"/>
                  </w14:solidFill>
                </w14:textFill>
              </w:rPr>
            </w:pPr>
            <w:r>
              <w:rPr>
                <w:rFonts w:hint="default" w:ascii="Times New Roman" w:hAnsi="Times New Roman" w:cs="Times New Roman"/>
                <w:color w:val="000000" w:themeColor="text1"/>
                <w:sz w:val="16"/>
                <w:szCs w:val="16"/>
                <w14:textFill>
                  <w14:solidFill>
                    <w14:schemeClr w14:val="tx1"/>
                  </w14:solidFill>
                </w14:textFill>
              </w:rPr>
              <w:t>填表日期:        年      月    日</w:t>
            </w:r>
          </w:p>
        </w:tc>
        <w:tc>
          <w:tcPr>
            <w:tcW w:w="1907" w:type="pct"/>
            <w:gridSpan w:val="3"/>
            <w:vMerge w:val="continue"/>
          </w:tcPr>
          <w:p>
            <w:pPr>
              <w:rPr>
                <w:rFonts w:hint="default" w:ascii="Times New Roman" w:hAnsi="Times New Roman" w:cs="Times New Roman"/>
                <w:color w:val="000000" w:themeColor="text1"/>
                <w:sz w:val="16"/>
                <w:szCs w:val="16"/>
                <w14:textFill>
                  <w14:solidFill>
                    <w14:schemeClr w14:val="tx1"/>
                  </w14:solidFill>
                </w14:textFill>
              </w:rPr>
            </w:pPr>
          </w:p>
        </w:tc>
      </w:tr>
    </w:tbl>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216" w:name="_Toc82523981"/>
      <w:bookmarkStart w:id="1217" w:name="_Toc24663"/>
      <w:bookmarkStart w:id="1218" w:name="_Toc9886"/>
      <w:bookmarkStart w:id="1219" w:name="_Toc15617"/>
      <w:bookmarkStart w:id="1220" w:name="_Toc5639"/>
      <w:bookmarkStart w:id="1221" w:name="_Toc110958516"/>
      <w:bookmarkStart w:id="1222" w:name="_Toc93999737"/>
      <w:bookmarkStart w:id="1223" w:name="_Toc28181"/>
      <w:bookmarkStart w:id="1224" w:name="_Toc110952748"/>
      <w:bookmarkStart w:id="1225" w:name="_Toc19014"/>
      <w:bookmarkStart w:id="1226" w:name="_Toc1830"/>
      <w:bookmarkStart w:id="1227" w:name="_Toc14256"/>
      <w:bookmarkStart w:id="1228" w:name="_Toc5314"/>
      <w:bookmarkStart w:id="1229" w:name="_Toc23124"/>
      <w:bookmarkStart w:id="1230" w:name="_Toc19755"/>
      <w:bookmarkStart w:id="1231" w:name="_Toc93998976"/>
      <w:r>
        <w:rPr>
          <w:rFonts w:hint="default" w:ascii="Times New Roman" w:hAnsi="Times New Roman" w:eastAsia="黑体" w:cs="Times New Roman"/>
          <w:color w:val="000000" w:themeColor="text1"/>
          <w:sz w:val="28"/>
          <w:szCs w:val="28"/>
          <w:highlight w:val="none"/>
          <w:lang w:eastAsia="zh-CN"/>
          <w14:textFill>
            <w14:solidFill>
              <w14:schemeClr w14:val="tx1"/>
            </w14:solidFill>
          </w14:textFill>
        </w:rPr>
        <w:t>本标准</w:t>
      </w:r>
      <w:r>
        <w:rPr>
          <w:rFonts w:hint="default" w:ascii="Times New Roman" w:hAnsi="Times New Roman" w:eastAsia="黑体" w:cs="Times New Roman"/>
          <w:color w:val="000000" w:themeColor="text1"/>
          <w:sz w:val="28"/>
          <w:szCs w:val="28"/>
          <w:highlight w:val="none"/>
          <w14:textFill>
            <w14:solidFill>
              <w14:schemeClr w14:val="tx1"/>
            </w14:solidFill>
          </w14:textFill>
        </w:rPr>
        <w:t>用词说明</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pPr>
        <w:spacing w:line="360" w:lineRule="exact"/>
        <w:ind w:firstLine="0" w:firstLineChars="0"/>
        <w:jc w:val="left"/>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1</w:t>
      </w:r>
      <w:r>
        <w:rPr>
          <w:rFonts w:hint="default" w:ascii="Times New Roman" w:hAnsi="Times New Roman" w:cs="Times New Roman"/>
          <w:bCs/>
          <w:color w:val="000000" w:themeColor="text1"/>
          <w:szCs w:val="21"/>
          <w:highlight w:val="none"/>
          <w14:textFill>
            <w14:solidFill>
              <w14:schemeClr w14:val="tx1"/>
            </w14:solidFill>
          </w14:textFill>
        </w:rPr>
        <w:t xml:space="preserve">  为了便于在执行</w:t>
      </w:r>
      <w:r>
        <w:rPr>
          <w:rFonts w:hint="default" w:ascii="Times New Roman" w:hAnsi="Times New Roman" w:cs="Times New Roman"/>
          <w:bCs/>
          <w:color w:val="000000" w:themeColor="text1"/>
          <w:szCs w:val="21"/>
          <w:highlight w:val="none"/>
          <w:lang w:eastAsia="zh-CN"/>
          <w14:textFill>
            <w14:solidFill>
              <w14:schemeClr w14:val="tx1"/>
            </w14:solidFill>
          </w14:textFill>
        </w:rPr>
        <w:t>本标准</w:t>
      </w:r>
      <w:r>
        <w:rPr>
          <w:rFonts w:hint="default" w:ascii="Times New Roman" w:hAnsi="Times New Roman" w:cs="Times New Roman"/>
          <w:bCs/>
          <w:color w:val="000000" w:themeColor="text1"/>
          <w:szCs w:val="21"/>
          <w:highlight w:val="none"/>
          <w14:textFill>
            <w14:solidFill>
              <w14:schemeClr w14:val="tx1"/>
            </w14:solidFill>
          </w14:textFill>
        </w:rPr>
        <w:t>条文时区别对待，对要求严格程度不同的用词说明如下：</w:t>
      </w:r>
    </w:p>
    <w:p>
      <w:pPr>
        <w:spacing w:line="360" w:lineRule="exact"/>
        <w:ind w:firstLine="421" w:firstLineChars="200"/>
        <w:jc w:val="left"/>
        <w:rPr>
          <w:rFonts w:hint="default" w:ascii="Times New Roman" w:hAnsi="Times New Roman" w:cs="Times New Roman"/>
          <w:bCs/>
          <w:color w:val="000000" w:themeColor="text1"/>
          <w:szCs w:val="21"/>
          <w:highlight w:val="none"/>
          <w14:textFill>
            <w14:solidFill>
              <w14:schemeClr w14:val="tx1"/>
            </w14:solidFill>
          </w14:textFill>
        </w:rPr>
      </w:pPr>
      <w:bookmarkStart w:id="1232" w:name="_Toc5524"/>
      <w:bookmarkStart w:id="1233" w:name="_Toc26893"/>
      <w:bookmarkStart w:id="1234" w:name="_Toc26382"/>
      <w:bookmarkStart w:id="1235" w:name="_Toc11941"/>
      <w:bookmarkStart w:id="1236" w:name="_Toc22920"/>
      <w:r>
        <w:rPr>
          <w:rFonts w:hint="default" w:ascii="Times New Roman" w:hAnsi="Times New Roman" w:cs="Times New Roman"/>
          <w:b/>
          <w:color w:val="000000" w:themeColor="text1"/>
          <w:szCs w:val="21"/>
          <w:highlight w:val="none"/>
          <w14:textFill>
            <w14:solidFill>
              <w14:schemeClr w14:val="tx1"/>
            </w14:solidFill>
          </w14:textFill>
        </w:rPr>
        <w:t>1</w:t>
      </w:r>
      <w:r>
        <w:rPr>
          <w:rFonts w:hint="default" w:ascii="Times New Roman" w:hAnsi="Times New Roman" w:cs="Times New Roman"/>
          <w:bCs/>
          <w:color w:val="000000" w:themeColor="text1"/>
          <w:szCs w:val="21"/>
          <w:highlight w:val="none"/>
          <w14:textFill>
            <w14:solidFill>
              <w14:schemeClr w14:val="tx1"/>
            </w14:solidFill>
          </w14:textFill>
        </w:rPr>
        <w:t>）表示很严格，非这样做不可的用词：</w:t>
      </w:r>
      <w:bookmarkEnd w:id="1232"/>
      <w:bookmarkEnd w:id="1233"/>
      <w:bookmarkEnd w:id="1234"/>
      <w:bookmarkEnd w:id="1235"/>
      <w:bookmarkEnd w:id="1236"/>
    </w:p>
    <w:p>
      <w:pPr>
        <w:spacing w:line="360" w:lineRule="exact"/>
        <w:ind w:firstLine="630" w:firstLineChars="300"/>
        <w:jc w:val="left"/>
        <w:rPr>
          <w:rFonts w:hint="default" w:ascii="Times New Roman" w:hAnsi="Times New Roman" w:cs="Times New Roman"/>
          <w:color w:val="000000" w:themeColor="text1"/>
          <w:szCs w:val="21"/>
          <w:highlight w:val="none"/>
          <w14:textFill>
            <w14:solidFill>
              <w14:schemeClr w14:val="tx1"/>
            </w14:solidFill>
          </w14:textFill>
        </w:rPr>
      </w:pPr>
      <w:bookmarkStart w:id="1237" w:name="_Toc32178"/>
      <w:bookmarkStart w:id="1238" w:name="_Toc25963"/>
      <w:bookmarkStart w:id="1239" w:name="_Toc24071"/>
      <w:bookmarkStart w:id="1240" w:name="_Toc30494"/>
      <w:bookmarkStart w:id="1241" w:name="_Toc16286"/>
      <w:r>
        <w:rPr>
          <w:rFonts w:hint="default" w:ascii="Times New Roman" w:hAnsi="Times New Roman" w:cs="Times New Roman"/>
          <w:color w:val="000000" w:themeColor="text1"/>
          <w:szCs w:val="21"/>
          <w:highlight w:val="none"/>
          <w14:textFill>
            <w14:solidFill>
              <w14:schemeClr w14:val="tx1"/>
            </w14:solidFill>
          </w14:textFill>
        </w:rPr>
        <w:t>正面词采用“必须”，反面词采用“严禁”；</w:t>
      </w:r>
      <w:bookmarkEnd w:id="1237"/>
      <w:bookmarkEnd w:id="1238"/>
      <w:bookmarkEnd w:id="1239"/>
      <w:bookmarkEnd w:id="1240"/>
      <w:bookmarkEnd w:id="1241"/>
    </w:p>
    <w:p>
      <w:pPr>
        <w:spacing w:line="360" w:lineRule="exact"/>
        <w:ind w:firstLine="421" w:firstLineChars="200"/>
        <w:jc w:val="left"/>
        <w:rPr>
          <w:rFonts w:hint="default" w:ascii="Times New Roman" w:hAnsi="Times New Roman" w:eastAsia="黑体" w:cs="Times New Roman"/>
          <w:color w:val="000000" w:themeColor="text1"/>
          <w:szCs w:val="21"/>
          <w:highlight w:val="none"/>
          <w14:textFill>
            <w14:solidFill>
              <w14:schemeClr w14:val="tx1"/>
            </w14:solidFill>
          </w14:textFill>
        </w:rPr>
      </w:pPr>
      <w:bookmarkStart w:id="1242" w:name="_Toc24280"/>
      <w:bookmarkStart w:id="1243" w:name="_Toc21952"/>
      <w:bookmarkStart w:id="1244" w:name="_Toc30275"/>
      <w:bookmarkStart w:id="1245" w:name="_Toc20287"/>
      <w:bookmarkStart w:id="1246" w:name="_Toc15799"/>
      <w:r>
        <w:rPr>
          <w:rFonts w:hint="default" w:ascii="Times New Roman" w:hAnsi="Times New Roman" w:eastAsia="黑体" w:cs="Times New Roman"/>
          <w:b/>
          <w:bCs/>
          <w:color w:val="000000" w:themeColor="text1"/>
          <w:szCs w:val="21"/>
          <w:highlight w:val="none"/>
          <w14:textFill>
            <w14:solidFill>
              <w14:schemeClr w14:val="tx1"/>
            </w14:solidFill>
          </w14:textFill>
        </w:rPr>
        <w:t>2</w:t>
      </w: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表示严格，在正常情况下均应这样做的用词：</w:t>
      </w:r>
      <w:bookmarkEnd w:id="1242"/>
      <w:bookmarkEnd w:id="1243"/>
      <w:bookmarkEnd w:id="1244"/>
      <w:bookmarkEnd w:id="1245"/>
      <w:bookmarkEnd w:id="1246"/>
    </w:p>
    <w:p>
      <w:pPr>
        <w:spacing w:line="360" w:lineRule="exact"/>
        <w:ind w:firstLine="630" w:firstLineChars="30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正面词采用“应”，反面词采用“不应”或“不得”；</w:t>
      </w:r>
    </w:p>
    <w:p>
      <w:pPr>
        <w:spacing w:line="360" w:lineRule="exact"/>
        <w:ind w:firstLine="421" w:firstLineChars="200"/>
        <w:jc w:val="left"/>
        <w:rPr>
          <w:rFonts w:hint="default" w:ascii="Times New Roman" w:hAnsi="Times New Roman" w:eastAsia="黑体" w:cs="Times New Roman"/>
          <w:color w:val="000000" w:themeColor="text1"/>
          <w:szCs w:val="21"/>
          <w:highlight w:val="none"/>
          <w14:textFill>
            <w14:solidFill>
              <w14:schemeClr w14:val="tx1"/>
            </w14:solidFill>
          </w14:textFill>
        </w:rPr>
      </w:pPr>
      <w:bookmarkStart w:id="1247" w:name="_Toc30858"/>
      <w:bookmarkStart w:id="1248" w:name="_Toc8656"/>
      <w:bookmarkStart w:id="1249" w:name="_Toc16982"/>
      <w:bookmarkStart w:id="1250" w:name="_Toc16910"/>
      <w:bookmarkStart w:id="1251" w:name="_Toc12205"/>
      <w:r>
        <w:rPr>
          <w:rFonts w:hint="default" w:ascii="Times New Roman" w:hAnsi="Times New Roman" w:eastAsia="黑体" w:cs="Times New Roman"/>
          <w:b/>
          <w:bCs/>
          <w:color w:val="000000" w:themeColor="text1"/>
          <w:szCs w:val="21"/>
          <w:highlight w:val="none"/>
          <w14:textFill>
            <w14:solidFill>
              <w14:schemeClr w14:val="tx1"/>
            </w14:solidFill>
          </w14:textFill>
        </w:rPr>
        <w:t>3</w:t>
      </w: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表示允许稍有选择，在条件许可时首先应这样做的用词：</w:t>
      </w:r>
      <w:bookmarkEnd w:id="1247"/>
      <w:bookmarkEnd w:id="1248"/>
      <w:bookmarkEnd w:id="1249"/>
      <w:bookmarkEnd w:id="1250"/>
      <w:bookmarkEnd w:id="1251"/>
    </w:p>
    <w:p>
      <w:pPr>
        <w:spacing w:line="360" w:lineRule="exact"/>
        <w:ind w:firstLine="630" w:firstLineChars="30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正面词采用“宜”，反面词采用“不宜”；</w:t>
      </w:r>
    </w:p>
    <w:p>
      <w:pPr>
        <w:spacing w:line="360" w:lineRule="exact"/>
        <w:ind w:firstLine="421" w:firstLineChars="200"/>
        <w:jc w:val="left"/>
        <w:rPr>
          <w:rFonts w:hint="default" w:ascii="Times New Roman" w:hAnsi="Times New Roman" w:cs="Times New Roman"/>
          <w:color w:val="000000" w:themeColor="text1"/>
          <w:szCs w:val="21"/>
          <w:highlight w:val="none"/>
          <w14:textFill>
            <w14:solidFill>
              <w14:schemeClr w14:val="tx1"/>
            </w14:solidFill>
          </w14:textFill>
        </w:rPr>
      </w:pPr>
      <w:bookmarkStart w:id="1252" w:name="_Toc32148"/>
      <w:bookmarkStart w:id="1253" w:name="_Toc8006"/>
      <w:bookmarkStart w:id="1254" w:name="_Toc21018"/>
      <w:bookmarkStart w:id="1255" w:name="_Toc1091"/>
      <w:bookmarkStart w:id="1256" w:name="_Toc726"/>
      <w:r>
        <w:rPr>
          <w:rFonts w:hint="default" w:ascii="Times New Roman" w:hAnsi="Times New Roman" w:eastAsia="黑体" w:cs="Times New Roman"/>
          <w:b/>
          <w:bCs/>
          <w:color w:val="000000" w:themeColor="text1"/>
          <w:szCs w:val="21"/>
          <w:highlight w:val="none"/>
          <w14:textFill>
            <w14:solidFill>
              <w14:schemeClr w14:val="tx1"/>
            </w14:solidFill>
          </w14:textFill>
        </w:rPr>
        <w:t>4</w:t>
      </w:r>
      <w:r>
        <w:rPr>
          <w:rFonts w:hint="default" w:ascii="Times New Roman" w:hAnsi="Times New Roman" w:eastAsia="黑体" w:cs="Times New Roman"/>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表示有选择，在一定条件下可以这样做的用词，采用“可”。</w:t>
      </w:r>
      <w:bookmarkEnd w:id="1252"/>
      <w:bookmarkEnd w:id="1253"/>
      <w:bookmarkEnd w:id="1254"/>
      <w:bookmarkEnd w:id="1255"/>
      <w:bookmarkEnd w:id="1256"/>
    </w:p>
    <w:p>
      <w:pPr>
        <w:spacing w:line="360" w:lineRule="exact"/>
        <w:ind w:firstLine="0" w:firstLineChars="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黑体" w:cs="Times New Roman"/>
          <w:b/>
          <w:bCs/>
          <w:color w:val="000000" w:themeColor="text1"/>
          <w:szCs w:val="2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 xml:space="preserve">  条文中指明应按其他有关的标准执行的写法为“应符合……的规定”或“应按……执行”。</w:t>
      </w:r>
    </w:p>
    <w:p>
      <w:pPr>
        <w:keepNext/>
        <w:keepLines/>
        <w:spacing w:before="360" w:after="360" w:line="360" w:lineRule="exact"/>
        <w:jc w:val="center"/>
        <w:outlineLvl w:val="0"/>
        <w:rPr>
          <w:rFonts w:hint="default" w:ascii="Times New Roman" w:hAnsi="Times New Roman" w:cs="Times New Roman"/>
          <w:bCs/>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br w:type="page"/>
      </w:r>
      <w:bookmarkStart w:id="1257" w:name="_Toc4925"/>
      <w:bookmarkStart w:id="1258" w:name="_Toc93998977"/>
      <w:bookmarkStart w:id="1259" w:name="_Toc14686"/>
      <w:bookmarkStart w:id="1260" w:name="_Toc17670"/>
      <w:bookmarkStart w:id="1261" w:name="_Toc27113"/>
      <w:bookmarkStart w:id="1262" w:name="_Toc16892"/>
      <w:bookmarkStart w:id="1263" w:name="_Toc31437"/>
      <w:bookmarkStart w:id="1264" w:name="_Toc17488"/>
      <w:bookmarkStart w:id="1265" w:name="_Toc110952749"/>
      <w:bookmarkStart w:id="1266" w:name="_Toc18165"/>
      <w:bookmarkStart w:id="1267" w:name="_Toc82523982"/>
      <w:bookmarkStart w:id="1268" w:name="_Toc25092"/>
      <w:bookmarkStart w:id="1269" w:name="_Toc22775"/>
      <w:bookmarkStart w:id="1270" w:name="_Toc93999738"/>
      <w:bookmarkStart w:id="1271" w:name="_Toc110958517"/>
      <w:bookmarkStart w:id="1272" w:name="_Toc13730"/>
      <w:bookmarkStart w:id="1273" w:name="_Toc1234"/>
      <w:r>
        <w:rPr>
          <w:rFonts w:hint="default" w:ascii="Times New Roman" w:hAnsi="Times New Roman" w:eastAsia="黑体" w:cs="Times New Roman"/>
          <w:b/>
          <w:bCs/>
          <w:color w:val="000000" w:themeColor="text1"/>
          <w:kern w:val="44"/>
          <w:sz w:val="28"/>
          <w:szCs w:val="28"/>
          <w:highlight w:val="none"/>
          <w14:textFill>
            <w14:solidFill>
              <w14:schemeClr w14:val="tx1"/>
            </w14:solidFill>
          </w14:textFill>
        </w:rPr>
        <w:t>引用标准名录</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《工程结构通用规范》GB 55001</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《钢结构通用规范》GB 55006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《混凝土结构通用规范》GB 55008</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《建筑节能与可再生能源利用通用规范》GB 55015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《建筑环境通用规范》GB 55016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《建筑给水排水与节水通用规范》GB 55020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《建筑电气与智能化通用规范》GB 55024</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《钢结构防火涂料》GB 14907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《建筑结构荷载规范》GB 50009</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《建筑抗震设计标准》GB/T 50011</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《建筑给水排水设计标准》GB 50015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《建筑设计防火规范》GB 50016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《工程测量标准》GB 50026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《城镇燃气设计规范》GB 50028</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《供配电系统设计规范》GB 50052</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《低压配电设计规范》GB 50054</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《建筑物防雷设计规范》GB 50057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《民用建筑隔声设计规范》GB 50118</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《火灾自动报警系统施工及验收标准》GB 50166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《民用建筑热工设计规范》GB 50176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《公共建筑节能设计标准》GB 50189</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《混凝土结构工程施工质量验收规范》GB 50204</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《钢结构工程施工质量验收标准》GB 50205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《建筑装饰装修工程质量验收标准》GB 50210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《建筑内部装修设计防火规范》GB 50222</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《建筑给水排水及采暖工程施工质量验收规范》GB 50242</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《通风与空调工程施工质量验收规范》GB 50243</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《建筑工程施工质量验收统一标准》GB 50300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《建筑电气工程施工质量验收规范》GB 50303</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《民用建筑工程室内环境污染控制标准》GB 50325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《住宅装饰装修工程施工规范》GB 50327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《屋面工程技术规范》GB 50345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《民用建筑设计统一标准》GB 50352</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《建筑节能工程施工质量验收标准》GB 50411</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《钢结构焊接规范》GB 50661</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《混凝土结构工程施工规范》GB 50666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《民用建筑供暖通风与空气调节设计规范》GB 50736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《钢结构工程施工规范》GB 50755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《建筑机电工程抗震设计规范》GB 50981</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《民用建筑电气设计标准》GB 51348</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《碳素结构钢》GB/T 700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《钢筋混凝土用钢第1部分 热轧光圆钢筋》GB/T 1497.1</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《钢筋混凝土用钢第2部分 热轧带肋钢筋》GB/T 1497.2</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《钢筋混凝土用钢第3部分 钢筋焊接网》GB/T 1497.3</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《不锈钢冷轧钢板和钢带》GB/T 3280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《不锈钢冷加工钢棒》GB/T 4226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《不锈钢热轧钢板和钢带》GB/T 4237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《建筑模数协调标准》GB/T 50002</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《混凝土结构设计标准》GB/T 50010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《交流电气装置的接地设计规范》GB/T 50065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《混凝土强度检验评定标准》GB/T 50107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《人造板及饰面人造板理化性能试验方法》GB/T 17657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《建筑门窗洞口尺寸系列》GB/T 5824</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《建筑工程绿色施工规范》GB/T 50905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《装配式混凝土结构技术规程》JGJ 1</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《高层建筑混凝土结构技术规程》JGJ 3</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《钢筋焊接及验收规程》JGJ 18</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《建筑机械使用安全技术规程》JGJ 33</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《施工现场临时用电安全技术规范》JGJ 46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《夏热冬暖地区居住建筑节能设计标准》JGJ 75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《建筑施工高处作业安全技术规范》JGJ 80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《钢筋机械连接技术规程》JGJ 107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《外墙饰面砖工程施工及验收规程》JGJ 126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《建筑施工起重吊装工程安全技术规范》JGJ 276</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《公共建筑吊顶工程技术规程》JGJ 345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《住宅室内装饰装修设计规范》JGJ 367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《轻骨料混凝土应用技术标准》JGJ/T 12</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《建筑工程饰面砖粘结强度检验标准》JGJ/T 110</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《建筑轻质条板隔墙技术规程》JGJ/T 157</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《自密实混凝土应用技术规程》JGJ/T 283</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《钢筋</w:t>
      </w:r>
      <w:r>
        <w:rPr>
          <w:rFonts w:hint="default" w:ascii="Times New Roman" w:hAnsi="Times New Roman" w:cs="Times New Roman"/>
          <w:color w:val="000000" w:themeColor="text1"/>
          <w:szCs w:val="21"/>
          <w:highlight w:val="none"/>
          <w:lang w:val="en-US" w:eastAsia="zh-CN"/>
          <w14:textFill>
            <w14:solidFill>
              <w14:schemeClr w14:val="tx1"/>
            </w14:solidFill>
          </w14:textFill>
        </w:rPr>
        <w:t>套筒灌</w:t>
      </w:r>
      <w:r>
        <w:rPr>
          <w:rFonts w:hint="default" w:ascii="Times New Roman" w:hAnsi="Times New Roman" w:cs="Times New Roman"/>
          <w:color w:val="000000" w:themeColor="text1"/>
          <w:szCs w:val="21"/>
          <w:highlight w:val="none"/>
          <w14:textFill>
            <w14:solidFill>
              <w14:schemeClr w14:val="tx1"/>
            </w14:solidFill>
          </w14:textFill>
        </w:rPr>
        <w:t>浆连接应用技术规程》JGJ355</w:t>
      </w:r>
    </w:p>
    <w:p>
      <w:pPr>
        <w:numPr>
          <w:ilvl w:val="0"/>
          <w:numId w:val="3"/>
        </w:numPr>
        <w:spacing w:line="360" w:lineRule="exact"/>
        <w:ind w:left="113" w:leftChars="0" w:hanging="113"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《建筑防水工程技术规程》DBJ/T 15-19</w:t>
      </w:r>
    </w:p>
    <w:p>
      <w:pPr>
        <w:jc w:val="center"/>
        <w:rPr>
          <w:rFonts w:hint="default" w:ascii="Times New Roman" w:hAnsi="Times New Roman" w:cs="Times New Roman"/>
          <w:bCs/>
          <w:color w:val="000000" w:themeColor="text1"/>
          <w:sz w:val="32"/>
          <w:szCs w:val="32"/>
          <w:highlight w:val="none"/>
          <w14:textFill>
            <w14:solidFill>
              <w14:schemeClr w14:val="tx1"/>
            </w14:solidFill>
          </w14:textFill>
        </w:rPr>
        <w:sectPr>
          <w:footerReference r:id="rId9" w:type="default"/>
          <w:pgSz w:w="7937" w:h="11509"/>
          <w:pgMar w:top="1083" w:right="1009" w:bottom="1083" w:left="1009" w:header="851" w:footer="992" w:gutter="0"/>
          <w:pgNumType w:fmt="decimal"/>
          <w:cols w:space="0" w:num="1"/>
          <w:docGrid w:type="lines" w:linePitch="333" w:charSpace="4423"/>
        </w:sectPr>
      </w:pPr>
    </w:p>
    <w:p>
      <w:pPr>
        <w:jc w:val="center"/>
        <w:rPr>
          <w:rFonts w:hint="default" w:ascii="Times New Roman" w:hAnsi="Times New Roman" w:cs="Times New Roman"/>
          <w:bCs/>
          <w:color w:val="000000" w:themeColor="text1"/>
          <w:sz w:val="32"/>
          <w:szCs w:val="32"/>
          <w:highlight w:val="none"/>
          <w14:textFill>
            <w14:solidFill>
              <w14:schemeClr w14:val="tx1"/>
            </w14:solidFill>
          </w14:textFill>
        </w:rPr>
      </w:pPr>
      <w:r>
        <w:rPr>
          <w:rFonts w:hint="default" w:ascii="Times New Roman" w:hAnsi="Times New Roman" w:cs="Times New Roman"/>
          <w:bCs/>
          <w:color w:val="000000" w:themeColor="text1"/>
          <w:sz w:val="32"/>
          <w:szCs w:val="32"/>
          <w:highlight w:val="none"/>
          <w14:textFill>
            <w14:solidFill>
              <w14:schemeClr w14:val="tx1"/>
            </w14:solidFill>
          </w14:textFill>
        </w:rPr>
        <w:t>广东省</w:t>
      </w:r>
      <w:r>
        <w:rPr>
          <w:rFonts w:hint="eastAsia" w:cs="Times New Roman"/>
          <w:bCs/>
          <w:color w:val="000000" w:themeColor="text1"/>
          <w:sz w:val="32"/>
          <w:szCs w:val="32"/>
          <w:highlight w:val="none"/>
          <w:lang w:eastAsia="zh-CN"/>
          <w14:textFill>
            <w14:solidFill>
              <w14:schemeClr w14:val="tx1"/>
            </w14:solidFill>
          </w14:textFill>
        </w:rPr>
        <w:t>地方</w:t>
      </w:r>
      <w:bookmarkStart w:id="1402" w:name="_GoBack"/>
      <w:bookmarkEnd w:id="1402"/>
      <w:r>
        <w:rPr>
          <w:rFonts w:hint="default" w:ascii="Times New Roman" w:hAnsi="Times New Roman" w:cs="Times New Roman"/>
          <w:bCs/>
          <w:color w:val="000000" w:themeColor="text1"/>
          <w:sz w:val="32"/>
          <w:szCs w:val="32"/>
          <w:highlight w:val="none"/>
          <w14:textFill>
            <w14:solidFill>
              <w14:schemeClr w14:val="tx1"/>
            </w14:solidFill>
          </w14:textFill>
        </w:rPr>
        <w:t>标准</w:t>
      </w:r>
    </w:p>
    <w:p>
      <w:pPr>
        <w:spacing w:line="851" w:lineRule="exact"/>
        <w:rPr>
          <w:rFonts w:hint="default" w:ascii="Times New Roman" w:hAnsi="Times New Roman" w:cs="Times New Roman"/>
          <w:bCs/>
          <w:color w:val="000000" w:themeColor="text1"/>
          <w:highlight w:val="none"/>
          <w14:textFill>
            <w14:solidFill>
              <w14:schemeClr w14:val="tx1"/>
            </w14:solidFill>
          </w14:textFill>
        </w:rPr>
      </w:pPr>
    </w:p>
    <w:p>
      <w:pPr>
        <w:spacing w:line="567" w:lineRule="exact"/>
        <w:jc w:val="center"/>
        <w:rPr>
          <w:rFonts w:hint="default" w:ascii="Times New Roman" w:hAnsi="Times New Roman" w:eastAsia="黑体" w:cs="Times New Roman"/>
          <w:bCs/>
          <w:color w:val="000000" w:themeColor="text1"/>
          <w:sz w:val="32"/>
          <w:szCs w:val="32"/>
          <w:highlight w:val="none"/>
          <w14:textFill>
            <w14:solidFill>
              <w14:schemeClr w14:val="tx1"/>
            </w14:solidFill>
          </w14:textFill>
        </w:rPr>
      </w:pPr>
      <w:r>
        <w:rPr>
          <w:rFonts w:hint="default" w:ascii="Times New Roman" w:hAnsi="Times New Roman" w:eastAsia="黑体" w:cs="Times New Roman"/>
          <w:bCs/>
          <w:color w:val="000000" w:themeColor="text1"/>
          <w:sz w:val="32"/>
          <w:szCs w:val="32"/>
          <w:highlight w:val="none"/>
          <w14:textFill>
            <w14:solidFill>
              <w14:schemeClr w14:val="tx1"/>
            </w14:solidFill>
          </w14:textFill>
        </w:rPr>
        <w:t>混凝土模块化建筑技术标准</w:t>
      </w:r>
    </w:p>
    <w:p>
      <w:pPr>
        <w:spacing w:line="567" w:lineRule="exact"/>
        <w:jc w:val="center"/>
        <w:rPr>
          <w:rFonts w:hint="default" w:ascii="Times New Roman" w:hAnsi="Times New Roman" w:eastAsia="黑体" w:cs="Times New Roman"/>
          <w:bCs/>
          <w:color w:val="000000" w:themeColor="text1"/>
          <w:sz w:val="32"/>
          <w:szCs w:val="32"/>
          <w:highlight w:val="none"/>
          <w14:textFill>
            <w14:solidFill>
              <w14:schemeClr w14:val="tx1"/>
            </w14:solidFill>
          </w14:textFill>
        </w:rPr>
      </w:pPr>
    </w:p>
    <w:p>
      <w:pPr>
        <w:spacing w:line="567" w:lineRule="exact"/>
        <w:jc w:val="center"/>
        <w:rPr>
          <w:rFonts w:hint="default" w:ascii="Times New Roman" w:hAnsi="Times New Roman" w:eastAsia="黑体" w:cs="Times New Roman"/>
          <w:bCs/>
          <w:color w:val="000000" w:themeColor="text1"/>
          <w:sz w:val="32"/>
          <w:szCs w:val="32"/>
          <w:highlight w:val="none"/>
          <w14:textFill>
            <w14:solidFill>
              <w14:schemeClr w14:val="tx1"/>
            </w14:solidFill>
          </w14:textFill>
        </w:rPr>
      </w:pPr>
    </w:p>
    <w:p>
      <w:pPr>
        <w:spacing w:line="567" w:lineRule="exact"/>
        <w:jc w:val="center"/>
        <w:rPr>
          <w:rFonts w:hint="default" w:ascii="Times New Roman" w:hAnsi="Times New Roman" w:eastAsia="黑体" w:cs="Times New Roman"/>
          <w:bCs/>
          <w:color w:val="000000" w:themeColor="text1"/>
          <w:sz w:val="32"/>
          <w:szCs w:val="32"/>
          <w:highlight w:val="none"/>
          <w14:textFill>
            <w14:solidFill>
              <w14:schemeClr w14:val="tx1"/>
            </w14:solidFill>
          </w14:textFill>
        </w:rPr>
      </w:pPr>
    </w:p>
    <w:p>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DBJ/T XX-XXX-20</w:t>
      </w:r>
      <w:r>
        <w:rPr>
          <w:rFonts w:hint="default" w:ascii="Times New Roman" w:hAnsi="Times New Roman"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X</w:t>
      </w:r>
    </w:p>
    <w:p>
      <w:pPr>
        <w:spacing w:line="454" w:lineRule="exact"/>
        <w:jc w:val="center"/>
        <w:rPr>
          <w:rFonts w:hint="default" w:ascii="Times New Roman" w:hAnsi="Times New Roman" w:cs="Times New Roman"/>
          <w:b/>
          <w:bCs/>
          <w:color w:val="000000" w:themeColor="text1"/>
          <w:highlight w:val="none"/>
          <w14:textFill>
            <w14:solidFill>
              <w14:schemeClr w14:val="tx1"/>
            </w14:solidFill>
          </w14:textFill>
        </w:rPr>
      </w:pPr>
    </w:p>
    <w:p>
      <w:pPr>
        <w:pStyle w:val="2"/>
        <w:tabs>
          <w:tab w:val="left" w:pos="315"/>
        </w:tabs>
        <w:spacing w:before="156" w:after="156" w:line="288" w:lineRule="auto"/>
        <w:jc w:val="center"/>
        <w:rPr>
          <w:rFonts w:hint="default" w:ascii="Times New Roman" w:hAnsi="Times New Roman" w:eastAsia="宋体" w:cs="Times New Roman"/>
          <w:b/>
          <w:bCs/>
          <w:color w:val="000000" w:themeColor="text1"/>
          <w:sz w:val="28"/>
          <w:szCs w:val="32"/>
          <w:highlight w:val="none"/>
          <w:lang w:val="en-US" w:eastAsia="zh-CN"/>
          <w14:textFill>
            <w14:solidFill>
              <w14:schemeClr w14:val="tx1"/>
            </w14:solidFill>
          </w14:textFill>
        </w:rPr>
        <w:sectPr>
          <w:footerReference r:id="rId10" w:type="default"/>
          <w:footerReference r:id="rId11" w:type="even"/>
          <w:pgSz w:w="7937" w:h="11509"/>
          <w:pgMar w:top="1083" w:right="1009" w:bottom="1083" w:left="1009" w:header="851" w:footer="992" w:gutter="0"/>
          <w:pgNumType w:fmt="decimal"/>
          <w:cols w:space="0" w:num="1"/>
          <w:docGrid w:type="lines" w:linePitch="333" w:charSpace="4423"/>
        </w:sectPr>
      </w:pPr>
      <w:bookmarkStart w:id="1274" w:name="_Toc25618"/>
      <w:bookmarkStart w:id="1275" w:name="_Toc12613"/>
      <w:bookmarkStart w:id="1276" w:name="_Toc20864"/>
      <w:bookmarkStart w:id="1277" w:name="_Toc26407"/>
      <w:bookmarkStart w:id="1278" w:name="_Toc19431"/>
      <w:bookmarkStart w:id="1279" w:name="_Toc23307"/>
      <w:bookmarkStart w:id="1280" w:name="_Toc3413"/>
      <w:bookmarkStart w:id="1281" w:name="_Toc18037"/>
      <w:bookmarkStart w:id="1282" w:name="_Toc31618"/>
      <w:bookmarkStart w:id="1283" w:name="_Toc23926"/>
      <w:r>
        <w:rPr>
          <w:rFonts w:hint="default" w:ascii="Times New Roman" w:hAnsi="Times New Roman" w:cs="Times New Roman"/>
          <w:color w:val="000000" w:themeColor="text1"/>
          <w:highlight w:val="none"/>
          <w14:textFill>
            <w14:solidFill>
              <w14:schemeClr w14:val="tx1"/>
            </w14:solidFill>
          </w14:textFill>
        </w:rPr>
        <w:t>条</w:t>
      </w:r>
      <w:bookmarkEnd w:id="1274"/>
      <w:bookmarkEnd w:id="1275"/>
      <w:bookmarkEnd w:id="1276"/>
      <w:bookmarkEnd w:id="1277"/>
      <w:bookmarkEnd w:id="1278"/>
      <w:bookmarkEnd w:id="1279"/>
      <w:bookmarkEnd w:id="1280"/>
      <w:bookmarkStart w:id="1284" w:name="_Toc26597"/>
      <w:r>
        <w:rPr>
          <w:rFonts w:hint="default" w:ascii="Times New Roman" w:hAnsi="Times New Roman" w:cs="Times New Roman"/>
          <w:color w:val="000000" w:themeColor="text1"/>
          <w:highlight w:val="none"/>
          <w:lang w:val="en-US" w:eastAsia="zh-CN"/>
          <w14:textFill>
            <w14:solidFill>
              <w14:schemeClr w14:val="tx1"/>
            </w14:solidFill>
          </w14:textFill>
        </w:rPr>
        <w:t>文说明</w:t>
      </w:r>
      <w:bookmarkEnd w:id="1281"/>
      <w:bookmarkEnd w:id="1282"/>
      <w:bookmarkEnd w:id="1283"/>
    </w:p>
    <w:p>
      <w:pPr>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bookmarkStart w:id="1285" w:name="_Toc10002"/>
      <w:bookmarkStart w:id="1286" w:name="_Toc22477"/>
      <w:r>
        <w:rPr>
          <w:rFonts w:hint="default" w:ascii="Times New Roman" w:hAnsi="Times New Roman" w:eastAsia="黑体" w:cs="Times New Roman"/>
          <w:b/>
          <w:bCs/>
          <w:color w:val="000000" w:themeColor="text1"/>
          <w:sz w:val="28"/>
          <w:szCs w:val="32"/>
          <w:highlight w:val="none"/>
          <w14:textFill>
            <w14:solidFill>
              <w14:schemeClr w14:val="tx1"/>
            </w14:solidFill>
          </w14:textFill>
        </w:rPr>
        <w:t xml:space="preserve">目 </w:t>
      </w:r>
      <w:r>
        <w:rPr>
          <w:rFonts w:hint="default" w:ascii="Times New Roman" w:hAnsi="Times New Roman" w:eastAsia="黑体" w:cs="Times New Roman"/>
          <w:b/>
          <w:bCs/>
          <w:color w:val="000000" w:themeColor="text1"/>
          <w:sz w:val="28"/>
          <w:szCs w:val="32"/>
          <w:highlight w:val="none"/>
          <w:lang w:val="en-US" w:eastAsia="zh-CN"/>
          <w14:textFill>
            <w14:solidFill>
              <w14:schemeClr w14:val="tx1"/>
            </w14:solidFill>
          </w14:textFill>
        </w:rPr>
        <w:t>次</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TOC \o "1-2" \h \u </w:instrText>
      </w:r>
      <w:r>
        <w:rPr>
          <w:rFonts w:hint="default" w:ascii="Times New Roman" w:hAnsi="Times New Roman" w:cs="Times New Roman"/>
          <w:color w:val="000000" w:themeColor="text1"/>
          <w:highlight w:val="none"/>
          <w14:textFill>
            <w14:solidFill>
              <w14:schemeClr w14:val="tx1"/>
            </w14:solidFill>
          </w14:textFill>
        </w:rPr>
        <w:fldChar w:fldCharType="separate"/>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_Toc17959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  总则</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_Toc17959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_Toc8347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2  术语和符号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_Toc8347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18"/>
          <w:highlight w:val="none"/>
          <w14:textFill>
            <w14:solidFill>
              <w14:schemeClr w14:val="tx1"/>
            </w14:solidFill>
          </w14:textFill>
        </w:rPr>
        <w:instrText xml:space="preserve"> HYPERLINK \l _Toc5125 </w:instrText>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highlight w:val="none"/>
          <w14:textFill>
            <w14:solidFill>
              <w14:schemeClr w14:val="tx1"/>
            </w14:solidFill>
          </w14:textFill>
        </w:rPr>
        <w:t>2.1  术语</w:t>
      </w:r>
      <w:r>
        <w:rPr>
          <w:rFonts w:hint="default" w:ascii="Times New Roman" w:hAnsi="Times New Roman" w:eastAsia="宋体" w:cs="Times New Roman"/>
          <w:color w:val="000000" w:themeColor="text1"/>
          <w:sz w:val="18"/>
          <w:szCs w:val="18"/>
          <w14:textFill>
            <w14:solidFill>
              <w14:schemeClr w14:val="tx1"/>
            </w14:solidFill>
          </w14:textFill>
        </w:rPr>
        <w:tab/>
      </w:r>
      <w:r>
        <w:rPr>
          <w:rFonts w:hint="default" w:ascii="Times New Roman" w:hAnsi="Times New Roman" w:eastAsia="宋体" w:cs="Times New Roman"/>
          <w:color w:val="000000" w:themeColor="text1"/>
          <w:sz w:val="18"/>
          <w:szCs w:val="18"/>
          <w14:textFill>
            <w14:solidFill>
              <w14:schemeClr w14:val="tx1"/>
            </w14:solidFill>
          </w14:textFill>
        </w:rPr>
        <w:fldChar w:fldCharType="begin"/>
      </w:r>
      <w:r>
        <w:rPr>
          <w:rFonts w:hint="default" w:ascii="Times New Roman" w:hAnsi="Times New Roman" w:eastAsia="宋体" w:cs="Times New Roman"/>
          <w:color w:val="000000" w:themeColor="text1"/>
          <w:sz w:val="18"/>
          <w:szCs w:val="18"/>
          <w14:textFill>
            <w14:solidFill>
              <w14:schemeClr w14:val="tx1"/>
            </w14:solidFill>
          </w14:textFill>
        </w:rPr>
        <w:instrText xml:space="preserve"> PAGEREF _Toc5125 \h </w:instrText>
      </w:r>
      <w:r>
        <w:rPr>
          <w:rFonts w:hint="default" w:ascii="Times New Roman" w:hAnsi="Times New Roman" w:eastAsia="宋体" w:cs="Times New Roman"/>
          <w:color w:val="000000" w:themeColor="text1"/>
          <w:sz w:val="18"/>
          <w:szCs w:val="18"/>
          <w14:textFill>
            <w14:solidFill>
              <w14:schemeClr w14:val="tx1"/>
            </w14:solidFill>
          </w14:textFill>
        </w:rPr>
        <w:fldChar w:fldCharType="separate"/>
      </w:r>
      <w:r>
        <w:rPr>
          <w:rFonts w:hint="default" w:ascii="Times New Roman" w:hAnsi="Times New Roman" w:eastAsia="宋体" w:cs="Times New Roman"/>
          <w:color w:val="000000" w:themeColor="text1"/>
          <w:sz w:val="18"/>
          <w:szCs w:val="18"/>
          <w14:textFill>
            <w14:solidFill>
              <w14:schemeClr w14:val="tx1"/>
            </w14:solidFill>
          </w14:textFill>
        </w:rPr>
        <w:t>114</w:t>
      </w:r>
      <w:r>
        <w:rPr>
          <w:rFonts w:hint="default" w:ascii="Times New Roman" w:hAnsi="Times New Roman" w:eastAsia="宋体" w:cs="Times New Roman"/>
          <w:color w:val="000000" w:themeColor="text1"/>
          <w:sz w:val="18"/>
          <w:szCs w:val="18"/>
          <w14:textFill>
            <w14:solidFill>
              <w14:schemeClr w14:val="tx1"/>
            </w14:solidFill>
          </w14:textFill>
        </w:rPr>
        <w:fldChar w:fldCharType="end"/>
      </w:r>
      <w:r>
        <w:rPr>
          <w:rFonts w:hint="default" w:ascii="Times New Roman" w:hAnsi="Times New Roman" w:eastAsia="宋体" w:cs="Times New Roman"/>
          <w:color w:val="000000" w:themeColor="text1"/>
          <w:sz w:val="18"/>
          <w:szCs w:val="1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_Toc23463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3  基本规定</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_Toc23463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_Toc24716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4  材料</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_Toc24716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122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_Toc14893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4.1  结构材料</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_Toc14893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122</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_Toc16718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4.3  其他材料</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_Toc16718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122</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_Toc18702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5  建 筑 设 计</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_Toc18702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124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_Toc3799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5.2  系统集成设计</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_Toc3799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124</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_Toc18705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5.5  建筑构造</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_Toc18705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125</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_Toc20371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6  结 构 设 计</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_Toc20371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126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_Toc21676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_Toc21676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126</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_Toc4852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结构布置</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_Toc4852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128</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_Toc26901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结构分析</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_Toc26901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129</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_Toc1721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模块构件和连接设计</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_Toc1721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130</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_Toc5349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6.</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模块单元结构设计</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_Toc5349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132</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_Toc8072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7  设备管线与内装系统设计</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_Toc8072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_Toc24790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8"/>
          <w:highlight w:val="none"/>
          <w14:textFill>
            <w14:solidFill>
              <w14:schemeClr w14:val="tx1"/>
            </w14:solidFill>
          </w14:textFill>
        </w:rPr>
        <w:t xml:space="preserve">  </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模块单元生产与运输</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_Toc24790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_Toc14137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_Toc14137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137</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_Toc27485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模具及预埋件</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_Toc27485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138</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_Toc22139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钢筋加工及安装</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_Toc22139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138</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_Toc13875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成型、养护及脱模</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_Toc13875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139</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_Toc19654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设备管线安装及装修</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_Toc19654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139</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_Toc23819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8.7  成品保护与运输</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_Toc23819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140</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_Toc4276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模块单元检验</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_Toc4276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140</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_Toc26369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8.</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资料及交付</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_Toc26369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141</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_Toc29744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Cs w:val="28"/>
          <w:highlight w:val="none"/>
          <w14:textFill>
            <w14:solidFill>
              <w14:schemeClr w14:val="tx1"/>
            </w14:solidFill>
          </w14:textFill>
        </w:rPr>
        <w:t xml:space="preserve">  </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施 工 安 装</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_Toc29744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_Toc12431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22"/>
          <w:highlight w:val="none"/>
          <w14:textFill>
            <w14:solidFill>
              <w14:schemeClr w14:val="tx1"/>
            </w14:solidFill>
          </w14:textFill>
        </w:rPr>
        <w:t>.1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_Toc12431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142</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_Toc21283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施工准备</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_Toc21283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_Toc6656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模块安装</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_Toc6656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_Toc22664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模块连接</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_Toc22664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_Toc18117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施工安全与环境保护</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_Toc18117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143</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_Toc5381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Cs w:val="28"/>
          <w:highlight w:val="none"/>
          <w14:textFill>
            <w14:solidFill>
              <w14:schemeClr w14:val="tx1"/>
            </w14:solidFill>
          </w14:textFill>
        </w:rPr>
        <w:t xml:space="preserve">  </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质 量 验 收</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_Toc5381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_Toc23566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22"/>
          <w:highlight w:val="none"/>
          <w14:textFill>
            <w14:solidFill>
              <w14:schemeClr w14:val="tx1"/>
            </w14:solidFill>
          </w14:textFill>
        </w:rPr>
        <w:t>.1  一般规定</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_Toc23566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144</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_Toc15237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模块单元进场验收</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_Toc15237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144</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_Toc24986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模块单元安装与连接</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_Toc24986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145</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2"/>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_Toc15203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22"/>
          <w:highlight w:val="none"/>
          <w14:textFill>
            <w14:solidFill>
              <w14:schemeClr w14:val="tx1"/>
            </w14:solidFill>
          </w14:textFill>
        </w:rPr>
        <w:t>.</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22"/>
          <w:highlight w:val="none"/>
          <w14:textFill>
            <w14:solidFill>
              <w14:schemeClr w14:val="tx1"/>
            </w14:solidFill>
          </w14:textFill>
        </w:rPr>
        <w:t xml:space="preserve">  </w:t>
      </w:r>
      <w:r>
        <w:rPr>
          <w:rFonts w:hint="default" w:ascii="Times New Roman" w:hAnsi="Times New Roman" w:eastAsia="宋体" w:cs="Times New Roman"/>
          <w:color w:val="000000" w:themeColor="text1"/>
          <w:sz w:val="18"/>
          <w:szCs w:val="22"/>
          <w:highlight w:val="none"/>
          <w:lang w:val="en-US" w:eastAsia="zh-CN"/>
          <w14:textFill>
            <w14:solidFill>
              <w14:schemeClr w14:val="tx1"/>
            </w14:solidFill>
          </w14:textFill>
        </w:rPr>
        <w:t>实体检验</w:t>
      </w:r>
      <w:r>
        <w:rPr>
          <w:rFonts w:hint="default" w:ascii="Times New Roman" w:hAnsi="Times New Roman" w:eastAsia="宋体" w:cs="Times New Roman"/>
          <w:color w:val="000000" w:themeColor="text1"/>
          <w:sz w:val="18"/>
          <w:szCs w:val="22"/>
          <w:highlight w:val="none"/>
          <w14:textFill>
            <w14:solidFill>
              <w14:schemeClr w14:val="tx1"/>
            </w14:solidFill>
          </w14:textFill>
        </w:rPr>
        <w:tab/>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PAGEREF _Toc15203 \h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2"/>
          <w:highlight w:val="none"/>
          <w14:textFill>
            <w14:solidFill>
              <w14:schemeClr w14:val="tx1"/>
            </w14:solidFill>
          </w14:textFill>
        </w:rPr>
        <w:t>145</w: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17"/>
        <w:tabs>
          <w:tab w:val="right" w:leader="dot" w:pos="5919"/>
          <w:tab w:val="clear" w:pos="1050"/>
          <w:tab w:val="clear" w:pos="13948"/>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8"/>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8"/>
          <w:highlight w:val="none"/>
          <w14:textFill>
            <w14:solidFill>
              <w14:schemeClr w14:val="tx1"/>
            </w14:solidFill>
          </w14:textFill>
        </w:rPr>
        <w:instrText xml:space="preserve"> HYPERLINK \l _Toc15771 </w:instrText>
      </w:r>
      <w:r>
        <w:rPr>
          <w:rFonts w:hint="default" w:ascii="Times New Roman" w:hAnsi="Times New Roman" w:eastAsia="宋体" w:cs="Times New Roman"/>
          <w:color w:val="000000" w:themeColor="text1"/>
          <w:szCs w:val="28"/>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11  智能建造</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_Toc15771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8"/>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18"/>
          <w:szCs w:val="20"/>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_Toc27942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11.1  一般规定</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_Toc27942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146</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pStyle w:val="20"/>
        <w:tabs>
          <w:tab w:val="right" w:leader="dot" w:pos="5919"/>
        </w:tabs>
        <w:rPr>
          <w:rFonts w:hint="default" w:ascii="Times New Roman" w:hAnsi="Times New Roman" w:eastAsia="宋体" w:cs="Times New Roman"/>
          <w:color w:val="000000" w:themeColor="text1"/>
          <w:sz w:val="20"/>
          <w:szCs w:val="21"/>
          <w:highlight w:val="none"/>
          <w14:textFill>
            <w14:solidFill>
              <w14:schemeClr w14:val="tx1"/>
            </w14:solidFill>
          </w14:textFill>
        </w:rPr>
      </w:pP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18"/>
          <w:szCs w:val="22"/>
          <w:highlight w:val="none"/>
          <w14:textFill>
            <w14:solidFill>
              <w14:schemeClr w14:val="tx1"/>
            </w14:solidFill>
          </w14:textFill>
        </w:rPr>
        <w:instrText xml:space="preserve"> HYPERLINK \l _Toc19742 </w:instrText>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18"/>
          <w:szCs w:val="21"/>
          <w:highlight w:val="none"/>
          <w14:textFill>
            <w14:solidFill>
              <w14:schemeClr w14:val="tx1"/>
            </w14:solidFill>
          </w14:textFill>
        </w:rPr>
        <w:t>11.2  建筑信息模型</w:t>
      </w:r>
      <w:r>
        <w:rPr>
          <w:rFonts w:hint="default" w:ascii="Times New Roman" w:hAnsi="Times New Roman" w:eastAsia="宋体" w:cs="Times New Roman"/>
          <w:color w:val="000000" w:themeColor="text1"/>
          <w:sz w:val="18"/>
          <w:szCs w:val="20"/>
          <w14:textFill>
            <w14:solidFill>
              <w14:schemeClr w14:val="tx1"/>
            </w14:solidFill>
          </w14:textFill>
        </w:rPr>
        <w:tab/>
      </w:r>
      <w:r>
        <w:rPr>
          <w:rFonts w:hint="default" w:ascii="Times New Roman" w:hAnsi="Times New Roman" w:eastAsia="宋体" w:cs="Times New Roman"/>
          <w:color w:val="000000" w:themeColor="text1"/>
          <w:sz w:val="18"/>
          <w:szCs w:val="20"/>
          <w14:textFill>
            <w14:solidFill>
              <w14:schemeClr w14:val="tx1"/>
            </w14:solidFill>
          </w14:textFill>
        </w:rPr>
        <w:fldChar w:fldCharType="begin"/>
      </w:r>
      <w:r>
        <w:rPr>
          <w:rFonts w:hint="default" w:ascii="Times New Roman" w:hAnsi="Times New Roman" w:eastAsia="宋体" w:cs="Times New Roman"/>
          <w:color w:val="000000" w:themeColor="text1"/>
          <w:sz w:val="18"/>
          <w:szCs w:val="20"/>
          <w14:textFill>
            <w14:solidFill>
              <w14:schemeClr w14:val="tx1"/>
            </w14:solidFill>
          </w14:textFill>
        </w:rPr>
        <w:instrText xml:space="preserve"> PAGEREF _Toc19742 \h </w:instrText>
      </w:r>
      <w:r>
        <w:rPr>
          <w:rFonts w:hint="default" w:ascii="Times New Roman" w:hAnsi="Times New Roman" w:eastAsia="宋体" w:cs="Times New Roman"/>
          <w:color w:val="000000" w:themeColor="text1"/>
          <w:sz w:val="18"/>
          <w:szCs w:val="20"/>
          <w14:textFill>
            <w14:solidFill>
              <w14:schemeClr w14:val="tx1"/>
            </w14:solidFill>
          </w14:textFill>
        </w:rPr>
        <w:fldChar w:fldCharType="separate"/>
      </w:r>
      <w:r>
        <w:rPr>
          <w:rFonts w:hint="default" w:ascii="Times New Roman" w:hAnsi="Times New Roman" w:eastAsia="宋体" w:cs="Times New Roman"/>
          <w:color w:val="000000" w:themeColor="text1"/>
          <w:sz w:val="18"/>
          <w:szCs w:val="20"/>
          <w14:textFill>
            <w14:solidFill>
              <w14:schemeClr w14:val="tx1"/>
            </w14:solidFill>
          </w14:textFill>
        </w:rPr>
        <w:t>146</w:t>
      </w:r>
      <w:r>
        <w:rPr>
          <w:rFonts w:hint="default" w:ascii="Times New Roman" w:hAnsi="Times New Roman" w:eastAsia="宋体" w:cs="Times New Roman"/>
          <w:color w:val="000000" w:themeColor="text1"/>
          <w:sz w:val="18"/>
          <w:szCs w:val="20"/>
          <w14:textFill>
            <w14:solidFill>
              <w14:schemeClr w14:val="tx1"/>
            </w14:solidFill>
          </w14:textFill>
        </w:rPr>
        <w:fldChar w:fldCharType="end"/>
      </w:r>
      <w:r>
        <w:rPr>
          <w:rFonts w:hint="default" w:ascii="Times New Roman" w:hAnsi="Times New Roman" w:eastAsia="宋体" w:cs="Times New Roman"/>
          <w:color w:val="000000" w:themeColor="text1"/>
          <w:sz w:val="18"/>
          <w:szCs w:val="22"/>
          <w:highlight w:val="none"/>
          <w14:textFill>
            <w14:solidFill>
              <w14:schemeClr w14:val="tx1"/>
            </w14:solidFill>
          </w14:textFill>
        </w:rPr>
        <w:fldChar w:fldCharType="end"/>
      </w:r>
    </w:p>
    <w:p>
      <w:pPr>
        <w:jc w:val="center"/>
        <w:rPr>
          <w:rFonts w:hint="default" w:ascii="Times New Roman" w:hAnsi="Times New Roman" w:cs="Times New Roman"/>
          <w:color w:val="000000" w:themeColor="text1"/>
          <w:highlight w:val="none"/>
          <w14:textFill>
            <w14:solidFill>
              <w14:schemeClr w14:val="tx1"/>
            </w14:solidFill>
          </w14:textFill>
        </w:rPr>
        <w:sectPr>
          <w:headerReference r:id="rId12" w:type="default"/>
          <w:footerReference r:id="rId14" w:type="default"/>
          <w:headerReference r:id="rId13" w:type="even"/>
          <w:footerReference r:id="rId15" w:type="even"/>
          <w:pgSz w:w="7937" w:h="11509"/>
          <w:pgMar w:top="1083" w:right="1009" w:bottom="1083" w:left="1009" w:header="851" w:footer="992" w:gutter="0"/>
          <w:pgNumType w:fmt="decimal"/>
          <w:cols w:space="0" w:num="1"/>
          <w:docGrid w:type="lines" w:linePitch="333" w:charSpace="4423"/>
        </w:sectPr>
      </w:pPr>
      <w:r>
        <w:rPr>
          <w:rFonts w:hint="default" w:ascii="Times New Roman" w:hAnsi="Times New Roman" w:cs="Times New Roman"/>
          <w:color w:val="000000" w:themeColor="text1"/>
          <w:highlight w:val="none"/>
          <w14:textFill>
            <w14:solidFill>
              <w14:schemeClr w14:val="tx1"/>
            </w14:solidFill>
          </w14:textFill>
        </w:rPr>
        <w:fldChar w:fldCharType="end"/>
      </w:r>
    </w:p>
    <w:p>
      <w:pPr>
        <w:pStyle w:val="2"/>
        <w:spacing w:before="166" w:beforeLines="50" w:after="166" w:afterLines="50" w:line="360" w:lineRule="auto"/>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bookmarkStart w:id="1287" w:name="_Toc17959"/>
      <w:bookmarkStart w:id="1288" w:name="_Toc25673"/>
      <w:bookmarkStart w:id="1289" w:name="_Toc24314"/>
      <w:r>
        <w:rPr>
          <w:rFonts w:hint="default" w:ascii="Times New Roman" w:hAnsi="Times New Roman" w:eastAsia="黑体" w:cs="Times New Roman"/>
          <w:color w:val="000000" w:themeColor="text1"/>
          <w:sz w:val="28"/>
          <w:szCs w:val="28"/>
          <w:highlight w:val="none"/>
          <w14:textFill>
            <w14:solidFill>
              <w14:schemeClr w14:val="tx1"/>
            </w14:solidFill>
          </w14:textFill>
        </w:rPr>
        <w:t>1  总    则</w:t>
      </w:r>
      <w:bookmarkEnd w:id="1284"/>
      <w:bookmarkEnd w:id="1285"/>
      <w:bookmarkEnd w:id="1286"/>
      <w:bookmarkEnd w:id="1287"/>
      <w:bookmarkEnd w:id="1288"/>
      <w:bookmarkEnd w:id="1289"/>
    </w:p>
    <w:p>
      <w:pPr>
        <w:pStyle w:val="24"/>
        <w:ind w:left="0" w:firstLine="0" w:firstLineChars="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1.0.1  </w:t>
      </w:r>
      <w:r>
        <w:rPr>
          <w:rFonts w:hint="default" w:ascii="Times New Roman" w:hAnsi="Times New Roman" w:cs="Times New Roman"/>
          <w:color w:val="000000" w:themeColor="text1"/>
          <w:sz w:val="21"/>
          <w:szCs w:val="21"/>
          <w:highlight w:val="none"/>
          <w:lang w:eastAsia="zh-CN"/>
          <w14:textFill>
            <w14:solidFill>
              <w14:schemeClr w14:val="tx1"/>
            </w14:solidFill>
          </w14:textFill>
        </w:rPr>
        <w:t>当前，我国劳动力人口显著下降，建筑业转型升级的背景下，国家大力发展新型建筑工业化，</w:t>
      </w:r>
      <w:bookmarkStart w:id="1290" w:name="OLE_LINK47"/>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混凝土</w:t>
      </w:r>
      <w:bookmarkEnd w:id="1290"/>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模块化</w:t>
      </w:r>
      <w:r>
        <w:rPr>
          <w:rFonts w:hint="default" w:ascii="Times New Roman" w:hAnsi="Times New Roman" w:cs="Times New Roman"/>
          <w:color w:val="000000" w:themeColor="text1"/>
          <w:sz w:val="21"/>
          <w:szCs w:val="21"/>
          <w:highlight w:val="none"/>
          <w:lang w:eastAsia="zh-CN"/>
          <w14:textFill>
            <w14:solidFill>
              <w14:schemeClr w14:val="tx1"/>
            </w14:solidFill>
          </w14:textFill>
        </w:rPr>
        <w:t>建筑（</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图1</w:t>
      </w:r>
      <w:r>
        <w:rPr>
          <w:rFonts w:hint="default" w:ascii="Times New Roman" w:hAnsi="Times New Roman" w:cs="Times New Roman"/>
          <w:color w:val="000000" w:themeColor="text1"/>
          <w:sz w:val="21"/>
          <w:szCs w:val="21"/>
          <w:highlight w:val="none"/>
          <w:lang w:eastAsia="zh-CN"/>
          <w14:textFill>
            <w14:solidFill>
              <w14:schemeClr w14:val="tx1"/>
            </w14:solidFill>
          </w14:textFill>
        </w:rPr>
        <w:t>）是实现建筑工业化的有效途径。混凝土模块化建筑具有建筑空间模块化、设计制作集成化、生产工艺标准化、建筑施工装配化的特征，以及高集成度、高装配率、施工速度快等优势，在欧美及新加坡等发达国家已有较多应用案例，是绿色建筑和建筑工业化的发展方向之一。本标准所述的混凝土模块化建筑，包括</w:t>
      </w:r>
      <w:bookmarkStart w:id="1291" w:name="OLE_LINK99"/>
      <w:bookmarkStart w:id="1292" w:name="OLE_LINK106"/>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模块化全预制剪力墙结构</w:t>
      </w:r>
      <w:bookmarkEnd w:id="1291"/>
      <w:bookmarkStart w:id="1293" w:name="OLE_LINK101"/>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模块化叠合剪力墙结构</w:t>
      </w:r>
      <w:bookmarkEnd w:id="1292"/>
      <w:bookmarkEnd w:id="1293"/>
      <w:bookmarkStart w:id="1294" w:name="OLE_LINK49"/>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现浇</w:t>
      </w:r>
      <w:r>
        <w:rPr>
          <w:rFonts w:hint="default" w:ascii="Times New Roman" w:hAnsi="Times New Roman" w:cs="Times New Roman"/>
          <w:color w:val="000000" w:themeColor="text1"/>
          <w:sz w:val="21"/>
          <w:szCs w:val="21"/>
          <w:highlight w:val="none"/>
          <w:lang w:eastAsia="zh-CN"/>
          <w14:textFill>
            <w14:solidFill>
              <w14:schemeClr w14:val="tx1"/>
            </w14:solidFill>
          </w14:textFill>
        </w:rPr>
        <w:t>剪力墙结构、模块化框架结构</w:t>
      </w:r>
      <w:bookmarkEnd w:id="1294"/>
      <w:r>
        <w:rPr>
          <w:rFonts w:hint="default" w:ascii="Times New Roman" w:hAnsi="Times New Roman" w:cs="Times New Roman"/>
          <w:color w:val="000000" w:themeColor="text1"/>
          <w:sz w:val="21"/>
          <w:szCs w:val="21"/>
          <w:highlight w:val="none"/>
          <w:lang w:eastAsia="zh-CN"/>
          <w14:textFill>
            <w14:solidFill>
              <w14:schemeClr w14:val="tx1"/>
            </w14:solidFill>
          </w14:textFill>
        </w:rPr>
        <w:t>和</w:t>
      </w:r>
      <w:bookmarkStart w:id="1295" w:name="OLE_LINK50"/>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模块化框架-剪力</w:t>
      </w:r>
      <w:bookmarkEnd w:id="1295"/>
      <w:r>
        <w:rPr>
          <w:rFonts w:hint="default" w:ascii="Times New Roman" w:hAnsi="Times New Roman" w:cs="Times New Roman"/>
          <w:color w:val="000000" w:themeColor="text1"/>
          <w:sz w:val="21"/>
          <w:szCs w:val="21"/>
          <w:highlight w:val="none"/>
          <w:lang w:eastAsia="zh-CN"/>
          <w14:textFill>
            <w14:solidFill>
              <w14:schemeClr w14:val="tx1"/>
            </w14:solidFill>
          </w14:textFill>
        </w:rPr>
        <w:t>墙结构</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等结构体系</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bookmarkStart w:id="1296" w:name="OLE_LINK100"/>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模块化全预制剪力墙结构</w:t>
      </w:r>
      <w:bookmarkEnd w:id="1296"/>
      <w:r>
        <w:rPr>
          <w:rFonts w:hint="default" w:ascii="Times New Roman" w:hAnsi="Times New Roman" w:cs="Times New Roman"/>
          <w:color w:val="000000" w:themeColor="text1"/>
          <w:sz w:val="21"/>
          <w:szCs w:val="21"/>
          <w:highlight w:val="none"/>
          <w14:textFill>
            <w14:solidFill>
              <w14:schemeClr w14:val="tx1"/>
            </w14:solidFill>
          </w14:textFill>
        </w:rPr>
        <w:t>主体结构由全预制剪力墙、预制围护墙和全预制楼板等部分组成；</w:t>
      </w:r>
      <w:bookmarkStart w:id="1297" w:name="OLE_LINK51"/>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模块化叠合剪力墙结构</w:t>
      </w:r>
      <w:r>
        <w:rPr>
          <w:rFonts w:hint="default" w:ascii="Times New Roman" w:hAnsi="Times New Roman" w:cs="Times New Roman"/>
          <w:color w:val="000000" w:themeColor="text1"/>
          <w:sz w:val="21"/>
          <w:szCs w:val="21"/>
          <w:highlight w:val="none"/>
          <w14:textFill>
            <w14:solidFill>
              <w14:schemeClr w14:val="tx1"/>
            </w14:solidFill>
          </w14:textFill>
        </w:rPr>
        <w:t>主体结构由</w:t>
      </w:r>
      <w:bookmarkEnd w:id="1297"/>
      <w:r>
        <w:rPr>
          <w:rFonts w:hint="default" w:ascii="Times New Roman" w:hAnsi="Times New Roman" w:cs="Times New Roman"/>
          <w:color w:val="000000" w:themeColor="text1"/>
          <w:sz w:val="21"/>
          <w:szCs w:val="21"/>
          <w:highlight w:val="none"/>
          <w14:textFill>
            <w14:solidFill>
              <w14:schemeClr w14:val="tx1"/>
            </w14:solidFill>
          </w14:textFill>
        </w:rPr>
        <w:t>预制空心剪力墙（或双面叠合剪力墙）、双拼叠合剪力墙叶板、预制叠合边缘构件、预制空心边缘构件、预制承重围护一体化外墙、开槽型混凝土预制板、叠合梁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等构件组成</w:t>
      </w:r>
      <w:r>
        <w:rPr>
          <w:rFonts w:hint="default" w:ascii="Times New Roman" w:hAnsi="Times New Roman" w:cs="Times New Roman"/>
          <w:color w:val="000000" w:themeColor="text1"/>
          <w:sz w:val="21"/>
          <w:szCs w:val="21"/>
          <w:highlight w:val="none"/>
          <w14:textFill>
            <w14:solidFill>
              <w14:schemeClr w14:val="tx1"/>
            </w14:solidFill>
          </w14:textFill>
        </w:rPr>
        <w:t>，模块在现场吊装就位后，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安装</w:t>
      </w:r>
      <w:r>
        <w:rPr>
          <w:rFonts w:hint="default" w:ascii="Times New Roman" w:hAnsi="Times New Roman" w:cs="Times New Roman"/>
          <w:color w:val="000000" w:themeColor="text1"/>
          <w:sz w:val="21"/>
          <w:szCs w:val="21"/>
          <w:highlight w:val="none"/>
          <w14:textFill>
            <w14:solidFill>
              <w14:schemeClr w14:val="tx1"/>
            </w14:solidFill>
          </w14:textFill>
        </w:rPr>
        <w:t>叠合板面钢筋和节点连接钢筋，后浇筑剪力墙中空区域混凝土和叠合板混凝土形成叠合剪力墙结构体系。</w:t>
      </w:r>
    </w:p>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对于混凝土模块结构而言，合适的模块单元的拆分方式及合理地选择模块的连接方法，影响着模块化建筑的生产、施工和安全性；模块单元的拆分方式决定了模块间拼缝的位置、模块的尺寸和形状等，模块合理的拼缝位置以及尺寸和形状的设计是十分重要的，它对建筑功能、建筑平立面、结构受力状况、模块单元承载能力、工程造价等都会产生一定的影响。鉴于此，本标准根据工程实践经验和科研试验，研究提出了适用于多层和高层的模块单元的确定原则、设计原则和节点连接装配方案，生产、施工方案，作为混凝土模块智能集成建筑的设计、生产、施工、质量验收的依据，对规范、推广混凝土模块化建筑有积极的指导作用。</w:t>
      </w:r>
    </w:p>
    <w:p>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2643505" cy="1737360"/>
            <wp:effectExtent l="0" t="0" r="4445" b="15240"/>
            <wp:docPr id="1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true"/>
                    </pic:cNvPicPr>
                  </pic:nvPicPr>
                  <pic:blipFill>
                    <a:blip r:embed="rId33"/>
                    <a:srcRect l="25351" r="4245"/>
                    <a:stretch>
                      <a:fillRect/>
                    </a:stretch>
                  </pic:blipFill>
                  <pic:spPr>
                    <a:xfrm>
                      <a:off x="0" y="0"/>
                      <a:ext cx="2643505" cy="1737360"/>
                    </a:xfrm>
                    <a:prstGeom prst="rect">
                      <a:avLst/>
                    </a:prstGeom>
                    <a:noFill/>
                    <a:ln>
                      <a:noFill/>
                    </a:ln>
                  </pic:spPr>
                </pic:pic>
              </a:graphicData>
            </a:graphic>
          </wp:inline>
        </w:drawing>
      </w:r>
    </w:p>
    <w:p>
      <w:pPr>
        <w:jc w:val="center"/>
        <w:rPr>
          <w:rFonts w:hint="default" w:ascii="Times New Roman" w:hAnsi="Times New Roman" w:eastAsia="黑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图</w:t>
      </w:r>
      <w:r>
        <w:rPr>
          <w:rFonts w:hint="default" w:ascii="Times New Roman" w:hAnsi="Times New Roman" w:eastAsia="黑体" w:cs="Times New Roman"/>
          <w:b/>
          <w:bCs/>
          <w:color w:val="000000" w:themeColor="text1"/>
          <w:sz w:val="18"/>
          <w:szCs w:val="18"/>
          <w:highlight w:val="none"/>
          <w14:textFill>
            <w14:solidFill>
              <w14:schemeClr w14:val="tx1"/>
            </w14:solidFill>
          </w14:textFill>
        </w:rPr>
        <w:t>1</w:t>
      </w:r>
      <w:r>
        <w:rPr>
          <w:rFonts w:hint="default" w:ascii="Times New Roman" w:hAnsi="Times New Roman" w:eastAsia="黑体" w:cs="Times New Roman"/>
          <w:color w:val="000000" w:themeColor="text1"/>
          <w:sz w:val="18"/>
          <w:szCs w:val="18"/>
          <w:highlight w:val="none"/>
          <w14:textFill>
            <w14:solidFill>
              <w14:schemeClr w14:val="tx1"/>
            </w14:solidFill>
          </w14:textFill>
        </w:rPr>
        <w:t xml:space="preserve"> </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混凝土</w:t>
      </w:r>
      <w:r>
        <w:rPr>
          <w:rFonts w:hint="default" w:ascii="Times New Roman" w:hAnsi="Times New Roman" w:eastAsia="黑体" w:cs="Times New Roman"/>
          <w:color w:val="000000" w:themeColor="text1"/>
          <w:sz w:val="18"/>
          <w:szCs w:val="18"/>
          <w:highlight w:val="none"/>
          <w14:textFill>
            <w14:solidFill>
              <w14:schemeClr w14:val="tx1"/>
            </w14:solidFill>
          </w14:textFill>
        </w:rPr>
        <w:t>模块化建筑示意图</w:t>
      </w:r>
    </w:p>
    <w:p>
      <w:pPr>
        <w:pStyle w:val="24"/>
        <w:ind w:left="0" w:firstLine="0" w:firstLineChars="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本标准中的混凝土模块化建筑可用于住宅、教育、办公、医疗、酒店等，适合保障性住房、绿色农房、公寓、宿舍等标准化程度较高的建筑类型。</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298" w:name="_Toc21017"/>
      <w:bookmarkStart w:id="1299" w:name="_Toc7149"/>
      <w:bookmarkStart w:id="1300" w:name="_Toc15271"/>
      <w:bookmarkStart w:id="1301" w:name="_Toc18534"/>
      <w:bookmarkStart w:id="1302" w:name="_Toc27176"/>
      <w:bookmarkStart w:id="1303" w:name="_Toc8347"/>
      <w:r>
        <w:rPr>
          <w:rFonts w:hint="default" w:ascii="Times New Roman" w:hAnsi="Times New Roman" w:eastAsia="黑体" w:cs="Times New Roman"/>
          <w:color w:val="000000" w:themeColor="text1"/>
          <w:sz w:val="28"/>
          <w:szCs w:val="28"/>
          <w:highlight w:val="none"/>
          <w14:textFill>
            <w14:solidFill>
              <w14:schemeClr w14:val="tx1"/>
            </w14:solidFill>
          </w14:textFill>
        </w:rPr>
        <w:t>2  术语和符号</w:t>
      </w:r>
      <w:bookmarkEnd w:id="1298"/>
      <w:bookmarkEnd w:id="1299"/>
      <w:bookmarkEnd w:id="1300"/>
      <w:bookmarkEnd w:id="1301"/>
      <w:bookmarkEnd w:id="1302"/>
      <w:bookmarkEnd w:id="1303"/>
    </w:p>
    <w:p>
      <w:pPr>
        <w:pStyle w:val="3"/>
        <w:spacing w:before="166" w:beforeLines="50" w:after="166" w:afterLines="50" w:line="360" w:lineRule="auto"/>
        <w:jc w:val="center"/>
        <w:rPr>
          <w:rFonts w:hint="default" w:ascii="Times New Roman" w:hAnsi="Times New Roman" w:cs="Times New Roman"/>
          <w:color w:val="000000" w:themeColor="text1"/>
          <w:highlight w:val="none"/>
          <w14:textFill>
            <w14:solidFill>
              <w14:schemeClr w14:val="tx1"/>
            </w14:solidFill>
          </w14:textFill>
        </w:rPr>
      </w:pPr>
      <w:bookmarkStart w:id="1304" w:name="_Toc12460"/>
      <w:bookmarkStart w:id="1305" w:name="_Toc5125"/>
      <w:bookmarkStart w:id="1306" w:name="_Toc25512"/>
      <w:bookmarkStart w:id="1307" w:name="_Toc25586"/>
      <w:bookmarkStart w:id="1308" w:name="_Toc1023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2.1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术    语</w:t>
      </w:r>
      <w:bookmarkEnd w:id="1304"/>
      <w:bookmarkEnd w:id="1305"/>
      <w:bookmarkEnd w:id="1306"/>
      <w:bookmarkEnd w:id="1307"/>
      <w:bookmarkEnd w:id="1308"/>
    </w:p>
    <w:p>
      <w:pPr>
        <w:spacing w:line="360" w:lineRule="exact"/>
        <w:ind w:firstLine="0" w:firstLineChars="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2.1.1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模块化建筑的模块形式应根据模块功能空间需求选择六面体、五面体或四面体。对有水、管线密集或现场质量管控难度大的功能空间（如卫生间、厨房、阳台）进行高集成设计时，应采用完整六面体模块，并在工厂完成装饰面制作及固定家具、五金洁具的安装。对其他集成度要求不高的无水空间（如起居室、卧室），为避免模块底板引起的楼层净空降低和无效建筑重量增加，在采取防止模块运输及安装过程模块开裂的有效措施后，可采用无底板的五面体模块，但五面体模块仍应集成机电、装修等全专业的部品部件。对特殊空间（如电梯井道），可采用无顶板和底板的四面体模块。</w:t>
      </w:r>
    </w:p>
    <w:p>
      <w:pPr>
        <w:spacing w:line="360" w:lineRule="exac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2.1.2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全预制模块单元在工厂内完成主体结构、机电管线和装饰装修等工序，运输至项目现场后吊装，完成竖向钢筋灌浆连接和水平拼缝连接，最后处理外立面拼缝，即可完成整栋楼的建造。适用于建筑高度24m以内的多层住宅项目。</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0" w:hRule="atLeast"/>
        </w:trPr>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751580" cy="2150745"/>
                  <wp:effectExtent l="0" t="0" r="1270" b="1905"/>
                  <wp:docPr id="2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true"/>
                          </pic:cNvPicPr>
                        </pic:nvPicPr>
                        <pic:blipFill>
                          <a:blip r:embed="rId34"/>
                          <a:stretch>
                            <a:fillRect/>
                          </a:stretch>
                        </pic:blipFill>
                        <pic:spPr>
                          <a:xfrm>
                            <a:off x="0" y="0"/>
                            <a:ext cx="3751580" cy="21507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0" w:hRule="atLeast"/>
        </w:trPr>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z w:val="18"/>
                <w:szCs w:val="20"/>
                <w:highlight w:val="none"/>
                <w:lang w:val="en-US" w:eastAsia="zh-CN"/>
                <w14:textFill>
                  <w14:solidFill>
                    <w14:schemeClr w14:val="tx1"/>
                  </w14:solidFill>
                </w14:textFill>
              </w:rPr>
              <w:t>（a）有底板全预制剪力墙式模块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0" w:hRule="atLeast"/>
        </w:trPr>
        <w:tc>
          <w:tcPr>
            <w:tcW w:w="6135" w:type="dxa"/>
            <w:vAlign w:val="top"/>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755390" cy="2202815"/>
                  <wp:effectExtent l="0" t="0" r="16510" b="6985"/>
                  <wp:docPr id="2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true"/>
                          </pic:cNvPicPr>
                        </pic:nvPicPr>
                        <pic:blipFill>
                          <a:blip r:embed="rId35"/>
                          <a:stretch>
                            <a:fillRect/>
                          </a:stretch>
                        </pic:blipFill>
                        <pic:spPr>
                          <a:xfrm>
                            <a:off x="0" y="0"/>
                            <a:ext cx="3755390" cy="22028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6135" w:type="dxa"/>
            <w:vAlign w:val="top"/>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z w:val="18"/>
                <w:szCs w:val="20"/>
                <w:highlight w:val="none"/>
                <w:lang w:val="en-US" w:eastAsia="zh-CN"/>
                <w14:textFill>
                  <w14:solidFill>
                    <w14:schemeClr w14:val="tx1"/>
                  </w14:solidFill>
                </w14:textFill>
              </w:rPr>
              <w:t>（b）无底板全预制剪力墙式模块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黑体" w:cs="Times New Roman"/>
                <w:color w:val="000000" w:themeColor="text1"/>
                <w:sz w:val="18"/>
                <w:szCs w:val="20"/>
                <w:highlight w:val="none"/>
                <w14:textFill>
                  <w14:solidFill>
                    <w14:schemeClr w14:val="tx1"/>
                  </w14:solidFill>
                </w14:textFill>
              </w:rPr>
              <w:t>图2.1.2全预制混凝土</w:t>
            </w:r>
            <w:r>
              <w:rPr>
                <w:rFonts w:hint="default" w:ascii="Times New Roman" w:hAnsi="Times New Roman" w:eastAsia="黑体" w:cs="Times New Roman"/>
                <w:color w:val="000000" w:themeColor="text1"/>
                <w:sz w:val="18"/>
                <w:szCs w:val="20"/>
                <w:highlight w:val="none"/>
                <w:lang w:val="en-US" w:eastAsia="zh-CN"/>
                <w14:textFill>
                  <w14:solidFill>
                    <w14:schemeClr w14:val="tx1"/>
                  </w14:solidFill>
                </w14:textFill>
              </w:rPr>
              <w:t>结构</w:t>
            </w:r>
            <w:r>
              <w:rPr>
                <w:rFonts w:hint="default" w:ascii="Times New Roman" w:hAnsi="Times New Roman" w:eastAsia="黑体" w:cs="Times New Roman"/>
                <w:color w:val="000000" w:themeColor="text1"/>
                <w:sz w:val="18"/>
                <w:szCs w:val="20"/>
                <w:highlight w:val="none"/>
                <w14:textFill>
                  <w14:solidFill>
                    <w14:schemeClr w14:val="tx1"/>
                  </w14:solidFill>
                </w14:textFill>
              </w:rPr>
              <w:t>模块单元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eastAsia="黑体" w:cs="Times New Roman"/>
                <w:color w:val="000000" w:themeColor="text1"/>
                <w:sz w:val="16"/>
                <w:szCs w:val="16"/>
                <w:highlight w:val="none"/>
                <w14:textFill>
                  <w14:solidFill>
                    <w14:schemeClr w14:val="tx1"/>
                  </w14:solidFill>
                </w14:textFill>
              </w:rPr>
            </w:pPr>
            <w:r>
              <w:rPr>
                <w:rFonts w:hint="default" w:ascii="Times New Roman" w:hAnsi="Times New Roman" w:eastAsia="黑体" w:cs="Times New Roman"/>
                <w:color w:val="000000" w:themeColor="text1"/>
                <w:sz w:val="16"/>
                <w:szCs w:val="16"/>
                <w:highlight w:val="none"/>
                <w14:textFill>
                  <w14:solidFill>
                    <w14:schemeClr w14:val="tx1"/>
                  </w14:solidFill>
                </w14:textFill>
              </w:rPr>
              <w:t>1—模块预制顶板；2—模块连接钢筋；</w:t>
            </w:r>
            <w:r>
              <w:rPr>
                <w:rFonts w:hint="default" w:ascii="Times New Roman" w:hAnsi="Times New Roman" w:eastAsia="黑体" w:cs="Times New Roman"/>
                <w:color w:val="000000" w:themeColor="text1"/>
                <w:sz w:val="16"/>
                <w:szCs w:val="16"/>
                <w:highlight w:val="none"/>
                <w:lang w:val="en-US" w:eastAsia="zh-CN"/>
                <w14:textFill>
                  <w14:solidFill>
                    <w14:schemeClr w14:val="tx1"/>
                  </w14:solidFill>
                </w14:textFill>
              </w:rPr>
              <w:t>3</w:t>
            </w:r>
            <w:r>
              <w:rPr>
                <w:rFonts w:hint="default" w:ascii="Times New Roman" w:hAnsi="Times New Roman" w:eastAsia="黑体" w:cs="Times New Roman"/>
                <w:color w:val="000000" w:themeColor="text1"/>
                <w:sz w:val="16"/>
                <w:szCs w:val="16"/>
                <w:highlight w:val="none"/>
                <w14:textFill>
                  <w14:solidFill>
                    <w14:schemeClr w14:val="tx1"/>
                  </w14:solidFill>
                </w14:textFill>
              </w:rPr>
              <w:t>—预制围护外墙；</w:t>
            </w:r>
            <w:r>
              <w:rPr>
                <w:rFonts w:hint="default" w:ascii="Times New Roman" w:hAnsi="Times New Roman" w:eastAsia="黑体" w:cs="Times New Roman"/>
                <w:color w:val="000000" w:themeColor="text1"/>
                <w:sz w:val="16"/>
                <w:szCs w:val="16"/>
                <w:highlight w:val="none"/>
                <w:lang w:val="en-US" w:eastAsia="zh-CN"/>
                <w14:textFill>
                  <w14:solidFill>
                    <w14:schemeClr w14:val="tx1"/>
                  </w14:solidFill>
                </w14:textFill>
              </w:rPr>
              <w:t>4</w:t>
            </w:r>
            <w:r>
              <w:rPr>
                <w:rFonts w:hint="default" w:ascii="Times New Roman" w:hAnsi="Times New Roman" w:eastAsia="黑体" w:cs="Times New Roman"/>
                <w:color w:val="000000" w:themeColor="text1"/>
                <w:sz w:val="16"/>
                <w:szCs w:val="16"/>
                <w:highlight w:val="none"/>
                <w14:textFill>
                  <w14:solidFill>
                    <w14:schemeClr w14:val="tx1"/>
                  </w14:solidFill>
                </w14:textFill>
              </w:rPr>
              <w:t>—全预制剪力墙；</w:t>
            </w:r>
          </w:p>
          <w:p>
            <w:pPr>
              <w:jc w:val="center"/>
              <w:rPr>
                <w:rFonts w:hint="default" w:ascii="Times New Roman" w:hAnsi="Times New Roman" w:eastAsia="黑体" w:cs="Times New Roman"/>
                <w:color w:val="000000" w:themeColor="text1"/>
                <w:sz w:val="18"/>
                <w:szCs w:val="20"/>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16"/>
                <w:szCs w:val="16"/>
                <w:highlight w:val="none"/>
                <w:lang w:val="en-US" w:eastAsia="zh-CN"/>
                <w14:textFill>
                  <w14:solidFill>
                    <w14:schemeClr w14:val="tx1"/>
                  </w14:solidFill>
                </w14:textFill>
              </w:rPr>
              <w:t>5</w:t>
            </w:r>
            <w:r>
              <w:rPr>
                <w:rFonts w:hint="default" w:ascii="Times New Roman" w:hAnsi="Times New Roman" w:eastAsia="黑体" w:cs="Times New Roman"/>
                <w:color w:val="000000" w:themeColor="text1"/>
                <w:sz w:val="16"/>
                <w:szCs w:val="16"/>
                <w:highlight w:val="none"/>
                <w14:textFill>
                  <w14:solidFill>
                    <w14:schemeClr w14:val="tx1"/>
                  </w14:solidFill>
                </w14:textFill>
              </w:rPr>
              <w:t>—</w:t>
            </w:r>
            <w:r>
              <w:rPr>
                <w:rFonts w:hint="default" w:ascii="Times New Roman" w:hAnsi="Times New Roman" w:eastAsia="黑体" w:cs="Times New Roman"/>
                <w:color w:val="000000" w:themeColor="text1"/>
                <w:sz w:val="16"/>
                <w:szCs w:val="16"/>
                <w:highlight w:val="none"/>
                <w:lang w:val="en-US" w:eastAsia="zh-CN"/>
                <w14:textFill>
                  <w14:solidFill>
                    <w14:schemeClr w14:val="tx1"/>
                  </w14:solidFill>
                </w14:textFill>
              </w:rPr>
              <w:t>模块底板</w:t>
            </w:r>
          </w:p>
        </w:tc>
      </w:tr>
    </w:tbl>
    <w:p>
      <w:pPr>
        <w:spacing w:line="360" w:lineRule="exact"/>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2.1.3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叠合模块单元包括预制空心剪力墙模块单元和预制叠合剪力墙模块单元，除模块预制底</w:t>
      </w:r>
      <w:bookmarkStart w:id="1309" w:name="OLE_LINK55"/>
      <w:r>
        <w:rPr>
          <w:rFonts w:hint="default" w:ascii="Times New Roman" w:hAnsi="Times New Roman" w:cs="Times New Roman"/>
          <w:color w:val="000000" w:themeColor="text1"/>
          <w:sz w:val="21"/>
          <w:szCs w:val="21"/>
          <w:highlight w:val="none"/>
          <w:lang w:eastAsia="zh-CN"/>
          <w14:textFill>
            <w14:solidFill>
              <w14:schemeClr w14:val="tx1"/>
            </w14:solidFill>
          </w14:textFill>
        </w:rPr>
        <w:t>板、预制顶板</w:t>
      </w:r>
      <w:bookmarkEnd w:id="1309"/>
      <w:r>
        <w:rPr>
          <w:rFonts w:hint="default" w:ascii="Times New Roman" w:hAnsi="Times New Roman" w:cs="Times New Roman"/>
          <w:color w:val="000000" w:themeColor="text1"/>
          <w:sz w:val="21"/>
          <w:szCs w:val="21"/>
          <w:highlight w:val="none"/>
          <w:lang w:eastAsia="zh-CN"/>
          <w14:textFill>
            <w14:solidFill>
              <w14:schemeClr w14:val="tx1"/>
            </w14:solidFill>
          </w14:textFill>
        </w:rPr>
        <w:t>、</w:t>
      </w:r>
      <w:bookmarkStart w:id="1310" w:name="OLE_LINK54"/>
      <w:r>
        <w:rPr>
          <w:rFonts w:hint="default" w:ascii="Times New Roman" w:hAnsi="Times New Roman" w:cs="Times New Roman"/>
          <w:color w:val="000000" w:themeColor="text1"/>
          <w:sz w:val="21"/>
          <w:szCs w:val="21"/>
          <w:highlight w:val="none"/>
          <w:lang w:eastAsia="zh-CN"/>
          <w14:textFill>
            <w14:solidFill>
              <w14:schemeClr w14:val="tx1"/>
            </w14:solidFill>
          </w14:textFill>
        </w:rPr>
        <w:t>模块墙和分隔墙外</w:t>
      </w:r>
      <w:bookmarkEnd w:id="1310"/>
      <w:r>
        <w:rPr>
          <w:rFonts w:hint="default" w:ascii="Times New Roman" w:hAnsi="Times New Roman" w:cs="Times New Roman"/>
          <w:color w:val="000000" w:themeColor="text1"/>
          <w:sz w:val="21"/>
          <w:szCs w:val="21"/>
          <w:highlight w:val="none"/>
          <w:lang w:eastAsia="zh-CN"/>
          <w14:textFill>
            <w14:solidFill>
              <w14:schemeClr w14:val="tx1"/>
            </w14:solidFill>
          </w14:textFill>
        </w:rPr>
        <w:t>，将主体结构预制剪力墙（包括双拼叠合剪力墙叶板、预制叠合剪力墙和预制空心剪力墙）以及叠合梁在模块上进行集成，最大限度发挥工厂构件生产的优势，减少现场钢筋绑扎和模板支设的工作量，以减少人工投入，降低建筑建造成本。</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520315" cy="2061845"/>
                  <wp:effectExtent l="0" t="0" r="13335" b="14605"/>
                  <wp:docPr id="2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true"/>
                          </pic:cNvPicPr>
                        </pic:nvPicPr>
                        <pic:blipFill>
                          <a:blip r:embed="rId36"/>
                          <a:stretch>
                            <a:fillRect/>
                          </a:stretch>
                        </pic:blipFill>
                        <pic:spPr>
                          <a:xfrm>
                            <a:off x="0" y="0"/>
                            <a:ext cx="2520315" cy="20618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z w:val="18"/>
                <w:szCs w:val="20"/>
                <w:highlight w:val="none"/>
                <w:lang w:val="en-US" w:eastAsia="zh-CN"/>
                <w14:textFill>
                  <w14:solidFill>
                    <w14:schemeClr w14:val="tx1"/>
                  </w14:solidFill>
                </w14:textFill>
              </w:rPr>
              <w:t>（b）有底板叠合剪力墙式模块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520315" cy="2081530"/>
                  <wp:effectExtent l="0" t="0" r="13335" b="13970"/>
                  <wp:docPr id="3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true"/>
                          </pic:cNvPicPr>
                        </pic:nvPicPr>
                        <pic:blipFill>
                          <a:blip r:embed="rId37"/>
                          <a:stretch>
                            <a:fillRect/>
                          </a:stretch>
                        </pic:blipFill>
                        <pic:spPr>
                          <a:xfrm>
                            <a:off x="0" y="0"/>
                            <a:ext cx="2520315" cy="20815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sz w:val="18"/>
                <w:szCs w:val="20"/>
                <w:highlight w:val="none"/>
                <w:lang w:val="en-US" w:eastAsia="zh-CN"/>
                <w14:textFill>
                  <w14:solidFill>
                    <w14:schemeClr w14:val="tx1"/>
                  </w14:solidFill>
                </w14:textFill>
              </w:rPr>
              <w:t>（b）无底板叠合剪力墙式模块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图</w:t>
            </w:r>
            <w:r>
              <w:rPr>
                <w:rFonts w:hint="default" w:ascii="Times New Roman" w:hAnsi="Times New Roman" w:eastAsia="黑体" w:cs="Times New Roman"/>
                <w:b/>
                <w:color w:val="000000" w:themeColor="text1"/>
                <w:sz w:val="18"/>
                <w:szCs w:val="18"/>
                <w:highlight w:val="none"/>
                <w14:textFill>
                  <w14:solidFill>
                    <w14:schemeClr w14:val="tx1"/>
                  </w14:solidFill>
                </w14:textFill>
              </w:rPr>
              <w:t xml:space="preserve">2.1.3 </w:t>
            </w:r>
            <w:r>
              <w:rPr>
                <w:rFonts w:hint="default" w:ascii="Times New Roman" w:hAnsi="Times New Roman" w:eastAsia="黑体" w:cs="Times New Roman"/>
                <w:color w:val="000000" w:themeColor="text1"/>
                <w:sz w:val="18"/>
                <w:szCs w:val="18"/>
                <w:highlight w:val="none"/>
                <w14:textFill>
                  <w14:solidFill>
                    <w14:schemeClr w14:val="tx1"/>
                  </w14:solidFill>
                </w14:textFill>
              </w:rPr>
              <w:t>叠合剪力墙模块单元示意图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eastAsia="黑体"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1—模块预制顶板；</w:t>
            </w:r>
            <w:bookmarkStart w:id="1311" w:name="OLE_LINK56"/>
            <w:r>
              <w:rPr>
                <w:rFonts w:hint="default" w:ascii="Times New Roman" w:hAnsi="Times New Roman" w:eastAsia="黑体" w:cs="Times New Roman"/>
                <w:color w:val="000000" w:themeColor="text1"/>
                <w:sz w:val="18"/>
                <w:szCs w:val="18"/>
                <w:highlight w:val="none"/>
                <w14:textFill>
                  <w14:solidFill>
                    <w14:schemeClr w14:val="tx1"/>
                  </w14:solidFill>
                </w14:textFill>
              </w:rPr>
              <w:t>2—预制薄隔墙</w:t>
            </w:r>
            <w:bookmarkEnd w:id="1311"/>
            <w:r>
              <w:rPr>
                <w:rFonts w:hint="default" w:ascii="Times New Roman" w:hAnsi="Times New Roman" w:eastAsia="黑体" w:cs="Times New Roman"/>
                <w:color w:val="000000" w:themeColor="text1"/>
                <w:sz w:val="18"/>
                <w:szCs w:val="18"/>
                <w:highlight w:val="none"/>
                <w14:textFill>
                  <w14:solidFill>
                    <w14:schemeClr w14:val="tx1"/>
                  </w14:solidFill>
                </w14:textFill>
              </w:rPr>
              <w:t>；3—</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模块</w:t>
            </w:r>
            <w:r>
              <w:rPr>
                <w:rFonts w:hint="default" w:ascii="Times New Roman" w:hAnsi="Times New Roman" w:eastAsia="黑体" w:cs="Times New Roman"/>
                <w:color w:val="000000" w:themeColor="text1"/>
                <w:sz w:val="18"/>
                <w:szCs w:val="18"/>
                <w:highlight w:val="none"/>
                <w14:textFill>
                  <w14:solidFill>
                    <w14:schemeClr w14:val="tx1"/>
                  </w14:solidFill>
                </w14:textFill>
              </w:rPr>
              <w:t>底板；</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eastAsia="黑体" w:cs="Times New Roman"/>
                <w:color w:val="000000" w:themeColor="text1"/>
                <w:sz w:val="18"/>
                <w:szCs w:val="18"/>
                <w:highlight w:val="none"/>
                <w14:textFill>
                  <w14:solidFill>
                    <w14:schemeClr w14:val="tx1"/>
                  </w14:solidFill>
                </w14:textFill>
              </w:rPr>
              <w:t>—预制叠合剪力墙；</w:t>
            </w:r>
          </w:p>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eastAsia="黑体" w:cs="Times New Roman"/>
                <w:color w:val="000000" w:themeColor="text1"/>
                <w:sz w:val="18"/>
                <w:szCs w:val="18"/>
                <w:highlight w:val="none"/>
                <w14:textFill>
                  <w14:solidFill>
                    <w14:schemeClr w14:val="tx1"/>
                  </w14:solidFill>
                </w14:textFill>
              </w:rPr>
              <w:t>—预制围护墙</w:t>
            </w:r>
          </w:p>
        </w:tc>
      </w:tr>
    </w:tbl>
    <w:p>
      <w:pPr>
        <w:pStyle w:val="53"/>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2.1.6 </w:t>
      </w:r>
      <w:r>
        <w:rPr>
          <w:rFonts w:hint="default" w:ascii="Times New Roman" w:hAnsi="Times New Roman" w:cs="Times New Roman"/>
          <w:color w:val="000000" w:themeColor="text1"/>
          <w:sz w:val="21"/>
          <w:szCs w:val="21"/>
          <w:highlight w:val="none"/>
          <w14:textFill>
            <w14:solidFill>
              <w14:schemeClr w14:val="tx1"/>
            </w14:solidFill>
          </w14:textFill>
        </w:rPr>
        <w:t>由带钢筋笼叠合边缘构件、叠合剪力墙和全预制剪力墙模块单元通过一系列构造措施现场拼接形成的完整的剪力墙结构。其构造措施包括预制叠合楼板，外墙预埋波纹管，内墙预留钢筋笼，并预留后浇边缘构件和后灌混凝土空心边缘构件。</w:t>
      </w:r>
    </w:p>
    <w:p>
      <w:pPr>
        <w:pStyle w:val="53"/>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2.1.7</w:t>
      </w:r>
      <w:bookmarkStart w:id="1312" w:name="OLE_LINK38"/>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空心剪力墙</w:t>
      </w:r>
      <w:bookmarkEnd w:id="1312"/>
      <w:r>
        <w:rPr>
          <w:rFonts w:hint="default" w:ascii="Times New Roman" w:hAnsi="Times New Roman" w:cs="Times New Roman"/>
          <w:color w:val="000000" w:themeColor="text1"/>
          <w:sz w:val="21"/>
          <w:szCs w:val="21"/>
          <w:highlight w:val="none"/>
          <w14:textFill>
            <w14:solidFill>
              <w14:schemeClr w14:val="tx1"/>
            </w14:solidFill>
          </w14:textFill>
        </w:rPr>
        <w:t>（图2.1.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）是一种预制空心墙板，它既是墙体模板，又是剪力墙构件的组成部分。空心剪力墙竖直方向</w:t>
      </w:r>
      <w:bookmarkStart w:id="1313" w:name="OLE_LINK39"/>
      <w:r>
        <w:rPr>
          <w:rFonts w:hint="default" w:ascii="Times New Roman" w:hAnsi="Times New Roman" w:cs="Times New Roman"/>
          <w:color w:val="000000" w:themeColor="text1"/>
          <w:sz w:val="21"/>
          <w:szCs w:val="21"/>
          <w:highlight w:val="none"/>
          <w14:textFill>
            <w14:solidFill>
              <w14:schemeClr w14:val="tx1"/>
            </w14:solidFill>
          </w14:textFill>
        </w:rPr>
        <w:t>通长孔洞</w:t>
      </w:r>
      <w:bookmarkEnd w:id="1313"/>
      <w:r>
        <w:rPr>
          <w:rFonts w:hint="default" w:ascii="Times New Roman" w:hAnsi="Times New Roman" w:cs="Times New Roman"/>
          <w:color w:val="000000" w:themeColor="text1"/>
          <w:sz w:val="21"/>
          <w:szCs w:val="21"/>
          <w:highlight w:val="none"/>
          <w14:textFill>
            <w14:solidFill>
              <w14:schemeClr w14:val="tx1"/>
            </w14:solidFill>
          </w14:textFill>
        </w:rPr>
        <w:t>的形状和尺寸可根据工程需要进行设计，但应满足混凝土浇筑过程中作为模板的承载能力要求。</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3" w:hRule="atLeast"/>
          <w:jc w:val="center"/>
        </w:trPr>
        <w:tc>
          <w:tcPr>
            <w:tcW w:w="6135" w:type="dxa"/>
            <w:shd w:val="clear" w:color="auto" w:fill="auto"/>
            <w:vAlign w:val="center"/>
          </w:tcPr>
          <w:p>
            <w:pPr>
              <w:jc w:val="center"/>
              <w:rPr>
                <w:rFonts w:hint="default" w:ascii="Times New Roman" w:hAnsi="Times New Roman" w:eastAsia="黑体"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1503045" cy="1997075"/>
                  <wp:effectExtent l="0" t="0" r="1905" b="3175"/>
                  <wp:docPr id="3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true"/>
                          </pic:cNvPicPr>
                        </pic:nvPicPr>
                        <pic:blipFill>
                          <a:blip r:embed="rId38"/>
                          <a:stretch>
                            <a:fillRect/>
                          </a:stretch>
                        </pic:blipFill>
                        <pic:spPr>
                          <a:xfrm>
                            <a:off x="0" y="0"/>
                            <a:ext cx="1503045" cy="19970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35" w:type="dxa"/>
            <w:shd w:val="clear" w:color="auto" w:fill="auto"/>
            <w:vAlign w:val="center"/>
          </w:tcPr>
          <w:p>
            <w:pPr>
              <w:spacing w:before="83" w:beforeLines="25"/>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图</w:t>
            </w:r>
            <w:r>
              <w:rPr>
                <w:rFonts w:hint="default" w:ascii="Times New Roman" w:hAnsi="Times New Roman" w:eastAsia="黑体" w:cs="Times New Roman"/>
                <w:b/>
                <w:color w:val="000000" w:themeColor="text1"/>
                <w:sz w:val="18"/>
                <w:szCs w:val="18"/>
                <w:highlight w:val="none"/>
                <w14:textFill>
                  <w14:solidFill>
                    <w14:schemeClr w14:val="tx1"/>
                  </w14:solidFill>
                </w14:textFill>
              </w:rPr>
              <w:t>2.1.</w:t>
            </w:r>
            <w:r>
              <w:rPr>
                <w:rFonts w:hint="default" w:ascii="Times New Roman" w:hAnsi="Times New Roman" w:eastAsia="黑体" w:cs="Times New Roman"/>
                <w:b/>
                <w:color w:val="000000" w:themeColor="text1"/>
                <w:sz w:val="18"/>
                <w:szCs w:val="18"/>
                <w:highlight w:val="none"/>
                <w:lang w:val="en-US" w:eastAsia="zh-CN"/>
                <w14:textFill>
                  <w14:solidFill>
                    <w14:schemeClr w14:val="tx1"/>
                  </w14:solidFill>
                </w14:textFill>
              </w:rPr>
              <w:t>7</w:t>
            </w:r>
            <w:r>
              <w:rPr>
                <w:rFonts w:hint="default" w:ascii="Times New Roman" w:hAnsi="Times New Roman" w:eastAsia="黑体" w:cs="Times New Roman"/>
                <w:b/>
                <w:color w:val="000000" w:themeColor="text1"/>
                <w:sz w:val="18"/>
                <w:szCs w:val="18"/>
                <w:highlight w:val="none"/>
                <w14:textFill>
                  <w14:solidFill>
                    <w14:schemeClr w14:val="tx1"/>
                  </w14:solidFill>
                </w14:textFill>
              </w:rPr>
              <w:t xml:space="preserve"> </w:t>
            </w:r>
            <w:r>
              <w:rPr>
                <w:rFonts w:hint="default" w:ascii="Times New Roman" w:hAnsi="Times New Roman" w:eastAsia="黑体" w:cs="Times New Roman"/>
                <w:color w:val="000000" w:themeColor="text1"/>
                <w:sz w:val="18"/>
                <w:szCs w:val="18"/>
                <w:highlight w:val="none"/>
                <w14:textFill>
                  <w14:solidFill>
                    <w14:schemeClr w14:val="tx1"/>
                  </w14:solidFill>
                </w14:textFill>
              </w:rPr>
              <w:t xml:space="preserve"> 预制空心剪力墙</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构件</w:t>
            </w:r>
            <w:r>
              <w:rPr>
                <w:rFonts w:hint="default" w:ascii="Times New Roman" w:hAnsi="Times New Roman" w:eastAsia="黑体" w:cs="Times New Roman"/>
                <w:color w:val="000000" w:themeColor="text1"/>
                <w:sz w:val="18"/>
                <w:szCs w:val="18"/>
                <w:highlight w:val="none"/>
                <w14:textFill>
                  <w14:solidFill>
                    <w14:schemeClr w14:val="tx1"/>
                  </w14:solidFill>
                </w14:textFill>
              </w:rPr>
              <w:t>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35" w:type="dxa"/>
            <w:shd w:val="clear" w:color="auto" w:fill="auto"/>
            <w:vAlign w:val="center"/>
          </w:tcPr>
          <w:p>
            <w:pPr>
              <w:spacing w:before="83" w:beforeLines="25"/>
              <w:jc w:val="cente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1—空心剪力墙</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墙身</w:t>
            </w:r>
            <w:r>
              <w:rPr>
                <w:rFonts w:hint="default" w:ascii="Times New Roman" w:hAnsi="Times New Roman" w:eastAsia="黑体" w:cs="Times New Roman"/>
                <w:color w:val="000000" w:themeColor="text1"/>
                <w:sz w:val="18"/>
                <w:szCs w:val="18"/>
                <w:highlight w:val="none"/>
                <w14:textFill>
                  <w14:solidFill>
                    <w14:schemeClr w14:val="tx1"/>
                  </w14:solidFill>
                </w14:textFill>
              </w:rPr>
              <w:t>；2—</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竖向</w:t>
            </w:r>
            <w:r>
              <w:rPr>
                <w:rFonts w:hint="default" w:ascii="Times New Roman" w:hAnsi="Times New Roman" w:eastAsia="黑体" w:cs="Times New Roman"/>
                <w:color w:val="000000" w:themeColor="text1"/>
                <w:sz w:val="18"/>
                <w:szCs w:val="18"/>
                <w:highlight w:val="none"/>
                <w14:textFill>
                  <w14:solidFill>
                    <w14:schemeClr w14:val="tx1"/>
                  </w14:solidFill>
                </w14:textFill>
              </w:rPr>
              <w:t>通长孔洞；3—</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竖向通长槽口</w:t>
            </w:r>
          </w:p>
        </w:tc>
      </w:tr>
    </w:tbl>
    <w:p>
      <w:pPr>
        <w:pStyle w:val="53"/>
        <w:spacing w:line="360" w:lineRule="exact"/>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空心剪力墙内含的钢筋骨架（图2.1.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可用两片钢筋焊接网与拉筋焊接或绑扎成型。钢筋骨架竖直方向的钢筋作为墙体竖向分布钢筋；空心剪力墙可以根据工程需要做成大板，此时一般用平模生产，墙体水平受力分布钢筋可预制在大板内。大板空心墙模可参考相关产品及标准进行构造设计。</w:t>
      </w:r>
    </w:p>
    <w:p>
      <w:pPr>
        <w:spacing w:line="360" w:lineRule="exact"/>
        <w:ind w:firstLine="0" w:firstLineChars="0"/>
        <w:rPr>
          <w:rFonts w:hint="default" w:ascii="Times New Roman" w:hAnsi="Times New Roman" w:eastAsia="宋体" w:cs="Times New Roman"/>
          <w:color w:val="000000" w:themeColor="text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2.1.9 </w:t>
      </w:r>
      <w:r>
        <w:rPr>
          <w:rFonts w:hint="default" w:ascii="Times New Roman" w:hAnsi="Times New Roman" w:cs="Times New Roman"/>
          <w:color w:val="000000" w:themeColor="text1"/>
          <w:szCs w:val="21"/>
          <w:highlight w:val="none"/>
          <w:lang w:val="en-US" w:eastAsia="zh-CN"/>
          <w14:textFill>
            <w14:solidFill>
              <w14:schemeClr w14:val="tx1"/>
            </w14:solidFill>
          </w14:textFill>
        </w:rPr>
        <w:t>组合式</w:t>
      </w:r>
      <w:r>
        <w:rPr>
          <w:rFonts w:hint="default" w:ascii="Times New Roman" w:hAnsi="Times New Roman" w:cs="Times New Roman"/>
          <w:color w:val="000000" w:themeColor="text1"/>
          <w:szCs w:val="21"/>
          <w:highlight w:val="none"/>
          <w14:textFill>
            <w14:solidFill>
              <w14:schemeClr w14:val="tx1"/>
            </w14:solidFill>
          </w14:textFill>
        </w:rPr>
        <w:t>双面叠合剪力墙</w:t>
      </w:r>
      <w:r>
        <w:rPr>
          <w:rFonts w:hint="default" w:ascii="Times New Roman" w:hAnsi="Times New Roman" w:cs="Times New Roman"/>
          <w:color w:val="000000" w:themeColor="text1"/>
          <w:szCs w:val="21"/>
          <w:highlight w:val="none"/>
          <w:lang w:eastAsia="zh-CN"/>
          <w14:textFill>
            <w14:solidFill>
              <w14:schemeClr w14:val="tx1"/>
            </w14:solidFill>
          </w14:textFill>
        </w:rPr>
        <w:t>是</w:t>
      </w:r>
      <w:r>
        <w:rPr>
          <w:rFonts w:hint="default" w:ascii="Times New Roman" w:hAnsi="Times New Roman" w:cs="Times New Roman"/>
          <w:color w:val="000000" w:themeColor="text1"/>
          <w:szCs w:val="21"/>
          <w:highlight w:val="none"/>
          <w:lang w:val="en-US" w:eastAsia="zh-CN"/>
          <w14:textFill>
            <w14:solidFill>
              <w14:schemeClr w14:val="tx1"/>
            </w14:solidFill>
          </w14:textFill>
        </w:rPr>
        <w:t>由两块分离的预制叠合墙板</w:t>
      </w:r>
      <w:r>
        <w:rPr>
          <w:rFonts w:hint="default" w:ascii="Times New Roman" w:hAnsi="Times New Roman" w:cs="Times New Roman"/>
          <w:color w:val="000000" w:themeColor="text1"/>
          <w:szCs w:val="21"/>
          <w:highlight w:val="none"/>
          <w14:textFill>
            <w14:solidFill>
              <w14:schemeClr w14:val="tx1"/>
            </w14:solidFill>
          </w14:textFill>
        </w:rPr>
        <w:t>在现场安装就位后</w:t>
      </w:r>
      <w:r>
        <w:rPr>
          <w:rFonts w:hint="default" w:ascii="Times New Roman" w:hAnsi="Times New Roman" w:cs="Times New Roman"/>
          <w:color w:val="000000" w:themeColor="text1"/>
          <w:szCs w:val="21"/>
          <w:highlight w:val="none"/>
          <w:lang w:val="en-US" w:eastAsia="zh-CN"/>
          <w14:textFill>
            <w14:solidFill>
              <w14:schemeClr w14:val="tx1"/>
            </w14:solidFill>
          </w14:textFill>
        </w:rPr>
        <w:t>中间空腔</w:t>
      </w:r>
      <w:r>
        <w:rPr>
          <w:rFonts w:hint="default" w:ascii="Times New Roman" w:hAnsi="Times New Roman" w:cs="Times New Roman"/>
          <w:color w:val="000000" w:themeColor="text1"/>
          <w:szCs w:val="21"/>
          <w:highlight w:val="none"/>
          <w14:textFill>
            <w14:solidFill>
              <w14:schemeClr w14:val="tx1"/>
            </w14:solidFill>
          </w14:textFill>
        </w:rPr>
        <w:t>浇筑混凝土</w:t>
      </w:r>
      <w:r>
        <w:rPr>
          <w:rFonts w:hint="default" w:ascii="Times New Roman" w:hAnsi="Times New Roman" w:cs="Times New Roman"/>
          <w:color w:val="000000" w:themeColor="text1"/>
          <w:szCs w:val="21"/>
          <w:highlight w:val="none"/>
          <w:lang w:val="en-US" w:eastAsia="zh-CN"/>
          <w14:textFill>
            <w14:solidFill>
              <w14:schemeClr w14:val="tx1"/>
            </w14:solidFill>
          </w14:textFill>
        </w:rPr>
        <w:t>而成。预制叠合墙板兼做模板用途，墙板侧面没有桁架钢筋，而是布置一定间距的钢筋环，与另一侧叠合墙板相互锚固共同工作</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该类型叠合墙能解决模块化建筑中部剪力墙预制部分只能做模板而无法全部参与受力的问题，使得叠合剪力墙厚度与现浇剪力厚度一致。</w:t>
      </w:r>
    </w:p>
    <w:p>
      <w:pPr>
        <w:spacing w:line="36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2.1.</w:t>
      </w:r>
      <w:r>
        <w:rPr>
          <w:rFonts w:hint="default" w:ascii="Times New Roman" w:hAnsi="Times New Roman" w:cs="Times New Roman"/>
          <w:b/>
          <w:color w:val="000000" w:themeColor="text1"/>
          <w:szCs w:val="21"/>
          <w:highlight w:val="none"/>
          <w:lang w:val="en-US" w:eastAsia="zh-CN"/>
          <w14:textFill>
            <w14:solidFill>
              <w14:schemeClr w14:val="tx1"/>
            </w14:solidFill>
          </w14:textFill>
        </w:rPr>
        <w:t>10</w:t>
      </w:r>
      <w:r>
        <w:rPr>
          <w:rFonts w:hint="default" w:ascii="Times New Roman" w:hAnsi="Times New Roman" w:cs="Times New Roman"/>
          <w:b/>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模壳板包括墙模、柱模和梁模。</w:t>
      </w:r>
    </w:p>
    <w:p>
      <w:pP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p>
      <w:pP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p>
      <w:pPr>
        <w:jc w:val="center"/>
        <w:rPr>
          <w:rFonts w:hint="default" w:ascii="Times New Roman" w:hAnsi="Times New Roman" w:cs="Times New Roman"/>
          <w:color w:val="000000" w:themeColor="text1"/>
          <w:lang w:val="en-US" w:eastAsia="zh-CN"/>
          <w14:textFill>
            <w14:solidFill>
              <w14:schemeClr w14:val="tx1"/>
            </w14:solidFill>
          </w14:textFill>
        </w:rPr>
      </w:pPr>
    </w:p>
    <w:p>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314" w:name="_Toc15505"/>
      <w:bookmarkStart w:id="1315" w:name="_Toc14548"/>
      <w:bookmarkStart w:id="1316" w:name="_Toc8980"/>
      <w:bookmarkStart w:id="1317" w:name="_Toc23463"/>
      <w:bookmarkStart w:id="1318" w:name="_Toc4515"/>
      <w:bookmarkStart w:id="1319" w:name="_Toc14437"/>
      <w:r>
        <w:rPr>
          <w:rFonts w:hint="default" w:ascii="Times New Roman" w:hAnsi="Times New Roman" w:eastAsia="黑体" w:cs="Times New Roman"/>
          <w:color w:val="000000" w:themeColor="text1"/>
          <w:sz w:val="28"/>
          <w:szCs w:val="28"/>
          <w:highlight w:val="none"/>
          <w14:textFill>
            <w14:solidFill>
              <w14:schemeClr w14:val="tx1"/>
            </w14:solidFill>
          </w14:textFill>
        </w:rPr>
        <w:t>3  基 本 规 定</w:t>
      </w:r>
      <w:bookmarkEnd w:id="1314"/>
      <w:bookmarkEnd w:id="1315"/>
      <w:bookmarkEnd w:id="1316"/>
      <w:bookmarkEnd w:id="1317"/>
      <w:bookmarkEnd w:id="1318"/>
      <w:bookmarkEnd w:id="1319"/>
    </w:p>
    <w:p>
      <w:pPr>
        <w:widowControl/>
        <w:spacing w:line="360" w:lineRule="exact"/>
        <w:jc w:val="left"/>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3.0.1</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混凝土模块化建筑的最大的特点，是它由若干个模块单元所组成。模块化建筑是一个系统工程，系统性和集成性是它的基本特征，通过系统集成的方法，实现设计、采购、生产、运输、施工安装和运营维护全过程的一体化。混凝土模块化建筑区别于传统建筑，将大量的现场作业转移到工厂中完成，同时，模块单元在工厂生产时集成了设备管线与内装，不仅需要各专业的协同设计，更需要不同单位间的紧密配合。为最大化发挥模块化特点，混凝土模块化建筑在建设过程应做到设计前置，在规划设计过程中系统化考虑建筑设计，生产，运输，安装等过程。建议对混凝土模块化建筑的工程建造采用EPC总承包，厂家生产加设计，或者其他倡导设计前置的合同模式</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 xml:space="preserve"> </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w:t>
      </w:r>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3.0.2</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 xml:space="preserve">混凝土模块化建筑的协同设计是工厂化生产、装配化施工建造的前提，应把一体化设计贯穿到工程设计全过程中，在整个建造过程中，实现全产业链上的各行业、各专业之间全过程的紧密合作；在设计的同时考虑工厂生产和现场装配的可实现性，对模块单元进行优化，从而提高模块化建筑的建造效率及质量，降低整体生产安装成本。 </w:t>
      </w:r>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3.0.3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混凝土模块化建筑是由结构系统、围护系统、设备管线系统和内装系统等四大系统组成，是将预制部品部件通过模数协调，并以模块单元为单位在工厂进行制作安装，运送到现场后进行拼接组装，因此幕墙体系、内装体系、设备管线等设计均应前置，进行精细化的多专业管线综合设计。</w:t>
      </w:r>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3.0.4</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模块的建筑设计，应进行模数协调，以满足施工装配化与部品部件标准化、通用化的要求。标准化设计是实施模块化建造的重要且有效的手段，没有标准化就不可能实现结构系统、围护系统、设备与管线系统以及内装系统的一体化集成。模数和模数协调是实现模块化建筑标准化设计的重要基础，有利于减少部品部件的规格种类，提高部品部件的重复使用率，有利于提高建造速度和工人的劳动效率，从而降低造价。宜通过新材料、新工艺的使用，满足建筑外立面的美观要求，实现标准化和多样化辩证的统一。</w:t>
      </w:r>
    </w:p>
    <w:p>
      <w:pPr>
        <w:widowControl/>
        <w:spacing w:line="360" w:lineRule="exact"/>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3.0.5</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模块单元的组成构件及其连接、接口</w:t>
      </w:r>
      <w:r>
        <w:rPr>
          <w:rFonts w:hint="default" w:ascii="Times New Roman" w:hAnsi="Times New Roman" w:cs="Times New Roman"/>
          <w:color w:val="000000" w:themeColor="text1"/>
          <w:sz w:val="21"/>
          <w:szCs w:val="21"/>
          <w:highlight w:val="none"/>
          <w14:textFill>
            <w14:solidFill>
              <w14:schemeClr w14:val="tx1"/>
            </w14:solidFill>
          </w14:textFill>
        </w:rPr>
        <w:t>实现标准化、通用化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能最大化发挥模块化建筑工业化生产的优势，并能有效降低模块化建筑的建造成本。</w:t>
      </w:r>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3.0.6</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与传统的建筑方法相比，模块化建筑有更多的连接接口。规定公差是为了建立模块单元之间，以及模块单元与各个功能系统之间的尺寸协调关系，以保证各种模块单元和各功能系统在施工现场能准确地装配在一起，安装接缝、放线定位中的偏差控制在允许的范围内，使接口的功能、质量和美观均达到设计预期的要求。</w:t>
      </w:r>
    </w:p>
    <w:p>
      <w:pPr>
        <w:widowControl/>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u w:val="none"/>
          <w:lang w:val="en-US" w:eastAsia="zh-CN"/>
          <w14:textFill>
            <w14:solidFill>
              <w14:schemeClr w14:val="tx1"/>
            </w14:solidFill>
          </w14:textFill>
        </w:rPr>
        <w:t>3.0.9</w:t>
      </w:r>
      <w:r>
        <w:rPr>
          <w:rFonts w:hint="default" w:ascii="Times New Roman" w:hAnsi="Times New Roman" w:cs="Times New Roman"/>
          <w:b/>
          <w:color w:val="000000" w:themeColor="text1"/>
          <w:sz w:val="21"/>
          <w:szCs w:val="21"/>
          <w:highlight w:val="none"/>
          <w:u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u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混凝土模块化建筑区别于传统建筑，将大量的现场作业转移到工厂中完成，同时，模块单元在工厂生产时集成了设备管线与内装，不仅需要各专业的协同设计，更需要不同单位间的紧密配合，因此建议采用EPC总承包模式，便于项目实施。</w:t>
      </w:r>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3.0.10</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建筑信息模型技术是混凝土模块装配式建筑建造过程的重要手段。通过信息数据平台管理系统将设计、生产、施工、物流和运营等各环节联系为一体化管理，对提高工程建设各阶段及各专业之间协同配合的效率，以及一体化管理水平具有重要作用。</w:t>
      </w:r>
    </w:p>
    <w:p>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320" w:name="_Toc19158"/>
      <w:bookmarkStart w:id="1321" w:name="_Toc32608"/>
      <w:bookmarkStart w:id="1322" w:name="_Toc11576"/>
      <w:bookmarkStart w:id="1323" w:name="_Toc32230"/>
      <w:bookmarkStart w:id="1324" w:name="_Toc15736"/>
      <w:bookmarkStart w:id="1325" w:name="_Toc24716"/>
      <w:r>
        <w:rPr>
          <w:rFonts w:hint="default" w:ascii="Times New Roman" w:hAnsi="Times New Roman" w:eastAsia="黑体" w:cs="Times New Roman"/>
          <w:color w:val="000000" w:themeColor="text1"/>
          <w:sz w:val="28"/>
          <w:szCs w:val="28"/>
          <w:highlight w:val="none"/>
          <w14:textFill>
            <w14:solidFill>
              <w14:schemeClr w14:val="tx1"/>
            </w14:solidFill>
          </w14:textFill>
        </w:rPr>
        <w:t>4  材    料</w:t>
      </w:r>
      <w:bookmarkEnd w:id="1320"/>
      <w:bookmarkEnd w:id="1321"/>
      <w:bookmarkEnd w:id="1322"/>
      <w:bookmarkEnd w:id="1323"/>
      <w:bookmarkEnd w:id="1324"/>
      <w:bookmarkEnd w:id="1325"/>
    </w:p>
    <w:p>
      <w:pPr>
        <w:pStyle w:val="3"/>
        <w:spacing w:before="166" w:beforeLines="50" w:after="166" w:afterLines="50" w:line="360" w:lineRule="auto"/>
        <w:jc w:val="center"/>
        <w:rPr>
          <w:rFonts w:hint="default" w:ascii="Times New Roman" w:hAnsi="Times New Roman" w:cs="Times New Roman"/>
          <w:color w:val="000000" w:themeColor="text1"/>
          <w:highlight w:val="none"/>
          <w14:textFill>
            <w14:solidFill>
              <w14:schemeClr w14:val="tx1"/>
            </w14:solidFill>
          </w14:textFill>
        </w:rPr>
      </w:pPr>
      <w:bookmarkStart w:id="1326" w:name="_Toc30342"/>
      <w:bookmarkStart w:id="1327" w:name="_Toc14893"/>
      <w:bookmarkStart w:id="1328" w:name="_Toc9213"/>
      <w:bookmarkStart w:id="1329" w:name="_Toc18281"/>
      <w:bookmarkStart w:id="1330" w:name="_Toc24090"/>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4.1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结 构 材 料</w:t>
      </w:r>
      <w:bookmarkEnd w:id="1326"/>
      <w:bookmarkEnd w:id="1327"/>
      <w:bookmarkEnd w:id="1328"/>
      <w:bookmarkEnd w:id="1329"/>
      <w:bookmarkEnd w:id="1330"/>
    </w:p>
    <w:p>
      <w:pPr>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4.1.3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混凝土模块单元需经历生产、运输、吊装等多道工序，为避免模块在以上工序中造成损坏，提高材料的利用效率，考虑在现行国家标准《混凝土结构设计</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标准</w:t>
      </w:r>
      <w:r>
        <w:rPr>
          <w:rFonts w:hint="default" w:ascii="Times New Roman" w:hAnsi="Times New Roman" w:cs="Times New Roman"/>
          <w:color w:val="000000" w:themeColor="text1"/>
          <w:sz w:val="21"/>
          <w:szCs w:val="21"/>
          <w:highlight w:val="none"/>
          <w14:textFill>
            <w14:solidFill>
              <w14:schemeClr w14:val="tx1"/>
            </w14:solidFill>
          </w14:textFill>
        </w:rPr>
        <w:t>》GB/T 50010 的有关规定的基础上适当提高模块化结构混凝土的强度等级，要求最低强度等级不低于C30。</w:t>
      </w:r>
    </w:p>
    <w:p>
      <w:pPr>
        <w:widowControl/>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4.1.10</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参考国家现行标准《水泥基灌浆材料应用技术规程》GB/T 50448行业标准《钢筋连接用套筒灌浆料》JG/T408和《钢筋套筒灌浆连接应用技术规程》JGJ 355制定了水平接缝灌浆料、插筋预留孔灌浆连接用灌浆料的性能要求。水平接缝用灌浆料要传递接缝的压力和剪力，其强度应高于构件，因此要求较高。灌浆料需采用成品干混料。</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灌浆料的冻融循环、温度适应性、抗渗性、耐腐蚀性等应满足现行有关规范要求。</w:t>
      </w:r>
    </w:p>
    <w:p>
      <w:pPr>
        <w:spacing w:line="360" w:lineRule="exac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4.1.11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座浆料主要用于模块结构构件底部，需</w:t>
      </w:r>
      <w:r>
        <w:rPr>
          <w:rFonts w:hint="default" w:ascii="Times New Roman" w:hAnsi="Times New Roman" w:cs="Times New Roman"/>
          <w:color w:val="000000" w:themeColor="text1"/>
          <w:sz w:val="21"/>
          <w:szCs w:val="21"/>
          <w:highlight w:val="none"/>
          <w14:textFill>
            <w14:solidFill>
              <w14:schemeClr w14:val="tx1"/>
            </w14:solidFill>
          </w14:textFill>
        </w:rPr>
        <w:t>传递</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竖向构件</w:t>
      </w:r>
      <w:r>
        <w:rPr>
          <w:rFonts w:hint="default" w:ascii="Times New Roman" w:hAnsi="Times New Roman" w:cs="Times New Roman"/>
          <w:color w:val="000000" w:themeColor="text1"/>
          <w:sz w:val="21"/>
          <w:szCs w:val="21"/>
          <w:highlight w:val="none"/>
          <w14:textFill>
            <w14:solidFill>
              <w14:schemeClr w14:val="tx1"/>
            </w14:solidFill>
          </w14:textFill>
        </w:rPr>
        <w:t>接缝的压力和剪力，其强度应高于构件，因此要求较高。</w:t>
      </w:r>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4.1.13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本标准中自密实混凝土的性能要求参照现行行业标准《自密实混凝土应用技术规程》JGJ/T 283的规定。</w:t>
      </w:r>
      <w:r>
        <w:rPr>
          <w:rFonts w:hint="default" w:ascii="Times New Roman" w:hAnsi="Times New Roman" w:cs="Times New Roman"/>
          <w:color w:val="000000" w:themeColor="text1"/>
          <w:sz w:val="21"/>
          <w:szCs w:val="21"/>
          <w:highlight w:val="none"/>
          <w14:textFill>
            <w14:solidFill>
              <w14:schemeClr w14:val="tx1"/>
            </w14:solidFill>
          </w14:textFill>
        </w:rPr>
        <w:t>J-环扩展度J-Ring flow指J-环扩展度实验中，混凝土停止流动后，展开圆形的最大直径和与最大直径呈垂直方向的直径的平均值(mm)。</w:t>
      </w:r>
    </w:p>
    <w:p>
      <w:pPr>
        <w:pStyle w:val="3"/>
        <w:spacing w:before="166" w:beforeLines="50" w:after="166" w:afterLines="50"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31" w:name="_Toc6592"/>
      <w:bookmarkStart w:id="1332" w:name="_Toc5794"/>
      <w:bookmarkStart w:id="1333" w:name="_Toc27050"/>
      <w:bookmarkStart w:id="1334" w:name="_Toc16718"/>
      <w:bookmarkStart w:id="1335" w:name="_Toc26624"/>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4.3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其 他 材 料</w:t>
      </w:r>
      <w:bookmarkEnd w:id="1331"/>
      <w:bookmarkEnd w:id="1332"/>
      <w:bookmarkEnd w:id="1333"/>
      <w:bookmarkEnd w:id="1334"/>
      <w:bookmarkEnd w:id="1335"/>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4.3.2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 xml:space="preserve">为使得模块单元尽量轻质，容易吊装，对于模块化结构中的非承重墙体，应尽量减轻其重量。另外为避免模块单元中非承重墙体过多参与结构受力，造成结构计算分析偏差过大，应尽量采用强度等级较低的轻骨料混凝土。 </w:t>
      </w:r>
    </w:p>
    <w:p>
      <w:pPr>
        <w:pStyle w:val="53"/>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4.3.5</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参考建工行业标准《建筑幕墙用硅酮结构密封胶》JG/T475-2015硅酮结构密封胶具有不低于25a的使用寿命。密封胶种类、数量较多，需根据应用环境、功能需求选用，装配式建筑用密封胶除应具有一定的变形能力、与混凝土材料具有相容性以外，尚需符合外观性能、材料性能以及在固化过程中的性能的相关要求。密封材料的耐久性是考察其在使用过程中能长期保持其粘结密封性能和本体性能的指标。在使用环境中，密封材料除经受紫外线、臭氧、温度、水等因素作用外，因温度变化等原因引起的接缝移动使材料本身经常承受周期变化的应力，因而其耐久性显得尤其重要。混凝土模块化建筑中，模块拼接处外漏密封材料直接接触日光、空气和水，容易老化。因此可在使用期内更换的，其耐久性要求不宜低于25年。不可在使用期内更换的材料，其耐久性的要求需与主体结构的使用年限适配。</w:t>
      </w:r>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密封胶性能应满足《混凝土建筑接缝用密封胶》JC/T 881的规定；《装配式混凝土结构技术规程》JGJ 1要求：硅酮、聚氨酯、聚硫密封胶应分别符合国家现行标准《硅酮建筑密封胶》GB/T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14683、《聚氨酯建筑密封胶》JC/T 482和《聚硫建筑密封胶》JC/T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483的规定；接缝中的背衬可采用发泡氯丁橡胶或聚乙烯塑料棒；考虑到目前市面较多采用硅烷改性聚醚密封胶（MS胶），MS建筑密封胶的性能可参考现行标准《建筑用硅烷改性聚醚密封胶》TFSI047的有关要求。</w:t>
      </w:r>
    </w:p>
    <w:p>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336" w:name="_Toc27544"/>
      <w:bookmarkStart w:id="1337" w:name="_Toc18702"/>
      <w:bookmarkStart w:id="1338" w:name="_Toc3901"/>
      <w:bookmarkStart w:id="1339" w:name="_Toc11089"/>
      <w:bookmarkStart w:id="1340" w:name="_Toc2367"/>
      <w:bookmarkStart w:id="1341" w:name="_Toc18752"/>
      <w:r>
        <w:rPr>
          <w:rFonts w:hint="default" w:ascii="Times New Roman" w:hAnsi="Times New Roman" w:eastAsia="黑体" w:cs="Times New Roman"/>
          <w:color w:val="000000" w:themeColor="text1"/>
          <w:sz w:val="28"/>
          <w:szCs w:val="28"/>
          <w:highlight w:val="none"/>
          <w14:textFill>
            <w14:solidFill>
              <w14:schemeClr w14:val="tx1"/>
            </w14:solidFill>
          </w14:textFill>
        </w:rPr>
        <w:t>5  建 筑 设 计</w:t>
      </w:r>
      <w:bookmarkEnd w:id="1336"/>
      <w:bookmarkEnd w:id="1337"/>
      <w:bookmarkEnd w:id="1338"/>
      <w:bookmarkEnd w:id="1339"/>
      <w:bookmarkEnd w:id="1340"/>
      <w:bookmarkEnd w:id="1341"/>
    </w:p>
    <w:p>
      <w:pPr>
        <w:pStyle w:val="3"/>
        <w:spacing w:before="166" w:beforeLines="50" w:after="166" w:afterLines="50" w:line="360" w:lineRule="auto"/>
        <w:jc w:val="center"/>
        <w:rPr>
          <w:rFonts w:hint="default" w:ascii="Times New Roman" w:hAnsi="Times New Roman" w:cs="Times New Roman"/>
          <w:color w:val="000000" w:themeColor="text1"/>
          <w:highlight w:val="none"/>
          <w14:textFill>
            <w14:solidFill>
              <w14:schemeClr w14:val="tx1"/>
            </w14:solidFill>
          </w14:textFill>
        </w:rPr>
      </w:pPr>
      <w:bookmarkStart w:id="1342" w:name="_Toc26038"/>
      <w:bookmarkStart w:id="1343" w:name="_Toc28911"/>
      <w:bookmarkStart w:id="1344" w:name="_Toc3799"/>
      <w:bookmarkStart w:id="1345" w:name="_Toc17203"/>
      <w:bookmarkStart w:id="1346" w:name="_Toc23740"/>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5.2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系统集成设计</w:t>
      </w:r>
      <w:bookmarkEnd w:id="1342"/>
      <w:bookmarkEnd w:id="1343"/>
      <w:bookmarkEnd w:id="1344"/>
      <w:bookmarkEnd w:id="1345"/>
      <w:bookmarkEnd w:id="1346"/>
    </w:p>
    <w:p>
      <w:pPr>
        <w:widowControl/>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5.2.1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 xml:space="preserve"> 有了基本的模数关系，才能实现模块单元之间、模块单元与内装系统之间以及各个内装系统之间的尺寸协调，实现设计与生产安装之间的尺寸配合。目前，工业发达国家水平方向的协调尺寸基本全部采用 3M。根据我国的国情，</w:t>
      </w:r>
      <w:r>
        <w:rPr>
          <w:rFonts w:hint="default" w:ascii="Times New Roman" w:hAnsi="Times New Roman" w:cs="Times New Roman"/>
          <w:color w:val="000000" w:themeColor="text1"/>
          <w:sz w:val="21"/>
          <w:szCs w:val="21"/>
          <w:highlight w:val="none"/>
          <w:lang w:eastAsia="zh-CN"/>
          <w14:textFill>
            <w14:solidFill>
              <w14:schemeClr w14:val="tx1"/>
            </w14:solidFill>
          </w14:textFill>
        </w:rPr>
        <w:t>本标准</w:t>
      </w:r>
      <w:r>
        <w:rPr>
          <w:rFonts w:hint="default" w:ascii="Times New Roman" w:hAnsi="Times New Roman" w:cs="Times New Roman"/>
          <w:color w:val="000000" w:themeColor="text1"/>
          <w:sz w:val="21"/>
          <w:szCs w:val="21"/>
          <w:highlight w:val="none"/>
          <w14:textFill>
            <w14:solidFill>
              <w14:schemeClr w14:val="tx1"/>
            </w14:solidFill>
          </w14:textFill>
        </w:rPr>
        <w:t xml:space="preserve">提出在模块化建筑中的空间模数参考系统以基本模数 1M 作为基础，1M等于100mm；有条件时可以采用 2M 和 3M 作为模数网格的基本尺寸。 </w:t>
      </w:r>
    </w:p>
    <w:p>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5.2.3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模块单元沿水平方向的定位基准面宜采用中心线定位法，中心线应定位于模块单元间接口的中间位置；混凝土模块化建筑平面中相邻中心线间距尺寸应等于模块单元内部净尺寸、模块两侧墙体厚度与模块之间接口尺寸之和。混凝土模块化建筑的层高定位基准面应设置在模块单元底板的建筑完成面顶面，建筑层高为下层模块单元室内建筑完成面至上层模块单元室内建筑完成面之间的高度。</w:t>
      </w:r>
    </w:p>
    <w:p>
      <w:pPr>
        <w:widowControl/>
        <w:spacing w:line="360" w:lineRule="exact"/>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5.2.4</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模块单元平面尺寸应符合建筑功能与人居环境要求，单个模块单元进深不宜超过10m，单个模块单元的宽度不宜超过4m</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楼梯间模块宜单独设计，宜采用2.4m、2.7m开间</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模块高度应符合国家有关建筑标准和模数规定，室内可居住房间净高不应小于2.6m，厨房、卫浴、走廊、通道等房间净高不应小于2.4m</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pPr>
        <w:widowControl/>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模块单元尺寸应根据建筑设计要求，并综合生产、吊装、运输等条件确定；模块单元宽度标志尺寸不宜大于4.0m，长度标志尺寸不宜大于12m，高度标志尺寸不宜大于4.1m。</w:t>
      </w:r>
    </w:p>
    <w:p>
      <w:pPr>
        <w:widowControl/>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1259840" cy="1176655"/>
                  <wp:effectExtent l="0" t="0" r="16510" b="444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39"/>
                          <a:stretch>
                            <a:fillRect/>
                          </a:stretch>
                        </pic:blipFill>
                        <pic:spPr>
                          <a:xfrm>
                            <a:off x="0" y="0"/>
                            <a:ext cx="1259840" cy="11766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spacing w:line="360" w:lineRule="exact"/>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kern w:val="0"/>
                <w:sz w:val="18"/>
                <w:szCs w:val="18"/>
                <w:highlight w:val="none"/>
                <w:vertAlign w:val="baseline"/>
                <w:lang w:val="en-US" w:eastAsia="zh-CN"/>
                <w14:textFill>
                  <w14:solidFill>
                    <w14:schemeClr w14:val="tx1"/>
                  </w14:solidFill>
                </w14:textFill>
              </w:rPr>
              <w:t>图</w:t>
            </w:r>
            <w:r>
              <w:rPr>
                <w:rFonts w:hint="default" w:ascii="Times New Roman" w:hAnsi="Times New Roman" w:eastAsia="黑体" w:cs="Times New Roman"/>
                <w:b/>
                <w:color w:val="000000" w:themeColor="text1"/>
                <w:kern w:val="0"/>
                <w:sz w:val="18"/>
                <w:szCs w:val="18"/>
                <w:highlight w:val="none"/>
                <w:vertAlign w:val="baseline"/>
                <w:lang w:val="en-US" w:eastAsia="zh-CN"/>
                <w14:textFill>
                  <w14:solidFill>
                    <w14:schemeClr w14:val="tx1"/>
                  </w14:solidFill>
                </w14:textFill>
              </w:rPr>
              <w:t xml:space="preserve">5.4.1 </w:t>
            </w:r>
            <w:r>
              <w:rPr>
                <w:rFonts w:hint="default" w:ascii="Times New Roman" w:hAnsi="Times New Roman" w:eastAsia="黑体" w:cs="Times New Roman"/>
                <w:color w:val="000000" w:themeColor="text1"/>
                <w:kern w:val="0"/>
                <w:sz w:val="18"/>
                <w:szCs w:val="18"/>
                <w:highlight w:val="none"/>
                <w:vertAlign w:val="baseline"/>
                <w:lang w:val="en-US" w:eastAsia="zh-CN"/>
                <w14:textFill>
                  <w14:solidFill>
                    <w14:schemeClr w14:val="tx1"/>
                  </w14:solidFill>
                </w14:textFill>
              </w:rPr>
              <w:t>模块化建筑立面拼缝遮蔽方案示意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pPr>
              <w:spacing w:line="360" w:lineRule="exact"/>
              <w:jc w:val="center"/>
              <w:rPr>
                <w:rFonts w:hint="default" w:ascii="Times New Roman" w:hAnsi="Times New Roman" w:eastAsia="黑体" w:cs="Times New Roman"/>
                <w:color w:val="000000" w:themeColor="text1"/>
                <w:sz w:val="18"/>
                <w:szCs w:val="18"/>
                <w:highlight w:val="none"/>
                <w:vertAlign w:val="baseline"/>
                <w:lang w:val="en-US" w:eastAsia="zh-CN"/>
                <w14:textFill>
                  <w14:solidFill>
                    <w14:schemeClr w14:val="tx1"/>
                  </w14:solidFill>
                </w14:textFill>
              </w:rPr>
            </w:pPr>
            <w:bookmarkStart w:id="1347" w:name="OLE_LINK48"/>
            <w:r>
              <w:rPr>
                <w:rFonts w:hint="default" w:ascii="Times New Roman" w:hAnsi="Times New Roman" w:eastAsia="黑体" w:cs="Times New Roman"/>
                <w:bCs/>
                <w:i w:val="0"/>
                <w:iCs/>
                <w:color w:val="000000" w:themeColor="text1"/>
                <w:sz w:val="18"/>
                <w:szCs w:val="18"/>
                <w:highlight w:val="none"/>
                <w:lang w:val="en-US" w:eastAsia="zh-CN"/>
                <w14:textFill>
                  <w14:solidFill>
                    <w14:schemeClr w14:val="tx1"/>
                  </w14:solidFill>
                </w14:textFill>
              </w:rPr>
              <w:t>1</w:t>
            </w:r>
            <w:r>
              <w:rPr>
                <w:rFonts w:hint="default" w:ascii="Times New Roman" w:hAnsi="Times New Roman" w:eastAsia="黑体" w:cs="Times New Roman"/>
                <w:bCs/>
                <w:color w:val="000000" w:themeColor="text1"/>
                <w:sz w:val="18"/>
                <w:szCs w:val="18"/>
                <w:highlight w:val="none"/>
                <w14:textFill>
                  <w14:solidFill>
                    <w14:schemeClr w14:val="tx1"/>
                  </w14:solidFill>
                </w14:textFill>
              </w:rPr>
              <w:t>—</w:t>
            </w:r>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上层模块</w:t>
            </w:r>
            <w:r>
              <w:rPr>
                <w:rFonts w:hint="default" w:ascii="Times New Roman" w:hAnsi="Times New Roman" w:eastAsia="黑体" w:cs="Times New Roman"/>
                <w:bCs/>
                <w:color w:val="000000" w:themeColor="text1"/>
                <w:sz w:val="18"/>
                <w:szCs w:val="18"/>
                <w:highlight w:val="none"/>
                <w14:textFill>
                  <w14:solidFill>
                    <w14:schemeClr w14:val="tx1"/>
                  </w14:solidFill>
                </w14:textFill>
              </w:rPr>
              <w:t>；</w:t>
            </w:r>
            <w:bookmarkEnd w:id="1347"/>
            <w:r>
              <w:rPr>
                <w:rFonts w:hint="default" w:ascii="Times New Roman" w:hAnsi="Times New Roman" w:eastAsia="黑体" w:cs="Times New Roman"/>
                <w:bCs/>
                <w:color w:val="000000" w:themeColor="text1"/>
                <w:sz w:val="18"/>
                <w:szCs w:val="18"/>
                <w:highlight w:val="none"/>
                <w:lang w:val="en-US" w:eastAsia="zh-CN"/>
                <w14:textFill>
                  <w14:solidFill>
                    <w14:schemeClr w14:val="tx1"/>
                  </w14:solidFill>
                </w14:textFill>
              </w:rPr>
              <w:t>2—拼缝遮蔽线脚；3—下层模块；4—座浆层</w:t>
            </w:r>
          </w:p>
        </w:tc>
      </w:tr>
    </w:tbl>
    <w:p>
      <w:pPr>
        <w:pStyle w:val="3"/>
        <w:spacing w:before="166" w:beforeLines="50" w:after="166" w:afterLines="50"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48" w:name="_Toc18705"/>
      <w:bookmarkStart w:id="1349" w:name="_Toc41"/>
      <w:bookmarkStart w:id="1350" w:name="_Toc6677"/>
      <w:bookmarkStart w:id="1351" w:name="_Toc27814"/>
      <w:bookmarkStart w:id="1352" w:name="_Toc12279"/>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5.5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建筑构造</w:t>
      </w:r>
      <w:bookmarkEnd w:id="1348"/>
      <w:bookmarkEnd w:id="1349"/>
      <w:bookmarkEnd w:id="1350"/>
      <w:bookmarkEnd w:id="1351"/>
      <w:bookmarkEnd w:id="1352"/>
    </w:p>
    <w:p>
      <w:pPr>
        <w:autoSpaceDE w:val="0"/>
        <w:autoSpaceDN w:val="0"/>
        <w:adjustRightInd w:val="0"/>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5.5.9</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模块外门窗框的密闭性对建筑的防水和隔声至关重要，而预埋窗口相较于后装窗口来说，具有更好的防渗漏和隔声效果。对于模块化建筑来说，外门窗框有条件在工厂预埋在预制混凝土构件上，因此门窗框建议在工厂采用预埋工艺进行生产。</w:t>
      </w:r>
    </w:p>
    <w:p>
      <w:pP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br w:type="page"/>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353" w:name="_Toc29803"/>
      <w:bookmarkStart w:id="1354" w:name="_Toc20371"/>
      <w:bookmarkStart w:id="1355" w:name="_Toc20266"/>
      <w:bookmarkStart w:id="1356" w:name="_Toc27366"/>
      <w:bookmarkStart w:id="1357" w:name="_Toc1108"/>
      <w:bookmarkStart w:id="1358" w:name="_Toc25134"/>
      <w:r>
        <w:rPr>
          <w:rFonts w:hint="default" w:ascii="Times New Roman" w:hAnsi="Times New Roman" w:eastAsia="黑体" w:cs="Times New Roman"/>
          <w:color w:val="000000" w:themeColor="text1"/>
          <w:sz w:val="28"/>
          <w:szCs w:val="28"/>
          <w:highlight w:val="none"/>
          <w14:textFill>
            <w14:solidFill>
              <w14:schemeClr w14:val="tx1"/>
            </w14:solidFill>
          </w14:textFill>
        </w:rPr>
        <w:t>6  结 构 设 计</w:t>
      </w:r>
      <w:bookmarkEnd w:id="1353"/>
      <w:bookmarkEnd w:id="1354"/>
      <w:bookmarkEnd w:id="1355"/>
      <w:bookmarkEnd w:id="1356"/>
      <w:bookmarkEnd w:id="1357"/>
      <w:bookmarkEnd w:id="1358"/>
    </w:p>
    <w:p>
      <w:pPr>
        <w:pStyle w:val="3"/>
        <w:spacing w:before="166" w:beforeLines="50" w:after="166" w:afterLines="50" w:line="360" w:lineRule="auto"/>
        <w:jc w:val="center"/>
        <w:rPr>
          <w:rFonts w:hint="default" w:ascii="Times New Roman" w:hAnsi="Times New Roman" w:cs="Times New Roman"/>
          <w:color w:val="000000" w:themeColor="text1"/>
          <w:highlight w:val="none"/>
          <w:lang w:val="en-US" w:eastAsia="zh-CN"/>
          <w14:textFill>
            <w14:solidFill>
              <w14:schemeClr w14:val="tx1"/>
            </w14:solidFill>
          </w14:textFill>
        </w:rPr>
      </w:pPr>
      <w:bookmarkStart w:id="1359" w:name="_Toc13157"/>
      <w:bookmarkStart w:id="1360" w:name="_Toc27296"/>
      <w:bookmarkStart w:id="1361" w:name="_Toc5722"/>
      <w:bookmarkStart w:id="1362" w:name="_Toc21676"/>
      <w:bookmarkStart w:id="1363" w:name="_Toc24397"/>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6.1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般</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规</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定</w:t>
      </w:r>
      <w:bookmarkEnd w:id="1359"/>
      <w:bookmarkEnd w:id="1360"/>
      <w:bookmarkEnd w:id="1361"/>
      <w:bookmarkEnd w:id="1362"/>
      <w:bookmarkEnd w:id="1363"/>
    </w:p>
    <w:p>
      <w:pPr>
        <w:widowControl/>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6.1.1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本标准涉及的模块化叠合剪力墙结构已开展了节点、构件和结构体系层面的系列试验研究和计算分析。</w:t>
      </w:r>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现浇</w:t>
      </w:r>
      <w:r>
        <w:rPr>
          <w:rFonts w:hint="default" w:ascii="Times New Roman" w:hAnsi="Times New Roman" w:cs="Times New Roman"/>
          <w:color w:val="000000" w:themeColor="text1"/>
          <w:sz w:val="21"/>
          <w:szCs w:val="21"/>
          <w:highlight w:val="none"/>
          <w:lang w:eastAsia="zh-CN"/>
          <w14:textFill>
            <w14:solidFill>
              <w14:schemeClr w14:val="tx1"/>
            </w14:solidFill>
          </w14:textFill>
        </w:rPr>
        <w:t>剪力墙结构</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即为深圳市地方标准《混凝土模块化建筑技术规程》SJG 230-2023中的模块化现浇剪力墙结构，相关设计要求可参考此标准执行。</w:t>
      </w:r>
      <w:r>
        <w:rPr>
          <w:rFonts w:hint="default" w:ascii="Times New Roman" w:hAnsi="Times New Roman" w:cs="Times New Roman"/>
          <w:color w:val="000000" w:themeColor="text1"/>
          <w:sz w:val="21"/>
          <w:szCs w:val="21"/>
          <w:highlight w:val="none"/>
          <w14:textFill>
            <w14:solidFill>
              <w14:schemeClr w14:val="tx1"/>
            </w14:solidFill>
          </w14:textFill>
        </w:rPr>
        <w:t>当模块化房屋采用</w:t>
      </w:r>
      <w:r>
        <w:rPr>
          <w:rFonts w:hint="default" w:ascii="Times New Roman" w:hAnsi="Times New Roman" w:cs="Times New Roman"/>
          <w:color w:val="000000" w:themeColor="text1"/>
          <w:sz w:val="21"/>
          <w:szCs w:val="21"/>
          <w:highlight w:val="none"/>
          <w:lang w:eastAsia="zh-CN"/>
          <w14:textFill>
            <w14:solidFill>
              <w14:schemeClr w14:val="tx1"/>
            </w14:solidFill>
          </w14:textFill>
        </w:rPr>
        <w:t>本标准</w:t>
      </w:r>
      <w:r>
        <w:rPr>
          <w:rFonts w:hint="default" w:ascii="Times New Roman" w:hAnsi="Times New Roman" w:cs="Times New Roman"/>
          <w:color w:val="000000" w:themeColor="text1"/>
          <w:sz w:val="21"/>
          <w:szCs w:val="21"/>
          <w:highlight w:val="none"/>
          <w14:textFill>
            <w14:solidFill>
              <w14:schemeClr w14:val="tx1"/>
            </w14:solidFill>
          </w14:textFill>
        </w:rPr>
        <w:t>未规定的结构体系时，应进行专项论证。在进行专项论证时，根据实际结构类型、节点连接形式和模块单元形式及构造等，选取合理结构计算模型，并采取相应的加强措施。必要应补充相关试验进行补充研究。</w:t>
      </w:r>
    </w:p>
    <w:p>
      <w:pPr>
        <w:pStyle w:val="53"/>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6.1.2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编制组开展了叠合剪力墙+预制空心边缘构件与现浇构件对比试验</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图2</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，预制叠合剪力墙具备较好的抗震性能。在轴压比0.15时，全免模预制双面叠合剪力墙试件极限承载力优于现浇试件，极限位移、刚度基本一致；在轴压比0.45时，预制叠合剪力墙试件承载能力、延性更好</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均优于现浇试件，具有更好的耗能能力与变形能力；在轴压比0.5时，预制叠合剪力墙试件仍具备较好的抗震性能；各试件屈服位移角为1/416~1/194；极限位移角为1/96~1/51，均大于1/120。</w:t>
      </w:r>
    </w:p>
    <w:p>
      <w:pPr>
        <w:pStyle w:val="53"/>
        <w:spacing w:line="360" w:lineRule="exact"/>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预制空心边缘构件能够有效提升剪力墙整体抗震性能。轴压试验及拟静力试验结果表明，设置金属波纹管的边缘构件具有良好的抗压能力和抗震能力，相较于现浇构件，大幅降低了边缘构件混凝土破坏程度。</w:t>
      </w:r>
    </w:p>
    <w:p>
      <w:pPr>
        <w:pStyle w:val="53"/>
        <w:spacing w:line="360" w:lineRule="exact"/>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边缘构件采用预制叠合边缘构件的叠合剪力墙试件与现浇剪力墙试件性能基本一致。在轴压比0.45时，二者承载能力、刚度基本一致，单面叠合墙试件极限位移高于现浇试件。</w:t>
      </w:r>
    </w:p>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2427605" cy="2570480"/>
            <wp:effectExtent l="0" t="0" r="10795" b="1270"/>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40"/>
                    <a:stretch>
                      <a:fillRect/>
                    </a:stretch>
                  </pic:blipFill>
                  <pic:spPr>
                    <a:xfrm>
                      <a:off x="0" y="0"/>
                      <a:ext cx="2427605" cy="2570480"/>
                    </a:xfrm>
                    <a:prstGeom prst="rect">
                      <a:avLst/>
                    </a:prstGeom>
                    <a:noFill/>
                    <a:ln>
                      <a:noFill/>
                    </a:ln>
                  </pic:spPr>
                </pic:pic>
              </a:graphicData>
            </a:graphic>
          </wp:inline>
        </w:drawing>
      </w:r>
    </w:p>
    <w:p>
      <w:pPr>
        <w:jc w:val="center"/>
        <w:rPr>
          <w:rFonts w:hint="default" w:ascii="Times New Roman" w:hAnsi="Times New Roman" w:eastAsia="黑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图</w:t>
      </w:r>
      <w:r>
        <w:rPr>
          <w:rFonts w:hint="default" w:ascii="Times New Roman" w:hAnsi="Times New Roman" w:eastAsia="黑体" w:cs="Times New Roman"/>
          <w:b/>
          <w:bCs/>
          <w:color w:val="000000" w:themeColor="text1"/>
          <w:sz w:val="18"/>
          <w:szCs w:val="18"/>
          <w:highlight w:val="none"/>
          <w:lang w:val="en-US" w:eastAsia="zh-CN"/>
          <w14:textFill>
            <w14:solidFill>
              <w14:schemeClr w14:val="tx1"/>
            </w14:solidFill>
          </w14:textFill>
        </w:rPr>
        <w:t>2</w:t>
      </w:r>
      <w:r>
        <w:rPr>
          <w:rFonts w:hint="default" w:ascii="Times New Roman" w:hAnsi="Times New Roman" w:eastAsia="黑体" w:cs="Times New Roman"/>
          <w:color w:val="000000" w:themeColor="text1"/>
          <w:sz w:val="18"/>
          <w:szCs w:val="18"/>
          <w:highlight w:val="none"/>
          <w14:textFill>
            <w14:solidFill>
              <w14:schemeClr w14:val="tx1"/>
            </w14:solidFill>
          </w14:textFill>
        </w:rPr>
        <w:t xml:space="preserve"> </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叠合剪力墙抗震性能试验</w:t>
      </w:r>
    </w:p>
    <w:p>
      <w:pPr>
        <w:pStyle w:val="53"/>
        <w:spacing w:line="360" w:lineRule="exact"/>
        <w:ind w:firstLine="420" w:firstLineChars="20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参考《装配式混凝土建筑技术标准》GB/T 51231、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《建筑与市政工程抗震通用规范》GB 55002、</w:t>
      </w:r>
      <w:r>
        <w:rPr>
          <w:rFonts w:hint="default" w:ascii="Times New Roman" w:hAnsi="Times New Roman" w:cs="Times New Roman"/>
          <w:color w:val="000000" w:themeColor="text1"/>
          <w:sz w:val="21"/>
          <w:szCs w:val="21"/>
          <w:highlight w:val="none"/>
          <w14:textFill>
            <w14:solidFill>
              <w14:schemeClr w14:val="tx1"/>
            </w14:solidFill>
          </w14:textFill>
        </w:rPr>
        <w:t>《装配式混凝土结构技术规程》JGJ 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HYPERLINK "http://www.baidu.com/link?url=_rHerWvmsVOKiF4kqbvAIE8gPZbvtLvGtaE2VnJGjN2a1RvFMxwlwc4p-9cKJTevtPsqqioAVHpRm9XDSqyc-Ki2xvRAjSCTjjAvldbsS8_" \t "https://www.baidu.com/_blank"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 w:val="21"/>
          <w:szCs w:val="21"/>
          <w:highlight w:val="none"/>
          <w14:textFill>
            <w14:solidFill>
              <w14:schemeClr w14:val="tx1"/>
            </w14:solidFill>
          </w14:textFill>
        </w:rPr>
        <w:t>装配整体式叠合剪力墙结构技术规程</w:t>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r>
        <w:rPr>
          <w:rFonts w:hint="default" w:ascii="Times New Roman" w:hAnsi="Times New Roman" w:cs="Times New Roman"/>
          <w:color w:val="000000" w:themeColor="text1"/>
          <w:sz w:val="21"/>
          <w:szCs w:val="21"/>
          <w:highlight w:val="none"/>
          <w14:textFill>
            <w14:solidFill>
              <w14:schemeClr w14:val="tx1"/>
            </w14:solidFill>
          </w14:textFill>
        </w:rPr>
        <w:t>》DBJ/T 15-210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的规定，</w:t>
      </w:r>
      <w:r>
        <w:rPr>
          <w:rFonts w:hint="default" w:ascii="Times New Roman" w:hAnsi="Times New Roman" w:cs="Times New Roman"/>
          <w:color w:val="000000" w:themeColor="text1"/>
          <w:sz w:val="21"/>
          <w:szCs w:val="21"/>
          <w:highlight w:val="none"/>
          <w14:textFill>
            <w14:solidFill>
              <w14:schemeClr w14:val="tx1"/>
            </w14:solidFill>
          </w14:textFill>
        </w:rPr>
        <w:t>并结合实践经验，确定了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本标准中5</w:t>
      </w:r>
      <w:r>
        <w:rPr>
          <w:rFonts w:hint="default" w:ascii="Times New Roman" w:hAnsi="Times New Roman" w:cs="Times New Roman"/>
          <w:color w:val="000000" w:themeColor="text1"/>
          <w:sz w:val="21"/>
          <w:szCs w:val="21"/>
          <w:highlight w:val="none"/>
          <w14:textFill>
            <w14:solidFill>
              <w14:schemeClr w14:val="tx1"/>
            </w14:solidFill>
          </w14:textFill>
        </w:rPr>
        <w:t>类混凝土模块结构最大适用高度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以上类型模块化建筑结构体系的核心筒均采用现浇方式。当核心筒采用模块化方式或预制构件进行设计时，则应通过专门的审查、论证，补充更严格的计算分析，必要时进行相应的结构试验研究，采取专门的加强构造措施。</w:t>
      </w:r>
    </w:p>
    <w:p>
      <w:pPr>
        <w:pStyle w:val="53"/>
        <w:spacing w:line="360" w:lineRule="exact"/>
        <w:ind w:firstLine="420" w:firstLineChars="20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bookmarkStart w:id="1364" w:name="OLE_LINK43"/>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房屋高度超过表6.1.2规定的特殊工程，则应通过专门的审查、论证，补充更严格的计算分析，必要时进行相应的结构试验研究，采取专门的加强构造措施，如降低剪力墙轴压比限值，加大剪力墙构件配筋等。抗震设计的超限高层建筑，可按《高层建筑混凝土结构技术规程》JGJ 3的有关规定进行结构抗震性能设计。</w:t>
      </w:r>
    </w:p>
    <w:bookmarkEnd w:id="1364"/>
    <w:p>
      <w:pPr>
        <w:spacing w:line="360" w:lineRule="exac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6.1.3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混凝土模块化建筑结构的抗震等级应根据不同的结构类型进行设计，并符合《装配式混凝土建筑技术标准》GB/T 51231、</w:t>
      </w:r>
      <w:bookmarkStart w:id="1365" w:name="OLE_LINK109"/>
      <w:r>
        <w:rPr>
          <w:rFonts w:hint="default" w:ascii="Times New Roman" w:hAnsi="Times New Roman" w:cs="Times New Roman"/>
          <w:color w:val="000000" w:themeColor="text1"/>
          <w:sz w:val="21"/>
          <w:szCs w:val="21"/>
          <w:highlight w:val="none"/>
          <w14:textFill>
            <w14:solidFill>
              <w14:schemeClr w14:val="tx1"/>
            </w14:solidFill>
          </w14:textFill>
        </w:rPr>
        <w:t>《装配式混凝土结构技术规程》</w:t>
      </w:r>
      <w:bookmarkStart w:id="1366" w:name="OLE_LINK108"/>
      <w:r>
        <w:rPr>
          <w:rFonts w:hint="default" w:ascii="Times New Roman" w:hAnsi="Times New Roman" w:cs="Times New Roman"/>
          <w:color w:val="000000" w:themeColor="text1"/>
          <w:sz w:val="21"/>
          <w:szCs w:val="21"/>
          <w:highlight w:val="none"/>
          <w14:textFill>
            <w14:solidFill>
              <w14:schemeClr w14:val="tx1"/>
            </w14:solidFill>
          </w14:textFill>
        </w:rPr>
        <w:t xml:space="preserve">JGJ </w:t>
      </w:r>
      <w:bookmarkEnd w:id="1365"/>
      <w:r>
        <w:rPr>
          <w:rFonts w:hint="default" w:ascii="Times New Roman" w:hAnsi="Times New Roman" w:cs="Times New Roman"/>
          <w:color w:val="000000" w:themeColor="text1"/>
          <w:sz w:val="21"/>
          <w:szCs w:val="21"/>
          <w:highlight w:val="none"/>
          <w14:textFill>
            <w14:solidFill>
              <w14:schemeClr w14:val="tx1"/>
            </w14:solidFill>
          </w14:textFill>
        </w:rPr>
        <w:t>1</w:t>
      </w:r>
      <w:bookmarkEnd w:id="1366"/>
      <w:r>
        <w:rPr>
          <w:rFonts w:hint="default" w:ascii="Times New Roman" w:hAnsi="Times New Roman" w:cs="Times New Roman"/>
          <w:color w:val="000000" w:themeColor="text1"/>
          <w:sz w:val="21"/>
          <w:szCs w:val="21"/>
          <w:highlight w:val="none"/>
          <w14:textFill>
            <w14:solidFill>
              <w14:schemeClr w14:val="tx1"/>
            </w14:solidFill>
          </w14:textFill>
        </w:rPr>
        <w:t>、</w:t>
      </w:r>
      <w:bookmarkStart w:id="1367" w:name="OLE_LINK9"/>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HYPERLINK "http://www.baidu.com/link?url=_rHerWvmsVOKiF4kqbvAIE8gPZbvtLvGtaE2VnJGjN2a1RvFMxwlwc4p-9cKJTevtPsqqioAVHpRm9XDSqyc-Ki2xvRAjSCTjjAvldbsS8_" \t "https://www.baidu.com/_blank"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 w:val="21"/>
          <w:szCs w:val="21"/>
          <w:highlight w:val="none"/>
          <w14:textFill>
            <w14:solidFill>
              <w14:schemeClr w14:val="tx1"/>
            </w14:solidFill>
          </w14:textFill>
        </w:rPr>
        <w:t>装配整体式叠合剪力墙结构技术规程</w:t>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r>
        <w:rPr>
          <w:rFonts w:hint="default" w:ascii="Times New Roman" w:hAnsi="Times New Roman" w:cs="Times New Roman"/>
          <w:color w:val="000000" w:themeColor="text1"/>
          <w:sz w:val="21"/>
          <w:szCs w:val="21"/>
          <w:highlight w:val="none"/>
          <w14:textFill>
            <w14:solidFill>
              <w14:schemeClr w14:val="tx1"/>
            </w14:solidFill>
          </w14:textFill>
        </w:rPr>
        <w:t>》DBJ/T 15-210的有关规定</w:t>
      </w:r>
      <w:bookmarkEnd w:id="1367"/>
      <w:r>
        <w:rPr>
          <w:rFonts w:hint="default" w:ascii="Times New Roman" w:hAnsi="Times New Roman" w:cs="Times New Roman"/>
          <w:color w:val="000000" w:themeColor="text1"/>
          <w:sz w:val="21"/>
          <w:szCs w:val="21"/>
          <w:highlight w:val="none"/>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sz w:val="21"/>
          <w:szCs w:val="21"/>
          <w:highlight w:val="none"/>
          <w:lang w:val="en-US" w:eastAsia="zh-CN"/>
          <w14:textFill>
            <w14:solidFill>
              <w14:schemeClr w14:val="tx1"/>
            </w14:solidFill>
          </w14:textFill>
        </w:rPr>
      </w:pPr>
      <w:bookmarkStart w:id="1368" w:name="_Toc4852"/>
      <w:bookmarkStart w:id="1369" w:name="_Toc1506"/>
      <w:bookmarkStart w:id="1370" w:name="_Toc28384"/>
      <w:r>
        <w:rPr>
          <w:rFonts w:hint="default" w:ascii="Times New Roman" w:hAnsi="Times New Roman" w:eastAsia="黑体" w:cs="Times New Roman"/>
          <w:b/>
          <w:color w:val="000000" w:themeColor="text1"/>
          <w:sz w:val="24"/>
          <w:szCs w:val="24"/>
          <w:highlight w:val="none"/>
          <w14:textFill>
            <w14:solidFill>
              <w14:schemeClr w14:val="tx1"/>
            </w14:solidFill>
          </w14:textFill>
        </w:rPr>
        <w:t>6.</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结 构 布 置</w:t>
      </w:r>
      <w:bookmarkEnd w:id="1368"/>
      <w:bookmarkEnd w:id="1369"/>
      <w:bookmarkEnd w:id="1370"/>
    </w:p>
    <w:p>
      <w:pPr>
        <w:widowControl/>
        <w:spacing w:line="360" w:lineRule="exac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6.2.2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在混凝土模块结构体系中，可以采用多种结构设计思路，当主体结构间的连接变得复杂多样时，宜采用试验分析的方式对其真实工作情况进行研究，软件模型应充分考虑其真实工作情况做出合理假定，计算软件的技术条件应符合行业规范的有关标准规定，并应说明其特殊处理的内容和依据，所有模型计算结果，应经分析论证确认其合理、有效后方可用于工程设计。模块内相邻叠合剪力墙之间采用现浇整体式接缝连接</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即在叠合剪力墙空腔内浇筑混凝土，以形成整体受力剪力墙。</w:t>
      </w:r>
    </w:p>
    <w:p>
      <w:pPr>
        <w:widowControl/>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6.2.4</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高层建筑的高宽比，是对结构刚度、整体稳定、承载能力和经济合理性的宏观控制；在结构设计满足</w:t>
      </w:r>
      <w:r>
        <w:rPr>
          <w:rFonts w:hint="default" w:ascii="Times New Roman" w:hAnsi="Times New Roman" w:cs="Times New Roman"/>
          <w:color w:val="000000" w:themeColor="text1"/>
          <w:sz w:val="21"/>
          <w:szCs w:val="21"/>
          <w:highlight w:val="none"/>
          <w:lang w:eastAsia="zh-CN"/>
          <w14:textFill>
            <w14:solidFill>
              <w14:schemeClr w14:val="tx1"/>
            </w14:solidFill>
          </w14:textFill>
        </w:rPr>
        <w:t>本标准</w:t>
      </w:r>
      <w:r>
        <w:rPr>
          <w:rFonts w:hint="default" w:ascii="Times New Roman" w:hAnsi="Times New Roman" w:cs="Times New Roman"/>
          <w:color w:val="000000" w:themeColor="text1"/>
          <w:sz w:val="21"/>
          <w:szCs w:val="21"/>
          <w:highlight w:val="none"/>
          <w14:textFill>
            <w14:solidFill>
              <w14:schemeClr w14:val="tx1"/>
            </w14:solidFill>
          </w14:textFill>
        </w:rPr>
        <w:t>规定的承载力、稳定、抗倾覆、变形和舒适度等基本要求后，仅从结构安全角度讲高宽比限值不是必须满足的，主要影响结构设计的经济性。</w:t>
      </w:r>
    </w:p>
    <w:p>
      <w:pPr>
        <w:widowControl/>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6.3.2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对于混凝土模块结构而言，楼盖系统由多个模块单元拼接组合而成，当楼盖系统在相邻模块板、梁之间增设加强措施，通过试验或理论分析能够使楼板在平面内连续时，可将整层楼盖假定为刚性楼板。</w:t>
      </w:r>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模块化全预制剪力墙结构</w:t>
      </w:r>
      <w:r>
        <w:rPr>
          <w:rFonts w:hint="default" w:ascii="Times New Roman" w:hAnsi="Times New Roman" w:cs="Times New Roman"/>
          <w:color w:val="000000" w:themeColor="text1"/>
          <w:sz w:val="21"/>
          <w:szCs w:val="21"/>
          <w:highlight w:val="none"/>
          <w14:textFill>
            <w14:solidFill>
              <w14:schemeClr w14:val="tx1"/>
            </w14:solidFill>
          </w14:textFill>
        </w:rPr>
        <w:t>、模块化叠合剪力墙结构和模块化现浇结构的楼盖主要通过在叠合板现浇面层和面层内钢筋网片连接，在弹性计算和弹塑性计算时，可认为整层楼盖为刚性楼板。</w:t>
      </w:r>
    </w:p>
    <w:p>
      <w:pPr>
        <w:pStyle w:val="3"/>
        <w:widowControl/>
        <w:spacing w:before="166" w:beforeLines="50" w:after="166" w:afterLines="50"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bookmarkStart w:id="1371" w:name="_Toc26901"/>
      <w:bookmarkStart w:id="1372" w:name="_Toc6630"/>
      <w:bookmarkStart w:id="1373" w:name="_Toc23784"/>
      <w:r>
        <w:rPr>
          <w:rFonts w:hint="default" w:ascii="Times New Roman" w:hAnsi="Times New Roman" w:eastAsia="黑体" w:cs="Times New Roman"/>
          <w:b/>
          <w:color w:val="000000" w:themeColor="text1"/>
          <w:sz w:val="24"/>
          <w:szCs w:val="24"/>
          <w:highlight w:val="none"/>
          <w14:textFill>
            <w14:solidFill>
              <w14:schemeClr w14:val="tx1"/>
            </w14:solidFill>
          </w14:textFill>
        </w:rPr>
        <w:t>6.</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结 构 分 析</w:t>
      </w:r>
      <w:bookmarkEnd w:id="1371"/>
      <w:bookmarkEnd w:id="1372"/>
      <w:bookmarkEnd w:id="1373"/>
    </w:p>
    <w:p>
      <w:pPr>
        <w:widowControl/>
        <w:spacing w:line="360" w:lineRule="exact"/>
        <w:jc w:val="both"/>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6.3.3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zh-CN"/>
          <w14:textFill>
            <w14:solidFill>
              <w14:schemeClr w14:val="tx1"/>
            </w14:solidFill>
          </w14:textFill>
        </w:rPr>
        <w:t>预制剪力墙的接缝对墙抗侧刚度有一定的削弱作用，应考虑对弹性计算的内力进行调整，适当放大现浇墙肢在水平地震作用下的剪力和弯矩；预制剪力墙的剪力及弯矩不减小，偏于安全。</w:t>
      </w:r>
      <w:r>
        <w:rPr>
          <w:rFonts w:hint="default" w:ascii="Times New Roman" w:hAnsi="Times New Roman" w:cs="Times New Roman"/>
          <w:color w:val="000000" w:themeColor="text1"/>
          <w:sz w:val="21"/>
          <w:szCs w:val="21"/>
          <w:highlight w:val="none"/>
          <w14:textFill>
            <w14:solidFill>
              <w14:schemeClr w14:val="tx1"/>
            </w14:solidFill>
          </w14:textFill>
        </w:rPr>
        <w:t>参考《装配式混凝土结构技术规程》JGJ1和《</w:t>
      </w: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HYPERLINK "http://www.baidu.com/link?url=_rHerWvmsVOKiF4kqbvAIE8gPZbvtLvGtaE2VnJGjN2a1RvFMxwlwc4p-9cKJTevtPsqqioAVHpRm9XDSqyc-Ki2xvRAjSCTjjAvldbsS8_" \t "https://www.baidu.com/_blank"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 w:val="21"/>
          <w:szCs w:val="21"/>
          <w:highlight w:val="none"/>
          <w14:textFill>
            <w14:solidFill>
              <w14:schemeClr w14:val="tx1"/>
            </w14:solidFill>
          </w14:textFill>
        </w:rPr>
        <w:t>装配整体式叠合剪力墙结构技术规程</w:t>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r>
        <w:rPr>
          <w:rFonts w:hint="default" w:ascii="Times New Roman" w:hAnsi="Times New Roman" w:cs="Times New Roman"/>
          <w:color w:val="000000" w:themeColor="text1"/>
          <w:sz w:val="21"/>
          <w:szCs w:val="21"/>
          <w:highlight w:val="none"/>
          <w14:textFill>
            <w14:solidFill>
              <w14:schemeClr w14:val="tx1"/>
            </w14:solidFill>
          </w14:textFill>
        </w:rPr>
        <w:t>》DBJ/T 15</w:t>
      </w:r>
      <w:r>
        <w:rPr>
          <w:rFonts w:hint="default" w:ascii="Times New Roman" w:hAnsi="Times New Roman" w:cs="Times New Roman"/>
          <w:color w:val="000000" w:themeColor="text1"/>
          <w:highlight w:val="none"/>
          <w14:textFill>
            <w14:solidFill>
              <w14:schemeClr w14:val="tx1"/>
            </w14:solidFill>
          </w14:textFill>
        </w:rPr>
        <w:t>-210</w:t>
      </w:r>
      <w:r>
        <w:rPr>
          <w:rFonts w:hint="default" w:ascii="Times New Roman" w:hAnsi="Times New Roman" w:cs="Times New Roman"/>
          <w:color w:val="000000" w:themeColor="text1"/>
          <w:sz w:val="21"/>
          <w:szCs w:val="21"/>
          <w:highlight w:val="none"/>
          <w14:textFill>
            <w14:solidFill>
              <w14:schemeClr w14:val="tx1"/>
            </w14:solidFill>
          </w14:textFill>
        </w:rPr>
        <w:t>的有关规定，将</w:t>
      </w:r>
      <w:r>
        <w:rPr>
          <w:rFonts w:hint="default" w:ascii="Times New Roman" w:hAnsi="Times New Roman" w:cs="Times New Roman"/>
          <w:color w:val="000000" w:themeColor="text1"/>
          <w:sz w:val="21"/>
          <w:szCs w:val="21"/>
          <w:highlight w:val="none"/>
          <w:lang w:val="zh-CN"/>
          <w14:textFill>
            <w14:solidFill>
              <w14:schemeClr w14:val="tx1"/>
            </w14:solidFill>
          </w14:textFill>
        </w:rPr>
        <w:t>现浇墙肢水平地震作用弯矩、剪力的增大系数</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取1.1</w:t>
      </w:r>
      <w:r>
        <w:rPr>
          <w:rFonts w:hint="default" w:ascii="Times New Roman" w:hAnsi="Times New Roman" w:cs="Times New Roman"/>
          <w:color w:val="000000" w:themeColor="text1"/>
          <w:sz w:val="21"/>
          <w:szCs w:val="21"/>
          <w:highlight w:val="none"/>
          <w14:textFill>
            <w14:solidFill>
              <w14:schemeClr w14:val="tx1"/>
            </w14:solidFill>
          </w14:textFill>
        </w:rPr>
        <w:t>。</w:t>
      </w:r>
    </w:p>
    <w:p>
      <w:pPr>
        <w:widowControl/>
        <w:spacing w:line="360" w:lineRule="exact"/>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6.3.5</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本条内容参考《</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高层建筑工业化技术标准</w:t>
      </w:r>
      <w:r>
        <w:rPr>
          <w:rFonts w:hint="default" w:ascii="Times New Roman" w:hAnsi="Times New Roman" w:cs="Times New Roman"/>
          <w:color w:val="000000" w:themeColor="text1"/>
          <w:sz w:val="21"/>
          <w:szCs w:val="21"/>
          <w:highlight w:val="none"/>
          <w14:textFill>
            <w14:solidFill>
              <w14:schemeClr w14:val="tx1"/>
            </w14:solidFill>
          </w14:textFill>
        </w:rPr>
        <w:t>》DBJ</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cs="Times New Roman"/>
          <w:color w:val="000000" w:themeColor="text1"/>
          <w:sz w:val="21"/>
          <w:szCs w:val="21"/>
          <w:highlight w:val="none"/>
          <w14:textFill>
            <w14:solidFill>
              <w14:schemeClr w14:val="tx1"/>
            </w14:solidFill>
          </w14:textFill>
        </w:rPr>
        <w:t xml:space="preserve"> 15-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265</w:t>
      </w:r>
      <w:r>
        <w:rPr>
          <w:rFonts w:hint="default" w:ascii="Times New Roman" w:hAnsi="Times New Roman" w:cs="Times New Roman"/>
          <w:color w:val="000000" w:themeColor="text1"/>
          <w:sz w:val="21"/>
          <w:szCs w:val="21"/>
          <w:highlight w:val="none"/>
          <w14:textFill>
            <w14:solidFill>
              <w14:schemeClr w14:val="tx1"/>
            </w14:solidFill>
          </w14:textFill>
        </w:rPr>
        <w:t>的有关规定确定。</w:t>
      </w:r>
    </w:p>
    <w:p>
      <w:pPr>
        <w:widowControl/>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6.3.6</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混凝土模块化结构内隔墙和外围护墙</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可</w:t>
      </w:r>
      <w:r>
        <w:rPr>
          <w:rFonts w:hint="default" w:ascii="Times New Roman" w:hAnsi="Times New Roman" w:cs="Times New Roman"/>
          <w:color w:val="000000" w:themeColor="text1"/>
          <w:sz w:val="21"/>
          <w:szCs w:val="21"/>
          <w:highlight w:val="none"/>
          <w14:textFill>
            <w14:solidFill>
              <w14:schemeClr w14:val="tx1"/>
            </w14:solidFill>
          </w14:textFill>
        </w:rPr>
        <w:t>采用与构件一体化生产的混凝土构件，</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或采用轻质填充墙板构件，</w:t>
      </w:r>
      <w:r>
        <w:rPr>
          <w:rFonts w:hint="default" w:ascii="Times New Roman" w:hAnsi="Times New Roman" w:cs="Times New Roman"/>
          <w:color w:val="000000" w:themeColor="text1"/>
          <w:sz w:val="21"/>
          <w:szCs w:val="21"/>
          <w:highlight w:val="none"/>
          <w14:textFill>
            <w14:solidFill>
              <w14:schemeClr w14:val="tx1"/>
            </w14:solidFill>
          </w14:textFill>
        </w:rPr>
        <w:t>外围护墙与主体结构构件虽填充有柔性隔断，但与轻质填充材料相比，对主体结构刚度的影响仍较大。因此，模块化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全</w:t>
      </w:r>
      <w:r>
        <w:rPr>
          <w:rFonts w:hint="default" w:ascii="Times New Roman" w:hAnsi="Times New Roman" w:cs="Times New Roman"/>
          <w:color w:val="000000" w:themeColor="text1"/>
          <w:sz w:val="21"/>
          <w:szCs w:val="21"/>
          <w:highlight w:val="none"/>
          <w14:textFill>
            <w14:solidFill>
              <w14:schemeClr w14:val="tx1"/>
            </w14:solidFill>
          </w14:textFill>
        </w:rPr>
        <w:t>预制剪力墙结构和模块化叠合剪力墙结构的周期折减系数比现行规范进行了适当减小。</w:t>
      </w:r>
    </w:p>
    <w:p>
      <w:pPr>
        <w:widowControl/>
        <w:spacing w:line="360" w:lineRule="exact"/>
        <w:ind w:firstLine="420" w:firstLineChars="20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当未采取特殊措施减少构造外墙对结构整体刚度影响时，结构自振周期折减系数的取值对框架-剪力墙结构应不大于0.7</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对剪力墙结构应不大于0.8</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其他结构应根据实际情况取值。构造外墙影响范围内的构件，包括支承构造外墙的梁及两侧竖向构件，应按有构造外墙和无构造外墙两种工况进行包络设计。当采取措施减少构造外墙对结构整体刚度影响时，应根据影响程度确定合适的结构自振周期折减系数，对框架一剪力墙结构不宜大于0.7</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对剪力墙结构不宜大于0.8。构造外墙厚度大于等于200mm时，应双层双向配筋，单侧分布钢筋配筋率应不小于0.1%</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构造外墙转角处应布置不小于2φ10的45°斜向钢筋。</w:t>
      </w:r>
    </w:p>
    <w:p>
      <w:pPr>
        <w:spacing w:line="360" w:lineRule="exact"/>
        <w:rPr>
          <w:rFonts w:hint="default" w:ascii="Times New Roman" w:hAnsi="Times New Roman"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t xml:space="preserve">6.3.9 </w:t>
      </w:r>
      <w:r>
        <w:rPr>
          <w:rFonts w:hint="default" w:ascii="Times New Roman" w:hAnsi="Times New Roman" w:cs="Times New Roman"/>
          <w:b w:val="0"/>
          <w:bCs w:val="0"/>
          <w:color w:val="000000" w:themeColor="text1"/>
          <w:kern w:val="2"/>
          <w:sz w:val="21"/>
          <w:szCs w:val="21"/>
          <w:highlight w:val="none"/>
          <w14:textFill>
            <w14:solidFill>
              <w14:schemeClr w14:val="tx1"/>
            </w14:solidFill>
          </w14:textFill>
        </w:rPr>
        <w:t>短肢剪力墙是指墙厚不大于300mm，并且各肢墙截面高度与厚度之比的最大值大于4但不大于8的剪力墙；但当截面高度与厚度之比大于4但不大于8的墙肢两端均与较强的连梁(连梁净跨与连梁截面高度之比L</w:t>
      </w:r>
      <w:r>
        <w:rPr>
          <w:rFonts w:hint="default" w:ascii="Times New Roman" w:hAnsi="Times New Roman" w:cs="Times New Roman"/>
          <w:b w:val="0"/>
          <w:bCs w:val="0"/>
          <w:color w:val="000000" w:themeColor="text1"/>
          <w:kern w:val="2"/>
          <w:sz w:val="21"/>
          <w:szCs w:val="21"/>
          <w:highlight w:val="none"/>
          <w:vertAlign w:val="baseline"/>
          <w14:textFill>
            <w14:solidFill>
              <w14:schemeClr w14:val="tx1"/>
            </w14:solidFill>
          </w14:textFill>
        </w:rPr>
        <w:t>b</w:t>
      </w:r>
      <w:r>
        <w:rPr>
          <w:rFonts w:hint="default" w:ascii="Times New Roman" w:hAnsi="Times New Roman" w:cs="Times New Roman"/>
          <w:b w:val="0"/>
          <w:bCs w:val="0"/>
          <w:color w:val="000000" w:themeColor="text1"/>
          <w:kern w:val="2"/>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kern w:val="2"/>
          <w:sz w:val="21"/>
          <w:szCs w:val="21"/>
          <w:highlight w:val="none"/>
          <w:vertAlign w:val="baseline"/>
          <w14:textFill>
            <w14:solidFill>
              <w14:schemeClr w14:val="tx1"/>
            </w14:solidFill>
          </w14:textFill>
        </w:rPr>
        <w:t>b</w:t>
      </w:r>
      <w:r>
        <w:rPr>
          <w:rFonts w:hint="default" w:ascii="Times New Roman" w:hAnsi="Times New Roman" w:cs="Times New Roman"/>
          <w:b w:val="0"/>
          <w:bCs w:val="0"/>
          <w:color w:val="000000" w:themeColor="text1"/>
          <w:kern w:val="2"/>
          <w:sz w:val="21"/>
          <w:szCs w:val="21"/>
          <w:highlight w:val="none"/>
          <w14:textFill>
            <w14:solidFill>
              <w14:schemeClr w14:val="tx1"/>
            </w14:solidFill>
          </w14:textFill>
        </w:rPr>
        <w:t>≤2．5，且连梁高度h</w:t>
      </w:r>
      <w:r>
        <w:rPr>
          <w:rFonts w:hint="default" w:ascii="Times New Roman" w:hAnsi="Times New Roman" w:cs="Times New Roman"/>
          <w:b w:val="0"/>
          <w:bCs w:val="0"/>
          <w:color w:val="000000" w:themeColor="text1"/>
          <w:kern w:val="2"/>
          <w:sz w:val="21"/>
          <w:szCs w:val="21"/>
          <w:highlight w:val="none"/>
          <w:vertAlign w:val="baseline"/>
          <w14:textFill>
            <w14:solidFill>
              <w14:schemeClr w14:val="tx1"/>
            </w14:solidFill>
          </w14:textFill>
        </w:rPr>
        <w:t>b</w:t>
      </w:r>
      <w:r>
        <w:rPr>
          <w:rFonts w:hint="default" w:ascii="Times New Roman" w:hAnsi="Times New Roman" w:cs="Times New Roman"/>
          <w:b w:val="0"/>
          <w:bCs w:val="0"/>
          <w:color w:val="000000" w:themeColor="text1"/>
          <w:kern w:val="2"/>
          <w:sz w:val="21"/>
          <w:szCs w:val="21"/>
          <w:highlight w:val="none"/>
          <w14:textFill>
            <w14:solidFill>
              <w14:schemeClr w14:val="tx1"/>
            </w14:solidFill>
          </w14:textFill>
        </w:rPr>
        <w:t>≥400mm)相连时，可不作为“短肢剪力墙”。</w:t>
      </w:r>
    </w:p>
    <w:p>
      <w:pPr>
        <w:spacing w:line="360" w:lineRule="exact"/>
        <w:ind w:firstLine="420" w:firstLineChars="200"/>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14:textFill>
            <w14:solidFill>
              <w14:schemeClr w14:val="tx1"/>
            </w14:solidFill>
          </w14:textFill>
        </w:rPr>
        <w:t>具有较多短肢剪力墙的剪力墙结构的定义是，必须设置筒体或一般剪力墙，由短肢剪力墙与一般剪力墙共同抵抗水平力，在规定的水平力作用下，短肢剪力墙承担的底部倾覆力矩不小于结构底部总地震倾覆力矩的30％但不宜大于50％的剪力墙结构。</w:t>
      </w:r>
    </w:p>
    <w:p>
      <w:pPr>
        <w:widowControl/>
        <w:spacing w:line="360" w:lineRule="exact"/>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6.3.10</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混凝土模块化结构的楼、屋盖可根据叠合板布置及拼接方式进行确定，当采用间接式拼缝或密拼湿接拼缝时，可按双向传力楼盖进行考虑。</w:t>
      </w:r>
    </w:p>
    <w:p>
      <w:pPr>
        <w:pStyle w:val="3"/>
        <w:widowControl/>
        <w:spacing w:before="166" w:beforeLines="50" w:after="166" w:afterLines="50" w:line="360" w:lineRule="auto"/>
        <w:jc w:val="center"/>
        <w:rPr>
          <w:rFonts w:hint="default" w:ascii="Times New Roman" w:hAnsi="Times New Roman" w:eastAsia="黑体" w:cs="Times New Roman"/>
          <w:color w:val="000000" w:themeColor="text1"/>
          <w:sz w:val="21"/>
          <w:szCs w:val="21"/>
          <w:highlight w:val="none"/>
          <w:lang w:val="en-US" w:eastAsia="zh-CN"/>
          <w14:textFill>
            <w14:solidFill>
              <w14:schemeClr w14:val="tx1"/>
            </w14:solidFill>
          </w14:textFill>
        </w:rPr>
      </w:pPr>
      <w:bookmarkStart w:id="1374" w:name="_Toc19048"/>
      <w:bookmarkStart w:id="1375" w:name="_Toc32386"/>
      <w:bookmarkStart w:id="1376" w:name="_Toc1721"/>
      <w:r>
        <w:rPr>
          <w:rFonts w:hint="default" w:ascii="Times New Roman" w:hAnsi="Times New Roman" w:eastAsia="黑体" w:cs="Times New Roman"/>
          <w:b/>
          <w:color w:val="000000" w:themeColor="text1"/>
          <w:sz w:val="24"/>
          <w:szCs w:val="24"/>
          <w:highlight w:val="none"/>
          <w14:textFill>
            <w14:solidFill>
              <w14:schemeClr w14:val="tx1"/>
            </w14:solidFill>
          </w14:textFill>
        </w:rPr>
        <w:t>6.</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模块构件和连接设计</w:t>
      </w:r>
      <w:bookmarkEnd w:id="1374"/>
      <w:bookmarkEnd w:id="1375"/>
      <w:bookmarkEnd w:id="1376"/>
    </w:p>
    <w:p>
      <w:pPr>
        <w:spacing w:line="360" w:lineRule="exact"/>
        <w:ind w:firstLine="0" w:firstLineChars="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6.4.2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编制组开展了</w:t>
      </w:r>
      <w:r>
        <w:rPr>
          <w:rFonts w:hint="default" w:ascii="Times New Roman" w:hAnsi="Times New Roman" w:cs="Times New Roman"/>
          <w:color w:val="000000" w:themeColor="text1"/>
          <w:sz w:val="21"/>
          <w:szCs w:val="21"/>
          <w:highlight w:val="none"/>
          <w14:textFill>
            <w14:solidFill>
              <w14:schemeClr w14:val="tx1"/>
            </w14:solidFill>
          </w14:textFill>
        </w:rPr>
        <w:t>预制边缘构件与预制双面叠合墙板水平连接处竖向接缝的抗剪性能，设计了三组不同竖向接缝的直剪试验</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图3</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，每组2个平行试件，共计6个试件。试件破坏状态主要有竖向接缝破坏，钢筋断裂和竖向接缝破坏，钢筋未断裂两种</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图4</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w:t>
      </w:r>
    </w:p>
    <w:p>
      <w:pPr>
        <w:spacing w:line="360" w:lineRule="exact"/>
        <w:ind w:firstLine="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根据现行国家标准《</w:t>
      </w:r>
      <w:r>
        <w:rPr>
          <w:rFonts w:hint="default" w:ascii="Times New Roman" w:hAnsi="Times New Roman" w:cs="Times New Roman"/>
          <w:color w:val="000000" w:themeColor="text1"/>
          <w:sz w:val="21"/>
          <w:szCs w:val="21"/>
          <w:highlight w:val="none"/>
          <w14:textFill>
            <w14:solidFill>
              <w14:schemeClr w14:val="tx1"/>
            </w14:solidFill>
          </w14:textFill>
        </w:rPr>
        <w:t>装配式混凝土建筑技术标准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GB</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T 51231，竖向接缝剪力抗震设计公式为：</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4"/>
        <w:gridCol w:w="1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954" w:type="dxa"/>
            <w:vAlign w:val="center"/>
          </w:tcPr>
          <w:p>
            <w:pPr>
              <w:widowControl/>
              <w:spacing w:line="360" w:lineRule="exact"/>
              <w:jc w:val="left"/>
              <w:rPr>
                <w:rFonts w:hint="default" w:ascii="Times New Roman" w:hAnsi="Times New Roman" w:cs="Times New Roman"/>
                <w:color w:val="000000" w:themeColor="text1"/>
                <w:sz w:val="18"/>
                <w:szCs w:val="28"/>
                <w:highlight w:val="none"/>
                <w:vertAlign w:val="baseline"/>
                <w:lang w:val="en-US" w:eastAsia="zh-CN"/>
                <w14:textFill>
                  <w14:solidFill>
                    <w14:schemeClr w14:val="tx1"/>
                  </w14:solidFill>
                </w14:textFill>
              </w:rPr>
            </w:pPr>
            <m:oMathPara>
              <m:oMath>
                <m:r>
                  <m:rPr>
                    <m:sty m:val="p"/>
                  </m:rPr>
                  <w:rPr>
                    <w:rFonts w:hint="default" w:ascii="Cambria Math" w:hAnsi="Cambria Math" w:cs="Times New Roman"/>
                    <w:color w:val="000000" w:themeColor="text1"/>
                    <w:sz w:val="21"/>
                    <w:szCs w:val="21"/>
                    <w:highlight w:val="none"/>
                    <w14:textFill>
                      <w14:solidFill>
                        <w14:schemeClr w14:val="tx1"/>
                      </w14:solidFill>
                    </w14:textFill>
                  </w:rPr>
                  <m:t>V=0.04</m:t>
                </m:r>
                <m:sSub>
                  <m:sSubP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f</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c</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ub>
                </m:sSub>
                <m:sSub>
                  <m:sSubP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A</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cl</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ub>
                </m:sSub>
                <m:r>
                  <m:rPr>
                    <m:sty m:val="p"/>
                  </m:rPr>
                  <w:rPr>
                    <w:rFonts w:hint="default" w:ascii="Cambria Math" w:hAnsi="Cambria Math" w:cs="Times New Roman"/>
                    <w:color w:val="000000" w:themeColor="text1"/>
                    <w:sz w:val="21"/>
                    <w:szCs w:val="21"/>
                    <w:highlight w:val="none"/>
                    <w14:textFill>
                      <w14:solidFill>
                        <w14:schemeClr w14:val="tx1"/>
                      </w14:solidFill>
                    </w14:textFill>
                  </w:rPr>
                  <m:t>+0.06</m:t>
                </m:r>
                <m:sSub>
                  <m:sSubP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f</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c</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ub>
                </m:sSub>
                <m:sSub>
                  <m:sSubP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A</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k</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ub>
                </m:sSub>
                <m:r>
                  <m:rPr>
                    <m:sty m:val="p"/>
                  </m:rPr>
                  <w:rPr>
                    <w:rFonts w:hint="default" w:ascii="Cambria Math" w:hAnsi="Cambria Math" w:cs="Times New Roman"/>
                    <w:color w:val="000000" w:themeColor="text1"/>
                    <w:sz w:val="21"/>
                    <w:szCs w:val="21"/>
                    <w:highlight w:val="none"/>
                    <w14:textFill>
                      <w14:solidFill>
                        <w14:schemeClr w14:val="tx1"/>
                      </w14:solidFill>
                    </w14:textFill>
                  </w:rPr>
                  <m:t>+1.65</m:t>
                </m:r>
                <m:sSub>
                  <m:sSubP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A</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sd</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ub>
                </m:sSub>
                <m:rad>
                  <m:radPr>
                    <m:degHide m:val="true"/>
                    <m:ctrlPr>
                      <w:rPr>
                        <w:rFonts w:hint="default" w:ascii="Cambria Math" w:hAnsi="Cambria Math" w:cs="Times New Roman"/>
                        <w:i w:val="0"/>
                        <w:iCs w:val="0"/>
                        <w:color w:val="000000" w:themeColor="text1"/>
                        <w:sz w:val="21"/>
                        <w:szCs w:val="21"/>
                        <w:highlight w:val="none"/>
                        <w14:textFill>
                          <w14:solidFill>
                            <w14:schemeClr w14:val="tx1"/>
                          </w14:solidFill>
                        </w14:textFill>
                      </w:rPr>
                    </m:ctrlPr>
                  </m:radPr>
                  <m:deg>
                    <m:ctrlPr>
                      <w:rPr>
                        <w:rFonts w:hint="default" w:ascii="Cambria Math" w:hAnsi="Cambria Math" w:cs="Times New Roman"/>
                        <w:i w:val="0"/>
                        <w:iCs w:val="0"/>
                        <w:color w:val="000000" w:themeColor="text1"/>
                        <w:sz w:val="21"/>
                        <w:szCs w:val="21"/>
                        <w:highlight w:val="none"/>
                        <w14:textFill>
                          <w14:solidFill>
                            <w14:schemeClr w14:val="tx1"/>
                          </w14:solidFill>
                        </w14:textFill>
                      </w:rPr>
                    </m:ctrlPr>
                  </m:deg>
                  <m:e>
                    <m:sSub>
                      <m:sSubP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f</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c</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ub>
                    </m:sSub>
                    <m:sSub>
                      <m:sSubP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f</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y</m:t>
                        </m:r>
                        <m:ctrlPr>
                          <w:rPr>
                            <w:rFonts w:hint="default" w:ascii="Cambria Math" w:hAnsi="Cambria Math" w:cs="Times New Roman"/>
                            <w:i w:val="0"/>
                            <w:iCs w:val="0"/>
                            <w:color w:val="000000" w:themeColor="text1"/>
                            <w:sz w:val="21"/>
                            <w:szCs w:val="21"/>
                            <w:highlight w:val="none"/>
                            <w14:textFill>
                              <w14:solidFill>
                                <w14:schemeClr w14:val="tx1"/>
                              </w14:solidFill>
                            </w14:textFill>
                          </w:rPr>
                        </m:ctrlPr>
                      </m:sub>
                    </m:sSub>
                    <m:ctrlPr>
                      <w:rPr>
                        <w:rFonts w:hint="default" w:ascii="Cambria Math" w:hAnsi="Cambria Math" w:cs="Times New Roman"/>
                        <w:i w:val="0"/>
                        <w:iCs w:val="0"/>
                        <w:color w:val="000000" w:themeColor="text1"/>
                        <w:sz w:val="21"/>
                        <w:szCs w:val="21"/>
                        <w:highlight w:val="none"/>
                        <w14:textFill>
                          <w14:solidFill>
                            <w14:schemeClr w14:val="tx1"/>
                          </w14:solidFill>
                        </w14:textFill>
                      </w:rPr>
                    </m:ctrlPr>
                  </m:e>
                </m:rad>
              </m:oMath>
            </m:oMathPara>
          </w:p>
        </w:tc>
        <w:tc>
          <w:tcPr>
            <w:tcW w:w="1181" w:type="dxa"/>
            <w:vAlign w:val="center"/>
          </w:tcPr>
          <w:p>
            <w:pPr>
              <w:widowControl/>
              <w:spacing w:line="360" w:lineRule="exact"/>
              <w:jc w:val="center"/>
              <w:rPr>
                <w:rFonts w:hint="default" w:ascii="Times New Roman" w:hAnsi="Times New Roman" w:cs="Times New Roman"/>
                <w:color w:val="000000" w:themeColor="text1"/>
                <w:sz w:val="18"/>
                <w:szCs w:val="2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28"/>
                <w:highlight w:val="none"/>
                <w:vertAlign w:val="baseline"/>
                <w:lang w:val="en-US" w:eastAsia="zh-CN"/>
                <w14:textFill>
                  <w14:solidFill>
                    <w14:schemeClr w14:val="tx1"/>
                  </w14:solidFill>
                </w14:textFill>
              </w:rPr>
              <w:t>(1)</w:t>
            </w:r>
          </w:p>
        </w:tc>
      </w:tr>
    </w:tbl>
    <w:p>
      <w:pPr>
        <w:spacing w:line="360" w:lineRule="exact"/>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根据上述计算公式分别计算得到竖向接缝抗剪承载力理论计算值，对试验值</w:t>
      </w:r>
      <m:oMath>
        <m:sSub>
          <m:sSubPr>
            <m:ctrlPr>
              <w:rPr>
                <w:rFonts w:hint="default" w:ascii="Cambria Math" w:hAnsi="Cambria Math" w:cs="Times New Roman"/>
                <w:i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V</m:t>
            </m:r>
            <m:ctrlPr>
              <w:rPr>
                <w:rFonts w:hint="default" w:ascii="Cambria Math" w:hAnsi="Cambria Math" w:cs="Times New Roman"/>
                <w:i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t</m:t>
            </m:r>
            <m:ctrlPr>
              <w:rPr>
                <w:rFonts w:hint="default" w:ascii="Cambria Math" w:hAnsi="Cambria Math" w:cs="Times New Roman"/>
                <w:i w:val="0"/>
                <w:color w:val="000000" w:themeColor="text1"/>
                <w:sz w:val="21"/>
                <w:szCs w:val="21"/>
                <w:highlight w:val="none"/>
                <w14:textFill>
                  <w14:solidFill>
                    <w14:schemeClr w14:val="tx1"/>
                  </w14:solidFill>
                </w14:textFill>
              </w:rPr>
            </m:ctrlPr>
          </m:sub>
        </m:sSub>
      </m:oMath>
      <w:r>
        <w:rPr>
          <w:rFonts w:hint="default" w:ascii="Times New Roman" w:hAnsi="Times New Roman" w:cs="Times New Roman"/>
          <w:color w:val="000000" w:themeColor="text1"/>
          <w:sz w:val="21"/>
          <w:szCs w:val="21"/>
          <w:highlight w:val="none"/>
          <w14:textFill>
            <w14:solidFill>
              <w14:schemeClr w14:val="tx1"/>
            </w14:solidFill>
          </w14:textFill>
        </w:rPr>
        <w:t>和上述公式计算理论值</w:t>
      </w:r>
      <m:oMath>
        <m:sSub>
          <m:sSubPr>
            <m:ctrlPr>
              <w:rPr>
                <w:rFonts w:hint="default" w:ascii="Cambria Math" w:hAnsi="Cambria Math" w:cs="Times New Roman"/>
                <w:i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V</m:t>
            </m:r>
            <m:ctrlPr>
              <w:rPr>
                <w:rFonts w:hint="default" w:ascii="Cambria Math" w:hAnsi="Cambria Math" w:cs="Times New Roman"/>
                <w:i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c</m:t>
            </m:r>
            <m:ctrlPr>
              <w:rPr>
                <w:rFonts w:hint="default" w:ascii="Cambria Math" w:hAnsi="Cambria Math" w:cs="Times New Roman"/>
                <w:i w:val="0"/>
                <w:color w:val="000000" w:themeColor="text1"/>
                <w:sz w:val="21"/>
                <w:szCs w:val="21"/>
                <w:highlight w:val="none"/>
                <w14:textFill>
                  <w14:solidFill>
                    <w14:schemeClr w14:val="tx1"/>
                  </w14:solidFill>
                </w14:textFill>
              </w:rPr>
            </m:ctrlPr>
          </m:sub>
        </m:sSub>
      </m:oMath>
      <w:r>
        <w:rPr>
          <w:rFonts w:hint="default" w:ascii="Times New Roman" w:hAnsi="Times New Roman" w:cs="Times New Roman"/>
          <w:color w:val="000000" w:themeColor="text1"/>
          <w:sz w:val="21"/>
          <w:szCs w:val="21"/>
          <w:highlight w:val="none"/>
          <w14:textFill>
            <w14:solidFill>
              <w14:schemeClr w14:val="tx1"/>
            </w14:solidFill>
          </w14:textFill>
        </w:rPr>
        <w:t>进行对比，得到</w:t>
      </w:r>
      <m:oMath>
        <m:sSub>
          <m:sSubPr>
            <m:ctrlPr>
              <w:rPr>
                <w:rFonts w:hint="default" w:ascii="Cambria Math" w:hAnsi="Cambria Math" w:cs="Times New Roman"/>
                <w:i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V</m:t>
            </m:r>
            <m:ctrlPr>
              <w:rPr>
                <w:rFonts w:hint="default" w:ascii="Cambria Math" w:hAnsi="Cambria Math" w:cs="Times New Roman"/>
                <w:i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t</m:t>
            </m:r>
            <m:ctrlPr>
              <w:rPr>
                <w:rFonts w:hint="default" w:ascii="Cambria Math" w:hAnsi="Cambria Math" w:cs="Times New Roman"/>
                <w:i w:val="0"/>
                <w:color w:val="000000" w:themeColor="text1"/>
                <w:sz w:val="21"/>
                <w:szCs w:val="21"/>
                <w:highlight w:val="none"/>
                <w14:textFill>
                  <w14:solidFill>
                    <w14:schemeClr w14:val="tx1"/>
                  </w14:solidFill>
                </w14:textFill>
              </w:rPr>
            </m:ctrlPr>
          </m:sub>
        </m:sSub>
        <m:r>
          <m:rPr>
            <m:sty m:val="p"/>
          </m:rPr>
          <w:rPr>
            <w:rFonts w:hint="default" w:ascii="Cambria Math" w:hAnsi="Cambria Math" w:cs="Times New Roman"/>
            <w:color w:val="000000" w:themeColor="text1"/>
            <w:sz w:val="21"/>
            <w:szCs w:val="21"/>
            <w:highlight w:val="none"/>
            <w14:textFill>
              <w14:solidFill>
                <w14:schemeClr w14:val="tx1"/>
              </w14:solidFill>
            </w14:textFill>
          </w:rPr>
          <m:t>/</m:t>
        </m:r>
        <m:sSub>
          <m:sSubPr>
            <m:ctrlPr>
              <w:rPr>
                <w:rFonts w:hint="default" w:ascii="Cambria Math" w:hAnsi="Cambria Math" w:cs="Times New Roman"/>
                <w:i w:val="0"/>
                <w:color w:val="000000" w:themeColor="text1"/>
                <w:sz w:val="21"/>
                <w:szCs w:val="21"/>
                <w:highlight w:val="none"/>
                <w14:textFill>
                  <w14:solidFill>
                    <w14:schemeClr w14:val="tx1"/>
                  </w14:solidFill>
                </w14:textFill>
              </w:rPr>
            </m:ctrlPr>
          </m:sSubPr>
          <m:e>
            <m:r>
              <m:rPr>
                <m:sty m:val="p"/>
              </m:rPr>
              <w:rPr>
                <w:rFonts w:hint="default" w:ascii="Cambria Math" w:hAnsi="Cambria Math" w:cs="Times New Roman"/>
                <w:color w:val="000000" w:themeColor="text1"/>
                <w:sz w:val="21"/>
                <w:szCs w:val="21"/>
                <w:highlight w:val="none"/>
                <w14:textFill>
                  <w14:solidFill>
                    <w14:schemeClr w14:val="tx1"/>
                  </w14:solidFill>
                </w14:textFill>
              </w:rPr>
              <m:t>V</m:t>
            </m:r>
            <m:ctrlPr>
              <w:rPr>
                <w:rFonts w:hint="default" w:ascii="Cambria Math" w:hAnsi="Cambria Math" w:cs="Times New Roman"/>
                <w:i w:val="0"/>
                <w:color w:val="000000" w:themeColor="text1"/>
                <w:sz w:val="21"/>
                <w:szCs w:val="21"/>
                <w:highlight w:val="none"/>
                <w14:textFill>
                  <w14:solidFill>
                    <w14:schemeClr w14:val="tx1"/>
                  </w14:solidFill>
                </w14:textFill>
              </w:rPr>
            </m:ctrlPr>
          </m:e>
          <m:sub>
            <m:r>
              <m:rPr>
                <m:sty m:val="p"/>
              </m:rPr>
              <w:rPr>
                <w:rFonts w:hint="default" w:ascii="Cambria Math" w:hAnsi="Cambria Math" w:cs="Times New Roman"/>
                <w:color w:val="000000" w:themeColor="text1"/>
                <w:sz w:val="21"/>
                <w:szCs w:val="21"/>
                <w:highlight w:val="none"/>
                <w14:textFill>
                  <w14:solidFill>
                    <w14:schemeClr w14:val="tx1"/>
                  </w14:solidFill>
                </w14:textFill>
              </w:rPr>
              <m:t>c</m:t>
            </m:r>
            <m:ctrlPr>
              <w:rPr>
                <w:rFonts w:hint="default" w:ascii="Cambria Math" w:hAnsi="Cambria Math" w:cs="Times New Roman"/>
                <w:i w:val="0"/>
                <w:color w:val="000000" w:themeColor="text1"/>
                <w:sz w:val="21"/>
                <w:szCs w:val="21"/>
                <w:highlight w:val="none"/>
                <w14:textFill>
                  <w14:solidFill>
                    <w14:schemeClr w14:val="tx1"/>
                  </w14:solidFill>
                </w14:textFill>
              </w:rPr>
            </m:ctrlPr>
          </m:sub>
        </m:sSub>
      </m:oMath>
      <w:r>
        <w:rPr>
          <w:rFonts w:hint="default" w:ascii="Times New Roman" w:hAnsi="Times New Roman" w:cs="Times New Roman"/>
          <w:color w:val="000000" w:themeColor="text1"/>
          <w:sz w:val="21"/>
          <w:szCs w:val="21"/>
          <w:highlight w:val="none"/>
          <w14:textFill>
            <w14:solidFill>
              <w14:schemeClr w14:val="tx1"/>
            </w14:solidFill>
          </w14:textFill>
        </w:rPr>
        <w:t>值域为1.27~1.31。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表明采用上述公式计算竖向拼缝的抗剪承载力具有足够的安全储备。</w:t>
      </w:r>
    </w:p>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0" distR="0">
            <wp:extent cx="1725930" cy="1854200"/>
            <wp:effectExtent l="0" t="0" r="0" b="0"/>
            <wp:docPr id="200" name="图片 2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725930" cy="1854200"/>
                    </a:xfrm>
                    <a:prstGeom prst="rect">
                      <a:avLst/>
                    </a:prstGeom>
                    <a:noFill/>
                    <a:ln>
                      <a:noFill/>
                    </a:ln>
                  </pic:spPr>
                </pic:pic>
              </a:graphicData>
            </a:graphic>
          </wp:inline>
        </w:drawing>
      </w:r>
    </w:p>
    <w:p>
      <w:pPr>
        <w:jc w:val="center"/>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图</w:t>
      </w:r>
      <w:r>
        <w:rPr>
          <w:rFonts w:hint="default" w:ascii="Times New Roman" w:hAnsi="Times New Roman" w:eastAsia="黑体" w:cs="Times New Roman"/>
          <w:b/>
          <w:bCs/>
          <w:color w:val="000000" w:themeColor="text1"/>
          <w:sz w:val="18"/>
          <w:szCs w:val="18"/>
          <w:highlight w:val="none"/>
          <w:lang w:val="en-US" w:eastAsia="zh-CN"/>
          <w14:textFill>
            <w14:solidFill>
              <w14:schemeClr w14:val="tx1"/>
            </w14:solidFill>
          </w14:textFill>
        </w:rPr>
        <w:t>3</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18"/>
          <w:szCs w:val="18"/>
          <w:highlight w:val="none"/>
          <w14:textFill>
            <w14:solidFill>
              <w14:schemeClr w14:val="tx1"/>
            </w14:solidFill>
          </w14:textFill>
        </w:rPr>
        <w:t>直剪试件</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试验示意图</w:t>
      </w:r>
    </w:p>
    <w:tbl>
      <w:tblPr>
        <w:tblStyle w:val="26"/>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6"/>
        <w:gridCol w:w="3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1800225" cy="1339850"/>
                  <wp:effectExtent l="0" t="0" r="9525" b="12700"/>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42"/>
                          <a:stretch>
                            <a:fillRect/>
                          </a:stretch>
                        </pic:blipFill>
                        <pic:spPr>
                          <a:xfrm>
                            <a:off x="0" y="0"/>
                            <a:ext cx="1800225" cy="1339850"/>
                          </a:xfrm>
                          <a:prstGeom prst="rect">
                            <a:avLst/>
                          </a:prstGeom>
                          <a:noFill/>
                          <a:ln>
                            <a:noFill/>
                          </a:ln>
                        </pic:spPr>
                      </pic:pic>
                    </a:graphicData>
                  </a:graphic>
                </wp:inline>
              </w:drawing>
            </w:r>
          </w:p>
        </w:tc>
        <w:tc>
          <w:tcPr>
            <w:tcW w:w="250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1800225" cy="1354455"/>
                  <wp:effectExtent l="0" t="0" r="9525" b="17145"/>
                  <wp:docPr id="2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true"/>
                          </pic:cNvPicPr>
                        </pic:nvPicPr>
                        <pic:blipFill>
                          <a:blip r:embed="rId43"/>
                          <a:stretch>
                            <a:fillRect/>
                          </a:stretch>
                        </pic:blipFill>
                        <pic:spPr>
                          <a:xfrm>
                            <a:off x="0" y="0"/>
                            <a:ext cx="1800225" cy="13544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（a）裂缝开展</w:t>
            </w:r>
          </w:p>
        </w:tc>
        <w:tc>
          <w:tcPr>
            <w:tcW w:w="25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（b）接缝破坏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1"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inline distT="0" distB="0" distL="114300" distR="114300">
                  <wp:extent cx="1800225" cy="1384935"/>
                  <wp:effectExtent l="0" t="0" r="9525" b="5715"/>
                  <wp:docPr id="2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true"/>
                          </pic:cNvPicPr>
                        </pic:nvPicPr>
                        <pic:blipFill>
                          <a:blip r:embed="rId44"/>
                          <a:stretch>
                            <a:fillRect/>
                          </a:stretch>
                        </pic:blipFill>
                        <pic:spPr>
                          <a:xfrm>
                            <a:off x="0" y="0"/>
                            <a:ext cx="1800225" cy="1384935"/>
                          </a:xfrm>
                          <a:prstGeom prst="rect">
                            <a:avLst/>
                          </a:prstGeom>
                          <a:noFill/>
                          <a:ln>
                            <a:noFill/>
                          </a:ln>
                        </pic:spPr>
                      </pic:pic>
                    </a:graphicData>
                  </a:graphic>
                </wp:inline>
              </w:drawing>
            </w:r>
          </w:p>
        </w:tc>
        <w:tc>
          <w:tcPr>
            <w:tcW w:w="250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inline distT="0" distB="0" distL="114300" distR="114300">
                  <wp:extent cx="1800225" cy="1351280"/>
                  <wp:effectExtent l="0" t="0" r="9525" b="1270"/>
                  <wp:docPr id="2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true"/>
                          </pic:cNvPicPr>
                        </pic:nvPicPr>
                        <pic:blipFill>
                          <a:blip r:embed="rId45"/>
                          <a:stretch>
                            <a:fillRect/>
                          </a:stretch>
                        </pic:blipFill>
                        <pic:spPr>
                          <a:xfrm>
                            <a:off x="0" y="0"/>
                            <a:ext cx="1800225" cy="13512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（c）接缝错位明显</w:t>
            </w:r>
          </w:p>
        </w:tc>
        <w:tc>
          <w:tcPr>
            <w:tcW w:w="25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（d）钢筋断裂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vAlign w:val="center"/>
          </w:tcPr>
          <w:p>
            <w:pPr>
              <w:spacing w:line="360" w:lineRule="exact"/>
              <w:ind w:firstLine="360" w:firstLineChars="20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18"/>
                <w:szCs w:val="18"/>
                <w:highlight w:val="none"/>
                <w14:textFill>
                  <w14:solidFill>
                    <w14:schemeClr w14:val="tx1"/>
                  </w14:solidFill>
                </w14:textFill>
              </w:rPr>
              <w:t>图</w:t>
            </w:r>
            <w:r>
              <w:rPr>
                <w:rFonts w:hint="default" w:ascii="Times New Roman" w:hAnsi="Times New Roman" w:eastAsia="黑体" w:cs="Times New Roman"/>
                <w:b/>
                <w:bCs/>
                <w:color w:val="000000" w:themeColor="text1"/>
                <w:sz w:val="18"/>
                <w:szCs w:val="18"/>
                <w:highlight w:val="none"/>
                <w:lang w:val="en-US" w:eastAsia="zh-CN"/>
                <w14:textFill>
                  <w14:solidFill>
                    <w14:schemeClr w14:val="tx1"/>
                  </w14:solidFill>
                </w14:textFill>
              </w:rPr>
              <w:t>4</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18"/>
                <w:szCs w:val="18"/>
                <w:highlight w:val="none"/>
                <w14:textFill>
                  <w14:solidFill>
                    <w14:schemeClr w14:val="tx1"/>
                  </w14:solidFill>
                </w14:textFill>
              </w:rPr>
              <w:t>直剪试件</w:t>
            </w:r>
            <w:r>
              <w:rPr>
                <w:rFonts w:hint="default" w:ascii="Times New Roman" w:hAnsi="Times New Roman" w:eastAsia="黑体" w:cs="Times New Roman"/>
                <w:color w:val="000000" w:themeColor="text1"/>
                <w:sz w:val="18"/>
                <w:szCs w:val="18"/>
                <w:highlight w:val="none"/>
                <w:lang w:val="en-US" w:eastAsia="zh-CN"/>
                <w14:textFill>
                  <w14:solidFill>
                    <w14:schemeClr w14:val="tx1"/>
                  </w14:solidFill>
                </w14:textFill>
              </w:rPr>
              <w:t>试验结果</w:t>
            </w:r>
          </w:p>
        </w:tc>
      </w:tr>
    </w:tbl>
    <w:p>
      <w:pPr>
        <w:pStyle w:val="24"/>
        <w:ind w:left="0" w:firstLine="0" w:firstLineChars="0"/>
        <w:rPr>
          <w:rFonts w:hint="default" w:ascii="Times New Roman" w:hAnsi="Times New Roman" w:cs="Times New Roman"/>
          <w:color w:val="000000" w:themeColor="text1"/>
          <w:sz w:val="18"/>
          <w:szCs w:val="28"/>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6.4.11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预制不出筋开槽叠合板能避免出筋叠合板钢筋与梁钢筋碰撞的问题，可有效提高施工效率。根据清华大学的试验，开槽型预制板在生产、施工过程中独立承载，叠合层浇筑后形成开槽型混凝土叠合板。此外，由于桁架钢筋对于预制板刚度的提升作用非常有限，且桁架筋上弦杆的面外屈曲会导致预制板的承载力降低，因此，当无特殊需求时，开槽性混凝土预制板表面不设置桁架钢筋，只需要设置垂直于叠合板长度方向的拉毛面即可。</w:t>
      </w:r>
    </w:p>
    <w:p>
      <w:pPr>
        <w:pStyle w:val="3"/>
        <w:widowControl/>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377" w:name="_Toc5349"/>
      <w:r>
        <w:rPr>
          <w:rFonts w:hint="default" w:ascii="Times New Roman" w:hAnsi="Times New Roman" w:eastAsia="黑体" w:cs="Times New Roman"/>
          <w:b/>
          <w:color w:val="000000" w:themeColor="text1"/>
          <w:sz w:val="24"/>
          <w:szCs w:val="24"/>
          <w:highlight w:val="none"/>
          <w14:textFill>
            <w14:solidFill>
              <w14:schemeClr w14:val="tx1"/>
            </w14:solidFill>
          </w14:textFill>
        </w:rPr>
        <w:t>6.</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模块单元结构设计</w:t>
      </w:r>
      <w:bookmarkEnd w:id="1377"/>
    </w:p>
    <w:p>
      <w:pP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6.5.2、</w:t>
      </w:r>
      <w:r>
        <w:rPr>
          <w:rFonts w:hint="default" w:ascii="Times New Roman" w:hAnsi="Times New Roman" w:cs="Times New Roman"/>
          <w:color w:val="000000" w:themeColor="text1"/>
          <w:szCs w:val="21"/>
          <w:highlight w:val="none"/>
          <w:lang w:val="en-US" w:eastAsia="zh-CN"/>
          <w14:textFill>
            <w14:solidFill>
              <w14:schemeClr w14:val="tx1"/>
            </w14:solidFill>
          </w14:textFill>
        </w:rPr>
        <w:t>6.5.3</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Cs w:val="21"/>
          <w:highlight w:val="none"/>
          <w:lang w:val="en-US" w:eastAsia="zh-CN"/>
          <w14:textFill>
            <w14:solidFill>
              <w14:schemeClr w14:val="tx1"/>
            </w14:solidFill>
          </w14:textFill>
        </w:rPr>
        <w:t>在拆分</w:t>
      </w:r>
      <w:r>
        <w:rPr>
          <w:rFonts w:hint="default" w:ascii="Times New Roman" w:hAnsi="Times New Roman" w:cs="Times New Roman"/>
          <w:color w:val="000000" w:themeColor="text1"/>
          <w:szCs w:val="21"/>
          <w:highlight w:val="none"/>
          <w14:textFill>
            <w14:solidFill>
              <w14:schemeClr w14:val="tx1"/>
            </w14:solidFill>
          </w14:textFill>
        </w:rPr>
        <w:t>模块单元</w:t>
      </w:r>
      <w:r>
        <w:rPr>
          <w:rFonts w:hint="default"/>
          <w:color w:val="000000" w:themeColor="text1"/>
          <w:szCs w:val="21"/>
          <w:highlight w:val="none"/>
          <w:lang w:val="en-US" w:eastAsia="zh-CN"/>
          <w14:textFill>
            <w14:solidFill>
              <w14:schemeClr w14:val="tx1"/>
            </w14:solidFill>
          </w14:textFill>
        </w:rPr>
        <w:t>的阶段，尽量让模块外形为矩形或L型，模块轮廓的形状</w:t>
      </w:r>
      <w:r>
        <w:rPr>
          <w:rFonts w:hint="default" w:ascii="Times New Roman" w:hAnsi="Times New Roman" w:cs="Times New Roman"/>
          <w:color w:val="000000" w:themeColor="text1"/>
          <w:szCs w:val="21"/>
          <w:highlight w:val="none"/>
          <w14:textFill>
            <w14:solidFill>
              <w14:schemeClr w14:val="tx1"/>
            </w14:solidFill>
          </w14:textFill>
        </w:rPr>
        <w:t>简单、规则</w:t>
      </w:r>
      <w:r>
        <w:rPr>
          <w:rFonts w:hint="default"/>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可降低模块的生产、运输和安装难度，有利于保证模块化建筑产品的质量和成本控制。</w:t>
      </w:r>
      <w:r>
        <w:rPr>
          <w:rFonts w:hint="default" w:ascii="Times New Roman" w:hAnsi="Times New Roman" w:cs="Times New Roman"/>
          <w:color w:val="000000" w:themeColor="text1"/>
          <w:szCs w:val="21"/>
          <w:highlight w:val="none"/>
          <w14:textFill>
            <w14:solidFill>
              <w14:schemeClr w14:val="tx1"/>
            </w14:solidFill>
          </w14:textFill>
        </w:rPr>
        <w:t>模块单元应具有一定的刚度和承载力</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保证模块在吊装和运输过程中不致产生影响结构安全性和耐久性的裂缝</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在深化设计阶段，可对项目的典型模块进行吊装和运输阶段等工况下的模块进行有限元受力分析，找出模块的薄弱部位并针对性采取加强措施。</w:t>
      </w:r>
    </w:p>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6.5.8 </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模块单元起吊吊点布置应</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结合模块轮廓尺寸和专用吊架综合考虑后进行设计，且应</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确保所有吊点都能</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正常受力。</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若吊点布置不合理，会出现吊点受力</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不均的情况</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可能会导致受力过大的吊点脱落从而产生模块掉落的安全风险。此时</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吊点应予以调整，直至所布置吊点全部受拉。吊点力计算应考虑均匀受力情况下其合力作用线可能会与模块单元重心存在偏心情况，吊点力计算时应考虑该偏心距的影响，见</w:t>
      </w:r>
      <w:r>
        <w:rPr>
          <w:rFonts w:hint="default" w:ascii="Times New Roman" w:hAnsi="Times New Roman" w:cs="Times New Roman"/>
          <w:color w:val="000000" w:themeColor="text1"/>
          <w:kern w:val="2"/>
          <w:sz w:val="21"/>
          <w:szCs w:val="21"/>
          <w:highlight w:val="none"/>
          <w:lang w:val="en-US" w:eastAsia="zh-CN" w:bidi="ar"/>
          <w14:textFill>
            <w14:solidFill>
              <w14:schemeClr w14:val="tx1"/>
            </w14:solidFill>
          </w14:textFill>
        </w:rPr>
        <w:t>下</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图。具体计算可参考如下方式：</w:t>
      </w:r>
    </w:p>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239770" cy="1733550"/>
            <wp:effectExtent l="0" t="0" r="17780" b="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46"/>
                    <a:stretch>
                      <a:fillRect/>
                    </a:stretch>
                  </pic:blipFill>
                  <pic:spPr>
                    <a:xfrm>
                      <a:off x="0" y="0"/>
                      <a:ext cx="3239770" cy="1733550"/>
                    </a:xfrm>
                    <a:prstGeom prst="rect">
                      <a:avLst/>
                    </a:prstGeom>
                    <a:noFill/>
                    <a:ln>
                      <a:noFill/>
                    </a:ln>
                  </pic:spPr>
                </pic:pic>
              </a:graphicData>
            </a:graphic>
          </wp:inline>
        </w:drawing>
      </w:r>
    </w:p>
    <w:p>
      <w:pPr>
        <w:keepNext w:val="0"/>
        <w:keepLines w:val="0"/>
        <w:widowControl/>
        <w:suppressLineNumbers w:val="0"/>
        <w:ind w:firstLine="420" w:firstLineChars="20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各吊点力计算公式应符合下列规定：</w:t>
      </w:r>
    </w:p>
    <w:p>
      <w:pPr>
        <w:keepNext w:val="0"/>
        <w:keepLines w:val="0"/>
        <w:widowControl/>
        <w:suppressLineNumbers w:val="0"/>
        <w:ind w:firstLine="420" w:firstLineChars="200"/>
        <w:jc w:val="left"/>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pPr>
      <m:oMathPara>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f>
            <m:f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fPr>
            <m:num>
              <m:nary>
                <m:naryPr>
                  <m:chr m:val="∑"/>
                  <m:limLoc m:val="subSup"/>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aryPr>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i=1</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up>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p>
                <m:e>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nary>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um>
            <m:den>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den>
          </m:f>
        </m:oMath>
      </m:oMathPara>
    </w:p>
    <w:p>
      <w:pPr>
        <w:keepNext w:val="0"/>
        <w:keepLines w:val="0"/>
        <w:widowControl/>
        <w:suppressLineNumbers w:val="0"/>
        <w:ind w:firstLine="420" w:firstLineChars="200"/>
        <w:jc w:val="left"/>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pPr>
      <m:oMathPara>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f>
            <m:f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fPr>
            <m:num>
              <m:nary>
                <m:naryPr>
                  <m:chr m:val="∑"/>
                  <m:limLoc m:val="subSup"/>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aryPr>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i=1</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up>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p>
                <m:e>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nary>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um>
            <m:den>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den>
          </m:f>
        </m:oMath>
      </m:oMathPara>
    </w:p>
    <w:p>
      <w:pPr>
        <w:keepNext w:val="0"/>
        <w:keepLines w:val="0"/>
        <w:widowControl/>
        <w:suppressLineNumbers w:val="0"/>
        <w:ind w:firstLine="420" w:firstLineChars="200"/>
        <w:jc w:val="left"/>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pPr>
      <m:oMathPara>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e</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0</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m:oMathPara>
    </w:p>
    <w:p>
      <w:pPr>
        <w:keepNext w:val="0"/>
        <w:keepLines w:val="0"/>
        <w:widowControl/>
        <w:suppressLineNumbers w:val="0"/>
        <w:ind w:firstLine="420" w:firstLineChars="200"/>
        <w:jc w:val="left"/>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pPr>
      <m:oMathPara>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e</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0</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m:oMathPara>
    </w:p>
    <w:p>
      <w:pPr>
        <w:keepNext w:val="0"/>
        <w:keepLines w:val="0"/>
        <w:widowControl/>
        <w:suppressLineNumbers w:val="0"/>
        <w:ind w:firstLine="420" w:firstLineChars="200"/>
        <w:jc w:val="left"/>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pPr>
      <m:oMathPara>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S</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nary>
            <m:naryPr>
              <m:chr m:val="∑"/>
              <m:limLoc m:val="undOv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aryPr>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i=1</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up>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p>
            <m:e>
              <m:sSup>
                <m:sSup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p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p>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2</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p>
              </m:sSup>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nary>
        </m:oMath>
      </m:oMathPara>
    </w:p>
    <w:p>
      <w:pPr>
        <w:keepNext w:val="0"/>
        <w:keepLines w:val="0"/>
        <w:widowControl/>
        <w:suppressLineNumbers w:val="0"/>
        <w:ind w:firstLine="420" w:firstLineChars="200"/>
        <w:jc w:val="left"/>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pPr>
      <m:oMathPara>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S</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nary>
            <m:naryPr>
              <m:chr m:val="∑"/>
              <m:limLoc m:val="undOv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aryPr>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i=1</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up>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p>
            <m:e>
              <m:sSup>
                <m:sSup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p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p>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2</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p>
              </m:sSup>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nary>
        </m:oMath>
      </m:oMathPara>
    </w:p>
    <w:p>
      <w:pPr>
        <w:keepNext w:val="0"/>
        <w:keepLines w:val="0"/>
        <w:widowControl/>
        <w:suppressLineNumbers w:val="0"/>
        <w:ind w:firstLine="420" w:firstLineChars="200"/>
        <w:jc w:val="left"/>
        <w:rPr>
          <w:rFonts w:hint="default" w:ascii="Times New Roman" w:hAnsi="Times New Roman" w:eastAsia="宋体" w:cs="Times New Roman"/>
          <w:i w:val="0"/>
          <w:color w:val="000000" w:themeColor="text1"/>
          <w:kern w:val="0"/>
          <w:sz w:val="21"/>
          <w:szCs w:val="21"/>
          <w:lang w:val="en-US" w:eastAsia="zh-CN" w:bidi="ar"/>
          <w14:textFill>
            <w14:solidFill>
              <w14:schemeClr w14:val="tx1"/>
            </w14:solidFill>
          </w14:textFill>
        </w:rPr>
      </w:pPr>
      <m:oMathPara>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F</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Ai</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f>
            <m:f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fPr>
            <m:num>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G</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um>
            <m:den>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den>
          </m:f>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f>
            <m:f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fPr>
            <m:num>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G</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e</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um>
            <m:den>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S</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den>
          </m:f>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f>
            <m:f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fPr>
            <m:num>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G</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e</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num>
            <m:den>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S</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den>
          </m:f>
        </m:oMath>
      </m:oMathPara>
    </w:p>
    <w:p>
      <w:pPr>
        <w:jc w:val="center"/>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ind w:left="420" w:left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式中： </w:t>
      </w:r>
    </w:p>
    <w:p>
      <w:pPr>
        <w:keepNext w:val="0"/>
        <w:keepLines w:val="0"/>
        <w:pageBreakBefore w:val="0"/>
        <w:widowControl/>
        <w:suppressLineNumbers w:val="0"/>
        <w:kinsoku/>
        <w:wordWrap/>
        <w:overflowPunct/>
        <w:topLinePunct w:val="0"/>
        <w:autoSpaceDE/>
        <w:autoSpaceDN/>
        <w:bidi w:val="0"/>
        <w:adjustRightInd/>
        <w:snapToGrid/>
        <w:ind w:left="420" w:leftChars="20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m:oMath>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G</m:t>
        </m:r>
      </m:oMath>
      <w:r>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模块单元的重力荷载标准值； </w:t>
      </w:r>
    </w:p>
    <w:p>
      <w:pPr>
        <w:keepNext w:val="0"/>
        <w:keepLines w:val="0"/>
        <w:pageBreakBefore w:val="0"/>
        <w:widowControl/>
        <w:suppressLineNumbers w:val="0"/>
        <w:kinsoku/>
        <w:wordWrap/>
        <w:overflowPunct/>
        <w:topLinePunct w:val="0"/>
        <w:autoSpaceDE/>
        <w:autoSpaceDN/>
        <w:bidi w:val="0"/>
        <w:adjustRightInd/>
        <w:snapToGrid/>
        <w:ind w:left="420" w:leftChars="20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m:oMath>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n</m:t>
        </m:r>
      </m:oMath>
      <w:r>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吊点的数量； </w:t>
      </w:r>
    </w:p>
    <w:p>
      <w:pPr>
        <w:keepNext w:val="0"/>
        <w:keepLines w:val="0"/>
        <w:pageBreakBefore w:val="0"/>
        <w:widowControl/>
        <w:suppressLineNumbers w:val="0"/>
        <w:kinsoku/>
        <w:wordWrap/>
        <w:overflowPunct/>
        <w:topLinePunct w:val="0"/>
        <w:autoSpaceDE/>
        <w:autoSpaceDN/>
        <w:bidi w:val="0"/>
        <w:adjustRightInd/>
        <w:snapToGrid/>
        <w:ind w:left="420" w:leftChars="20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m:oMath>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w:r>
        <w:rPr>
          <w:rFonts w:hint="default" w:ascii="Times New Roman" w:hAnsi="Times New Roman" w:eastAsia="宋体" w:cs="Times New Roman"/>
          <w:i/>
          <w:iCs/>
          <w:color w:val="000000" w:themeColor="text1"/>
          <w:kern w:val="0"/>
          <w:sz w:val="22"/>
          <w:szCs w:val="22"/>
          <w:lang w:val="en-US" w:eastAsia="zh-CN" w:bidi="ar"/>
          <w14:textFill>
            <w14:solidFill>
              <w14:schemeClr w14:val="tx1"/>
            </w14:solidFill>
          </w14:textFill>
        </w:rPr>
        <w:t>、</w:t>
      </w:r>
      <m:oMath>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i</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w:r>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吊点的坐标点； </w:t>
      </w:r>
    </w:p>
    <w:p>
      <w:pPr>
        <w:keepNext w:val="0"/>
        <w:keepLines w:val="0"/>
        <w:pageBreakBefore w:val="0"/>
        <w:widowControl/>
        <w:suppressLineNumbers w:val="0"/>
        <w:kinsoku/>
        <w:wordWrap/>
        <w:overflowPunct/>
        <w:topLinePunct w:val="0"/>
        <w:autoSpaceDE/>
        <w:autoSpaceDN/>
        <w:bidi w:val="0"/>
        <w:adjustRightInd/>
        <w:snapToGrid/>
        <w:ind w:left="420" w:leftChars="20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m:oMath>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m:oMath>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r</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w:r>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吊点的中心坐标点； </w:t>
      </w:r>
    </w:p>
    <w:p>
      <w:pPr>
        <w:keepNext w:val="0"/>
        <w:keepLines w:val="0"/>
        <w:pageBreakBefore w:val="0"/>
        <w:widowControl/>
        <w:suppressLineNumbers w:val="0"/>
        <w:kinsoku/>
        <w:wordWrap/>
        <w:overflowPunct/>
        <w:topLinePunct w:val="0"/>
        <w:autoSpaceDE/>
        <w:autoSpaceDN/>
        <w:bidi w:val="0"/>
        <w:adjustRightInd/>
        <w:snapToGrid/>
        <w:ind w:left="420" w:leftChars="20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m:oMath>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0</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m:oMath>
        <m:sSub>
          <m:sSubP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0</m:t>
            </m:r>
            <m:ctrlPr>
              <w:rPr>
                <w:rFonts w:hint="default" w:ascii="Cambria Math" w:hAnsi="Cambria Math" w:cs="Times New Roman"/>
                <w:i/>
                <w:color w:val="000000" w:themeColor="text1"/>
                <w:kern w:val="0"/>
                <w:sz w:val="21"/>
                <w:szCs w:val="21"/>
                <w:lang w:val="en-US" w:eastAsia="zh-CN" w:bidi="ar"/>
                <w14:textFill>
                  <w14:solidFill>
                    <w14:schemeClr w14:val="tx1"/>
                  </w14:solidFill>
                </w14:textFill>
              </w:rPr>
            </m:ctrlPr>
          </m:sub>
        </m:sSub>
      </m:oMath>
      <w:r>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模块单元的重心坐标点； </w:t>
      </w:r>
    </w:p>
    <w:p>
      <w:pPr>
        <w:keepNext w:val="0"/>
        <w:keepLines w:val="0"/>
        <w:pageBreakBefore w:val="0"/>
        <w:widowControl/>
        <w:suppressLineNumbers w:val="0"/>
        <w:kinsoku/>
        <w:wordWrap/>
        <w:overflowPunct/>
        <w:topLinePunct w:val="0"/>
        <w:autoSpaceDE/>
        <w:autoSpaceDN/>
        <w:bidi w:val="0"/>
        <w:adjustRightInd/>
        <w:snapToGrid/>
        <w:ind w:left="420" w:leftChars="20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e</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x</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oMath>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e</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y</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oMath>
      <w:r>
        <w:rPr>
          <w:rFonts w:hint="default" w:ascii="Times New Roman" w:hAnsi="Times New Roman" w:eastAsia="宋体" w:cs="Times New Roman"/>
          <w:color w:val="000000" w:themeColor="text1"/>
          <w:kern w:val="0"/>
          <w:sz w:val="14"/>
          <w:szCs w:val="14"/>
          <w:lang w:val="en-US" w:eastAsia="zh-CN" w:bidi="ar"/>
          <w14:textFill>
            <w14:solidFill>
              <w14:schemeClr w14:val="tx1"/>
            </w14:solidFill>
          </w14:textFill>
        </w:rPr>
        <w:t xml:space="preserve"> </w:t>
      </w:r>
      <w:r>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吊点中心坐标点与模块单元重心坐标点的偏心距； </w:t>
      </w:r>
    </w:p>
    <w:p>
      <w:pPr>
        <w:keepNext w:val="0"/>
        <w:keepLines w:val="0"/>
        <w:pageBreakBefore w:val="0"/>
        <w:widowControl/>
        <w:suppressLineNumbers w:val="0"/>
        <w:kinsoku/>
        <w:wordWrap/>
        <w:overflowPunct/>
        <w:topLinePunct w:val="0"/>
        <w:autoSpaceDE/>
        <w:autoSpaceDN/>
        <w:bidi w:val="0"/>
        <w:adjustRightInd/>
        <w:snapToGrid/>
        <w:ind w:left="420" w:leftChars="20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m:oMath>
        <m:sSub>
          <m:sSubPr>
            <m:ctrlPr>
              <w:rPr>
                <w:rFonts w:hint="default" w:ascii="Cambria Math" w:hAnsi="Cambria Math" w:cs="Times New Roman"/>
                <w:i/>
                <w:color w:val="000000" w:themeColor="text1"/>
                <w:kern w:val="0"/>
                <w:sz w:val="21"/>
                <w:szCs w:val="21"/>
                <w:lang w:val="en-US" w:bidi="ar"/>
                <w14:textFill>
                  <w14:solidFill>
                    <w14:schemeClr w14:val="tx1"/>
                  </w14:solidFill>
                </w14:textFill>
              </w:rPr>
            </m:ctrlPr>
          </m:sSubPr>
          <m:e>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F</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e>
          <m:sub>
            <m:r>
              <m:rPr/>
              <w:rPr>
                <w:rFonts w:hint="default" w:ascii="Cambria Math" w:hAnsi="Cambria Math" w:cs="Times New Roman"/>
                <w:color w:val="000000" w:themeColor="text1"/>
                <w:kern w:val="0"/>
                <w:sz w:val="21"/>
                <w:szCs w:val="21"/>
                <w:lang w:val="en-US" w:eastAsia="zh-CN" w:bidi="ar"/>
                <w14:textFill>
                  <w14:solidFill>
                    <w14:schemeClr w14:val="tx1"/>
                  </w14:solidFill>
                </w14:textFill>
              </w:rPr>
              <m:t>Ai</m:t>
            </m:r>
            <m:ctrlPr>
              <w:rPr>
                <w:rFonts w:hint="default" w:ascii="Cambria Math" w:hAnsi="Cambria Math" w:cs="Times New Roman"/>
                <w:i/>
                <w:color w:val="000000" w:themeColor="text1"/>
                <w:kern w:val="0"/>
                <w:sz w:val="21"/>
                <w:szCs w:val="21"/>
                <w:lang w:val="en-US" w:bidi="ar"/>
                <w14:textFill>
                  <w14:solidFill>
                    <w14:schemeClr w14:val="tx1"/>
                  </w14:solidFill>
                </w14:textFill>
              </w:rPr>
            </m:ctrlPr>
          </m:sub>
        </m:sSub>
      </m:oMath>
      <w:r>
        <w:rPr>
          <w:rFonts w:hint="default" w:ascii="Times New Roman" w:hAnsi="Times New Roman" w:cs="Times New Roman"/>
          <w:i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吊点 A</w:t>
      </w:r>
      <w:r>
        <w:rPr>
          <w:rFonts w:hint="default" w:ascii="Times New Roman" w:hAnsi="Times New Roman" w:eastAsia="宋体" w:cs="Times New Roman"/>
          <w:i/>
          <w:iCs/>
          <w:color w:val="000000" w:themeColor="text1"/>
          <w:kern w:val="0"/>
          <w:sz w:val="14"/>
          <w:szCs w:val="14"/>
          <w:lang w:val="en-US" w:eastAsia="zh-CN" w:bidi="ar"/>
          <w14:textFill>
            <w14:solidFill>
              <w14:schemeClr w14:val="tx1"/>
            </w14:solidFill>
          </w14:textFill>
        </w:rPr>
        <w:t>i</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的吊点力。</w:t>
      </w:r>
    </w:p>
    <w:p>
      <w:pPr>
        <w:keepNext w:val="0"/>
        <w:keepLines w:val="0"/>
        <w:widowControl/>
        <w:suppressLineNumbers w:val="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6.5.9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确定吊环钢筋所需面积时，钢筋的抗拉强度设计值应乘以折减系数。在折减系数中考虑的因素有：构件自重荷载分项系数取 1.3，吸附作用引起的超载系数取1.2，钢筋弯折后的应力集中对强度的折减系数取1.4，动力系数取1.5，钢丝绳角度对吊环承载力的影响系数取1.4。当取HPB300级钢筋的抗拉强度设计值为</w:t>
      </w:r>
      <w:r>
        <w:rPr>
          <w:rFonts w:hint="default" w:ascii="Times New Roman" w:hAnsi="Times New Roman" w:eastAsia="宋体" w:cs="Times New Roman"/>
          <w:i/>
          <w:iCs/>
          <w:color w:val="000000" w:themeColor="text1"/>
          <w:kern w:val="0"/>
          <w:sz w:val="21"/>
          <w:szCs w:val="21"/>
          <w:lang w:val="en-US" w:eastAsia="zh-CN" w:bidi="ar"/>
          <w14:textFill>
            <w14:solidFill>
              <w14:schemeClr w14:val="tx1"/>
            </w14:solidFill>
          </w14:textFill>
        </w:rPr>
        <w:t>f</w:t>
      </w:r>
      <w:r>
        <w:rPr>
          <w:rFonts w:hint="default" w:ascii="Times New Roman" w:hAnsi="Times New Roman" w:eastAsia="宋体" w:cs="Times New Roman"/>
          <w:i/>
          <w:iCs/>
          <w:color w:val="000000" w:themeColor="text1"/>
          <w:kern w:val="0"/>
          <w:sz w:val="14"/>
          <w:szCs w:val="14"/>
          <w:lang w:val="en-US" w:eastAsia="zh-CN" w:bidi="ar"/>
          <w14:textFill>
            <w14:solidFill>
              <w14:schemeClr w14:val="tx1"/>
            </w14:solidFill>
          </w14:textFill>
        </w:rPr>
        <w:t>y</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＝270N/mm</w:t>
      </w:r>
      <w:r>
        <w:rPr>
          <w:rFonts w:hint="default" w:ascii="Times New Roman" w:hAnsi="Times New Roman" w:eastAsia="宋体" w:cs="Times New Roman"/>
          <w:color w:val="000000" w:themeColor="text1"/>
          <w:kern w:val="2"/>
          <w:sz w:val="21"/>
          <w:szCs w:val="22"/>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时，吊环钢筋实际取用的允许拉应力值约60N/mm</w:t>
      </w:r>
      <w:r>
        <w:rPr>
          <w:rFonts w:hint="default" w:ascii="Times New Roman" w:hAnsi="Times New Roman" w:eastAsia="宋体" w:cs="Times New Roman"/>
          <w:color w:val="000000" w:themeColor="text1"/>
          <w:kern w:val="2"/>
          <w:sz w:val="21"/>
          <w:szCs w:val="22"/>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2"/>
          <w:sz w:val="21"/>
          <w:szCs w:val="22"/>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作用于吊环的荷载应根据实际情况确定，一般为模块单元自重、悬挂设备自重及活荷载。吊环截面应力验算时，荷载取标准值。 当采用专用吊架起吊时，通过调平拉紧装置可确保所有吊链均匀受力，实现所有吊点及吊链共同工作，但考虑到实际吊装过程中吊点的实际受力与计算值可能存在偏差，因此在进行吊架和吊具设计时，应根据荷载计算值的1.5倍进行设计。当采用专用吊架，吊链角度大于80度且无脱模吸附力作用时，钢丝绳角度对吊环承载力的影响系数可适当减小，同时不考虑吸附作用引起的超载系数，对于HPB300级钢筋，吊环钢筋实际取用的允许拉应力值约 </w:t>
      </w:r>
    </w:p>
    <w:p>
      <w:pPr>
        <w:keepNext w:val="0"/>
        <w:keepLines w:val="0"/>
        <w:widowControl/>
        <w:suppressLineNumbers w:val="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为90N/mm</w:t>
      </w:r>
      <w:r>
        <w:rPr>
          <w:rFonts w:hint="default" w:ascii="Times New Roman" w:hAnsi="Times New Roman" w:eastAsia="宋体" w:cs="Times New Roman"/>
          <w:color w:val="000000" w:themeColor="text1"/>
          <w:kern w:val="2"/>
          <w:sz w:val="21"/>
          <w:szCs w:val="22"/>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eastAsia="宋体" w:cs="Times New Roman"/>
          <w:color w:val="000000" w:themeColor="text1"/>
          <w:sz w:val="21"/>
          <w:szCs w:val="22"/>
          <w14:textFill>
            <w14:solidFill>
              <w14:schemeClr w14:val="tx1"/>
            </w14:solidFill>
          </w14:textFill>
        </w:rPr>
      </w:pP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 xml:space="preserve"> </w:t>
      </w:r>
      <w:bookmarkStart w:id="1378" w:name="_Toc8072"/>
      <w:r>
        <w:rPr>
          <w:rFonts w:hint="default" w:ascii="Times New Roman" w:hAnsi="Times New Roman" w:eastAsia="黑体" w:cs="Times New Roman"/>
          <w:color w:val="000000" w:themeColor="text1"/>
          <w:sz w:val="28"/>
          <w:szCs w:val="28"/>
          <w:highlight w:val="none"/>
          <w14:textFill>
            <w14:solidFill>
              <w14:schemeClr w14:val="tx1"/>
            </w14:solidFill>
          </w14:textFill>
        </w:rPr>
        <w:t>7  设备管线与内装系统设计</w:t>
      </w:r>
      <w:bookmarkEnd w:id="1378"/>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2"/>
          <w:highlight w:val="none"/>
          <w:lang w:val="en-US" w:eastAsia="zh-CN"/>
          <w14:textFill>
            <w14:solidFill>
              <w14:schemeClr w14:val="tx1"/>
            </w14:solidFill>
          </w14:textFill>
        </w:rPr>
        <w:t>7.1.3 、7.1.4 模块化建筑的机电系统选型应结合模块单元内装设计、模块单元的拆分及布置来进行选择，确保模块化建筑</w:t>
      </w:r>
      <w:r>
        <w:rPr>
          <w:rFonts w:hint="default" w:ascii="Times New Roman" w:hAnsi="Times New Roman" w:cs="Times New Roman"/>
          <w:color w:val="000000" w:themeColor="text1"/>
          <w:szCs w:val="21"/>
          <w:highlight w:val="none"/>
          <w14:textFill>
            <w14:solidFill>
              <w14:schemeClr w14:val="tx1"/>
            </w14:solidFill>
          </w14:textFill>
        </w:rPr>
        <w:t>机电</w:t>
      </w:r>
      <w:r>
        <w:rPr>
          <w:rFonts w:hint="default" w:ascii="Times New Roman" w:hAnsi="Times New Roman" w:cs="Times New Roman"/>
          <w:color w:val="000000" w:themeColor="text1"/>
          <w:szCs w:val="21"/>
          <w:highlight w:val="none"/>
          <w:lang w:val="en-US" w:eastAsia="zh-CN"/>
          <w14:textFill>
            <w14:solidFill>
              <w14:schemeClr w14:val="tx1"/>
            </w14:solidFill>
          </w14:textFill>
        </w:rPr>
        <w:t>在工厂生产阶段和现在安装时具有便利性。</w:t>
      </w:r>
    </w:p>
    <w:p>
      <w:pPr>
        <w:widowControl/>
        <w:ind w:firstLine="420" w:firstLineChars="200"/>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机电系统在模块单元上的集成度，应结合模块单元的运输和成品保护要求，综合考虑后确定，避免吊装运输过程中机电设备的损坏。</w:t>
      </w: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widowControl/>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pPr>
      <w:bookmarkStart w:id="1379" w:name="_Toc24790"/>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黑体" w:cs="Times New Roman"/>
          <w:color w:val="000000" w:themeColor="text1"/>
          <w:sz w:val="28"/>
          <w:szCs w:val="28"/>
          <w:highlight w:val="none"/>
          <w14:textFill>
            <w14:solidFill>
              <w14:schemeClr w14:val="tx1"/>
            </w14:solidFill>
          </w14:textFill>
        </w:rPr>
        <w:t xml:space="preserve">  </w:t>
      </w:r>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模块单元生产与运输</w:t>
      </w:r>
      <w:bookmarkEnd w:id="1379"/>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0" w:name="_Toc14137"/>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一般规定</w:t>
      </w:r>
      <w:bookmarkEnd w:id="1380"/>
    </w:p>
    <w:p>
      <w:pPr>
        <w:pStyle w:val="24"/>
        <w:ind w:left="0" w:firstLine="0" w:firstLineChars="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8.1.1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本条对生产单位的基本条件和质量保障能力提出了原则性要求。</w:t>
      </w:r>
    </w:p>
    <w:p>
      <w:pPr>
        <w:widowControl/>
        <w:spacing w:line="360" w:lineRule="exact"/>
        <w:ind w:firstLine="421"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 xml:space="preserve">1  </w:t>
      </w:r>
      <w:r>
        <w:rPr>
          <w:rFonts w:hint="default" w:ascii="Times New Roman" w:hAnsi="Times New Roman" w:cs="Times New Roman"/>
          <w:color w:val="000000" w:themeColor="text1"/>
          <w:sz w:val="21"/>
          <w:szCs w:val="21"/>
          <w:highlight w:val="none"/>
          <w:lang w:eastAsia="zh-CN"/>
          <w14:textFill>
            <w14:solidFill>
              <w14:schemeClr w14:val="tx1"/>
            </w14:solidFill>
          </w14:textFill>
        </w:rPr>
        <w:t>“生产工艺设施设备”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应</w:t>
      </w:r>
      <w:r>
        <w:rPr>
          <w:rFonts w:hint="default" w:ascii="Times New Roman" w:hAnsi="Times New Roman" w:cs="Times New Roman"/>
          <w:color w:val="000000" w:themeColor="text1"/>
          <w:sz w:val="21"/>
          <w:szCs w:val="21"/>
          <w:highlight w:val="none"/>
          <w:lang w:eastAsia="zh-CN"/>
          <w14:textFill>
            <w14:solidFill>
              <w14:schemeClr w14:val="tx1"/>
            </w14:solidFill>
          </w14:textFill>
        </w:rPr>
        <w:t>包括但不限于满足生产工艺要求的厂房、生产线、模具、专用工具及养护系统等。</w:t>
      </w:r>
    </w:p>
    <w:p>
      <w:pPr>
        <w:widowControl/>
        <w:spacing w:line="360" w:lineRule="exact"/>
        <w:ind w:firstLine="421" w:firstLineChars="20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“质量管理体系和制度”应覆盖从原材料进厂至产品出厂的全过程质量控制，并宜与模块单元深化设计、预拌混凝土供应、以及现场安装等环节的质量管理要求相协调和衔接。</w:t>
      </w:r>
    </w:p>
    <w:p>
      <w:pPr>
        <w:widowControl/>
        <w:spacing w:line="360" w:lineRule="exact"/>
        <w:ind w:firstLine="421" w:firstLineChars="200"/>
        <w:rPr>
          <w:rFonts w:hint="default" w:ascii="Times New Roman" w:hAnsi="Times New Roman" w:cs="Times New Roman"/>
          <w:color w:val="000000" w:themeColor="text1"/>
          <w:sz w:val="18"/>
          <w:szCs w:val="28"/>
          <w:highlight w:val="none"/>
          <w:lang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质量可追溯的信息化管理系统”是保障模块产品质量和责任界定的重要手段。系统应为每个模块单元建立唯一性标识，并记录其主要材料、关键工序、质量检验及出厂等信息。鼓励生产单位利用物联网、自动识别等技术，提升信息采集的自动化水平，确保追溯信息的真实、准确和高效。 </w:t>
      </w:r>
    </w:p>
    <w:p>
      <w:pPr>
        <w:pStyle w:val="24"/>
        <w:ind w:left="0" w:firstLine="0" w:firstLineChars="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8.1.3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对于结构较复杂的模块单元或新型模块首次生产或间隔较长时间重新生产时，生产单位需会同建设单位、设计单位、施工单位、监理单位共同进行样板检验，重点检查模具、构件、预</w:t>
      </w:r>
    </w:p>
    <w:p>
      <w:pPr>
        <w:pStyle w:val="24"/>
        <w:ind w:left="0" w:firstLine="0" w:firstLineChars="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埋件、混凝土浇筑成型中存在的问题，确认该批模块单元生产工艺是否合理，质量能否得到保障，共同验收合格之后方可批量生产。若模块单元作为成熟的标准化的产品时，可不进行样板检验工作。 </w:t>
      </w:r>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8.1.4</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生产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方案</w:t>
      </w:r>
      <w:r>
        <w:rPr>
          <w:rFonts w:hint="default" w:ascii="Times New Roman" w:hAnsi="Times New Roman" w:cs="Times New Roman"/>
          <w:color w:val="000000" w:themeColor="text1"/>
          <w:sz w:val="21"/>
          <w:szCs w:val="21"/>
          <w:highlight w:val="none"/>
          <w:lang w:eastAsia="zh-CN"/>
          <w14:textFill>
            <w14:solidFill>
              <w14:schemeClr w14:val="tx1"/>
            </w14:solidFill>
          </w14:textFill>
        </w:rPr>
        <w:t>具体内容应包括：生产车间及堆场规划、模具方案及计划、生产计划及生产工艺、人材机资源计划、质量控制方法与措施、成品存放、装修与机电安装、装车运输及成品保护等。必要时，应对模块单元脱模、吊运、码放、翻转及运输等工况进行计算。</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1" w:name="_Toc27485"/>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模具及预埋件</w:t>
      </w:r>
      <w:bookmarkEnd w:id="1381"/>
    </w:p>
    <w:p>
      <w:pPr>
        <w:pStyle w:val="24"/>
        <w:ind w:left="0" w:firstLine="0" w:firstLineChars="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8.2.1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模具是专门用来生产模块单元各部件的模板系统，可采用固定在生产场地的固定模具，也可采用移动模具。 模块单元根据产品技术体系，可以采用整体式立模方案，也可以采用分片生产、构件立体组装合成模块单元的模具方案。对于形状复杂、数量少的构件也可采用木模或其他材料制作。清水混凝土构件建议采用精度较高的模具制作。流水线平台上的各种边模可采用玻璃钢、铝合金、高品质复合板等轻质材料制作。在模台上用磁盒固定边模具有简单方便的优势，能够更好地满足流水线生产节拍需要。虽然磁盒在模台上的吸力很大，但是振动状态下抗剪切能力不足，容易造成偏移，影响几何尺寸，用磁盒生产高精度几何尺寸预制构件时，需要采取辅助定位措施。</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2" w:name="_Toc22139"/>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钢筋加工及安装</w:t>
      </w:r>
      <w:bookmarkEnd w:id="1382"/>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8.3.1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使用自动化机械设备进行钢筋加工与制作，可减少钢筋损耗且有利于质量控制，有条件时应尽量采用。自动化机械设备进行钢筋调直、切割和弯折，其性能应符合现行行业标准《混凝土</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结构用成型钢筋》JG/T 226 的有关规定。</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8.3.2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钢筋连接质量好坏关系到结构安全，本条提出了钢筋连接必须进行工艺检验的要求，在施工过程中重点检查。尤其是钢筋螺纹接头以及半套筒灌浆连接接头、机械连接端安装时，可根据</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安装需要采用管钳、扭力扳手等工具，安装后应使用专用扭力扳手校核拧紧力矩，安装用扭力扳手和校核用扭力扳手应区分使用，二者的精度、校准要求均有所不同。</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8.3.3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本条规定了钢筋半成品、钢筋网片、钢筋骨架安装的尺寸偏差和检测方法。安装后还应及时检查钢筋的品种、级别、规格、数量。当钢筋网片或钢筋骨架中钢筋作为连接钢筋时，如与套</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筒灌浆连接，该部分钢筋定位应协调考虑连接的精度要求。</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3" w:name="_Toc13875"/>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成型、养护及脱模</w:t>
      </w:r>
      <w:bookmarkEnd w:id="1383"/>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8.4.1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混凝土模块单元是一个空间多面体，现有的模具制作工艺及混凝土施工方法难以实现模块一次浇筑成型，因此往往需要将模块单元拆分为多个预制构件分别预制，最后再组合成完整的模块单元。对模块单元进行预制拆分时，需考虑模块的形状、规格、混凝土强度等级、钢材等因素的影响。</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8.4.6</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在粗糙面的处理中，高压水与洗水面的夹角宜为 45 度，枪头距离洗水面 0.8m ~1m，露出石粒深度 5mm~8mm 左右并且不松动；对于不便涂缓凝剂和拉毛方式的粗糙面，建议使用喷砂工艺处理。</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8.4.7</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条件允许的情况下，预制模块部分优先推荐自然养护。采用加热养护时，按照合理的养护制度进行温控可避免模块单元出现温差裂缝。</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8.4.8</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对于设有门洞、窗洞等较大洞口的墙板，脱模起吊时应进行加固，防止扭曲变形造成的开裂。脱模起吊宜采用平衡吊架，保证模块平衡且安全地出模，防止崩角、难以脱模的问题产生。</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4" w:name="_Toc19654"/>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设备管线安装及装修</w:t>
      </w:r>
      <w:bookmarkEnd w:id="1384"/>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8.6.1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模块结构制作阶段，应将各专业、各工种所需的预留孔洞、预埋件等设置完成，避免在施工现场进行剔凿、切割，伤及构件，影响质量及观感。</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8.6.2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由于混凝土模块化建筑不同于传统建筑，模块单元具有产品属性。所以在模块单元吊装前需对其结构、机电、给水排水、供暖的工序隐蔽提前进行验收。否则，待组装之后工序隐蔽将无</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法验收。</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5" w:name="_Toc23819"/>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 xml:space="preserve">8.7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成品保护与运输</w:t>
      </w:r>
      <w:bookmarkEnd w:id="1385"/>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8.7.3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模块在运输时应采取防止移动和倾倒的措施，常用的措施有模块底部设置防止模块移动的支挡结构，模块的顶部设置绑带等措施。</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6" w:name="_Toc4276"/>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模块单元检验</w:t>
      </w:r>
      <w:bookmarkEnd w:id="1386"/>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8.8.1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模块单元在出厂时需对外观质量、装修质量、吊装性能、防水性能、使用功能及生产过程资料进行检查，对于模块单元制作尺寸、装饰构件尺寸等，通过生产过程中的质量控制，出厂时</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采用抽检的方式进行检验。</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8.8.12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在出厂前应对吊装性能进行测试，吊具的选用与设计需符合本规程的有关规定，吊装设备的选用需满足设计要求。在吊装测试中，吊环、吊架等吊具及模块单元均不应出现明显变形，混凝土不应出现明显裂缝，保证模块单元具有足够的刚度和强度满足现场施工作业的要求。</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8.8.13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模块单元中卫浴间、厨房地面的防水要进行蓄水试验，并满足现行国家标准《建筑地面工程施工质量验收规范》GB 50209 的有关规定。</w:t>
      </w:r>
    </w:p>
    <w:p>
      <w:pP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8.8.14</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模块单元的淋水试验宜在模块装修前完成，确保模块单元具有一定的防水能力，在工厂装修过程或现场施工过程中遇雨水天气不对模块内部装修造成损害。</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bookmarkStart w:id="1387" w:name="_Toc26369"/>
      <w:r>
        <w:rPr>
          <w:rFonts w:hint="default" w:ascii="Times New Roman" w:hAnsi="Times New Roman" w:eastAsia="黑体" w:cs="Times New Roman"/>
          <w:b/>
          <w:color w:val="000000" w:themeColor="text1"/>
          <w:sz w:val="24"/>
          <w:szCs w:val="24"/>
          <w:highlight w:val="none"/>
          <w14:textFill>
            <w14:solidFill>
              <w14:schemeClr w14:val="tx1"/>
            </w14:solidFill>
          </w14:textFill>
        </w:rPr>
        <w:t>8.</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资料及交付</w:t>
      </w:r>
      <w:bookmarkEnd w:id="1387"/>
    </w:p>
    <w:p>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8.</w:t>
      </w:r>
      <w:r>
        <w:rPr>
          <w:rFonts w:hint="default" w:ascii="Times New Roman" w:hAnsi="Times New Roman" w:cs="Times New Roman"/>
          <w:b/>
          <w:color w:val="000000" w:themeColor="text1"/>
          <w:highlight w:val="none"/>
          <w:lang w:val="en-US" w:eastAsia="zh-CN"/>
          <w14:textFill>
            <w14:solidFill>
              <w14:schemeClr w14:val="tx1"/>
            </w14:solidFill>
          </w14:textFill>
        </w:rPr>
        <w:t>9</w:t>
      </w:r>
      <w:r>
        <w:rPr>
          <w:rFonts w:hint="default" w:ascii="Times New Roman" w:hAnsi="Times New Roman" w:cs="Times New Roman"/>
          <w:b/>
          <w:color w:val="000000" w:themeColor="text1"/>
          <w:highlight w:val="none"/>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产品质量证明文件应包含：模块单元临时状态计算书、原材料质量证明文件、混凝土强度报告、模块单元外观质量检验记录、装修质量检查报告、吊装测试报告、淋水试验报告和使用功能检验记录等设计、生产相关过程资料。</w:t>
      </w: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pStyle w:val="24"/>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pPr>
      <w:bookmarkStart w:id="1388" w:name="_Toc29744"/>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黑体" w:cs="Times New Roman"/>
          <w:color w:val="000000" w:themeColor="text1"/>
          <w:sz w:val="28"/>
          <w:szCs w:val="28"/>
          <w:highlight w:val="none"/>
          <w14:textFill>
            <w14:solidFill>
              <w14:schemeClr w14:val="tx1"/>
            </w14:solidFill>
          </w14:textFill>
        </w:rPr>
        <w:t xml:space="preserve">  </w:t>
      </w:r>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施 工 安 装</w:t>
      </w:r>
      <w:bookmarkEnd w:id="1388"/>
    </w:p>
    <w:p>
      <w:pPr>
        <w:pStyle w:val="3"/>
        <w:spacing w:before="166" w:beforeLines="50" w:after="166" w:afterLines="50" w:line="360" w:lineRule="auto"/>
        <w:jc w:val="center"/>
        <w:rPr>
          <w:rFonts w:hint="default" w:ascii="Times New Roman" w:hAnsi="Times New Roman" w:cs="Times New Roman"/>
          <w:color w:val="000000" w:themeColor="text1"/>
          <w:highlight w:val="none"/>
          <w:lang w:val="en-US" w:eastAsia="zh-CN"/>
          <w14:textFill>
            <w14:solidFill>
              <w14:schemeClr w14:val="tx1"/>
            </w14:solidFill>
          </w14:textFill>
        </w:rPr>
      </w:pPr>
      <w:bookmarkStart w:id="1389" w:name="_Toc12431"/>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般</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规</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定</w:t>
      </w:r>
      <w:bookmarkEnd w:id="1389"/>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9.1.1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混凝土模块化建筑的施工安装所涉及的工序复杂、工艺工法新颖，为确保施工安装安全有序地开展，在模块化建筑施工安装前，应进行风险点识别，并结合模块化结构施工的特点和工艺流程的特殊要求，制定施工组织设计和专项施工方案。同时，应满足《危险性较大的分部分项工程专项施工方案严重缺陷清单》等相关规定要求，并组织开展专家论证。</w:t>
      </w:r>
    </w:p>
    <w:p>
      <w:pPr>
        <w:widowControl/>
        <w:spacing w:line="360" w:lineRule="exact"/>
        <w:jc w:val="left"/>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9.1.2 为避免由于设计缺陷或施工经验不足而影响模块安装效率和质量</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，在施工安装前，应进行模块试拼装。通过试拼装对模块的设计及施工方案的可行性进行验证。同时，试拼装还具有作业人员培训、设备性能验证、识别并规避安装风险等作用。</w:t>
      </w:r>
    </w:p>
    <w:p>
      <w:pPr>
        <w:widowControl/>
        <w:spacing w:line="360" w:lineRule="exact"/>
        <w:jc w:val="left"/>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9.1.3 混凝土模块化建筑集成度高、重量大，涉及危大工程作业，因此施工安装前，作业人员应进行专项的技能培训及考试，特种作业人员应持证上岗。</w:t>
      </w:r>
    </w:p>
    <w:p>
      <w:pPr>
        <w:widowControl/>
        <w:spacing w:line="360" w:lineRule="exact"/>
        <w:jc w:val="left"/>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9.1.4 为防止模块吊安装过程中发生破损、坠落、起重设备倾覆等事件，应重视施工安装的安全要求，严格遵守国家、行业及地方的有关规定。</w:t>
      </w:r>
    </w:p>
    <w:p>
      <w:pPr>
        <w:widowControl/>
        <w:spacing w:line="360" w:lineRule="exact"/>
        <w:jc w:val="left"/>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9.1.5 施工中应严格落实国际、地方有关环境保护的相关要求，在施工过程中采取有效的环保措施。</w:t>
      </w:r>
    </w:p>
    <w:p>
      <w:pPr>
        <w:widowControl/>
        <w:spacing w:line="360" w:lineRule="exact"/>
        <w:jc w:val="left"/>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9.1.6 应从源头把控好模块质量，避免不合格品进入施工安装环节。外观质量验收需重点检查模块方正度、有无变形、损伤、缺陷等，确保实体符合安装条件；合格证书、质量证明文件等核查，是确认模块性能、材质等符合设计及规范要求的关键依据，二者均合格后方可进行施工安装。</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1390" w:name="_Toc21283"/>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施 工 准 备</w:t>
      </w:r>
      <w:bookmarkEnd w:id="1390"/>
    </w:p>
    <w:p>
      <w:pPr>
        <w:widowControl/>
        <w:spacing w:line="360" w:lineRule="exact"/>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9.2.3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吊架应由专业设计人员</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进行专项</w:t>
      </w:r>
      <w:r>
        <w:rPr>
          <w:rFonts w:hint="default" w:ascii="Times New Roman" w:hAnsi="Times New Roman" w:cs="Times New Roman"/>
          <w:color w:val="000000" w:themeColor="text1"/>
          <w:sz w:val="21"/>
          <w:szCs w:val="21"/>
          <w:highlight w:val="none"/>
          <w:lang w:eastAsia="zh-CN"/>
          <w14:textFill>
            <w14:solidFill>
              <w14:schemeClr w14:val="tx1"/>
            </w14:solidFill>
          </w14:textFill>
        </w:rPr>
        <w:t>设计，应满足承载力/稳定性及变形要求。为了防止吊装过程中，吊链产生的水平拉力对模块造成不利影响，需要严格控制吊链的竖向倾角。</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同时吊架宜优先选用智能吊架，实现模块的快速吊装及就位。</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1391" w:name="_Toc6656"/>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模 块 安 装</w:t>
      </w:r>
      <w:bookmarkEnd w:id="1391"/>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9.3.1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模块的安装顺序、校准定位是模块化结构施工的关键，在方案中应明确规定模块箱体的吊装工序、误差消减及工装工具等内容，并严格按此施工。</w:t>
      </w:r>
      <w:r>
        <w:rPr>
          <w:rFonts w:hint="default" w:ascii="Times New Roman" w:hAnsi="Times New Roman" w:cs="Times New Roman"/>
          <w:color w:val="000000" w:themeColor="text1"/>
          <w:highlight w:val="none"/>
          <w:lang w:val="en-US" w:eastAsia="zh-CN"/>
          <w14:textFill>
            <w14:solidFill>
              <w14:schemeClr w14:val="tx1"/>
            </w14:solidFill>
          </w14:textFill>
        </w:rPr>
        <w:t>边</w:t>
      </w:r>
      <w:r>
        <w:rPr>
          <w:rFonts w:hint="default" w:ascii="Times New Roman" w:hAnsi="Times New Roman" w:cs="Times New Roman"/>
          <w:color w:val="000000" w:themeColor="text1"/>
          <w:highlight w:val="none"/>
          <w14:textFill>
            <w14:solidFill>
              <w14:schemeClr w14:val="tx1"/>
            </w14:solidFill>
          </w14:textFill>
        </w:rPr>
        <w:t>角箱</w:t>
      </w:r>
      <w:r>
        <w:rPr>
          <w:rFonts w:hint="default" w:ascii="Times New Roman" w:hAnsi="Times New Roman" w:cs="Times New Roman"/>
          <w:color w:val="000000" w:themeColor="text1"/>
          <w:highlight w:val="none"/>
          <w:lang w:val="en-US" w:eastAsia="zh-CN"/>
          <w14:textFill>
            <w14:solidFill>
              <w14:schemeClr w14:val="tx1"/>
            </w14:solidFill>
          </w14:textFill>
        </w:rPr>
        <w:t>指平面中位于端部或角部的模块单元，</w:t>
      </w:r>
      <w:r>
        <w:rPr>
          <w:rFonts w:hint="default" w:ascii="Times New Roman" w:hAnsi="Times New Roman" w:cs="Times New Roman"/>
          <w:color w:val="000000" w:themeColor="text1"/>
          <w:highlight w:val="none"/>
          <w14:textFill>
            <w14:solidFill>
              <w14:schemeClr w14:val="tx1"/>
            </w14:solidFill>
          </w14:textFill>
        </w:rPr>
        <w:t>中间箱</w:t>
      </w:r>
      <w:r>
        <w:rPr>
          <w:rFonts w:hint="default" w:ascii="Times New Roman" w:hAnsi="Times New Roman" w:cs="Times New Roman"/>
          <w:color w:val="000000" w:themeColor="text1"/>
          <w:highlight w:val="none"/>
          <w:lang w:val="en-US" w:eastAsia="zh-CN"/>
          <w14:textFill>
            <w14:solidFill>
              <w14:schemeClr w14:val="tx1"/>
            </w14:solidFill>
          </w14:textFill>
        </w:rPr>
        <w:t>指平面中位于中部的模块单元。</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1392" w:name="_Toc22664"/>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模 块 连 接</w:t>
      </w:r>
      <w:bookmarkEnd w:id="1392"/>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9.4.2</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后浇主体结构的施工质量对建筑的安全性、稳定性和耐久性起决定性作用。施工时应采取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有效</w:t>
      </w:r>
      <w:r>
        <w:rPr>
          <w:rFonts w:hint="default" w:ascii="Times New Roman" w:hAnsi="Times New Roman" w:cs="Times New Roman"/>
          <w:color w:val="000000" w:themeColor="text1"/>
          <w:sz w:val="21"/>
          <w:szCs w:val="21"/>
          <w:highlight w:val="none"/>
          <w:lang w:eastAsia="zh-CN"/>
          <w14:textFill>
            <w14:solidFill>
              <w14:schemeClr w14:val="tx1"/>
            </w14:solidFill>
          </w14:textFill>
        </w:rPr>
        <w:t>措施，并严格遵守相关规范要求，充分保证钢筋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连接</w:t>
      </w:r>
      <w:r>
        <w:rPr>
          <w:rFonts w:hint="default" w:ascii="Times New Roman" w:hAnsi="Times New Roman" w:cs="Times New Roman"/>
          <w:color w:val="000000" w:themeColor="text1"/>
          <w:sz w:val="21"/>
          <w:szCs w:val="21"/>
          <w:highlight w:val="none"/>
          <w:lang w:eastAsia="zh-CN"/>
          <w14:textFill>
            <w14:solidFill>
              <w14:schemeClr w14:val="tx1"/>
            </w14:solidFill>
          </w14:textFill>
        </w:rPr>
        <w:t>与锚固质量，以及后浇混凝土的施工质量。</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1393" w:name="_Toc18117"/>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9</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施 工 安 全 与 环 境 保 护</w:t>
      </w:r>
      <w:bookmarkEnd w:id="1393"/>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9.5.6</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模块单元安装</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前，应划定作业人员工作区域，防护设施应齐备可靠</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9.5.10</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模块单元安装</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就位</w:t>
      </w:r>
      <w:r>
        <w:rPr>
          <w:rFonts w:hint="default" w:ascii="Times New Roman" w:hAnsi="Times New Roman" w:cs="Times New Roman"/>
          <w:color w:val="000000" w:themeColor="text1"/>
          <w:sz w:val="21"/>
          <w:szCs w:val="21"/>
          <w:highlight w:val="none"/>
          <w:lang w:eastAsia="zh-CN"/>
          <w14:textFill>
            <w14:solidFill>
              <w14:schemeClr w14:val="tx1"/>
            </w14:solidFill>
          </w14:textFill>
        </w:rPr>
        <w:t>后，在模块单元相互连接之前，模块并未与建筑结构实现稳固连接，因此需要设置临时固定措施，防止模块在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外力</w:t>
      </w:r>
      <w:r>
        <w:rPr>
          <w:rFonts w:hint="default" w:ascii="Times New Roman" w:hAnsi="Times New Roman" w:cs="Times New Roman"/>
          <w:color w:val="000000" w:themeColor="text1"/>
          <w:sz w:val="21"/>
          <w:szCs w:val="21"/>
          <w:highlight w:val="none"/>
          <w:lang w:eastAsia="zh-CN"/>
          <w14:textFill>
            <w14:solidFill>
              <w14:schemeClr w14:val="tx1"/>
            </w14:solidFill>
          </w14:textFill>
        </w:rPr>
        <w:t>作用下产生倾覆和滑移。</w:t>
      </w: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pPr>
      <w:bookmarkStart w:id="1394" w:name="_Toc5381"/>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黑体" w:cs="Times New Roman"/>
          <w:color w:val="000000" w:themeColor="text1"/>
          <w:sz w:val="28"/>
          <w:szCs w:val="28"/>
          <w:highlight w:val="none"/>
          <w14:textFill>
            <w14:solidFill>
              <w14:schemeClr w14:val="tx1"/>
            </w14:solidFill>
          </w14:textFill>
        </w:rPr>
        <w:t xml:space="preserve">  </w:t>
      </w:r>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质 量 验 收</w:t>
      </w:r>
      <w:bookmarkEnd w:id="1394"/>
    </w:p>
    <w:p>
      <w:pPr>
        <w:pStyle w:val="3"/>
        <w:spacing w:before="166" w:beforeLines="50" w:after="166" w:afterLines="50" w:line="360" w:lineRule="auto"/>
        <w:jc w:val="center"/>
        <w:rPr>
          <w:rFonts w:hint="default" w:ascii="Times New Roman" w:hAnsi="Times New Roman" w:cs="Times New Roman"/>
          <w:color w:val="000000" w:themeColor="text1"/>
          <w:highlight w:val="none"/>
          <w:lang w:val="en-US" w:eastAsia="zh-CN"/>
          <w14:textFill>
            <w14:solidFill>
              <w14:schemeClr w14:val="tx1"/>
            </w14:solidFill>
          </w14:textFill>
        </w:rPr>
      </w:pPr>
      <w:bookmarkStart w:id="1395" w:name="_Toc23566"/>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10</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般</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规</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定</w:t>
      </w:r>
      <w:bookmarkEnd w:id="1395"/>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10.1.3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模块单元的验收涉及混凝土结构、装饰装修、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机电</w:t>
      </w:r>
      <w:r>
        <w:rPr>
          <w:rFonts w:hint="default" w:ascii="Times New Roman" w:hAnsi="Times New Roman" w:cs="Times New Roman"/>
          <w:color w:val="000000" w:themeColor="text1"/>
          <w:sz w:val="21"/>
          <w:szCs w:val="21"/>
          <w:highlight w:val="none"/>
          <w:lang w:eastAsia="zh-CN"/>
          <w14:textFill>
            <w14:solidFill>
              <w14:schemeClr w14:val="tx1"/>
            </w14:solidFill>
          </w14:textFill>
        </w:rPr>
        <w:t>管线等各专业的验收，故将其作为子分部工程进行验收，其余各项可考虑为该子分部工程的分项工程</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pPr>
        <w:widowControl/>
        <w:spacing w:line="360" w:lineRule="exact"/>
        <w:jc w:val="left"/>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10.1.11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建筑主体结构</w:t>
      </w:r>
      <w:r>
        <w:rPr>
          <w:rFonts w:hint="default" w:ascii="Times New Roman" w:hAnsi="Times New Roman" w:cs="Times New Roman"/>
          <w:color w:val="000000" w:themeColor="text1"/>
          <w:sz w:val="21"/>
          <w:szCs w:val="21"/>
          <w:highlight w:val="none"/>
          <w:lang w:eastAsia="zh-CN"/>
          <w14:textFill>
            <w14:solidFill>
              <w14:schemeClr w14:val="tx1"/>
            </w14:solidFill>
          </w14:textFill>
        </w:rPr>
        <w:t>验收时</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所</w:t>
      </w:r>
      <w:r>
        <w:rPr>
          <w:rFonts w:hint="default" w:ascii="Times New Roman" w:hAnsi="Times New Roman" w:cs="Times New Roman"/>
          <w:color w:val="000000" w:themeColor="text1"/>
          <w:sz w:val="21"/>
          <w:szCs w:val="21"/>
          <w:highlight w:val="none"/>
          <w:lang w:eastAsia="zh-CN"/>
          <w14:textFill>
            <w14:solidFill>
              <w14:schemeClr w14:val="tx1"/>
            </w14:solidFill>
          </w14:textFill>
        </w:rPr>
        <w:t>提交的主要文件和记录，是保证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模块化建筑</w:t>
      </w:r>
      <w:r>
        <w:rPr>
          <w:rFonts w:hint="default" w:ascii="Times New Roman" w:hAnsi="Times New Roman" w:cs="Times New Roman"/>
          <w:color w:val="000000" w:themeColor="text1"/>
          <w:sz w:val="21"/>
          <w:szCs w:val="21"/>
          <w:highlight w:val="none"/>
          <w:lang w:eastAsia="zh-CN"/>
          <w14:textFill>
            <w14:solidFill>
              <w14:schemeClr w14:val="tx1"/>
            </w14:solidFill>
          </w14:textFill>
        </w:rPr>
        <w:t>实现可追溯性的基本要求。</w:t>
      </w:r>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10.1.14</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因模块化建筑集成度较高，为此，在</w:t>
      </w:r>
      <w:r>
        <w:rPr>
          <w:rFonts w:hint="default" w:ascii="Times New Roman" w:hAnsi="Times New Roman" w:cs="Times New Roman"/>
          <w:color w:val="000000" w:themeColor="text1"/>
          <w:sz w:val="21"/>
          <w:szCs w:val="21"/>
          <w:highlight w:val="none"/>
          <w:lang w:eastAsia="zh-CN"/>
          <w14:textFill>
            <w14:solidFill>
              <w14:schemeClr w14:val="tx1"/>
            </w14:solidFill>
          </w14:textFill>
        </w:rPr>
        <w:t>模块化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建筑验收交付时，应提供房屋使用说明书，避免因使用不当引起房屋质量问题</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1396" w:name="_Toc15237"/>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10</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模 块 单 元 进 场 验 收</w:t>
      </w:r>
      <w:bookmarkEnd w:id="1396"/>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10.2.1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模块单元的质量证明文件包括</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但不限于</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产品</w:t>
      </w:r>
      <w:r>
        <w:rPr>
          <w:rFonts w:hint="default" w:ascii="Times New Roman" w:hAnsi="Times New Roman" w:cs="Times New Roman"/>
          <w:color w:val="000000" w:themeColor="text1"/>
          <w:sz w:val="21"/>
          <w:szCs w:val="21"/>
          <w:highlight w:val="none"/>
          <w:lang w:eastAsia="zh-CN"/>
          <w14:textFill>
            <w14:solidFill>
              <w14:schemeClr w14:val="tx1"/>
            </w14:solidFill>
          </w14:textFill>
        </w:rPr>
        <w:t>合格证、混凝土强度检验报告、钢筋连接类型的工艺检验报告、模块装修检测报告</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cs="Times New Roman"/>
          <w:color w:val="000000" w:themeColor="text1"/>
          <w:sz w:val="21"/>
          <w:szCs w:val="21"/>
          <w:highlight w:val="none"/>
          <w:lang w:eastAsia="zh-CN"/>
          <w14:textFill>
            <w14:solidFill>
              <w14:schemeClr w14:val="tx1"/>
            </w14:solidFill>
          </w14:textFill>
        </w:rPr>
        <w:t>合同要求的其他质量证明文件</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pPr>
        <w:widowControl/>
        <w:spacing w:line="360" w:lineRule="exact"/>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10.2.4</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外表面面砖、石材等饰面应在进场时按批检验，避免模块就位后发现问题而影响使用安全及工期</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pPr>
        <w:widowControl/>
        <w:spacing w:line="360" w:lineRule="exact"/>
        <w:jc w:val="left"/>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10.2.8</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模块单元的</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外形</w:t>
      </w:r>
      <w:r>
        <w:rPr>
          <w:rFonts w:hint="default" w:ascii="Times New Roman" w:hAnsi="Times New Roman" w:cs="Times New Roman"/>
          <w:color w:val="000000" w:themeColor="text1"/>
          <w:sz w:val="21"/>
          <w:szCs w:val="21"/>
          <w:highlight w:val="none"/>
          <w:lang w:eastAsia="zh-CN"/>
          <w14:textFill>
            <w14:solidFill>
              <w14:schemeClr w14:val="tx1"/>
            </w14:solidFill>
          </w14:textFill>
        </w:rPr>
        <w:t>尺寸等应在进场时</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全数检查</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重点核查外形的方正度，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避免在构件安装时</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出现无法就位的情况而影响工期</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1397" w:name="_Toc24986"/>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10</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模 块 单 元 安 装 与 连 接</w:t>
      </w:r>
      <w:bookmarkEnd w:id="1397"/>
    </w:p>
    <w:p>
      <w:pPr>
        <w:widowControl/>
        <w:spacing w:line="360" w:lineRule="exact"/>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10.3.3</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模块化建筑普遍集成内装、机电系统，为此，当</w:t>
      </w:r>
      <w:r>
        <w:rPr>
          <w:rFonts w:hint="default" w:ascii="Times New Roman" w:hAnsi="Times New Roman" w:cs="Times New Roman"/>
          <w:color w:val="000000" w:themeColor="text1"/>
          <w:sz w:val="21"/>
          <w:szCs w:val="21"/>
          <w:highlight w:val="none"/>
          <w:lang w:eastAsia="zh-CN"/>
          <w14:textFill>
            <w14:solidFill>
              <w14:schemeClr w14:val="tx1"/>
            </w14:solidFill>
          </w14:textFill>
        </w:rPr>
        <w:t>模块现浇结构使用梁模、墙模、柱模或金属波纹管作为模板</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时，应进行设计计算及工艺试验，避免模块混凝土浇筑过程中出现涨模、爆模等情况，从而造成不必要的损失</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pPr>
        <w:pStyle w:val="3"/>
        <w:spacing w:before="166" w:beforeLines="50" w:after="166" w:afterLines="50" w:line="360" w:lineRule="auto"/>
        <w:jc w:val="center"/>
        <w:rPr>
          <w:rFonts w:hint="default" w:ascii="Times New Roman" w:hAnsi="Times New Roman" w:eastAsia="黑体" w:cs="Times New Roman"/>
          <w:color w:val="000000" w:themeColor="text1"/>
          <w:highlight w:val="none"/>
          <w:lang w:val="en-US" w:eastAsia="zh-CN"/>
          <w14:textFill>
            <w14:solidFill>
              <w14:schemeClr w14:val="tx1"/>
            </w14:solidFill>
          </w14:textFill>
        </w:rPr>
      </w:pPr>
      <w:bookmarkStart w:id="1398" w:name="_Toc15203"/>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10</w:t>
      </w:r>
      <w:r>
        <w:rPr>
          <w:rFonts w:hint="default" w:ascii="Times New Roman" w:hAnsi="Times New Roman" w:eastAsia="黑体" w:cs="Times New Roman"/>
          <w:b/>
          <w:color w:val="000000" w:themeColor="text1"/>
          <w:sz w:val="24"/>
          <w:szCs w:val="24"/>
          <w:highlight w:val="none"/>
          <w14:textFill>
            <w14:solidFill>
              <w14:schemeClr w14:val="tx1"/>
            </w14:solidFill>
          </w14:textFill>
        </w:rPr>
        <w:t>.</w:t>
      </w:r>
      <w:r>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实 体 检 验</w:t>
      </w:r>
      <w:bookmarkEnd w:id="1398"/>
    </w:p>
    <w:p>
      <w:pPr>
        <w:widowControl/>
        <w:spacing w:line="360" w:lineRule="exact"/>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10.5.1</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混凝土模块空腔内后浇混凝土的浇筑质量对模块实体质量、安全、耐久性影响大，为此需确保后浇混凝土密实度，因空腔内混凝土的成型质量无法通过肉眼进行直观观测，应通过超声法、阵列超声成像法、冲击回波等检测方法进行验证，必要时可采用局部破损法对超声法检测结果进行验证，确保空腔内后浇混凝土浇筑密实</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pStyle w:val="2"/>
        <w:spacing w:before="166" w:beforeLines="50" w:after="166" w:afterLines="50" w:line="360" w:lineRule="auto"/>
        <w:jc w:val="center"/>
        <w:rPr>
          <w:rFonts w:hint="default" w:ascii="Times New Roman" w:hAnsi="Times New Roman" w:eastAsia="黑体" w:cs="Times New Roman"/>
          <w:color w:val="000000" w:themeColor="text1"/>
          <w:sz w:val="28"/>
          <w:szCs w:val="28"/>
          <w:highlight w:val="none"/>
          <w14:textFill>
            <w14:solidFill>
              <w14:schemeClr w14:val="tx1"/>
            </w14:solidFill>
          </w14:textFill>
        </w:rPr>
      </w:pPr>
      <w:bookmarkStart w:id="1399" w:name="_Toc15771"/>
      <w:r>
        <w:rPr>
          <w:rFonts w:hint="default" w:ascii="Times New Roman" w:hAnsi="Times New Roman" w:eastAsia="黑体" w:cs="Times New Roman"/>
          <w:color w:val="000000" w:themeColor="text1"/>
          <w:sz w:val="28"/>
          <w:szCs w:val="28"/>
          <w:highlight w:val="none"/>
          <w14:textFill>
            <w14:solidFill>
              <w14:schemeClr w14:val="tx1"/>
            </w14:solidFill>
          </w14:textFill>
        </w:rPr>
        <w:t>11  智能建造</w:t>
      </w:r>
      <w:bookmarkEnd w:id="1399"/>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400" w:name="_Toc27942"/>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11.1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一 般 规 定</w:t>
      </w:r>
      <w:bookmarkEnd w:id="1400"/>
    </w:p>
    <w:p>
      <w:pPr>
        <w:rPr>
          <w:rFonts w:hint="default" w:ascii="Times New Roman" w:hAnsi="Times New Roman" w:eastAsia="宋体" w:cs="Times New Roman"/>
          <w:b w:val="0"/>
          <w:bCs/>
          <w:color w:val="000000" w:themeColor="text1"/>
          <w:sz w:val="21"/>
          <w:szCs w:val="22"/>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2"/>
          <w:highlight w:val="none"/>
          <w:lang w:val="en-US" w:eastAsia="zh-CN"/>
          <w14:textFill>
            <w14:solidFill>
              <w14:schemeClr w14:val="tx1"/>
            </w14:solidFill>
          </w14:textFill>
        </w:rPr>
        <w:t xml:space="preserve">11.1  </w:t>
      </w:r>
      <w:r>
        <w:rPr>
          <w:rFonts w:hint="default" w:ascii="Times New Roman" w:hAnsi="Times New Roman" w:eastAsia="宋体" w:cs="Times New Roman"/>
          <w:b w:val="0"/>
          <w:bCs/>
          <w:color w:val="000000" w:themeColor="text1"/>
          <w:sz w:val="21"/>
          <w:szCs w:val="22"/>
          <w:highlight w:val="none"/>
          <w14:textFill>
            <w14:solidFill>
              <w14:schemeClr w14:val="tx1"/>
            </w14:solidFill>
          </w14:textFill>
        </w:rPr>
        <w:t>信息化协同平台宜由EPC单位统一建设管理，</w:t>
      </w:r>
      <w:r>
        <w:rPr>
          <w:rFonts w:hint="default" w:ascii="Times New Roman" w:hAnsi="Times New Roman" w:eastAsia="宋体" w:cs="Times New Roman"/>
          <w:b w:val="0"/>
          <w:bCs/>
          <w:color w:val="000000" w:themeColor="text1"/>
          <w:sz w:val="21"/>
          <w:szCs w:val="22"/>
          <w:highlight w:val="none"/>
          <w:lang w:eastAsia="zh-CN"/>
          <w14:textFill>
            <w14:solidFill>
              <w14:schemeClr w14:val="tx1"/>
            </w14:solidFill>
          </w14:textFill>
        </w:rPr>
        <w:t>组合模块化建筑</w:t>
      </w:r>
      <w:r>
        <w:rPr>
          <w:rFonts w:hint="default" w:ascii="Times New Roman" w:hAnsi="Times New Roman" w:eastAsia="宋体" w:cs="Times New Roman"/>
          <w:b w:val="0"/>
          <w:bCs/>
          <w:color w:val="000000" w:themeColor="text1"/>
          <w:sz w:val="21"/>
          <w:szCs w:val="22"/>
          <w:highlight w:val="none"/>
          <w14:textFill>
            <w14:solidFill>
              <w14:schemeClr w14:val="tx1"/>
            </w14:solidFill>
          </w14:textFill>
        </w:rPr>
        <w:t>宜采用数字化、信息化的技术手段，实现数字化设计，</w:t>
      </w:r>
      <w:r>
        <w:rPr>
          <w:rFonts w:hint="default" w:ascii="Times New Roman" w:hAnsi="Times New Roman" w:eastAsia="宋体" w:cs="Times New Roman"/>
          <w:b w:val="0"/>
          <w:bCs/>
          <w:color w:val="000000" w:themeColor="text1"/>
          <w:sz w:val="21"/>
          <w:szCs w:val="22"/>
          <w:highlight w:val="none"/>
          <w:lang w:eastAsia="zh-CN"/>
          <w14:textFill>
            <w14:solidFill>
              <w14:schemeClr w14:val="tx1"/>
            </w14:solidFill>
          </w14:textFill>
        </w:rPr>
        <w:t>生产单位</w:t>
      </w:r>
      <w:r>
        <w:rPr>
          <w:rFonts w:hint="default" w:ascii="Times New Roman" w:hAnsi="Times New Roman" w:eastAsia="宋体" w:cs="Times New Roman"/>
          <w:b w:val="0"/>
          <w:bCs/>
          <w:color w:val="000000" w:themeColor="text1"/>
          <w:sz w:val="21"/>
          <w:szCs w:val="22"/>
          <w:highlight w:val="none"/>
          <w14:textFill>
            <w14:solidFill>
              <w14:schemeClr w14:val="tx1"/>
            </w14:solidFill>
          </w14:textFill>
        </w:rPr>
        <w:t>智能化制造，现场智能化施工，实现建筑工程的全过程数字化管理。</w:t>
      </w:r>
    </w:p>
    <w:p>
      <w:pPr>
        <w:keepNext w:val="0"/>
        <w:keepLines w:val="0"/>
        <w:widowControl/>
        <w:suppressLineNumbers w:val="0"/>
        <w:jc w:val="left"/>
        <w:rPr>
          <w:rFonts w:hint="default" w:ascii="Times New Roman" w:hAnsi="Times New Roman" w:eastAsia="宋体" w:cs="Times New Roman"/>
          <w:bCs/>
          <w:color w:val="000000" w:themeColor="text1"/>
          <w:kern w:val="2"/>
          <w:sz w:val="21"/>
          <w:szCs w:val="22"/>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sz w:val="21"/>
          <w:szCs w:val="22"/>
          <w:highlight w:val="none"/>
          <w:lang w:val="en-US" w:eastAsia="zh-CN"/>
          <w14:textFill>
            <w14:solidFill>
              <w14:schemeClr w14:val="tx1"/>
            </w14:solidFill>
          </w14:textFill>
        </w:rPr>
        <w:t>11.1.2</w:t>
      </w:r>
      <w:r>
        <w:rPr>
          <w:rFonts w:hint="default" w:ascii="Times New Roman" w:hAnsi="Times New Roman" w:cs="Times New Roman"/>
          <w:bCs/>
          <w:color w:val="000000" w:themeColor="text1"/>
          <w:sz w:val="21"/>
          <w:szCs w:val="22"/>
          <w:highlight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kern w:val="2"/>
          <w:sz w:val="21"/>
          <w:szCs w:val="22"/>
          <w:highlight w:val="none"/>
          <w:lang w:val="en-US" w:eastAsia="zh-CN" w:bidi="ar"/>
          <w14:textFill>
            <w14:solidFill>
              <w14:schemeClr w14:val="tx1"/>
            </w14:solidFill>
          </w14:textFill>
        </w:rPr>
        <w:t>信息化管理平台作为智能建造的实现工具，应能实现数字化交付和数据追溯，不仅能适应当前业务需求，也能在未来的使用环境下扩展业务需求。</w:t>
      </w:r>
    </w:p>
    <w:p>
      <w:pPr>
        <w:pStyle w:val="3"/>
        <w:spacing w:before="166" w:beforeLines="50" w:after="166" w:afterLines="50"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bookmarkStart w:id="1401" w:name="_Toc19742"/>
      <w:r>
        <w:rPr>
          <w:rFonts w:hint="default" w:ascii="Times New Roman" w:hAnsi="Times New Roman" w:eastAsia="黑体" w:cs="Times New Roman"/>
          <w:b/>
          <w:color w:val="000000" w:themeColor="text1"/>
          <w:sz w:val="24"/>
          <w:szCs w:val="24"/>
          <w:highlight w:val="none"/>
          <w14:textFill>
            <w14:solidFill>
              <w14:schemeClr w14:val="tx1"/>
            </w14:solidFill>
          </w14:textFill>
        </w:rPr>
        <w:t xml:space="preserve">11.2 </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建筑信息模型</w:t>
      </w:r>
      <w:bookmarkEnd w:id="1401"/>
    </w:p>
    <w:p>
      <w:pPr>
        <w:widowControl/>
        <w:spacing w:line="360" w:lineRule="exact"/>
        <w:ind w:firstLine="0" w:firstLineChars="0"/>
        <w:rPr>
          <w:rFonts w:hint="default" w:ascii="Times New Roman" w:hAnsi="Times New Roman" w:cs="Times New Roman"/>
          <w:color w:val="000000" w:themeColor="text1"/>
          <w:szCs w:val="21"/>
          <w:highlight w:val="none"/>
          <w:lang w:val="en-US" w:eastAsia="zh"/>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11.</w:t>
      </w:r>
      <w:r>
        <w:rPr>
          <w:rFonts w:hint="default" w:ascii="Times New Roman" w:hAnsi="Times New Roman" w:cs="Times New Roman"/>
          <w:b/>
          <w:bCs/>
          <w:color w:val="000000" w:themeColor="text1"/>
          <w:szCs w:val="21"/>
          <w:highlight w:val="none"/>
          <w:lang w:eastAsia="zh"/>
          <w14:textFill>
            <w14:solidFill>
              <w14:schemeClr w14:val="tx1"/>
            </w14:solidFill>
          </w14:textFill>
        </w:rPr>
        <w:t>2.2</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lang w:eastAsia="zh"/>
          <w14:textFill>
            <w14:solidFill>
              <w14:schemeClr w14:val="tx1"/>
            </w14:solidFill>
          </w14:textFill>
        </w:rPr>
        <w:t>混凝土模块化建筑</w:t>
      </w:r>
      <w:r>
        <w:rPr>
          <w:rFonts w:hint="default" w:ascii="Times New Roman" w:hAnsi="Times New Roman" w:cs="Times New Roman"/>
          <w:color w:val="000000" w:themeColor="text1"/>
          <w:szCs w:val="21"/>
          <w:highlight w:val="none"/>
          <w:lang w:val="en-US" w:eastAsia="zh-CN"/>
          <w14:textFill>
            <w14:solidFill>
              <w14:schemeClr w14:val="tx1"/>
            </w14:solidFill>
          </w14:textFill>
        </w:rPr>
        <w:t>与二维构件类型装配式建筑在设计深度和生产方式有很大区别。模块化建筑需要在方案设计阶段就要考虑好模块的拆分方式，包括模块尺寸、模块构造、拼接部位、连接节点等，这些因素会直接影响到后续模块的生产和安装，间接影响到模块化建筑的质量和成本。另外，模块化建筑具有高集成的特点，在工厂生产阶段已完成建筑大部分的工序。因此，需要在设计阶段借助BIM模型进行正向的设计，及时发现深化设计过程中的问题，有利于模块的生产和建造。</w:t>
      </w:r>
    </w:p>
    <w:p>
      <w:pPr>
        <w:rPr>
          <w:rFonts w:hint="default" w:ascii="Times New Roman" w:hAnsi="Times New Roman" w:eastAsia="宋体" w:cs="Times New Roman"/>
          <w:color w:val="000000" w:themeColor="text1"/>
          <w:lang w:val="en-US" w:eastAsia="zh-CN"/>
          <w14:textFill>
            <w14:solidFill>
              <w14:schemeClr w14:val="tx1"/>
            </w14:solidFill>
          </w14:textFill>
        </w:rPr>
      </w:pPr>
    </w:p>
    <w:p>
      <w:pPr>
        <w:rPr>
          <w:rFonts w:hint="default" w:ascii="Times New Roman" w:hAnsi="Times New Roman" w:eastAsia="宋体" w:cs="Times New Roman"/>
          <w:bCs/>
          <w:color w:val="000000" w:themeColor="text1"/>
          <w:sz w:val="21"/>
          <w:szCs w:val="22"/>
          <w:highlight w:val="none"/>
          <w:lang w:val="en-US" w:eastAsia="zh-CN"/>
          <w14:textFill>
            <w14:solidFill>
              <w14:schemeClr w14:val="tx1"/>
            </w14:solidFill>
          </w14:textFill>
        </w:rPr>
      </w:pPr>
    </w:p>
    <w:p>
      <w:pPr>
        <w:rPr>
          <w:rFonts w:hint="default" w:ascii="Times New Roman" w:hAnsi="Times New Roman" w:eastAsia="黑体" w:cs="Times New Roman"/>
          <w:color w:val="000000" w:themeColor="text1"/>
          <w:sz w:val="28"/>
          <w:szCs w:val="28"/>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sectPr>
      <w:footerReference r:id="rId16" w:type="default"/>
      <w:pgSz w:w="7937" w:h="11509"/>
      <w:pgMar w:top="1083" w:right="1009" w:bottom="1083" w:left="1009" w:header="851" w:footer="992" w:gutter="0"/>
      <w:pgNumType w:fmt="decimal"/>
      <w:cols w:space="0" w:num="1"/>
      <w:docGrid w:type="lines" w:linePitch="333" w:charSpace="4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MingLiU_HKSCS">
    <w:panose1 w:val="02020500000000000000"/>
    <w:charset w:val="88"/>
    <w:family w:val="roman"/>
    <w:pitch w:val="default"/>
    <w:sig w:usb0="A00002FF" w:usb1="38CFFCFA" w:usb2="00000016" w:usb3="00000000" w:csb0="00100001" w:csb1="00000000"/>
  </w:font>
  <w:font w:name="Microsoft JhengHei">
    <w:panose1 w:val="020B0604030504040204"/>
    <w:charset w:val="88"/>
    <w:family w:val="swiss"/>
    <w:pitch w:val="default"/>
    <w:sig w:usb0="00000087" w:usb1="28AF4000" w:usb2="00000016" w:usb3="00000000" w:csb0="00100009" w:csb1="00000000"/>
  </w:font>
  <w:font w:name="MS Gothic">
    <w:panose1 w:val="020B0609070205080204"/>
    <w:charset w:val="80"/>
    <w:family w:val="modern"/>
    <w:pitch w:val="default"/>
    <w:sig w:usb0="E00002FF" w:usb1="6AC7FDFB" w:usb2="00000012" w:usb3="00000000" w:csb0="4002009F" w:csb1="DFD70000"/>
  </w:font>
  <w:font w:name="Segoe UI">
    <w:panose1 w:val="020B0502040204020203"/>
    <w:charset w:val="00"/>
    <w:family w:val="swiss"/>
    <w:pitch w:val="default"/>
    <w:sig w:usb0="E10022FF" w:usb1="C000E47F" w:usb2="00000029" w:usb3="00000000" w:csb0="200001DF" w:csb1="20000000"/>
  </w:font>
  <w:font w:name="Cambria Math">
    <w:panose1 w:val="02040503050406030204"/>
    <w:charset w:val="00"/>
    <w:family w:val="roman"/>
    <w:pitch w:val="default"/>
    <w:sig w:usb0="E00002FF" w:usb1="420024FF"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PMingLiU">
    <w:panose1 w:val="02020500000000000000"/>
    <w:charset w:val="88"/>
    <w:family w:val="roman"/>
    <w:pitch w:val="default"/>
    <w:sig w:usb0="A00002FF" w:usb1="28CFFCFA"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文泉驿正黑">
    <w:panose1 w:val="02000603000000000000"/>
    <w:charset w:val="86"/>
    <w:family w:val="auto"/>
    <w:pitch w:val="default"/>
    <w:sig w:usb0="900002BF" w:usb1="2BDF7DFB" w:usb2="00000036" w:usb3="00000000" w:csb0="603E000D" w:csb1="D2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margin">
                <wp:posOffset>1849120</wp:posOffset>
              </wp:positionH>
              <wp:positionV relativeFrom="paragraph">
                <wp:posOffset>127000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305"/>
                          </w:sdtPr>
                          <w:sdtEndPr>
                            <w:rPr>
                              <w:rFonts w:ascii="Times New Roman" w:hAnsi="Times New Roman" w:cs="Times New Roman"/>
                              <w:i/>
                              <w:iCs/>
                              <w:sz w:val="21"/>
                              <w:szCs w:val="21"/>
                            </w:rPr>
                          </w:sdtEndPr>
                          <w:sdtContent>
                            <w:p>
                              <w:pPr>
                                <w:pStyle w:val="15"/>
                                <w:jc w:val="right"/>
                                <w:rPr>
                                  <w:rFonts w:ascii="Times New Roman" w:hAnsi="Times New Roman" w:cs="Times New Roman"/>
                                  <w:i/>
                                  <w:iCs/>
                                  <w:sz w:val="21"/>
                                  <w:szCs w:val="21"/>
                                </w:rPr>
                              </w:pPr>
                              <w:r>
                                <w:rPr>
                                  <w:rFonts w:ascii="Times New Roman" w:hAnsi="Times New Roman" w:cs="Times New Roman"/>
                                  <w:i/>
                                  <w:iCs/>
                                  <w:sz w:val="18"/>
                                  <w:szCs w:val="18"/>
                                </w:rPr>
                                <w:fldChar w:fldCharType="begin"/>
                              </w:r>
                              <w:r>
                                <w:rPr>
                                  <w:rFonts w:ascii="Times New Roman" w:hAnsi="Times New Roman" w:cs="Times New Roman"/>
                                  <w:i/>
                                  <w:iCs/>
                                  <w:sz w:val="18"/>
                                  <w:szCs w:val="18"/>
                                </w:rPr>
                                <w:instrText xml:space="preserve">PAGE   \* MERGEFORMAT</w:instrText>
                              </w:r>
                              <w:r>
                                <w:rPr>
                                  <w:rFonts w:ascii="Times New Roman" w:hAnsi="Times New Roman" w:cs="Times New Roman"/>
                                  <w:i/>
                                  <w:iCs/>
                                  <w:sz w:val="18"/>
                                  <w:szCs w:val="18"/>
                                </w:rPr>
                                <w:fldChar w:fldCharType="separate"/>
                              </w:r>
                              <w:r>
                                <w:rPr>
                                  <w:rFonts w:ascii="Times New Roman" w:hAnsi="Times New Roman" w:cs="Times New Roman"/>
                                  <w:i/>
                                  <w:iCs/>
                                  <w:sz w:val="18"/>
                                  <w:szCs w:val="18"/>
                                  <w:lang w:val="zh-CN"/>
                                </w:rPr>
                                <w:t>45</w:t>
                              </w:r>
                              <w:r>
                                <w:rPr>
                                  <w:rFonts w:ascii="Times New Roman" w:hAnsi="Times New Roman" w:cs="Times New Roman"/>
                                  <w:i/>
                                  <w:iCs/>
                                  <w:sz w:val="18"/>
                                  <w:szCs w:val="18"/>
                                </w:rPr>
                                <w:fldChar w:fldCharType="end"/>
                              </w:r>
                            </w:p>
                          </w:sdtContent>
                        </w:sdt>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145.6pt;margin-top:10pt;height:144pt;width:144pt;mso-position-horizontal-relative:margin;mso-wrap-style:none;z-index:251665408;mso-width-relative:page;mso-height-relative:page;" filled="f" stroked="f" coordsize="21600,21600" o:gfxdata="UEsFBgAAAAAAAAAAAAAAAAAAAAAAAFBLAwQKAAAAAACHTuJAAAAAAAAAAAAAAAAABAAAAGRycy9Q&#10;SwMEFAAAAAgAh07iQL0ENAvXAAAACgEAAA8AAABkcnMvZG93bnJldi54bWxNj0tPwzAQhO9I/Adr&#10;kbhROymPNo1TiYpwRGrDgaMbb5OAH5HtpuHfs5zgtrszmv2m3M7WsAlDHLyTkC0EMHSt14PrJLw3&#10;9d0KWEzKaWW8QwnfGGFbXV+VqtD+4vY4HVLHKMTFQknoUxoLzmPbo1Vx4Ud0pJ18sCrRGjqug7pQ&#10;uDU8F+KRWzU4+tCrEXc9tl+Hs5Wwq5smTBiD+cDXevn59nyPL7OUtzeZ2ABLOKc/M/ziEzpUxHT0&#10;Z6cjMxLydZaTlQZBncjw8LSmw1HCUqwE8Krk/ytUP1BLAwQUAAAACACHTuJA79G0KBsCAAArBAAA&#10;DgAAAGRycy9lMm9Eb2MueG1srVPLjtMwFN0j8Q+W9zRp0YyqqumozKgIqWJGKoi169hNJL9ku03K&#10;B8AfsGLDnu/qd8xxmrQIWCE29n35Ps49nt+1WpGD8KG2pqDjUU6JMNyWtdkV9OOH1aspJSEyUzJl&#10;jSjoUQR6t3j5Yt64mZjYyqpSeIIkJswaV9AqRjfLssAroVkYWScMnNJ6zSJUv8tKzxpk1yqb5Plt&#10;1lhfOm+5CAHWh7OTLrr8UgoeH6UMIhJVUPQWu9N35zad2WLOZjvPXFXzvg32D11oVhsUvaR6YJGR&#10;va//SKVr7m2wMo641ZmVsuaimwHTjPPfptlUzIluFoAT3AWm8P/S8veHJ0/qsqA3Y0oM09jR6dvX&#10;0/efpx9fCGwAqHFhhriNQ2Rs39i2oNHvxeAKsKfRW+l1ujEUQQjQPl4QFm0kHMbxdDKd5nBx+AYF&#10;JbLrc+dDfCusJkkoqMcKO2TZYR3iOXQISdWMXdVKdWtUhjQFvX19k3cPLh4kVwY10hznZpMU223b&#10;D7e15RGzeXumR3B8VaP4moX4xDz4gIbB8fiIQyqLIraXKKms//w3e4rHmuClpAG/CmrwAShR7wzW&#10;l6g4CH4QtoNg9vregrDYCHrpRDzwUQ2i9FZ/AvGXqYZkKiAxMxzVsJpBvI/Qeic+EBfL5UXfO1/v&#10;qutjkNGxuDYbx/vlJmyDW+4j8O1gT5idgeqhBCO7xfW/J1H+V72Luv7xxT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9BDQL1wAAAAoBAAAPAAAAAAAAAAEAIAAAADgAAABkcnMvZG93bnJldi54bWxQ&#10;SwECFAAUAAAACACHTuJA79G0KBsCAAArBAAADgAAAAAAAAABACAAAAA8AQAAZHJzL2Uyb0RvYy54&#10;bWxQSwUGAAAAAAYABgBZAQAAyQUAAAAA&#10;">
              <v:fill on="f" focussize="0,0"/>
              <v:stroke on="f" weight="0.5pt"/>
              <v:imagedata o:title=""/>
              <o:lock v:ext="edit" aspectratio="f"/>
              <v:textbox inset="0mm,0mm,0mm,0mm" style="mso-fit-shape-to-text:t;">
                <w:txbxContent>
                  <w:sdt>
                    <w:sdtPr>
                      <w:id w:val="147458305"/>
                    </w:sdtPr>
                    <w:sdtEndPr>
                      <w:rPr>
                        <w:rFonts w:ascii="Times New Roman" w:hAnsi="Times New Roman" w:cs="Times New Roman"/>
                        <w:i/>
                        <w:iCs/>
                        <w:sz w:val="21"/>
                        <w:szCs w:val="21"/>
                      </w:rPr>
                    </w:sdtEndPr>
                    <w:sdtContent>
                      <w:p>
                        <w:pPr>
                          <w:pStyle w:val="15"/>
                          <w:jc w:val="right"/>
                          <w:rPr>
                            <w:rFonts w:ascii="Times New Roman" w:hAnsi="Times New Roman" w:cs="Times New Roman"/>
                            <w:i/>
                            <w:iCs/>
                            <w:sz w:val="21"/>
                            <w:szCs w:val="21"/>
                          </w:rPr>
                        </w:pPr>
                        <w:r>
                          <w:rPr>
                            <w:rFonts w:ascii="Times New Roman" w:hAnsi="Times New Roman" w:cs="Times New Roman"/>
                            <w:i/>
                            <w:iCs/>
                            <w:sz w:val="18"/>
                            <w:szCs w:val="18"/>
                          </w:rPr>
                          <w:fldChar w:fldCharType="begin"/>
                        </w:r>
                        <w:r>
                          <w:rPr>
                            <w:rFonts w:ascii="Times New Roman" w:hAnsi="Times New Roman" w:cs="Times New Roman"/>
                            <w:i/>
                            <w:iCs/>
                            <w:sz w:val="18"/>
                            <w:szCs w:val="18"/>
                          </w:rPr>
                          <w:instrText xml:space="preserve">PAGE   \* MERGEFORMAT</w:instrText>
                        </w:r>
                        <w:r>
                          <w:rPr>
                            <w:rFonts w:ascii="Times New Roman" w:hAnsi="Times New Roman" w:cs="Times New Roman"/>
                            <w:i/>
                            <w:iCs/>
                            <w:sz w:val="18"/>
                            <w:szCs w:val="18"/>
                          </w:rPr>
                          <w:fldChar w:fldCharType="separate"/>
                        </w:r>
                        <w:r>
                          <w:rPr>
                            <w:rFonts w:ascii="Times New Roman" w:hAnsi="Times New Roman" w:cs="Times New Roman"/>
                            <w:i/>
                            <w:iCs/>
                            <w:sz w:val="18"/>
                            <w:szCs w:val="18"/>
                            <w:lang w:val="zh-CN"/>
                          </w:rPr>
                          <w:t>45</w:t>
                        </w:r>
                        <w:r>
                          <w:rPr>
                            <w:rFonts w:ascii="Times New Roman" w:hAnsi="Times New Roman" w:cs="Times New Roman"/>
                            <w:i/>
                            <w:iCs/>
                            <w:sz w:val="18"/>
                            <w:szCs w:val="18"/>
                          </w:rPr>
                          <w:fldChar w:fldCharType="end"/>
                        </w:r>
                      </w:p>
                    </w:sdtContent>
                  </w:sdt>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rPr>
                          </w:pPr>
                          <w:r>
                            <w:fldChar w:fldCharType="begin"/>
                          </w:r>
                          <w:r>
                            <w:instrText xml:space="preserve">PAGE   \* MERGEFORMAT</w:instrText>
                          </w:r>
                          <w:r>
                            <w:fldChar w:fldCharType="separate"/>
                          </w:r>
                          <w:r>
                            <w:rPr>
                              <w:lang w:val="zh-CN"/>
                            </w:rPr>
                            <w:t>58</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NCyfFg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V9NKDFMY0enb19P3x9PP74Q&#10;2ABQ68IMcWuHyNi9sV1Fo9+LwRVgT6N30uv0xVAEIUD7eEFYdJFwGMfTyXRawsXhGxSUKJ5+dz7E&#10;t8JqkoSKeqwwI8sOdyGeQ4eQVM3YVaNUXqMypK3o1cvXZf7h4kFyZVAjzXFuNkmx23T9cBtbHzGb&#10;t2d6BMdXDYrfsRAfmAcf0DA4Hu/xSGVRxPYSJTvrP//NnuKxJngpacGvihocACXqncH6EhUHwQ/C&#10;ZhDMXt9YEHaM23E8i/jBRzWI0lv9CcRfphqSqYDEzHBUw2oG8SZC6504IC6Wy4sO8jkW78za8X6Z&#10;CcvglvsIPDPMCaMzMD10YGBeVH8tieK/6jnq6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xjQsnxYCAAAbBAAADgAAAAAAAAABACAAAAA1AQAAZHJzL2Uyb0RvYy54bWxQSwUGAAAAAAYA&#10;BgBZAQAAvQUAAAAA&#10;">
              <v:fill on="f" focussize="0,0"/>
              <v:stroke on="f" weight="0.5pt"/>
              <v:imagedata o:title=""/>
              <o:lock v:ext="edit" aspectratio="f"/>
              <v:textbox inset="0mm,0mm,0mm,0mm" style="mso-fit-shape-to-text:t;">
                <w:txbxContent>
                  <w:p>
                    <w:pPr>
                      <w:pStyle w:val="15"/>
                      <w:rPr>
                        <w:rFonts w:hint="eastAsia"/>
                      </w:rPr>
                    </w:pPr>
                    <w:r>
                      <w:fldChar w:fldCharType="begin"/>
                    </w:r>
                    <w:r>
                      <w:instrText xml:space="preserve">PAGE   \* MERGEFORMAT</w:instrText>
                    </w:r>
                    <w:r>
                      <w:fldChar w:fldCharType="separate"/>
                    </w:r>
                    <w:r>
                      <w:rPr>
                        <w:lang w:val="zh-CN"/>
                      </w:rP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AJlY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MAmVgdAgAAKwQAAA4AAAAAAAAAAQAgAAAANQ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624832"/>
    </w:sdtPr>
    <w:sdtEndPr>
      <w:rPr>
        <w:rFonts w:ascii="Times New Roman" w:hAnsi="Times New Roman" w:cs="Times New Roman"/>
        <w:i/>
        <w:iCs/>
        <w:sz w:val="21"/>
        <w:szCs w:val="21"/>
        <w:lang w:val="zh-CN"/>
      </w:rPr>
    </w:sdtEndPr>
    <w:sdtContent>
      <w:p>
        <w:pPr>
          <w:pStyle w:val="15"/>
          <w:rPr>
            <w:rFonts w:ascii="Times New Roman" w:hAnsi="Times New Roman" w:cs="Times New Roman"/>
            <w:i/>
            <w:iCs/>
            <w:sz w:val="21"/>
            <w:szCs w:val="21"/>
            <w:lang w:val="zh-CN"/>
          </w:rPr>
        </w:pPr>
        <w:r>
          <w:rPr>
            <w:rFonts w:ascii="Times New Roman" w:hAnsi="Times New Roman" w:cs="Times New Roman"/>
            <w:i/>
            <w:iCs/>
            <w:sz w:val="21"/>
            <w:szCs w:val="21"/>
            <w:lang w:val="zh-CN"/>
          </w:rPr>
          <w:fldChar w:fldCharType="begin"/>
        </w:r>
        <w:r>
          <w:rPr>
            <w:rFonts w:ascii="Times New Roman" w:hAnsi="Times New Roman" w:cs="Times New Roman"/>
            <w:i/>
            <w:iCs/>
            <w:sz w:val="21"/>
            <w:szCs w:val="21"/>
            <w:lang w:val="zh-CN"/>
          </w:rPr>
          <w:instrText xml:space="preserve">PAGE   \* MERGEFORMAT</w:instrText>
        </w:r>
        <w:r>
          <w:rPr>
            <w:rFonts w:ascii="Times New Roman" w:hAnsi="Times New Roman" w:cs="Times New Roman"/>
            <w:i/>
            <w:iCs/>
            <w:sz w:val="21"/>
            <w:szCs w:val="21"/>
            <w:lang w:val="zh-CN"/>
          </w:rPr>
          <w:fldChar w:fldCharType="separate"/>
        </w:r>
        <w:r>
          <w:rPr>
            <w:rFonts w:ascii="Times New Roman" w:hAnsi="Times New Roman" w:cs="Times New Roman"/>
            <w:i/>
            <w:iCs/>
            <w:sz w:val="21"/>
            <w:szCs w:val="21"/>
            <w:lang w:val="zh-CN"/>
          </w:rPr>
          <w:t>54</w:t>
        </w:r>
        <w:r>
          <w:rPr>
            <w:rFonts w:ascii="Times New Roman" w:hAnsi="Times New Roman" w:cs="Times New Roman"/>
            <w:i/>
            <w:iCs/>
            <w:sz w:val="21"/>
            <w:szCs w:val="21"/>
            <w:lang w:val="zh-CN"/>
          </w:rPr>
          <w:fldChar w:fldCharType="end"/>
        </w:r>
      </w:p>
    </w:sdtContent>
  </w:sdt>
  <w:p>
    <w:pPr>
      <w:pStyle w:val="15"/>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E6rN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2N3U0oMUxjR+evX87ffpy/fyaw&#10;AaDWhRniNg6RsXttu4pGfxCDK8CeRu+k1+mLoQhCgPbpirDoIuEwjqeT6bSEi8M3KChRPP3ufIhv&#10;hNUkCRX1WGFGlh3XIV5Ch5BUzdhVo1ReozKkrejNy1dl/uHqQXJlUCPNcWk2SbHbdv1wW1ufMJu3&#10;F3oEx1cNiq9ZiI/Mgw9oGByPD3iksihie4mSvfWf/mZP8VgTvJS04FdFDQ6AEvXWYH2JioPgB2E7&#10;COag7ywIO8btOJ5F/OCjGkTprf4I4i9TDclUQGJmOKphNYN4F6H1ThwQF8vlVQf5HItrs3G8X2bC&#10;MrjlIQLPDHPC6AJMDx0YmBfVX0ui+K96jnq66c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A0Tqs0UAgAAGwQAAA4AAAAAAAAAAQAgAAAANQEAAGRycy9lMm9Eb2MueG1sUEsFBgAAAAAGAAYA&#10;WQEAALsFAAAAAA==&#10;">
              <v:fill on="f" focussize="0,0"/>
              <v:stroke on="f" weight="0.5pt"/>
              <v:imagedata o:title=""/>
              <o:lock v:ext="edit" aspectratio="f"/>
              <v:textbox inset="0mm,0mm,0mm,0mm" style="mso-fit-shape-to-text:t;">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rPr>
                          </w:pPr>
                          <w:r>
                            <w:fldChar w:fldCharType="begin"/>
                          </w:r>
                          <w:r>
                            <w:instrText xml:space="preserve">PAGE   \* MERGEFORMAT</w:instrText>
                          </w:r>
                          <w:r>
                            <w:fldChar w:fldCharType="separate"/>
                          </w:r>
                          <w:r>
                            <w:rPr>
                              <w:lang w:val="zh-CN"/>
                            </w:rPr>
                            <w:t>58</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34GjFAIAABs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U0pMUxjR+evX87ffpy/fyaw&#10;AaDWhTniHh0iY/fadhWN/iAGV4A9jd5Jr9MXQxGEAO3TFWHRRcJhHM8ms1kJF4dvUFCiePrd+RDf&#10;CKtJEirqscKMLDtuQryEDiGpmrHrRqm8RmVIW9Hpy1dl/uHqQXJlUCPNcWk2SbHbdv1wW1ufMJu3&#10;F3oEx9cNim9YiA/Mgw9oGByP93iksihie4mSvfWf/mZP8VgTvJS04FdFDQ6AEvXWYH2JioPgB2E7&#10;COagby0IO8btOJ5F/OCjGkTprf4I4q9SDclUQGJmOKphNYN4G6H1ThwQF6vVVQf5HIsb8+h4v8yE&#10;ZXCrQwSeGeaE0QWYHjowMC+qv5ZE8V/1HPV00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A7fgaMUAgAAGwQAAA4AAAAAAAAAAQAgAAAANQEAAGRycy9lMm9Eb2MueG1sUEsFBgAAAAAGAAYA&#10;WQEAALsFAAAAAA==&#10;">
              <v:fill on="f" focussize="0,0"/>
              <v:stroke on="f" weight="0.5pt"/>
              <v:imagedata o:title=""/>
              <o:lock v:ext="edit" aspectratio="f"/>
              <v:textbox inset="0mm,0mm,0mm,0mm" style="mso-fit-shape-to-text:t;">
                <w:txbxContent>
                  <w:p>
                    <w:pPr>
                      <w:pStyle w:val="15"/>
                      <w:rPr>
                        <w:rFonts w:hint="eastAsia"/>
                      </w:rPr>
                    </w:pPr>
                    <w:r>
                      <w:fldChar w:fldCharType="begin"/>
                    </w:r>
                    <w:r>
                      <w:instrText xml:space="preserve">PAGE   \* MERGEFORMAT</w:instrText>
                    </w:r>
                    <w:r>
                      <w:fldChar w:fldCharType="separate"/>
                    </w:r>
                    <w:r>
                      <w:rPr>
                        <w:lang w:val="zh-CN"/>
                      </w:rPr>
                      <w:t>58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y7RbFgIAABsEAAAOAAAAZHJz&#10;L2Uyb0RvYy54bWytU82O0zAQviPxDpbvNGlXrKqq6arsqgipYldaEGfXsdtI/pPtNikPAG/AiQt3&#10;nqvPsZ/dpIuAE+LizF++mflmZn7TaUUOwofGmoqORyUlwnBbN2Zb0Y8fVq+mlITITM2UNaKiRxHo&#10;zeLli3nrZmJid1bVwhOAmDBrXUV3MbpZUQS+E5qFkXXCwCmt1yxC9dui9qwFulbFpCyvi9b62nnL&#10;RQiw3p2ddJHxpRQ83ksZRCSqoqgt5tfnd5PeYjFns61nbtfwvgz2D1Vo1hgkvUDdscjI3jd/QOmG&#10;exusjCNudWGlbLjIPaCbcflbN4875kTuBeQEd6Ep/D9Y/v7w4ElTV/QK9BimMaPTt6+n7z9PP74Q&#10;2EBQ68IMcY8OkbF7Y7uKRr8XgyvAnlrvpNfpi6YIQgB3vDAsukg4jOPpZDot4eLwDQpSFM+/Ox/i&#10;W2E1SUJFPUaYmWWHdYjn0CEkZTN21SiVx6gMaSt6ffW6zD9cPABXBjlSH+dikxS7Tdc3t7H1Eb15&#10;e16P4PiqQfI1C/GBeewDCsaOx3s8Ulkksb1Eyc76z3+zp3iMCV5KWuxXRQ0OgBL1zmB8AIyD4Adh&#10;Mwhmr28tFnaM23E8i/jBRzWI0lv9CYu/TDkkUwHAzHBkw2gG8TZC6504IC6Wy4uO5XMsrs2j4/0w&#10;E5fBLfcRfGaaE0dnYnrqsIF5UP21pBX/Vc9Rzze9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F8u0WxYCAAAbBAAADgAAAAAAAAABACAAAAA1AQAAZHJzL2Uyb0RvYy54bWxQSwUGAAAAAAYA&#10;BgBZAQAAvQUAAAAA&#10;">
              <v:fill on="f" focussize="0,0"/>
              <v:stroke on="f" weight="0.5pt"/>
              <v:imagedata o:title=""/>
              <o:lock v:ext="edit" aspectratio="f"/>
              <v:textbox inset="0mm,0mm,0mm,0mm" style="mso-fit-shape-to-text:t;">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IkRNFQ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Y3dXlBimsaPTt6+n7z9PP74Q&#10;2ABQ68IMcY8OkbF7Y7uKRr8XgyvAnkbvpNfpi6EIQoD28YKw6CLhMI6nk+m0hIvDNygoUTz/7nyI&#10;b4XVJAkV9VhhRpYd1iGeQ4eQVM3YVaNUXqMypK3o9dXrMv9w8SC5MqiR5jg3m6TYbbp+uI2tj5jN&#10;2zM9guOrBsXXLMQH5sEHNAyOx3s8UlkUsb1Eyc76z3+zp3isCV5KWvCrogYHQIl6Z7C+RMVB8IOw&#10;GQSz17cWhB3jdhzPIn7wUQ2i9FZ/AvGXqYZkKiAxMxzVsJpBvI3QeicOiIvl8qKDfI7FtXl0vF9m&#10;wjK45T4CzwxzwugMTA8dGJgX1V9Loviveo56vunF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9IkRNFQIAABsEAAAOAAAAAAAAAAEAIAAAADUBAABkcnMvZTJvRG9jLnhtbFBLBQYAAAAABgAG&#10;AFkBAAC8BQAAAAA=&#10;">
              <v:fill on="f" focussize="0,0"/>
              <v:stroke on="f" weight="0.5pt"/>
              <v:imagedata o:title=""/>
              <o:lock v:ext="edit" aspectratio="f"/>
              <v:textbox inset="0mm,0mm,0mm,0mm" style="mso-fit-shape-to-text:t;">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21"/>
        <w:tab w:val="right" w:pos="6038"/>
      </w:tabs>
      <w:jc w:val="left"/>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rPr>
                          </w:pPr>
                          <w:r>
                            <w:fldChar w:fldCharType="begin"/>
                          </w:r>
                          <w:r>
                            <w:instrText xml:space="preserve">PAGE   \* MERGEFORMAT</w:instrText>
                          </w:r>
                          <w:r>
                            <w:fldChar w:fldCharType="separate"/>
                          </w:r>
                          <w:r>
                            <w:rPr>
                              <w:lang w:val="zh-CN"/>
                            </w:rPr>
                            <w:t>58</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dgcXFAIAABsEAAAOAAAAZHJz&#10;L2Uyb0RvYy54bWytU82O0zAQviPxDpbvNGkRq6pquiq7KkKq2JUK4uw6dhvJf7LdJuUB4A04ceHO&#10;c/U5+OwmXQScEBdn/vLNzDcz89tOK3IUPjTWVHQ8KikRhtu6MbuKfni/ejGlJERmaqasERU9iUBv&#10;F8+fzVs3ExO7t6oWngDEhFnrKrqP0c2KIvC90CyMrBMGTmm9ZhGq3xW1Zy3QtSomZXlTtNbXzlsu&#10;QoD1/uKki4wvpeDxQcogIlEVRW0xvz6/2/QWizmb7Txz+4b3ZbB/qEKzxiDpFeqeRUYOvvkDSjfc&#10;22BlHHGrCytlw0XuAd2My9+62eyZE7kXkBPclabw/2D5u+OjJ02N2YEewzRmdP765fztx/n7ZwIb&#10;CGpdmCFu4xAZu9e2q2j0BzG4Auyp9U56nb5oiiAEcKcrw6KLhMM4nk6m0xIuDt+gIEXx9LvzIb4R&#10;VpMkVNRjhJlZdlyHeAkdQlI2Y1eNUnmMypC2ojcvX5X5h6sH4MogR+rjUmySYrft+ua2tj6hN28v&#10;6xEcXzVIvmYhPjKPfUDB2PH4gEcqiyS2lyjZW//pb/YUjzHBS0mL/aqowQFQot4ajA+AcRD8IGwH&#10;wRz0ncXCjnE7jmcRP/ioBlF6qz9i8Zcph2QqAJgZjmwYzSDeRWi9EwfExXJ51bF8jsW12TjeDzNx&#10;GdzyEMFnpjlxdCGmpw4bmAfVX0ta8V/1HPV004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x2BxcUAgAAGwQAAA4AAAAAAAAAAQAgAAAANQEAAGRycy9lMm9Eb2MueG1sUEsFBgAAAAAGAAYA&#10;WQEAALsFAAAAAA==&#10;">
              <v:fill on="f" focussize="0,0"/>
              <v:stroke on="f" weight="0.5pt"/>
              <v:imagedata o:title=""/>
              <o:lock v:ext="edit" aspectratio="f"/>
              <v:textbox inset="0mm,0mm,0mm,0mm" style="mso-fit-shape-to-text:t;">
                <w:txbxContent>
                  <w:p>
                    <w:pPr>
                      <w:pStyle w:val="15"/>
                      <w:rPr>
                        <w:rFonts w:hint="eastAsia"/>
                      </w:rPr>
                    </w:pPr>
                    <w:r>
                      <w:fldChar w:fldCharType="begin"/>
                    </w:r>
                    <w:r>
                      <w:instrText xml:space="preserve">PAGE   \* MERGEFORMAT</w:instrText>
                    </w:r>
                    <w:r>
                      <w:fldChar w:fldCharType="separate"/>
                    </w:r>
                    <w:r>
                      <w:rPr>
                        <w:lang w:val="zh-CN"/>
                      </w:rPr>
                      <w:t>58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wn/kHAIAAC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yBKcM0ODp9/XL69uP0/TPB&#10;GwBqXZjD78nBM3avbVfS6PdiMAW8p9Y76XW60RSBC9A+XhAWXSQcj5PZdDYbw8RhGxSkKK7fnQ/x&#10;jbCaJKGkHhRmZNlhE+LZdXBJ2YxdN0plGpUhbUlvXr4a5w8XC4Irgxypj3OxSYrdtuub29rqiN68&#10;PY9HcHzdIPmGhfjIPOYBBWPG4wMOqSyS2F6ipLb+09/ekz9ogpWSFvNVUoMFoES9NaAvjeIg+EHY&#10;DoLZ6zuLgZ1gdxzPIj74qAZReqs/YvBXKYdkKiAwMxzZQM0g3kVovRELxMVqddH3zje7+voZw+hY&#10;3Jgnx3tyE7bBrfYR+GbYE2ZnoHooMZGZuH570sj/qmev644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QcJ/5BwCAAArBAAADgAAAAAAAAABACAAAAA1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113</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right"/>
                            <w:rPr>
                              <w:rFonts w:hint="eastAsia" w:eastAsiaTheme="minorEastAsia"/>
                              <w:lang w:val="en-US" w:eastAsia="zh-CN"/>
                            </w:rPr>
                          </w:pPr>
                          <w:r>
                            <w:rPr>
                              <w:rFonts w:hint="eastAsia"/>
                              <w:lang w:val="en-US" w:eastAsia="zh-CN"/>
                            </w:rPr>
                            <w:t>I</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YG/FFQIAABsEAAAOAAAAZHJz&#10;L2Uyb0RvYy54bWytU8uO0zAU3SPxD5b3NGmBUVU1HZUZFSGNmJEKYu06dhvJL9luk/IB8Aes2LCf&#10;7+p3cOwmHQSsEBv7vnwf5x7PrzutyEH40FhT0fGopEQYbuvGbCv68cPqxZSSEJmpmbJGVPQoAr1e&#10;PH82b91MTOzOqlp4giQmzFpX0V2MblYUge+EZmFknTBwSus1i1D9tqg9a5Fdq2JSlldFa33tvOUi&#10;BFhvz066yPmlFDzeSxlEJKqi6C3m0+dzk85iMWezrWdu1/C+DfYPXWjWGBS9pLplkZG9b/5IpRvu&#10;bbAyjrjVhZWy4SLPgGnG5W/TrHfMiTwLwAnuAlP4f2n5+8ODJ01d0VdjSgzT2NHp29fT98fTjy8E&#10;NgDUujBD3NohMnZvbFfR6PdicAXY0+id9DrdGIogBGgfLwiLLhIO43g6mU5LuDh8g4ISxdNz50N8&#10;K6wmSaioxwozsuxwF+I5dAhJ1YxdNUrlNSpD2opevXxd5gcXD5IrgxppjnOzSYrdpuuH29j6iNm8&#10;PdMjOL5qUPyOhfjAPPiAhsHxeI9DKositpco2Vn/+W/2FI81wUtJC35V1OADUKLeGawvUXEQ/CBs&#10;BsHs9Y0FYbER9JJFPPBRDaL0Vn8C8ZephmQqIDEzHNWwmkG8idB6Jz4QF8vlRQf5HIt3Zu14v8yE&#10;ZXDLfQSeGeaE0RmYHjowMC+q/y2J4r/qOerpTy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XYG/FFQIAABsEAAAOAAAAAAAAAAEAIAAAADUBAABkcnMvZTJvRG9jLnhtbFBLBQYAAAAABgAG&#10;AFkBAAC8BQAAAAA=&#10;">
              <v:fill on="f" focussize="0,0"/>
              <v:stroke on="f" weight="0.5pt"/>
              <v:imagedata o:title=""/>
              <o:lock v:ext="edit" aspectratio="f"/>
              <v:textbox inset="0mm,0mm,0mm,0mm" style="mso-fit-shape-to-text:t;">
                <w:txbxContent>
                  <w:p>
                    <w:pPr>
                      <w:pStyle w:val="15"/>
                      <w:jc w:val="right"/>
                      <w:rPr>
                        <w:rFonts w:hint="eastAsia" w:eastAsiaTheme="minorEastAsia"/>
                        <w:lang w:val="en-US" w:eastAsia="zh-CN"/>
                      </w:rPr>
                    </w:pPr>
                    <w:r>
                      <w:rPr>
                        <w:rFonts w:hint="eastAsia"/>
                        <w:lang w:val="en-US" w:eastAsia="zh-CN"/>
                      </w:rPr>
                      <w:t>I</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A581DD"/>
    <w:multiLevelType w:val="singleLevel"/>
    <w:tmpl w:val="AFA581DD"/>
    <w:lvl w:ilvl="0" w:tentative="0">
      <w:start w:val="1"/>
      <w:numFmt w:val="decimal"/>
      <w:lvlText w:val="%1"/>
      <w:lvlJc w:val="left"/>
      <w:pPr>
        <w:tabs>
          <w:tab w:val="left" w:pos="397"/>
        </w:tabs>
        <w:ind w:left="113" w:leftChars="0" w:hanging="113" w:firstLineChars="0"/>
      </w:pPr>
      <w:rPr>
        <w:rFonts w:hint="default"/>
      </w:rPr>
    </w:lvl>
  </w:abstractNum>
  <w:abstractNum w:abstractNumId="1">
    <w:nsid w:val="155D55AB"/>
    <w:multiLevelType w:val="multilevel"/>
    <w:tmpl w:val="155D55AB"/>
    <w:lvl w:ilvl="0" w:tentative="0">
      <w:start w:val="1"/>
      <w:numFmt w:val="chineseCountingThousand"/>
      <w:suff w:val="space"/>
      <w:lvlText w:val="第%1章"/>
      <w:lvlJc w:val="left"/>
      <w:pPr>
        <w:ind w:left="0" w:firstLine="0"/>
      </w:pPr>
      <w:rPr>
        <w:rFonts w:hint="default" w:ascii="Times New Roman" w:hAnsi="Times New Roman" w:eastAsia="仿宋_GB2312"/>
        <w:b/>
        <w:i w:val="0"/>
        <w:sz w:val="28"/>
        <w:szCs w:val="32"/>
      </w:rPr>
    </w:lvl>
    <w:lvl w:ilvl="1" w:tentative="0">
      <w:start w:val="1"/>
      <w:numFmt w:val="chineseCountingThousand"/>
      <w:suff w:val="space"/>
      <w:lvlText w:val="第%2节"/>
      <w:lvlJc w:val="left"/>
      <w:pPr>
        <w:ind w:left="360" w:firstLine="0"/>
      </w:pPr>
      <w:rPr>
        <w:rFonts w:hint="eastAsia" w:ascii="宋体" w:hAnsi="Times New Roman" w:eastAsia="宋体"/>
        <w:b/>
        <w:i w:val="0"/>
        <w:sz w:val="28"/>
        <w:lang w:val="en-US"/>
      </w:rPr>
    </w:lvl>
    <w:lvl w:ilvl="2" w:tentative="0">
      <w:start w:val="1"/>
      <w:numFmt w:val="decimal"/>
      <w:suff w:val="space"/>
      <w:lvlText w:val="%3."/>
      <w:lvlJc w:val="left"/>
      <w:pPr>
        <w:ind w:left="0" w:firstLine="0"/>
      </w:pPr>
      <w:rPr>
        <w:rFonts w:hint="eastAsia" w:ascii="宋体" w:hAnsi="仿宋" w:eastAsia="宋体"/>
        <w:sz w:val="28"/>
      </w:rPr>
    </w:lvl>
    <w:lvl w:ilvl="3" w:tentative="0">
      <w:start w:val="1"/>
      <w:numFmt w:val="decimal"/>
      <w:isLgl/>
      <w:suff w:val="space"/>
      <w:lvlText w:val="%3.%4"/>
      <w:lvlJc w:val="left"/>
      <w:pPr>
        <w:ind w:left="0" w:firstLine="0"/>
      </w:pPr>
      <w:rPr>
        <w:rFonts w:hint="eastAsia" w:ascii="宋体" w:hAnsi="Times New Roman" w:eastAsia="宋体"/>
        <w:sz w:val="28"/>
      </w:rPr>
    </w:lvl>
    <w:lvl w:ilvl="4" w:tentative="0">
      <w:start w:val="1"/>
      <w:numFmt w:val="decimal"/>
      <w:pStyle w:val="5"/>
      <w:isLgl/>
      <w:suff w:val="space"/>
      <w:lvlText w:val="%3.%4.%5"/>
      <w:lvlJc w:val="left"/>
      <w:pPr>
        <w:ind w:left="1008" w:hanging="1008"/>
      </w:pPr>
      <w:rPr>
        <w:rFonts w:hint="eastAsia" w:ascii="宋体" w:eastAsia="宋体"/>
        <w:sz w:val="28"/>
      </w:rPr>
    </w:lvl>
    <w:lvl w:ilvl="5" w:tentative="0">
      <w:start w:val="1"/>
      <w:numFmt w:val="decimal"/>
      <w:suff w:val="space"/>
      <w:lvlText w:val="%3.%4.%5.%6"/>
      <w:lvlJc w:val="left"/>
      <w:pPr>
        <w:ind w:left="0" w:firstLine="0"/>
      </w:pPr>
      <w:rPr>
        <w:rFonts w:hint="default" w:ascii="Times New Roman" w:hAnsi="Times New Roman" w:eastAsia="宋体"/>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82"/>
      <w:suff w:val="nothing"/>
      <w:lvlText w:val="%1%2　"/>
      <w:lvlJc w:val="left"/>
      <w:pPr>
        <w:ind w:left="0" w:firstLine="0"/>
      </w:pPr>
      <w:rPr>
        <w:rFonts w:hint="default" w:ascii="黑体" w:hAnsi="黑体" w:eastAsia="黑体" w:cs="黑体"/>
      </w:rPr>
    </w:lvl>
    <w:lvl w:ilvl="2" w:tentative="0">
      <w:start w:val="1"/>
      <w:numFmt w:val="decimal"/>
      <w:pStyle w:val="81"/>
      <w:suff w:val="nothing"/>
      <w:lvlText w:val="%1%2.%3　"/>
      <w:lvlJc w:val="left"/>
      <w:pPr>
        <w:ind w:left="709" w:firstLine="0"/>
      </w:pPr>
      <w:rPr>
        <w:rFonts w:ascii="黑体"/>
      </w:rPr>
    </w:lvl>
    <w:lvl w:ilvl="3" w:tentative="0">
      <w:start w:val="1"/>
      <w:numFmt w:val="decimal"/>
      <w:suff w:val="nothing"/>
      <w:lvlText w:val="%1%2.%3.%4　"/>
      <w:lvlJc w:val="left"/>
      <w:pPr>
        <w:ind w:left="284" w:firstLine="0"/>
      </w:pPr>
      <w:rPr>
        <w:rFonts w:hint="default" w:ascii="黑体" w:hAnsi="黑体" w:eastAsia="黑体" w:cs="Times New Roman"/>
        <w:b w:val="0"/>
        <w:bCs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false"/>
  <w:bordersDoNotSurroundFooter w:val="false"/>
  <w:hideSpellingErrors/>
  <w:documentProtection w:enforcement="0"/>
  <w:defaultTabStop w:val="420"/>
  <w:drawingGridHorizontalSpacing w:val="221"/>
  <w:drawingGridVerticalSpacing w:val="333"/>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yNze1MDMwNrEwMzRR0lEKTi0uzszPAykwrAUAuJHaTiwAAAA="/>
    <w:docVar w:name="commondata" w:val="eyJoZGlkIjoiYTViN2FhOWY2N2ViNTJmOWZmZWJlZjM1NzkzNmNmNzAifQ=="/>
    <w:docVar w:name="KSO_WPS_MARK_KEY" w:val="321155b8-2708-4268-9de6-d989b4248868"/>
  </w:docVars>
  <w:rsids>
    <w:rsidRoot w:val="00172A27"/>
    <w:rsid w:val="0000089D"/>
    <w:rsid w:val="00001624"/>
    <w:rsid w:val="00001C98"/>
    <w:rsid w:val="000029A3"/>
    <w:rsid w:val="000037F2"/>
    <w:rsid w:val="00003C8F"/>
    <w:rsid w:val="00005136"/>
    <w:rsid w:val="00010951"/>
    <w:rsid w:val="000132C3"/>
    <w:rsid w:val="00013371"/>
    <w:rsid w:val="000147ED"/>
    <w:rsid w:val="000173A8"/>
    <w:rsid w:val="0001792A"/>
    <w:rsid w:val="000224C7"/>
    <w:rsid w:val="000234EF"/>
    <w:rsid w:val="000241EB"/>
    <w:rsid w:val="00025516"/>
    <w:rsid w:val="000274D7"/>
    <w:rsid w:val="000279FE"/>
    <w:rsid w:val="000302E4"/>
    <w:rsid w:val="000314A3"/>
    <w:rsid w:val="00031929"/>
    <w:rsid w:val="00031BF6"/>
    <w:rsid w:val="00032019"/>
    <w:rsid w:val="000329D2"/>
    <w:rsid w:val="000334DD"/>
    <w:rsid w:val="00033CE3"/>
    <w:rsid w:val="00033E79"/>
    <w:rsid w:val="00033F88"/>
    <w:rsid w:val="00040B1C"/>
    <w:rsid w:val="00042C70"/>
    <w:rsid w:val="00042DC3"/>
    <w:rsid w:val="000433FB"/>
    <w:rsid w:val="00044A77"/>
    <w:rsid w:val="00044AEA"/>
    <w:rsid w:val="00044CB2"/>
    <w:rsid w:val="00045502"/>
    <w:rsid w:val="00045FC0"/>
    <w:rsid w:val="000463B9"/>
    <w:rsid w:val="00046418"/>
    <w:rsid w:val="00046FEF"/>
    <w:rsid w:val="00050B5A"/>
    <w:rsid w:val="000529D0"/>
    <w:rsid w:val="00053BB3"/>
    <w:rsid w:val="00055131"/>
    <w:rsid w:val="00055734"/>
    <w:rsid w:val="00055FC3"/>
    <w:rsid w:val="0005770D"/>
    <w:rsid w:val="0006062B"/>
    <w:rsid w:val="000607EF"/>
    <w:rsid w:val="0006137B"/>
    <w:rsid w:val="000618B4"/>
    <w:rsid w:val="00062909"/>
    <w:rsid w:val="000636B7"/>
    <w:rsid w:val="000639A5"/>
    <w:rsid w:val="00063A73"/>
    <w:rsid w:val="0006425A"/>
    <w:rsid w:val="00064B00"/>
    <w:rsid w:val="000700D0"/>
    <w:rsid w:val="00070DD9"/>
    <w:rsid w:val="00070DE6"/>
    <w:rsid w:val="00071671"/>
    <w:rsid w:val="0007229E"/>
    <w:rsid w:val="0007275B"/>
    <w:rsid w:val="0007423D"/>
    <w:rsid w:val="000753D7"/>
    <w:rsid w:val="00075D7D"/>
    <w:rsid w:val="00075EA2"/>
    <w:rsid w:val="00077E82"/>
    <w:rsid w:val="00082CB7"/>
    <w:rsid w:val="000833EE"/>
    <w:rsid w:val="000835D0"/>
    <w:rsid w:val="00083CAA"/>
    <w:rsid w:val="00084478"/>
    <w:rsid w:val="000845CF"/>
    <w:rsid w:val="00085220"/>
    <w:rsid w:val="000858EA"/>
    <w:rsid w:val="00086B3A"/>
    <w:rsid w:val="00090BEB"/>
    <w:rsid w:val="000918F4"/>
    <w:rsid w:val="00091BB7"/>
    <w:rsid w:val="000924F7"/>
    <w:rsid w:val="00094671"/>
    <w:rsid w:val="00094FEC"/>
    <w:rsid w:val="00095C3D"/>
    <w:rsid w:val="000A0BAA"/>
    <w:rsid w:val="000A146D"/>
    <w:rsid w:val="000A295E"/>
    <w:rsid w:val="000A4376"/>
    <w:rsid w:val="000A4809"/>
    <w:rsid w:val="000A4C8B"/>
    <w:rsid w:val="000A582D"/>
    <w:rsid w:val="000A5CCD"/>
    <w:rsid w:val="000A6461"/>
    <w:rsid w:val="000A698C"/>
    <w:rsid w:val="000A6FBF"/>
    <w:rsid w:val="000A712E"/>
    <w:rsid w:val="000B3582"/>
    <w:rsid w:val="000B5277"/>
    <w:rsid w:val="000B65EC"/>
    <w:rsid w:val="000B68E3"/>
    <w:rsid w:val="000B6CA6"/>
    <w:rsid w:val="000C02E7"/>
    <w:rsid w:val="000C19E3"/>
    <w:rsid w:val="000C1A3D"/>
    <w:rsid w:val="000C2ADA"/>
    <w:rsid w:val="000C3866"/>
    <w:rsid w:val="000C4323"/>
    <w:rsid w:val="000C60B9"/>
    <w:rsid w:val="000C7C82"/>
    <w:rsid w:val="000D05C6"/>
    <w:rsid w:val="000D066D"/>
    <w:rsid w:val="000D15D6"/>
    <w:rsid w:val="000D2278"/>
    <w:rsid w:val="000D2A96"/>
    <w:rsid w:val="000D2DDC"/>
    <w:rsid w:val="000D3DAE"/>
    <w:rsid w:val="000D4669"/>
    <w:rsid w:val="000D4A7F"/>
    <w:rsid w:val="000E10A5"/>
    <w:rsid w:val="000E1422"/>
    <w:rsid w:val="000E1D0C"/>
    <w:rsid w:val="000E20EA"/>
    <w:rsid w:val="000E2737"/>
    <w:rsid w:val="000E3BA8"/>
    <w:rsid w:val="000E47AA"/>
    <w:rsid w:val="000E480B"/>
    <w:rsid w:val="000E53FC"/>
    <w:rsid w:val="000E5F1D"/>
    <w:rsid w:val="000E63AC"/>
    <w:rsid w:val="000F0FE5"/>
    <w:rsid w:val="000F1210"/>
    <w:rsid w:val="000F15FB"/>
    <w:rsid w:val="000F3310"/>
    <w:rsid w:val="000F4B53"/>
    <w:rsid w:val="000F4BF6"/>
    <w:rsid w:val="000F6479"/>
    <w:rsid w:val="000F6564"/>
    <w:rsid w:val="00101450"/>
    <w:rsid w:val="00105479"/>
    <w:rsid w:val="00107A8C"/>
    <w:rsid w:val="00107C3B"/>
    <w:rsid w:val="00110C5F"/>
    <w:rsid w:val="0011288F"/>
    <w:rsid w:val="0011366A"/>
    <w:rsid w:val="0011479F"/>
    <w:rsid w:val="001150F8"/>
    <w:rsid w:val="00117090"/>
    <w:rsid w:val="00117BA4"/>
    <w:rsid w:val="00122FDB"/>
    <w:rsid w:val="0012334A"/>
    <w:rsid w:val="00123905"/>
    <w:rsid w:val="00124E84"/>
    <w:rsid w:val="00126AAD"/>
    <w:rsid w:val="00127A2D"/>
    <w:rsid w:val="00130A51"/>
    <w:rsid w:val="00132813"/>
    <w:rsid w:val="00132D80"/>
    <w:rsid w:val="00133592"/>
    <w:rsid w:val="0013419C"/>
    <w:rsid w:val="00136FBC"/>
    <w:rsid w:val="001370EA"/>
    <w:rsid w:val="001375AE"/>
    <w:rsid w:val="00140512"/>
    <w:rsid w:val="00140E0E"/>
    <w:rsid w:val="00141996"/>
    <w:rsid w:val="00141E96"/>
    <w:rsid w:val="00142249"/>
    <w:rsid w:val="00143A5E"/>
    <w:rsid w:val="00143BEE"/>
    <w:rsid w:val="001450B2"/>
    <w:rsid w:val="00145D0C"/>
    <w:rsid w:val="00146985"/>
    <w:rsid w:val="00147D9A"/>
    <w:rsid w:val="0015077D"/>
    <w:rsid w:val="00150A4A"/>
    <w:rsid w:val="00150C5D"/>
    <w:rsid w:val="0015108A"/>
    <w:rsid w:val="00151B31"/>
    <w:rsid w:val="00151CB4"/>
    <w:rsid w:val="001526C9"/>
    <w:rsid w:val="0015281C"/>
    <w:rsid w:val="00153306"/>
    <w:rsid w:val="0015430B"/>
    <w:rsid w:val="001555A2"/>
    <w:rsid w:val="00156B4D"/>
    <w:rsid w:val="00157253"/>
    <w:rsid w:val="001579AA"/>
    <w:rsid w:val="00161673"/>
    <w:rsid w:val="00163174"/>
    <w:rsid w:val="001632A6"/>
    <w:rsid w:val="0016372D"/>
    <w:rsid w:val="00164C66"/>
    <w:rsid w:val="00164D32"/>
    <w:rsid w:val="001659D6"/>
    <w:rsid w:val="00166C40"/>
    <w:rsid w:val="00167416"/>
    <w:rsid w:val="00167D30"/>
    <w:rsid w:val="00170D1A"/>
    <w:rsid w:val="00171B53"/>
    <w:rsid w:val="00172F88"/>
    <w:rsid w:val="00173751"/>
    <w:rsid w:val="001739C4"/>
    <w:rsid w:val="00174C1D"/>
    <w:rsid w:val="0017539B"/>
    <w:rsid w:val="00175683"/>
    <w:rsid w:val="00175BB5"/>
    <w:rsid w:val="00175E8D"/>
    <w:rsid w:val="00181995"/>
    <w:rsid w:val="00181C7A"/>
    <w:rsid w:val="00182EB0"/>
    <w:rsid w:val="001832C6"/>
    <w:rsid w:val="00185C34"/>
    <w:rsid w:val="00185F0F"/>
    <w:rsid w:val="001860A7"/>
    <w:rsid w:val="0018641D"/>
    <w:rsid w:val="00191093"/>
    <w:rsid w:val="00191B28"/>
    <w:rsid w:val="00192AA6"/>
    <w:rsid w:val="00193A49"/>
    <w:rsid w:val="001949D8"/>
    <w:rsid w:val="00194E26"/>
    <w:rsid w:val="00195D93"/>
    <w:rsid w:val="00196124"/>
    <w:rsid w:val="001971E8"/>
    <w:rsid w:val="0019761A"/>
    <w:rsid w:val="00197B4E"/>
    <w:rsid w:val="001A2024"/>
    <w:rsid w:val="001A30F7"/>
    <w:rsid w:val="001A3C03"/>
    <w:rsid w:val="001A50DC"/>
    <w:rsid w:val="001A7801"/>
    <w:rsid w:val="001A7E20"/>
    <w:rsid w:val="001B0DFD"/>
    <w:rsid w:val="001B2483"/>
    <w:rsid w:val="001B2E0A"/>
    <w:rsid w:val="001B3431"/>
    <w:rsid w:val="001B5EF3"/>
    <w:rsid w:val="001B7572"/>
    <w:rsid w:val="001C0D19"/>
    <w:rsid w:val="001C2B48"/>
    <w:rsid w:val="001C555B"/>
    <w:rsid w:val="001C6835"/>
    <w:rsid w:val="001D0680"/>
    <w:rsid w:val="001D0FD1"/>
    <w:rsid w:val="001D1F29"/>
    <w:rsid w:val="001D22D3"/>
    <w:rsid w:val="001D22E3"/>
    <w:rsid w:val="001D35F3"/>
    <w:rsid w:val="001D3602"/>
    <w:rsid w:val="001D363C"/>
    <w:rsid w:val="001D39F5"/>
    <w:rsid w:val="001D4A74"/>
    <w:rsid w:val="001D68F7"/>
    <w:rsid w:val="001D71E8"/>
    <w:rsid w:val="001D7814"/>
    <w:rsid w:val="001D7F4C"/>
    <w:rsid w:val="001E186C"/>
    <w:rsid w:val="001E24F1"/>
    <w:rsid w:val="001E2E1C"/>
    <w:rsid w:val="001E36E3"/>
    <w:rsid w:val="001E5422"/>
    <w:rsid w:val="001E57D6"/>
    <w:rsid w:val="001E57ED"/>
    <w:rsid w:val="001F0C20"/>
    <w:rsid w:val="001F1185"/>
    <w:rsid w:val="001F1638"/>
    <w:rsid w:val="001F22C2"/>
    <w:rsid w:val="001F281C"/>
    <w:rsid w:val="001F2A2D"/>
    <w:rsid w:val="001F5912"/>
    <w:rsid w:val="001F661E"/>
    <w:rsid w:val="001F6770"/>
    <w:rsid w:val="001F6E26"/>
    <w:rsid w:val="0020016D"/>
    <w:rsid w:val="00200C44"/>
    <w:rsid w:val="002014FA"/>
    <w:rsid w:val="00201BE8"/>
    <w:rsid w:val="00202222"/>
    <w:rsid w:val="00202247"/>
    <w:rsid w:val="00202A21"/>
    <w:rsid w:val="00203F82"/>
    <w:rsid w:val="00204DA5"/>
    <w:rsid w:val="00206954"/>
    <w:rsid w:val="0020702C"/>
    <w:rsid w:val="00207C24"/>
    <w:rsid w:val="00207CA2"/>
    <w:rsid w:val="00210F2A"/>
    <w:rsid w:val="002111DC"/>
    <w:rsid w:val="0021292C"/>
    <w:rsid w:val="00215DA8"/>
    <w:rsid w:val="00217269"/>
    <w:rsid w:val="00217395"/>
    <w:rsid w:val="00220FA6"/>
    <w:rsid w:val="00222B4F"/>
    <w:rsid w:val="002236F9"/>
    <w:rsid w:val="00224064"/>
    <w:rsid w:val="00225620"/>
    <w:rsid w:val="00225A0B"/>
    <w:rsid w:val="00226269"/>
    <w:rsid w:val="00226866"/>
    <w:rsid w:val="00230494"/>
    <w:rsid w:val="002308C0"/>
    <w:rsid w:val="002333ED"/>
    <w:rsid w:val="00234557"/>
    <w:rsid w:val="00236084"/>
    <w:rsid w:val="00237998"/>
    <w:rsid w:val="00240336"/>
    <w:rsid w:val="00240EB1"/>
    <w:rsid w:val="00242240"/>
    <w:rsid w:val="002428E5"/>
    <w:rsid w:val="00242D00"/>
    <w:rsid w:val="00243214"/>
    <w:rsid w:val="0024387A"/>
    <w:rsid w:val="002443A8"/>
    <w:rsid w:val="00247037"/>
    <w:rsid w:val="002477AA"/>
    <w:rsid w:val="0025083D"/>
    <w:rsid w:val="00251C58"/>
    <w:rsid w:val="00252218"/>
    <w:rsid w:val="0025292A"/>
    <w:rsid w:val="00257459"/>
    <w:rsid w:val="00262A6D"/>
    <w:rsid w:val="00263A0C"/>
    <w:rsid w:val="002646EC"/>
    <w:rsid w:val="002650E7"/>
    <w:rsid w:val="0026568F"/>
    <w:rsid w:val="00265736"/>
    <w:rsid w:val="00266AF8"/>
    <w:rsid w:val="00271283"/>
    <w:rsid w:val="00271704"/>
    <w:rsid w:val="00271C6F"/>
    <w:rsid w:val="00274EEF"/>
    <w:rsid w:val="00275CF1"/>
    <w:rsid w:val="00276814"/>
    <w:rsid w:val="00277D43"/>
    <w:rsid w:val="0028249B"/>
    <w:rsid w:val="00282C9A"/>
    <w:rsid w:val="00282F0A"/>
    <w:rsid w:val="0028337A"/>
    <w:rsid w:val="00283849"/>
    <w:rsid w:val="0028391C"/>
    <w:rsid w:val="00283DD9"/>
    <w:rsid w:val="00285F04"/>
    <w:rsid w:val="002879E7"/>
    <w:rsid w:val="00290148"/>
    <w:rsid w:val="0029184F"/>
    <w:rsid w:val="00292B6F"/>
    <w:rsid w:val="00295175"/>
    <w:rsid w:val="002952F0"/>
    <w:rsid w:val="002968C5"/>
    <w:rsid w:val="002A173E"/>
    <w:rsid w:val="002A49A1"/>
    <w:rsid w:val="002A5258"/>
    <w:rsid w:val="002A5D2B"/>
    <w:rsid w:val="002A5D7A"/>
    <w:rsid w:val="002A6DDB"/>
    <w:rsid w:val="002A7C8C"/>
    <w:rsid w:val="002B0800"/>
    <w:rsid w:val="002B0B29"/>
    <w:rsid w:val="002B1AA6"/>
    <w:rsid w:val="002B3B78"/>
    <w:rsid w:val="002B45C7"/>
    <w:rsid w:val="002B52F2"/>
    <w:rsid w:val="002B5638"/>
    <w:rsid w:val="002B59ED"/>
    <w:rsid w:val="002B5A43"/>
    <w:rsid w:val="002B649A"/>
    <w:rsid w:val="002C0A58"/>
    <w:rsid w:val="002C167C"/>
    <w:rsid w:val="002C29F3"/>
    <w:rsid w:val="002C31CC"/>
    <w:rsid w:val="002C3486"/>
    <w:rsid w:val="002C35B2"/>
    <w:rsid w:val="002C446A"/>
    <w:rsid w:val="002C6604"/>
    <w:rsid w:val="002C7699"/>
    <w:rsid w:val="002C7A76"/>
    <w:rsid w:val="002D1024"/>
    <w:rsid w:val="002D1676"/>
    <w:rsid w:val="002D25B1"/>
    <w:rsid w:val="002D2886"/>
    <w:rsid w:val="002D2F7F"/>
    <w:rsid w:val="002D302C"/>
    <w:rsid w:val="002D3056"/>
    <w:rsid w:val="002D410B"/>
    <w:rsid w:val="002D4419"/>
    <w:rsid w:val="002D48C7"/>
    <w:rsid w:val="002D5E4E"/>
    <w:rsid w:val="002D6335"/>
    <w:rsid w:val="002D6C1B"/>
    <w:rsid w:val="002D6C74"/>
    <w:rsid w:val="002D6DD5"/>
    <w:rsid w:val="002D71F4"/>
    <w:rsid w:val="002E062D"/>
    <w:rsid w:val="002E185A"/>
    <w:rsid w:val="002E1C1C"/>
    <w:rsid w:val="002E24A9"/>
    <w:rsid w:val="002E2C27"/>
    <w:rsid w:val="002E315E"/>
    <w:rsid w:val="002E3ADB"/>
    <w:rsid w:val="002E3E6C"/>
    <w:rsid w:val="002E6336"/>
    <w:rsid w:val="002E6790"/>
    <w:rsid w:val="002E6D04"/>
    <w:rsid w:val="002E74B2"/>
    <w:rsid w:val="002E7B10"/>
    <w:rsid w:val="002F14F1"/>
    <w:rsid w:val="002F1842"/>
    <w:rsid w:val="002F37D7"/>
    <w:rsid w:val="002F5A98"/>
    <w:rsid w:val="002F6673"/>
    <w:rsid w:val="002F66A2"/>
    <w:rsid w:val="002F6702"/>
    <w:rsid w:val="00300F1C"/>
    <w:rsid w:val="003014A1"/>
    <w:rsid w:val="00301E97"/>
    <w:rsid w:val="00302CFA"/>
    <w:rsid w:val="00303582"/>
    <w:rsid w:val="003100AB"/>
    <w:rsid w:val="0031151A"/>
    <w:rsid w:val="00311D71"/>
    <w:rsid w:val="00312ABC"/>
    <w:rsid w:val="00313EA0"/>
    <w:rsid w:val="003158C1"/>
    <w:rsid w:val="00316347"/>
    <w:rsid w:val="003176A9"/>
    <w:rsid w:val="00320560"/>
    <w:rsid w:val="003207A0"/>
    <w:rsid w:val="003213E0"/>
    <w:rsid w:val="00321D32"/>
    <w:rsid w:val="003238D9"/>
    <w:rsid w:val="0032471A"/>
    <w:rsid w:val="00324E8F"/>
    <w:rsid w:val="0032605D"/>
    <w:rsid w:val="003263B0"/>
    <w:rsid w:val="00326B0D"/>
    <w:rsid w:val="00327E5B"/>
    <w:rsid w:val="00330418"/>
    <w:rsid w:val="00330609"/>
    <w:rsid w:val="00331914"/>
    <w:rsid w:val="00333299"/>
    <w:rsid w:val="00333E85"/>
    <w:rsid w:val="00336089"/>
    <w:rsid w:val="003360A7"/>
    <w:rsid w:val="003368BE"/>
    <w:rsid w:val="003409A4"/>
    <w:rsid w:val="00341620"/>
    <w:rsid w:val="003416CE"/>
    <w:rsid w:val="00342A5B"/>
    <w:rsid w:val="00343255"/>
    <w:rsid w:val="0034416A"/>
    <w:rsid w:val="00345C76"/>
    <w:rsid w:val="0034658D"/>
    <w:rsid w:val="00347A60"/>
    <w:rsid w:val="00347D15"/>
    <w:rsid w:val="00350331"/>
    <w:rsid w:val="003519C3"/>
    <w:rsid w:val="00351E76"/>
    <w:rsid w:val="00354249"/>
    <w:rsid w:val="00355FDA"/>
    <w:rsid w:val="0035776F"/>
    <w:rsid w:val="0035781E"/>
    <w:rsid w:val="00363D87"/>
    <w:rsid w:val="00365259"/>
    <w:rsid w:val="003654AC"/>
    <w:rsid w:val="00366927"/>
    <w:rsid w:val="00370CE5"/>
    <w:rsid w:val="00372353"/>
    <w:rsid w:val="00374194"/>
    <w:rsid w:val="00375BEC"/>
    <w:rsid w:val="00375FB0"/>
    <w:rsid w:val="00380BBD"/>
    <w:rsid w:val="00381677"/>
    <w:rsid w:val="00381737"/>
    <w:rsid w:val="00381F73"/>
    <w:rsid w:val="00382331"/>
    <w:rsid w:val="00382EBC"/>
    <w:rsid w:val="003832C4"/>
    <w:rsid w:val="0038410C"/>
    <w:rsid w:val="00384C50"/>
    <w:rsid w:val="00384E67"/>
    <w:rsid w:val="0038534B"/>
    <w:rsid w:val="00387005"/>
    <w:rsid w:val="003912B4"/>
    <w:rsid w:val="00392F72"/>
    <w:rsid w:val="0039306E"/>
    <w:rsid w:val="003A04DF"/>
    <w:rsid w:val="003A18FA"/>
    <w:rsid w:val="003A3412"/>
    <w:rsid w:val="003A39E4"/>
    <w:rsid w:val="003A455A"/>
    <w:rsid w:val="003A4796"/>
    <w:rsid w:val="003A4FC3"/>
    <w:rsid w:val="003A5627"/>
    <w:rsid w:val="003A5BA4"/>
    <w:rsid w:val="003A6559"/>
    <w:rsid w:val="003A6810"/>
    <w:rsid w:val="003A684D"/>
    <w:rsid w:val="003A758E"/>
    <w:rsid w:val="003A7769"/>
    <w:rsid w:val="003B0800"/>
    <w:rsid w:val="003B0806"/>
    <w:rsid w:val="003B2490"/>
    <w:rsid w:val="003B468D"/>
    <w:rsid w:val="003B4C60"/>
    <w:rsid w:val="003B5032"/>
    <w:rsid w:val="003B76D2"/>
    <w:rsid w:val="003B792C"/>
    <w:rsid w:val="003C00B2"/>
    <w:rsid w:val="003C05F5"/>
    <w:rsid w:val="003C1B23"/>
    <w:rsid w:val="003C2A2C"/>
    <w:rsid w:val="003C308E"/>
    <w:rsid w:val="003C6406"/>
    <w:rsid w:val="003C701E"/>
    <w:rsid w:val="003D02D8"/>
    <w:rsid w:val="003D244D"/>
    <w:rsid w:val="003D2597"/>
    <w:rsid w:val="003D3622"/>
    <w:rsid w:val="003D39F4"/>
    <w:rsid w:val="003D64ED"/>
    <w:rsid w:val="003E0958"/>
    <w:rsid w:val="003E0C9A"/>
    <w:rsid w:val="003E11E3"/>
    <w:rsid w:val="003E1A69"/>
    <w:rsid w:val="003E1EF1"/>
    <w:rsid w:val="003E1F9A"/>
    <w:rsid w:val="003E3130"/>
    <w:rsid w:val="003E55AB"/>
    <w:rsid w:val="003E657C"/>
    <w:rsid w:val="003F1184"/>
    <w:rsid w:val="003F367A"/>
    <w:rsid w:val="003F398F"/>
    <w:rsid w:val="003F3B1C"/>
    <w:rsid w:val="003F3B1F"/>
    <w:rsid w:val="003F4FEC"/>
    <w:rsid w:val="003F536D"/>
    <w:rsid w:val="003F6A45"/>
    <w:rsid w:val="003F7FDA"/>
    <w:rsid w:val="0040056E"/>
    <w:rsid w:val="00401EF9"/>
    <w:rsid w:val="00402096"/>
    <w:rsid w:val="0040217E"/>
    <w:rsid w:val="00402370"/>
    <w:rsid w:val="00402F58"/>
    <w:rsid w:val="0040478D"/>
    <w:rsid w:val="0040486A"/>
    <w:rsid w:val="004054C5"/>
    <w:rsid w:val="004074B8"/>
    <w:rsid w:val="00407634"/>
    <w:rsid w:val="00407A2E"/>
    <w:rsid w:val="004107A3"/>
    <w:rsid w:val="00413388"/>
    <w:rsid w:val="00413B97"/>
    <w:rsid w:val="00413F08"/>
    <w:rsid w:val="00413F7A"/>
    <w:rsid w:val="0041446F"/>
    <w:rsid w:val="00415242"/>
    <w:rsid w:val="00415432"/>
    <w:rsid w:val="00416712"/>
    <w:rsid w:val="00417831"/>
    <w:rsid w:val="00421639"/>
    <w:rsid w:val="00422F4A"/>
    <w:rsid w:val="00423ADE"/>
    <w:rsid w:val="004245C5"/>
    <w:rsid w:val="004248F6"/>
    <w:rsid w:val="00424A36"/>
    <w:rsid w:val="00424F0D"/>
    <w:rsid w:val="00425142"/>
    <w:rsid w:val="004258A6"/>
    <w:rsid w:val="004259F5"/>
    <w:rsid w:val="0042663C"/>
    <w:rsid w:val="00426739"/>
    <w:rsid w:val="004272A1"/>
    <w:rsid w:val="004272CC"/>
    <w:rsid w:val="00430A1D"/>
    <w:rsid w:val="00430AAA"/>
    <w:rsid w:val="00432958"/>
    <w:rsid w:val="00432FC6"/>
    <w:rsid w:val="004337CC"/>
    <w:rsid w:val="004371D3"/>
    <w:rsid w:val="004371FC"/>
    <w:rsid w:val="0044017E"/>
    <w:rsid w:val="004409B5"/>
    <w:rsid w:val="00440C18"/>
    <w:rsid w:val="00440D89"/>
    <w:rsid w:val="00442283"/>
    <w:rsid w:val="00442D10"/>
    <w:rsid w:val="004434DC"/>
    <w:rsid w:val="00443520"/>
    <w:rsid w:val="004443C4"/>
    <w:rsid w:val="004447E1"/>
    <w:rsid w:val="00444DF9"/>
    <w:rsid w:val="00444E00"/>
    <w:rsid w:val="00445F77"/>
    <w:rsid w:val="00446DAE"/>
    <w:rsid w:val="00446FFF"/>
    <w:rsid w:val="00450073"/>
    <w:rsid w:val="00450782"/>
    <w:rsid w:val="00450954"/>
    <w:rsid w:val="00450F11"/>
    <w:rsid w:val="00450F13"/>
    <w:rsid w:val="0045122F"/>
    <w:rsid w:val="00451270"/>
    <w:rsid w:val="00451467"/>
    <w:rsid w:val="00452287"/>
    <w:rsid w:val="00452BEA"/>
    <w:rsid w:val="00455E06"/>
    <w:rsid w:val="00456E76"/>
    <w:rsid w:val="0045764A"/>
    <w:rsid w:val="00460ED4"/>
    <w:rsid w:val="004640CE"/>
    <w:rsid w:val="004658BE"/>
    <w:rsid w:val="0046647B"/>
    <w:rsid w:val="00467783"/>
    <w:rsid w:val="0047192B"/>
    <w:rsid w:val="0047260C"/>
    <w:rsid w:val="004728E6"/>
    <w:rsid w:val="0047392D"/>
    <w:rsid w:val="0047443A"/>
    <w:rsid w:val="00474499"/>
    <w:rsid w:val="004744E3"/>
    <w:rsid w:val="00476E14"/>
    <w:rsid w:val="004811BB"/>
    <w:rsid w:val="004820B8"/>
    <w:rsid w:val="004825BF"/>
    <w:rsid w:val="00482746"/>
    <w:rsid w:val="00482A46"/>
    <w:rsid w:val="004834AD"/>
    <w:rsid w:val="004837BD"/>
    <w:rsid w:val="00487508"/>
    <w:rsid w:val="00491C73"/>
    <w:rsid w:val="0049319F"/>
    <w:rsid w:val="00493DE0"/>
    <w:rsid w:val="004946C9"/>
    <w:rsid w:val="00494870"/>
    <w:rsid w:val="004954DB"/>
    <w:rsid w:val="0049684D"/>
    <w:rsid w:val="0049691F"/>
    <w:rsid w:val="00496C45"/>
    <w:rsid w:val="00496E45"/>
    <w:rsid w:val="00496E60"/>
    <w:rsid w:val="00496EB7"/>
    <w:rsid w:val="00496F85"/>
    <w:rsid w:val="0049781C"/>
    <w:rsid w:val="004A04A2"/>
    <w:rsid w:val="004A0DA4"/>
    <w:rsid w:val="004A1D58"/>
    <w:rsid w:val="004A4EB2"/>
    <w:rsid w:val="004A5267"/>
    <w:rsid w:val="004A5271"/>
    <w:rsid w:val="004A584E"/>
    <w:rsid w:val="004A7894"/>
    <w:rsid w:val="004B25D8"/>
    <w:rsid w:val="004B3150"/>
    <w:rsid w:val="004B3ABC"/>
    <w:rsid w:val="004B3C3F"/>
    <w:rsid w:val="004B4AEE"/>
    <w:rsid w:val="004B525F"/>
    <w:rsid w:val="004B59AE"/>
    <w:rsid w:val="004B5E5B"/>
    <w:rsid w:val="004B61FA"/>
    <w:rsid w:val="004B6F55"/>
    <w:rsid w:val="004C0036"/>
    <w:rsid w:val="004C0DC5"/>
    <w:rsid w:val="004C129E"/>
    <w:rsid w:val="004C1316"/>
    <w:rsid w:val="004C1748"/>
    <w:rsid w:val="004C3F96"/>
    <w:rsid w:val="004C457A"/>
    <w:rsid w:val="004C45EC"/>
    <w:rsid w:val="004C4D71"/>
    <w:rsid w:val="004C5991"/>
    <w:rsid w:val="004D02BF"/>
    <w:rsid w:val="004D0677"/>
    <w:rsid w:val="004D06D2"/>
    <w:rsid w:val="004D1556"/>
    <w:rsid w:val="004D36EC"/>
    <w:rsid w:val="004D3EBC"/>
    <w:rsid w:val="004D47B3"/>
    <w:rsid w:val="004D4C4D"/>
    <w:rsid w:val="004E0BD2"/>
    <w:rsid w:val="004E1697"/>
    <w:rsid w:val="004E2FB3"/>
    <w:rsid w:val="004E311B"/>
    <w:rsid w:val="004E3967"/>
    <w:rsid w:val="004E3E24"/>
    <w:rsid w:val="004E4FFE"/>
    <w:rsid w:val="004E54A7"/>
    <w:rsid w:val="004E563E"/>
    <w:rsid w:val="004E59CE"/>
    <w:rsid w:val="004E7DBC"/>
    <w:rsid w:val="004F0495"/>
    <w:rsid w:val="004F04AE"/>
    <w:rsid w:val="004F0615"/>
    <w:rsid w:val="004F13D8"/>
    <w:rsid w:val="004F1866"/>
    <w:rsid w:val="004F2477"/>
    <w:rsid w:val="004F41ED"/>
    <w:rsid w:val="004F4506"/>
    <w:rsid w:val="004F4C49"/>
    <w:rsid w:val="004F7B53"/>
    <w:rsid w:val="005008CF"/>
    <w:rsid w:val="00500C0A"/>
    <w:rsid w:val="0050250F"/>
    <w:rsid w:val="00502F93"/>
    <w:rsid w:val="00503312"/>
    <w:rsid w:val="005039D6"/>
    <w:rsid w:val="0050679F"/>
    <w:rsid w:val="00510E39"/>
    <w:rsid w:val="005116EE"/>
    <w:rsid w:val="00513A4D"/>
    <w:rsid w:val="00514DBD"/>
    <w:rsid w:val="00515383"/>
    <w:rsid w:val="00516CF6"/>
    <w:rsid w:val="005177F2"/>
    <w:rsid w:val="005210CF"/>
    <w:rsid w:val="0052168D"/>
    <w:rsid w:val="005217FF"/>
    <w:rsid w:val="0052197B"/>
    <w:rsid w:val="00522927"/>
    <w:rsid w:val="00524822"/>
    <w:rsid w:val="00524C17"/>
    <w:rsid w:val="00526B44"/>
    <w:rsid w:val="00526CCC"/>
    <w:rsid w:val="005271A5"/>
    <w:rsid w:val="00527676"/>
    <w:rsid w:val="00530BEF"/>
    <w:rsid w:val="005313AC"/>
    <w:rsid w:val="00532EAC"/>
    <w:rsid w:val="00533992"/>
    <w:rsid w:val="00533C2E"/>
    <w:rsid w:val="0053518F"/>
    <w:rsid w:val="00537056"/>
    <w:rsid w:val="00537281"/>
    <w:rsid w:val="00540767"/>
    <w:rsid w:val="005410E3"/>
    <w:rsid w:val="00541578"/>
    <w:rsid w:val="0054158B"/>
    <w:rsid w:val="0054174F"/>
    <w:rsid w:val="00542DC9"/>
    <w:rsid w:val="00542FAD"/>
    <w:rsid w:val="00546DC0"/>
    <w:rsid w:val="005478CD"/>
    <w:rsid w:val="00547B20"/>
    <w:rsid w:val="0055008B"/>
    <w:rsid w:val="0055034B"/>
    <w:rsid w:val="005507CF"/>
    <w:rsid w:val="00553403"/>
    <w:rsid w:val="005538DA"/>
    <w:rsid w:val="00554095"/>
    <w:rsid w:val="00554357"/>
    <w:rsid w:val="0055492F"/>
    <w:rsid w:val="00555F4F"/>
    <w:rsid w:val="005576B6"/>
    <w:rsid w:val="00557883"/>
    <w:rsid w:val="00557C42"/>
    <w:rsid w:val="0056048C"/>
    <w:rsid w:val="005650AF"/>
    <w:rsid w:val="00565665"/>
    <w:rsid w:val="00565D95"/>
    <w:rsid w:val="00565F98"/>
    <w:rsid w:val="00567C96"/>
    <w:rsid w:val="00571548"/>
    <w:rsid w:val="00571BB4"/>
    <w:rsid w:val="00571BD9"/>
    <w:rsid w:val="00571CCD"/>
    <w:rsid w:val="0057255B"/>
    <w:rsid w:val="00573EA7"/>
    <w:rsid w:val="00574038"/>
    <w:rsid w:val="00574366"/>
    <w:rsid w:val="00574552"/>
    <w:rsid w:val="00575939"/>
    <w:rsid w:val="00575FDB"/>
    <w:rsid w:val="0057601A"/>
    <w:rsid w:val="00576330"/>
    <w:rsid w:val="00577828"/>
    <w:rsid w:val="00577B05"/>
    <w:rsid w:val="00577C2B"/>
    <w:rsid w:val="00577F9E"/>
    <w:rsid w:val="00582C56"/>
    <w:rsid w:val="00583D85"/>
    <w:rsid w:val="00583ED0"/>
    <w:rsid w:val="00584A2D"/>
    <w:rsid w:val="00584B33"/>
    <w:rsid w:val="00586620"/>
    <w:rsid w:val="00587E83"/>
    <w:rsid w:val="00592ABB"/>
    <w:rsid w:val="00592C0A"/>
    <w:rsid w:val="00592DE4"/>
    <w:rsid w:val="0059382E"/>
    <w:rsid w:val="005945B0"/>
    <w:rsid w:val="00594E99"/>
    <w:rsid w:val="0059550F"/>
    <w:rsid w:val="00596413"/>
    <w:rsid w:val="00597342"/>
    <w:rsid w:val="005A12B4"/>
    <w:rsid w:val="005A1FF0"/>
    <w:rsid w:val="005A2794"/>
    <w:rsid w:val="005A2D77"/>
    <w:rsid w:val="005A34A1"/>
    <w:rsid w:val="005A4033"/>
    <w:rsid w:val="005A4683"/>
    <w:rsid w:val="005A563A"/>
    <w:rsid w:val="005A564B"/>
    <w:rsid w:val="005A5DF9"/>
    <w:rsid w:val="005A637D"/>
    <w:rsid w:val="005A67DF"/>
    <w:rsid w:val="005A6964"/>
    <w:rsid w:val="005A6FEE"/>
    <w:rsid w:val="005A6FF7"/>
    <w:rsid w:val="005B1746"/>
    <w:rsid w:val="005B3D6E"/>
    <w:rsid w:val="005B3FD5"/>
    <w:rsid w:val="005B6FF2"/>
    <w:rsid w:val="005C2049"/>
    <w:rsid w:val="005C21EA"/>
    <w:rsid w:val="005C31C5"/>
    <w:rsid w:val="005C3670"/>
    <w:rsid w:val="005C55BC"/>
    <w:rsid w:val="005C59EB"/>
    <w:rsid w:val="005C5FFE"/>
    <w:rsid w:val="005C602A"/>
    <w:rsid w:val="005C7513"/>
    <w:rsid w:val="005D0F79"/>
    <w:rsid w:val="005D1619"/>
    <w:rsid w:val="005D1ED4"/>
    <w:rsid w:val="005D2737"/>
    <w:rsid w:val="005D2797"/>
    <w:rsid w:val="005D3812"/>
    <w:rsid w:val="005D3C1E"/>
    <w:rsid w:val="005D3DDA"/>
    <w:rsid w:val="005D4A01"/>
    <w:rsid w:val="005D5501"/>
    <w:rsid w:val="005D73E5"/>
    <w:rsid w:val="005E040F"/>
    <w:rsid w:val="005E108C"/>
    <w:rsid w:val="005E1517"/>
    <w:rsid w:val="005E158B"/>
    <w:rsid w:val="005E1F00"/>
    <w:rsid w:val="005E2FA2"/>
    <w:rsid w:val="005E5B94"/>
    <w:rsid w:val="005E7D7D"/>
    <w:rsid w:val="005F06B1"/>
    <w:rsid w:val="005F1505"/>
    <w:rsid w:val="005F1986"/>
    <w:rsid w:val="005F1C3F"/>
    <w:rsid w:val="005F20E3"/>
    <w:rsid w:val="005F2A29"/>
    <w:rsid w:val="005F3D50"/>
    <w:rsid w:val="005F3F80"/>
    <w:rsid w:val="005F446E"/>
    <w:rsid w:val="005F4A19"/>
    <w:rsid w:val="005F52EF"/>
    <w:rsid w:val="005F58AF"/>
    <w:rsid w:val="005F74D3"/>
    <w:rsid w:val="005F78BB"/>
    <w:rsid w:val="005F7E03"/>
    <w:rsid w:val="00600C14"/>
    <w:rsid w:val="00600CAF"/>
    <w:rsid w:val="006013C3"/>
    <w:rsid w:val="00601B4A"/>
    <w:rsid w:val="0060496E"/>
    <w:rsid w:val="00605A97"/>
    <w:rsid w:val="00606AF8"/>
    <w:rsid w:val="0060787F"/>
    <w:rsid w:val="00607D6A"/>
    <w:rsid w:val="006104DC"/>
    <w:rsid w:val="006114F2"/>
    <w:rsid w:val="006117B8"/>
    <w:rsid w:val="00612D9D"/>
    <w:rsid w:val="00613A69"/>
    <w:rsid w:val="00615EEB"/>
    <w:rsid w:val="00617558"/>
    <w:rsid w:val="0062007D"/>
    <w:rsid w:val="006234AC"/>
    <w:rsid w:val="0062615C"/>
    <w:rsid w:val="00626F66"/>
    <w:rsid w:val="0062763C"/>
    <w:rsid w:val="006305E9"/>
    <w:rsid w:val="00631548"/>
    <w:rsid w:val="0063202B"/>
    <w:rsid w:val="00632297"/>
    <w:rsid w:val="00634072"/>
    <w:rsid w:val="006349A1"/>
    <w:rsid w:val="00634CC7"/>
    <w:rsid w:val="00634E08"/>
    <w:rsid w:val="00635E0E"/>
    <w:rsid w:val="0063692E"/>
    <w:rsid w:val="006375DE"/>
    <w:rsid w:val="00637CCB"/>
    <w:rsid w:val="00640F35"/>
    <w:rsid w:val="00641E60"/>
    <w:rsid w:val="006425A1"/>
    <w:rsid w:val="006429BA"/>
    <w:rsid w:val="00643D7F"/>
    <w:rsid w:val="006456CB"/>
    <w:rsid w:val="00645756"/>
    <w:rsid w:val="00645818"/>
    <w:rsid w:val="00646FC5"/>
    <w:rsid w:val="006507B3"/>
    <w:rsid w:val="0065652E"/>
    <w:rsid w:val="00656C7B"/>
    <w:rsid w:val="00662146"/>
    <w:rsid w:val="00662EC4"/>
    <w:rsid w:val="006632A7"/>
    <w:rsid w:val="006633A1"/>
    <w:rsid w:val="006644C0"/>
    <w:rsid w:val="00665E5A"/>
    <w:rsid w:val="0066710D"/>
    <w:rsid w:val="00667784"/>
    <w:rsid w:val="00667D3C"/>
    <w:rsid w:val="00670526"/>
    <w:rsid w:val="00670BF4"/>
    <w:rsid w:val="0067219B"/>
    <w:rsid w:val="0067327D"/>
    <w:rsid w:val="006754EB"/>
    <w:rsid w:val="00675C39"/>
    <w:rsid w:val="006763A4"/>
    <w:rsid w:val="00677458"/>
    <w:rsid w:val="00677B27"/>
    <w:rsid w:val="006805CD"/>
    <w:rsid w:val="006816CB"/>
    <w:rsid w:val="006841FE"/>
    <w:rsid w:val="00684742"/>
    <w:rsid w:val="00684948"/>
    <w:rsid w:val="006853A9"/>
    <w:rsid w:val="00686458"/>
    <w:rsid w:val="0069259C"/>
    <w:rsid w:val="0069272F"/>
    <w:rsid w:val="0069399C"/>
    <w:rsid w:val="0069651E"/>
    <w:rsid w:val="00696A7A"/>
    <w:rsid w:val="00696E14"/>
    <w:rsid w:val="006A2796"/>
    <w:rsid w:val="006A3149"/>
    <w:rsid w:val="006A4445"/>
    <w:rsid w:val="006A56D2"/>
    <w:rsid w:val="006A5931"/>
    <w:rsid w:val="006A5D5A"/>
    <w:rsid w:val="006A6E72"/>
    <w:rsid w:val="006A7016"/>
    <w:rsid w:val="006A7DD8"/>
    <w:rsid w:val="006B0C22"/>
    <w:rsid w:val="006B168C"/>
    <w:rsid w:val="006B20DD"/>
    <w:rsid w:val="006B3C50"/>
    <w:rsid w:val="006B3E7E"/>
    <w:rsid w:val="006B4D4F"/>
    <w:rsid w:val="006B4F22"/>
    <w:rsid w:val="006B628A"/>
    <w:rsid w:val="006B67AE"/>
    <w:rsid w:val="006C024A"/>
    <w:rsid w:val="006C0F38"/>
    <w:rsid w:val="006C4B3C"/>
    <w:rsid w:val="006C5514"/>
    <w:rsid w:val="006C57DE"/>
    <w:rsid w:val="006C630D"/>
    <w:rsid w:val="006D0762"/>
    <w:rsid w:val="006D0CE9"/>
    <w:rsid w:val="006D1263"/>
    <w:rsid w:val="006D1468"/>
    <w:rsid w:val="006D3112"/>
    <w:rsid w:val="006D3201"/>
    <w:rsid w:val="006D3BDD"/>
    <w:rsid w:val="006D693E"/>
    <w:rsid w:val="006D6E70"/>
    <w:rsid w:val="006D7BD8"/>
    <w:rsid w:val="006E258F"/>
    <w:rsid w:val="006E2E3E"/>
    <w:rsid w:val="006E2F38"/>
    <w:rsid w:val="006E30DB"/>
    <w:rsid w:val="006E34E0"/>
    <w:rsid w:val="006E34FA"/>
    <w:rsid w:val="006E6FF8"/>
    <w:rsid w:val="006F10CB"/>
    <w:rsid w:val="006F1DC7"/>
    <w:rsid w:val="006F21C5"/>
    <w:rsid w:val="006F29A2"/>
    <w:rsid w:val="006F2E33"/>
    <w:rsid w:val="006F3E8B"/>
    <w:rsid w:val="006F3F64"/>
    <w:rsid w:val="006F65E9"/>
    <w:rsid w:val="006F67C2"/>
    <w:rsid w:val="006F6AC9"/>
    <w:rsid w:val="00700DD0"/>
    <w:rsid w:val="0070234A"/>
    <w:rsid w:val="007043D5"/>
    <w:rsid w:val="00705350"/>
    <w:rsid w:val="007054D4"/>
    <w:rsid w:val="007066F0"/>
    <w:rsid w:val="0070796C"/>
    <w:rsid w:val="00707CA4"/>
    <w:rsid w:val="00713520"/>
    <w:rsid w:val="00716E60"/>
    <w:rsid w:val="00716ECE"/>
    <w:rsid w:val="00717B77"/>
    <w:rsid w:val="007207E8"/>
    <w:rsid w:val="007219F1"/>
    <w:rsid w:val="00722128"/>
    <w:rsid w:val="007228B9"/>
    <w:rsid w:val="007233DE"/>
    <w:rsid w:val="007253A6"/>
    <w:rsid w:val="00726691"/>
    <w:rsid w:val="007271B3"/>
    <w:rsid w:val="007272D1"/>
    <w:rsid w:val="00731210"/>
    <w:rsid w:val="007312E2"/>
    <w:rsid w:val="0073179A"/>
    <w:rsid w:val="00732040"/>
    <w:rsid w:val="00734AF8"/>
    <w:rsid w:val="00734B4A"/>
    <w:rsid w:val="00735436"/>
    <w:rsid w:val="0073613C"/>
    <w:rsid w:val="00737F0D"/>
    <w:rsid w:val="0074026B"/>
    <w:rsid w:val="0074059D"/>
    <w:rsid w:val="00742CAA"/>
    <w:rsid w:val="00744325"/>
    <w:rsid w:val="00745722"/>
    <w:rsid w:val="00747637"/>
    <w:rsid w:val="00747A4B"/>
    <w:rsid w:val="00747BEA"/>
    <w:rsid w:val="007502A5"/>
    <w:rsid w:val="0075143B"/>
    <w:rsid w:val="00752975"/>
    <w:rsid w:val="00753B09"/>
    <w:rsid w:val="00754F88"/>
    <w:rsid w:val="0075530C"/>
    <w:rsid w:val="007565B0"/>
    <w:rsid w:val="00757FC4"/>
    <w:rsid w:val="00760016"/>
    <w:rsid w:val="0076062D"/>
    <w:rsid w:val="00761947"/>
    <w:rsid w:val="00763001"/>
    <w:rsid w:val="00763072"/>
    <w:rsid w:val="00763461"/>
    <w:rsid w:val="00764227"/>
    <w:rsid w:val="007644BB"/>
    <w:rsid w:val="007662C8"/>
    <w:rsid w:val="00766A99"/>
    <w:rsid w:val="007675E2"/>
    <w:rsid w:val="00767815"/>
    <w:rsid w:val="0077010D"/>
    <w:rsid w:val="007725F7"/>
    <w:rsid w:val="00773919"/>
    <w:rsid w:val="00774A47"/>
    <w:rsid w:val="007766F3"/>
    <w:rsid w:val="00777855"/>
    <w:rsid w:val="00777BDA"/>
    <w:rsid w:val="00781F41"/>
    <w:rsid w:val="00781FAB"/>
    <w:rsid w:val="007846EF"/>
    <w:rsid w:val="007853C4"/>
    <w:rsid w:val="00785564"/>
    <w:rsid w:val="007871E0"/>
    <w:rsid w:val="007872BD"/>
    <w:rsid w:val="007872C8"/>
    <w:rsid w:val="00787441"/>
    <w:rsid w:val="00787A47"/>
    <w:rsid w:val="00787BFD"/>
    <w:rsid w:val="00787DE3"/>
    <w:rsid w:val="007900A8"/>
    <w:rsid w:val="00790B0D"/>
    <w:rsid w:val="00793474"/>
    <w:rsid w:val="0079750A"/>
    <w:rsid w:val="00797E27"/>
    <w:rsid w:val="007A1BDD"/>
    <w:rsid w:val="007A3BD2"/>
    <w:rsid w:val="007A551B"/>
    <w:rsid w:val="007A6049"/>
    <w:rsid w:val="007A7ED4"/>
    <w:rsid w:val="007B1DC2"/>
    <w:rsid w:val="007B27F4"/>
    <w:rsid w:val="007B31DC"/>
    <w:rsid w:val="007B3DF0"/>
    <w:rsid w:val="007B4B94"/>
    <w:rsid w:val="007B52A9"/>
    <w:rsid w:val="007C1A6D"/>
    <w:rsid w:val="007C1CF6"/>
    <w:rsid w:val="007C3C5B"/>
    <w:rsid w:val="007C4DCF"/>
    <w:rsid w:val="007C50BC"/>
    <w:rsid w:val="007C5167"/>
    <w:rsid w:val="007C65F1"/>
    <w:rsid w:val="007C77F5"/>
    <w:rsid w:val="007C7DC5"/>
    <w:rsid w:val="007C7FCB"/>
    <w:rsid w:val="007D4042"/>
    <w:rsid w:val="007D5AE7"/>
    <w:rsid w:val="007D613C"/>
    <w:rsid w:val="007D61C7"/>
    <w:rsid w:val="007D7561"/>
    <w:rsid w:val="007E1EF4"/>
    <w:rsid w:val="007E2955"/>
    <w:rsid w:val="007E37CD"/>
    <w:rsid w:val="007E4ADD"/>
    <w:rsid w:val="007E51B2"/>
    <w:rsid w:val="007E51FE"/>
    <w:rsid w:val="007E5C01"/>
    <w:rsid w:val="007E5CBD"/>
    <w:rsid w:val="007E68E9"/>
    <w:rsid w:val="007F0D99"/>
    <w:rsid w:val="007F1562"/>
    <w:rsid w:val="007F1812"/>
    <w:rsid w:val="007F21A8"/>
    <w:rsid w:val="007F26A8"/>
    <w:rsid w:val="007F7991"/>
    <w:rsid w:val="0080062D"/>
    <w:rsid w:val="00800F0F"/>
    <w:rsid w:val="00801FCE"/>
    <w:rsid w:val="0080295E"/>
    <w:rsid w:val="00802A38"/>
    <w:rsid w:val="00802F90"/>
    <w:rsid w:val="00803E76"/>
    <w:rsid w:val="00804F85"/>
    <w:rsid w:val="008056C5"/>
    <w:rsid w:val="00805DBB"/>
    <w:rsid w:val="00805F0D"/>
    <w:rsid w:val="00807877"/>
    <w:rsid w:val="00810EEC"/>
    <w:rsid w:val="00810F3A"/>
    <w:rsid w:val="0081442D"/>
    <w:rsid w:val="008146AB"/>
    <w:rsid w:val="00814746"/>
    <w:rsid w:val="0081487C"/>
    <w:rsid w:val="00814B96"/>
    <w:rsid w:val="0081517B"/>
    <w:rsid w:val="00815738"/>
    <w:rsid w:val="0081645D"/>
    <w:rsid w:val="00816BA3"/>
    <w:rsid w:val="00820E0D"/>
    <w:rsid w:val="00821628"/>
    <w:rsid w:val="00823239"/>
    <w:rsid w:val="008247E9"/>
    <w:rsid w:val="0082483E"/>
    <w:rsid w:val="00825653"/>
    <w:rsid w:val="00827A81"/>
    <w:rsid w:val="00827BD7"/>
    <w:rsid w:val="00827C64"/>
    <w:rsid w:val="008318F8"/>
    <w:rsid w:val="00831981"/>
    <w:rsid w:val="00831CDC"/>
    <w:rsid w:val="00832788"/>
    <w:rsid w:val="00832B41"/>
    <w:rsid w:val="008333C6"/>
    <w:rsid w:val="00833DAA"/>
    <w:rsid w:val="008350EE"/>
    <w:rsid w:val="00837F3E"/>
    <w:rsid w:val="0084040E"/>
    <w:rsid w:val="00840811"/>
    <w:rsid w:val="008414E5"/>
    <w:rsid w:val="00841D1A"/>
    <w:rsid w:val="008420D4"/>
    <w:rsid w:val="00842785"/>
    <w:rsid w:val="00842AF1"/>
    <w:rsid w:val="00842E94"/>
    <w:rsid w:val="00843606"/>
    <w:rsid w:val="00847295"/>
    <w:rsid w:val="00847F9D"/>
    <w:rsid w:val="00850607"/>
    <w:rsid w:val="00850E0B"/>
    <w:rsid w:val="008522A7"/>
    <w:rsid w:val="008541F0"/>
    <w:rsid w:val="00855A7A"/>
    <w:rsid w:val="008560E7"/>
    <w:rsid w:val="00856F71"/>
    <w:rsid w:val="00861316"/>
    <w:rsid w:val="00863623"/>
    <w:rsid w:val="008643C8"/>
    <w:rsid w:val="00864F9A"/>
    <w:rsid w:val="00865092"/>
    <w:rsid w:val="008653A9"/>
    <w:rsid w:val="008711A6"/>
    <w:rsid w:val="00871462"/>
    <w:rsid w:val="008719B7"/>
    <w:rsid w:val="00871A72"/>
    <w:rsid w:val="00871CF6"/>
    <w:rsid w:val="008725B4"/>
    <w:rsid w:val="00873729"/>
    <w:rsid w:val="00873B0C"/>
    <w:rsid w:val="008755BF"/>
    <w:rsid w:val="00875DB7"/>
    <w:rsid w:val="00876FB0"/>
    <w:rsid w:val="0088079D"/>
    <w:rsid w:val="00881FA4"/>
    <w:rsid w:val="00882099"/>
    <w:rsid w:val="008820A5"/>
    <w:rsid w:val="00882217"/>
    <w:rsid w:val="00884552"/>
    <w:rsid w:val="008869F0"/>
    <w:rsid w:val="00886A3B"/>
    <w:rsid w:val="00887356"/>
    <w:rsid w:val="00894C37"/>
    <w:rsid w:val="008956F7"/>
    <w:rsid w:val="00895F11"/>
    <w:rsid w:val="00896915"/>
    <w:rsid w:val="00896F7C"/>
    <w:rsid w:val="008972E1"/>
    <w:rsid w:val="00897DC5"/>
    <w:rsid w:val="008A050A"/>
    <w:rsid w:val="008A078B"/>
    <w:rsid w:val="008A0E86"/>
    <w:rsid w:val="008A22CA"/>
    <w:rsid w:val="008A4084"/>
    <w:rsid w:val="008A51C0"/>
    <w:rsid w:val="008A52DC"/>
    <w:rsid w:val="008A59A5"/>
    <w:rsid w:val="008A5DC9"/>
    <w:rsid w:val="008A79CE"/>
    <w:rsid w:val="008B07AC"/>
    <w:rsid w:val="008B0FBC"/>
    <w:rsid w:val="008B124C"/>
    <w:rsid w:val="008B141C"/>
    <w:rsid w:val="008B20DE"/>
    <w:rsid w:val="008B2267"/>
    <w:rsid w:val="008B3936"/>
    <w:rsid w:val="008B482F"/>
    <w:rsid w:val="008B5B62"/>
    <w:rsid w:val="008B7593"/>
    <w:rsid w:val="008B7963"/>
    <w:rsid w:val="008C1D48"/>
    <w:rsid w:val="008C25FC"/>
    <w:rsid w:val="008C2772"/>
    <w:rsid w:val="008C359A"/>
    <w:rsid w:val="008C5D29"/>
    <w:rsid w:val="008C7387"/>
    <w:rsid w:val="008C7CE3"/>
    <w:rsid w:val="008D26D1"/>
    <w:rsid w:val="008D4737"/>
    <w:rsid w:val="008D52F4"/>
    <w:rsid w:val="008D590C"/>
    <w:rsid w:val="008D6A3A"/>
    <w:rsid w:val="008E1309"/>
    <w:rsid w:val="008E1EB7"/>
    <w:rsid w:val="008E24A2"/>
    <w:rsid w:val="008E2AE7"/>
    <w:rsid w:val="008E38DB"/>
    <w:rsid w:val="008E3BAD"/>
    <w:rsid w:val="008E43C5"/>
    <w:rsid w:val="008E449C"/>
    <w:rsid w:val="008E5DF8"/>
    <w:rsid w:val="008E5ED3"/>
    <w:rsid w:val="008F39BB"/>
    <w:rsid w:val="008F4062"/>
    <w:rsid w:val="008F49A7"/>
    <w:rsid w:val="008F5796"/>
    <w:rsid w:val="008F5D37"/>
    <w:rsid w:val="008F6C43"/>
    <w:rsid w:val="00900838"/>
    <w:rsid w:val="00900E30"/>
    <w:rsid w:val="009037CF"/>
    <w:rsid w:val="009037E2"/>
    <w:rsid w:val="00903849"/>
    <w:rsid w:val="00903A76"/>
    <w:rsid w:val="00903C2C"/>
    <w:rsid w:val="009046E4"/>
    <w:rsid w:val="0090472D"/>
    <w:rsid w:val="009049D9"/>
    <w:rsid w:val="00904B57"/>
    <w:rsid w:val="00905A76"/>
    <w:rsid w:val="009061F4"/>
    <w:rsid w:val="00907C2E"/>
    <w:rsid w:val="009104B8"/>
    <w:rsid w:val="00910D2F"/>
    <w:rsid w:val="00910ECA"/>
    <w:rsid w:val="00910F88"/>
    <w:rsid w:val="00911C1D"/>
    <w:rsid w:val="009123CD"/>
    <w:rsid w:val="00913B3A"/>
    <w:rsid w:val="00914749"/>
    <w:rsid w:val="00914E44"/>
    <w:rsid w:val="00915057"/>
    <w:rsid w:val="0091541A"/>
    <w:rsid w:val="00915EDD"/>
    <w:rsid w:val="009160D3"/>
    <w:rsid w:val="0092037B"/>
    <w:rsid w:val="00920823"/>
    <w:rsid w:val="00922C00"/>
    <w:rsid w:val="00923ED8"/>
    <w:rsid w:val="0092470D"/>
    <w:rsid w:val="00925936"/>
    <w:rsid w:val="00925A8D"/>
    <w:rsid w:val="009319CB"/>
    <w:rsid w:val="00934D5D"/>
    <w:rsid w:val="00936860"/>
    <w:rsid w:val="00936A50"/>
    <w:rsid w:val="00940BF9"/>
    <w:rsid w:val="00940E8D"/>
    <w:rsid w:val="009420C1"/>
    <w:rsid w:val="009432EE"/>
    <w:rsid w:val="009433A2"/>
    <w:rsid w:val="00943802"/>
    <w:rsid w:val="009439FD"/>
    <w:rsid w:val="0094512F"/>
    <w:rsid w:val="00945145"/>
    <w:rsid w:val="00945BA0"/>
    <w:rsid w:val="0094615C"/>
    <w:rsid w:val="00947519"/>
    <w:rsid w:val="009503DD"/>
    <w:rsid w:val="00950CCE"/>
    <w:rsid w:val="0095143F"/>
    <w:rsid w:val="009524AF"/>
    <w:rsid w:val="009529F9"/>
    <w:rsid w:val="009533FE"/>
    <w:rsid w:val="009552A6"/>
    <w:rsid w:val="00956314"/>
    <w:rsid w:val="00957951"/>
    <w:rsid w:val="009605F6"/>
    <w:rsid w:val="00960E80"/>
    <w:rsid w:val="009610E3"/>
    <w:rsid w:val="00961351"/>
    <w:rsid w:val="009619CF"/>
    <w:rsid w:val="00963A2F"/>
    <w:rsid w:val="0096435C"/>
    <w:rsid w:val="00965868"/>
    <w:rsid w:val="00965C1E"/>
    <w:rsid w:val="0097190F"/>
    <w:rsid w:val="00975FD5"/>
    <w:rsid w:val="00976E5C"/>
    <w:rsid w:val="00981EF5"/>
    <w:rsid w:val="009838BF"/>
    <w:rsid w:val="0098439E"/>
    <w:rsid w:val="00984A69"/>
    <w:rsid w:val="0098556D"/>
    <w:rsid w:val="00990565"/>
    <w:rsid w:val="00990825"/>
    <w:rsid w:val="00992526"/>
    <w:rsid w:val="0099287D"/>
    <w:rsid w:val="009933B1"/>
    <w:rsid w:val="0099384A"/>
    <w:rsid w:val="009944BD"/>
    <w:rsid w:val="00994609"/>
    <w:rsid w:val="00994B9F"/>
    <w:rsid w:val="009958D6"/>
    <w:rsid w:val="00996280"/>
    <w:rsid w:val="0099745C"/>
    <w:rsid w:val="00997864"/>
    <w:rsid w:val="00997C03"/>
    <w:rsid w:val="009A0545"/>
    <w:rsid w:val="009A0EFF"/>
    <w:rsid w:val="009A1463"/>
    <w:rsid w:val="009A31A1"/>
    <w:rsid w:val="009A3390"/>
    <w:rsid w:val="009A4C3F"/>
    <w:rsid w:val="009A59FE"/>
    <w:rsid w:val="009A6C46"/>
    <w:rsid w:val="009A6EF9"/>
    <w:rsid w:val="009A7338"/>
    <w:rsid w:val="009A74F3"/>
    <w:rsid w:val="009A776A"/>
    <w:rsid w:val="009B0660"/>
    <w:rsid w:val="009B1572"/>
    <w:rsid w:val="009B173A"/>
    <w:rsid w:val="009B181C"/>
    <w:rsid w:val="009B1A47"/>
    <w:rsid w:val="009B26E3"/>
    <w:rsid w:val="009B27B1"/>
    <w:rsid w:val="009B2B66"/>
    <w:rsid w:val="009B2F1F"/>
    <w:rsid w:val="009B3C16"/>
    <w:rsid w:val="009B44C5"/>
    <w:rsid w:val="009B60AD"/>
    <w:rsid w:val="009B6373"/>
    <w:rsid w:val="009B6D67"/>
    <w:rsid w:val="009C1067"/>
    <w:rsid w:val="009C2004"/>
    <w:rsid w:val="009C2885"/>
    <w:rsid w:val="009C3208"/>
    <w:rsid w:val="009C46BE"/>
    <w:rsid w:val="009C5261"/>
    <w:rsid w:val="009C5629"/>
    <w:rsid w:val="009C5C80"/>
    <w:rsid w:val="009C6229"/>
    <w:rsid w:val="009C6482"/>
    <w:rsid w:val="009C69D0"/>
    <w:rsid w:val="009C6DEB"/>
    <w:rsid w:val="009C6EC5"/>
    <w:rsid w:val="009D0315"/>
    <w:rsid w:val="009D079E"/>
    <w:rsid w:val="009D1B09"/>
    <w:rsid w:val="009D20C9"/>
    <w:rsid w:val="009D3458"/>
    <w:rsid w:val="009D38C7"/>
    <w:rsid w:val="009D3A04"/>
    <w:rsid w:val="009D7524"/>
    <w:rsid w:val="009E2D70"/>
    <w:rsid w:val="009E4AAF"/>
    <w:rsid w:val="009E5019"/>
    <w:rsid w:val="009E51A8"/>
    <w:rsid w:val="009E6B93"/>
    <w:rsid w:val="009E794A"/>
    <w:rsid w:val="009F0215"/>
    <w:rsid w:val="009F0218"/>
    <w:rsid w:val="009F0E08"/>
    <w:rsid w:val="009F13CB"/>
    <w:rsid w:val="009F17CE"/>
    <w:rsid w:val="009F4C08"/>
    <w:rsid w:val="009F7BC0"/>
    <w:rsid w:val="00A00D9F"/>
    <w:rsid w:val="00A015AD"/>
    <w:rsid w:val="00A01E1A"/>
    <w:rsid w:val="00A01E22"/>
    <w:rsid w:val="00A02692"/>
    <w:rsid w:val="00A02E7C"/>
    <w:rsid w:val="00A02EA2"/>
    <w:rsid w:val="00A03748"/>
    <w:rsid w:val="00A04D77"/>
    <w:rsid w:val="00A063D2"/>
    <w:rsid w:val="00A06A3B"/>
    <w:rsid w:val="00A07ADB"/>
    <w:rsid w:val="00A10792"/>
    <w:rsid w:val="00A111C8"/>
    <w:rsid w:val="00A12467"/>
    <w:rsid w:val="00A127A4"/>
    <w:rsid w:val="00A12931"/>
    <w:rsid w:val="00A12B39"/>
    <w:rsid w:val="00A12BB2"/>
    <w:rsid w:val="00A1320C"/>
    <w:rsid w:val="00A13852"/>
    <w:rsid w:val="00A140D8"/>
    <w:rsid w:val="00A15DBD"/>
    <w:rsid w:val="00A1731D"/>
    <w:rsid w:val="00A17ACC"/>
    <w:rsid w:val="00A221E8"/>
    <w:rsid w:val="00A23A0C"/>
    <w:rsid w:val="00A260B7"/>
    <w:rsid w:val="00A2634D"/>
    <w:rsid w:val="00A279E2"/>
    <w:rsid w:val="00A3152F"/>
    <w:rsid w:val="00A31A2E"/>
    <w:rsid w:val="00A31BCE"/>
    <w:rsid w:val="00A339BA"/>
    <w:rsid w:val="00A3457A"/>
    <w:rsid w:val="00A34FB0"/>
    <w:rsid w:val="00A36E23"/>
    <w:rsid w:val="00A40BC3"/>
    <w:rsid w:val="00A42EBA"/>
    <w:rsid w:val="00A43BBB"/>
    <w:rsid w:val="00A46956"/>
    <w:rsid w:val="00A472F9"/>
    <w:rsid w:val="00A508B3"/>
    <w:rsid w:val="00A5153F"/>
    <w:rsid w:val="00A52EC0"/>
    <w:rsid w:val="00A53915"/>
    <w:rsid w:val="00A55832"/>
    <w:rsid w:val="00A5673B"/>
    <w:rsid w:val="00A60AA5"/>
    <w:rsid w:val="00A619F2"/>
    <w:rsid w:val="00A631DA"/>
    <w:rsid w:val="00A639A3"/>
    <w:rsid w:val="00A641C0"/>
    <w:rsid w:val="00A650EC"/>
    <w:rsid w:val="00A654E8"/>
    <w:rsid w:val="00A65D8D"/>
    <w:rsid w:val="00A67216"/>
    <w:rsid w:val="00A67608"/>
    <w:rsid w:val="00A7057A"/>
    <w:rsid w:val="00A706C7"/>
    <w:rsid w:val="00A7089A"/>
    <w:rsid w:val="00A70C20"/>
    <w:rsid w:val="00A71784"/>
    <w:rsid w:val="00A72708"/>
    <w:rsid w:val="00A727EC"/>
    <w:rsid w:val="00A72C16"/>
    <w:rsid w:val="00A72E42"/>
    <w:rsid w:val="00A7322D"/>
    <w:rsid w:val="00A7444A"/>
    <w:rsid w:val="00A745F3"/>
    <w:rsid w:val="00A7512B"/>
    <w:rsid w:val="00A76948"/>
    <w:rsid w:val="00A7785E"/>
    <w:rsid w:val="00A77F00"/>
    <w:rsid w:val="00A822F3"/>
    <w:rsid w:val="00A843AB"/>
    <w:rsid w:val="00A86F0E"/>
    <w:rsid w:val="00A87774"/>
    <w:rsid w:val="00A877C9"/>
    <w:rsid w:val="00A878A8"/>
    <w:rsid w:val="00A910C2"/>
    <w:rsid w:val="00A92FE3"/>
    <w:rsid w:val="00A972CF"/>
    <w:rsid w:val="00AA0C49"/>
    <w:rsid w:val="00AA0DE9"/>
    <w:rsid w:val="00AA1597"/>
    <w:rsid w:val="00AA20F9"/>
    <w:rsid w:val="00AA3799"/>
    <w:rsid w:val="00AA3BC7"/>
    <w:rsid w:val="00AA486F"/>
    <w:rsid w:val="00AA4C3D"/>
    <w:rsid w:val="00AA6261"/>
    <w:rsid w:val="00AA6E69"/>
    <w:rsid w:val="00AA6EBD"/>
    <w:rsid w:val="00AA78D0"/>
    <w:rsid w:val="00AA7951"/>
    <w:rsid w:val="00AA7A09"/>
    <w:rsid w:val="00AB214E"/>
    <w:rsid w:val="00AB5272"/>
    <w:rsid w:val="00AB5AF7"/>
    <w:rsid w:val="00AB67D3"/>
    <w:rsid w:val="00AB6AA3"/>
    <w:rsid w:val="00AB7C91"/>
    <w:rsid w:val="00AB7DFE"/>
    <w:rsid w:val="00AC162D"/>
    <w:rsid w:val="00AC17A2"/>
    <w:rsid w:val="00AC4CD2"/>
    <w:rsid w:val="00AC7F9D"/>
    <w:rsid w:val="00AD063A"/>
    <w:rsid w:val="00AD1CC9"/>
    <w:rsid w:val="00AD230C"/>
    <w:rsid w:val="00AD394C"/>
    <w:rsid w:val="00AD3FFD"/>
    <w:rsid w:val="00AD40F7"/>
    <w:rsid w:val="00AD4515"/>
    <w:rsid w:val="00AD55BF"/>
    <w:rsid w:val="00AD5A21"/>
    <w:rsid w:val="00AD6EA1"/>
    <w:rsid w:val="00AE230C"/>
    <w:rsid w:val="00AE29ED"/>
    <w:rsid w:val="00AE39D6"/>
    <w:rsid w:val="00AE3C03"/>
    <w:rsid w:val="00AE3D4C"/>
    <w:rsid w:val="00AE3F92"/>
    <w:rsid w:val="00AE5E70"/>
    <w:rsid w:val="00AE5F3E"/>
    <w:rsid w:val="00AE7575"/>
    <w:rsid w:val="00AF1907"/>
    <w:rsid w:val="00AF25C1"/>
    <w:rsid w:val="00AF3010"/>
    <w:rsid w:val="00AF3696"/>
    <w:rsid w:val="00AF3DC7"/>
    <w:rsid w:val="00AF45F4"/>
    <w:rsid w:val="00AF480C"/>
    <w:rsid w:val="00AF5693"/>
    <w:rsid w:val="00AF5826"/>
    <w:rsid w:val="00AF5898"/>
    <w:rsid w:val="00AF62E8"/>
    <w:rsid w:val="00AF7ACC"/>
    <w:rsid w:val="00B0206F"/>
    <w:rsid w:val="00B0258C"/>
    <w:rsid w:val="00B027B3"/>
    <w:rsid w:val="00B0349E"/>
    <w:rsid w:val="00B03788"/>
    <w:rsid w:val="00B059CD"/>
    <w:rsid w:val="00B07962"/>
    <w:rsid w:val="00B07DC1"/>
    <w:rsid w:val="00B07DF5"/>
    <w:rsid w:val="00B1058E"/>
    <w:rsid w:val="00B11E5B"/>
    <w:rsid w:val="00B123C3"/>
    <w:rsid w:val="00B123F3"/>
    <w:rsid w:val="00B129D7"/>
    <w:rsid w:val="00B12F34"/>
    <w:rsid w:val="00B13129"/>
    <w:rsid w:val="00B13D96"/>
    <w:rsid w:val="00B13EDA"/>
    <w:rsid w:val="00B140B0"/>
    <w:rsid w:val="00B14942"/>
    <w:rsid w:val="00B14C67"/>
    <w:rsid w:val="00B15479"/>
    <w:rsid w:val="00B15ECB"/>
    <w:rsid w:val="00B16166"/>
    <w:rsid w:val="00B16546"/>
    <w:rsid w:val="00B2005E"/>
    <w:rsid w:val="00B2079D"/>
    <w:rsid w:val="00B2112D"/>
    <w:rsid w:val="00B21BCF"/>
    <w:rsid w:val="00B21E7D"/>
    <w:rsid w:val="00B22D8A"/>
    <w:rsid w:val="00B234B7"/>
    <w:rsid w:val="00B23CF3"/>
    <w:rsid w:val="00B2444C"/>
    <w:rsid w:val="00B245CC"/>
    <w:rsid w:val="00B2572A"/>
    <w:rsid w:val="00B25998"/>
    <w:rsid w:val="00B26A7E"/>
    <w:rsid w:val="00B279C5"/>
    <w:rsid w:val="00B27CD5"/>
    <w:rsid w:val="00B300CD"/>
    <w:rsid w:val="00B32435"/>
    <w:rsid w:val="00B32B8E"/>
    <w:rsid w:val="00B3301E"/>
    <w:rsid w:val="00B33450"/>
    <w:rsid w:val="00B33487"/>
    <w:rsid w:val="00B33CD5"/>
    <w:rsid w:val="00B355FC"/>
    <w:rsid w:val="00B35666"/>
    <w:rsid w:val="00B41A33"/>
    <w:rsid w:val="00B4296F"/>
    <w:rsid w:val="00B4354F"/>
    <w:rsid w:val="00B44D6C"/>
    <w:rsid w:val="00B44DE6"/>
    <w:rsid w:val="00B465C2"/>
    <w:rsid w:val="00B46CA9"/>
    <w:rsid w:val="00B47969"/>
    <w:rsid w:val="00B50B53"/>
    <w:rsid w:val="00B52AA3"/>
    <w:rsid w:val="00B53FEA"/>
    <w:rsid w:val="00B56022"/>
    <w:rsid w:val="00B56984"/>
    <w:rsid w:val="00B56B16"/>
    <w:rsid w:val="00B57C44"/>
    <w:rsid w:val="00B619AF"/>
    <w:rsid w:val="00B62134"/>
    <w:rsid w:val="00B64B00"/>
    <w:rsid w:val="00B664C7"/>
    <w:rsid w:val="00B67F98"/>
    <w:rsid w:val="00B724E2"/>
    <w:rsid w:val="00B72504"/>
    <w:rsid w:val="00B74496"/>
    <w:rsid w:val="00B7462E"/>
    <w:rsid w:val="00B74E46"/>
    <w:rsid w:val="00B769B9"/>
    <w:rsid w:val="00B7746A"/>
    <w:rsid w:val="00B778AC"/>
    <w:rsid w:val="00B8065B"/>
    <w:rsid w:val="00B841EA"/>
    <w:rsid w:val="00B84B98"/>
    <w:rsid w:val="00B84D57"/>
    <w:rsid w:val="00B84F56"/>
    <w:rsid w:val="00B85D94"/>
    <w:rsid w:val="00B86C1A"/>
    <w:rsid w:val="00B8749A"/>
    <w:rsid w:val="00B90ED0"/>
    <w:rsid w:val="00B90F94"/>
    <w:rsid w:val="00B91361"/>
    <w:rsid w:val="00B92400"/>
    <w:rsid w:val="00B92BF4"/>
    <w:rsid w:val="00B93324"/>
    <w:rsid w:val="00B9359A"/>
    <w:rsid w:val="00B9582E"/>
    <w:rsid w:val="00B964CC"/>
    <w:rsid w:val="00B971C0"/>
    <w:rsid w:val="00B97BCA"/>
    <w:rsid w:val="00BA13BC"/>
    <w:rsid w:val="00BA364A"/>
    <w:rsid w:val="00BA48CC"/>
    <w:rsid w:val="00BA5E1A"/>
    <w:rsid w:val="00BA6D40"/>
    <w:rsid w:val="00BA7F13"/>
    <w:rsid w:val="00BB0994"/>
    <w:rsid w:val="00BB31D3"/>
    <w:rsid w:val="00BB3BC1"/>
    <w:rsid w:val="00BB4471"/>
    <w:rsid w:val="00BB4CB8"/>
    <w:rsid w:val="00BB5CA1"/>
    <w:rsid w:val="00BB7C1D"/>
    <w:rsid w:val="00BC03CF"/>
    <w:rsid w:val="00BC2241"/>
    <w:rsid w:val="00BC2962"/>
    <w:rsid w:val="00BC3212"/>
    <w:rsid w:val="00BC3819"/>
    <w:rsid w:val="00BC3C54"/>
    <w:rsid w:val="00BC6071"/>
    <w:rsid w:val="00BD087B"/>
    <w:rsid w:val="00BD1DE9"/>
    <w:rsid w:val="00BD1F73"/>
    <w:rsid w:val="00BD37BA"/>
    <w:rsid w:val="00BD3E7C"/>
    <w:rsid w:val="00BD4C75"/>
    <w:rsid w:val="00BD6238"/>
    <w:rsid w:val="00BD719D"/>
    <w:rsid w:val="00BE039E"/>
    <w:rsid w:val="00BE0C26"/>
    <w:rsid w:val="00BE0DB2"/>
    <w:rsid w:val="00BE484E"/>
    <w:rsid w:val="00BF07EB"/>
    <w:rsid w:val="00BF36BA"/>
    <w:rsid w:val="00BF4C79"/>
    <w:rsid w:val="00BF53A0"/>
    <w:rsid w:val="00BF6433"/>
    <w:rsid w:val="00C0042F"/>
    <w:rsid w:val="00C007BC"/>
    <w:rsid w:val="00C02A1E"/>
    <w:rsid w:val="00C03EE3"/>
    <w:rsid w:val="00C04633"/>
    <w:rsid w:val="00C048FD"/>
    <w:rsid w:val="00C049BF"/>
    <w:rsid w:val="00C04F70"/>
    <w:rsid w:val="00C0522D"/>
    <w:rsid w:val="00C069A5"/>
    <w:rsid w:val="00C06D67"/>
    <w:rsid w:val="00C070C0"/>
    <w:rsid w:val="00C10DD5"/>
    <w:rsid w:val="00C1148B"/>
    <w:rsid w:val="00C12465"/>
    <w:rsid w:val="00C13309"/>
    <w:rsid w:val="00C137EA"/>
    <w:rsid w:val="00C14295"/>
    <w:rsid w:val="00C15DEC"/>
    <w:rsid w:val="00C16914"/>
    <w:rsid w:val="00C16A34"/>
    <w:rsid w:val="00C16A60"/>
    <w:rsid w:val="00C17CCA"/>
    <w:rsid w:val="00C20ACC"/>
    <w:rsid w:val="00C20BEF"/>
    <w:rsid w:val="00C21815"/>
    <w:rsid w:val="00C22867"/>
    <w:rsid w:val="00C2305F"/>
    <w:rsid w:val="00C23339"/>
    <w:rsid w:val="00C23DF6"/>
    <w:rsid w:val="00C24005"/>
    <w:rsid w:val="00C251E8"/>
    <w:rsid w:val="00C2613B"/>
    <w:rsid w:val="00C263F3"/>
    <w:rsid w:val="00C26514"/>
    <w:rsid w:val="00C26628"/>
    <w:rsid w:val="00C31D1E"/>
    <w:rsid w:val="00C35AC9"/>
    <w:rsid w:val="00C36AA8"/>
    <w:rsid w:val="00C36C32"/>
    <w:rsid w:val="00C36F5C"/>
    <w:rsid w:val="00C37460"/>
    <w:rsid w:val="00C40037"/>
    <w:rsid w:val="00C402C1"/>
    <w:rsid w:val="00C40C56"/>
    <w:rsid w:val="00C412CC"/>
    <w:rsid w:val="00C42527"/>
    <w:rsid w:val="00C43769"/>
    <w:rsid w:val="00C43CC9"/>
    <w:rsid w:val="00C4441F"/>
    <w:rsid w:val="00C45EFE"/>
    <w:rsid w:val="00C47F77"/>
    <w:rsid w:val="00C504D7"/>
    <w:rsid w:val="00C50ADC"/>
    <w:rsid w:val="00C50AE7"/>
    <w:rsid w:val="00C51148"/>
    <w:rsid w:val="00C511DB"/>
    <w:rsid w:val="00C5179F"/>
    <w:rsid w:val="00C51F4C"/>
    <w:rsid w:val="00C52DFC"/>
    <w:rsid w:val="00C539C2"/>
    <w:rsid w:val="00C568C8"/>
    <w:rsid w:val="00C57099"/>
    <w:rsid w:val="00C57ABE"/>
    <w:rsid w:val="00C61561"/>
    <w:rsid w:val="00C63465"/>
    <w:rsid w:val="00C663C4"/>
    <w:rsid w:val="00C66517"/>
    <w:rsid w:val="00C67E4C"/>
    <w:rsid w:val="00C67E92"/>
    <w:rsid w:val="00C706A2"/>
    <w:rsid w:val="00C71FBB"/>
    <w:rsid w:val="00C74BC1"/>
    <w:rsid w:val="00C75721"/>
    <w:rsid w:val="00C75909"/>
    <w:rsid w:val="00C778A1"/>
    <w:rsid w:val="00C80D68"/>
    <w:rsid w:val="00C8143E"/>
    <w:rsid w:val="00C82EE5"/>
    <w:rsid w:val="00C8520B"/>
    <w:rsid w:val="00C8635C"/>
    <w:rsid w:val="00C8639B"/>
    <w:rsid w:val="00C86663"/>
    <w:rsid w:val="00C87525"/>
    <w:rsid w:val="00C87A02"/>
    <w:rsid w:val="00C87A56"/>
    <w:rsid w:val="00C90699"/>
    <w:rsid w:val="00C915BA"/>
    <w:rsid w:val="00C92618"/>
    <w:rsid w:val="00C92DF9"/>
    <w:rsid w:val="00C943A2"/>
    <w:rsid w:val="00C94A79"/>
    <w:rsid w:val="00C95112"/>
    <w:rsid w:val="00C9539C"/>
    <w:rsid w:val="00C955EE"/>
    <w:rsid w:val="00C97828"/>
    <w:rsid w:val="00CA3D1A"/>
    <w:rsid w:val="00CA48BD"/>
    <w:rsid w:val="00CA4AB4"/>
    <w:rsid w:val="00CA5873"/>
    <w:rsid w:val="00CA5CA6"/>
    <w:rsid w:val="00CA7EC1"/>
    <w:rsid w:val="00CB13CE"/>
    <w:rsid w:val="00CB146F"/>
    <w:rsid w:val="00CB224E"/>
    <w:rsid w:val="00CB3D90"/>
    <w:rsid w:val="00CB4269"/>
    <w:rsid w:val="00CB4A19"/>
    <w:rsid w:val="00CB62E0"/>
    <w:rsid w:val="00CB6601"/>
    <w:rsid w:val="00CB6DA5"/>
    <w:rsid w:val="00CC0BD7"/>
    <w:rsid w:val="00CC3A7E"/>
    <w:rsid w:val="00CC3E58"/>
    <w:rsid w:val="00CC40E8"/>
    <w:rsid w:val="00CD1232"/>
    <w:rsid w:val="00CD1275"/>
    <w:rsid w:val="00CD5158"/>
    <w:rsid w:val="00CD5AFC"/>
    <w:rsid w:val="00CD67BA"/>
    <w:rsid w:val="00CD6AC9"/>
    <w:rsid w:val="00CD6F0A"/>
    <w:rsid w:val="00CD7E3A"/>
    <w:rsid w:val="00CE00BB"/>
    <w:rsid w:val="00CE0316"/>
    <w:rsid w:val="00CE03E1"/>
    <w:rsid w:val="00CE0B14"/>
    <w:rsid w:val="00CE19FE"/>
    <w:rsid w:val="00CE39FE"/>
    <w:rsid w:val="00CE752B"/>
    <w:rsid w:val="00CE7AEE"/>
    <w:rsid w:val="00CF00C7"/>
    <w:rsid w:val="00CF01FB"/>
    <w:rsid w:val="00CF1718"/>
    <w:rsid w:val="00CF3777"/>
    <w:rsid w:val="00CF422D"/>
    <w:rsid w:val="00CF45E7"/>
    <w:rsid w:val="00CF6022"/>
    <w:rsid w:val="00CF6F75"/>
    <w:rsid w:val="00CF7C41"/>
    <w:rsid w:val="00D00F76"/>
    <w:rsid w:val="00D017CC"/>
    <w:rsid w:val="00D01B79"/>
    <w:rsid w:val="00D022FB"/>
    <w:rsid w:val="00D0248A"/>
    <w:rsid w:val="00D0297F"/>
    <w:rsid w:val="00D03016"/>
    <w:rsid w:val="00D04136"/>
    <w:rsid w:val="00D044C6"/>
    <w:rsid w:val="00D07661"/>
    <w:rsid w:val="00D076DD"/>
    <w:rsid w:val="00D07A6D"/>
    <w:rsid w:val="00D101D6"/>
    <w:rsid w:val="00D1039D"/>
    <w:rsid w:val="00D10D08"/>
    <w:rsid w:val="00D113C2"/>
    <w:rsid w:val="00D13914"/>
    <w:rsid w:val="00D14535"/>
    <w:rsid w:val="00D14F18"/>
    <w:rsid w:val="00D17B0C"/>
    <w:rsid w:val="00D207DB"/>
    <w:rsid w:val="00D21EFA"/>
    <w:rsid w:val="00D227A5"/>
    <w:rsid w:val="00D22B5C"/>
    <w:rsid w:val="00D23322"/>
    <w:rsid w:val="00D254FB"/>
    <w:rsid w:val="00D27607"/>
    <w:rsid w:val="00D31200"/>
    <w:rsid w:val="00D31281"/>
    <w:rsid w:val="00D32013"/>
    <w:rsid w:val="00D32838"/>
    <w:rsid w:val="00D33865"/>
    <w:rsid w:val="00D33C0E"/>
    <w:rsid w:val="00D342D1"/>
    <w:rsid w:val="00D34808"/>
    <w:rsid w:val="00D364B1"/>
    <w:rsid w:val="00D3750E"/>
    <w:rsid w:val="00D40415"/>
    <w:rsid w:val="00D40A02"/>
    <w:rsid w:val="00D411CF"/>
    <w:rsid w:val="00D42567"/>
    <w:rsid w:val="00D42699"/>
    <w:rsid w:val="00D42846"/>
    <w:rsid w:val="00D42DE8"/>
    <w:rsid w:val="00D43E21"/>
    <w:rsid w:val="00D453AC"/>
    <w:rsid w:val="00D45490"/>
    <w:rsid w:val="00D45550"/>
    <w:rsid w:val="00D503FA"/>
    <w:rsid w:val="00D51CC0"/>
    <w:rsid w:val="00D51FDA"/>
    <w:rsid w:val="00D5435D"/>
    <w:rsid w:val="00D5453A"/>
    <w:rsid w:val="00D548E5"/>
    <w:rsid w:val="00D56AF8"/>
    <w:rsid w:val="00D57B3F"/>
    <w:rsid w:val="00D57CAA"/>
    <w:rsid w:val="00D608E9"/>
    <w:rsid w:val="00D61841"/>
    <w:rsid w:val="00D61A77"/>
    <w:rsid w:val="00D64451"/>
    <w:rsid w:val="00D64BCC"/>
    <w:rsid w:val="00D6711C"/>
    <w:rsid w:val="00D70CD0"/>
    <w:rsid w:val="00D724EF"/>
    <w:rsid w:val="00D74B7E"/>
    <w:rsid w:val="00D75095"/>
    <w:rsid w:val="00D764E6"/>
    <w:rsid w:val="00D77E66"/>
    <w:rsid w:val="00D80A98"/>
    <w:rsid w:val="00D81B06"/>
    <w:rsid w:val="00D835F0"/>
    <w:rsid w:val="00D8652E"/>
    <w:rsid w:val="00D86856"/>
    <w:rsid w:val="00D922F9"/>
    <w:rsid w:val="00D926CB"/>
    <w:rsid w:val="00D92A91"/>
    <w:rsid w:val="00D92F9F"/>
    <w:rsid w:val="00D936EA"/>
    <w:rsid w:val="00D97DD8"/>
    <w:rsid w:val="00DA007A"/>
    <w:rsid w:val="00DA0F31"/>
    <w:rsid w:val="00DA14FB"/>
    <w:rsid w:val="00DA2033"/>
    <w:rsid w:val="00DA28B0"/>
    <w:rsid w:val="00DA3348"/>
    <w:rsid w:val="00DA4FCF"/>
    <w:rsid w:val="00DA5D43"/>
    <w:rsid w:val="00DB0880"/>
    <w:rsid w:val="00DB0D34"/>
    <w:rsid w:val="00DB16E0"/>
    <w:rsid w:val="00DB2C75"/>
    <w:rsid w:val="00DB3EFD"/>
    <w:rsid w:val="00DB4154"/>
    <w:rsid w:val="00DB4238"/>
    <w:rsid w:val="00DB42C6"/>
    <w:rsid w:val="00DB42ED"/>
    <w:rsid w:val="00DB47B5"/>
    <w:rsid w:val="00DB57EF"/>
    <w:rsid w:val="00DB5AB6"/>
    <w:rsid w:val="00DB5FC0"/>
    <w:rsid w:val="00DB7563"/>
    <w:rsid w:val="00DC086D"/>
    <w:rsid w:val="00DC22C6"/>
    <w:rsid w:val="00DC2E80"/>
    <w:rsid w:val="00DC41F0"/>
    <w:rsid w:val="00DC4C34"/>
    <w:rsid w:val="00DC4C44"/>
    <w:rsid w:val="00DC60BE"/>
    <w:rsid w:val="00DC6833"/>
    <w:rsid w:val="00DC6B56"/>
    <w:rsid w:val="00DC6D99"/>
    <w:rsid w:val="00DC77B3"/>
    <w:rsid w:val="00DC78D9"/>
    <w:rsid w:val="00DD0E0F"/>
    <w:rsid w:val="00DD106A"/>
    <w:rsid w:val="00DD2F48"/>
    <w:rsid w:val="00DD3F84"/>
    <w:rsid w:val="00DD472A"/>
    <w:rsid w:val="00DD4753"/>
    <w:rsid w:val="00DD47CB"/>
    <w:rsid w:val="00DD48FC"/>
    <w:rsid w:val="00DD5ED1"/>
    <w:rsid w:val="00DD6347"/>
    <w:rsid w:val="00DD6534"/>
    <w:rsid w:val="00DD66B1"/>
    <w:rsid w:val="00DD7BD2"/>
    <w:rsid w:val="00DD7DEF"/>
    <w:rsid w:val="00DE0E7D"/>
    <w:rsid w:val="00DE26BF"/>
    <w:rsid w:val="00DE430A"/>
    <w:rsid w:val="00DE4483"/>
    <w:rsid w:val="00DE484A"/>
    <w:rsid w:val="00DE6D1E"/>
    <w:rsid w:val="00DE7408"/>
    <w:rsid w:val="00DE746B"/>
    <w:rsid w:val="00DF06DE"/>
    <w:rsid w:val="00DF1A5B"/>
    <w:rsid w:val="00DF266C"/>
    <w:rsid w:val="00DF3A5F"/>
    <w:rsid w:val="00DF3B49"/>
    <w:rsid w:val="00DF50FD"/>
    <w:rsid w:val="00DF6CE6"/>
    <w:rsid w:val="00E00836"/>
    <w:rsid w:val="00E008F8"/>
    <w:rsid w:val="00E01699"/>
    <w:rsid w:val="00E0277F"/>
    <w:rsid w:val="00E02AA4"/>
    <w:rsid w:val="00E04588"/>
    <w:rsid w:val="00E045D5"/>
    <w:rsid w:val="00E04B97"/>
    <w:rsid w:val="00E058CC"/>
    <w:rsid w:val="00E062D8"/>
    <w:rsid w:val="00E06613"/>
    <w:rsid w:val="00E07446"/>
    <w:rsid w:val="00E07902"/>
    <w:rsid w:val="00E103A9"/>
    <w:rsid w:val="00E10744"/>
    <w:rsid w:val="00E108D0"/>
    <w:rsid w:val="00E125F2"/>
    <w:rsid w:val="00E128BB"/>
    <w:rsid w:val="00E135B3"/>
    <w:rsid w:val="00E15846"/>
    <w:rsid w:val="00E15DEB"/>
    <w:rsid w:val="00E16B6F"/>
    <w:rsid w:val="00E17A61"/>
    <w:rsid w:val="00E215D2"/>
    <w:rsid w:val="00E22736"/>
    <w:rsid w:val="00E23383"/>
    <w:rsid w:val="00E23C47"/>
    <w:rsid w:val="00E24193"/>
    <w:rsid w:val="00E25F4E"/>
    <w:rsid w:val="00E27D4D"/>
    <w:rsid w:val="00E31095"/>
    <w:rsid w:val="00E32BE8"/>
    <w:rsid w:val="00E34C20"/>
    <w:rsid w:val="00E34E90"/>
    <w:rsid w:val="00E3522D"/>
    <w:rsid w:val="00E35ABE"/>
    <w:rsid w:val="00E36023"/>
    <w:rsid w:val="00E372D7"/>
    <w:rsid w:val="00E377FB"/>
    <w:rsid w:val="00E37F36"/>
    <w:rsid w:val="00E4005B"/>
    <w:rsid w:val="00E403C2"/>
    <w:rsid w:val="00E409B6"/>
    <w:rsid w:val="00E41345"/>
    <w:rsid w:val="00E41693"/>
    <w:rsid w:val="00E4230F"/>
    <w:rsid w:val="00E43012"/>
    <w:rsid w:val="00E44771"/>
    <w:rsid w:val="00E466FF"/>
    <w:rsid w:val="00E504C7"/>
    <w:rsid w:val="00E50D0A"/>
    <w:rsid w:val="00E5164D"/>
    <w:rsid w:val="00E52599"/>
    <w:rsid w:val="00E52A83"/>
    <w:rsid w:val="00E53574"/>
    <w:rsid w:val="00E53715"/>
    <w:rsid w:val="00E53864"/>
    <w:rsid w:val="00E53BFC"/>
    <w:rsid w:val="00E5680E"/>
    <w:rsid w:val="00E56AA4"/>
    <w:rsid w:val="00E60E4A"/>
    <w:rsid w:val="00E614F5"/>
    <w:rsid w:val="00E63AB7"/>
    <w:rsid w:val="00E64C12"/>
    <w:rsid w:val="00E65F99"/>
    <w:rsid w:val="00E66270"/>
    <w:rsid w:val="00E66B5A"/>
    <w:rsid w:val="00E66B76"/>
    <w:rsid w:val="00E67996"/>
    <w:rsid w:val="00E7063C"/>
    <w:rsid w:val="00E70AF6"/>
    <w:rsid w:val="00E71753"/>
    <w:rsid w:val="00E721ED"/>
    <w:rsid w:val="00E726F8"/>
    <w:rsid w:val="00E74ABC"/>
    <w:rsid w:val="00E74DE7"/>
    <w:rsid w:val="00E7510C"/>
    <w:rsid w:val="00E76536"/>
    <w:rsid w:val="00E76F2C"/>
    <w:rsid w:val="00E7712B"/>
    <w:rsid w:val="00E77CC9"/>
    <w:rsid w:val="00E81B1E"/>
    <w:rsid w:val="00E81B78"/>
    <w:rsid w:val="00E82103"/>
    <w:rsid w:val="00E8331C"/>
    <w:rsid w:val="00E836E2"/>
    <w:rsid w:val="00E848A3"/>
    <w:rsid w:val="00E85C1F"/>
    <w:rsid w:val="00E85D9F"/>
    <w:rsid w:val="00E863F5"/>
    <w:rsid w:val="00E865D1"/>
    <w:rsid w:val="00E86BE6"/>
    <w:rsid w:val="00E87191"/>
    <w:rsid w:val="00E90369"/>
    <w:rsid w:val="00E94E33"/>
    <w:rsid w:val="00E9527B"/>
    <w:rsid w:val="00E952FE"/>
    <w:rsid w:val="00E95781"/>
    <w:rsid w:val="00E95C3C"/>
    <w:rsid w:val="00E961E4"/>
    <w:rsid w:val="00E96B53"/>
    <w:rsid w:val="00E96D41"/>
    <w:rsid w:val="00E97020"/>
    <w:rsid w:val="00E9767D"/>
    <w:rsid w:val="00EA1000"/>
    <w:rsid w:val="00EA1912"/>
    <w:rsid w:val="00EA2621"/>
    <w:rsid w:val="00EA279E"/>
    <w:rsid w:val="00EA463B"/>
    <w:rsid w:val="00EA4ECC"/>
    <w:rsid w:val="00EA7004"/>
    <w:rsid w:val="00EB15B9"/>
    <w:rsid w:val="00EB17BC"/>
    <w:rsid w:val="00EB31A1"/>
    <w:rsid w:val="00EB3CFE"/>
    <w:rsid w:val="00EB3D75"/>
    <w:rsid w:val="00EB44F0"/>
    <w:rsid w:val="00EB4CB0"/>
    <w:rsid w:val="00EB5036"/>
    <w:rsid w:val="00EB5EC7"/>
    <w:rsid w:val="00EB6FAF"/>
    <w:rsid w:val="00EB7593"/>
    <w:rsid w:val="00EB77CF"/>
    <w:rsid w:val="00EC2AAF"/>
    <w:rsid w:val="00EC2BE2"/>
    <w:rsid w:val="00EC3880"/>
    <w:rsid w:val="00EC42BD"/>
    <w:rsid w:val="00EC56A8"/>
    <w:rsid w:val="00EC59E6"/>
    <w:rsid w:val="00EC6AD9"/>
    <w:rsid w:val="00EC7095"/>
    <w:rsid w:val="00EC7E30"/>
    <w:rsid w:val="00ED1927"/>
    <w:rsid w:val="00ED19B4"/>
    <w:rsid w:val="00ED1DCF"/>
    <w:rsid w:val="00ED1E5C"/>
    <w:rsid w:val="00ED24A1"/>
    <w:rsid w:val="00ED2CA6"/>
    <w:rsid w:val="00ED35C3"/>
    <w:rsid w:val="00ED4788"/>
    <w:rsid w:val="00ED6819"/>
    <w:rsid w:val="00ED6A7A"/>
    <w:rsid w:val="00ED6C8A"/>
    <w:rsid w:val="00ED715A"/>
    <w:rsid w:val="00ED74BB"/>
    <w:rsid w:val="00EE27A5"/>
    <w:rsid w:val="00EE2D50"/>
    <w:rsid w:val="00EE2ECD"/>
    <w:rsid w:val="00EE36FE"/>
    <w:rsid w:val="00EE37B9"/>
    <w:rsid w:val="00EE40AA"/>
    <w:rsid w:val="00EE4808"/>
    <w:rsid w:val="00EE50AF"/>
    <w:rsid w:val="00EE57DA"/>
    <w:rsid w:val="00EE6780"/>
    <w:rsid w:val="00EE696F"/>
    <w:rsid w:val="00EE6CCA"/>
    <w:rsid w:val="00EF14B0"/>
    <w:rsid w:val="00EF2216"/>
    <w:rsid w:val="00EF2412"/>
    <w:rsid w:val="00EF2A1B"/>
    <w:rsid w:val="00EF2A45"/>
    <w:rsid w:val="00EF5348"/>
    <w:rsid w:val="00EF5C80"/>
    <w:rsid w:val="00EF63B0"/>
    <w:rsid w:val="00EF6B99"/>
    <w:rsid w:val="00EF6CC2"/>
    <w:rsid w:val="00EF79CB"/>
    <w:rsid w:val="00F003E1"/>
    <w:rsid w:val="00F025FC"/>
    <w:rsid w:val="00F04462"/>
    <w:rsid w:val="00F04D79"/>
    <w:rsid w:val="00F067BA"/>
    <w:rsid w:val="00F07077"/>
    <w:rsid w:val="00F076D2"/>
    <w:rsid w:val="00F076F6"/>
    <w:rsid w:val="00F1276A"/>
    <w:rsid w:val="00F12B2B"/>
    <w:rsid w:val="00F13614"/>
    <w:rsid w:val="00F138A2"/>
    <w:rsid w:val="00F138B5"/>
    <w:rsid w:val="00F1428E"/>
    <w:rsid w:val="00F142D7"/>
    <w:rsid w:val="00F14A85"/>
    <w:rsid w:val="00F14CE3"/>
    <w:rsid w:val="00F20057"/>
    <w:rsid w:val="00F2034E"/>
    <w:rsid w:val="00F20BC9"/>
    <w:rsid w:val="00F22540"/>
    <w:rsid w:val="00F22980"/>
    <w:rsid w:val="00F22E4D"/>
    <w:rsid w:val="00F23EB2"/>
    <w:rsid w:val="00F26205"/>
    <w:rsid w:val="00F3441E"/>
    <w:rsid w:val="00F35D03"/>
    <w:rsid w:val="00F35E93"/>
    <w:rsid w:val="00F3603B"/>
    <w:rsid w:val="00F36ED8"/>
    <w:rsid w:val="00F373A9"/>
    <w:rsid w:val="00F409DA"/>
    <w:rsid w:val="00F41090"/>
    <w:rsid w:val="00F42CAE"/>
    <w:rsid w:val="00F43957"/>
    <w:rsid w:val="00F43CCA"/>
    <w:rsid w:val="00F443F7"/>
    <w:rsid w:val="00F44F5B"/>
    <w:rsid w:val="00F45044"/>
    <w:rsid w:val="00F46163"/>
    <w:rsid w:val="00F46C22"/>
    <w:rsid w:val="00F46D41"/>
    <w:rsid w:val="00F46F7A"/>
    <w:rsid w:val="00F47F98"/>
    <w:rsid w:val="00F54D3A"/>
    <w:rsid w:val="00F55481"/>
    <w:rsid w:val="00F565F4"/>
    <w:rsid w:val="00F56CF3"/>
    <w:rsid w:val="00F56E5F"/>
    <w:rsid w:val="00F6112F"/>
    <w:rsid w:val="00F624E0"/>
    <w:rsid w:val="00F624EE"/>
    <w:rsid w:val="00F625CD"/>
    <w:rsid w:val="00F62EAF"/>
    <w:rsid w:val="00F64B5F"/>
    <w:rsid w:val="00F65382"/>
    <w:rsid w:val="00F65EE1"/>
    <w:rsid w:val="00F670B3"/>
    <w:rsid w:val="00F704B2"/>
    <w:rsid w:val="00F72C1A"/>
    <w:rsid w:val="00F73CBE"/>
    <w:rsid w:val="00F73CE7"/>
    <w:rsid w:val="00F745F1"/>
    <w:rsid w:val="00F75C81"/>
    <w:rsid w:val="00F75E17"/>
    <w:rsid w:val="00F7666B"/>
    <w:rsid w:val="00F77B8D"/>
    <w:rsid w:val="00F81025"/>
    <w:rsid w:val="00F81356"/>
    <w:rsid w:val="00F813A2"/>
    <w:rsid w:val="00F821A0"/>
    <w:rsid w:val="00F8259B"/>
    <w:rsid w:val="00F82680"/>
    <w:rsid w:val="00F83174"/>
    <w:rsid w:val="00F83B74"/>
    <w:rsid w:val="00F863F1"/>
    <w:rsid w:val="00F867FC"/>
    <w:rsid w:val="00F86F90"/>
    <w:rsid w:val="00F90EA7"/>
    <w:rsid w:val="00F912D6"/>
    <w:rsid w:val="00F91E88"/>
    <w:rsid w:val="00F9341C"/>
    <w:rsid w:val="00F93CEF"/>
    <w:rsid w:val="00F94473"/>
    <w:rsid w:val="00F945A4"/>
    <w:rsid w:val="00FA00B9"/>
    <w:rsid w:val="00FA0291"/>
    <w:rsid w:val="00FA1249"/>
    <w:rsid w:val="00FA251D"/>
    <w:rsid w:val="00FA2635"/>
    <w:rsid w:val="00FA29C5"/>
    <w:rsid w:val="00FA314A"/>
    <w:rsid w:val="00FA4761"/>
    <w:rsid w:val="00FA6425"/>
    <w:rsid w:val="00FB03BE"/>
    <w:rsid w:val="00FB187B"/>
    <w:rsid w:val="00FB2B7C"/>
    <w:rsid w:val="00FB32C6"/>
    <w:rsid w:val="00FB35DE"/>
    <w:rsid w:val="00FB3935"/>
    <w:rsid w:val="00FB3C55"/>
    <w:rsid w:val="00FB5103"/>
    <w:rsid w:val="00FB58B2"/>
    <w:rsid w:val="00FB5A22"/>
    <w:rsid w:val="00FB5DC2"/>
    <w:rsid w:val="00FC1302"/>
    <w:rsid w:val="00FC34BB"/>
    <w:rsid w:val="00FC49CE"/>
    <w:rsid w:val="00FC56AF"/>
    <w:rsid w:val="00FC5772"/>
    <w:rsid w:val="00FC79B8"/>
    <w:rsid w:val="00FC7BD3"/>
    <w:rsid w:val="00FC7EA4"/>
    <w:rsid w:val="00FC7F4F"/>
    <w:rsid w:val="00FD0591"/>
    <w:rsid w:val="00FD13CB"/>
    <w:rsid w:val="00FD3816"/>
    <w:rsid w:val="00FD3CEA"/>
    <w:rsid w:val="00FD47ED"/>
    <w:rsid w:val="00FE1C50"/>
    <w:rsid w:val="00FE1DB5"/>
    <w:rsid w:val="00FE27F6"/>
    <w:rsid w:val="00FE333C"/>
    <w:rsid w:val="00FE4231"/>
    <w:rsid w:val="00FE4FD5"/>
    <w:rsid w:val="00FE5188"/>
    <w:rsid w:val="00FE7D20"/>
    <w:rsid w:val="00FF011F"/>
    <w:rsid w:val="00FF1A34"/>
    <w:rsid w:val="00FF2491"/>
    <w:rsid w:val="00FF25C9"/>
    <w:rsid w:val="00FF3899"/>
    <w:rsid w:val="00FF3F3D"/>
    <w:rsid w:val="00FF6A91"/>
    <w:rsid w:val="00FF7218"/>
    <w:rsid w:val="019B1886"/>
    <w:rsid w:val="01A04713"/>
    <w:rsid w:val="01A90B50"/>
    <w:rsid w:val="01E21BC8"/>
    <w:rsid w:val="01E33C05"/>
    <w:rsid w:val="02791FA7"/>
    <w:rsid w:val="02A17AE1"/>
    <w:rsid w:val="02DC6146"/>
    <w:rsid w:val="031F5DA4"/>
    <w:rsid w:val="03456CD9"/>
    <w:rsid w:val="036E638B"/>
    <w:rsid w:val="03CC4CBA"/>
    <w:rsid w:val="03E219EE"/>
    <w:rsid w:val="05610244"/>
    <w:rsid w:val="05E2177E"/>
    <w:rsid w:val="06000A2A"/>
    <w:rsid w:val="060A3D44"/>
    <w:rsid w:val="062C0F31"/>
    <w:rsid w:val="062E2713"/>
    <w:rsid w:val="06573416"/>
    <w:rsid w:val="06645909"/>
    <w:rsid w:val="06D47618"/>
    <w:rsid w:val="06D86136"/>
    <w:rsid w:val="06DC13A7"/>
    <w:rsid w:val="06FC16F2"/>
    <w:rsid w:val="07013F1B"/>
    <w:rsid w:val="071B5D5C"/>
    <w:rsid w:val="074402CA"/>
    <w:rsid w:val="077B788D"/>
    <w:rsid w:val="078A6212"/>
    <w:rsid w:val="07A614A1"/>
    <w:rsid w:val="07E50358"/>
    <w:rsid w:val="08A70F86"/>
    <w:rsid w:val="08B95EB8"/>
    <w:rsid w:val="08BE2E56"/>
    <w:rsid w:val="09400065"/>
    <w:rsid w:val="098C025E"/>
    <w:rsid w:val="09960A2D"/>
    <w:rsid w:val="09EF0A51"/>
    <w:rsid w:val="0A11216D"/>
    <w:rsid w:val="0AB0236C"/>
    <w:rsid w:val="0ACC0600"/>
    <w:rsid w:val="0AF773B6"/>
    <w:rsid w:val="0B166658"/>
    <w:rsid w:val="0B8B4D9D"/>
    <w:rsid w:val="0BBD6FD4"/>
    <w:rsid w:val="0BC41A42"/>
    <w:rsid w:val="0C2422E1"/>
    <w:rsid w:val="0C307DA8"/>
    <w:rsid w:val="0C4531A7"/>
    <w:rsid w:val="0C4A176B"/>
    <w:rsid w:val="0C637FED"/>
    <w:rsid w:val="0C9A4134"/>
    <w:rsid w:val="0D391B71"/>
    <w:rsid w:val="0DDC3D4D"/>
    <w:rsid w:val="0DEA5B02"/>
    <w:rsid w:val="0E216CB2"/>
    <w:rsid w:val="0E633CC7"/>
    <w:rsid w:val="0E7D34F0"/>
    <w:rsid w:val="0EA12652"/>
    <w:rsid w:val="0EAD3C8F"/>
    <w:rsid w:val="0ECA75C0"/>
    <w:rsid w:val="0EF12AE6"/>
    <w:rsid w:val="0F231D46"/>
    <w:rsid w:val="0F9E3C8E"/>
    <w:rsid w:val="0FD64203"/>
    <w:rsid w:val="0FD7240A"/>
    <w:rsid w:val="0FE82078"/>
    <w:rsid w:val="0FFA2953"/>
    <w:rsid w:val="100C1E2C"/>
    <w:rsid w:val="100E3BC7"/>
    <w:rsid w:val="10790B66"/>
    <w:rsid w:val="1089732F"/>
    <w:rsid w:val="11665A0D"/>
    <w:rsid w:val="119105B0"/>
    <w:rsid w:val="1329427D"/>
    <w:rsid w:val="1343765B"/>
    <w:rsid w:val="135A77E4"/>
    <w:rsid w:val="13692D76"/>
    <w:rsid w:val="138F1F49"/>
    <w:rsid w:val="14595A9E"/>
    <w:rsid w:val="14676C8E"/>
    <w:rsid w:val="14974CD5"/>
    <w:rsid w:val="14B0734C"/>
    <w:rsid w:val="154B0F2F"/>
    <w:rsid w:val="155452CE"/>
    <w:rsid w:val="15B058AD"/>
    <w:rsid w:val="15B845CE"/>
    <w:rsid w:val="15C25E6E"/>
    <w:rsid w:val="15D531F8"/>
    <w:rsid w:val="162F2A50"/>
    <w:rsid w:val="163861F6"/>
    <w:rsid w:val="166B41A8"/>
    <w:rsid w:val="16936C01"/>
    <w:rsid w:val="17067BF0"/>
    <w:rsid w:val="17775CA4"/>
    <w:rsid w:val="17FA7064"/>
    <w:rsid w:val="1803367E"/>
    <w:rsid w:val="181D612E"/>
    <w:rsid w:val="18481DE0"/>
    <w:rsid w:val="18AA5B83"/>
    <w:rsid w:val="18AA60A3"/>
    <w:rsid w:val="18E01DC6"/>
    <w:rsid w:val="19387195"/>
    <w:rsid w:val="195D2BF7"/>
    <w:rsid w:val="199B2CE9"/>
    <w:rsid w:val="19AB6CD9"/>
    <w:rsid w:val="19B149DA"/>
    <w:rsid w:val="19F47F82"/>
    <w:rsid w:val="1A2F0B0B"/>
    <w:rsid w:val="1AFC1DB7"/>
    <w:rsid w:val="1B44244F"/>
    <w:rsid w:val="1B4B596D"/>
    <w:rsid w:val="1B683F8D"/>
    <w:rsid w:val="1B776825"/>
    <w:rsid w:val="1B7B773C"/>
    <w:rsid w:val="1B7D0CB0"/>
    <w:rsid w:val="1B8530D6"/>
    <w:rsid w:val="1B8F7AA3"/>
    <w:rsid w:val="1BEA14D8"/>
    <w:rsid w:val="1BFE2FCD"/>
    <w:rsid w:val="1C1B3898"/>
    <w:rsid w:val="1C440CEA"/>
    <w:rsid w:val="1C491C10"/>
    <w:rsid w:val="1C597125"/>
    <w:rsid w:val="1C5E6F87"/>
    <w:rsid w:val="1C807311"/>
    <w:rsid w:val="1CDC687E"/>
    <w:rsid w:val="1CFA6362"/>
    <w:rsid w:val="1D186578"/>
    <w:rsid w:val="1D3C7FA0"/>
    <w:rsid w:val="1D3E17D8"/>
    <w:rsid w:val="1D603CB5"/>
    <w:rsid w:val="1D641852"/>
    <w:rsid w:val="1D9B201B"/>
    <w:rsid w:val="1DA30F10"/>
    <w:rsid w:val="1DA76E27"/>
    <w:rsid w:val="1DAC0C4B"/>
    <w:rsid w:val="1DE84070"/>
    <w:rsid w:val="1DEB35BE"/>
    <w:rsid w:val="1E2A2877"/>
    <w:rsid w:val="1EBB641D"/>
    <w:rsid w:val="1EFD053E"/>
    <w:rsid w:val="1F025825"/>
    <w:rsid w:val="1F056373"/>
    <w:rsid w:val="1F0A60FE"/>
    <w:rsid w:val="1F7670AE"/>
    <w:rsid w:val="1F8D685B"/>
    <w:rsid w:val="1F9049C8"/>
    <w:rsid w:val="1FCB4CF7"/>
    <w:rsid w:val="1FDD0830"/>
    <w:rsid w:val="1FE9712E"/>
    <w:rsid w:val="204F7036"/>
    <w:rsid w:val="20E66D21"/>
    <w:rsid w:val="20F31281"/>
    <w:rsid w:val="211C044B"/>
    <w:rsid w:val="215D7142"/>
    <w:rsid w:val="216B3C80"/>
    <w:rsid w:val="219E1A02"/>
    <w:rsid w:val="21B80361"/>
    <w:rsid w:val="21D36013"/>
    <w:rsid w:val="21DD783A"/>
    <w:rsid w:val="21DE58B5"/>
    <w:rsid w:val="21F065DA"/>
    <w:rsid w:val="22280E5C"/>
    <w:rsid w:val="22490941"/>
    <w:rsid w:val="22883AFD"/>
    <w:rsid w:val="2316727D"/>
    <w:rsid w:val="232E5815"/>
    <w:rsid w:val="233256CF"/>
    <w:rsid w:val="23414D23"/>
    <w:rsid w:val="235A4184"/>
    <w:rsid w:val="23B128E6"/>
    <w:rsid w:val="23EE59D1"/>
    <w:rsid w:val="24330BD4"/>
    <w:rsid w:val="24332BBD"/>
    <w:rsid w:val="2483647E"/>
    <w:rsid w:val="248A7E55"/>
    <w:rsid w:val="24BB4F12"/>
    <w:rsid w:val="24D67EC4"/>
    <w:rsid w:val="24F457B4"/>
    <w:rsid w:val="250861E4"/>
    <w:rsid w:val="253324A1"/>
    <w:rsid w:val="25424C7B"/>
    <w:rsid w:val="255453A2"/>
    <w:rsid w:val="256E143B"/>
    <w:rsid w:val="258C0A34"/>
    <w:rsid w:val="25977BD8"/>
    <w:rsid w:val="259D5310"/>
    <w:rsid w:val="25B9034F"/>
    <w:rsid w:val="25E0043C"/>
    <w:rsid w:val="267B10B4"/>
    <w:rsid w:val="26A26C90"/>
    <w:rsid w:val="26DC45AC"/>
    <w:rsid w:val="26F63F93"/>
    <w:rsid w:val="270E57F5"/>
    <w:rsid w:val="273D047F"/>
    <w:rsid w:val="274B743A"/>
    <w:rsid w:val="27855D23"/>
    <w:rsid w:val="27C64A2E"/>
    <w:rsid w:val="27E71B74"/>
    <w:rsid w:val="281D3EA0"/>
    <w:rsid w:val="2823562B"/>
    <w:rsid w:val="2863617E"/>
    <w:rsid w:val="28753626"/>
    <w:rsid w:val="28774EED"/>
    <w:rsid w:val="288B5D3D"/>
    <w:rsid w:val="28AF7F64"/>
    <w:rsid w:val="28E7613D"/>
    <w:rsid w:val="28EC786F"/>
    <w:rsid w:val="28F51B58"/>
    <w:rsid w:val="28FF42BD"/>
    <w:rsid w:val="299E16F1"/>
    <w:rsid w:val="2A55340C"/>
    <w:rsid w:val="2A5A534F"/>
    <w:rsid w:val="2A7135D6"/>
    <w:rsid w:val="2A7950B3"/>
    <w:rsid w:val="2A8233DF"/>
    <w:rsid w:val="2AA63D8F"/>
    <w:rsid w:val="2AB550AA"/>
    <w:rsid w:val="2AD22E02"/>
    <w:rsid w:val="2B911481"/>
    <w:rsid w:val="2C2B64B2"/>
    <w:rsid w:val="2CA15706"/>
    <w:rsid w:val="2CB13B76"/>
    <w:rsid w:val="2CFE48F4"/>
    <w:rsid w:val="2D0A1E13"/>
    <w:rsid w:val="2D0B7011"/>
    <w:rsid w:val="2D303AC8"/>
    <w:rsid w:val="2D317A84"/>
    <w:rsid w:val="2DBA53E2"/>
    <w:rsid w:val="2E325EDC"/>
    <w:rsid w:val="2E41220A"/>
    <w:rsid w:val="2E4364E9"/>
    <w:rsid w:val="2E6D7F16"/>
    <w:rsid w:val="2E7126C2"/>
    <w:rsid w:val="2EAA4FDA"/>
    <w:rsid w:val="2EBF0EAE"/>
    <w:rsid w:val="2ED75D90"/>
    <w:rsid w:val="2EE22B9B"/>
    <w:rsid w:val="2F21157F"/>
    <w:rsid w:val="2F2575EE"/>
    <w:rsid w:val="2F6F6F61"/>
    <w:rsid w:val="2F702CF3"/>
    <w:rsid w:val="30096E59"/>
    <w:rsid w:val="300E6DC1"/>
    <w:rsid w:val="30E70012"/>
    <w:rsid w:val="30FF6E3E"/>
    <w:rsid w:val="310C54C6"/>
    <w:rsid w:val="31797200"/>
    <w:rsid w:val="317E5262"/>
    <w:rsid w:val="318D2AEF"/>
    <w:rsid w:val="31CE4E56"/>
    <w:rsid w:val="31D879AA"/>
    <w:rsid w:val="31EC4135"/>
    <w:rsid w:val="31FB7BF6"/>
    <w:rsid w:val="320A04D0"/>
    <w:rsid w:val="321303F8"/>
    <w:rsid w:val="323E1F4C"/>
    <w:rsid w:val="325B4596"/>
    <w:rsid w:val="32914CFF"/>
    <w:rsid w:val="32E665F5"/>
    <w:rsid w:val="32E72810"/>
    <w:rsid w:val="32EF005F"/>
    <w:rsid w:val="333F70F3"/>
    <w:rsid w:val="33440421"/>
    <w:rsid w:val="3352130B"/>
    <w:rsid w:val="3457176D"/>
    <w:rsid w:val="34666D76"/>
    <w:rsid w:val="34A7178A"/>
    <w:rsid w:val="34D5744C"/>
    <w:rsid w:val="352F64F2"/>
    <w:rsid w:val="3540458B"/>
    <w:rsid w:val="36456976"/>
    <w:rsid w:val="36545584"/>
    <w:rsid w:val="36AA055C"/>
    <w:rsid w:val="36CE4D44"/>
    <w:rsid w:val="36DF3F4D"/>
    <w:rsid w:val="36EC2F3E"/>
    <w:rsid w:val="37454BFA"/>
    <w:rsid w:val="37533A8E"/>
    <w:rsid w:val="37BD5D31"/>
    <w:rsid w:val="37C06287"/>
    <w:rsid w:val="37F05781"/>
    <w:rsid w:val="37F76B0F"/>
    <w:rsid w:val="37FF7EA9"/>
    <w:rsid w:val="380E11D2"/>
    <w:rsid w:val="38455FA5"/>
    <w:rsid w:val="389212BB"/>
    <w:rsid w:val="38BF122F"/>
    <w:rsid w:val="38E809FD"/>
    <w:rsid w:val="39171AA6"/>
    <w:rsid w:val="393E72BA"/>
    <w:rsid w:val="3942291B"/>
    <w:rsid w:val="396629B5"/>
    <w:rsid w:val="397544B2"/>
    <w:rsid w:val="39993362"/>
    <w:rsid w:val="39CB6421"/>
    <w:rsid w:val="39D912C5"/>
    <w:rsid w:val="39EA4247"/>
    <w:rsid w:val="3A2B6D34"/>
    <w:rsid w:val="3A626EEC"/>
    <w:rsid w:val="3AF72466"/>
    <w:rsid w:val="3B1D4504"/>
    <w:rsid w:val="3B295DFD"/>
    <w:rsid w:val="3B3A0F4B"/>
    <w:rsid w:val="3B3B26BC"/>
    <w:rsid w:val="3BAD1CF4"/>
    <w:rsid w:val="3BBF2A7E"/>
    <w:rsid w:val="3C2C0BE8"/>
    <w:rsid w:val="3C3D746F"/>
    <w:rsid w:val="3C7F4E58"/>
    <w:rsid w:val="3C8E1189"/>
    <w:rsid w:val="3CC376FD"/>
    <w:rsid w:val="3CC6014B"/>
    <w:rsid w:val="3CE63A61"/>
    <w:rsid w:val="3D1148A3"/>
    <w:rsid w:val="3D2F78F0"/>
    <w:rsid w:val="3DCD09C6"/>
    <w:rsid w:val="3E0071E5"/>
    <w:rsid w:val="3E0C7BA6"/>
    <w:rsid w:val="3E0E318F"/>
    <w:rsid w:val="3E42660A"/>
    <w:rsid w:val="3E4B6CCC"/>
    <w:rsid w:val="3E5D5C00"/>
    <w:rsid w:val="3EB81BB6"/>
    <w:rsid w:val="3ECE1791"/>
    <w:rsid w:val="3EE57D05"/>
    <w:rsid w:val="3EFE6DDF"/>
    <w:rsid w:val="3F59755D"/>
    <w:rsid w:val="3F5F0F49"/>
    <w:rsid w:val="3F7204B7"/>
    <w:rsid w:val="3FAA3385"/>
    <w:rsid w:val="3FC0190F"/>
    <w:rsid w:val="3FC76DC7"/>
    <w:rsid w:val="3FFF2586"/>
    <w:rsid w:val="40677739"/>
    <w:rsid w:val="41044E9E"/>
    <w:rsid w:val="41422E49"/>
    <w:rsid w:val="4158270A"/>
    <w:rsid w:val="417440EB"/>
    <w:rsid w:val="41761EDC"/>
    <w:rsid w:val="418E2AD2"/>
    <w:rsid w:val="41F54E1E"/>
    <w:rsid w:val="42044303"/>
    <w:rsid w:val="420E4AEB"/>
    <w:rsid w:val="42814B39"/>
    <w:rsid w:val="43052C2B"/>
    <w:rsid w:val="43316B9B"/>
    <w:rsid w:val="435B634B"/>
    <w:rsid w:val="4365471F"/>
    <w:rsid w:val="439A0483"/>
    <w:rsid w:val="439E57C9"/>
    <w:rsid w:val="440957B7"/>
    <w:rsid w:val="443C445C"/>
    <w:rsid w:val="44420D62"/>
    <w:rsid w:val="448054C2"/>
    <w:rsid w:val="4495579B"/>
    <w:rsid w:val="45390BAE"/>
    <w:rsid w:val="455F6A4D"/>
    <w:rsid w:val="456834EB"/>
    <w:rsid w:val="458C4D3B"/>
    <w:rsid w:val="459A7A02"/>
    <w:rsid w:val="45EF0E26"/>
    <w:rsid w:val="464C641F"/>
    <w:rsid w:val="46635C24"/>
    <w:rsid w:val="46743A9F"/>
    <w:rsid w:val="467A3533"/>
    <w:rsid w:val="469B1D69"/>
    <w:rsid w:val="474A6C5C"/>
    <w:rsid w:val="474C398C"/>
    <w:rsid w:val="47C23324"/>
    <w:rsid w:val="480F68C5"/>
    <w:rsid w:val="4856210A"/>
    <w:rsid w:val="488061BD"/>
    <w:rsid w:val="489F5239"/>
    <w:rsid w:val="48AA417F"/>
    <w:rsid w:val="48D97676"/>
    <w:rsid w:val="48FD5F50"/>
    <w:rsid w:val="491830B4"/>
    <w:rsid w:val="495964C5"/>
    <w:rsid w:val="496A2039"/>
    <w:rsid w:val="49A862A6"/>
    <w:rsid w:val="49AE5692"/>
    <w:rsid w:val="4A7C1AFB"/>
    <w:rsid w:val="4AD56313"/>
    <w:rsid w:val="4B4A7BF2"/>
    <w:rsid w:val="4B971D44"/>
    <w:rsid w:val="4BEF1680"/>
    <w:rsid w:val="4C3744FA"/>
    <w:rsid w:val="4C491AB7"/>
    <w:rsid w:val="4C621474"/>
    <w:rsid w:val="4C7402D7"/>
    <w:rsid w:val="4CA6442E"/>
    <w:rsid w:val="4CAC2B2C"/>
    <w:rsid w:val="4CB82F87"/>
    <w:rsid w:val="4CC47B4C"/>
    <w:rsid w:val="4CE35913"/>
    <w:rsid w:val="4D344FB4"/>
    <w:rsid w:val="4DEA173F"/>
    <w:rsid w:val="4E3002BE"/>
    <w:rsid w:val="4E3C528E"/>
    <w:rsid w:val="4E4640DB"/>
    <w:rsid w:val="4E6A4F74"/>
    <w:rsid w:val="4E761059"/>
    <w:rsid w:val="4E7E5FEB"/>
    <w:rsid w:val="4E850579"/>
    <w:rsid w:val="4E874B12"/>
    <w:rsid w:val="4E893F49"/>
    <w:rsid w:val="4EBD30D8"/>
    <w:rsid w:val="4EC97ECF"/>
    <w:rsid w:val="4ED61174"/>
    <w:rsid w:val="4EFE604D"/>
    <w:rsid w:val="4F077BBF"/>
    <w:rsid w:val="4F491728"/>
    <w:rsid w:val="4F9257EE"/>
    <w:rsid w:val="4FDE745A"/>
    <w:rsid w:val="4FEE4796"/>
    <w:rsid w:val="508C6C00"/>
    <w:rsid w:val="50AE3B32"/>
    <w:rsid w:val="50DB222E"/>
    <w:rsid w:val="50F4638B"/>
    <w:rsid w:val="512C0155"/>
    <w:rsid w:val="51470C1D"/>
    <w:rsid w:val="51C81416"/>
    <w:rsid w:val="52095F7F"/>
    <w:rsid w:val="52362F27"/>
    <w:rsid w:val="524C4B59"/>
    <w:rsid w:val="52585463"/>
    <w:rsid w:val="526A0375"/>
    <w:rsid w:val="52BB6C5F"/>
    <w:rsid w:val="53882062"/>
    <w:rsid w:val="53A73262"/>
    <w:rsid w:val="5438650E"/>
    <w:rsid w:val="543C4C73"/>
    <w:rsid w:val="544432F1"/>
    <w:rsid w:val="545F2D48"/>
    <w:rsid w:val="54723052"/>
    <w:rsid w:val="549A1C35"/>
    <w:rsid w:val="549E7802"/>
    <w:rsid w:val="54B00533"/>
    <w:rsid w:val="54F32271"/>
    <w:rsid w:val="55200FFC"/>
    <w:rsid w:val="55241022"/>
    <w:rsid w:val="55345D1A"/>
    <w:rsid w:val="554A7E27"/>
    <w:rsid w:val="5564469E"/>
    <w:rsid w:val="556534F9"/>
    <w:rsid w:val="55A92684"/>
    <w:rsid w:val="55F64438"/>
    <w:rsid w:val="56061E36"/>
    <w:rsid w:val="56165E3E"/>
    <w:rsid w:val="56333B4D"/>
    <w:rsid w:val="56633896"/>
    <w:rsid w:val="566F4D8A"/>
    <w:rsid w:val="56FA67C9"/>
    <w:rsid w:val="5705494D"/>
    <w:rsid w:val="570C5643"/>
    <w:rsid w:val="5732128B"/>
    <w:rsid w:val="57415259"/>
    <w:rsid w:val="5757086C"/>
    <w:rsid w:val="57A47755"/>
    <w:rsid w:val="582052F6"/>
    <w:rsid w:val="58336C1B"/>
    <w:rsid w:val="5859658F"/>
    <w:rsid w:val="58A36C64"/>
    <w:rsid w:val="58A76BF2"/>
    <w:rsid w:val="58C7152D"/>
    <w:rsid w:val="58D92334"/>
    <w:rsid w:val="58DF1094"/>
    <w:rsid w:val="59317A50"/>
    <w:rsid w:val="59634BDB"/>
    <w:rsid w:val="598900F2"/>
    <w:rsid w:val="59E02241"/>
    <w:rsid w:val="59E450C1"/>
    <w:rsid w:val="5A332759"/>
    <w:rsid w:val="5A661FDC"/>
    <w:rsid w:val="5AB726D5"/>
    <w:rsid w:val="5ABD1678"/>
    <w:rsid w:val="5AD559EF"/>
    <w:rsid w:val="5B123603"/>
    <w:rsid w:val="5B417B4A"/>
    <w:rsid w:val="5B647993"/>
    <w:rsid w:val="5BB17A59"/>
    <w:rsid w:val="5BE9550E"/>
    <w:rsid w:val="5BF70DC8"/>
    <w:rsid w:val="5C6555B0"/>
    <w:rsid w:val="5C9F3736"/>
    <w:rsid w:val="5CAF3662"/>
    <w:rsid w:val="5CC9378A"/>
    <w:rsid w:val="5CF87C1E"/>
    <w:rsid w:val="5D2A02CF"/>
    <w:rsid w:val="5D3715D8"/>
    <w:rsid w:val="5D447851"/>
    <w:rsid w:val="5DA00227"/>
    <w:rsid w:val="5DAD0266"/>
    <w:rsid w:val="5E007115"/>
    <w:rsid w:val="5E207B84"/>
    <w:rsid w:val="5E9C0433"/>
    <w:rsid w:val="5EB64D45"/>
    <w:rsid w:val="5EC11376"/>
    <w:rsid w:val="5EC92FF7"/>
    <w:rsid w:val="5EE4753E"/>
    <w:rsid w:val="5FBBA1A8"/>
    <w:rsid w:val="5FFA19CD"/>
    <w:rsid w:val="602B7839"/>
    <w:rsid w:val="603E6E84"/>
    <w:rsid w:val="604662CD"/>
    <w:rsid w:val="60467304"/>
    <w:rsid w:val="604B2494"/>
    <w:rsid w:val="60565C5F"/>
    <w:rsid w:val="6057093E"/>
    <w:rsid w:val="60630D2F"/>
    <w:rsid w:val="606755C6"/>
    <w:rsid w:val="612D08CE"/>
    <w:rsid w:val="61395BD4"/>
    <w:rsid w:val="613B077E"/>
    <w:rsid w:val="61D66406"/>
    <w:rsid w:val="62014FB6"/>
    <w:rsid w:val="6210640F"/>
    <w:rsid w:val="626F6333"/>
    <w:rsid w:val="62F4403F"/>
    <w:rsid w:val="62FD58CE"/>
    <w:rsid w:val="63100901"/>
    <w:rsid w:val="634A4724"/>
    <w:rsid w:val="63D865C0"/>
    <w:rsid w:val="641C3007"/>
    <w:rsid w:val="641F57FC"/>
    <w:rsid w:val="64332B4B"/>
    <w:rsid w:val="643678A2"/>
    <w:rsid w:val="643958C7"/>
    <w:rsid w:val="64AA322C"/>
    <w:rsid w:val="64F055ED"/>
    <w:rsid w:val="65043CE5"/>
    <w:rsid w:val="657C13E9"/>
    <w:rsid w:val="658C5994"/>
    <w:rsid w:val="65935A74"/>
    <w:rsid w:val="65AC202B"/>
    <w:rsid w:val="65C07996"/>
    <w:rsid w:val="661029C7"/>
    <w:rsid w:val="662564A6"/>
    <w:rsid w:val="663071AD"/>
    <w:rsid w:val="66500DEB"/>
    <w:rsid w:val="66BC8C78"/>
    <w:rsid w:val="66CE0BC7"/>
    <w:rsid w:val="66E263FE"/>
    <w:rsid w:val="66F6669C"/>
    <w:rsid w:val="674C2769"/>
    <w:rsid w:val="676A4358"/>
    <w:rsid w:val="67882AB8"/>
    <w:rsid w:val="67CC1110"/>
    <w:rsid w:val="67DC1F7A"/>
    <w:rsid w:val="67DD0BBE"/>
    <w:rsid w:val="680266C6"/>
    <w:rsid w:val="68142F96"/>
    <w:rsid w:val="68280053"/>
    <w:rsid w:val="6837750A"/>
    <w:rsid w:val="68672FDA"/>
    <w:rsid w:val="688A31A0"/>
    <w:rsid w:val="68C97E54"/>
    <w:rsid w:val="68E96089"/>
    <w:rsid w:val="694B7E7A"/>
    <w:rsid w:val="696A076B"/>
    <w:rsid w:val="69994730"/>
    <w:rsid w:val="69CB6B2D"/>
    <w:rsid w:val="6A0E540E"/>
    <w:rsid w:val="6A32764B"/>
    <w:rsid w:val="6A751D37"/>
    <w:rsid w:val="6A7C1ED2"/>
    <w:rsid w:val="6AC81AC2"/>
    <w:rsid w:val="6ACD4147"/>
    <w:rsid w:val="6B2E320E"/>
    <w:rsid w:val="6B8168B2"/>
    <w:rsid w:val="6BC6435F"/>
    <w:rsid w:val="6BCB4FD8"/>
    <w:rsid w:val="6BDB430C"/>
    <w:rsid w:val="6BE8638A"/>
    <w:rsid w:val="6C0E723F"/>
    <w:rsid w:val="6C107F7D"/>
    <w:rsid w:val="6C4453AD"/>
    <w:rsid w:val="6C501013"/>
    <w:rsid w:val="6C561BA6"/>
    <w:rsid w:val="6CDB7539"/>
    <w:rsid w:val="6D2364AB"/>
    <w:rsid w:val="6D44425E"/>
    <w:rsid w:val="6D967F60"/>
    <w:rsid w:val="6D9D0299"/>
    <w:rsid w:val="6DAF561B"/>
    <w:rsid w:val="6DCA3DA3"/>
    <w:rsid w:val="6DEF44FA"/>
    <w:rsid w:val="6E5B49FB"/>
    <w:rsid w:val="6E6D74BA"/>
    <w:rsid w:val="6E99703A"/>
    <w:rsid w:val="6ED91229"/>
    <w:rsid w:val="6EEA2046"/>
    <w:rsid w:val="6F276C60"/>
    <w:rsid w:val="6F2C3609"/>
    <w:rsid w:val="6F5B75DF"/>
    <w:rsid w:val="6F7774F7"/>
    <w:rsid w:val="6F90257D"/>
    <w:rsid w:val="6FEF1E19"/>
    <w:rsid w:val="6FFEEDF7"/>
    <w:rsid w:val="700B668E"/>
    <w:rsid w:val="702B40F9"/>
    <w:rsid w:val="70824D25"/>
    <w:rsid w:val="70830FBF"/>
    <w:rsid w:val="709D11C2"/>
    <w:rsid w:val="70BB6825"/>
    <w:rsid w:val="70CC469E"/>
    <w:rsid w:val="712C7868"/>
    <w:rsid w:val="71FE5643"/>
    <w:rsid w:val="72247F25"/>
    <w:rsid w:val="725D148B"/>
    <w:rsid w:val="725E49FD"/>
    <w:rsid w:val="72976FDD"/>
    <w:rsid w:val="72C00916"/>
    <w:rsid w:val="72C963D7"/>
    <w:rsid w:val="72CBD257"/>
    <w:rsid w:val="72FA1D73"/>
    <w:rsid w:val="73257B6D"/>
    <w:rsid w:val="733B4CEA"/>
    <w:rsid w:val="733E21D0"/>
    <w:rsid w:val="73AC6F81"/>
    <w:rsid w:val="73B733AB"/>
    <w:rsid w:val="73F54A48"/>
    <w:rsid w:val="73F83D4F"/>
    <w:rsid w:val="740404AF"/>
    <w:rsid w:val="741101A7"/>
    <w:rsid w:val="74517936"/>
    <w:rsid w:val="74970E63"/>
    <w:rsid w:val="74E94187"/>
    <w:rsid w:val="74F87C6B"/>
    <w:rsid w:val="75286F53"/>
    <w:rsid w:val="75544086"/>
    <w:rsid w:val="755705D0"/>
    <w:rsid w:val="75BC3B6F"/>
    <w:rsid w:val="75C024B7"/>
    <w:rsid w:val="75C4732A"/>
    <w:rsid w:val="75C80722"/>
    <w:rsid w:val="75FB2AD3"/>
    <w:rsid w:val="7606442A"/>
    <w:rsid w:val="76323442"/>
    <w:rsid w:val="765741B3"/>
    <w:rsid w:val="768B4D55"/>
    <w:rsid w:val="7693393A"/>
    <w:rsid w:val="76CF19C2"/>
    <w:rsid w:val="76D704E4"/>
    <w:rsid w:val="76E02FF1"/>
    <w:rsid w:val="76EEC792"/>
    <w:rsid w:val="77112A42"/>
    <w:rsid w:val="771863F0"/>
    <w:rsid w:val="77AF712A"/>
    <w:rsid w:val="77FA8F08"/>
    <w:rsid w:val="781613FD"/>
    <w:rsid w:val="78626344"/>
    <w:rsid w:val="78937D70"/>
    <w:rsid w:val="789F50CF"/>
    <w:rsid w:val="78BA627E"/>
    <w:rsid w:val="79022CB1"/>
    <w:rsid w:val="79227365"/>
    <w:rsid w:val="79692029"/>
    <w:rsid w:val="798C3A5E"/>
    <w:rsid w:val="79C0276F"/>
    <w:rsid w:val="79D24905"/>
    <w:rsid w:val="79EF019D"/>
    <w:rsid w:val="7A2F0777"/>
    <w:rsid w:val="7A3F1FFC"/>
    <w:rsid w:val="7A5114C1"/>
    <w:rsid w:val="7A5F5873"/>
    <w:rsid w:val="7A8417B3"/>
    <w:rsid w:val="7ABA3AA8"/>
    <w:rsid w:val="7AC96BFE"/>
    <w:rsid w:val="7B050FBB"/>
    <w:rsid w:val="7B403C31"/>
    <w:rsid w:val="7BBB590B"/>
    <w:rsid w:val="7BFE4FF0"/>
    <w:rsid w:val="7C272826"/>
    <w:rsid w:val="7C294AFE"/>
    <w:rsid w:val="7C3F1254"/>
    <w:rsid w:val="7C420474"/>
    <w:rsid w:val="7C4955C7"/>
    <w:rsid w:val="7C807CD9"/>
    <w:rsid w:val="7CE37DAA"/>
    <w:rsid w:val="7CEC6480"/>
    <w:rsid w:val="7CFD3528"/>
    <w:rsid w:val="7D0D021A"/>
    <w:rsid w:val="7D374324"/>
    <w:rsid w:val="7D671C4B"/>
    <w:rsid w:val="7D723791"/>
    <w:rsid w:val="7DBB54B6"/>
    <w:rsid w:val="7DE66B44"/>
    <w:rsid w:val="7E4748C9"/>
    <w:rsid w:val="7E5B7557"/>
    <w:rsid w:val="7E6D7DAE"/>
    <w:rsid w:val="7E77734F"/>
    <w:rsid w:val="7E957E26"/>
    <w:rsid w:val="7F160E03"/>
    <w:rsid w:val="7F454426"/>
    <w:rsid w:val="7F587460"/>
    <w:rsid w:val="7F7A4508"/>
    <w:rsid w:val="7F9E1B0A"/>
    <w:rsid w:val="7FAF37CB"/>
    <w:rsid w:val="7FB56E1B"/>
    <w:rsid w:val="7FC00B62"/>
    <w:rsid w:val="7FDA13D2"/>
    <w:rsid w:val="7FE15A5D"/>
    <w:rsid w:val="7FFC56CA"/>
    <w:rsid w:val="7FFF35B4"/>
    <w:rsid w:val="9FF79F63"/>
    <w:rsid w:val="B77F2A4B"/>
    <w:rsid w:val="BAED6535"/>
    <w:rsid w:val="BF75A23F"/>
    <w:rsid w:val="BFFF8555"/>
    <w:rsid w:val="DFB76936"/>
    <w:rsid w:val="DFE7A066"/>
    <w:rsid w:val="E1E5730B"/>
    <w:rsid w:val="E5DF0CE1"/>
    <w:rsid w:val="E6FF9C87"/>
    <w:rsid w:val="E7EF2A17"/>
    <w:rsid w:val="EA65E403"/>
    <w:rsid w:val="EFF6E8DC"/>
    <w:rsid w:val="F3EF8CC0"/>
    <w:rsid w:val="F6FFDA01"/>
    <w:rsid w:val="F7CB78A7"/>
    <w:rsid w:val="FABD746A"/>
    <w:rsid w:val="FAEF9E4D"/>
    <w:rsid w:val="FAFA6210"/>
    <w:rsid w:val="FDFF01A7"/>
    <w:rsid w:val="FF2B4B0B"/>
    <w:rsid w:val="FFF7E96B"/>
    <w:rsid w:val="FFFBC151"/>
    <w:rsid w:val="FFFFC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unhideWhenUsed/>
    <w:qFormat/>
    <w:uiPriority w:val="0"/>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5"/>
    <w:basedOn w:val="1"/>
    <w:next w:val="1"/>
    <w:qFormat/>
    <w:uiPriority w:val="9"/>
    <w:pPr>
      <w:keepNext/>
      <w:keepLines/>
      <w:numPr>
        <w:ilvl w:val="4"/>
        <w:numId w:val="1"/>
      </w:numPr>
      <w:spacing w:line="360" w:lineRule="auto"/>
      <w:outlineLvl w:val="4"/>
    </w:pPr>
    <w:rPr>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rPr>
  </w:style>
  <w:style w:type="paragraph" w:styleId="7">
    <w:name w:val="caption"/>
    <w:basedOn w:val="1"/>
    <w:next w:val="1"/>
    <w:qFormat/>
    <w:uiPriority w:val="35"/>
    <w:rPr>
      <w:rFonts w:ascii="Cambria" w:hAnsi="Cambria" w:eastAsia="黑体"/>
      <w:sz w:val="20"/>
      <w:szCs w:val="20"/>
    </w:rPr>
  </w:style>
  <w:style w:type="paragraph" w:styleId="8">
    <w:name w:val="annotation text"/>
    <w:basedOn w:val="1"/>
    <w:link w:val="65"/>
    <w:semiHidden/>
    <w:unhideWhenUsed/>
    <w:qFormat/>
    <w:uiPriority w:val="99"/>
    <w:pPr>
      <w:jc w:val="left"/>
    </w:pPr>
  </w:style>
  <w:style w:type="paragraph" w:styleId="9">
    <w:name w:val="Body Text"/>
    <w:basedOn w:val="1"/>
    <w:next w:val="10"/>
    <w:link w:val="56"/>
    <w:qFormat/>
    <w:uiPriority w:val="1"/>
    <w:pPr>
      <w:ind w:left="110"/>
      <w:jc w:val="left"/>
    </w:pPr>
    <w:rPr>
      <w:rFonts w:ascii="宋体" w:hAnsi="宋体"/>
      <w:color w:val="000000" w:themeColor="text1"/>
      <w:kern w:val="0"/>
      <w:sz w:val="20"/>
      <w:szCs w:val="20"/>
      <w:lang w:eastAsia="en-US"/>
      <w14:textFill>
        <w14:solidFill>
          <w14:schemeClr w14:val="tx1"/>
        </w14:solidFill>
      </w14:textFill>
    </w:rPr>
  </w:style>
  <w:style w:type="paragraph" w:styleId="10">
    <w:name w:val="toc 5"/>
    <w:basedOn w:val="1"/>
    <w:next w:val="1"/>
    <w:unhideWhenUsed/>
    <w:qFormat/>
    <w:uiPriority w:val="39"/>
    <w:pPr>
      <w:ind w:left="1680" w:leftChars="800"/>
    </w:pPr>
    <w:rPr>
      <w:rFonts w:asciiTheme="minorHAnsi" w:hAnsiTheme="minorHAnsi" w:eastAsiaTheme="minorEastAsia" w:cstheme="minorBidi"/>
    </w:rPr>
  </w:style>
  <w:style w:type="paragraph" w:styleId="11">
    <w:name w:val="toc 3"/>
    <w:basedOn w:val="1"/>
    <w:next w:val="1"/>
    <w:unhideWhenUsed/>
    <w:qFormat/>
    <w:uiPriority w:val="39"/>
    <w:pPr>
      <w:ind w:left="840" w:leftChars="400"/>
    </w:pPr>
    <w:rPr>
      <w:rFonts w:asciiTheme="minorHAnsi" w:hAnsiTheme="minorHAnsi" w:eastAsiaTheme="minorEastAsia" w:cstheme="minorBidi"/>
    </w:rPr>
  </w:style>
  <w:style w:type="paragraph" w:styleId="12">
    <w:name w:val="toc 8"/>
    <w:basedOn w:val="1"/>
    <w:next w:val="1"/>
    <w:unhideWhenUsed/>
    <w:qFormat/>
    <w:uiPriority w:val="39"/>
    <w:pPr>
      <w:ind w:left="2940" w:leftChars="1400"/>
    </w:pPr>
    <w:rPr>
      <w:rFonts w:asciiTheme="minorHAnsi" w:hAnsiTheme="minorHAnsi" w:eastAsiaTheme="minorEastAsia" w:cstheme="minorBidi"/>
    </w:rPr>
  </w:style>
  <w:style w:type="paragraph" w:styleId="13">
    <w:name w:val="Date"/>
    <w:basedOn w:val="1"/>
    <w:next w:val="1"/>
    <w:link w:val="67"/>
    <w:semiHidden/>
    <w:unhideWhenUsed/>
    <w:qFormat/>
    <w:uiPriority w:val="99"/>
    <w:pPr>
      <w:ind w:left="100" w:leftChars="2500"/>
    </w:pPr>
  </w:style>
  <w:style w:type="paragraph" w:styleId="14">
    <w:name w:val="Balloon Text"/>
    <w:basedOn w:val="1"/>
    <w:link w:val="62"/>
    <w:semiHidden/>
    <w:unhideWhenUsed/>
    <w:qFormat/>
    <w:uiPriority w:val="99"/>
    <w:rPr>
      <w:sz w:val="18"/>
      <w:szCs w:val="18"/>
    </w:rPr>
  </w:style>
  <w:style w:type="paragraph" w:styleId="15">
    <w:name w:val="footer"/>
    <w:basedOn w:val="1"/>
    <w:link w:val="3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6">
    <w:name w:val="header"/>
    <w:basedOn w:val="1"/>
    <w:link w:val="3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toc 1"/>
    <w:basedOn w:val="1"/>
    <w:next w:val="1"/>
    <w:unhideWhenUsed/>
    <w:qFormat/>
    <w:uiPriority w:val="39"/>
    <w:pPr>
      <w:tabs>
        <w:tab w:val="left" w:pos="1050"/>
        <w:tab w:val="right" w:leader="dot" w:pos="13948"/>
      </w:tabs>
      <w:ind w:firstLine="0"/>
    </w:pPr>
    <w:rPr>
      <w:rFonts w:asciiTheme="minorAscii" w:hAnsiTheme="minorAscii" w:eastAsiaTheme="minorEastAsia" w:cstheme="minorBidi"/>
    </w:rPr>
  </w:style>
  <w:style w:type="paragraph" w:styleId="18">
    <w:name w:val="toc 4"/>
    <w:basedOn w:val="1"/>
    <w:next w:val="1"/>
    <w:unhideWhenUsed/>
    <w:qFormat/>
    <w:uiPriority w:val="39"/>
    <w:pPr>
      <w:ind w:left="1260" w:leftChars="600"/>
    </w:pPr>
    <w:rPr>
      <w:rFonts w:asciiTheme="minorHAnsi" w:hAnsiTheme="minorHAnsi" w:eastAsiaTheme="minorEastAsia" w:cstheme="minorBidi"/>
    </w:rPr>
  </w:style>
  <w:style w:type="paragraph" w:styleId="19">
    <w:name w:val="toc 6"/>
    <w:basedOn w:val="1"/>
    <w:next w:val="1"/>
    <w:unhideWhenUsed/>
    <w:qFormat/>
    <w:uiPriority w:val="39"/>
    <w:pPr>
      <w:ind w:left="2100" w:leftChars="1000"/>
    </w:pPr>
    <w:rPr>
      <w:rFonts w:asciiTheme="minorHAnsi" w:hAnsiTheme="minorHAnsi" w:eastAsiaTheme="minorEastAsia" w:cstheme="minorBidi"/>
    </w:rPr>
  </w:style>
  <w:style w:type="paragraph" w:styleId="20">
    <w:name w:val="toc 2"/>
    <w:basedOn w:val="1"/>
    <w:next w:val="1"/>
    <w:unhideWhenUsed/>
    <w:qFormat/>
    <w:uiPriority w:val="39"/>
    <w:pPr>
      <w:ind w:left="420" w:leftChars="200"/>
    </w:pPr>
    <w:rPr>
      <w:rFonts w:asciiTheme="minorHAnsi" w:hAnsiTheme="minorHAnsi" w:eastAsiaTheme="minorEastAsia" w:cstheme="minorBidi"/>
    </w:rPr>
  </w:style>
  <w:style w:type="paragraph" w:styleId="21">
    <w:name w:val="toc 9"/>
    <w:basedOn w:val="1"/>
    <w:next w:val="1"/>
    <w:unhideWhenUsed/>
    <w:qFormat/>
    <w:uiPriority w:val="39"/>
    <w:pPr>
      <w:ind w:left="3360" w:leftChars="1600"/>
    </w:pPr>
    <w:rPr>
      <w:rFonts w:asciiTheme="minorHAnsi" w:hAnsiTheme="minorHAnsi" w:eastAsiaTheme="minorEastAsia" w:cstheme="minorBidi"/>
    </w:rPr>
  </w:style>
  <w:style w:type="paragraph" w:styleId="22">
    <w:name w:val="Normal (Web)"/>
    <w:basedOn w:val="1"/>
    <w:semiHidden/>
    <w:unhideWhenUsed/>
    <w:qFormat/>
    <w:uiPriority w:val="99"/>
    <w:pPr>
      <w:spacing w:beforeAutospacing="1" w:afterAutospacing="1"/>
      <w:jc w:val="left"/>
    </w:pPr>
    <w:rPr>
      <w:kern w:val="0"/>
      <w:sz w:val="24"/>
    </w:rPr>
  </w:style>
  <w:style w:type="paragraph" w:styleId="23">
    <w:name w:val="annotation subject"/>
    <w:basedOn w:val="8"/>
    <w:next w:val="8"/>
    <w:link w:val="66"/>
    <w:semiHidden/>
    <w:unhideWhenUsed/>
    <w:qFormat/>
    <w:uiPriority w:val="99"/>
    <w:rPr>
      <w:b/>
      <w:bCs/>
    </w:rPr>
  </w:style>
  <w:style w:type="paragraph" w:styleId="24">
    <w:name w:val="Body Text First Indent"/>
    <w:basedOn w:val="9"/>
    <w:next w:val="1"/>
    <w:qFormat/>
    <w:uiPriority w:val="0"/>
    <w:pPr>
      <w:ind w:firstLine="420" w:firstLineChars="100"/>
    </w:p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22"/>
    <w:rPr>
      <w:b/>
      <w:bCs/>
    </w:rPr>
  </w:style>
  <w:style w:type="character" w:styleId="29">
    <w:name w:val="endnote reference"/>
    <w:basedOn w:val="27"/>
    <w:qFormat/>
    <w:uiPriority w:val="0"/>
    <w:rPr>
      <w:vertAlign w:val="superscript"/>
    </w:rPr>
  </w:style>
  <w:style w:type="character" w:styleId="30">
    <w:name w:val="page number"/>
    <w:basedOn w:val="27"/>
    <w:qFormat/>
    <w:uiPriority w:val="0"/>
  </w:style>
  <w:style w:type="character" w:styleId="31">
    <w:name w:val="FollowedHyperlink"/>
    <w:basedOn w:val="27"/>
    <w:semiHidden/>
    <w:unhideWhenUsed/>
    <w:qFormat/>
    <w:uiPriority w:val="99"/>
    <w:rPr>
      <w:color w:val="0000CC"/>
      <w:sz w:val="22"/>
      <w:szCs w:val="22"/>
      <w:u w:val="single"/>
    </w:rPr>
  </w:style>
  <w:style w:type="character" w:styleId="32">
    <w:name w:val="Emphasis"/>
    <w:qFormat/>
    <w:uiPriority w:val="20"/>
    <w:rPr>
      <w:rFonts w:eastAsia="华文新魏"/>
      <w:sz w:val="24"/>
    </w:rPr>
  </w:style>
  <w:style w:type="character" w:styleId="33">
    <w:name w:val="Hyperlink"/>
    <w:basedOn w:val="27"/>
    <w:unhideWhenUsed/>
    <w:qFormat/>
    <w:uiPriority w:val="99"/>
    <w:rPr>
      <w:color w:val="0563C1" w:themeColor="hyperlink"/>
      <w:u w:val="single"/>
      <w14:textFill>
        <w14:solidFill>
          <w14:schemeClr w14:val="hlink"/>
        </w14:solidFill>
      </w14:textFill>
    </w:rPr>
  </w:style>
  <w:style w:type="character" w:styleId="34">
    <w:name w:val="annotation reference"/>
    <w:basedOn w:val="27"/>
    <w:semiHidden/>
    <w:unhideWhenUsed/>
    <w:qFormat/>
    <w:uiPriority w:val="99"/>
    <w:rPr>
      <w:sz w:val="21"/>
      <w:szCs w:val="21"/>
    </w:rPr>
  </w:style>
  <w:style w:type="character" w:customStyle="1" w:styleId="35">
    <w:name w:val="页眉 字符"/>
    <w:basedOn w:val="27"/>
    <w:link w:val="16"/>
    <w:qFormat/>
    <w:uiPriority w:val="99"/>
    <w:rPr>
      <w:sz w:val="18"/>
      <w:szCs w:val="18"/>
    </w:rPr>
  </w:style>
  <w:style w:type="character" w:customStyle="1" w:styleId="36">
    <w:name w:val="页脚 字符"/>
    <w:basedOn w:val="27"/>
    <w:link w:val="15"/>
    <w:qFormat/>
    <w:uiPriority w:val="99"/>
    <w:rPr>
      <w:sz w:val="18"/>
      <w:szCs w:val="18"/>
    </w:rPr>
  </w:style>
  <w:style w:type="paragraph" w:customStyle="1" w:styleId="3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标准标志"/>
    <w:basedOn w:val="37"/>
    <w:next w:val="37"/>
    <w:qFormat/>
    <w:uiPriority w:val="99"/>
    <w:rPr>
      <w:color w:val="auto"/>
    </w:rPr>
  </w:style>
  <w:style w:type="paragraph" w:customStyle="1" w:styleId="39">
    <w:name w:val="其他标准称谓"/>
    <w:basedOn w:val="37"/>
    <w:next w:val="37"/>
    <w:qFormat/>
    <w:uiPriority w:val="99"/>
    <w:rPr>
      <w:color w:val="auto"/>
    </w:rPr>
  </w:style>
  <w:style w:type="paragraph" w:customStyle="1" w:styleId="40">
    <w:name w:val="TOC 标题3"/>
    <w:basedOn w:val="2"/>
    <w:next w:val="1"/>
    <w:unhideWhenUsed/>
    <w:qFormat/>
    <w:uiPriority w:val="39"/>
    <w:pPr>
      <w:outlineLvl w:val="9"/>
    </w:pPr>
  </w:style>
  <w:style w:type="character" w:customStyle="1" w:styleId="41">
    <w:name w:val="标题 1 字符"/>
    <w:basedOn w:val="27"/>
    <w:link w:val="2"/>
    <w:qFormat/>
    <w:uiPriority w:val="9"/>
    <w:rPr>
      <w:rFonts w:ascii="Times New Roman" w:hAnsi="Times New Roman" w:eastAsia="宋体" w:cs="Times New Roman"/>
      <w:b/>
      <w:bCs/>
      <w:kern w:val="44"/>
      <w:sz w:val="44"/>
      <w:szCs w:val="44"/>
    </w:rPr>
  </w:style>
  <w:style w:type="character" w:customStyle="1" w:styleId="42">
    <w:name w:val="标题 2 字符"/>
    <w:basedOn w:val="27"/>
    <w:semiHidden/>
    <w:qFormat/>
    <w:uiPriority w:val="0"/>
    <w:rPr>
      <w:rFonts w:asciiTheme="majorHAnsi" w:hAnsiTheme="majorHAnsi" w:eastAsiaTheme="majorEastAsia" w:cstheme="majorBidi"/>
      <w:b/>
      <w:bCs/>
      <w:sz w:val="32"/>
      <w:szCs w:val="32"/>
    </w:rPr>
  </w:style>
  <w:style w:type="character" w:styleId="43">
    <w:name w:val="Placeholder Text"/>
    <w:basedOn w:val="27"/>
    <w:semiHidden/>
    <w:qFormat/>
    <w:uiPriority w:val="99"/>
    <w:rPr>
      <w:color w:val="808080"/>
    </w:rPr>
  </w:style>
  <w:style w:type="character" w:customStyle="1" w:styleId="44">
    <w:name w:val="标题 3 字符"/>
    <w:basedOn w:val="27"/>
    <w:link w:val="4"/>
    <w:qFormat/>
    <w:uiPriority w:val="0"/>
    <w:rPr>
      <w:b/>
      <w:bCs/>
      <w:sz w:val="32"/>
      <w:szCs w:val="32"/>
    </w:rPr>
  </w:style>
  <w:style w:type="paragraph" w:styleId="45">
    <w:name w:val="List Paragraph"/>
    <w:basedOn w:val="1"/>
    <w:qFormat/>
    <w:uiPriority w:val="99"/>
    <w:pPr>
      <w:ind w:firstLine="420" w:firstLineChars="200"/>
    </w:pPr>
  </w:style>
  <w:style w:type="paragraph" w:styleId="46">
    <w:name w:val="Quote"/>
    <w:basedOn w:val="1"/>
    <w:next w:val="1"/>
    <w:link w:val="47"/>
    <w:qFormat/>
    <w:uiPriority w:val="29"/>
    <w:rPr>
      <w:rFonts w:ascii="Calibri" w:hAnsi="Calibri" w:eastAsia="华文楷体"/>
      <w:sz w:val="24"/>
    </w:rPr>
  </w:style>
  <w:style w:type="character" w:customStyle="1" w:styleId="47">
    <w:name w:val="引用 字符"/>
    <w:basedOn w:val="27"/>
    <w:link w:val="46"/>
    <w:qFormat/>
    <w:uiPriority w:val="29"/>
    <w:rPr>
      <w:rFonts w:ascii="Calibri" w:hAnsi="Calibri" w:eastAsia="华文楷体" w:cs="Times New Roman"/>
      <w:kern w:val="2"/>
      <w:sz w:val="24"/>
      <w:szCs w:val="22"/>
    </w:rPr>
  </w:style>
  <w:style w:type="character" w:customStyle="1" w:styleId="48">
    <w:name w:val="无间隔 字符"/>
    <w:link w:val="49"/>
    <w:qFormat/>
    <w:locked/>
    <w:uiPriority w:val="1"/>
    <w:rPr>
      <w:rFonts w:ascii="Calibri" w:hAnsi="Calibri" w:eastAsia="宋体" w:cs="Times New Roman"/>
      <w:kern w:val="2"/>
      <w:sz w:val="28"/>
      <w:szCs w:val="22"/>
    </w:rPr>
  </w:style>
  <w:style w:type="paragraph" w:styleId="49">
    <w:name w:val="No Spacing"/>
    <w:basedOn w:val="1"/>
    <w:link w:val="48"/>
    <w:qFormat/>
    <w:uiPriority w:val="1"/>
    <w:pPr>
      <w:widowControl/>
      <w:spacing w:line="312" w:lineRule="auto"/>
      <w:ind w:firstLine="200" w:firstLineChars="200"/>
      <w:jc w:val="left"/>
    </w:pPr>
    <w:rPr>
      <w:rFonts w:ascii="Calibri" w:hAnsi="Calibri"/>
      <w:sz w:val="28"/>
    </w:rPr>
  </w:style>
  <w:style w:type="paragraph" w:customStyle="1" w:styleId="50">
    <w:name w:val="表格文字"/>
    <w:basedOn w:val="1"/>
    <w:link w:val="52"/>
    <w:qFormat/>
    <w:uiPriority w:val="0"/>
    <w:pPr>
      <w:autoSpaceDE w:val="0"/>
      <w:autoSpaceDN w:val="0"/>
      <w:adjustRightInd w:val="0"/>
      <w:jc w:val="center"/>
    </w:pPr>
    <w:rPr>
      <w:kern w:val="0"/>
      <w:sz w:val="15"/>
      <w:szCs w:val="21"/>
    </w:rPr>
  </w:style>
  <w:style w:type="paragraph" w:customStyle="1" w:styleId="51">
    <w:name w:val="图表名"/>
    <w:basedOn w:val="1"/>
    <w:link w:val="54"/>
    <w:qFormat/>
    <w:uiPriority w:val="0"/>
    <w:pPr>
      <w:autoSpaceDE w:val="0"/>
      <w:autoSpaceDN w:val="0"/>
      <w:adjustRightInd w:val="0"/>
      <w:jc w:val="center"/>
    </w:pPr>
    <w:rPr>
      <w:rFonts w:eastAsia="黑体"/>
      <w:kern w:val="0"/>
      <w:sz w:val="18"/>
      <w:szCs w:val="21"/>
    </w:rPr>
  </w:style>
  <w:style w:type="character" w:customStyle="1" w:styleId="52">
    <w:name w:val="表格文字 字符"/>
    <w:basedOn w:val="27"/>
    <w:link w:val="50"/>
    <w:qFormat/>
    <w:uiPriority w:val="0"/>
    <w:rPr>
      <w:rFonts w:ascii="Times New Roman" w:hAnsi="Times New Roman" w:eastAsia="宋体" w:cs="Times New Roman"/>
      <w:sz w:val="15"/>
      <w:szCs w:val="21"/>
    </w:rPr>
  </w:style>
  <w:style w:type="paragraph" w:customStyle="1" w:styleId="53">
    <w:name w:val="表格标注"/>
    <w:basedOn w:val="1"/>
    <w:link w:val="55"/>
    <w:qFormat/>
    <w:uiPriority w:val="0"/>
    <w:rPr>
      <w:sz w:val="15"/>
    </w:rPr>
  </w:style>
  <w:style w:type="character" w:customStyle="1" w:styleId="54">
    <w:name w:val="图表名 字符"/>
    <w:basedOn w:val="27"/>
    <w:link w:val="51"/>
    <w:qFormat/>
    <w:uiPriority w:val="0"/>
    <w:rPr>
      <w:rFonts w:ascii="Times New Roman" w:hAnsi="Times New Roman" w:eastAsia="黑体" w:cs="Times New Roman"/>
      <w:sz w:val="18"/>
      <w:szCs w:val="21"/>
    </w:rPr>
  </w:style>
  <w:style w:type="character" w:customStyle="1" w:styleId="55">
    <w:name w:val="表格标注 字符"/>
    <w:basedOn w:val="27"/>
    <w:link w:val="53"/>
    <w:qFormat/>
    <w:uiPriority w:val="0"/>
    <w:rPr>
      <w:rFonts w:ascii="Times New Roman" w:hAnsi="Times New Roman" w:eastAsia="宋体" w:cs="Times New Roman"/>
      <w:kern w:val="2"/>
      <w:sz w:val="15"/>
      <w:szCs w:val="22"/>
    </w:rPr>
  </w:style>
  <w:style w:type="character" w:customStyle="1" w:styleId="56">
    <w:name w:val="正文文本 字符"/>
    <w:basedOn w:val="27"/>
    <w:link w:val="9"/>
    <w:qFormat/>
    <w:uiPriority w:val="1"/>
    <w:rPr>
      <w:rFonts w:ascii="宋体" w:hAnsi="宋体" w:eastAsia="宋体" w:cs="Times New Roman"/>
      <w:color w:val="000000" w:themeColor="text1"/>
      <w:lang w:eastAsia="en-US"/>
      <w14:textFill>
        <w14:solidFill>
          <w14:schemeClr w14:val="tx1"/>
        </w14:solidFill>
      </w14:textFill>
    </w:rPr>
  </w:style>
  <w:style w:type="character" w:customStyle="1" w:styleId="57">
    <w:name w:val="Body text|1_"/>
    <w:link w:val="58"/>
    <w:qFormat/>
    <w:uiPriority w:val="0"/>
    <w:rPr>
      <w:rFonts w:ascii="宋体" w:hAnsi="宋体" w:eastAsia="宋体" w:cs="宋体"/>
      <w:lang w:val="zh-TW" w:eastAsia="zh-TW" w:bidi="zh-TW"/>
    </w:rPr>
  </w:style>
  <w:style w:type="paragraph" w:customStyle="1" w:styleId="58">
    <w:name w:val="Body text|1"/>
    <w:basedOn w:val="1"/>
    <w:link w:val="57"/>
    <w:qFormat/>
    <w:uiPriority w:val="0"/>
    <w:pPr>
      <w:spacing w:line="329" w:lineRule="auto"/>
      <w:jc w:val="left"/>
    </w:pPr>
    <w:rPr>
      <w:rFonts w:ascii="宋体" w:hAnsi="宋体" w:cs="宋体"/>
      <w:kern w:val="0"/>
      <w:sz w:val="20"/>
      <w:szCs w:val="20"/>
      <w:lang w:val="zh-TW" w:eastAsia="zh-TW" w:bidi="zh-TW"/>
    </w:rPr>
  </w:style>
  <w:style w:type="character" w:customStyle="1" w:styleId="59">
    <w:name w:val="Other|1_"/>
    <w:link w:val="60"/>
    <w:qFormat/>
    <w:uiPriority w:val="0"/>
    <w:rPr>
      <w:rFonts w:ascii="宋体" w:hAnsi="宋体" w:eastAsia="宋体" w:cs="宋体"/>
      <w:lang w:val="zh-TW" w:eastAsia="zh-TW" w:bidi="zh-TW"/>
    </w:rPr>
  </w:style>
  <w:style w:type="paragraph" w:customStyle="1" w:styleId="60">
    <w:name w:val="Other|1"/>
    <w:basedOn w:val="1"/>
    <w:link w:val="59"/>
    <w:qFormat/>
    <w:uiPriority w:val="0"/>
    <w:pPr>
      <w:spacing w:line="329" w:lineRule="auto"/>
      <w:jc w:val="left"/>
    </w:pPr>
    <w:rPr>
      <w:rFonts w:ascii="宋体" w:hAnsi="宋体" w:cs="宋体"/>
      <w:kern w:val="0"/>
      <w:sz w:val="20"/>
      <w:szCs w:val="20"/>
      <w:lang w:val="zh-TW" w:eastAsia="zh-TW" w:bidi="zh-TW"/>
    </w:rPr>
  </w:style>
  <w:style w:type="paragraph" w:customStyle="1" w:styleId="61">
    <w:name w:val="一般条文"/>
    <w:basedOn w:val="1"/>
    <w:qFormat/>
    <w:uiPriority w:val="0"/>
    <w:rPr>
      <w:color w:val="000000" w:themeColor="text1"/>
      <w:szCs w:val="21"/>
      <w14:textFill>
        <w14:solidFill>
          <w14:schemeClr w14:val="tx1"/>
        </w14:solidFill>
      </w14:textFill>
    </w:rPr>
  </w:style>
  <w:style w:type="character" w:customStyle="1" w:styleId="62">
    <w:name w:val="批注框文本 字符"/>
    <w:basedOn w:val="27"/>
    <w:link w:val="14"/>
    <w:semiHidden/>
    <w:qFormat/>
    <w:uiPriority w:val="99"/>
    <w:rPr>
      <w:rFonts w:ascii="Times New Roman" w:hAnsi="Times New Roman" w:eastAsia="宋体" w:cs="Times New Roman"/>
      <w:kern w:val="2"/>
      <w:sz w:val="18"/>
      <w:szCs w:val="18"/>
    </w:rPr>
  </w:style>
  <w:style w:type="paragraph" w:customStyle="1" w:styleId="6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64">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5">
    <w:name w:val="批注文字 字符"/>
    <w:basedOn w:val="27"/>
    <w:link w:val="8"/>
    <w:semiHidden/>
    <w:qFormat/>
    <w:uiPriority w:val="99"/>
    <w:rPr>
      <w:rFonts w:ascii="Times New Roman" w:hAnsi="Times New Roman" w:eastAsia="宋体" w:cs="Times New Roman"/>
      <w:kern w:val="2"/>
      <w:sz w:val="21"/>
      <w:szCs w:val="22"/>
    </w:rPr>
  </w:style>
  <w:style w:type="character" w:customStyle="1" w:styleId="66">
    <w:name w:val="批注主题 字符"/>
    <w:basedOn w:val="65"/>
    <w:link w:val="23"/>
    <w:semiHidden/>
    <w:qFormat/>
    <w:uiPriority w:val="99"/>
    <w:rPr>
      <w:rFonts w:ascii="Times New Roman" w:hAnsi="Times New Roman" w:eastAsia="宋体" w:cs="Times New Roman"/>
      <w:b/>
      <w:bCs/>
      <w:kern w:val="2"/>
      <w:sz w:val="21"/>
      <w:szCs w:val="22"/>
    </w:rPr>
  </w:style>
  <w:style w:type="character" w:customStyle="1" w:styleId="67">
    <w:name w:val="日期 字符"/>
    <w:basedOn w:val="27"/>
    <w:link w:val="13"/>
    <w:semiHidden/>
    <w:qFormat/>
    <w:uiPriority w:val="99"/>
    <w:rPr>
      <w:rFonts w:ascii="Times New Roman" w:hAnsi="Times New Roman" w:eastAsia="宋体" w:cs="Times New Roman"/>
      <w:kern w:val="2"/>
      <w:sz w:val="21"/>
      <w:szCs w:val="22"/>
    </w:rPr>
  </w:style>
  <w:style w:type="paragraph" w:customStyle="1" w:styleId="68">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69">
    <w:name w:val="修订2"/>
    <w:hidden/>
    <w:semiHidden/>
    <w:qFormat/>
    <w:uiPriority w:val="99"/>
    <w:rPr>
      <w:rFonts w:ascii="Times New Roman" w:hAnsi="Times New Roman" w:eastAsia="宋体" w:cs="Times New Roman"/>
      <w:kern w:val="2"/>
      <w:sz w:val="21"/>
      <w:szCs w:val="22"/>
      <w:lang w:val="en-US" w:eastAsia="zh-CN" w:bidi="ar-SA"/>
    </w:rPr>
  </w:style>
  <w:style w:type="paragraph" w:customStyle="1" w:styleId="70">
    <w:name w:val="修订3"/>
    <w:hidden/>
    <w:semiHidden/>
    <w:qFormat/>
    <w:uiPriority w:val="99"/>
    <w:rPr>
      <w:rFonts w:ascii="Times New Roman" w:hAnsi="Times New Roman" w:eastAsia="宋体" w:cs="Times New Roman"/>
      <w:kern w:val="2"/>
      <w:sz w:val="21"/>
      <w:szCs w:val="22"/>
      <w:lang w:val="en-US" w:eastAsia="zh-CN" w:bidi="ar-SA"/>
    </w:rPr>
  </w:style>
  <w:style w:type="paragraph" w:customStyle="1" w:styleId="71">
    <w:name w:val="WPSOffice手动目录 1"/>
    <w:qFormat/>
    <w:uiPriority w:val="0"/>
    <w:rPr>
      <w:rFonts w:ascii="Times New Roman" w:hAnsi="Times New Roman" w:eastAsia="宋体" w:cs="Times New Roman"/>
      <w:lang w:val="en-US" w:eastAsia="zh-CN" w:bidi="ar-SA"/>
    </w:rPr>
  </w:style>
  <w:style w:type="paragraph" w:customStyle="1" w:styleId="7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74">
    <w:name w:val="标题 2 字符1"/>
    <w:basedOn w:val="27"/>
    <w:link w:val="3"/>
    <w:semiHidden/>
    <w:qFormat/>
    <w:uiPriority w:val="0"/>
    <w:rPr>
      <w:rFonts w:asciiTheme="majorHAnsi" w:hAnsiTheme="majorHAnsi" w:eastAsiaTheme="majorEastAsia" w:cstheme="majorBidi"/>
      <w:b/>
      <w:bCs/>
      <w:sz w:val="32"/>
      <w:szCs w:val="32"/>
    </w:rPr>
  </w:style>
  <w:style w:type="paragraph" w:customStyle="1" w:styleId="75">
    <w:name w:val="条文解释"/>
    <w:basedOn w:val="1"/>
    <w:qFormat/>
    <w:uiPriority w:val="0"/>
    <w:pPr>
      <w:ind w:firstLine="200" w:firstLineChars="200"/>
    </w:pPr>
    <w:rPr>
      <w:szCs w:val="20"/>
    </w:rPr>
  </w:style>
  <w:style w:type="paragraph" w:customStyle="1" w:styleId="76">
    <w:name w:val="图（表）注"/>
    <w:basedOn w:val="77"/>
    <w:qFormat/>
    <w:uiPriority w:val="0"/>
    <w:rPr>
      <w:rFonts w:eastAsia="宋体"/>
      <w:sz w:val="16"/>
    </w:rPr>
  </w:style>
  <w:style w:type="paragraph" w:customStyle="1" w:styleId="77">
    <w:name w:val="图名"/>
    <w:basedOn w:val="7"/>
    <w:qFormat/>
    <w:uiPriority w:val="0"/>
    <w:pPr>
      <w:spacing w:beforeLines="25" w:afterLines="25"/>
      <w:jc w:val="center"/>
    </w:pPr>
    <w:rPr>
      <w:rFonts w:ascii="Times New Roman" w:hAnsi="Times New Roman"/>
      <w:sz w:val="18"/>
      <w:szCs w:val="21"/>
    </w:rPr>
  </w:style>
  <w:style w:type="paragraph" w:customStyle="1" w:styleId="78">
    <w:name w:val="表格居中"/>
    <w:next w:val="1"/>
    <w:qFormat/>
    <w:uiPriority w:val="0"/>
    <w:pPr>
      <w:widowControl w:val="0"/>
      <w:jc w:val="center"/>
    </w:pPr>
    <w:rPr>
      <w:rFonts w:ascii="Times New Roman" w:hAnsi="Times New Roman" w:eastAsia="仿宋_GB2312" w:cs="MingLiU_HKSCS"/>
      <w:kern w:val="2"/>
      <w:sz w:val="18"/>
      <w:szCs w:val="21"/>
      <w:lang w:val="en-US" w:eastAsia="zh-CN" w:bidi="ar-SA"/>
    </w:rPr>
  </w:style>
  <w:style w:type="character" w:customStyle="1" w:styleId="79">
    <w:name w:val="font-bold"/>
    <w:basedOn w:val="27"/>
    <w:qFormat/>
    <w:uiPriority w:val="0"/>
  </w:style>
  <w:style w:type="paragraph" w:customStyle="1" w:styleId="80">
    <w:name w:val="Revision"/>
    <w:hidden/>
    <w:unhideWhenUsed/>
    <w:qFormat/>
    <w:uiPriority w:val="99"/>
    <w:rPr>
      <w:rFonts w:ascii="Times New Roman" w:hAnsi="Times New Roman" w:eastAsia="宋体" w:cs="Times New Roman"/>
      <w:kern w:val="2"/>
      <w:sz w:val="21"/>
      <w:szCs w:val="22"/>
      <w:lang w:val="en-US" w:eastAsia="zh-CN" w:bidi="ar-SA"/>
    </w:rPr>
  </w:style>
  <w:style w:type="paragraph" w:customStyle="1" w:styleId="81">
    <w:name w:val="标准文件_一级条标题"/>
    <w:basedOn w:val="82"/>
    <w:next w:val="83"/>
    <w:qFormat/>
    <w:uiPriority w:val="0"/>
    <w:pPr>
      <w:numPr>
        <w:ilvl w:val="2"/>
        <w:numId w:val="2"/>
      </w:numPr>
      <w:spacing w:before="50" w:beforeLines="50" w:after="50" w:afterLines="50"/>
      <w:ind w:left="0"/>
      <w:outlineLvl w:val="1"/>
    </w:pPr>
    <w:rPr>
      <w:rFonts w:ascii="Times New Roman"/>
    </w:rPr>
  </w:style>
  <w:style w:type="paragraph" w:customStyle="1" w:styleId="82">
    <w:name w:val="标准文件_章标题"/>
    <w:next w:val="83"/>
    <w:qFormat/>
    <w:uiPriority w:val="0"/>
    <w:pPr>
      <w:numPr>
        <w:ilvl w:val="1"/>
        <w:numId w:val="2"/>
      </w:numPr>
      <w:spacing w:before="100" w:beforeLines="100" w:after="100" w:afterLines="100"/>
      <w:jc w:val="both"/>
      <w:outlineLvl w:val="0"/>
    </w:pPr>
    <w:rPr>
      <w:rFonts w:ascii="黑体" w:hAnsi="黑体" w:eastAsia="黑体" w:cs="Times New Roman"/>
      <w:sz w:val="21"/>
      <w:lang w:val="en-US" w:eastAsia="zh-CN" w:bidi="ar-SA"/>
    </w:rPr>
  </w:style>
  <w:style w:type="paragraph" w:customStyle="1" w:styleId="83">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emf"/><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155</Pages>
  <Words>59572</Words>
  <Characters>67269</Characters>
  <Lines>3557</Lines>
  <Paragraphs>3352</Paragraphs>
  <TotalTime>2</TotalTime>
  <ScaleCrop>false</ScaleCrop>
  <LinksUpToDate>false</LinksUpToDate>
  <CharactersWithSpaces>70737</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2023-05-09T04:33:00Z</dcterms:created>
  <dc:creator>admin</dc:creator>
  <cp:lastModifiedBy>szj</cp:lastModifiedBy>
  <cp:lastPrinted>2025-07-15T07:44:00Z</cp:lastPrinted>
  <dcterms:modified xsi:type="dcterms:W3CDTF">2025-11-11T16:26:18Z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F5A9ECE1166D43EAB7768DD324FA0789_13</vt:lpwstr>
  </property>
  <property fmtid="{D5CDD505-2E9C-101B-9397-08002B2CF9AE}" pid="4" name="KSOTemplateDocerSaveRecord">
    <vt:lpwstr>eyJoZGlkIjoiMTlkYTU3MjRlNWU1NGE3NjQxMTFhNzJmMzIyODcyYTYiLCJ1c2VySWQiOiIxNDg5Mzg2NjM4In0=</vt:lpwstr>
  </property>
</Properties>
</file>