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60E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229300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33B5E4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《广东省限额以下小型工程和零星作业安全</w:t>
      </w:r>
    </w:p>
    <w:p w14:paraId="115721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生产管理办法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rPr>
        <w:t>》起草说明</w:t>
      </w:r>
    </w:p>
    <w:p w14:paraId="7AC4A5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p>
    <w:p w14:paraId="14566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为深入贯彻落实习近平总书记关于安全生产的重要论述和重要指示批示精神，</w:t>
      </w:r>
      <w:r>
        <w:rPr>
          <w:rFonts w:hint="eastAsia" w:ascii="仿宋_GB2312" w:hAnsi="仿宋_GB2312" w:eastAsia="仿宋_GB2312" w:cs="仿宋_GB2312"/>
          <w:sz w:val="32"/>
          <w:szCs w:val="32"/>
        </w:rPr>
        <w:t>强</w:t>
      </w:r>
      <w:r>
        <w:rPr>
          <w:rFonts w:hint="eastAsia" w:ascii="仿宋_GB2312" w:hAnsi="仿宋_GB2312" w:eastAsia="仿宋_GB2312" w:cs="仿宋_GB2312"/>
          <w:sz w:val="32"/>
          <w:szCs w:val="32"/>
          <w:lang w:val="en-US" w:eastAsia="zh-CN"/>
        </w:rPr>
        <w:t>化</w:t>
      </w:r>
      <w:r>
        <w:rPr>
          <w:rFonts w:hint="eastAsia" w:ascii="仿宋_GB2312" w:hAnsi="仿宋_GB2312" w:eastAsia="仿宋_GB2312" w:cs="仿宋_GB2312"/>
          <w:sz w:val="32"/>
          <w:szCs w:val="32"/>
        </w:rPr>
        <w:t>全省限额以下小型工程和零星作业安全生产管理，</w:t>
      </w:r>
      <w:r>
        <w:rPr>
          <w:rFonts w:hint="eastAsia" w:ascii="仿宋_GB2312" w:hAnsi="仿宋_GB2312" w:eastAsia="仿宋_GB2312" w:cs="仿宋_GB2312"/>
          <w:sz w:val="32"/>
          <w:szCs w:val="40"/>
          <w:lang w:val="en-US" w:eastAsia="zh-CN"/>
        </w:rPr>
        <w:t>压实各方</w:t>
      </w:r>
      <w:r>
        <w:rPr>
          <w:rFonts w:hint="eastAsia" w:ascii="仿宋_GB2312" w:hAnsi="仿宋_GB2312" w:eastAsia="仿宋_GB2312" w:cs="仿宋_GB2312"/>
          <w:sz w:val="32"/>
          <w:szCs w:val="40"/>
        </w:rPr>
        <w:t>安全生产责任，</w:t>
      </w:r>
      <w:r>
        <w:rPr>
          <w:rFonts w:hint="eastAsia" w:ascii="仿宋_GB2312" w:hAnsi="仿宋_GB2312" w:eastAsia="仿宋_GB2312" w:cs="仿宋_GB2312"/>
          <w:sz w:val="32"/>
          <w:szCs w:val="40"/>
          <w:lang w:val="en-US" w:eastAsia="zh-CN"/>
        </w:rPr>
        <w:t>防范遏制生产安全事故发生</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切实保障人民群众生命财产安全和社会大局稳定，</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国家及省有关</w:t>
      </w:r>
      <w:r>
        <w:rPr>
          <w:rFonts w:hint="eastAsia" w:ascii="仿宋_GB2312" w:hAnsi="仿宋_GB2312" w:eastAsia="仿宋_GB2312" w:cs="仿宋_GB2312"/>
          <w:sz w:val="32"/>
          <w:szCs w:val="32"/>
        </w:rPr>
        <w:t>法律法规规定，</w:t>
      </w:r>
      <w:r>
        <w:rPr>
          <w:rFonts w:hint="eastAsia" w:ascii="仿宋_GB2312" w:hAnsi="仿宋_GB2312" w:eastAsia="仿宋_GB2312" w:cs="仿宋_GB2312"/>
          <w:sz w:val="32"/>
          <w:szCs w:val="32"/>
          <w:lang w:val="en-US" w:eastAsia="zh-CN"/>
        </w:rPr>
        <w:t>按照国家及省人员密集场所动火作业和建筑保温材料安全隐患专项整治工作专班印发的重点任务清单的有关工作安排，</w:t>
      </w:r>
      <w:r>
        <w:rPr>
          <w:rFonts w:hint="eastAsia" w:ascii="仿宋_GB2312" w:hAnsi="仿宋_GB2312" w:eastAsia="仿宋_GB2312" w:cs="仿宋_GB2312"/>
          <w:sz w:val="32"/>
          <w:szCs w:val="32"/>
        </w:rPr>
        <w:t>结合我省实际，制</w:t>
      </w:r>
      <w:r>
        <w:rPr>
          <w:rFonts w:hint="eastAsia" w:ascii="仿宋_GB2312" w:hAnsi="仿宋_GB2312" w:eastAsia="仿宋_GB2312" w:cs="仿宋_GB2312"/>
          <w:sz w:val="32"/>
          <w:szCs w:val="32"/>
          <w:lang w:val="en-US" w:eastAsia="zh-CN"/>
        </w:rPr>
        <w:t>订</w:t>
      </w:r>
      <w:r>
        <w:rPr>
          <w:rFonts w:hint="eastAsia" w:ascii="仿宋_GB2312" w:hAnsi="仿宋_GB2312" w:eastAsia="仿宋_GB2312" w:cs="仿宋_GB2312"/>
          <w:sz w:val="32"/>
          <w:szCs w:val="32"/>
        </w:rPr>
        <w:t>《广东省限额以下小型工程和零星作业安全生产管理办法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rPr>
        <w:t>》（以下简称《办法》）。现就有关情况说明如下：</w:t>
      </w:r>
    </w:p>
    <w:p w14:paraId="63319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一、制定背景和必要性</w:t>
      </w:r>
    </w:p>
    <w:p w14:paraId="01453D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强化安全</w:t>
      </w:r>
      <w:r>
        <w:rPr>
          <w:rFonts w:hint="eastAsia" w:ascii="楷体_GB2312" w:hAnsi="楷体_GB2312" w:eastAsia="楷体_GB2312" w:cs="楷体_GB2312"/>
          <w:b w:val="0"/>
          <w:bCs w:val="0"/>
          <w:sz w:val="32"/>
          <w:szCs w:val="32"/>
          <w:lang w:val="en-US" w:eastAsia="zh-CN"/>
        </w:rPr>
        <w:t>监督管理</w:t>
      </w:r>
      <w:r>
        <w:rPr>
          <w:rFonts w:hint="eastAsia" w:ascii="楷体_GB2312" w:hAnsi="楷体_GB2312" w:eastAsia="楷体_GB2312" w:cs="楷体_GB2312"/>
          <w:b w:val="0"/>
          <w:bCs w:val="0"/>
          <w:sz w:val="32"/>
          <w:szCs w:val="32"/>
        </w:rPr>
        <w:t>的需要。</w:t>
      </w:r>
      <w:r>
        <w:rPr>
          <w:rFonts w:hint="eastAsia" w:ascii="仿宋_GB2312" w:hAnsi="仿宋_GB2312" w:eastAsia="仿宋_GB2312" w:cs="仿宋_GB2312"/>
          <w:sz w:val="32"/>
          <w:szCs w:val="32"/>
        </w:rPr>
        <w:t>限额以下小型工程和零星作业数量庞大、分布广泛、活动频繁，</w:t>
      </w:r>
      <w:r>
        <w:rPr>
          <w:rFonts w:hint="eastAsia" w:ascii="仿宋_GB2312" w:hAnsi="仿宋_GB2312" w:eastAsia="仿宋_GB2312" w:cs="仿宋_GB2312"/>
          <w:sz w:val="32"/>
          <w:szCs w:val="40"/>
        </w:rPr>
        <w:t>但因规模小、工期短、管理相对薄弱，</w:t>
      </w:r>
      <w:r>
        <w:rPr>
          <w:rFonts w:hint="eastAsia" w:ascii="仿宋_GB2312" w:hAnsi="仿宋_GB2312" w:eastAsia="仿宋_GB2312" w:cs="仿宋_GB2312"/>
          <w:sz w:val="32"/>
          <w:szCs w:val="40"/>
          <w:lang w:val="en-US" w:eastAsia="zh-CN"/>
        </w:rPr>
        <w:t>往往容易出现施工现场风险失管失控、安全防护措施和安全生产责任落实不到位等问题，导致</w:t>
      </w:r>
      <w:r>
        <w:rPr>
          <w:rFonts w:hint="eastAsia" w:ascii="仿宋_GB2312" w:hAnsi="仿宋_GB2312" w:eastAsia="仿宋_GB2312" w:cs="仿宋_GB2312"/>
          <w:sz w:val="32"/>
          <w:szCs w:val="40"/>
        </w:rPr>
        <w:t>安全事故多发</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易发</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因此</w:t>
      </w:r>
      <w:r>
        <w:rPr>
          <w:rFonts w:hint="eastAsia" w:ascii="仿宋_GB2312" w:hAnsi="仿宋_GB2312" w:eastAsia="仿宋_GB2312" w:cs="仿宋_GB2312"/>
          <w:sz w:val="32"/>
          <w:szCs w:val="40"/>
        </w:rPr>
        <w:t>有必要通过</w:t>
      </w:r>
      <w:r>
        <w:rPr>
          <w:rFonts w:hint="eastAsia" w:ascii="仿宋_GB2312" w:hAnsi="仿宋_GB2312" w:eastAsia="仿宋_GB2312" w:cs="仿宋_GB2312"/>
          <w:sz w:val="32"/>
          <w:szCs w:val="40"/>
          <w:lang w:val="en-US" w:eastAsia="zh-CN"/>
        </w:rPr>
        <w:t>出台规范性文件以健全完善相关监管机制，</w:t>
      </w:r>
      <w:r>
        <w:rPr>
          <w:rFonts w:hint="eastAsia" w:ascii="仿宋_GB2312" w:hAnsi="仿宋_GB2312" w:eastAsia="仿宋_GB2312" w:cs="仿宋_GB2312"/>
          <w:sz w:val="32"/>
          <w:szCs w:val="40"/>
        </w:rPr>
        <w:t>压</w:t>
      </w:r>
      <w:r>
        <w:rPr>
          <w:rFonts w:hint="eastAsia" w:ascii="仿宋_GB2312" w:hAnsi="仿宋_GB2312" w:eastAsia="仿宋_GB2312" w:cs="仿宋_GB2312"/>
          <w:sz w:val="32"/>
          <w:szCs w:val="32"/>
        </w:rPr>
        <w:t>实各方责任，提升安全管理水平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有效防范各类事故发生</w:t>
      </w:r>
      <w:r>
        <w:rPr>
          <w:rFonts w:hint="eastAsia" w:ascii="仿宋_GB2312" w:hAnsi="仿宋_GB2312" w:eastAsia="仿宋_GB2312" w:cs="仿宋_GB2312"/>
          <w:sz w:val="32"/>
          <w:szCs w:val="32"/>
        </w:rPr>
        <w:t>。</w:t>
      </w:r>
    </w:p>
    <w:p w14:paraId="0F841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（二）填补监管制度空白的需要。</w:t>
      </w:r>
      <w:r>
        <w:rPr>
          <w:rFonts w:hint="eastAsia" w:ascii="仿宋_GB2312" w:hAnsi="仿宋_GB2312" w:eastAsia="仿宋_GB2312" w:cs="仿宋_GB2312"/>
          <w:sz w:val="32"/>
          <w:szCs w:val="32"/>
        </w:rPr>
        <w:t>此前省级层面缺乏针对限额以下小型工程和零星作业的专门管理规定，各地</w:t>
      </w:r>
      <w:r>
        <w:rPr>
          <w:rFonts w:hint="eastAsia" w:ascii="仿宋_GB2312" w:hAnsi="仿宋_GB2312" w:eastAsia="仿宋_GB2312" w:cs="仿宋_GB2312"/>
          <w:sz w:val="32"/>
          <w:szCs w:val="32"/>
          <w:lang w:val="en-US" w:eastAsia="zh-CN"/>
        </w:rPr>
        <w:t>在实际落实相关工作的过程中，采取的</w:t>
      </w:r>
      <w:r>
        <w:rPr>
          <w:rFonts w:hint="eastAsia" w:ascii="仿宋_GB2312" w:hAnsi="仿宋_GB2312" w:eastAsia="仿宋_GB2312" w:cs="仿宋_GB2312"/>
          <w:sz w:val="32"/>
          <w:szCs w:val="32"/>
        </w:rPr>
        <w:t>管理模式和标准不尽相同。</w:t>
      </w:r>
      <w:r>
        <w:rPr>
          <w:rFonts w:hint="eastAsia" w:ascii="仿宋_GB2312" w:hAnsi="仿宋_GB2312" w:eastAsia="仿宋_GB2312" w:cs="仿宋_GB2312"/>
          <w:sz w:val="32"/>
          <w:szCs w:val="32"/>
          <w:lang w:val="en-US" w:eastAsia="zh-CN"/>
        </w:rPr>
        <w:t>因此</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省级层面</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办法，有助于</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管理要求，实现规范管理。</w:t>
      </w:r>
      <w:r>
        <w:rPr>
          <w:rFonts w:hint="eastAsia" w:ascii="仿宋_GB2312" w:hAnsi="仿宋_GB2312" w:eastAsia="仿宋_GB2312" w:cs="仿宋_GB2312"/>
          <w:sz w:val="32"/>
          <w:szCs w:val="32"/>
          <w:lang w:val="en-US" w:eastAsia="zh-CN"/>
        </w:rPr>
        <w:t xml:space="preserve">    </w:t>
      </w:r>
    </w:p>
    <w:p w14:paraId="01623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三）明确职责分工、加强</w:t>
      </w:r>
      <w:r>
        <w:rPr>
          <w:rFonts w:hint="eastAsia" w:ascii="楷体_GB2312" w:hAnsi="楷体_GB2312" w:eastAsia="楷体_GB2312" w:cs="楷体_GB2312"/>
          <w:b w:val="0"/>
          <w:bCs w:val="0"/>
          <w:sz w:val="32"/>
          <w:szCs w:val="32"/>
          <w:lang w:eastAsia="zh-CN"/>
        </w:rPr>
        <w:t>协同监管的需要。</w:t>
      </w:r>
      <w:r>
        <w:rPr>
          <w:rFonts w:hint="eastAsia" w:ascii="仿宋_GB2312" w:hAnsi="仿宋_GB2312" w:eastAsia="仿宋_GB2312" w:cs="仿宋_GB2312"/>
          <w:sz w:val="32"/>
          <w:szCs w:val="32"/>
        </w:rPr>
        <w:t>限额以下小型工程和零星作业</w:t>
      </w:r>
      <w:r>
        <w:rPr>
          <w:rFonts w:hint="eastAsia" w:ascii="仿宋_GB2312" w:hAnsi="仿宋_GB2312" w:eastAsia="仿宋_GB2312" w:cs="仿宋_GB2312"/>
          <w:sz w:val="32"/>
          <w:szCs w:val="32"/>
          <w:lang w:val="en-US" w:eastAsia="zh-CN"/>
        </w:rPr>
        <w:t>安全生产管理</w:t>
      </w:r>
      <w:r>
        <w:rPr>
          <w:rFonts w:hint="eastAsia" w:ascii="仿宋_GB2312" w:hAnsi="仿宋_GB2312" w:eastAsia="仿宋_GB2312" w:cs="仿宋_GB2312"/>
          <w:sz w:val="32"/>
          <w:szCs w:val="32"/>
        </w:rPr>
        <w:t>涉及</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及单位</w:t>
      </w:r>
      <w:r>
        <w:rPr>
          <w:rFonts w:hint="eastAsia" w:ascii="仿宋_GB2312" w:hAnsi="仿宋_GB2312" w:eastAsia="仿宋_GB2312" w:cs="仿宋_GB2312"/>
          <w:sz w:val="32"/>
          <w:szCs w:val="32"/>
        </w:rPr>
        <w:t>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w:t>
      </w:r>
      <w:r>
        <w:rPr>
          <w:rFonts w:hint="eastAsia" w:ascii="仿宋_GB2312" w:hAnsi="仿宋_GB2312" w:eastAsia="仿宋_GB2312" w:cs="仿宋_GB2312"/>
          <w:sz w:val="32"/>
          <w:szCs w:val="32"/>
          <w:lang w:val="en-US" w:eastAsia="zh-CN"/>
        </w:rPr>
        <w:t>环相扣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实际监管过程中经常会出现纳管范围边界不明确、各方职责和责任需更新、巡查执法及保障力度不足、企业主体责任落实不到位等问题，因此有必要</w:t>
      </w:r>
      <w:r>
        <w:rPr>
          <w:rFonts w:hint="eastAsia" w:ascii="仿宋_GB2312" w:hAnsi="仿宋_GB2312" w:eastAsia="仿宋_GB2312" w:cs="仿宋_GB2312"/>
          <w:sz w:val="32"/>
          <w:szCs w:val="32"/>
        </w:rPr>
        <w:t>进一步厘清各部门职责分工，</w:t>
      </w:r>
      <w:r>
        <w:rPr>
          <w:rFonts w:hint="eastAsia" w:ascii="仿宋_GB2312" w:hAnsi="仿宋_GB2312" w:eastAsia="仿宋_GB2312" w:cs="仿宋_GB2312"/>
          <w:sz w:val="32"/>
          <w:szCs w:val="32"/>
          <w:lang w:val="en-US" w:eastAsia="zh-CN"/>
        </w:rPr>
        <w:t>强化全链条闭环管理，</w:t>
      </w:r>
      <w:r>
        <w:rPr>
          <w:rFonts w:hint="eastAsia" w:ascii="仿宋_GB2312" w:hAnsi="仿宋_GB2312" w:eastAsia="仿宋_GB2312" w:cs="仿宋_GB2312"/>
          <w:sz w:val="32"/>
          <w:szCs w:val="32"/>
        </w:rPr>
        <w:t>加强协作配合，形成监管合力，构建全覆盖、无盲区的安全管理体系。</w:t>
      </w:r>
    </w:p>
    <w:p w14:paraId="46C71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完成国家及省专项整治工作任务、落实中央安全生产考核巡查要求的需要。</w:t>
      </w:r>
      <w:r>
        <w:rPr>
          <w:rFonts w:hint="eastAsia" w:ascii="仿宋_GB2312" w:hAnsi="仿宋_GB2312" w:eastAsia="仿宋_GB2312" w:cs="仿宋_GB2312"/>
          <w:sz w:val="32"/>
          <w:szCs w:val="32"/>
          <w:lang w:val="en-US" w:eastAsia="zh-CN"/>
        </w:rPr>
        <w:t>2024年，国务院安委会印发《关于加强人员密集场所动火作业安全管理的若干措施》，要求严格涉及动火作业小型工程的备案管理。2025年，国家及省相继部署开展</w:t>
      </w:r>
      <w:r>
        <w:rPr>
          <w:rFonts w:hint="default" w:ascii="仿宋_GB2312" w:hAnsi="仿宋_GB2312" w:eastAsia="仿宋_GB2312" w:cs="仿宋_GB2312"/>
          <w:sz w:val="32"/>
          <w:szCs w:val="32"/>
          <w:lang w:val="en-US" w:eastAsia="zh-CN"/>
        </w:rPr>
        <w:t>人员密集场所动火作业和建筑保温材料安全隐患专项整治</w:t>
      </w:r>
      <w:r>
        <w:rPr>
          <w:rFonts w:hint="eastAsia" w:ascii="仿宋_GB2312" w:hAnsi="仿宋_GB2312" w:eastAsia="仿宋_GB2312" w:cs="仿宋_GB2312"/>
          <w:sz w:val="32"/>
          <w:szCs w:val="32"/>
          <w:lang w:val="en-US" w:eastAsia="zh-CN"/>
        </w:rPr>
        <w:t>，明确将研究</w:t>
      </w:r>
      <w:r>
        <w:rPr>
          <w:rFonts w:hint="default" w:ascii="仿宋_GB2312" w:hAnsi="仿宋_GB2312" w:eastAsia="仿宋_GB2312" w:cs="仿宋_GB2312"/>
          <w:sz w:val="32"/>
          <w:szCs w:val="32"/>
          <w:lang w:val="en-US" w:eastAsia="zh-CN"/>
        </w:rPr>
        <w:t>制定涉及动火作业、建筑保温材料的限额以下小型工程备案管理制度</w:t>
      </w:r>
      <w:r>
        <w:rPr>
          <w:rFonts w:hint="eastAsia" w:ascii="仿宋_GB2312" w:hAnsi="仿宋_GB2312" w:eastAsia="仿宋_GB2312" w:cs="仿宋_GB2312"/>
          <w:sz w:val="32"/>
          <w:szCs w:val="32"/>
          <w:lang w:val="en-US" w:eastAsia="zh-CN"/>
        </w:rPr>
        <w:t>，并完成省级政策文件印发实施作为整治工作任务之一。2025年度中央安全生产考核巡查将推行人员密集场所中涉及电焊、气焊、气割等动火作业和保温材料的限额以下小型工程备案制度作为考核巡查内容。</w:t>
      </w:r>
    </w:p>
    <w:p w14:paraId="50F48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二、起草过程</w:t>
      </w:r>
    </w:p>
    <w:p w14:paraId="5088A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《办法》起草过程中，对省内部分地市的管理实践进行了</w:t>
      </w:r>
      <w:r>
        <w:rPr>
          <w:rFonts w:hint="eastAsia" w:ascii="仿宋_GB2312" w:hAnsi="仿宋_GB2312" w:eastAsia="仿宋_GB2312" w:cs="仿宋_GB2312"/>
          <w:sz w:val="32"/>
          <w:szCs w:val="32"/>
          <w:lang w:val="en-US" w:eastAsia="zh-CN"/>
        </w:rPr>
        <w:t>充分</w:t>
      </w:r>
      <w:r>
        <w:rPr>
          <w:rFonts w:hint="eastAsia" w:ascii="仿宋_GB2312" w:hAnsi="仿宋_GB2312" w:eastAsia="仿宋_GB2312" w:cs="仿宋_GB2312"/>
          <w:sz w:val="32"/>
          <w:szCs w:val="32"/>
        </w:rPr>
        <w:t>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认真学习借鉴了兄弟省市的经验做法，结合本省实际情况，对</w:t>
      </w:r>
      <w:r>
        <w:rPr>
          <w:rFonts w:hint="eastAsia" w:ascii="仿宋_GB2312" w:hAnsi="仿宋_GB2312" w:eastAsia="仿宋_GB2312" w:cs="仿宋_GB2312"/>
          <w:sz w:val="32"/>
          <w:szCs w:val="32"/>
          <w:lang w:val="en-US" w:eastAsia="zh-CN"/>
        </w:rPr>
        <w:t>监管</w:t>
      </w:r>
      <w:r>
        <w:rPr>
          <w:rFonts w:hint="eastAsia" w:ascii="仿宋_GB2312" w:hAnsi="仿宋_GB2312" w:eastAsia="仿宋_GB2312" w:cs="仿宋_GB2312"/>
          <w:sz w:val="32"/>
          <w:szCs w:val="32"/>
        </w:rPr>
        <w:t>范围、责任划分、监管措施等关键问题进行了深入研究。在形成初稿后，</w:t>
      </w:r>
      <w:r>
        <w:rPr>
          <w:rFonts w:hint="default" w:ascii="仿宋_GB2312" w:hAnsi="仿宋_GB2312" w:eastAsia="仿宋_GB2312" w:cs="仿宋_GB2312"/>
          <w:sz w:val="32"/>
          <w:szCs w:val="32"/>
          <w:lang w:val="en-US" w:eastAsia="zh-CN"/>
        </w:rPr>
        <w:t>通过省人员密集场所动火作业和建筑保温材料专项整治工作专班征求各地市</w:t>
      </w:r>
      <w:r>
        <w:rPr>
          <w:rFonts w:hint="eastAsia" w:ascii="仿宋_GB2312" w:hAnsi="仿宋_GB2312" w:eastAsia="仿宋_GB2312" w:cs="仿宋_GB2312"/>
          <w:sz w:val="32"/>
          <w:szCs w:val="32"/>
          <w:lang w:val="en-US" w:eastAsia="zh-CN"/>
        </w:rPr>
        <w:t>人民政府</w:t>
      </w:r>
      <w:r>
        <w:rPr>
          <w:rFonts w:hint="default" w:ascii="仿宋_GB2312" w:hAnsi="仿宋_GB2312" w:eastAsia="仿宋_GB2312" w:cs="仿宋_GB2312"/>
          <w:sz w:val="32"/>
          <w:szCs w:val="32"/>
          <w:lang w:val="en-US" w:eastAsia="zh-CN"/>
        </w:rPr>
        <w:t>及省</w:t>
      </w:r>
      <w:r>
        <w:rPr>
          <w:rFonts w:hint="eastAsia" w:ascii="仿宋_GB2312" w:hAnsi="仿宋_GB2312" w:eastAsia="仿宋_GB2312" w:cs="仿宋_GB2312"/>
          <w:sz w:val="32"/>
          <w:szCs w:val="32"/>
          <w:lang w:val="en-US" w:eastAsia="zh-CN"/>
        </w:rPr>
        <w:t>有关部门</w:t>
      </w:r>
      <w:r>
        <w:rPr>
          <w:rFonts w:hint="default" w:ascii="仿宋_GB2312" w:hAnsi="仿宋_GB2312" w:eastAsia="仿宋_GB2312" w:cs="仿宋_GB2312"/>
          <w:sz w:val="32"/>
          <w:szCs w:val="32"/>
          <w:lang w:val="en-US" w:eastAsia="zh-CN"/>
        </w:rPr>
        <w:t>意见，</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于11月7日面向社会公开征求意见</w:t>
      </w:r>
      <w:r>
        <w:rPr>
          <w:rFonts w:hint="eastAsia" w:ascii="仿宋_GB2312" w:hAnsi="仿宋_GB2312" w:eastAsia="仿宋_GB2312" w:cs="仿宋_GB2312"/>
          <w:sz w:val="32"/>
          <w:szCs w:val="32"/>
          <w:lang w:val="en-US" w:eastAsia="zh-CN"/>
        </w:rPr>
        <w:t>。</w:t>
      </w:r>
      <w:bookmarkStart w:id="0" w:name="_GoBack"/>
      <w:bookmarkEnd w:id="0"/>
    </w:p>
    <w:p w14:paraId="5CA3B1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kern w:val="2"/>
          <w:sz w:val="32"/>
          <w:szCs w:val="32"/>
          <w:highlight w:val="none"/>
          <w:lang w:val="en-US" w:eastAsia="zh-CN" w:bidi="ar-SA"/>
        </w:rPr>
        <w:t>三、</w:t>
      </w:r>
      <w:r>
        <w:rPr>
          <w:rFonts w:hint="eastAsia" w:ascii="黑体" w:hAnsi="黑体" w:eastAsia="黑体" w:cs="黑体"/>
          <w:sz w:val="32"/>
          <w:szCs w:val="32"/>
          <w:highlight w:val="none"/>
          <w:lang w:val="en-US" w:eastAsia="zh-CN"/>
        </w:rPr>
        <w:t>主要内容</w:t>
      </w:r>
    </w:p>
    <w:p w14:paraId="37BAA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《办法》共五章二十五条，包括总则、主体责任、职责分工、备案管理和巡查执法、附则</w:t>
      </w:r>
      <w:r>
        <w:rPr>
          <w:rFonts w:hint="eastAsia" w:ascii="仿宋_GB2312" w:hAnsi="仿宋_GB2312" w:eastAsia="仿宋_GB2312" w:cs="仿宋_GB2312"/>
          <w:sz w:val="32"/>
          <w:szCs w:val="32"/>
          <w:highlight w:val="none"/>
          <w:lang w:val="en-US" w:eastAsia="zh-CN"/>
        </w:rPr>
        <w:t>等章节</w:t>
      </w:r>
      <w:r>
        <w:rPr>
          <w:rFonts w:hint="eastAsia" w:ascii="仿宋_GB2312" w:hAnsi="仿宋_GB2312" w:eastAsia="仿宋_GB2312" w:cs="仿宋_GB2312"/>
          <w:sz w:val="32"/>
          <w:szCs w:val="32"/>
          <w:highlight w:val="none"/>
        </w:rPr>
        <w:t>。主要内容如下：</w:t>
      </w:r>
    </w:p>
    <w:p w14:paraId="2DEABF86">
      <w:pPr>
        <w:pStyle w:val="8"/>
        <w:keepNext w:val="0"/>
        <w:keepLines w:val="0"/>
        <w:pageBreakBefore w:val="0"/>
        <w:widowControl w:val="0"/>
        <w:numPr>
          <w:ilvl w:val="0"/>
          <w:numId w:val="0"/>
        </w:numPr>
        <w:shd w:val="clear" w:color="auto" w:fill="auto"/>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rPr>
        <w:t>明确适用范围和</w:t>
      </w:r>
      <w:r>
        <w:rPr>
          <w:rFonts w:hint="eastAsia" w:ascii="楷体_GB2312" w:hAnsi="楷体_GB2312" w:eastAsia="楷体_GB2312" w:cs="楷体_GB2312"/>
          <w:sz w:val="32"/>
          <w:szCs w:val="32"/>
          <w:highlight w:val="none"/>
          <w:lang w:val="en-US" w:eastAsia="zh-CN"/>
        </w:rPr>
        <w:t>相关定义</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办法》</w:t>
      </w:r>
      <w:r>
        <w:rPr>
          <w:rFonts w:hint="eastAsia" w:cs="仿宋_GB2312"/>
          <w:sz w:val="32"/>
          <w:szCs w:val="32"/>
          <w:highlight w:val="none"/>
          <w:lang w:val="en-US" w:eastAsia="zh-CN"/>
        </w:rPr>
        <w:t>第二及第四条</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“限额以下小型工程”</w:t>
      </w:r>
      <w:r>
        <w:rPr>
          <w:rFonts w:hint="eastAsia" w:ascii="仿宋_GB2312" w:hAnsi="仿宋_GB2312" w:eastAsia="仿宋_GB2312" w:cs="仿宋_GB2312"/>
          <w:sz w:val="32"/>
          <w:szCs w:val="32"/>
          <w:highlight w:val="none"/>
          <w:lang w:val="en-US" w:eastAsia="zh-CN"/>
        </w:rPr>
        <w:t>定义为：</w:t>
      </w:r>
      <w:r>
        <w:rPr>
          <w:rFonts w:hint="eastAsia" w:ascii="仿宋_GB2312" w:hAnsi="仿宋_GB2312" w:eastAsia="仿宋_GB2312" w:cs="仿宋_GB2312"/>
          <w:kern w:val="2"/>
          <w:sz w:val="32"/>
          <w:szCs w:val="32"/>
          <w:highlight w:val="none"/>
          <w:lang w:val="en-US" w:eastAsia="zh-CN" w:bidi="ar-SA"/>
        </w:rPr>
        <w:t>投资额在</w:t>
      </w:r>
      <w:r>
        <w:rPr>
          <w:rFonts w:hint="default" w:ascii="仿宋_GB2312" w:hAnsi="仿宋_GB2312" w:eastAsia="仿宋_GB2312" w:cs="仿宋_GB2312"/>
          <w:kern w:val="2"/>
          <w:sz w:val="32"/>
          <w:szCs w:val="32"/>
          <w:highlight w:val="none"/>
          <w:lang w:val="en-US" w:eastAsia="zh-CN" w:bidi="ar-SA"/>
        </w:rPr>
        <w:t>100</w:t>
      </w:r>
      <w:r>
        <w:rPr>
          <w:rFonts w:hint="eastAsia" w:ascii="仿宋_GB2312" w:hAnsi="仿宋_GB2312" w:eastAsia="仿宋_GB2312" w:cs="仿宋_GB2312"/>
          <w:kern w:val="2"/>
          <w:sz w:val="32"/>
          <w:szCs w:val="32"/>
          <w:highlight w:val="none"/>
          <w:lang w:val="en-US" w:eastAsia="zh-CN" w:bidi="ar-SA"/>
        </w:rPr>
        <w:t>万元以下（含</w:t>
      </w:r>
      <w:r>
        <w:rPr>
          <w:rFonts w:hint="default" w:ascii="仿宋_GB2312" w:hAnsi="仿宋_GB2312" w:eastAsia="仿宋_GB2312" w:cs="仿宋_GB2312"/>
          <w:kern w:val="2"/>
          <w:sz w:val="32"/>
          <w:szCs w:val="32"/>
          <w:highlight w:val="none"/>
          <w:lang w:val="en-US" w:eastAsia="zh-CN" w:bidi="ar-SA"/>
        </w:rPr>
        <w:t>100</w:t>
      </w:r>
      <w:r>
        <w:rPr>
          <w:rFonts w:hint="eastAsia" w:ascii="仿宋_GB2312" w:hAnsi="仿宋_GB2312" w:eastAsia="仿宋_GB2312" w:cs="仿宋_GB2312"/>
          <w:kern w:val="2"/>
          <w:sz w:val="32"/>
          <w:szCs w:val="32"/>
          <w:highlight w:val="none"/>
          <w:lang w:val="en-US" w:eastAsia="zh-CN" w:bidi="ar-SA"/>
        </w:rPr>
        <w:t>万元）或者建筑面积在</w:t>
      </w:r>
      <w:r>
        <w:rPr>
          <w:rFonts w:hint="default" w:ascii="仿宋_GB2312" w:hAnsi="仿宋_GB2312" w:eastAsia="仿宋_GB2312" w:cs="仿宋_GB2312"/>
          <w:kern w:val="2"/>
          <w:sz w:val="32"/>
          <w:szCs w:val="32"/>
          <w:highlight w:val="none"/>
          <w:lang w:val="en-US" w:eastAsia="zh-CN" w:bidi="ar-SA"/>
        </w:rPr>
        <w:t>500</w:t>
      </w:r>
      <w:r>
        <w:rPr>
          <w:rFonts w:hint="eastAsia" w:ascii="仿宋_GB2312" w:hAnsi="仿宋_GB2312" w:eastAsia="仿宋_GB2312" w:cs="仿宋_GB2312"/>
          <w:kern w:val="2"/>
          <w:sz w:val="32"/>
          <w:szCs w:val="32"/>
          <w:highlight w:val="none"/>
          <w:lang w:val="en-US" w:eastAsia="zh-CN" w:bidi="ar-SA"/>
        </w:rPr>
        <w:t>平方米以下（含</w:t>
      </w:r>
      <w:r>
        <w:rPr>
          <w:rFonts w:hint="default" w:ascii="仿宋_GB2312" w:hAnsi="仿宋_GB2312" w:eastAsia="仿宋_GB2312" w:cs="仿宋_GB2312"/>
          <w:kern w:val="2"/>
          <w:sz w:val="32"/>
          <w:szCs w:val="32"/>
          <w:highlight w:val="none"/>
          <w:lang w:val="en-US" w:eastAsia="zh-CN" w:bidi="ar-SA"/>
        </w:rPr>
        <w:t>500</w:t>
      </w:r>
      <w:r>
        <w:rPr>
          <w:rFonts w:hint="eastAsia" w:ascii="仿宋_GB2312" w:hAnsi="仿宋_GB2312" w:eastAsia="仿宋_GB2312" w:cs="仿宋_GB2312"/>
          <w:kern w:val="2"/>
          <w:sz w:val="32"/>
          <w:szCs w:val="32"/>
          <w:highlight w:val="none"/>
          <w:lang w:val="en-US" w:eastAsia="zh-CN" w:bidi="ar-SA"/>
        </w:rPr>
        <w:t>平方米），按规定可以不申请办理施工许可证或开工报告的工程（含土木工程、建筑工程、线路管道和设备安装工程及装修工程）。</w:t>
      </w:r>
      <w:r>
        <w:rPr>
          <w:rFonts w:hint="eastAsia" w:cs="仿宋_GB2312"/>
          <w:kern w:val="2"/>
          <w:sz w:val="32"/>
          <w:szCs w:val="32"/>
          <w:highlight w:val="none"/>
          <w:lang w:val="en-US" w:eastAsia="zh-CN" w:bidi="ar-SA"/>
        </w:rPr>
        <w:t>将</w:t>
      </w:r>
      <w:r>
        <w:rPr>
          <w:rFonts w:hint="eastAsia" w:ascii="仿宋_GB2312" w:hAnsi="仿宋_GB2312" w:eastAsia="仿宋_GB2312" w:cs="仿宋_GB2312"/>
          <w:sz w:val="32"/>
          <w:szCs w:val="32"/>
          <w:highlight w:val="none"/>
        </w:rPr>
        <w:t>“零星作业</w:t>
      </w:r>
      <w:r>
        <w:rPr>
          <w:rFonts w:hint="eastAsia" w:cs="仿宋_GB2312"/>
          <w:sz w:val="32"/>
          <w:szCs w:val="32"/>
          <w:highlight w:val="none"/>
          <w:lang w:eastAsia="zh-CN"/>
        </w:rPr>
        <w:t>”</w:t>
      </w:r>
      <w:r>
        <w:rPr>
          <w:rFonts w:hint="eastAsia" w:cs="仿宋_GB2312"/>
          <w:sz w:val="32"/>
          <w:szCs w:val="32"/>
          <w:highlight w:val="none"/>
          <w:lang w:val="en-US" w:eastAsia="zh-CN"/>
        </w:rPr>
        <w:t>定义为：</w:t>
      </w:r>
      <w:r>
        <w:rPr>
          <w:rFonts w:hint="eastAsia" w:ascii="仿宋_GB2312" w:hAnsi="仿宋_GB2312" w:eastAsia="仿宋_GB2312" w:cs="仿宋_GB2312"/>
          <w:color w:val="auto"/>
          <w:highlight w:val="none"/>
        </w:rPr>
        <w:t>在公共区域进行的存在</w:t>
      </w:r>
      <w:r>
        <w:rPr>
          <w:rFonts w:hint="eastAsia" w:cs="仿宋_GB2312"/>
          <w:color w:val="auto"/>
          <w:highlight w:val="none"/>
          <w:lang w:eastAsia="zh-CN"/>
        </w:rPr>
        <w:t>火灾、</w:t>
      </w:r>
      <w:r>
        <w:rPr>
          <w:rFonts w:hint="eastAsia" w:ascii="仿宋_GB2312" w:hAnsi="仿宋_GB2312" w:eastAsia="仿宋_GB2312" w:cs="仿宋_GB2312"/>
          <w:color w:val="auto"/>
          <w:highlight w:val="none"/>
        </w:rPr>
        <w:t>高处坠落、触电、物体打击</w:t>
      </w:r>
      <w:r>
        <w:rPr>
          <w:rFonts w:hint="eastAsia" w:ascii="仿宋_GB2312" w:hAnsi="仿宋_GB2312" w:eastAsia="仿宋_GB2312" w:cs="仿宋_GB2312"/>
          <w:kern w:val="2"/>
          <w:sz w:val="32"/>
          <w:szCs w:val="32"/>
          <w:highlight w:val="none"/>
          <w:lang w:val="en-US" w:eastAsia="zh-CN" w:bidi="ar-SA"/>
        </w:rPr>
        <w:t>、坍塌等特定安全风险且依法无需许可审批的非工程建设类生产作业活动。</w:t>
      </w:r>
      <w:r>
        <w:rPr>
          <w:rFonts w:hint="eastAsia" w:cs="仿宋_GB2312"/>
          <w:kern w:val="2"/>
          <w:sz w:val="32"/>
          <w:szCs w:val="32"/>
          <w:highlight w:val="none"/>
          <w:lang w:val="en-US" w:eastAsia="zh-CN" w:bidi="ar-SA"/>
        </w:rPr>
        <w:t>并在</w:t>
      </w:r>
      <w:r>
        <w:rPr>
          <w:rFonts w:hint="eastAsia" w:ascii="仿宋_GB2312" w:hAnsi="仿宋_GB2312" w:eastAsia="仿宋_GB2312" w:cs="仿宋_GB2312"/>
          <w:kern w:val="2"/>
          <w:sz w:val="32"/>
          <w:szCs w:val="32"/>
          <w:highlight w:val="none"/>
          <w:lang w:val="en-US" w:eastAsia="zh-CN" w:bidi="ar-SA"/>
        </w:rPr>
        <w:t>第二十三条明确了抢险救灾等特殊情形不适用本办法。</w:t>
      </w:r>
    </w:p>
    <w:p w14:paraId="67B78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楷体_GB2312" w:hAnsi="楷体_GB2312" w:eastAsia="楷体_GB2312" w:cs="楷体_GB2312"/>
          <w:sz w:val="32"/>
          <w:szCs w:val="32"/>
          <w:highlight w:val="none"/>
        </w:rPr>
        <w:t>（二）建立高风险</w:t>
      </w:r>
      <w:r>
        <w:rPr>
          <w:rFonts w:hint="eastAsia" w:ascii="楷体_GB2312" w:hAnsi="楷体_GB2312" w:eastAsia="楷体_GB2312" w:cs="楷体_GB2312"/>
          <w:sz w:val="32"/>
          <w:szCs w:val="32"/>
          <w:highlight w:val="none"/>
          <w:lang w:val="en-US" w:eastAsia="zh-CN"/>
        </w:rPr>
        <w:t>小型</w:t>
      </w:r>
      <w:r>
        <w:rPr>
          <w:rFonts w:hint="eastAsia" w:ascii="楷体_GB2312" w:hAnsi="楷体_GB2312" w:eastAsia="楷体_GB2312" w:cs="楷体_GB2312"/>
          <w:sz w:val="32"/>
          <w:szCs w:val="32"/>
          <w:highlight w:val="none"/>
        </w:rPr>
        <w:t>工程重点监管制度。</w:t>
      </w:r>
      <w:r>
        <w:rPr>
          <w:rFonts w:hint="eastAsia" w:ascii="仿宋_GB2312" w:hAnsi="仿宋_GB2312" w:eastAsia="仿宋_GB2312" w:cs="仿宋_GB2312"/>
          <w:sz w:val="32"/>
          <w:szCs w:val="32"/>
          <w:highlight w:val="none"/>
        </w:rPr>
        <w:t>《办法》第三条明确了高风险小型工程的五种情形，包括投资额与建筑面积交叉超限、变动主体承重结构、</w:t>
      </w:r>
      <w:r>
        <w:rPr>
          <w:rFonts w:hint="eastAsia" w:ascii="仿宋_GB2312" w:hAnsi="仿宋_GB2312" w:eastAsia="仿宋_GB2312" w:cs="仿宋_GB2312"/>
          <w:sz w:val="32"/>
          <w:szCs w:val="32"/>
          <w:highlight w:val="none"/>
          <w:lang w:val="en-US" w:eastAsia="zh-CN"/>
        </w:rPr>
        <w:t>涉及</w:t>
      </w:r>
      <w:r>
        <w:rPr>
          <w:rFonts w:hint="eastAsia" w:ascii="仿宋_GB2312" w:hAnsi="仿宋_GB2312" w:eastAsia="仿宋_GB2312" w:cs="仿宋_GB2312"/>
          <w:sz w:val="32"/>
          <w:szCs w:val="32"/>
          <w:highlight w:val="none"/>
        </w:rPr>
        <w:t>动火作业、有限空间作业、危大工程等，</w:t>
      </w:r>
      <w:r>
        <w:rPr>
          <w:rFonts w:hint="eastAsia" w:ascii="仿宋_GB2312" w:hAnsi="仿宋_GB2312" w:eastAsia="仿宋_GB2312" w:cs="仿宋_GB2312"/>
          <w:sz w:val="32"/>
          <w:szCs w:val="32"/>
          <w:highlight w:val="none"/>
          <w:lang w:val="en-US" w:eastAsia="zh-CN"/>
        </w:rPr>
        <w:t>实施重点监管。并在第二章主体责任、第四章备案管理和巡查执法对</w:t>
      </w:r>
      <w:r>
        <w:rPr>
          <w:rFonts w:hint="eastAsia" w:ascii="仿宋_GB2312" w:hAnsi="仿宋_GB2312" w:eastAsia="仿宋_GB2312" w:cs="仿宋_GB2312"/>
          <w:sz w:val="32"/>
          <w:szCs w:val="32"/>
          <w:highlight w:val="none"/>
        </w:rPr>
        <w:t>高风险</w:t>
      </w:r>
      <w:r>
        <w:rPr>
          <w:rFonts w:hint="eastAsia" w:ascii="仿宋_GB2312" w:hAnsi="仿宋_GB2312" w:eastAsia="仿宋_GB2312" w:cs="仿宋_GB2312"/>
          <w:sz w:val="32"/>
          <w:szCs w:val="32"/>
          <w:highlight w:val="none"/>
          <w:lang w:val="en-US" w:eastAsia="zh-CN"/>
        </w:rPr>
        <w:t>小型</w:t>
      </w:r>
      <w:r>
        <w:rPr>
          <w:rFonts w:hint="eastAsia" w:ascii="仿宋_GB2312" w:hAnsi="仿宋_GB2312" w:eastAsia="仿宋_GB2312" w:cs="仿宋_GB2312"/>
          <w:sz w:val="32"/>
          <w:szCs w:val="32"/>
          <w:highlight w:val="none"/>
        </w:rPr>
        <w:t>工程提出了</w:t>
      </w:r>
      <w:r>
        <w:rPr>
          <w:rFonts w:hint="eastAsia" w:ascii="仿宋_GB2312" w:hAnsi="仿宋_GB2312" w:eastAsia="仿宋_GB2312" w:cs="仿宋_GB2312"/>
          <w:sz w:val="32"/>
          <w:szCs w:val="32"/>
          <w:highlight w:val="none"/>
          <w:lang w:val="en-US" w:eastAsia="zh-CN"/>
        </w:rPr>
        <w:t>放置</w:t>
      </w:r>
      <w:r>
        <w:rPr>
          <w:rFonts w:hint="eastAsia" w:ascii="仿宋_GB2312" w:hAnsi="仿宋_GB2312" w:eastAsia="仿宋_GB2312" w:cs="仿宋_GB2312"/>
          <w:sz w:val="32"/>
          <w:szCs w:val="32"/>
          <w:highlight w:val="none"/>
        </w:rPr>
        <w:t>公示</w:t>
      </w:r>
      <w:r>
        <w:rPr>
          <w:rFonts w:hint="eastAsia" w:ascii="仿宋_GB2312" w:hAnsi="仿宋_GB2312" w:eastAsia="仿宋_GB2312" w:cs="仿宋_GB2312"/>
          <w:sz w:val="32"/>
          <w:szCs w:val="32"/>
          <w:highlight w:val="none"/>
          <w:lang w:val="en-US" w:eastAsia="zh-CN"/>
        </w:rPr>
        <w:t>牌</w:t>
      </w:r>
      <w:r>
        <w:rPr>
          <w:rFonts w:hint="eastAsia" w:ascii="仿宋_GB2312" w:hAnsi="仿宋_GB2312" w:eastAsia="仿宋_GB2312" w:cs="仿宋_GB2312"/>
          <w:sz w:val="32"/>
          <w:szCs w:val="32"/>
          <w:highlight w:val="none"/>
        </w:rPr>
        <w:t>、编审</w:t>
      </w: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方案、</w:t>
      </w:r>
      <w:r>
        <w:rPr>
          <w:rFonts w:hint="eastAsia" w:ascii="仿宋_GB2312" w:hAnsi="仿宋_GB2312" w:eastAsia="仿宋_GB2312" w:cs="仿宋_GB2312"/>
          <w:sz w:val="32"/>
          <w:szCs w:val="32"/>
          <w:highlight w:val="none"/>
          <w:lang w:val="en-US" w:eastAsia="zh-CN"/>
        </w:rPr>
        <w:t>加强监督管理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落实安全</w:t>
      </w:r>
      <w:r>
        <w:rPr>
          <w:rFonts w:hint="eastAsia" w:ascii="仿宋_GB2312" w:hAnsi="仿宋_GB2312" w:eastAsia="仿宋_GB2312" w:cs="仿宋_GB2312"/>
          <w:sz w:val="32"/>
          <w:szCs w:val="32"/>
          <w:highlight w:val="none"/>
        </w:rPr>
        <w:t>技术交底等更严格的管控要求。</w:t>
      </w:r>
    </w:p>
    <w:p w14:paraId="7DB6C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（三）压实各方安全生产主体责任。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办法》</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明确限额以下小型工程的</w:t>
      </w:r>
      <w:r>
        <w:rPr>
          <w:rFonts w:hint="eastAsia" w:ascii="仿宋_GB2312" w:hAnsi="仿宋_GB2312" w:eastAsia="仿宋_GB2312" w:cs="仿宋_GB2312"/>
          <w:sz w:val="32"/>
          <w:szCs w:val="32"/>
          <w:highlight w:val="none"/>
        </w:rPr>
        <w:t>建设单位</w:t>
      </w:r>
      <w:r>
        <w:rPr>
          <w:rFonts w:hint="eastAsia" w:ascii="仿宋_GB2312" w:hAnsi="仿宋_GB2312" w:eastAsia="仿宋_GB2312" w:cs="仿宋_GB2312"/>
          <w:sz w:val="32"/>
          <w:szCs w:val="32"/>
          <w:highlight w:val="none"/>
          <w:lang w:val="en-US" w:eastAsia="zh-CN"/>
        </w:rPr>
        <w:t>应履行</w:t>
      </w:r>
      <w:r>
        <w:rPr>
          <w:rFonts w:hint="eastAsia" w:ascii="仿宋_GB2312" w:hAnsi="仿宋_GB2312" w:eastAsia="仿宋_GB2312" w:cs="仿宋_GB2312"/>
          <w:sz w:val="32"/>
          <w:szCs w:val="32"/>
          <w:highlight w:val="none"/>
        </w:rPr>
        <w:t>办理规划许可（如需要）、备案登记、委托有资质（或安全条件）的单位施工、不得擅自变动主体结构、落实动火动土等特殊作业管理、保障合理工期造价等责任（第六条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明确</w:t>
      </w:r>
      <w:r>
        <w:rPr>
          <w:rFonts w:hint="eastAsia" w:ascii="仿宋_GB2312" w:hAnsi="仿宋_GB2312" w:eastAsia="仿宋_GB2312" w:cs="仿宋_GB2312"/>
          <w:sz w:val="32"/>
          <w:szCs w:val="32"/>
          <w:highlight w:val="none"/>
        </w:rPr>
        <w:t>雇请他人进行零星作业的业主</w:t>
      </w:r>
      <w:r>
        <w:rPr>
          <w:rFonts w:hint="eastAsia" w:ascii="仿宋_GB2312" w:hAnsi="仿宋_GB2312" w:eastAsia="仿宋_GB2312" w:cs="仿宋_GB2312"/>
          <w:sz w:val="32"/>
          <w:szCs w:val="32"/>
          <w:highlight w:val="none"/>
          <w:lang w:val="en-US" w:eastAsia="zh-CN"/>
        </w:rPr>
        <w:t>应履行</w:t>
      </w:r>
      <w:r>
        <w:rPr>
          <w:rFonts w:hint="eastAsia" w:ascii="仿宋_GB2312" w:hAnsi="仿宋_GB2312" w:eastAsia="仿宋_GB2312" w:cs="仿宋_GB2312"/>
          <w:sz w:val="32"/>
          <w:szCs w:val="32"/>
          <w:highlight w:val="none"/>
        </w:rPr>
        <w:t>零星作业前备案、督促落实安全措施、确保特种作业人员持证上岗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严格动火作业和防高坠现场管控</w:t>
      </w:r>
      <w:r>
        <w:rPr>
          <w:rFonts w:hint="eastAsia" w:ascii="仿宋_GB2312" w:hAnsi="仿宋_GB2312" w:eastAsia="仿宋_GB2312" w:cs="仿宋_GB2312"/>
          <w:sz w:val="32"/>
          <w:szCs w:val="32"/>
          <w:highlight w:val="none"/>
        </w:rPr>
        <w:t>等责任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第七条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明确</w:t>
      </w:r>
      <w:r>
        <w:rPr>
          <w:rFonts w:hint="eastAsia" w:ascii="仿宋_GB2312" w:hAnsi="仿宋_GB2312" w:eastAsia="仿宋_GB2312" w:cs="仿宋_GB2312"/>
          <w:sz w:val="32"/>
          <w:szCs w:val="32"/>
          <w:highlight w:val="none"/>
        </w:rPr>
        <w:t>生产经营单位</w:t>
      </w:r>
      <w:r>
        <w:rPr>
          <w:rFonts w:hint="eastAsia" w:ascii="仿宋_GB2312" w:hAnsi="仿宋_GB2312" w:eastAsia="仿宋_GB2312" w:cs="仿宋_GB2312"/>
          <w:sz w:val="32"/>
          <w:szCs w:val="32"/>
          <w:highlight w:val="none"/>
          <w:lang w:val="en-US" w:eastAsia="zh-CN"/>
        </w:rPr>
        <w:t>应履行</w:t>
      </w:r>
      <w:r>
        <w:rPr>
          <w:rFonts w:hint="eastAsia" w:ascii="仿宋_GB2312" w:hAnsi="仿宋_GB2312" w:eastAsia="仿宋_GB2312" w:cs="仿宋_GB2312"/>
          <w:sz w:val="32"/>
          <w:szCs w:val="32"/>
          <w:highlight w:val="none"/>
        </w:rPr>
        <w:t>按标准规范作业、加强现场管理、保障安全投入、落实特种作业（如动火作业“六必须”）和公共设施</w:t>
      </w:r>
      <w:r>
        <w:rPr>
          <w:rFonts w:hint="eastAsia" w:ascii="仿宋_GB2312" w:hAnsi="仿宋_GB2312" w:eastAsia="仿宋_GB2312" w:cs="仿宋_GB2312"/>
          <w:sz w:val="32"/>
          <w:szCs w:val="32"/>
          <w:highlight w:val="none"/>
          <w:lang w:val="en-US" w:eastAsia="zh-CN"/>
        </w:rPr>
        <w:t>设备的安全</w:t>
      </w:r>
      <w:r>
        <w:rPr>
          <w:rFonts w:hint="eastAsia" w:ascii="仿宋_GB2312" w:hAnsi="仿宋_GB2312" w:eastAsia="仿宋_GB2312" w:cs="仿宋_GB2312"/>
          <w:sz w:val="32"/>
          <w:szCs w:val="32"/>
          <w:highlight w:val="none"/>
        </w:rPr>
        <w:t>保护措施等责任（第八条）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highlight w:val="none"/>
          <w:lang w:val="en-US" w:eastAsia="zh-CN"/>
        </w:rPr>
        <w:t>明确</w:t>
      </w:r>
      <w:r>
        <w:rPr>
          <w:rFonts w:hint="eastAsia" w:ascii="仿宋_GB2312" w:hAnsi="仿宋_GB2312" w:eastAsia="仿宋_GB2312" w:cs="仿宋_GB2312"/>
          <w:sz w:val="32"/>
          <w:szCs w:val="32"/>
          <w:highlight w:val="none"/>
        </w:rPr>
        <w:t>勘察、设计、监理等</w:t>
      </w:r>
      <w:r>
        <w:rPr>
          <w:rFonts w:hint="eastAsia" w:ascii="仿宋_GB2312" w:hAnsi="仿宋_GB2312" w:eastAsia="仿宋_GB2312" w:cs="仿宋_GB2312"/>
          <w:sz w:val="32"/>
          <w:szCs w:val="32"/>
          <w:highlight w:val="none"/>
          <w:lang w:val="en-US" w:eastAsia="zh-CN"/>
        </w:rPr>
        <w:t>参建</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依法依规执业的责任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第九条） </w:t>
      </w:r>
      <w:r>
        <w:rPr>
          <w:rFonts w:hint="eastAsia" w:ascii="仿宋_GB2312" w:hAnsi="仿宋_GB2312" w:eastAsia="仿宋_GB2312" w:cs="仿宋_GB2312"/>
          <w:sz w:val="32"/>
          <w:szCs w:val="32"/>
          <w:highlight w:val="none"/>
        </w:rPr>
        <w:t>。</w:t>
      </w:r>
    </w:p>
    <w:p w14:paraId="178459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rPr>
        <w:t>（四）明晰各级各部门职责分工。</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lang w:val="en-US" w:eastAsia="zh-CN"/>
        </w:rPr>
        <w:t>办法》</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明确了住建、铁路、交通运输、水利、民航、能源、通信、文物、市场监管等部门应按职责负责相关领域限额以下小型工程安全生产的监督管理；应急管理部门统筹零星作业安全纳管工作；各行业主管部门按照“三管三必须”原则，负责协调指导各自行业领域拥有产权或者为从事相关行业领域生产经营活动而实施的限额以下小型工程和零星作业安全生产监督管理工作，指导督促相关单位落实办理安全生产备案登记工作（第十至十二条）。</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明确了地市层面应加强对限额以下小型工程和零星作业施工安全生产管理工作的组织领导，组织制定辖区内管理实施细则，统筹建立登记纳管信息平台；县（区）层面负责统筹实施具体纳管工作，建立完善分级网格化管理等制度，加强人员、经费保障，组织开展巡查执法；镇街层面负责备案登记、宣传培训、日常巡查、协助执法等具体工作（第十三至十五条）。</w:t>
      </w:r>
    </w:p>
    <w:p w14:paraId="0AC09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rPr>
        <w:t>（五）规范备案登记和巡查执法程序。</w:t>
      </w:r>
      <w:r>
        <w:rPr>
          <w:rFonts w:hint="eastAsia" w:ascii="仿宋_GB2312" w:hAnsi="仿宋_GB2312" w:eastAsia="仿宋_GB2312" w:cs="仿宋_GB2312"/>
          <w:sz w:val="32"/>
          <w:szCs w:val="32"/>
          <w:highlight w:val="none"/>
          <w:lang w:val="en-US" w:eastAsia="zh-CN"/>
        </w:rPr>
        <w:t>《办法》</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明确安全生产备案登记为告知性登记，不作为其他合法性手续的前置条件，但在涉及虚假申报或违法建设等情形下登记无效。并对安全生产备案登记的具体流程要求进行规定（第十六条、第十七条）</w:t>
      </w:r>
    </w:p>
    <w:p w14:paraId="4FA5CD9A">
      <w:pPr>
        <w:pStyle w:val="8"/>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规定相关工程或作业完工后，建设单位或业主应及时向镇街或者其委托的单位申请销案确认（第十八条）。</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明确要求镇街应组织开展常态化巡查</w:t>
      </w:r>
      <w:r>
        <w:rPr>
          <w:rFonts w:hint="eastAsia" w:cs="仿宋_GB2312"/>
          <w:sz w:val="32"/>
          <w:szCs w:val="32"/>
          <w:highlight w:val="none"/>
          <w:lang w:val="en-US" w:eastAsia="zh-CN"/>
        </w:rPr>
        <w:t>。</w:t>
      </w:r>
      <w:r>
        <w:rPr>
          <w:rFonts w:hint="eastAsia" w:ascii="仿宋_GB2312" w:hAnsi="仿宋_GB2312" w:eastAsia="仿宋_GB2312" w:cs="Times New Roman"/>
          <w:color w:val="auto"/>
          <w:kern w:val="0"/>
          <w:sz w:val="32"/>
          <w:szCs w:val="24"/>
          <w:highlight w:val="none"/>
          <w:lang w:val="en-US" w:eastAsia="zh-CN"/>
        </w:rPr>
        <w:t>管理力量不足的，</w:t>
      </w:r>
      <w:r>
        <w:rPr>
          <w:rFonts w:hint="eastAsia" w:cs="Times New Roman"/>
          <w:color w:val="auto"/>
          <w:kern w:val="0"/>
          <w:sz w:val="32"/>
          <w:szCs w:val="24"/>
          <w:highlight w:val="none"/>
          <w:lang w:val="en-US" w:eastAsia="zh-CN"/>
        </w:rPr>
        <w:t>可</w:t>
      </w:r>
      <w:r>
        <w:rPr>
          <w:rFonts w:hint="eastAsia" w:ascii="仿宋_GB2312" w:hAnsi="仿宋_GB2312" w:eastAsia="仿宋_GB2312" w:cs="Times New Roman"/>
          <w:color w:val="auto"/>
          <w:kern w:val="0"/>
          <w:sz w:val="32"/>
          <w:szCs w:val="24"/>
          <w:highlight w:val="none"/>
          <w:lang w:val="en-US" w:eastAsia="zh-CN"/>
        </w:rPr>
        <w:t>通过政府购买服务</w:t>
      </w:r>
      <w:r>
        <w:rPr>
          <w:rFonts w:hint="eastAsia" w:cs="Times New Roman"/>
          <w:color w:val="auto"/>
          <w:kern w:val="0"/>
          <w:sz w:val="32"/>
          <w:szCs w:val="24"/>
          <w:highlight w:val="none"/>
          <w:lang w:val="en-US" w:eastAsia="zh-CN"/>
        </w:rPr>
        <w:t>、专业志愿者等</w:t>
      </w:r>
      <w:r>
        <w:rPr>
          <w:rFonts w:hint="eastAsia" w:ascii="仿宋_GB2312" w:hAnsi="仿宋_GB2312" w:eastAsia="仿宋_GB2312" w:cs="Times New Roman"/>
          <w:color w:val="auto"/>
          <w:kern w:val="0"/>
          <w:sz w:val="32"/>
          <w:szCs w:val="24"/>
          <w:highlight w:val="none"/>
          <w:lang w:val="en-US" w:eastAsia="zh-CN"/>
        </w:rPr>
        <w:t>方式充实管理力量。</w:t>
      </w:r>
      <w:r>
        <w:rPr>
          <w:rFonts w:hint="eastAsia" w:ascii="仿宋_GB2312" w:hAnsi="仿宋_GB2312" w:eastAsia="仿宋_GB2312" w:cs="仿宋_GB2312"/>
          <w:sz w:val="32"/>
          <w:szCs w:val="32"/>
          <w:highlight w:val="none"/>
          <w:lang w:val="en-US" w:eastAsia="zh-CN"/>
        </w:rPr>
        <w:t>对</w:t>
      </w:r>
      <w:r>
        <w:rPr>
          <w:rFonts w:hint="eastAsia" w:cs="仿宋_GB2312"/>
          <w:sz w:val="32"/>
          <w:szCs w:val="32"/>
          <w:highlight w:val="none"/>
          <w:lang w:val="en-US" w:eastAsia="zh-CN"/>
        </w:rPr>
        <w:t>于</w:t>
      </w:r>
      <w:r>
        <w:rPr>
          <w:rFonts w:hint="eastAsia" w:ascii="仿宋_GB2312" w:hAnsi="仿宋_GB2312" w:eastAsia="仿宋_GB2312" w:cs="仿宋_GB2312"/>
          <w:sz w:val="32"/>
          <w:szCs w:val="32"/>
          <w:highlight w:val="none"/>
          <w:lang w:val="en-US" w:eastAsia="zh-CN"/>
        </w:rPr>
        <w:t>巡查发现的问题</w:t>
      </w:r>
      <w:r>
        <w:rPr>
          <w:rFonts w:hint="eastAsia" w:cs="仿宋_GB2312"/>
          <w:sz w:val="32"/>
          <w:szCs w:val="32"/>
          <w:highlight w:val="none"/>
          <w:lang w:val="en-US" w:eastAsia="zh-CN"/>
        </w:rPr>
        <w:t>，应</w:t>
      </w:r>
      <w:r>
        <w:rPr>
          <w:rFonts w:hint="eastAsia" w:ascii="仿宋_GB2312" w:hAnsi="仿宋_GB2312" w:eastAsia="仿宋_GB2312" w:cs="仿宋_GB2312"/>
          <w:sz w:val="32"/>
          <w:szCs w:val="32"/>
          <w:highlight w:val="none"/>
          <w:lang w:val="en-US" w:eastAsia="zh-CN"/>
        </w:rPr>
        <w:t>进行分类处置，涉及违法的移送相关执法部门</w:t>
      </w:r>
      <w:r>
        <w:rPr>
          <w:rFonts w:hint="eastAsia" w:cs="仿宋_GB2312"/>
          <w:sz w:val="32"/>
          <w:szCs w:val="32"/>
          <w:highlight w:val="none"/>
          <w:lang w:val="en-US" w:eastAsia="zh-CN"/>
        </w:rPr>
        <w:t>依法予以</w:t>
      </w:r>
      <w:r>
        <w:rPr>
          <w:rFonts w:hint="eastAsia" w:ascii="仿宋_GB2312" w:hAnsi="仿宋_GB2312" w:eastAsia="仿宋_GB2312" w:cs="仿宋_GB2312"/>
          <w:sz w:val="32"/>
          <w:szCs w:val="32"/>
          <w:highlight w:val="none"/>
          <w:lang w:val="en-US" w:eastAsia="zh-CN"/>
        </w:rPr>
        <w:t>查处。（第二十、二十一条）。此外，《办法》还鼓励</w:t>
      </w:r>
      <w:r>
        <w:rPr>
          <w:rFonts w:hint="eastAsia" w:cs="仿宋_GB2312"/>
          <w:sz w:val="32"/>
          <w:szCs w:val="32"/>
          <w:highlight w:val="none"/>
          <w:lang w:val="en-US" w:eastAsia="zh-CN"/>
        </w:rPr>
        <w:t>公众参与</w:t>
      </w:r>
      <w:r>
        <w:rPr>
          <w:rFonts w:hint="eastAsia" w:ascii="仿宋_GB2312" w:hAnsi="仿宋_GB2312" w:eastAsia="仿宋_GB2312" w:cs="仿宋_GB2312"/>
          <w:sz w:val="32"/>
          <w:szCs w:val="32"/>
          <w:highlight w:val="none"/>
          <w:lang w:val="en-US" w:eastAsia="zh-CN"/>
        </w:rPr>
        <w:t>监督，建立健全</w:t>
      </w:r>
      <w:r>
        <w:rPr>
          <w:rFonts w:hint="eastAsia" w:ascii="仿宋_GB2312" w:hAnsi="仿宋_GB2312" w:eastAsia="仿宋_GB2312" w:cs="仿宋_GB2312"/>
          <w:sz w:val="32"/>
          <w:szCs w:val="32"/>
          <w:highlight w:val="none"/>
        </w:rPr>
        <w:t>社会监督举报和奖励机制</w:t>
      </w:r>
      <w:r>
        <w:rPr>
          <w:rFonts w:hint="eastAsia" w:ascii="仿宋_GB2312" w:hAnsi="仿宋_GB2312" w:eastAsia="仿宋_GB2312" w:cs="仿宋_GB2312"/>
          <w:sz w:val="32"/>
          <w:szCs w:val="32"/>
          <w:highlight w:val="none"/>
          <w:lang w:val="en-US" w:eastAsia="zh-CN"/>
        </w:rPr>
        <w:t>（第二十二条）。</w:t>
      </w:r>
    </w:p>
    <w:p w14:paraId="2C4E8E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四、其他需要说明的事项</w:t>
      </w:r>
    </w:p>
    <w:p w14:paraId="78610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rPr>
        <w:t>（一）关于备案登记的性质。</w:t>
      </w:r>
      <w:r>
        <w:rPr>
          <w:rFonts w:hint="eastAsia" w:ascii="仿宋_GB2312" w:hAnsi="仿宋_GB2312" w:eastAsia="仿宋_GB2312" w:cs="仿宋_GB2312"/>
          <w:sz w:val="32"/>
          <w:szCs w:val="32"/>
        </w:rPr>
        <w:t>《办法》规定的安全生产备案登记是告知性的，旨在掌握信息、实施纳管，并非行政许可。</w:t>
      </w:r>
    </w:p>
    <w:p w14:paraId="629FF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rPr>
        <w:t>）关于职责划分。</w:t>
      </w:r>
      <w:r>
        <w:rPr>
          <w:rFonts w:hint="eastAsia" w:ascii="仿宋_GB2312" w:hAnsi="仿宋_GB2312" w:eastAsia="仿宋_GB2312" w:cs="仿宋_GB2312"/>
          <w:sz w:val="32"/>
          <w:szCs w:val="32"/>
        </w:rPr>
        <w:t>《办法》对</w:t>
      </w:r>
      <w:r>
        <w:rPr>
          <w:rFonts w:hint="eastAsia" w:ascii="仿宋_GB2312" w:hAnsi="仿宋_GB2312" w:eastAsia="仿宋_GB2312" w:cs="仿宋_GB2312"/>
          <w:sz w:val="32"/>
          <w:szCs w:val="32"/>
          <w:lang w:val="en-US" w:eastAsia="zh-CN"/>
        </w:rPr>
        <w:t>各地</w:t>
      </w:r>
      <w:r>
        <w:rPr>
          <w:rFonts w:hint="eastAsia" w:ascii="仿宋_GB2312" w:hAnsi="仿宋_GB2312" w:eastAsia="仿宋_GB2312" w:cs="仿宋_GB2312"/>
          <w:sz w:val="32"/>
          <w:szCs w:val="32"/>
        </w:rPr>
        <w:t>市、县（区）、镇街及各</w:t>
      </w:r>
      <w:r>
        <w:rPr>
          <w:rFonts w:hint="eastAsia" w:ascii="仿宋_GB2312" w:hAnsi="仿宋_GB2312" w:eastAsia="仿宋_GB2312" w:cs="仿宋_GB2312"/>
          <w:sz w:val="32"/>
          <w:szCs w:val="32"/>
          <w:lang w:val="en-US" w:eastAsia="zh-CN"/>
        </w:rPr>
        <w:t>相关行业</w:t>
      </w:r>
      <w:r>
        <w:rPr>
          <w:rFonts w:hint="eastAsia" w:ascii="仿宋_GB2312" w:hAnsi="仿宋_GB2312" w:eastAsia="仿宋_GB2312" w:cs="仿宋_GB2312"/>
          <w:sz w:val="32"/>
          <w:szCs w:val="32"/>
        </w:rPr>
        <w:t>部门的职责进行了原则性划分，为各地结合实际细化落实留</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空间。特别是</w:t>
      </w:r>
      <w:r>
        <w:rPr>
          <w:rFonts w:hint="eastAsia" w:ascii="仿宋_GB2312" w:hAnsi="仿宋_GB2312" w:eastAsia="仿宋_GB2312" w:cs="仿宋_GB2312"/>
          <w:sz w:val="32"/>
          <w:szCs w:val="32"/>
          <w:lang w:val="en-US" w:eastAsia="zh-CN"/>
        </w:rPr>
        <w:t>关于县（区）及</w:t>
      </w:r>
      <w:r>
        <w:rPr>
          <w:rFonts w:hint="eastAsia" w:ascii="仿宋_GB2312" w:hAnsi="仿宋_GB2312" w:eastAsia="仿宋_GB2312" w:cs="仿宋_GB2312"/>
          <w:sz w:val="32"/>
          <w:szCs w:val="32"/>
        </w:rPr>
        <w:t>镇街</w:t>
      </w:r>
      <w:r>
        <w:rPr>
          <w:rFonts w:hint="eastAsia" w:ascii="仿宋_GB2312" w:hAnsi="仿宋_GB2312" w:eastAsia="仿宋_GB2312" w:cs="仿宋_GB2312"/>
          <w:sz w:val="32"/>
          <w:szCs w:val="32"/>
          <w:lang w:val="en-US" w:eastAsia="zh-CN"/>
        </w:rPr>
        <w:t>层面</w:t>
      </w:r>
      <w:r>
        <w:rPr>
          <w:rFonts w:hint="eastAsia" w:ascii="仿宋_GB2312" w:hAnsi="仿宋_GB2312" w:eastAsia="仿宋_GB2312" w:cs="仿宋_GB2312"/>
          <w:sz w:val="32"/>
          <w:szCs w:val="32"/>
        </w:rPr>
        <w:t>的具体职责</w:t>
      </w:r>
      <w:r>
        <w:rPr>
          <w:rFonts w:hint="eastAsia" w:ascii="仿宋_GB2312" w:hAnsi="仿宋_GB2312" w:eastAsia="仿宋_GB2312" w:cs="仿宋_GB2312"/>
          <w:sz w:val="32"/>
          <w:szCs w:val="32"/>
          <w:lang w:val="en-US" w:eastAsia="zh-CN"/>
        </w:rPr>
        <w:t>分工</w:t>
      </w:r>
      <w:r>
        <w:rPr>
          <w:rFonts w:hint="eastAsia" w:ascii="仿宋_GB2312" w:hAnsi="仿宋_GB2312" w:eastAsia="仿宋_GB2312" w:cs="仿宋_GB2312"/>
          <w:sz w:val="32"/>
          <w:szCs w:val="32"/>
        </w:rPr>
        <w:t>，各地</w:t>
      </w:r>
      <w:r>
        <w:rPr>
          <w:rFonts w:hint="eastAsia" w:ascii="仿宋_GB2312" w:hAnsi="仿宋_GB2312" w:eastAsia="仿宋_GB2312" w:cs="仿宋_GB2312"/>
          <w:sz w:val="32"/>
          <w:szCs w:val="32"/>
          <w:lang w:val="en-US" w:eastAsia="zh-CN"/>
        </w:rPr>
        <w:t>市可按照工作实际</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val="en-US" w:eastAsia="zh-CN"/>
        </w:rPr>
        <w:t>划分</w:t>
      </w:r>
      <w:r>
        <w:rPr>
          <w:rFonts w:hint="eastAsia" w:ascii="仿宋_GB2312" w:hAnsi="仿宋_GB2312" w:eastAsia="仿宋_GB2312" w:cs="仿宋_GB2312"/>
          <w:sz w:val="32"/>
          <w:szCs w:val="32"/>
        </w:rPr>
        <w:t>明确。</w:t>
      </w:r>
    </w:p>
    <w:p w14:paraId="252EE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）关于信息化建设。</w:t>
      </w:r>
      <w:r>
        <w:rPr>
          <w:rFonts w:hint="eastAsia" w:ascii="仿宋_GB2312" w:hAnsi="仿宋_GB2312" w:eastAsia="仿宋_GB2312" w:cs="仿宋_GB2312"/>
          <w:sz w:val="32"/>
          <w:szCs w:val="32"/>
        </w:rPr>
        <w:t>《办法》第十三条要求地市建立登记纳管信息平台，旨在利用信息化手段</w:t>
      </w:r>
      <w:r>
        <w:rPr>
          <w:rFonts w:hint="eastAsia" w:ascii="仿宋_GB2312" w:hAnsi="仿宋_GB2312" w:eastAsia="仿宋_GB2312" w:cs="仿宋_GB2312"/>
          <w:sz w:val="32"/>
          <w:szCs w:val="32"/>
          <w:lang w:val="en-US" w:eastAsia="zh-CN"/>
        </w:rPr>
        <w:t>，提供便捷登记服务，并</w:t>
      </w:r>
      <w:r>
        <w:rPr>
          <w:rFonts w:hint="eastAsia" w:ascii="仿宋_GB2312" w:hAnsi="仿宋_GB2312" w:eastAsia="仿宋_GB2312" w:cs="仿宋_GB2312"/>
          <w:sz w:val="32"/>
          <w:szCs w:val="32"/>
        </w:rPr>
        <w:t>提升管理效率和透明度，实现信息共享和动态监管。</w:t>
      </w:r>
    </w:p>
    <w:p w14:paraId="307A73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64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90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37B0C">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037B0C">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B287F"/>
    <w:rsid w:val="067601CC"/>
    <w:rsid w:val="0A56459C"/>
    <w:rsid w:val="0B2B77D7"/>
    <w:rsid w:val="12BE7183"/>
    <w:rsid w:val="16D36F75"/>
    <w:rsid w:val="1B532653"/>
    <w:rsid w:val="1CEC1117"/>
    <w:rsid w:val="1DE81CB6"/>
    <w:rsid w:val="30FF0C3A"/>
    <w:rsid w:val="368D0A96"/>
    <w:rsid w:val="37EE5521"/>
    <w:rsid w:val="3F6F6E3F"/>
    <w:rsid w:val="3FA330D9"/>
    <w:rsid w:val="415B3C6B"/>
    <w:rsid w:val="4BD765E4"/>
    <w:rsid w:val="58492617"/>
    <w:rsid w:val="5ABB5323"/>
    <w:rsid w:val="5F8959EF"/>
    <w:rsid w:val="62183874"/>
    <w:rsid w:val="6A050368"/>
    <w:rsid w:val="74C0380A"/>
    <w:rsid w:val="79297BCF"/>
    <w:rsid w:val="7C1A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BZWFS"/>
    <w:qFormat/>
    <w:uiPriority w:val="0"/>
    <w:pPr>
      <w:widowControl w:val="0"/>
      <w:spacing w:line="560" w:lineRule="exact"/>
      <w:ind w:firstLine="880" w:firstLineChars="200"/>
      <w:jc w:val="both"/>
    </w:pPr>
    <w:rPr>
      <w:rFonts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2899</Words>
  <Characters>2917</Characters>
  <Lines>0</Lines>
  <Paragraphs>0</Paragraphs>
  <TotalTime>3</TotalTime>
  <ScaleCrop>false</ScaleCrop>
  <LinksUpToDate>false</LinksUpToDate>
  <CharactersWithSpaces>2922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2025-11-10T02:39:00Z</dcterms:created>
  <dc:creator>45146</dc:creator>
  <cp:lastModifiedBy>^Shine 。</cp:lastModifiedBy>
  <cp:lastPrinted>2025-11-13T02:47:25Z</cp:lastPrinted>
  <dcterms:modified xsi:type="dcterms:W3CDTF">2025-11-13T02:49:35Z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eyJoZGlkIjoiMGZmMTk1MzkzODViMTVlODA5MWI2NzE2ODE4NGQ0YTkiLCJ1c2VySWQiOiI0MTc3MDE3MDYifQ==</vt:lpwstr>
  </property>
  <property fmtid="{D5CDD505-2E9C-101B-9397-08002B2CF9AE}" pid="4" name="ICV">
    <vt:lpwstr>55E497514F4545DB9936701837FD418F_12</vt:lpwstr>
  </property>
</Properties>
</file>