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C0AE9D">
      <w:pPr>
        <w:pStyle w:val="15"/>
        <w:keepNext w:val="0"/>
        <w:keepLines w:val="0"/>
        <w:pageBreakBefore w:val="0"/>
        <w:widowControl w:val="0"/>
        <w:shd w:val="clear" w:color="auto" w:fill="auto"/>
        <w:kinsoku/>
        <w:wordWrap/>
        <w:overflowPunct/>
        <w:topLinePunct w:val="0"/>
        <w:autoSpaceDE/>
        <w:autoSpaceDN/>
        <w:bidi w:val="0"/>
        <w:spacing w:line="560" w:lineRule="exact"/>
        <w:ind w:firstLine="0" w:firstLineChars="0"/>
        <w:textAlignment w:val="auto"/>
        <w:outlineLvl w:val="0"/>
        <w:rPr>
          <w:rFonts w:hint="default" w:eastAsia="黑体"/>
          <w:color w:val="auto"/>
          <w:highlight w:val="none"/>
          <w:lang w:val="en-US" w:eastAsia="zh-CN"/>
        </w:rPr>
      </w:pPr>
      <w:r>
        <w:rPr>
          <w:rFonts w:hint="eastAsia" w:eastAsia="黑体"/>
          <w:color w:val="auto"/>
          <w:highlight w:val="none"/>
          <w:lang w:val="en-US" w:eastAsia="zh-CN"/>
        </w:rPr>
        <w:t xml:space="preserve">  </w:t>
      </w:r>
    </w:p>
    <w:p w14:paraId="575E97E3">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color w:val="auto"/>
          <w:highlight w:val="none"/>
        </w:rPr>
      </w:pPr>
    </w:p>
    <w:p w14:paraId="68DEC756">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广东省限额以下小型</w:t>
      </w:r>
      <w:r>
        <w:rPr>
          <w:rFonts w:hint="eastAsia" w:ascii="方正小标宋简体" w:hAnsi="方正小标宋简体" w:eastAsia="方正小标宋简体" w:cs="方正小标宋简体"/>
          <w:b w:val="0"/>
          <w:bCs/>
          <w:color w:val="auto"/>
          <w:sz w:val="44"/>
          <w:szCs w:val="44"/>
          <w:highlight w:val="none"/>
        </w:rPr>
        <w:t>工程和零星作业</w:t>
      </w:r>
    </w:p>
    <w:p w14:paraId="548E32F6">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outlineLvl w:val="0"/>
        <w:rPr>
          <w:rFonts w:hint="default"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rPr>
        <w:t>安全生产管</w:t>
      </w:r>
      <w:r>
        <w:rPr>
          <w:rFonts w:hint="eastAsia" w:ascii="方正小标宋简体" w:hAnsi="方正小标宋简体" w:eastAsia="方正小标宋简体" w:cs="方正小标宋简体"/>
          <w:b w:val="0"/>
          <w:bCs/>
          <w:color w:val="auto"/>
          <w:sz w:val="44"/>
          <w:szCs w:val="44"/>
          <w:highlight w:val="none"/>
          <w:lang w:val="en-US" w:eastAsia="zh-CN"/>
        </w:rPr>
        <w:t>理</w:t>
      </w:r>
      <w:r>
        <w:rPr>
          <w:rFonts w:hint="eastAsia" w:ascii="方正小标宋简体" w:hAnsi="方正小标宋简体" w:eastAsia="方正小标宋简体" w:cs="方正小标宋简体"/>
          <w:b w:val="0"/>
          <w:bCs/>
          <w:color w:val="auto"/>
          <w:sz w:val="44"/>
          <w:szCs w:val="44"/>
          <w:highlight w:val="none"/>
        </w:rPr>
        <w:t>办法</w:t>
      </w:r>
      <w:r>
        <w:rPr>
          <w:rFonts w:hint="eastAsia" w:ascii="方正小标宋简体" w:hAnsi="方正小标宋简体" w:eastAsia="方正小标宋简体" w:cs="方正小标宋简体"/>
          <w:b w:val="0"/>
          <w:bCs/>
          <w:color w:val="auto"/>
          <w:sz w:val="44"/>
          <w:szCs w:val="44"/>
          <w:highlight w:val="none"/>
          <w:lang w:eastAsia="zh-CN"/>
        </w:rPr>
        <w:t>（</w:t>
      </w:r>
      <w:r>
        <w:rPr>
          <w:rFonts w:hint="eastAsia" w:ascii="方正小标宋简体" w:hAnsi="方正小标宋简体" w:eastAsia="方正小标宋简体" w:cs="方正小标宋简体"/>
          <w:b w:val="0"/>
          <w:bCs/>
          <w:color w:val="auto"/>
          <w:sz w:val="44"/>
          <w:szCs w:val="44"/>
          <w:highlight w:val="none"/>
          <w:lang w:val="en-US" w:eastAsia="zh-CN"/>
        </w:rPr>
        <w:t>征求意见稿）</w:t>
      </w:r>
    </w:p>
    <w:p w14:paraId="61B4DBF1">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outlineLvl w:val="0"/>
        <w:rPr>
          <w:rFonts w:hint="eastAsia" w:ascii="楷体_GB2312" w:hAnsi="楷体_GB2312" w:eastAsia="楷体_GB2312" w:cs="楷体_GB2312"/>
          <w:b w:val="0"/>
          <w:bCs/>
          <w:color w:val="auto"/>
          <w:sz w:val="32"/>
          <w:szCs w:val="32"/>
          <w:highlight w:val="none"/>
        </w:rPr>
      </w:pPr>
    </w:p>
    <w:p w14:paraId="5A89E05B">
      <w:pPr>
        <w:keepNext w:val="0"/>
        <w:keepLines w:val="0"/>
        <w:pageBreakBefore w:val="0"/>
        <w:widowControl w:val="0"/>
        <w:numPr>
          <w:ilvl w:val="0"/>
          <w:numId w:val="5"/>
        </w:numPr>
        <w:shd w:val="clear" w:color="auto" w:fill="auto"/>
        <w:kinsoku/>
        <w:wordWrap/>
        <w:overflowPunct/>
        <w:topLinePunct w:val="0"/>
        <w:autoSpaceDE/>
        <w:autoSpaceDN/>
        <w:bidi w:val="0"/>
        <w:adjustRightInd/>
        <w:snapToGrid/>
        <w:spacing w:line="560" w:lineRule="exact"/>
        <w:ind w:firstLine="0" w:firstLineChars="0"/>
        <w:jc w:val="center"/>
        <w:textAlignment w:val="auto"/>
        <w:outlineLvl w:val="0"/>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lang w:val="en-US" w:eastAsia="zh-CN"/>
        </w:rPr>
        <w:t>总 则</w:t>
      </w:r>
    </w:p>
    <w:p w14:paraId="2CD574D7">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第一条</w:t>
      </w:r>
      <w:r>
        <w:rPr>
          <w:rFonts w:hint="eastAsia" w:ascii="仿宋_GB2312" w:hAnsi="仿宋_GB2312" w:eastAsia="仿宋_GB2312" w:cs="仿宋_GB2312"/>
          <w:color w:val="auto"/>
          <w:highlight w:val="none"/>
        </w:rPr>
        <w:t xml:space="preserve"> 为加强我省</w:t>
      </w:r>
      <w:r>
        <w:rPr>
          <w:rFonts w:hint="eastAsia" w:ascii="仿宋_GB2312" w:hAnsi="仿宋_GB2312" w:eastAsia="仿宋_GB2312" w:cs="仿宋_GB2312"/>
          <w:color w:val="auto"/>
          <w:highlight w:val="none"/>
          <w:lang w:eastAsia="zh-CN"/>
        </w:rPr>
        <w:t>限额以下</w:t>
      </w:r>
      <w:r>
        <w:rPr>
          <w:rFonts w:hint="eastAsia" w:cs="仿宋_GB2312"/>
          <w:color w:val="auto"/>
          <w:highlight w:val="none"/>
          <w:lang w:val="en-US" w:eastAsia="zh-CN"/>
        </w:rPr>
        <w:t>小型</w:t>
      </w:r>
      <w:r>
        <w:rPr>
          <w:rFonts w:hint="eastAsia" w:ascii="仿宋_GB2312" w:hAnsi="仿宋_GB2312" w:eastAsia="仿宋_GB2312" w:cs="仿宋_GB2312"/>
          <w:color w:val="auto"/>
          <w:highlight w:val="none"/>
          <w:lang w:eastAsia="zh-CN"/>
        </w:rPr>
        <w:t>工程及零星作业</w:t>
      </w:r>
      <w:r>
        <w:rPr>
          <w:rFonts w:hint="eastAsia" w:ascii="仿宋_GB2312" w:hAnsi="仿宋_GB2312" w:eastAsia="仿宋_GB2312" w:cs="仿宋_GB2312"/>
          <w:color w:val="auto"/>
          <w:highlight w:val="none"/>
        </w:rPr>
        <w:t>的安全生产监管，防范生产安全事故发生，根据《中华人民共和国建筑法》《中华人民共和国安全生产法》《建设工程安全生产管理</w:t>
      </w:r>
      <w:r>
        <w:rPr>
          <w:rFonts w:hint="eastAsia" w:ascii="仿宋_GB2312" w:hAnsi="仿宋_GB2312" w:eastAsia="仿宋_GB2312" w:cs="仿宋_GB2312"/>
          <w:color w:val="auto"/>
          <w:highlight w:val="none"/>
          <w:lang w:eastAsia="zh-CN"/>
        </w:rPr>
        <w:t>条</w:t>
      </w:r>
      <w:r>
        <w:rPr>
          <w:rFonts w:hint="eastAsia" w:ascii="仿宋_GB2312" w:hAnsi="仿宋_GB2312" w:eastAsia="仿宋_GB2312" w:cs="仿宋_GB2312"/>
          <w:color w:val="auto"/>
          <w:highlight w:val="none"/>
        </w:rPr>
        <w:t>例》《广东省安全生产</w:t>
      </w:r>
      <w:r>
        <w:rPr>
          <w:rFonts w:hint="eastAsia" w:ascii="仿宋_GB2312" w:hAnsi="仿宋_GB2312" w:eastAsia="仿宋_GB2312" w:cs="仿宋_GB2312"/>
          <w:color w:val="auto"/>
          <w:highlight w:val="none"/>
          <w:lang w:eastAsia="zh-CN"/>
        </w:rPr>
        <w:t>条</w:t>
      </w:r>
      <w:r>
        <w:rPr>
          <w:rFonts w:hint="eastAsia" w:ascii="仿宋_GB2312" w:hAnsi="仿宋_GB2312" w:eastAsia="仿宋_GB2312" w:cs="仿宋_GB2312"/>
          <w:color w:val="auto"/>
          <w:highlight w:val="none"/>
        </w:rPr>
        <w:t>例》等法律法规规定，结合实际，制定本办法。</w:t>
      </w:r>
    </w:p>
    <w:p w14:paraId="2E622E1F">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第</w:t>
      </w:r>
      <w:r>
        <w:rPr>
          <w:rFonts w:hint="eastAsia" w:ascii="仿宋_GB2312" w:hAnsi="仿宋_GB2312" w:eastAsia="仿宋_GB2312" w:cs="仿宋_GB2312"/>
          <w:b/>
          <w:bCs/>
          <w:color w:val="auto"/>
          <w:highlight w:val="none"/>
          <w:lang w:val="en-US" w:eastAsia="zh-CN"/>
        </w:rPr>
        <w:t>二</w:t>
      </w:r>
      <w:r>
        <w:rPr>
          <w:rFonts w:hint="eastAsia" w:ascii="仿宋_GB2312" w:hAnsi="仿宋_GB2312" w:eastAsia="仿宋_GB2312" w:cs="仿宋_GB2312"/>
          <w:b/>
          <w:bCs/>
          <w:color w:val="auto"/>
          <w:highlight w:val="none"/>
        </w:rPr>
        <w:t>条</w:t>
      </w:r>
      <w:r>
        <w:rPr>
          <w:rFonts w:hint="eastAsia" w:ascii="仿宋_GB2312" w:hAnsi="仿宋_GB2312" w:eastAsia="仿宋_GB2312" w:cs="仿宋_GB2312"/>
          <w:color w:val="auto"/>
          <w:highlight w:val="none"/>
        </w:rPr>
        <w:t xml:space="preserve"> 本办法所称的限额以下小型工程，是指投资额在</w:t>
      </w:r>
      <w:r>
        <w:rPr>
          <w:rFonts w:hint="default" w:ascii="Times New Roman" w:hAnsi="Times New Roman" w:eastAsia="仿宋_GB2312" w:cs="Times New Roman"/>
          <w:color w:val="auto"/>
          <w:highlight w:val="none"/>
        </w:rPr>
        <w:t>100</w:t>
      </w:r>
      <w:r>
        <w:rPr>
          <w:rFonts w:hint="eastAsia" w:ascii="仿宋_GB2312" w:hAnsi="仿宋_GB2312" w:eastAsia="仿宋_GB2312" w:cs="仿宋_GB2312"/>
          <w:color w:val="auto"/>
          <w:highlight w:val="none"/>
        </w:rPr>
        <w:t>万元以下（含</w:t>
      </w:r>
      <w:r>
        <w:rPr>
          <w:rFonts w:hint="default" w:ascii="Times New Roman" w:hAnsi="Times New Roman" w:eastAsia="仿宋_GB2312" w:cs="Times New Roman"/>
          <w:color w:val="auto"/>
          <w:highlight w:val="none"/>
        </w:rPr>
        <w:t>100</w:t>
      </w:r>
      <w:r>
        <w:rPr>
          <w:rFonts w:hint="eastAsia" w:ascii="仿宋_GB2312" w:hAnsi="仿宋_GB2312" w:eastAsia="仿宋_GB2312" w:cs="仿宋_GB2312"/>
          <w:color w:val="auto"/>
          <w:highlight w:val="none"/>
        </w:rPr>
        <w:t>万元）</w:t>
      </w:r>
      <w:r>
        <w:rPr>
          <w:rFonts w:hint="eastAsia" w:ascii="仿宋_GB2312" w:hAnsi="仿宋_GB2312" w:eastAsia="仿宋_GB2312" w:cs="仿宋_GB2312"/>
          <w:color w:val="auto"/>
          <w:highlight w:val="none"/>
          <w:lang w:eastAsia="zh-CN"/>
        </w:rPr>
        <w:t>或者</w:t>
      </w:r>
      <w:r>
        <w:rPr>
          <w:rFonts w:hint="eastAsia" w:ascii="仿宋_GB2312" w:hAnsi="仿宋_GB2312" w:eastAsia="仿宋_GB2312" w:cs="仿宋_GB2312"/>
          <w:color w:val="auto"/>
          <w:highlight w:val="none"/>
        </w:rPr>
        <w:t>建筑面积在</w:t>
      </w:r>
      <w:r>
        <w:rPr>
          <w:rFonts w:hint="default" w:ascii="Times New Roman" w:hAnsi="Times New Roman" w:eastAsia="仿宋_GB2312" w:cs="Times New Roman"/>
          <w:color w:val="auto"/>
          <w:highlight w:val="none"/>
        </w:rPr>
        <w:t>500</w:t>
      </w:r>
      <w:r>
        <w:rPr>
          <w:rFonts w:hint="eastAsia" w:ascii="仿宋_GB2312" w:hAnsi="仿宋_GB2312" w:eastAsia="仿宋_GB2312" w:cs="仿宋_GB2312"/>
          <w:color w:val="auto"/>
          <w:highlight w:val="none"/>
        </w:rPr>
        <w:t>平方米以下（含</w:t>
      </w:r>
      <w:r>
        <w:rPr>
          <w:rFonts w:hint="default" w:ascii="Times New Roman" w:hAnsi="Times New Roman" w:eastAsia="仿宋_GB2312" w:cs="Times New Roman"/>
          <w:color w:val="auto"/>
          <w:highlight w:val="none"/>
        </w:rPr>
        <w:t>500</w:t>
      </w:r>
      <w:r>
        <w:rPr>
          <w:rFonts w:hint="eastAsia" w:ascii="仿宋_GB2312" w:hAnsi="仿宋_GB2312" w:eastAsia="仿宋_GB2312" w:cs="仿宋_GB2312"/>
          <w:color w:val="auto"/>
          <w:highlight w:val="none"/>
        </w:rPr>
        <w:t>平方米）</w:t>
      </w:r>
      <w:r>
        <w:rPr>
          <w:rFonts w:hint="eastAsia" w:cs="仿宋_GB2312"/>
          <w:color w:val="auto"/>
          <w:highlight w:val="none"/>
          <w:lang w:eastAsia="zh-CN"/>
        </w:rPr>
        <w:t>，</w:t>
      </w:r>
      <w:r>
        <w:rPr>
          <w:rFonts w:hint="eastAsia" w:ascii="仿宋_GB2312" w:hAnsi="仿宋_GB2312" w:eastAsia="仿宋_GB2312" w:cs="仿宋_GB2312"/>
          <w:color w:val="auto"/>
          <w:highlight w:val="none"/>
        </w:rPr>
        <w:t>按规定</w:t>
      </w:r>
      <w:r>
        <w:rPr>
          <w:rFonts w:hint="eastAsia" w:ascii="仿宋_GB2312" w:hAnsi="仿宋_GB2312" w:eastAsia="仿宋_GB2312" w:cs="仿宋_GB2312"/>
          <w:color w:val="auto"/>
          <w:highlight w:val="none"/>
          <w:lang w:val="en-US" w:eastAsia="zh-CN"/>
        </w:rPr>
        <w:t>可以不申请</w:t>
      </w:r>
      <w:r>
        <w:rPr>
          <w:rFonts w:hint="eastAsia" w:ascii="仿宋_GB2312" w:hAnsi="仿宋_GB2312" w:eastAsia="仿宋_GB2312" w:cs="仿宋_GB2312"/>
          <w:color w:val="auto"/>
          <w:highlight w:val="none"/>
        </w:rPr>
        <w:t>办理施工许可证</w:t>
      </w:r>
      <w:r>
        <w:rPr>
          <w:rFonts w:hint="eastAsia" w:cs="仿宋_GB2312"/>
          <w:color w:val="auto"/>
          <w:highlight w:val="none"/>
          <w:lang w:val="en-US" w:eastAsia="zh-CN"/>
        </w:rPr>
        <w:t>或开工报告</w:t>
      </w:r>
      <w:r>
        <w:rPr>
          <w:rFonts w:hint="eastAsia" w:ascii="仿宋_GB2312" w:hAnsi="仿宋_GB2312" w:eastAsia="仿宋_GB2312" w:cs="仿宋_GB2312"/>
          <w:color w:val="auto"/>
          <w:highlight w:val="none"/>
        </w:rPr>
        <w:t>的工程（含土木工程、建筑工程、线路管道和设备安装工程及装修工程）。</w:t>
      </w:r>
    </w:p>
    <w:p w14:paraId="04122E66">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相关法律、法规、规章对</w:t>
      </w:r>
      <w:r>
        <w:rPr>
          <w:rFonts w:hint="eastAsia" w:cs="仿宋_GB2312"/>
          <w:color w:val="auto"/>
          <w:highlight w:val="none"/>
          <w:lang w:eastAsia="zh-CN"/>
        </w:rPr>
        <w:t>施工许可证</w:t>
      </w:r>
      <w:r>
        <w:rPr>
          <w:rFonts w:hint="eastAsia" w:cs="仿宋_GB2312"/>
          <w:color w:val="auto"/>
          <w:highlight w:val="none"/>
          <w:lang w:val="en-US" w:eastAsia="zh-CN"/>
        </w:rPr>
        <w:t>或开工报告</w:t>
      </w:r>
      <w:r>
        <w:rPr>
          <w:rFonts w:hint="eastAsia" w:cs="仿宋_GB2312"/>
          <w:color w:val="auto"/>
          <w:highlight w:val="none"/>
          <w:lang w:eastAsia="zh-CN"/>
        </w:rPr>
        <w:t>办理</w:t>
      </w:r>
      <w:r>
        <w:rPr>
          <w:rFonts w:hint="eastAsia" w:ascii="仿宋_GB2312" w:hAnsi="仿宋_GB2312" w:eastAsia="仿宋_GB2312" w:cs="仿宋_GB2312"/>
          <w:color w:val="auto"/>
          <w:highlight w:val="none"/>
        </w:rPr>
        <w:t>限额</w:t>
      </w:r>
      <w:r>
        <w:rPr>
          <w:rFonts w:hint="eastAsia" w:cs="仿宋_GB2312"/>
          <w:color w:val="auto"/>
          <w:highlight w:val="none"/>
          <w:lang w:eastAsia="zh-CN"/>
        </w:rPr>
        <w:t>进行</w:t>
      </w:r>
      <w:r>
        <w:rPr>
          <w:rFonts w:hint="eastAsia" w:ascii="仿宋_GB2312" w:hAnsi="仿宋_GB2312" w:eastAsia="仿宋_GB2312" w:cs="仿宋_GB2312"/>
          <w:color w:val="auto"/>
          <w:highlight w:val="none"/>
        </w:rPr>
        <w:t>调整的，</w:t>
      </w:r>
      <w:r>
        <w:rPr>
          <w:rFonts w:hint="eastAsia" w:ascii="仿宋_GB2312" w:hAnsi="仿宋_GB2312" w:eastAsia="仿宋_GB2312" w:cs="仿宋_GB2312"/>
          <w:color w:val="auto"/>
          <w:highlight w:val="none"/>
          <w:lang w:eastAsia="zh-CN"/>
        </w:rPr>
        <w:t>本办法</w:t>
      </w:r>
      <w:r>
        <w:rPr>
          <w:rFonts w:hint="eastAsia" w:cs="仿宋_GB2312"/>
          <w:color w:val="auto"/>
          <w:highlight w:val="none"/>
          <w:lang w:eastAsia="zh-CN"/>
        </w:rPr>
        <w:t>的限额</w:t>
      </w:r>
      <w:r>
        <w:rPr>
          <w:rFonts w:hint="eastAsia" w:ascii="仿宋_GB2312" w:hAnsi="仿宋_GB2312" w:eastAsia="仿宋_GB2312" w:cs="仿宋_GB2312"/>
          <w:color w:val="auto"/>
          <w:highlight w:val="none"/>
          <w:lang w:eastAsia="zh-CN"/>
        </w:rPr>
        <w:t>相应予以调整</w:t>
      </w:r>
      <w:r>
        <w:rPr>
          <w:rFonts w:hint="eastAsia" w:ascii="仿宋_GB2312" w:hAnsi="仿宋_GB2312" w:eastAsia="仿宋_GB2312" w:cs="仿宋_GB2312"/>
          <w:color w:val="auto"/>
          <w:highlight w:val="none"/>
        </w:rPr>
        <w:t>。</w:t>
      </w:r>
    </w:p>
    <w:p w14:paraId="5A3F2DBC">
      <w:pPr>
        <w:pStyle w:val="16"/>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存在以下情形之一的，判定为高风险小型工程</w:t>
      </w:r>
      <w:r>
        <w:rPr>
          <w:rFonts w:hint="eastAsia" w:cs="仿宋_GB2312"/>
          <w:color w:val="auto"/>
          <w:sz w:val="32"/>
          <w:szCs w:val="32"/>
          <w:highlight w:val="none"/>
          <w:lang w:eastAsia="zh-CN"/>
        </w:rPr>
        <w:t>：</w:t>
      </w:r>
    </w:p>
    <w:p w14:paraId="2B457076">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）工程投资额＞</w:t>
      </w:r>
      <w:r>
        <w:rPr>
          <w:rFonts w:hint="default" w:ascii="Times New Roman" w:hAnsi="Times New Roman" w:eastAsia="仿宋_GB2312" w:cs="Times New Roman"/>
          <w:color w:val="auto"/>
          <w:sz w:val="32"/>
          <w:szCs w:val="32"/>
          <w:highlight w:val="none"/>
        </w:rPr>
        <w:t>100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但</w:t>
      </w:r>
      <w:r>
        <w:rPr>
          <w:rFonts w:hint="eastAsia" w:ascii="仿宋_GB2312" w:hAnsi="仿宋_GB2312" w:eastAsia="仿宋_GB2312" w:cs="仿宋_GB2312"/>
          <w:color w:val="auto"/>
          <w:sz w:val="32"/>
          <w:szCs w:val="32"/>
          <w:highlight w:val="none"/>
        </w:rPr>
        <w:t>建筑面积≤</w:t>
      </w:r>
      <w:r>
        <w:rPr>
          <w:rFonts w:hint="default" w:ascii="Times New Roman" w:hAnsi="Times New Roman" w:eastAsia="仿宋_GB2312" w:cs="Times New Roman"/>
          <w:color w:val="auto"/>
          <w:sz w:val="32"/>
          <w:szCs w:val="32"/>
          <w:highlight w:val="none"/>
        </w:rPr>
        <w:t>500</w:t>
      </w:r>
      <w:r>
        <w:rPr>
          <w:rFonts w:hint="eastAsia" w:ascii="仿宋_GB2312" w:hAnsi="仿宋_GB2312" w:eastAsia="仿宋_GB2312" w:cs="仿宋_GB2312"/>
          <w:color w:val="auto"/>
          <w:sz w:val="32"/>
          <w:szCs w:val="32"/>
          <w:highlight w:val="none"/>
        </w:rPr>
        <w:t>平方米的限额以下小型工程；建筑面积＞</w:t>
      </w:r>
      <w:r>
        <w:rPr>
          <w:rFonts w:hint="default" w:ascii="Times New Roman" w:hAnsi="Times New Roman" w:eastAsia="仿宋_GB2312" w:cs="Times New Roman"/>
          <w:color w:val="auto"/>
          <w:sz w:val="32"/>
          <w:szCs w:val="32"/>
          <w:highlight w:val="none"/>
        </w:rPr>
        <w:t>500</w:t>
      </w:r>
      <w:r>
        <w:rPr>
          <w:rFonts w:hint="eastAsia" w:ascii="仿宋_GB2312" w:hAnsi="仿宋_GB2312" w:eastAsia="仿宋_GB2312" w:cs="仿宋_GB2312"/>
          <w:color w:val="auto"/>
          <w:sz w:val="32"/>
          <w:szCs w:val="32"/>
          <w:highlight w:val="none"/>
        </w:rPr>
        <w:t>平方米</w:t>
      </w:r>
      <w:r>
        <w:rPr>
          <w:rFonts w:hint="eastAsia" w:ascii="仿宋_GB2312" w:hAnsi="仿宋_GB2312" w:eastAsia="仿宋_GB2312" w:cs="仿宋_GB2312"/>
          <w:color w:val="auto"/>
          <w:sz w:val="32"/>
          <w:szCs w:val="32"/>
          <w:highlight w:val="none"/>
          <w:lang w:eastAsia="zh-CN"/>
        </w:rPr>
        <w:t>但</w:t>
      </w:r>
      <w:r>
        <w:rPr>
          <w:rFonts w:hint="eastAsia" w:ascii="仿宋_GB2312" w:hAnsi="仿宋_GB2312" w:eastAsia="仿宋_GB2312" w:cs="仿宋_GB2312"/>
          <w:color w:val="auto"/>
          <w:sz w:val="32"/>
          <w:szCs w:val="32"/>
          <w:highlight w:val="none"/>
        </w:rPr>
        <w:t>工程投资额≤</w:t>
      </w:r>
      <w:r>
        <w:rPr>
          <w:rFonts w:hint="default" w:ascii="Times New Roman" w:hAnsi="Times New Roman" w:eastAsia="仿宋_GB2312" w:cs="Times New Roman"/>
          <w:color w:val="auto"/>
          <w:sz w:val="32"/>
          <w:szCs w:val="32"/>
          <w:highlight w:val="none"/>
        </w:rPr>
        <w:t>100</w:t>
      </w:r>
      <w:r>
        <w:rPr>
          <w:rFonts w:hint="eastAsia" w:ascii="仿宋_GB2312" w:hAnsi="仿宋_GB2312" w:eastAsia="仿宋_GB2312" w:cs="仿宋_GB2312"/>
          <w:color w:val="auto"/>
          <w:sz w:val="32"/>
          <w:szCs w:val="32"/>
          <w:highlight w:val="none"/>
        </w:rPr>
        <w:t>万元的限额以下小型工程</w:t>
      </w:r>
      <w:r>
        <w:rPr>
          <w:rFonts w:hint="eastAsia" w:ascii="仿宋_GB2312" w:hAnsi="仿宋_GB2312" w:eastAsia="仿宋_GB2312" w:cs="仿宋_GB2312"/>
          <w:color w:val="auto"/>
          <w:sz w:val="32"/>
          <w:szCs w:val="32"/>
          <w:highlight w:val="none"/>
          <w:lang w:eastAsia="zh-CN"/>
        </w:rPr>
        <w:t>。</w:t>
      </w:r>
    </w:p>
    <w:p w14:paraId="20E1A2F3">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涉及</w:t>
      </w:r>
      <w:r>
        <w:rPr>
          <w:rFonts w:hint="eastAsia" w:ascii="仿宋_GB2312" w:hAnsi="仿宋_GB2312" w:eastAsia="仿宋_GB2312" w:cs="仿宋_GB2312"/>
          <w:color w:val="auto"/>
          <w:sz w:val="32"/>
          <w:szCs w:val="32"/>
          <w:highlight w:val="none"/>
        </w:rPr>
        <w:t>变动建筑主体和承重结构的限额以下小型工程</w:t>
      </w:r>
      <w:r>
        <w:rPr>
          <w:rFonts w:hint="eastAsia" w:ascii="仿宋_GB2312" w:hAnsi="仿宋_GB2312" w:eastAsia="仿宋_GB2312" w:cs="仿宋_GB2312"/>
          <w:color w:val="auto"/>
          <w:sz w:val="32"/>
          <w:szCs w:val="32"/>
          <w:highlight w:val="none"/>
          <w:lang w:eastAsia="zh-CN"/>
        </w:rPr>
        <w:t>。</w:t>
      </w:r>
    </w:p>
    <w:p w14:paraId="324C64A2">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涉及</w:t>
      </w:r>
      <w:r>
        <w:rPr>
          <w:rFonts w:hint="eastAsia" w:ascii="仿宋_GB2312" w:hAnsi="仿宋_GB2312" w:eastAsia="仿宋_GB2312" w:cs="仿宋_GB2312"/>
          <w:color w:val="auto"/>
          <w:sz w:val="32"/>
          <w:szCs w:val="32"/>
          <w:highlight w:val="none"/>
          <w:lang w:eastAsia="zh-CN"/>
        </w:rPr>
        <w:t>动火作业的</w:t>
      </w:r>
      <w:r>
        <w:rPr>
          <w:rFonts w:hint="eastAsia" w:ascii="仿宋_GB2312" w:hAnsi="仿宋_GB2312" w:eastAsia="仿宋_GB2312" w:cs="仿宋_GB2312"/>
          <w:color w:val="auto"/>
          <w:sz w:val="32"/>
          <w:szCs w:val="32"/>
          <w:highlight w:val="none"/>
          <w:lang w:val="en-US" w:eastAsia="zh-CN"/>
        </w:rPr>
        <w:t>限额以下小型工程。</w:t>
      </w:r>
    </w:p>
    <w:p w14:paraId="0280A82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）涉及有限空间作业的</w:t>
      </w:r>
      <w:r>
        <w:rPr>
          <w:rFonts w:hint="eastAsia" w:ascii="仿宋_GB2312" w:hAnsi="仿宋_GB2312" w:eastAsia="仿宋_GB2312" w:cs="仿宋_GB2312"/>
          <w:color w:val="auto"/>
          <w:sz w:val="32"/>
          <w:szCs w:val="32"/>
          <w:highlight w:val="none"/>
          <w:lang w:val="en-US" w:eastAsia="zh-CN"/>
        </w:rPr>
        <w:t>限额以下小型工程。</w:t>
      </w:r>
    </w:p>
    <w:p w14:paraId="1EE6BC41">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w:t>
      </w:r>
      <w:r>
        <w:rPr>
          <w:rFonts w:hint="eastAsia" w:ascii="仿宋_GB2312" w:hAnsi="仿宋_GB2312" w:eastAsia="仿宋_GB2312" w:cs="仿宋_GB2312"/>
          <w:color w:val="auto"/>
          <w:sz w:val="32"/>
          <w:szCs w:val="32"/>
          <w:highlight w:val="none"/>
          <w:lang w:eastAsia="zh-CN"/>
        </w:rPr>
        <w:t>危险性较大的分部分项工程的</w:t>
      </w:r>
      <w:r>
        <w:rPr>
          <w:rFonts w:hint="eastAsia" w:ascii="仿宋_GB2312" w:hAnsi="仿宋_GB2312" w:eastAsia="仿宋_GB2312" w:cs="仿宋_GB2312"/>
          <w:color w:val="auto"/>
          <w:sz w:val="32"/>
          <w:szCs w:val="32"/>
          <w:highlight w:val="none"/>
          <w:lang w:val="en-US" w:eastAsia="zh-CN"/>
        </w:rPr>
        <w:t>限额以下小型工程</w:t>
      </w:r>
      <w:r>
        <w:rPr>
          <w:rFonts w:hint="eastAsia" w:ascii="仿宋_GB2312" w:hAnsi="仿宋_GB2312" w:eastAsia="仿宋_GB2312" w:cs="仿宋_GB2312"/>
          <w:color w:val="auto"/>
          <w:sz w:val="32"/>
          <w:szCs w:val="32"/>
          <w:highlight w:val="none"/>
        </w:rPr>
        <w:t>。</w:t>
      </w:r>
    </w:p>
    <w:p w14:paraId="501CA0F6">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rPr>
        <w:t>高风险小型工程的判定标准</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lang w:val="en-US" w:eastAsia="zh-CN"/>
        </w:rPr>
        <w:t>对建设工程负有监管职责的省各有关部门</w:t>
      </w:r>
      <w:r>
        <w:rPr>
          <w:rFonts w:hint="eastAsia" w:ascii="仿宋_GB2312" w:hAnsi="仿宋_GB2312" w:eastAsia="仿宋_GB2312" w:cs="仿宋_GB2312"/>
          <w:color w:val="auto"/>
          <w:sz w:val="32"/>
          <w:szCs w:val="32"/>
          <w:highlight w:val="none"/>
          <w:lang w:eastAsia="zh-CN"/>
        </w:rPr>
        <w:t>定期发布更新。</w:t>
      </w:r>
    </w:p>
    <w:p w14:paraId="73E5AD66">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第</w:t>
      </w:r>
      <w:r>
        <w:rPr>
          <w:rFonts w:hint="eastAsia" w:cs="仿宋_GB2312"/>
          <w:b/>
          <w:bCs/>
          <w:color w:val="auto"/>
          <w:highlight w:val="none"/>
          <w:lang w:val="en-US" w:eastAsia="zh-CN"/>
        </w:rPr>
        <w:t>四</w:t>
      </w:r>
      <w:r>
        <w:rPr>
          <w:rFonts w:hint="eastAsia" w:ascii="仿宋_GB2312" w:hAnsi="仿宋_GB2312" w:eastAsia="仿宋_GB2312" w:cs="仿宋_GB2312"/>
          <w:b/>
          <w:bCs/>
          <w:color w:val="auto"/>
          <w:highlight w:val="none"/>
        </w:rPr>
        <w:t>条</w:t>
      </w:r>
      <w:r>
        <w:rPr>
          <w:rFonts w:hint="eastAsia" w:ascii="仿宋_GB2312" w:hAnsi="仿宋_GB2312" w:eastAsia="仿宋_GB2312" w:cs="仿宋_GB2312"/>
          <w:color w:val="auto"/>
          <w:highlight w:val="none"/>
        </w:rPr>
        <w:t xml:space="preserve"> 本办法所称的零星作业，是指在公共区域进行的存在</w:t>
      </w:r>
      <w:r>
        <w:rPr>
          <w:rFonts w:hint="eastAsia" w:cs="仿宋_GB2312"/>
          <w:color w:val="auto"/>
          <w:highlight w:val="none"/>
          <w:lang w:eastAsia="zh-CN"/>
        </w:rPr>
        <w:t>火灾、</w:t>
      </w:r>
      <w:r>
        <w:rPr>
          <w:rFonts w:hint="eastAsia" w:ascii="仿宋_GB2312" w:hAnsi="仿宋_GB2312" w:eastAsia="仿宋_GB2312" w:cs="仿宋_GB2312"/>
          <w:color w:val="auto"/>
          <w:highlight w:val="none"/>
        </w:rPr>
        <w:t>高处坠落、触电、物体打击、坍塌等特定安全风险且依法无需许可审批的非工程建设类生产作业活动。</w:t>
      </w:r>
    </w:p>
    <w:p w14:paraId="6F397EDF">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法律</w:t>
      </w:r>
      <w:r>
        <w:rPr>
          <w:rFonts w:hint="eastAsia" w:cs="仿宋_GB2312"/>
          <w:color w:val="auto"/>
          <w:highlight w:val="none"/>
          <w:lang w:eastAsia="zh-CN"/>
        </w:rPr>
        <w:t>、</w:t>
      </w:r>
      <w:r>
        <w:rPr>
          <w:rFonts w:hint="eastAsia" w:ascii="仿宋_GB2312" w:hAnsi="仿宋_GB2312" w:eastAsia="仿宋_GB2312" w:cs="仿宋_GB2312"/>
          <w:color w:val="auto"/>
          <w:highlight w:val="none"/>
        </w:rPr>
        <w:t>法规</w:t>
      </w:r>
      <w:r>
        <w:rPr>
          <w:rFonts w:hint="eastAsia" w:cs="仿宋_GB2312"/>
          <w:color w:val="auto"/>
          <w:highlight w:val="none"/>
          <w:lang w:eastAsia="zh-CN"/>
        </w:rPr>
        <w:t>、</w:t>
      </w:r>
      <w:r>
        <w:rPr>
          <w:rFonts w:hint="eastAsia" w:cs="仿宋_GB2312"/>
          <w:b w:val="0"/>
          <w:bCs w:val="0"/>
          <w:color w:val="auto"/>
          <w:highlight w:val="none"/>
          <w:lang w:eastAsia="zh-CN"/>
        </w:rPr>
        <w:t>规章</w:t>
      </w:r>
      <w:r>
        <w:rPr>
          <w:rFonts w:hint="eastAsia" w:ascii="仿宋_GB2312" w:hAnsi="仿宋_GB2312" w:eastAsia="仿宋_GB2312" w:cs="仿宋_GB2312"/>
          <w:color w:val="auto"/>
          <w:highlight w:val="none"/>
        </w:rPr>
        <w:t>对上述作业活动的许可审批、安全监管另有规定的</w:t>
      </w:r>
      <w:r>
        <w:rPr>
          <w:rFonts w:hint="eastAsia" w:cs="仿宋_GB2312"/>
          <w:color w:val="auto"/>
          <w:highlight w:val="none"/>
          <w:lang w:eastAsia="zh-CN"/>
        </w:rPr>
        <w:t>，</w:t>
      </w:r>
      <w:r>
        <w:rPr>
          <w:rFonts w:hint="eastAsia" w:cs="仿宋_GB2312"/>
          <w:color w:val="auto"/>
          <w:highlight w:val="none"/>
          <w:lang w:val="en-US" w:eastAsia="zh-CN"/>
        </w:rPr>
        <w:t>应遵守相关规定。</w:t>
      </w:r>
      <w:r>
        <w:rPr>
          <w:rFonts w:hint="eastAsia" w:ascii="仿宋_GB2312" w:hAnsi="仿宋_GB2312" w:eastAsia="仿宋_GB2312" w:cs="仿宋_GB2312"/>
          <w:color w:val="auto"/>
          <w:highlight w:val="none"/>
        </w:rPr>
        <w:t>在居民住宅</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生产经营单位内部</w:t>
      </w:r>
      <w:r>
        <w:rPr>
          <w:rFonts w:hint="eastAsia" w:cs="仿宋_GB2312"/>
          <w:color w:val="auto"/>
          <w:highlight w:val="none"/>
          <w:lang w:eastAsia="zh-CN"/>
        </w:rPr>
        <w:t>（不涉及公共区域）</w:t>
      </w:r>
      <w:r>
        <w:rPr>
          <w:rFonts w:hint="eastAsia" w:ascii="仿宋_GB2312" w:hAnsi="仿宋_GB2312" w:eastAsia="仿宋_GB2312" w:cs="仿宋_GB2312"/>
          <w:color w:val="auto"/>
          <w:highlight w:val="none"/>
        </w:rPr>
        <w:t>进行的零星作业安全监管，不适用本办法。</w:t>
      </w:r>
    </w:p>
    <w:p w14:paraId="63CA2303">
      <w:pPr>
        <w:pStyle w:val="16"/>
        <w:keepNext w:val="0"/>
        <w:keepLines w:val="0"/>
        <w:pageBreakBefore w:val="0"/>
        <w:widowControl w:val="0"/>
        <w:shd w:val="clear" w:color="auto" w:fill="auto"/>
        <w:kinsoku/>
        <w:wordWrap/>
        <w:overflowPunct/>
        <w:topLinePunct w:val="0"/>
        <w:autoSpaceDE/>
        <w:autoSpaceDN/>
        <w:bidi w:val="0"/>
        <w:spacing w:line="560" w:lineRule="exact"/>
        <w:ind w:firstLine="643" w:firstLineChars="200"/>
        <w:textAlignment w:val="auto"/>
        <w:outlineLvl w:val="1"/>
        <w:rPr>
          <w:rFonts w:hint="eastAsia" w:cs="仿宋_GB2312"/>
          <w:color w:val="auto"/>
          <w:highlight w:val="none"/>
          <w:lang w:val="en-US" w:eastAsia="zh-CN"/>
        </w:rPr>
      </w:pPr>
      <w:r>
        <w:rPr>
          <w:rFonts w:hint="eastAsia" w:ascii="仿宋_GB2312" w:hAnsi="仿宋_GB2312" w:eastAsia="仿宋_GB2312" w:cs="仿宋_GB2312"/>
          <w:b/>
          <w:bCs/>
          <w:color w:val="auto"/>
          <w:highlight w:val="none"/>
        </w:rPr>
        <w:t>第</w:t>
      </w:r>
      <w:r>
        <w:rPr>
          <w:rFonts w:hint="eastAsia" w:cs="仿宋_GB2312"/>
          <w:b/>
          <w:bCs/>
          <w:color w:val="auto"/>
          <w:highlight w:val="none"/>
          <w:lang w:val="en-US" w:eastAsia="zh-CN"/>
        </w:rPr>
        <w:t>五</w:t>
      </w:r>
      <w:r>
        <w:rPr>
          <w:rFonts w:hint="eastAsia" w:ascii="仿宋_GB2312" w:hAnsi="仿宋_GB2312" w:eastAsia="仿宋_GB2312" w:cs="仿宋_GB2312"/>
          <w:b/>
          <w:bCs/>
          <w:color w:val="auto"/>
          <w:highlight w:val="none"/>
        </w:rPr>
        <w:t>条</w:t>
      </w:r>
      <w:r>
        <w:rPr>
          <w:rFonts w:hint="eastAsia" w:cs="仿宋_GB2312"/>
          <w:b w:val="0"/>
          <w:bCs w:val="0"/>
          <w:color w:val="auto"/>
          <w:highlight w:val="none"/>
          <w:lang w:val="en-US" w:eastAsia="zh-CN"/>
        </w:rPr>
        <w:t xml:space="preserve"> </w:t>
      </w:r>
      <w:r>
        <w:rPr>
          <w:rFonts w:hint="eastAsia" w:cs="仿宋_GB2312"/>
          <w:color w:val="auto"/>
          <w:highlight w:val="none"/>
          <w:lang w:val="en-US" w:eastAsia="zh-CN"/>
        </w:rPr>
        <w:t>本办法所称的建设单位，是指投资进行限额以下小型工程的单位或者个人。</w:t>
      </w:r>
    </w:p>
    <w:p w14:paraId="4CE3C628">
      <w:pPr>
        <w:pStyle w:val="16"/>
        <w:keepNext w:val="0"/>
        <w:keepLines w:val="0"/>
        <w:pageBreakBefore w:val="0"/>
        <w:widowControl w:val="0"/>
        <w:shd w:val="clear" w:color="auto" w:fill="auto"/>
        <w:kinsoku/>
        <w:wordWrap/>
        <w:overflowPunct/>
        <w:topLinePunct w:val="0"/>
        <w:autoSpaceDE/>
        <w:autoSpaceDN/>
        <w:bidi w:val="0"/>
        <w:spacing w:line="560" w:lineRule="exact"/>
        <w:ind w:firstLine="640" w:firstLineChars="200"/>
        <w:textAlignment w:val="auto"/>
        <w:rPr>
          <w:rFonts w:hint="eastAsia" w:cs="仿宋_GB2312"/>
          <w:color w:val="auto"/>
          <w:highlight w:val="none"/>
          <w:lang w:val="en-US" w:eastAsia="zh-CN"/>
        </w:rPr>
      </w:pPr>
      <w:r>
        <w:rPr>
          <w:rFonts w:hint="eastAsia" w:cs="仿宋_GB2312"/>
          <w:color w:val="auto"/>
          <w:highlight w:val="none"/>
          <w:lang w:val="en-US" w:eastAsia="zh-CN"/>
        </w:rPr>
        <w:t>本办法所称的业主，是指投资进行零星作业的单位或者个人。</w:t>
      </w:r>
    </w:p>
    <w:p w14:paraId="3112B329">
      <w:pPr>
        <w:pStyle w:val="16"/>
        <w:keepNext w:val="0"/>
        <w:keepLines w:val="0"/>
        <w:pageBreakBefore w:val="0"/>
        <w:widowControl w:val="0"/>
        <w:shd w:val="clear" w:color="auto" w:fill="auto"/>
        <w:kinsoku/>
        <w:wordWrap/>
        <w:overflowPunct/>
        <w:topLinePunct w:val="0"/>
        <w:autoSpaceDE/>
        <w:autoSpaceDN/>
        <w:bidi w:val="0"/>
        <w:spacing w:line="560" w:lineRule="exact"/>
        <w:ind w:firstLine="640" w:firstLineChars="200"/>
        <w:textAlignment w:val="auto"/>
        <w:rPr>
          <w:rFonts w:hint="eastAsia" w:cs="仿宋_GB2312"/>
          <w:color w:val="auto"/>
          <w:highlight w:val="none"/>
          <w:lang w:val="en-US" w:eastAsia="zh-CN"/>
        </w:rPr>
      </w:pPr>
      <w:r>
        <w:rPr>
          <w:rFonts w:hint="eastAsia" w:cs="仿宋_GB2312"/>
          <w:color w:val="auto"/>
          <w:highlight w:val="none"/>
          <w:lang w:val="en-US" w:eastAsia="zh-CN"/>
        </w:rPr>
        <w:t>本办法所称的生产经营单位，是指依法从事生产或者经营活动的基本单元，包括企业法人、不具备企业法人资格的合伙组织、个体工商户和自然人等生产经营主体。</w:t>
      </w:r>
    </w:p>
    <w:p w14:paraId="7471872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center"/>
        <w:textAlignment w:val="auto"/>
        <w:outlineLvl w:val="0"/>
        <w:rPr>
          <w:rFonts w:hint="eastAsia" w:ascii="黑体" w:hAnsi="黑体" w:eastAsia="黑体" w:cs="Times New Roman"/>
          <w:color w:val="auto"/>
          <w:sz w:val="32"/>
          <w:szCs w:val="32"/>
          <w:highlight w:val="none"/>
          <w:lang w:val="en-US" w:eastAsia="zh-CN"/>
        </w:rPr>
      </w:pPr>
    </w:p>
    <w:p w14:paraId="14940C3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center"/>
        <w:textAlignment w:val="auto"/>
        <w:outlineLvl w:val="0"/>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lang w:val="en-US" w:eastAsia="zh-CN"/>
        </w:rPr>
        <w:t>第二章 主体责任</w:t>
      </w:r>
    </w:p>
    <w:p w14:paraId="32DF24E2">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第</w:t>
      </w:r>
      <w:r>
        <w:rPr>
          <w:rFonts w:hint="eastAsia" w:cs="仿宋_GB2312"/>
          <w:b/>
          <w:bCs/>
          <w:color w:val="auto"/>
          <w:highlight w:val="none"/>
          <w:lang w:val="en-US" w:eastAsia="zh-CN"/>
        </w:rPr>
        <w:t>六</w:t>
      </w:r>
      <w:r>
        <w:rPr>
          <w:rFonts w:hint="eastAsia" w:ascii="仿宋_GB2312" w:hAnsi="仿宋_GB2312" w:eastAsia="仿宋_GB2312" w:cs="仿宋_GB2312"/>
          <w:b/>
          <w:bCs/>
          <w:color w:val="auto"/>
          <w:highlight w:val="none"/>
        </w:rPr>
        <w:t>条</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限额以下小型工程的</w:t>
      </w:r>
      <w:r>
        <w:rPr>
          <w:rFonts w:hint="eastAsia" w:ascii="仿宋_GB2312" w:hAnsi="仿宋_GB2312" w:eastAsia="仿宋_GB2312" w:cs="仿宋_GB2312"/>
          <w:color w:val="auto"/>
          <w:highlight w:val="none"/>
        </w:rPr>
        <w:t>建设单位应履行以下安全生产</w:t>
      </w:r>
      <w:r>
        <w:rPr>
          <w:rFonts w:hint="eastAsia" w:ascii="仿宋_GB2312" w:hAnsi="仿宋_GB2312" w:eastAsia="仿宋_GB2312" w:cs="仿宋_GB2312"/>
          <w:color w:val="auto"/>
          <w:highlight w:val="none"/>
          <w:lang w:val="en-US" w:eastAsia="zh-CN"/>
        </w:rPr>
        <w:t>主体</w:t>
      </w:r>
      <w:r>
        <w:rPr>
          <w:rFonts w:hint="eastAsia" w:ascii="仿宋_GB2312" w:hAnsi="仿宋_GB2312" w:eastAsia="仿宋_GB2312" w:cs="仿宋_GB2312"/>
          <w:color w:val="auto"/>
          <w:highlight w:val="none"/>
        </w:rPr>
        <w:t>责任：</w:t>
      </w:r>
    </w:p>
    <w:p w14:paraId="6A42BFE7">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一</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在限额以下小型工程开工前</w:t>
      </w:r>
      <w:r>
        <w:rPr>
          <w:rFonts w:hint="eastAsia" w:cs="仿宋_GB2312"/>
          <w:color w:val="auto"/>
          <w:highlight w:val="none"/>
          <w:lang w:eastAsia="zh-CN"/>
        </w:rPr>
        <w:t>应当依法申请办理建设工程规划许可证，并</w:t>
      </w:r>
      <w:r>
        <w:rPr>
          <w:rFonts w:hint="eastAsia" w:ascii="仿宋_GB2312" w:hAnsi="仿宋_GB2312" w:eastAsia="仿宋_GB2312" w:cs="仿宋_GB2312"/>
          <w:color w:val="auto"/>
          <w:highlight w:val="none"/>
        </w:rPr>
        <w:t>按本办法规定</w:t>
      </w:r>
      <w:r>
        <w:rPr>
          <w:rFonts w:hint="eastAsia" w:cs="仿宋_GB2312"/>
          <w:color w:val="auto"/>
          <w:highlight w:val="none"/>
          <w:lang w:val="en-US" w:eastAsia="zh-CN"/>
        </w:rPr>
        <w:t>办理</w:t>
      </w:r>
      <w:r>
        <w:rPr>
          <w:rFonts w:hint="eastAsia" w:ascii="仿宋_GB2312" w:hAnsi="仿宋_GB2312" w:eastAsia="仿宋_GB2312" w:cs="仿宋_GB2312"/>
          <w:color w:val="auto"/>
          <w:highlight w:val="none"/>
          <w:lang w:val="en-US" w:eastAsia="zh-CN"/>
        </w:rPr>
        <w:t>安全生产</w:t>
      </w:r>
      <w:r>
        <w:rPr>
          <w:rFonts w:hint="eastAsia" w:cs="仿宋_GB2312"/>
          <w:color w:val="auto"/>
          <w:highlight w:val="none"/>
          <w:lang w:val="en-US" w:eastAsia="zh-CN"/>
        </w:rPr>
        <w:t>备案</w:t>
      </w:r>
      <w:r>
        <w:rPr>
          <w:rFonts w:hint="eastAsia" w:ascii="仿宋_GB2312" w:hAnsi="仿宋_GB2312" w:eastAsia="仿宋_GB2312" w:cs="仿宋_GB2312"/>
          <w:color w:val="auto"/>
          <w:highlight w:val="none"/>
          <w:lang w:val="en-US" w:eastAsia="zh-CN"/>
        </w:rPr>
        <w:t>登记，</w:t>
      </w:r>
      <w:r>
        <w:rPr>
          <w:rFonts w:hint="eastAsia" w:ascii="仿宋_GB2312" w:hAnsi="仿宋_GB2312" w:eastAsia="仿宋_GB2312" w:cs="仿宋_GB2312"/>
          <w:color w:val="auto"/>
          <w:highlight w:val="none"/>
        </w:rPr>
        <w:t>依法接受安全生产监督管理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安全指导</w:t>
      </w:r>
      <w:r>
        <w:rPr>
          <w:rFonts w:hint="eastAsia" w:ascii="仿宋_GB2312" w:hAnsi="仿宋_GB2312" w:eastAsia="仿宋_GB2312" w:cs="仿宋_GB2312"/>
          <w:color w:val="auto"/>
          <w:highlight w:val="none"/>
          <w:lang w:val="en-US" w:eastAsia="zh-CN"/>
        </w:rPr>
        <w:t>及教育培训</w:t>
      </w:r>
      <w:r>
        <w:rPr>
          <w:rFonts w:hint="eastAsia" w:cs="仿宋_GB2312"/>
          <w:color w:val="auto"/>
          <w:highlight w:val="none"/>
          <w:lang w:val="en-US" w:eastAsia="zh-CN"/>
        </w:rPr>
        <w:t>。</w:t>
      </w:r>
      <w:r>
        <w:rPr>
          <w:rFonts w:hint="eastAsia" w:ascii="Times New Roman" w:hAnsi="Times New Roman" w:eastAsia="仿宋_GB2312" w:cs="Times New Roman"/>
          <w:color w:val="000000"/>
          <w:kern w:val="0"/>
          <w:sz w:val="32"/>
          <w:szCs w:val="32"/>
          <w:lang w:val="en-US" w:eastAsia="zh-CN" w:bidi="ar-SA"/>
        </w:rPr>
        <w:t>完工后及时办理销案手续</w:t>
      </w:r>
      <w:r>
        <w:rPr>
          <w:rFonts w:hint="eastAsia" w:cs="仿宋_GB2312"/>
          <w:color w:val="auto"/>
          <w:highlight w:val="none"/>
          <w:lang w:eastAsia="zh-CN"/>
        </w:rPr>
        <w:t>。</w:t>
      </w:r>
    </w:p>
    <w:p w14:paraId="1C663B4D">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highlight w:val="none"/>
          <w:lang w:val="en-US" w:eastAsia="zh-CN"/>
        </w:rPr>
      </w:pPr>
      <w:r>
        <w:rPr>
          <w:rFonts w:hint="eastAsia" w:cs="仿宋_GB2312"/>
          <w:color w:val="auto"/>
          <w:highlight w:val="none"/>
          <w:lang w:eastAsia="zh-CN"/>
        </w:rPr>
        <w:t>（二）</w:t>
      </w:r>
      <w:r>
        <w:rPr>
          <w:rFonts w:hint="eastAsia" w:ascii="仿宋_GB2312" w:hAnsi="仿宋_GB2312" w:eastAsia="仿宋_GB2312" w:cs="仿宋_GB2312"/>
          <w:color w:val="auto"/>
          <w:highlight w:val="none"/>
        </w:rPr>
        <w:t>依法</w:t>
      </w:r>
      <w:r>
        <w:rPr>
          <w:rFonts w:hint="eastAsia" w:cs="仿宋_GB2312"/>
          <w:color w:val="auto"/>
          <w:highlight w:val="none"/>
          <w:lang w:val="en-US" w:eastAsia="zh-CN"/>
        </w:rPr>
        <w:t>以书面合同形式</w:t>
      </w:r>
      <w:r>
        <w:rPr>
          <w:rFonts w:hint="eastAsia" w:ascii="仿宋_GB2312" w:hAnsi="仿宋_GB2312" w:eastAsia="仿宋_GB2312" w:cs="仿宋_GB2312"/>
          <w:color w:val="auto"/>
          <w:highlight w:val="none"/>
        </w:rPr>
        <w:t>将限额以下小型工程委托给具备相应</w:t>
      </w:r>
      <w:r>
        <w:rPr>
          <w:rFonts w:hint="eastAsia" w:ascii="仿宋_GB2312" w:hAnsi="仿宋_GB2312" w:eastAsia="仿宋_GB2312" w:cs="仿宋_GB2312"/>
          <w:color w:val="auto"/>
          <w:highlight w:val="none"/>
          <w:lang w:eastAsia="zh-CN"/>
        </w:rPr>
        <w:t>资质等级</w:t>
      </w:r>
      <w:r>
        <w:rPr>
          <w:rFonts w:hint="eastAsia" w:cs="仿宋_GB2312"/>
          <w:color w:val="auto"/>
          <w:highlight w:val="none"/>
          <w:lang w:eastAsia="zh-CN"/>
        </w:rPr>
        <w:t>或者</w:t>
      </w:r>
      <w:r>
        <w:rPr>
          <w:rFonts w:hint="eastAsia" w:ascii="仿宋_GB2312" w:hAnsi="仿宋_GB2312" w:eastAsia="仿宋_GB2312" w:cs="仿宋_GB2312"/>
          <w:color w:val="auto"/>
          <w:highlight w:val="none"/>
          <w:lang w:eastAsia="zh-CN"/>
        </w:rPr>
        <w:t>安全生产条件</w:t>
      </w:r>
      <w:r>
        <w:rPr>
          <w:rFonts w:hint="eastAsia" w:ascii="仿宋_GB2312" w:hAnsi="仿宋_GB2312" w:eastAsia="仿宋_GB2312" w:cs="仿宋_GB2312"/>
          <w:color w:val="auto"/>
          <w:highlight w:val="none"/>
        </w:rPr>
        <w:t>的生产经营单位进行施工</w:t>
      </w:r>
      <w:r>
        <w:rPr>
          <w:rFonts w:hint="eastAsia" w:cs="仿宋_GB2312"/>
          <w:color w:val="auto"/>
          <w:highlight w:val="none"/>
          <w:lang w:eastAsia="zh-CN"/>
        </w:rPr>
        <w:t>。</w:t>
      </w:r>
      <w:r>
        <w:rPr>
          <w:rFonts w:hint="eastAsia" w:ascii="仿宋_GB2312" w:hAnsi="仿宋_GB2312" w:eastAsia="仿宋_GB2312" w:cs="仿宋_GB2312"/>
          <w:color w:val="auto"/>
          <w:sz w:val="32"/>
          <w:szCs w:val="32"/>
          <w:highlight w:val="none"/>
        </w:rPr>
        <w:t>高风险小型工程</w:t>
      </w:r>
      <w:r>
        <w:rPr>
          <w:rFonts w:hint="eastAsia"/>
          <w:color w:val="auto"/>
          <w:highlight w:val="none"/>
          <w:lang w:eastAsia="zh-CN"/>
        </w:rPr>
        <w:t>施工</w:t>
      </w:r>
      <w:r>
        <w:rPr>
          <w:rFonts w:hint="eastAsia" w:ascii="仿宋_GB2312" w:hAnsi="仿宋_GB2312" w:eastAsia="仿宋_GB2312" w:cs="仿宋_GB2312"/>
          <w:color w:val="auto"/>
          <w:highlight w:val="none"/>
          <w:lang w:val="en-US" w:eastAsia="zh-CN"/>
        </w:rPr>
        <w:t>必须委托</w:t>
      </w:r>
      <w:r>
        <w:rPr>
          <w:rFonts w:hint="eastAsia" w:cs="仿宋_GB2312"/>
          <w:color w:val="auto"/>
          <w:highlight w:val="none"/>
          <w:lang w:val="en-US" w:eastAsia="zh-CN"/>
        </w:rPr>
        <w:t>给</w:t>
      </w:r>
      <w:r>
        <w:rPr>
          <w:rFonts w:hint="eastAsia" w:ascii="仿宋_GB2312" w:hAnsi="仿宋_GB2312" w:eastAsia="仿宋_GB2312" w:cs="仿宋_GB2312"/>
          <w:color w:val="auto"/>
          <w:highlight w:val="none"/>
          <w:lang w:val="en-US" w:eastAsia="zh-CN"/>
        </w:rPr>
        <w:t>具有相应资质的企业承担</w:t>
      </w:r>
      <w:r>
        <w:rPr>
          <w:rFonts w:hint="eastAsia" w:cs="仿宋_GB2312"/>
          <w:color w:val="auto"/>
          <w:highlight w:val="none"/>
          <w:lang w:val="en-US" w:eastAsia="zh-CN"/>
        </w:rPr>
        <w:t>。直接雇请人员作业的，依法为作业人员购买保险。</w:t>
      </w:r>
      <w:r>
        <w:rPr>
          <w:rFonts w:hint="eastAsia" w:ascii="仿宋_GB2312" w:hAnsi="仿宋_GB2312" w:eastAsia="仿宋_GB2312" w:cs="仿宋_GB2312"/>
          <w:color w:val="auto"/>
          <w:highlight w:val="none"/>
        </w:rPr>
        <w:t>支持和鼓励建设单位委托监理单位</w:t>
      </w:r>
      <w:r>
        <w:rPr>
          <w:rFonts w:hint="eastAsia" w:cs="仿宋_GB2312"/>
          <w:color w:val="auto"/>
          <w:highlight w:val="none"/>
          <w:lang w:eastAsia="zh-CN"/>
        </w:rPr>
        <w:t>或</w:t>
      </w:r>
      <w:r>
        <w:rPr>
          <w:rFonts w:hint="eastAsia" w:cs="仿宋_GB2312"/>
          <w:color w:val="auto"/>
          <w:highlight w:val="none"/>
          <w:lang w:val="en-US" w:eastAsia="zh-CN"/>
        </w:rPr>
        <w:t>者</w:t>
      </w:r>
      <w:r>
        <w:rPr>
          <w:rFonts w:hint="eastAsia" w:ascii="仿宋_GB2312" w:hAnsi="仿宋_GB2312" w:eastAsia="仿宋_GB2312" w:cs="仿宋_GB2312"/>
          <w:color w:val="auto"/>
          <w:highlight w:val="none"/>
          <w:lang w:eastAsia="zh-CN"/>
        </w:rPr>
        <w:t>第三方技术服务</w:t>
      </w:r>
      <w:r>
        <w:rPr>
          <w:rFonts w:hint="eastAsia" w:ascii="仿宋_GB2312" w:hAnsi="仿宋_GB2312" w:eastAsia="仿宋_GB2312" w:cs="仿宋_GB2312"/>
          <w:color w:val="auto"/>
          <w:highlight w:val="none"/>
          <w:lang w:val="en-US" w:eastAsia="zh-CN"/>
        </w:rPr>
        <w:t>单位</w:t>
      </w:r>
      <w:r>
        <w:rPr>
          <w:rFonts w:hint="eastAsia" w:ascii="仿宋_GB2312" w:hAnsi="仿宋_GB2312" w:eastAsia="仿宋_GB2312" w:cs="仿宋_GB2312"/>
          <w:color w:val="auto"/>
          <w:highlight w:val="none"/>
        </w:rPr>
        <w:t>对</w:t>
      </w:r>
      <w:r>
        <w:rPr>
          <w:rFonts w:hint="eastAsia" w:ascii="仿宋_GB2312" w:hAnsi="仿宋_GB2312" w:eastAsia="仿宋_GB2312" w:cs="仿宋_GB2312"/>
          <w:color w:val="auto"/>
          <w:highlight w:val="none"/>
          <w:lang w:val="en-US" w:eastAsia="zh-CN"/>
        </w:rPr>
        <w:t>限额以下小型</w:t>
      </w:r>
      <w:r>
        <w:rPr>
          <w:rFonts w:hint="eastAsia" w:ascii="仿宋_GB2312" w:hAnsi="仿宋_GB2312" w:eastAsia="仿宋_GB2312" w:cs="仿宋_GB2312"/>
          <w:color w:val="auto"/>
          <w:highlight w:val="none"/>
        </w:rPr>
        <w:t>工程进行工程监理</w:t>
      </w:r>
      <w:r>
        <w:rPr>
          <w:rFonts w:hint="eastAsia" w:cs="仿宋_GB2312"/>
          <w:color w:val="auto"/>
          <w:highlight w:val="none"/>
          <w:lang w:val="en-US" w:eastAsia="zh-CN"/>
        </w:rPr>
        <w:t>或者</w:t>
      </w:r>
      <w:r>
        <w:rPr>
          <w:rFonts w:hint="eastAsia" w:ascii="仿宋_GB2312" w:hAnsi="仿宋_GB2312" w:eastAsia="仿宋_GB2312" w:cs="仿宋_GB2312"/>
          <w:color w:val="auto"/>
          <w:highlight w:val="none"/>
          <w:lang w:val="en-US" w:eastAsia="zh-CN"/>
        </w:rPr>
        <w:t>建设管理</w:t>
      </w:r>
      <w:r>
        <w:rPr>
          <w:rFonts w:hint="eastAsia" w:cs="仿宋_GB2312"/>
          <w:color w:val="auto"/>
          <w:highlight w:val="none"/>
          <w:lang w:eastAsia="zh-CN"/>
        </w:rPr>
        <w:t>。</w:t>
      </w:r>
    </w:p>
    <w:p w14:paraId="5370B3B6">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highlight w:val="none"/>
        </w:rPr>
        <w:t>依法</w:t>
      </w:r>
      <w:r>
        <w:rPr>
          <w:rFonts w:hint="eastAsia" w:ascii="仿宋_GB2312" w:hAnsi="仿宋_GB2312" w:eastAsia="仿宋_GB2312" w:cs="仿宋_GB2312"/>
          <w:color w:val="auto"/>
          <w:highlight w:val="none"/>
          <w:lang w:eastAsia="zh-CN"/>
        </w:rPr>
        <w:t>履行安全生产协调、管理</w:t>
      </w:r>
      <w:r>
        <w:rPr>
          <w:rFonts w:hint="eastAsia" w:ascii="仿宋_GB2312" w:hAnsi="仿宋_GB2312" w:eastAsia="仿宋_GB2312" w:cs="仿宋_GB2312"/>
          <w:color w:val="auto"/>
          <w:highlight w:val="none"/>
          <w:lang w:val="en-US" w:eastAsia="zh-CN"/>
        </w:rPr>
        <w:t>职责</w:t>
      </w:r>
      <w:r>
        <w:rPr>
          <w:rFonts w:hint="eastAsia" w:ascii="仿宋_GB2312" w:hAnsi="仿宋_GB2312" w:eastAsia="仿宋_GB2312" w:cs="仿宋_GB2312"/>
          <w:color w:val="auto"/>
          <w:highlight w:val="none"/>
          <w:lang w:eastAsia="zh-CN"/>
        </w:rPr>
        <w:t>，督促生产经营单位严格落实安全生产法律法规和相关技术标准，</w:t>
      </w:r>
      <w:r>
        <w:rPr>
          <w:rFonts w:hint="eastAsia" w:ascii="仿宋_GB2312" w:hAnsi="仿宋_GB2312" w:eastAsia="仿宋_GB2312" w:cs="仿宋_GB2312"/>
          <w:color w:val="auto"/>
          <w:highlight w:val="none"/>
          <w:lang w:val="en-US" w:eastAsia="zh-CN"/>
        </w:rPr>
        <w:t>采取必要的安全措施</w:t>
      </w:r>
      <w:r>
        <w:rPr>
          <w:rFonts w:hint="eastAsia" w:cs="仿宋_GB2312"/>
          <w:color w:val="auto"/>
          <w:highlight w:val="none"/>
          <w:lang w:eastAsia="zh-CN"/>
        </w:rPr>
        <w:t>；</w:t>
      </w:r>
      <w:r>
        <w:rPr>
          <w:rFonts w:hint="eastAsia" w:ascii="仿宋_GB2312" w:hAnsi="仿宋_GB2312" w:eastAsia="仿宋_GB2312" w:cs="仿宋_GB2312"/>
          <w:color w:val="auto"/>
          <w:highlight w:val="none"/>
          <w:lang w:val="en-US" w:eastAsia="zh-CN"/>
        </w:rPr>
        <w:t>发现存在安全隐患或者违法违规行为的，应当立即制止。</w:t>
      </w:r>
    </w:p>
    <w:p w14:paraId="382D5635">
      <w:pPr>
        <w:pStyle w:val="16"/>
        <w:keepNext w:val="0"/>
        <w:keepLines w:val="0"/>
        <w:pageBreakBefore w:val="0"/>
        <w:widowControl w:val="0"/>
        <w:shd w:val="clear" w:color="auto" w:fill="auto"/>
        <w:kinsoku/>
        <w:wordWrap/>
        <w:overflowPunct/>
        <w:topLinePunct w:val="0"/>
        <w:autoSpaceDE/>
        <w:autoSpaceDN/>
        <w:bidi w:val="0"/>
        <w:spacing w:line="560" w:lineRule="exact"/>
        <w:ind w:firstLine="640" w:firstLineChars="200"/>
        <w:textAlignment w:val="auto"/>
        <w:rPr>
          <w:rFonts w:hint="eastAsia" w:cs="仿宋_GB2312"/>
          <w:color w:val="auto"/>
          <w:highlight w:val="none"/>
          <w:lang w:val="en-US" w:eastAsia="zh-CN"/>
        </w:rPr>
      </w:pPr>
      <w:r>
        <w:rPr>
          <w:rFonts w:hint="eastAsia" w:cs="仿宋_GB2312"/>
          <w:color w:val="auto"/>
          <w:highlight w:val="none"/>
          <w:lang w:val="en-US" w:eastAsia="zh-CN"/>
        </w:rPr>
        <w:t>（四）依法承担房屋安全管理责任，不得擅自变动建筑主体和承重结构。确需变动的，应当在施工前委托原设计单位或者具有相应资质等级的设计单位提出设计方案并经审查合格，以及委托具有相应资质等级的施工单位实施；涉及增加使用荷载、改变房屋使用功能等影响房屋安全使用的，应当委托鉴定机构开展房屋安全鉴定，委托原设计单位或者具有相应资质等级的设计单位根据房屋安全鉴定结果提出设计方案并经审查合格，以及委托具有相应资质等级的施工单位实施，经验收后投入使用。</w:t>
      </w:r>
    </w:p>
    <w:p w14:paraId="6F43FB30">
      <w:pPr>
        <w:pStyle w:val="16"/>
        <w:keepNext w:val="0"/>
        <w:keepLines w:val="0"/>
        <w:pageBreakBefore w:val="0"/>
        <w:widowControl w:val="0"/>
        <w:shd w:val="clear" w:color="auto" w:fill="auto"/>
        <w:kinsoku/>
        <w:wordWrap/>
        <w:overflowPunct/>
        <w:topLinePunct w:val="0"/>
        <w:autoSpaceDE/>
        <w:autoSpaceDN/>
        <w:bidi w:val="0"/>
        <w:spacing w:line="560" w:lineRule="exact"/>
        <w:ind w:firstLine="640" w:firstLineChars="200"/>
        <w:textAlignment w:val="auto"/>
        <w:rPr>
          <w:rFonts w:hint="eastAsia" w:cs="仿宋_GB2312"/>
          <w:color w:val="auto"/>
          <w:highlight w:val="none"/>
          <w:lang w:val="en-US" w:eastAsia="zh-CN"/>
        </w:rPr>
      </w:pPr>
      <w:r>
        <w:rPr>
          <w:rFonts w:hint="eastAsia" w:cs="仿宋_GB2312"/>
          <w:color w:val="auto"/>
          <w:highlight w:val="none"/>
          <w:lang w:val="en-US" w:eastAsia="zh-CN"/>
        </w:rPr>
        <w:t>（五）涉及动火作业的，应督促生产经营单位落实动火作业安全管理措施，组织实施动火作业全过程管控，坚决杜绝违规动火作业。</w:t>
      </w:r>
      <w:r>
        <w:rPr>
          <w:rFonts w:hint="default" w:cs="仿宋_GB2312"/>
          <w:color w:val="auto"/>
          <w:highlight w:val="none"/>
          <w:lang w:val="en-US" w:eastAsia="zh-CN"/>
        </w:rPr>
        <w:t>涉及拆改燃气管道及设施的，应当事先征求管道燃气企业的意见，并委托具有相应资质的单位实施</w:t>
      </w:r>
      <w:r>
        <w:rPr>
          <w:rFonts w:hint="eastAsia" w:cs="仿宋_GB2312"/>
          <w:color w:val="auto"/>
          <w:highlight w:val="none"/>
          <w:lang w:val="en-US" w:eastAsia="zh-CN"/>
        </w:rPr>
        <w:t>；</w:t>
      </w:r>
      <w:r>
        <w:rPr>
          <w:rFonts w:hint="default" w:cs="仿宋_GB2312"/>
          <w:color w:val="auto"/>
          <w:highlight w:val="none"/>
          <w:lang w:val="en-US" w:eastAsia="zh-CN"/>
        </w:rPr>
        <w:t>拆改施工完成后，经管道燃气企业安全检查合格后方可投入使用</w:t>
      </w:r>
      <w:r>
        <w:rPr>
          <w:rFonts w:hint="eastAsia" w:cs="仿宋_GB2312"/>
          <w:color w:val="auto"/>
          <w:highlight w:val="none"/>
          <w:lang w:val="en-US" w:eastAsia="zh-CN"/>
        </w:rPr>
        <w:t>。涉及动土作业的，应查清地下管线情况，并按规定签订有关保护协议，组织制定并严格落实地下管线保护措施要求。</w:t>
      </w:r>
    </w:p>
    <w:p w14:paraId="79BE012B">
      <w:pPr>
        <w:pStyle w:val="16"/>
        <w:keepNext w:val="0"/>
        <w:keepLines w:val="0"/>
        <w:pageBreakBefore w:val="0"/>
        <w:widowControl w:val="0"/>
        <w:shd w:val="clear" w:color="auto" w:fill="auto"/>
        <w:kinsoku/>
        <w:wordWrap/>
        <w:overflowPunct/>
        <w:topLinePunct w:val="0"/>
        <w:autoSpaceDE/>
        <w:autoSpaceDN/>
        <w:bidi w:val="0"/>
        <w:spacing w:line="560" w:lineRule="exact"/>
        <w:ind w:firstLine="640" w:firstLineChars="200"/>
        <w:textAlignment w:val="auto"/>
        <w:rPr>
          <w:rFonts w:hint="eastAsia" w:cs="仿宋_GB2312"/>
          <w:color w:val="auto"/>
          <w:highlight w:val="none"/>
          <w:lang w:val="en-US" w:eastAsia="zh-CN"/>
        </w:rPr>
      </w:pPr>
      <w:r>
        <w:rPr>
          <w:rFonts w:hint="default" w:cs="仿宋_GB2312"/>
          <w:color w:val="auto"/>
          <w:highlight w:val="none"/>
          <w:lang w:val="en-US" w:eastAsia="zh-CN"/>
        </w:rPr>
        <w:t>（</w:t>
      </w:r>
      <w:r>
        <w:rPr>
          <w:rFonts w:hint="eastAsia" w:cs="仿宋_GB2312"/>
          <w:color w:val="auto"/>
          <w:highlight w:val="none"/>
          <w:lang w:val="en-US" w:eastAsia="zh-CN"/>
        </w:rPr>
        <w:t>六</w:t>
      </w:r>
      <w:r>
        <w:rPr>
          <w:rFonts w:hint="default" w:cs="仿宋_GB2312"/>
          <w:color w:val="auto"/>
          <w:highlight w:val="none"/>
          <w:lang w:val="en-US" w:eastAsia="zh-CN"/>
        </w:rPr>
        <w:t>）</w:t>
      </w:r>
      <w:r>
        <w:rPr>
          <w:rFonts w:hint="eastAsia" w:cs="仿宋_GB2312"/>
          <w:color w:val="auto"/>
          <w:highlight w:val="none"/>
          <w:lang w:val="en-US" w:eastAsia="zh-CN"/>
        </w:rPr>
        <w:t>及时支付工程资金，保障合理的工期和造价；采购的建筑材料、建筑构配件和设备应符合相关标准、规定和设计文件要求。</w:t>
      </w:r>
    </w:p>
    <w:p w14:paraId="57AB243A">
      <w:pPr>
        <w:pStyle w:val="16"/>
        <w:keepNext w:val="0"/>
        <w:keepLines w:val="0"/>
        <w:pageBreakBefore w:val="0"/>
        <w:widowControl w:val="0"/>
        <w:shd w:val="clear" w:color="auto" w:fill="auto"/>
        <w:kinsoku/>
        <w:wordWrap/>
        <w:overflowPunct/>
        <w:topLinePunct w:val="0"/>
        <w:autoSpaceDE/>
        <w:autoSpaceDN/>
        <w:bidi w:val="0"/>
        <w:spacing w:line="560" w:lineRule="exact"/>
        <w:ind w:firstLine="640" w:firstLineChars="200"/>
        <w:textAlignment w:val="auto"/>
        <w:rPr>
          <w:rFonts w:hint="eastAsia" w:cs="仿宋_GB2312"/>
          <w:color w:val="auto"/>
          <w:highlight w:val="none"/>
          <w:lang w:val="en-US" w:eastAsia="zh-CN"/>
        </w:rPr>
      </w:pPr>
      <w:r>
        <w:rPr>
          <w:rFonts w:hint="eastAsia" w:cs="仿宋_GB2312"/>
          <w:color w:val="auto"/>
          <w:highlight w:val="none"/>
          <w:lang w:val="en-US" w:eastAsia="zh-CN"/>
        </w:rPr>
        <w:t>（七）落实法律法规规定的其他安全生产责任和要求。</w:t>
      </w:r>
    </w:p>
    <w:p w14:paraId="25426298">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第</w:t>
      </w:r>
      <w:r>
        <w:rPr>
          <w:rFonts w:hint="eastAsia" w:cs="仿宋_GB2312"/>
          <w:b/>
          <w:bCs/>
          <w:color w:val="auto"/>
          <w:highlight w:val="none"/>
          <w:lang w:val="en-US" w:eastAsia="zh-CN"/>
        </w:rPr>
        <w:t>七</w:t>
      </w:r>
      <w:r>
        <w:rPr>
          <w:rFonts w:hint="eastAsia" w:ascii="仿宋_GB2312" w:hAnsi="仿宋_GB2312" w:eastAsia="仿宋_GB2312" w:cs="仿宋_GB2312"/>
          <w:b/>
          <w:bCs/>
          <w:color w:val="auto"/>
          <w:highlight w:val="none"/>
        </w:rPr>
        <w:t>条</w:t>
      </w:r>
      <w:r>
        <w:rPr>
          <w:rFonts w:hint="eastAsia" w:ascii="仿宋_GB2312" w:hAnsi="仿宋_GB2312" w:eastAsia="仿宋_GB2312" w:cs="仿宋_GB2312"/>
          <w:color w:val="auto"/>
          <w:highlight w:val="none"/>
        </w:rPr>
        <w:t xml:space="preserve"> 雇请他人进行零星作业的业主应依法履行以下安全生产</w:t>
      </w:r>
      <w:r>
        <w:rPr>
          <w:rFonts w:hint="eastAsia" w:ascii="仿宋_GB2312" w:hAnsi="仿宋_GB2312" w:eastAsia="仿宋_GB2312" w:cs="仿宋_GB2312"/>
          <w:color w:val="auto"/>
          <w:highlight w:val="none"/>
          <w:lang w:val="en-US" w:eastAsia="zh-CN"/>
        </w:rPr>
        <w:t>主体</w:t>
      </w:r>
      <w:r>
        <w:rPr>
          <w:rFonts w:hint="eastAsia" w:ascii="仿宋_GB2312" w:hAnsi="仿宋_GB2312" w:eastAsia="仿宋_GB2312" w:cs="仿宋_GB2312"/>
          <w:color w:val="auto"/>
          <w:highlight w:val="none"/>
        </w:rPr>
        <w:t>责任：</w:t>
      </w:r>
    </w:p>
    <w:p w14:paraId="4DD8F171">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（一）在</w:t>
      </w:r>
      <w:r>
        <w:rPr>
          <w:rFonts w:hint="eastAsia" w:ascii="仿宋_GB2312" w:hAnsi="仿宋_GB2312" w:eastAsia="仿宋_GB2312" w:cs="仿宋_GB2312"/>
          <w:color w:val="auto"/>
          <w:highlight w:val="none"/>
          <w:lang w:val="en-US" w:eastAsia="zh-CN"/>
        </w:rPr>
        <w:t>零星作业</w:t>
      </w:r>
      <w:r>
        <w:rPr>
          <w:rFonts w:hint="eastAsia" w:ascii="仿宋_GB2312" w:hAnsi="仿宋_GB2312" w:eastAsia="仿宋_GB2312" w:cs="仿宋_GB2312"/>
          <w:color w:val="auto"/>
          <w:highlight w:val="none"/>
        </w:rPr>
        <w:t>前，按照</w:t>
      </w:r>
      <w:r>
        <w:rPr>
          <w:rFonts w:hint="eastAsia" w:ascii="仿宋_GB2312" w:hAnsi="仿宋_GB2312" w:eastAsia="仿宋_GB2312" w:cs="仿宋_GB2312"/>
          <w:color w:val="auto"/>
          <w:highlight w:val="none"/>
          <w:lang w:val="en-US" w:eastAsia="zh-CN"/>
        </w:rPr>
        <w:t>本办法</w:t>
      </w:r>
      <w:r>
        <w:rPr>
          <w:rFonts w:hint="eastAsia" w:ascii="仿宋_GB2312" w:hAnsi="仿宋_GB2312" w:eastAsia="仿宋_GB2312" w:cs="仿宋_GB2312"/>
          <w:color w:val="auto"/>
          <w:highlight w:val="none"/>
        </w:rPr>
        <w:t>规定</w:t>
      </w:r>
      <w:r>
        <w:rPr>
          <w:rFonts w:hint="eastAsia" w:cs="仿宋_GB2312"/>
          <w:color w:val="auto"/>
          <w:highlight w:val="none"/>
          <w:lang w:val="en-US" w:eastAsia="zh-CN"/>
        </w:rPr>
        <w:t>备案</w:t>
      </w:r>
      <w:r>
        <w:rPr>
          <w:rFonts w:hint="eastAsia" w:ascii="仿宋_GB2312" w:hAnsi="仿宋_GB2312" w:eastAsia="仿宋_GB2312" w:cs="仿宋_GB2312"/>
          <w:color w:val="auto"/>
          <w:highlight w:val="none"/>
          <w:lang w:val="en-US" w:eastAsia="zh-CN"/>
        </w:rPr>
        <w:t>安全生产信息，</w:t>
      </w:r>
      <w:r>
        <w:rPr>
          <w:rFonts w:hint="eastAsia" w:ascii="仿宋_GB2312" w:hAnsi="仿宋_GB2312" w:eastAsia="仿宋_GB2312" w:cs="仿宋_GB2312"/>
          <w:color w:val="auto"/>
          <w:highlight w:val="none"/>
        </w:rPr>
        <w:t>依法接受安全生产监督管理及相关安全指导</w:t>
      </w:r>
      <w:r>
        <w:rPr>
          <w:rFonts w:hint="eastAsia" w:cs="仿宋_GB2312"/>
          <w:color w:val="auto"/>
          <w:highlight w:val="none"/>
          <w:lang w:eastAsia="zh-CN"/>
        </w:rPr>
        <w:t>。</w:t>
      </w:r>
    </w:p>
    <w:p w14:paraId="09B72380">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二</w:t>
      </w:r>
      <w:r>
        <w:rPr>
          <w:rFonts w:hint="eastAsia" w:ascii="仿宋_GB2312" w:hAnsi="仿宋_GB2312" w:eastAsia="仿宋_GB2312" w:cs="仿宋_GB2312"/>
          <w:color w:val="auto"/>
          <w:highlight w:val="none"/>
        </w:rPr>
        <w:t>）应督促被委托人和作业人员采取</w:t>
      </w:r>
      <w:r>
        <w:rPr>
          <w:rFonts w:hint="eastAsia" w:cs="仿宋_GB2312"/>
          <w:color w:val="auto"/>
          <w:highlight w:val="none"/>
          <w:lang w:eastAsia="zh-CN"/>
        </w:rPr>
        <w:t>充分</w:t>
      </w:r>
      <w:r>
        <w:rPr>
          <w:rFonts w:hint="eastAsia" w:ascii="仿宋_GB2312" w:hAnsi="仿宋_GB2312" w:eastAsia="仿宋_GB2312" w:cs="仿宋_GB2312"/>
          <w:color w:val="auto"/>
          <w:highlight w:val="none"/>
        </w:rPr>
        <w:t>的安全措施，确保生产安全；发现存在安全隐患</w:t>
      </w:r>
      <w:r>
        <w:rPr>
          <w:rFonts w:hint="eastAsia" w:cs="仿宋_GB2312"/>
          <w:color w:val="auto"/>
          <w:highlight w:val="none"/>
          <w:lang w:eastAsia="zh-CN"/>
        </w:rPr>
        <w:t>或者</w:t>
      </w:r>
      <w:r>
        <w:rPr>
          <w:rFonts w:hint="eastAsia" w:ascii="仿宋_GB2312" w:hAnsi="仿宋_GB2312" w:eastAsia="仿宋_GB2312" w:cs="仿宋_GB2312"/>
          <w:color w:val="auto"/>
          <w:highlight w:val="none"/>
        </w:rPr>
        <w:t>安全生产违法违规行为的，应当立即制止</w:t>
      </w:r>
      <w:r>
        <w:rPr>
          <w:rFonts w:hint="eastAsia" w:cs="仿宋_GB2312"/>
          <w:color w:val="auto"/>
          <w:highlight w:val="none"/>
          <w:lang w:eastAsia="zh-CN"/>
        </w:rPr>
        <w:t>。</w:t>
      </w:r>
    </w:p>
    <w:p w14:paraId="41513E6E">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highlight w:val="none"/>
          <w:lang w:eastAsia="zh-CN"/>
        </w:rPr>
      </w:pPr>
      <w:r>
        <w:rPr>
          <w:rFonts w:hint="eastAsia" w:cs="仿宋_GB2312"/>
          <w:color w:val="auto"/>
          <w:highlight w:val="none"/>
          <w:lang w:eastAsia="zh-CN"/>
        </w:rPr>
        <w:t>（三）</w:t>
      </w:r>
      <w:r>
        <w:rPr>
          <w:rFonts w:hint="eastAsia" w:ascii="仿宋_GB2312" w:hAnsi="仿宋_GB2312" w:eastAsia="仿宋_GB2312" w:cs="仿宋_GB2312"/>
          <w:color w:val="auto"/>
          <w:highlight w:val="none"/>
        </w:rPr>
        <w:t>对于涉及电工作业、焊接与热切割作业</w:t>
      </w:r>
      <w:r>
        <w:rPr>
          <w:rFonts w:hint="eastAsia" w:cs="仿宋_GB2312"/>
          <w:color w:val="auto"/>
          <w:highlight w:val="none"/>
          <w:lang w:eastAsia="zh-CN"/>
        </w:rPr>
        <w:t>、</w:t>
      </w:r>
      <w:r>
        <w:rPr>
          <w:rFonts w:hint="eastAsia" w:ascii="仿宋_GB2312" w:hAnsi="仿宋_GB2312" w:eastAsia="仿宋_GB2312" w:cs="仿宋_GB2312"/>
          <w:color w:val="auto"/>
          <w:highlight w:val="none"/>
        </w:rPr>
        <w:t>高处作业等零星作业，应</w:t>
      </w:r>
      <w:r>
        <w:rPr>
          <w:rFonts w:hint="eastAsia" w:cs="仿宋_GB2312"/>
          <w:color w:val="auto"/>
          <w:highlight w:val="none"/>
          <w:lang w:eastAsia="zh-CN"/>
        </w:rPr>
        <w:t>确保由</w:t>
      </w:r>
      <w:r>
        <w:rPr>
          <w:rFonts w:hint="eastAsia" w:ascii="仿宋_GB2312" w:hAnsi="仿宋_GB2312" w:eastAsia="仿宋_GB2312" w:cs="仿宋_GB2312"/>
          <w:color w:val="auto"/>
          <w:highlight w:val="none"/>
        </w:rPr>
        <w:t>依法取得</w:t>
      </w:r>
      <w:r>
        <w:rPr>
          <w:rFonts w:hint="eastAsia" w:cs="仿宋_GB2312"/>
          <w:color w:val="auto"/>
          <w:highlight w:val="none"/>
          <w:lang w:eastAsia="zh-CN"/>
        </w:rPr>
        <w:t>相应的</w:t>
      </w:r>
      <w:r>
        <w:rPr>
          <w:rFonts w:hint="eastAsia" w:ascii="仿宋_GB2312" w:hAnsi="仿宋_GB2312" w:eastAsia="仿宋_GB2312" w:cs="仿宋_GB2312"/>
          <w:color w:val="auto"/>
          <w:highlight w:val="none"/>
        </w:rPr>
        <w:t>特种作业操作证</w:t>
      </w:r>
      <w:r>
        <w:rPr>
          <w:rFonts w:hint="eastAsia" w:cs="仿宋_GB2312"/>
          <w:color w:val="auto"/>
          <w:highlight w:val="none"/>
          <w:lang w:eastAsia="zh-CN"/>
        </w:rPr>
        <w:t>的生产经营单位承揽</w:t>
      </w:r>
      <w:r>
        <w:rPr>
          <w:rFonts w:hint="eastAsia" w:ascii="仿宋_GB2312" w:hAnsi="仿宋_GB2312" w:eastAsia="仿宋_GB2312" w:cs="仿宋_GB2312"/>
          <w:color w:val="auto"/>
          <w:highlight w:val="none"/>
          <w:lang w:eastAsia="zh-CN"/>
        </w:rPr>
        <w:t>，</w:t>
      </w:r>
      <w:r>
        <w:rPr>
          <w:rFonts w:hint="eastAsia" w:cs="仿宋_GB2312"/>
          <w:color w:val="auto"/>
          <w:highlight w:val="none"/>
          <w:lang w:eastAsia="zh-CN"/>
        </w:rPr>
        <w:t>并</w:t>
      </w:r>
      <w:r>
        <w:rPr>
          <w:rFonts w:hint="eastAsia" w:ascii="仿宋_GB2312" w:hAnsi="仿宋_GB2312" w:eastAsia="仿宋_GB2312" w:cs="仿宋_GB2312"/>
          <w:color w:val="auto"/>
          <w:highlight w:val="none"/>
          <w:lang w:val="en-US" w:eastAsia="zh-CN"/>
        </w:rPr>
        <w:t>严格动火作业</w:t>
      </w:r>
      <w:r>
        <w:rPr>
          <w:rFonts w:hint="eastAsia" w:cs="仿宋_GB2312"/>
          <w:color w:val="auto"/>
          <w:highlight w:val="none"/>
          <w:lang w:val="en-US" w:eastAsia="zh-CN"/>
        </w:rPr>
        <w:t>和防高坠</w:t>
      </w:r>
      <w:r>
        <w:rPr>
          <w:rFonts w:hint="eastAsia" w:ascii="仿宋_GB2312" w:hAnsi="仿宋_GB2312" w:eastAsia="仿宋_GB2312" w:cs="仿宋_GB2312"/>
          <w:color w:val="auto"/>
          <w:highlight w:val="none"/>
          <w:lang w:val="en-US" w:eastAsia="zh-CN"/>
        </w:rPr>
        <w:t>现场管控</w:t>
      </w:r>
      <w:r>
        <w:rPr>
          <w:rFonts w:hint="eastAsia" w:ascii="仿宋_GB2312" w:hAnsi="仿宋_GB2312" w:eastAsia="仿宋_GB2312" w:cs="仿宋_GB2312"/>
          <w:color w:val="auto"/>
          <w:highlight w:val="none"/>
          <w:lang w:eastAsia="zh-CN"/>
        </w:rPr>
        <w:t>。</w:t>
      </w:r>
    </w:p>
    <w:p w14:paraId="2F5F9EA2">
      <w:pPr>
        <w:pStyle w:val="16"/>
        <w:keepNext w:val="0"/>
        <w:keepLines w:val="0"/>
        <w:pageBreakBefore w:val="0"/>
        <w:widowControl w:val="0"/>
        <w:shd w:val="clear" w:color="auto" w:fill="auto"/>
        <w:kinsoku/>
        <w:wordWrap/>
        <w:overflowPunct/>
        <w:topLinePunct w:val="0"/>
        <w:autoSpaceDE/>
        <w:autoSpaceDN/>
        <w:bidi w:val="0"/>
        <w:spacing w:line="560" w:lineRule="exact"/>
        <w:ind w:firstLine="643" w:firstLineChars="200"/>
        <w:textAlignment w:val="auto"/>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第</w:t>
      </w:r>
      <w:r>
        <w:rPr>
          <w:rFonts w:hint="eastAsia" w:cs="仿宋_GB2312"/>
          <w:b/>
          <w:bCs/>
          <w:color w:val="auto"/>
          <w:highlight w:val="none"/>
          <w:lang w:val="en-US" w:eastAsia="zh-CN"/>
        </w:rPr>
        <w:t>八</w:t>
      </w:r>
      <w:r>
        <w:rPr>
          <w:rFonts w:hint="eastAsia" w:ascii="仿宋_GB2312" w:hAnsi="仿宋_GB2312" w:eastAsia="仿宋_GB2312" w:cs="仿宋_GB2312"/>
          <w:b/>
          <w:bCs/>
          <w:color w:val="auto"/>
          <w:highlight w:val="none"/>
        </w:rPr>
        <w:t>条</w:t>
      </w:r>
      <w:r>
        <w:rPr>
          <w:rFonts w:hint="eastAsia" w:ascii="仿宋_GB2312" w:hAnsi="仿宋_GB2312" w:eastAsia="仿宋_GB2312" w:cs="仿宋_GB2312"/>
          <w:color w:val="auto"/>
          <w:highlight w:val="none"/>
        </w:rPr>
        <w:t xml:space="preserve"> 承接</w:t>
      </w:r>
      <w:r>
        <w:rPr>
          <w:rFonts w:hint="eastAsia" w:ascii="仿宋_GB2312" w:hAnsi="仿宋_GB2312" w:eastAsia="仿宋_GB2312" w:cs="仿宋_GB2312"/>
          <w:color w:val="auto"/>
          <w:highlight w:val="none"/>
          <w:lang w:val="en-US" w:eastAsia="zh-CN"/>
        </w:rPr>
        <w:t>限额以下小型</w:t>
      </w:r>
      <w:r>
        <w:rPr>
          <w:rFonts w:hint="eastAsia" w:ascii="仿宋_GB2312" w:hAnsi="仿宋_GB2312" w:eastAsia="仿宋_GB2312" w:cs="仿宋_GB2312"/>
          <w:color w:val="auto"/>
          <w:highlight w:val="none"/>
        </w:rPr>
        <w:t>工程</w:t>
      </w:r>
      <w:r>
        <w:rPr>
          <w:rFonts w:hint="eastAsia" w:cs="仿宋_GB2312"/>
          <w:color w:val="auto"/>
          <w:highlight w:val="none"/>
          <w:lang w:eastAsia="zh-CN"/>
        </w:rPr>
        <w:t>或者</w:t>
      </w:r>
      <w:r>
        <w:rPr>
          <w:rFonts w:hint="eastAsia" w:ascii="仿宋_GB2312" w:hAnsi="仿宋_GB2312" w:eastAsia="仿宋_GB2312" w:cs="仿宋_GB2312"/>
          <w:color w:val="auto"/>
          <w:highlight w:val="none"/>
        </w:rPr>
        <w:t>零星作业的生产经营单位</w:t>
      </w:r>
      <w:r>
        <w:rPr>
          <w:rFonts w:hint="eastAsia" w:ascii="仿宋_GB2312" w:hAnsi="仿宋_GB2312" w:eastAsia="仿宋_GB2312" w:cs="仿宋_GB2312"/>
          <w:color w:val="auto"/>
          <w:highlight w:val="none"/>
          <w:lang w:val="en-US" w:eastAsia="zh-CN"/>
        </w:rPr>
        <w:t>应</w:t>
      </w:r>
      <w:r>
        <w:rPr>
          <w:rFonts w:hint="eastAsia" w:ascii="仿宋_GB2312" w:hAnsi="仿宋_GB2312" w:eastAsia="仿宋_GB2312" w:cs="仿宋_GB2312"/>
          <w:color w:val="auto"/>
          <w:highlight w:val="none"/>
        </w:rPr>
        <w:t>依法</w:t>
      </w:r>
      <w:r>
        <w:rPr>
          <w:rFonts w:hint="eastAsia" w:ascii="仿宋_GB2312" w:hAnsi="仿宋_GB2312" w:eastAsia="仿宋_GB2312" w:cs="仿宋_GB2312"/>
          <w:color w:val="auto"/>
          <w:highlight w:val="none"/>
          <w:lang w:eastAsia="zh-CN"/>
        </w:rPr>
        <w:t>对安全生产承担主体责任：</w:t>
      </w:r>
    </w:p>
    <w:p w14:paraId="133E84F6">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（一）严格按照法律法规及相关技术标准、规范开展施工</w:t>
      </w:r>
      <w:r>
        <w:rPr>
          <w:rFonts w:hint="eastAsia" w:cs="仿宋_GB2312"/>
          <w:color w:val="auto"/>
          <w:highlight w:val="none"/>
          <w:lang w:eastAsia="zh-CN"/>
        </w:rPr>
        <w:t>或者</w:t>
      </w:r>
      <w:r>
        <w:rPr>
          <w:rFonts w:hint="eastAsia" w:ascii="仿宋_GB2312" w:hAnsi="仿宋_GB2312" w:eastAsia="仿宋_GB2312" w:cs="仿宋_GB2312"/>
          <w:color w:val="auto"/>
          <w:highlight w:val="none"/>
        </w:rPr>
        <w:t>作业活动，确保施工</w:t>
      </w:r>
      <w:r>
        <w:rPr>
          <w:rFonts w:hint="eastAsia" w:cs="仿宋_GB2312"/>
          <w:color w:val="auto"/>
          <w:highlight w:val="none"/>
          <w:lang w:eastAsia="zh-CN"/>
        </w:rPr>
        <w:t>或者</w:t>
      </w:r>
      <w:r>
        <w:rPr>
          <w:rFonts w:hint="eastAsia" w:ascii="仿宋_GB2312" w:hAnsi="仿宋_GB2312" w:eastAsia="仿宋_GB2312" w:cs="仿宋_GB2312"/>
          <w:color w:val="auto"/>
          <w:highlight w:val="none"/>
        </w:rPr>
        <w:t>作业安全</w:t>
      </w:r>
      <w:r>
        <w:rPr>
          <w:rFonts w:hint="eastAsia" w:cs="仿宋_GB2312"/>
          <w:color w:val="auto"/>
          <w:highlight w:val="none"/>
          <w:lang w:eastAsia="zh-CN"/>
        </w:rPr>
        <w:t>。</w:t>
      </w:r>
    </w:p>
    <w:p w14:paraId="620A84FA">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cs="仿宋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rPr>
        <w:t>）加强施工或</w:t>
      </w:r>
      <w:r>
        <w:rPr>
          <w:rFonts w:hint="eastAsia" w:cs="仿宋_GB2312"/>
          <w:color w:val="auto"/>
          <w:kern w:val="0"/>
          <w:sz w:val="32"/>
          <w:szCs w:val="32"/>
          <w:highlight w:val="none"/>
          <w:lang w:eastAsia="zh-CN"/>
        </w:rPr>
        <w:t>者</w:t>
      </w:r>
      <w:r>
        <w:rPr>
          <w:rFonts w:hint="eastAsia" w:ascii="仿宋_GB2312" w:hAnsi="仿宋_GB2312" w:eastAsia="仿宋_GB2312" w:cs="仿宋_GB2312"/>
          <w:color w:val="auto"/>
          <w:kern w:val="0"/>
          <w:sz w:val="32"/>
          <w:szCs w:val="32"/>
          <w:highlight w:val="none"/>
        </w:rPr>
        <w:t>作业现场的安全管理，</w:t>
      </w:r>
      <w:r>
        <w:rPr>
          <w:rFonts w:hint="eastAsia" w:cs="仿宋_GB2312"/>
          <w:color w:val="auto"/>
          <w:kern w:val="0"/>
          <w:sz w:val="32"/>
          <w:szCs w:val="32"/>
          <w:highlight w:val="none"/>
          <w:lang w:val="en-US" w:eastAsia="zh-CN"/>
        </w:rPr>
        <w:t>依法依规</w:t>
      </w:r>
      <w:r>
        <w:rPr>
          <w:rFonts w:hint="eastAsia" w:ascii="仿宋_GB2312" w:hAnsi="仿宋_GB2312" w:eastAsia="仿宋_GB2312" w:cs="仿宋_GB2312"/>
          <w:color w:val="auto"/>
          <w:kern w:val="0"/>
          <w:sz w:val="32"/>
          <w:szCs w:val="32"/>
          <w:highlight w:val="none"/>
        </w:rPr>
        <w:t>配备专</w:t>
      </w:r>
      <w:r>
        <w:rPr>
          <w:rFonts w:hint="eastAsia" w:cs="仿宋_GB2312"/>
          <w:color w:val="auto"/>
          <w:kern w:val="0"/>
          <w:sz w:val="32"/>
          <w:szCs w:val="32"/>
          <w:highlight w:val="none"/>
          <w:lang w:val="en-US" w:eastAsia="zh-CN"/>
        </w:rPr>
        <w:t>业专职人员</w:t>
      </w:r>
      <w:r>
        <w:rPr>
          <w:rFonts w:hint="eastAsia" w:ascii="仿宋_GB2312" w:hAnsi="仿宋_GB2312" w:eastAsia="仿宋_GB2312" w:cs="仿宋_GB2312"/>
          <w:color w:val="auto"/>
          <w:kern w:val="0"/>
          <w:sz w:val="32"/>
          <w:szCs w:val="32"/>
          <w:highlight w:val="none"/>
        </w:rPr>
        <w:t>负责施工或</w:t>
      </w:r>
      <w:r>
        <w:rPr>
          <w:rFonts w:hint="eastAsia" w:cs="仿宋_GB2312"/>
          <w:color w:val="auto"/>
          <w:kern w:val="0"/>
          <w:sz w:val="32"/>
          <w:szCs w:val="32"/>
          <w:highlight w:val="none"/>
          <w:lang w:eastAsia="zh-CN"/>
        </w:rPr>
        <w:t>者</w:t>
      </w:r>
      <w:r>
        <w:rPr>
          <w:rFonts w:hint="eastAsia" w:ascii="仿宋_GB2312" w:hAnsi="仿宋_GB2312" w:eastAsia="仿宋_GB2312" w:cs="仿宋_GB2312"/>
          <w:color w:val="auto"/>
          <w:kern w:val="0"/>
          <w:sz w:val="32"/>
          <w:szCs w:val="32"/>
          <w:highlight w:val="none"/>
        </w:rPr>
        <w:t>作业现场安全管理工作，</w:t>
      </w:r>
      <w:r>
        <w:rPr>
          <w:rFonts w:hint="eastAsia" w:ascii="仿宋_GB2312" w:hAnsi="仿宋_GB2312" w:eastAsia="仿宋_GB2312" w:cs="仿宋_GB2312"/>
          <w:color w:val="auto"/>
          <w:highlight w:val="none"/>
          <w:lang w:val="en-US" w:eastAsia="zh-CN"/>
        </w:rPr>
        <w:t>及时排查整改事故</w:t>
      </w:r>
      <w:r>
        <w:rPr>
          <w:rFonts w:hint="eastAsia" w:ascii="仿宋_GB2312" w:hAnsi="仿宋_GB2312" w:eastAsia="仿宋_GB2312" w:cs="仿宋_GB2312"/>
          <w:color w:val="auto"/>
          <w:kern w:val="0"/>
          <w:sz w:val="32"/>
          <w:szCs w:val="32"/>
          <w:highlight w:val="none"/>
          <w:lang w:val="en-US" w:eastAsia="zh-CN"/>
        </w:rPr>
        <w:t>隐患，</w:t>
      </w:r>
      <w:r>
        <w:rPr>
          <w:rFonts w:hint="eastAsia" w:ascii="仿宋_GB2312" w:hAnsi="仿宋_GB2312" w:eastAsia="仿宋_GB2312" w:cs="仿宋_GB2312"/>
          <w:color w:val="auto"/>
          <w:kern w:val="0"/>
          <w:sz w:val="32"/>
          <w:szCs w:val="32"/>
          <w:highlight w:val="none"/>
        </w:rPr>
        <w:t>及时制止</w:t>
      </w:r>
      <w:r>
        <w:rPr>
          <w:rFonts w:hint="eastAsia" w:cs="仿宋_GB2312"/>
          <w:color w:val="auto"/>
          <w:kern w:val="0"/>
          <w:sz w:val="32"/>
          <w:szCs w:val="32"/>
          <w:highlight w:val="none"/>
          <w:lang w:val="en-US" w:eastAsia="zh-CN"/>
        </w:rPr>
        <w:t>作业</w:t>
      </w:r>
      <w:r>
        <w:rPr>
          <w:rFonts w:hint="eastAsia" w:ascii="仿宋_GB2312" w:hAnsi="仿宋_GB2312" w:eastAsia="仿宋_GB2312" w:cs="仿宋_GB2312"/>
          <w:color w:val="auto"/>
          <w:kern w:val="0"/>
          <w:sz w:val="32"/>
          <w:szCs w:val="32"/>
          <w:highlight w:val="none"/>
        </w:rPr>
        <w:t>人员的违法违规行为。</w:t>
      </w:r>
    </w:p>
    <w:p w14:paraId="54696C14">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rPr>
        <w:t>）保障安全生产经费的投入，严格落实各项安全生产措施，依法</w:t>
      </w:r>
      <w:r>
        <w:rPr>
          <w:rFonts w:hint="eastAsia" w:cs="仿宋_GB2312"/>
          <w:color w:val="auto"/>
          <w:kern w:val="0"/>
          <w:sz w:val="32"/>
          <w:szCs w:val="32"/>
          <w:highlight w:val="none"/>
          <w:lang w:val="en-US" w:eastAsia="zh-CN"/>
        </w:rPr>
        <w:t>依规</w:t>
      </w:r>
      <w:r>
        <w:rPr>
          <w:rFonts w:hint="eastAsia" w:ascii="仿宋_GB2312" w:hAnsi="仿宋_GB2312" w:eastAsia="仿宋_GB2312" w:cs="仿宋_GB2312"/>
          <w:color w:val="auto"/>
          <w:kern w:val="0"/>
          <w:sz w:val="32"/>
          <w:szCs w:val="32"/>
          <w:highlight w:val="none"/>
        </w:rPr>
        <w:t>为</w:t>
      </w:r>
      <w:r>
        <w:rPr>
          <w:rFonts w:hint="eastAsia" w:cs="仿宋_GB2312"/>
          <w:color w:val="auto"/>
          <w:kern w:val="0"/>
          <w:sz w:val="32"/>
          <w:szCs w:val="32"/>
          <w:highlight w:val="none"/>
          <w:lang w:val="en-US" w:eastAsia="zh-CN"/>
        </w:rPr>
        <w:t>作业及管理</w:t>
      </w:r>
      <w:r>
        <w:rPr>
          <w:rFonts w:hint="eastAsia" w:ascii="仿宋_GB2312" w:hAnsi="仿宋_GB2312" w:eastAsia="仿宋_GB2312" w:cs="仿宋_GB2312"/>
          <w:color w:val="auto"/>
          <w:kern w:val="0"/>
          <w:sz w:val="32"/>
          <w:szCs w:val="32"/>
          <w:highlight w:val="none"/>
        </w:rPr>
        <w:t>人员购买保险。</w:t>
      </w:r>
    </w:p>
    <w:p w14:paraId="0A084F24">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依法</w:t>
      </w:r>
      <w:r>
        <w:rPr>
          <w:rFonts w:hint="eastAsia" w:ascii="仿宋_GB2312" w:hAnsi="仿宋_GB2312" w:eastAsia="仿宋_GB2312" w:cs="仿宋_GB2312"/>
          <w:color w:val="auto"/>
          <w:kern w:val="0"/>
          <w:sz w:val="32"/>
          <w:szCs w:val="32"/>
          <w:highlight w:val="none"/>
        </w:rPr>
        <w:t>严格落实对地铁隧道、油气管线、电力管线、通信管线等影响公共安全的公共设施设备的安全保护措施</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涉及</w:t>
      </w:r>
      <w:r>
        <w:rPr>
          <w:rFonts w:hint="eastAsia" w:ascii="仿宋_GB2312" w:hAnsi="仿宋_GB2312" w:eastAsia="仿宋_GB2312" w:cs="仿宋_GB2312"/>
          <w:color w:val="auto"/>
          <w:kern w:val="0"/>
          <w:sz w:val="32"/>
          <w:szCs w:val="32"/>
          <w:highlight w:val="none"/>
          <w:lang w:eastAsia="zh-CN"/>
        </w:rPr>
        <w:t>动土</w:t>
      </w:r>
      <w:r>
        <w:rPr>
          <w:rFonts w:hint="eastAsia" w:ascii="仿宋_GB2312" w:hAnsi="仿宋_GB2312" w:eastAsia="仿宋_GB2312" w:cs="仿宋_GB2312"/>
          <w:color w:val="auto"/>
          <w:kern w:val="0"/>
          <w:sz w:val="32"/>
          <w:szCs w:val="32"/>
          <w:highlight w:val="none"/>
        </w:rPr>
        <w:t>作业的，应</w:t>
      </w:r>
      <w:r>
        <w:rPr>
          <w:rFonts w:hint="eastAsia" w:ascii="仿宋_GB2312" w:hAnsi="仿宋_GB2312" w:eastAsia="仿宋_GB2312" w:cs="仿宋_GB2312"/>
          <w:color w:val="auto"/>
          <w:kern w:val="0"/>
          <w:sz w:val="32"/>
          <w:szCs w:val="32"/>
          <w:highlight w:val="none"/>
          <w:lang w:eastAsia="zh-CN"/>
        </w:rPr>
        <w:t>根据查明的地下管线情况</w:t>
      </w:r>
      <w:r>
        <w:rPr>
          <w:rFonts w:hint="eastAsia" w:ascii="仿宋_GB2312" w:hAnsi="仿宋_GB2312" w:eastAsia="仿宋_GB2312" w:cs="仿宋_GB2312"/>
          <w:color w:val="auto"/>
          <w:kern w:val="0"/>
          <w:sz w:val="32"/>
          <w:szCs w:val="32"/>
          <w:highlight w:val="none"/>
        </w:rPr>
        <w:t>制定地下管线保护方案，落实保护措施</w:t>
      </w:r>
      <w:r>
        <w:rPr>
          <w:rFonts w:hint="eastAsia" w:cs="仿宋_GB2312"/>
          <w:color w:val="auto"/>
          <w:kern w:val="0"/>
          <w:sz w:val="32"/>
          <w:szCs w:val="32"/>
          <w:highlight w:val="none"/>
          <w:lang w:eastAsia="zh-CN"/>
        </w:rPr>
        <w:t>。</w:t>
      </w:r>
    </w:p>
    <w:p w14:paraId="23816A5F">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eastAsia="zh-CN"/>
        </w:rPr>
        <w:t>（</w:t>
      </w:r>
      <w:r>
        <w:rPr>
          <w:rFonts w:hint="eastAsia" w:cs="仿宋_GB2312"/>
          <w:color w:val="auto"/>
          <w:kern w:val="0"/>
          <w:sz w:val="32"/>
          <w:szCs w:val="32"/>
          <w:highlight w:val="none"/>
          <w:lang w:val="en-US" w:eastAsia="zh-CN"/>
        </w:rPr>
        <w:t>五）</w:t>
      </w:r>
      <w:r>
        <w:rPr>
          <w:rFonts w:hint="eastAsia" w:ascii="仿宋_GB2312" w:hAnsi="仿宋_GB2312" w:eastAsia="仿宋_GB2312" w:cs="仿宋_GB2312"/>
          <w:color w:val="auto"/>
          <w:kern w:val="0"/>
          <w:sz w:val="32"/>
          <w:szCs w:val="32"/>
          <w:highlight w:val="none"/>
          <w:lang w:val="en-US" w:eastAsia="zh-CN"/>
        </w:rPr>
        <w:t>涉及动火作业的，应</w:t>
      </w:r>
      <w:r>
        <w:rPr>
          <w:rFonts w:hint="eastAsia" w:cs="仿宋_GB2312"/>
          <w:color w:val="auto"/>
          <w:kern w:val="0"/>
          <w:sz w:val="32"/>
          <w:szCs w:val="32"/>
          <w:highlight w:val="none"/>
          <w:lang w:val="en-US" w:eastAsia="zh-CN"/>
        </w:rPr>
        <w:t>当</w:t>
      </w:r>
      <w:r>
        <w:rPr>
          <w:rFonts w:hint="default" w:ascii="仿宋_GB2312" w:hAnsi="仿宋_GB2312" w:eastAsia="仿宋_GB2312" w:cs="仿宋_GB2312"/>
          <w:color w:val="auto"/>
          <w:kern w:val="0"/>
          <w:sz w:val="32"/>
          <w:szCs w:val="32"/>
          <w:highlight w:val="none"/>
          <w:lang w:val="en-US" w:eastAsia="zh-CN"/>
        </w:rPr>
        <w:t>严格执行动火作业</w:t>
      </w:r>
      <w:r>
        <w:rPr>
          <w:rFonts w:hint="eastAsia" w:cs="仿宋_GB2312"/>
          <w:color w:val="auto"/>
          <w:kern w:val="0"/>
          <w:sz w:val="32"/>
          <w:szCs w:val="32"/>
          <w:highlight w:val="none"/>
          <w:lang w:val="en-US" w:eastAsia="zh-CN"/>
        </w:rPr>
        <w:t>内部</w:t>
      </w:r>
      <w:r>
        <w:rPr>
          <w:rFonts w:hint="default" w:ascii="仿宋_GB2312" w:hAnsi="仿宋_GB2312" w:eastAsia="仿宋_GB2312" w:cs="仿宋_GB2312"/>
          <w:color w:val="auto"/>
          <w:kern w:val="0"/>
          <w:sz w:val="32"/>
          <w:szCs w:val="32"/>
          <w:highlight w:val="none"/>
          <w:lang w:val="en-US" w:eastAsia="zh-CN"/>
        </w:rPr>
        <w:t>审批制度，确保“一次动火作业、一张动火作业</w:t>
      </w:r>
      <w:r>
        <w:rPr>
          <w:rFonts w:hint="eastAsia" w:cs="仿宋_GB2312"/>
          <w:color w:val="auto"/>
          <w:kern w:val="0"/>
          <w:sz w:val="32"/>
          <w:szCs w:val="32"/>
          <w:highlight w:val="none"/>
          <w:lang w:val="en-US" w:eastAsia="zh-CN"/>
        </w:rPr>
        <w:t>票</w:t>
      </w:r>
      <w:r>
        <w:rPr>
          <w:rFonts w:hint="default" w:ascii="仿宋_GB2312" w:hAnsi="仿宋_GB2312" w:eastAsia="仿宋_GB2312" w:cs="仿宋_GB2312"/>
          <w:color w:val="auto"/>
          <w:kern w:val="0"/>
          <w:sz w:val="32"/>
          <w:szCs w:val="32"/>
          <w:highlight w:val="none"/>
          <w:lang w:val="en-US" w:eastAsia="zh-CN"/>
        </w:rPr>
        <w:t>、一套安全技术措施”。动火作业</w:t>
      </w:r>
      <w:r>
        <w:rPr>
          <w:rFonts w:hint="eastAsia" w:cs="仿宋_GB2312"/>
          <w:color w:val="auto"/>
          <w:kern w:val="0"/>
          <w:sz w:val="32"/>
          <w:szCs w:val="32"/>
          <w:highlight w:val="none"/>
          <w:lang w:val="en-US" w:eastAsia="zh-CN"/>
        </w:rPr>
        <w:t>票</w:t>
      </w:r>
      <w:r>
        <w:rPr>
          <w:rFonts w:hint="default" w:ascii="仿宋_GB2312" w:hAnsi="仿宋_GB2312" w:eastAsia="仿宋_GB2312" w:cs="仿宋_GB2312"/>
          <w:color w:val="auto"/>
          <w:kern w:val="0"/>
          <w:sz w:val="32"/>
          <w:szCs w:val="32"/>
          <w:highlight w:val="none"/>
          <w:lang w:val="en-US" w:eastAsia="zh-CN"/>
        </w:rPr>
        <w:t>上必须明确动火作业风险和管控措施，</w:t>
      </w:r>
      <w:r>
        <w:rPr>
          <w:rFonts w:hint="eastAsia" w:ascii="仿宋_GB2312" w:hAnsi="仿宋_GB2312" w:eastAsia="仿宋_GB2312" w:cs="仿宋_GB2312"/>
          <w:color w:val="auto"/>
          <w:kern w:val="2"/>
          <w:sz w:val="32"/>
          <w:szCs w:val="32"/>
          <w:shd w:val="clear" w:color="auto" w:fill="auto"/>
          <w:lang w:val="en-US" w:eastAsia="zh-CN" w:bidi="ar-SA"/>
        </w:rPr>
        <w:t>经相关负责人审批同意后，方可实施。</w:t>
      </w:r>
      <w:r>
        <w:rPr>
          <w:rFonts w:hint="eastAsia" w:ascii="仿宋_GB2312" w:hAnsi="仿宋_GB2312" w:eastAsia="仿宋_GB2312" w:cs="仿宋_GB2312"/>
          <w:color w:val="auto"/>
          <w:kern w:val="0"/>
          <w:sz w:val="32"/>
          <w:szCs w:val="32"/>
          <w:highlight w:val="none"/>
          <w:lang w:val="en-US" w:eastAsia="zh-CN"/>
        </w:rPr>
        <w:t>在动火作业期间，严格落实防火分隔和可燃物清理、配备消防器材、设置警戒标识、保持通道畅通、避免交叉作业、专人全程监护等“六必须”要求，重点加强动火作业后隐患“清零”核查的闭环管理。</w:t>
      </w:r>
      <w:r>
        <w:rPr>
          <w:rFonts w:hint="eastAsia" w:cs="仿宋_GB2312"/>
          <w:color w:val="auto"/>
          <w:kern w:val="0"/>
          <w:sz w:val="32"/>
          <w:szCs w:val="32"/>
          <w:highlight w:val="none"/>
          <w:lang w:val="en-US" w:eastAsia="zh-CN"/>
        </w:rPr>
        <w:t>作业人员需取得特种作业操作证。</w:t>
      </w:r>
    </w:p>
    <w:p w14:paraId="6F5A8259">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32"/>
          <w:szCs w:val="32"/>
          <w:highlight w:val="none"/>
        </w:rPr>
        <w:t>（</w:t>
      </w:r>
      <w:r>
        <w:rPr>
          <w:rFonts w:hint="eastAsia" w:cs="仿宋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落实</w:t>
      </w:r>
      <w:r>
        <w:rPr>
          <w:rFonts w:hint="eastAsia" w:ascii="仿宋_GB2312" w:hAnsi="仿宋_GB2312" w:eastAsia="仿宋_GB2312" w:cs="仿宋_GB2312"/>
          <w:color w:val="auto"/>
          <w:kern w:val="0"/>
          <w:sz w:val="32"/>
          <w:szCs w:val="32"/>
          <w:highlight w:val="none"/>
        </w:rPr>
        <w:t>法律法规规定的其他</w:t>
      </w:r>
      <w:r>
        <w:rPr>
          <w:rFonts w:hint="eastAsia" w:ascii="仿宋_GB2312" w:hAnsi="仿宋_GB2312" w:eastAsia="仿宋_GB2312" w:cs="仿宋_GB2312"/>
          <w:color w:val="auto"/>
          <w:kern w:val="0"/>
          <w:sz w:val="32"/>
          <w:szCs w:val="32"/>
          <w:highlight w:val="none"/>
          <w:lang w:eastAsia="zh-CN"/>
        </w:rPr>
        <w:t>安全生产责任和</w:t>
      </w:r>
      <w:r>
        <w:rPr>
          <w:rFonts w:hint="eastAsia" w:ascii="仿宋_GB2312" w:hAnsi="仿宋_GB2312" w:eastAsia="仿宋_GB2312" w:cs="仿宋_GB2312"/>
          <w:color w:val="auto"/>
          <w:highlight w:val="none"/>
          <w:lang w:eastAsia="zh-CN"/>
        </w:rPr>
        <w:t>要求</w:t>
      </w:r>
      <w:r>
        <w:rPr>
          <w:rFonts w:hint="eastAsia" w:ascii="仿宋_GB2312" w:hAnsi="仿宋_GB2312" w:eastAsia="仿宋_GB2312" w:cs="仿宋_GB2312"/>
          <w:color w:val="auto"/>
          <w:highlight w:val="none"/>
        </w:rPr>
        <w:t>。</w:t>
      </w:r>
    </w:p>
    <w:p w14:paraId="67DC5634">
      <w:pPr>
        <w:pStyle w:val="16"/>
        <w:keepNext w:val="0"/>
        <w:keepLines w:val="0"/>
        <w:pageBreakBefore w:val="0"/>
        <w:widowControl w:val="0"/>
        <w:shd w:val="clear" w:color="auto" w:fill="auto"/>
        <w:kinsoku/>
        <w:wordWrap/>
        <w:overflowPunct/>
        <w:topLinePunct w:val="0"/>
        <w:autoSpaceDE/>
        <w:autoSpaceDN/>
        <w:bidi w:val="0"/>
        <w:spacing w:line="560" w:lineRule="exact"/>
        <w:ind w:firstLine="643" w:firstLineChars="200"/>
        <w:textAlignment w:val="auto"/>
        <w:outlineLvl w:val="1"/>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kern w:val="0"/>
          <w:sz w:val="32"/>
          <w:szCs w:val="32"/>
          <w:highlight w:val="none"/>
        </w:rPr>
        <w:t>第</w:t>
      </w:r>
      <w:r>
        <w:rPr>
          <w:rFonts w:hint="eastAsia" w:ascii="仿宋_GB2312" w:hAnsi="仿宋_GB2312" w:cs="仿宋_GB2312"/>
          <w:b/>
          <w:bCs/>
          <w:color w:val="auto"/>
          <w:kern w:val="0"/>
          <w:sz w:val="32"/>
          <w:szCs w:val="32"/>
          <w:highlight w:val="none"/>
          <w:lang w:val="en-US" w:eastAsia="zh-CN"/>
        </w:rPr>
        <w:t>九</w:t>
      </w:r>
      <w:r>
        <w:rPr>
          <w:rFonts w:hint="eastAsia" w:ascii="Times New Roman" w:hAnsi="Times New Roman" w:eastAsia="仿宋_GB2312"/>
          <w:b/>
          <w:bCs/>
          <w:color w:val="000000"/>
          <w:kern w:val="0"/>
          <w:sz w:val="32"/>
          <w:szCs w:val="32"/>
        </w:rPr>
        <w:t>条</w:t>
      </w:r>
      <w:r>
        <w:rPr>
          <w:rFonts w:hint="eastAsia" w:ascii="楷体_GB2312" w:hAnsi="楷体_GB2312" w:eastAsia="楷体_GB2312" w:cs="楷体_GB2312"/>
          <w:b/>
          <w:bCs/>
          <w:sz w:val="32"/>
          <w:szCs w:val="32"/>
        </w:rPr>
        <w:t xml:space="preserve">  </w:t>
      </w:r>
      <w:r>
        <w:rPr>
          <w:rFonts w:ascii="Times New Roman" w:hAnsi="Times New Roman" w:eastAsia="仿宋_GB2312"/>
          <w:color w:val="000000"/>
          <w:kern w:val="0"/>
          <w:sz w:val="32"/>
          <w:szCs w:val="32"/>
        </w:rPr>
        <w:t>建设</w:t>
      </w:r>
      <w:r>
        <w:rPr>
          <w:rFonts w:hint="eastAsia" w:ascii="Times New Roman" w:hAnsi="Times New Roman" w:eastAsia="仿宋_GB2312"/>
          <w:color w:val="000000"/>
          <w:kern w:val="0"/>
          <w:sz w:val="32"/>
          <w:szCs w:val="32"/>
        </w:rPr>
        <w:t>单位</w:t>
      </w:r>
      <w:r>
        <w:rPr>
          <w:rFonts w:ascii="Times New Roman" w:hAnsi="Times New Roman" w:eastAsia="仿宋_GB2312"/>
          <w:color w:val="000000"/>
          <w:kern w:val="0"/>
          <w:sz w:val="32"/>
          <w:szCs w:val="32"/>
        </w:rPr>
        <w:t>委托勘察、设计、监理等单位参与建设</w:t>
      </w:r>
      <w:r>
        <w:rPr>
          <w:rFonts w:hint="eastAsia" w:ascii="Times New Roman" w:hAnsi="Times New Roman" w:eastAsia="仿宋_GB2312"/>
          <w:color w:val="000000"/>
          <w:kern w:val="0"/>
          <w:sz w:val="32"/>
          <w:szCs w:val="32"/>
        </w:rPr>
        <w:t>的</w:t>
      </w:r>
      <w:r>
        <w:rPr>
          <w:rFonts w:ascii="Times New Roman" w:hAnsi="Times New Roman" w:eastAsia="仿宋_GB2312"/>
          <w:color w:val="000000"/>
          <w:kern w:val="0"/>
          <w:sz w:val="32"/>
          <w:szCs w:val="32"/>
        </w:rPr>
        <w:t>，相关参建单位应严格依法</w:t>
      </w:r>
      <w:r>
        <w:rPr>
          <w:rFonts w:hint="eastAsia" w:ascii="Times New Roman" w:hAnsi="Times New Roman" w:eastAsia="仿宋_GB2312"/>
          <w:color w:val="000000"/>
          <w:kern w:val="0"/>
          <w:sz w:val="32"/>
          <w:szCs w:val="32"/>
        </w:rPr>
        <w:t>依</w:t>
      </w:r>
      <w:r>
        <w:rPr>
          <w:rFonts w:ascii="Times New Roman" w:hAnsi="Times New Roman" w:eastAsia="仿宋_GB2312"/>
          <w:color w:val="000000"/>
          <w:kern w:val="0"/>
          <w:sz w:val="32"/>
          <w:szCs w:val="32"/>
        </w:rPr>
        <w:t>规以及</w:t>
      </w:r>
      <w:r>
        <w:rPr>
          <w:rFonts w:hint="eastAsia" w:ascii="Times New Roman" w:hAnsi="Times New Roman" w:eastAsia="仿宋_GB2312"/>
          <w:color w:val="000000"/>
          <w:kern w:val="0"/>
          <w:sz w:val="32"/>
          <w:szCs w:val="32"/>
        </w:rPr>
        <w:t>按照</w:t>
      </w:r>
      <w:r>
        <w:rPr>
          <w:rFonts w:ascii="Times New Roman" w:hAnsi="Times New Roman" w:eastAsia="仿宋_GB2312"/>
          <w:color w:val="000000"/>
          <w:kern w:val="0"/>
          <w:sz w:val="32"/>
          <w:szCs w:val="32"/>
        </w:rPr>
        <w:t>相关行业技术规范标准、委托合同等开展执业活动，</w:t>
      </w:r>
      <w:r>
        <w:rPr>
          <w:rFonts w:hint="eastAsia" w:ascii="仿宋_GB2312" w:hAnsi="仿宋_GB2312" w:eastAsia="仿宋_GB2312" w:cs="仿宋_GB2312"/>
          <w:sz w:val="32"/>
          <w:szCs w:val="32"/>
          <w:shd w:val="clear" w:color="auto" w:fill="FFFFFF"/>
        </w:rPr>
        <w:t>对相应执业活动行为承担安全责任。</w:t>
      </w:r>
    </w:p>
    <w:p w14:paraId="3D22E69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center"/>
        <w:textAlignment w:val="auto"/>
        <w:outlineLvl w:val="0"/>
        <w:rPr>
          <w:rFonts w:hint="eastAsia" w:ascii="黑体" w:hAnsi="黑体" w:eastAsia="黑体" w:cs="Times New Roman"/>
          <w:color w:val="auto"/>
          <w:sz w:val="32"/>
          <w:szCs w:val="32"/>
          <w:highlight w:val="none"/>
        </w:rPr>
      </w:pPr>
    </w:p>
    <w:p w14:paraId="4733EE7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center"/>
        <w:textAlignment w:val="auto"/>
        <w:outlineLvl w:val="0"/>
        <w:rPr>
          <w:rFonts w:hint="default"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第</w:t>
      </w:r>
      <w:r>
        <w:rPr>
          <w:rFonts w:hint="eastAsia" w:ascii="黑体" w:hAnsi="黑体" w:eastAsia="黑体" w:cs="Times New Roman"/>
          <w:color w:val="auto"/>
          <w:sz w:val="32"/>
          <w:szCs w:val="32"/>
          <w:highlight w:val="none"/>
          <w:lang w:val="en-US" w:eastAsia="zh-CN"/>
        </w:rPr>
        <w:t>三</w:t>
      </w:r>
      <w:r>
        <w:rPr>
          <w:rFonts w:hint="eastAsia" w:ascii="黑体" w:hAnsi="黑体" w:eastAsia="黑体" w:cs="Times New Roman"/>
          <w:color w:val="auto"/>
          <w:sz w:val="32"/>
          <w:szCs w:val="32"/>
          <w:highlight w:val="none"/>
        </w:rPr>
        <w:t xml:space="preserve">章 </w:t>
      </w:r>
      <w:r>
        <w:rPr>
          <w:rFonts w:hint="eastAsia" w:ascii="黑体" w:hAnsi="黑体" w:eastAsia="黑体" w:cs="Times New Roman"/>
          <w:color w:val="auto"/>
          <w:sz w:val="32"/>
          <w:szCs w:val="32"/>
          <w:highlight w:val="none"/>
          <w:lang w:val="en-US" w:eastAsia="zh-CN"/>
        </w:rPr>
        <w:t>职责分工</w:t>
      </w:r>
    </w:p>
    <w:p w14:paraId="5F6CA526">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outlineLvl w:val="1"/>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第</w:t>
      </w:r>
      <w:r>
        <w:rPr>
          <w:rFonts w:hint="eastAsia" w:cs="仿宋_GB2312"/>
          <w:b/>
          <w:bCs/>
          <w:color w:val="auto"/>
          <w:highlight w:val="none"/>
          <w:lang w:val="en-US" w:eastAsia="zh-CN"/>
        </w:rPr>
        <w:t>十</w:t>
      </w:r>
      <w:r>
        <w:rPr>
          <w:rFonts w:hint="eastAsia" w:ascii="仿宋_GB2312" w:hAnsi="仿宋_GB2312" w:eastAsia="仿宋_GB2312" w:cs="仿宋_GB2312"/>
          <w:b/>
          <w:bCs/>
          <w:color w:val="auto"/>
          <w:highlight w:val="none"/>
          <w:lang w:val="en-US" w:eastAsia="zh-CN"/>
        </w:rPr>
        <w:t>条</w:t>
      </w:r>
      <w:r>
        <w:rPr>
          <w:rFonts w:hint="eastAsia" w:ascii="仿宋_GB2312" w:hAnsi="仿宋_GB2312" w:eastAsia="仿宋_GB2312" w:cs="仿宋_GB2312"/>
          <w:color w:val="auto"/>
          <w:highlight w:val="none"/>
          <w:lang w:val="en-US" w:eastAsia="zh-CN"/>
        </w:rPr>
        <w:t xml:space="preserve"> </w:t>
      </w:r>
      <w:r>
        <w:rPr>
          <w:rFonts w:hint="eastAsia" w:cs="仿宋_GB2312"/>
          <w:color w:val="auto"/>
          <w:highlight w:val="none"/>
          <w:lang w:val="en-US" w:eastAsia="zh-CN"/>
        </w:rPr>
        <w:t>各级负有</w:t>
      </w:r>
      <w:r>
        <w:rPr>
          <w:rFonts w:hint="eastAsia" w:ascii="仿宋_GB2312" w:hAnsi="仿宋_GB2312" w:eastAsia="仿宋_GB2312" w:cs="仿宋_GB2312"/>
          <w:color w:val="auto"/>
          <w:highlight w:val="none"/>
        </w:rPr>
        <w:t>建设工程</w:t>
      </w:r>
      <w:r>
        <w:rPr>
          <w:rFonts w:hint="eastAsia" w:cs="仿宋_GB2312"/>
          <w:color w:val="auto"/>
          <w:highlight w:val="none"/>
          <w:lang w:val="en-US" w:eastAsia="zh-CN"/>
        </w:rPr>
        <w:t>安全生产监管职责的部门</w:t>
      </w:r>
      <w:r>
        <w:rPr>
          <w:rFonts w:hint="eastAsia" w:ascii="仿宋_GB2312" w:hAnsi="仿宋_GB2312" w:eastAsia="仿宋_GB2312" w:cs="仿宋_GB2312"/>
          <w:color w:val="auto"/>
          <w:highlight w:val="none"/>
        </w:rPr>
        <w:t>（以下统称建设工程主管部门）</w:t>
      </w:r>
      <w:r>
        <w:rPr>
          <w:rFonts w:hint="eastAsia" w:cs="仿宋_GB2312"/>
          <w:color w:val="auto"/>
          <w:highlight w:val="none"/>
          <w:lang w:val="en-US" w:eastAsia="zh-CN"/>
        </w:rPr>
        <w:t>，依法依规承担职责范围内的</w:t>
      </w:r>
      <w:r>
        <w:rPr>
          <w:rFonts w:hint="eastAsia" w:ascii="仿宋_GB2312" w:hAnsi="仿宋_GB2312" w:eastAsia="仿宋_GB2312" w:cs="仿宋_GB2312"/>
          <w:color w:val="auto"/>
          <w:highlight w:val="none"/>
        </w:rPr>
        <w:t>限额以下小型工程安全生产的</w:t>
      </w:r>
      <w:r>
        <w:rPr>
          <w:rFonts w:hint="eastAsia" w:cs="仿宋_GB2312"/>
          <w:color w:val="auto"/>
          <w:highlight w:val="none"/>
          <w:lang w:eastAsia="zh-CN"/>
        </w:rPr>
        <w:t>监督管理职责。</w:t>
      </w:r>
    </w:p>
    <w:p w14:paraId="38E0E04A">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cs="仿宋_GB2312"/>
          <w:color w:val="auto"/>
          <w:highlight w:val="none"/>
          <w:lang w:val="en-US" w:eastAsia="zh-CN"/>
        </w:rPr>
      </w:pPr>
      <w:r>
        <w:rPr>
          <w:rFonts w:hint="eastAsia" w:cs="仿宋_GB2312"/>
          <w:color w:val="auto"/>
          <w:highlight w:val="none"/>
          <w:lang w:val="en-US" w:eastAsia="zh-CN"/>
        </w:rPr>
        <w:t>（一）住房城乡建设部门负责房屋建筑和市政基础设施工程的</w:t>
      </w:r>
      <w:r>
        <w:rPr>
          <w:rFonts w:hint="eastAsia" w:ascii="仿宋_GB2312" w:hAnsi="仿宋_GB2312" w:eastAsia="仿宋_GB2312" w:cs="仿宋_GB2312"/>
          <w:color w:val="auto"/>
          <w:highlight w:val="none"/>
        </w:rPr>
        <w:t>限额以下小型工程安全生产的监督管理工作</w:t>
      </w:r>
      <w:r>
        <w:rPr>
          <w:rFonts w:hint="eastAsia" w:cs="仿宋_GB2312"/>
          <w:color w:val="auto"/>
          <w:highlight w:val="none"/>
          <w:lang w:eastAsia="zh-CN"/>
        </w:rPr>
        <w:t>。</w:t>
      </w:r>
    </w:p>
    <w:p w14:paraId="4B2080E4">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cs="仿宋_GB2312"/>
          <w:color w:val="auto"/>
          <w:highlight w:val="none"/>
          <w:lang w:eastAsia="zh-CN"/>
        </w:rPr>
      </w:pPr>
      <w:r>
        <w:rPr>
          <w:rFonts w:hint="eastAsia" w:cs="仿宋_GB2312"/>
          <w:color w:val="auto"/>
          <w:highlight w:val="none"/>
          <w:lang w:val="en-US" w:eastAsia="zh-CN"/>
        </w:rPr>
        <w:t>（二）铁路、交通运输、水利、民航、能源、通信等部门负责本行业领域专业建设工程的</w:t>
      </w:r>
      <w:r>
        <w:rPr>
          <w:rFonts w:hint="eastAsia" w:ascii="仿宋_GB2312" w:hAnsi="仿宋_GB2312" w:eastAsia="仿宋_GB2312" w:cs="仿宋_GB2312"/>
          <w:color w:val="auto"/>
          <w:highlight w:val="none"/>
        </w:rPr>
        <w:t>限额以下小型工程安全生产的监督管理工作</w:t>
      </w:r>
      <w:r>
        <w:rPr>
          <w:rFonts w:hint="eastAsia" w:cs="仿宋_GB2312"/>
          <w:color w:val="auto"/>
          <w:highlight w:val="none"/>
          <w:lang w:eastAsia="zh-CN"/>
        </w:rPr>
        <w:t>。</w:t>
      </w:r>
    </w:p>
    <w:p w14:paraId="1B269EE4">
      <w:pPr>
        <w:pStyle w:val="16"/>
        <w:keepNext w:val="0"/>
        <w:keepLines w:val="0"/>
        <w:pageBreakBefore w:val="0"/>
        <w:widowControl w:val="0"/>
        <w:shd w:val="clear" w:color="auto" w:fill="auto"/>
        <w:kinsoku/>
        <w:wordWrap/>
        <w:overflowPunct/>
        <w:topLinePunct w:val="0"/>
        <w:autoSpaceDE/>
        <w:autoSpaceDN/>
        <w:bidi w:val="0"/>
        <w:spacing w:line="560" w:lineRule="exact"/>
        <w:ind w:firstLine="640"/>
        <w:textAlignment w:val="auto"/>
        <w:rPr>
          <w:rFonts w:hint="eastAsia" w:cs="仿宋_GB2312"/>
          <w:color w:val="auto"/>
          <w:highlight w:val="none"/>
          <w:lang w:eastAsia="zh-CN"/>
        </w:rPr>
      </w:pPr>
      <w:r>
        <w:rPr>
          <w:rFonts w:hint="eastAsia" w:cs="仿宋_GB2312"/>
          <w:color w:val="auto"/>
          <w:highlight w:val="none"/>
          <w:lang w:eastAsia="zh-CN"/>
        </w:rPr>
        <w:t>（三）文物部门负责依法核定作为文物保护的纪念建筑物和古建筑等</w:t>
      </w:r>
      <w:r>
        <w:rPr>
          <w:rFonts w:hint="eastAsia" w:cs="仿宋_GB2312"/>
          <w:color w:val="auto"/>
          <w:highlight w:val="none"/>
          <w:lang w:val="en-US" w:eastAsia="zh-CN"/>
        </w:rPr>
        <w:t>限额以下小型</w:t>
      </w:r>
      <w:r>
        <w:rPr>
          <w:rFonts w:hint="eastAsia" w:cs="仿宋_GB2312"/>
          <w:color w:val="auto"/>
          <w:highlight w:val="none"/>
          <w:lang w:eastAsia="zh-CN"/>
        </w:rPr>
        <w:t>修缮工程安全生产的监督管理工作。</w:t>
      </w:r>
    </w:p>
    <w:p w14:paraId="1564FDE1">
      <w:pPr>
        <w:pStyle w:val="16"/>
        <w:keepNext w:val="0"/>
        <w:keepLines w:val="0"/>
        <w:pageBreakBefore w:val="0"/>
        <w:widowControl w:val="0"/>
        <w:shd w:val="clear" w:color="auto" w:fill="auto"/>
        <w:kinsoku/>
        <w:wordWrap/>
        <w:overflowPunct/>
        <w:topLinePunct w:val="0"/>
        <w:autoSpaceDE/>
        <w:autoSpaceDN/>
        <w:bidi w:val="0"/>
        <w:spacing w:line="560" w:lineRule="exact"/>
        <w:ind w:firstLine="640"/>
        <w:textAlignment w:val="auto"/>
        <w:rPr>
          <w:rFonts w:hint="eastAsia" w:cs="仿宋_GB2312"/>
          <w:color w:val="auto"/>
          <w:highlight w:val="none"/>
          <w:lang w:eastAsia="zh-CN"/>
        </w:rPr>
      </w:pPr>
      <w:r>
        <w:rPr>
          <w:rFonts w:hint="eastAsia" w:cs="仿宋_GB2312"/>
          <w:color w:val="auto"/>
          <w:highlight w:val="none"/>
          <w:lang w:eastAsia="zh-CN"/>
        </w:rPr>
        <w:t>（四）市场监督管理部门负责</w:t>
      </w:r>
      <w:r>
        <w:rPr>
          <w:rFonts w:hint="eastAsia" w:ascii="仿宋_GB2312" w:hAnsi="仿宋_GB2312" w:eastAsia="仿宋_GB2312" w:cs="仿宋_GB2312"/>
          <w:color w:val="auto"/>
          <w:highlight w:val="none"/>
        </w:rPr>
        <w:t>限额以下小型</w:t>
      </w:r>
      <w:r>
        <w:rPr>
          <w:rFonts w:hint="eastAsia" w:cs="仿宋_GB2312"/>
          <w:color w:val="auto"/>
          <w:highlight w:val="none"/>
          <w:lang w:eastAsia="zh-CN"/>
        </w:rPr>
        <w:t>建设工程安装的特种设备安全生产的监督管理工作。</w:t>
      </w:r>
    </w:p>
    <w:p w14:paraId="597416B7">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第</w:t>
      </w:r>
      <w:r>
        <w:rPr>
          <w:rFonts w:hint="eastAsia" w:cs="仿宋_GB2312"/>
          <w:b/>
          <w:bCs/>
          <w:color w:val="auto"/>
          <w:highlight w:val="none"/>
          <w:lang w:val="en-US" w:eastAsia="zh-CN"/>
        </w:rPr>
        <w:t>十一</w:t>
      </w:r>
      <w:r>
        <w:rPr>
          <w:rFonts w:hint="eastAsia" w:ascii="仿宋_GB2312" w:hAnsi="仿宋_GB2312" w:eastAsia="仿宋_GB2312" w:cs="仿宋_GB2312"/>
          <w:b/>
          <w:bCs/>
          <w:color w:val="auto"/>
          <w:highlight w:val="none"/>
          <w:lang w:val="en-US" w:eastAsia="zh-CN"/>
        </w:rPr>
        <w:t>条</w:t>
      </w:r>
      <w:r>
        <w:rPr>
          <w:rFonts w:hint="eastAsia" w:cs="仿宋_GB2312"/>
          <w:b/>
          <w:bCs/>
          <w:color w:val="auto"/>
          <w:highlight w:val="none"/>
          <w:lang w:val="en-US" w:eastAsia="zh-CN"/>
        </w:rPr>
        <w:t xml:space="preserve"> </w:t>
      </w:r>
      <w:r>
        <w:rPr>
          <w:rFonts w:hint="eastAsia" w:cs="仿宋_GB2312"/>
          <w:color w:val="auto"/>
          <w:highlight w:val="none"/>
          <w:lang w:val="en-US" w:eastAsia="zh-CN"/>
        </w:rPr>
        <w:t>各级</w:t>
      </w:r>
      <w:r>
        <w:rPr>
          <w:rFonts w:hint="eastAsia" w:ascii="仿宋_GB2312" w:hAnsi="仿宋_GB2312" w:eastAsia="仿宋_GB2312" w:cs="仿宋_GB2312"/>
          <w:color w:val="auto"/>
          <w:highlight w:val="none"/>
        </w:rPr>
        <w:t>应急管理</w:t>
      </w:r>
      <w:r>
        <w:rPr>
          <w:rFonts w:hint="eastAsia" w:cs="仿宋_GB2312"/>
          <w:color w:val="auto"/>
          <w:highlight w:val="none"/>
          <w:lang w:eastAsia="zh-CN"/>
        </w:rPr>
        <w:t>部门</w:t>
      </w:r>
      <w:r>
        <w:rPr>
          <w:rFonts w:hint="eastAsia" w:ascii="仿宋_GB2312" w:hAnsi="仿宋_GB2312" w:eastAsia="仿宋_GB2312" w:cs="仿宋_GB2312"/>
          <w:color w:val="auto"/>
          <w:highlight w:val="none"/>
        </w:rPr>
        <w:t>统筹</w:t>
      </w:r>
      <w:r>
        <w:rPr>
          <w:rFonts w:hint="eastAsia" w:cs="仿宋_GB2312"/>
          <w:color w:val="auto"/>
          <w:highlight w:val="none"/>
          <w:lang w:val="en-US" w:eastAsia="zh-CN"/>
        </w:rPr>
        <w:t>辖区内</w:t>
      </w:r>
      <w:r>
        <w:rPr>
          <w:rFonts w:hint="eastAsia" w:ascii="仿宋_GB2312" w:hAnsi="仿宋_GB2312" w:eastAsia="仿宋_GB2312" w:cs="仿宋_GB2312"/>
          <w:color w:val="auto"/>
          <w:highlight w:val="none"/>
        </w:rPr>
        <w:t>零星作业安全纳管工作，各负有安全监管职责的部门，按照各自职责分工，负责协调指导相关零星作业安全生产违法行为的查处工作。</w:t>
      </w:r>
    </w:p>
    <w:p w14:paraId="7D55A654">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outlineLvl w:val="1"/>
        <w:rPr>
          <w:rFonts w:hint="default" w:ascii="仿宋_GB2312" w:hAnsi="仿宋_GB2312" w:eastAsia="仿宋_GB2312" w:cs="仿宋_GB2312"/>
          <w:color w:val="auto"/>
          <w:highlight w:val="none"/>
          <w:lang w:val="en-US"/>
        </w:rPr>
      </w:pPr>
      <w:r>
        <w:rPr>
          <w:rFonts w:hint="eastAsia" w:ascii="仿宋_GB2312" w:hAnsi="仿宋_GB2312" w:eastAsia="仿宋_GB2312" w:cs="仿宋_GB2312"/>
          <w:b/>
          <w:bCs/>
          <w:color w:val="auto"/>
          <w:highlight w:val="none"/>
          <w:lang w:val="en-US" w:eastAsia="zh-CN"/>
        </w:rPr>
        <w:t>第</w:t>
      </w:r>
      <w:r>
        <w:rPr>
          <w:rFonts w:hint="eastAsia" w:cs="仿宋_GB2312"/>
          <w:b/>
          <w:bCs/>
          <w:color w:val="auto"/>
          <w:highlight w:val="none"/>
          <w:lang w:val="en-US" w:eastAsia="zh-CN"/>
        </w:rPr>
        <w:t>十二</w:t>
      </w:r>
      <w:r>
        <w:rPr>
          <w:rFonts w:hint="eastAsia" w:ascii="仿宋_GB2312" w:hAnsi="仿宋_GB2312" w:eastAsia="仿宋_GB2312" w:cs="仿宋_GB2312"/>
          <w:b/>
          <w:bCs/>
          <w:color w:val="auto"/>
          <w:highlight w:val="none"/>
          <w:lang w:val="en-US" w:eastAsia="zh-CN"/>
        </w:rPr>
        <w:t>条</w:t>
      </w:r>
      <w:r>
        <w:rPr>
          <w:rFonts w:hint="eastAsia" w:cs="仿宋_GB2312"/>
          <w:b/>
          <w:bCs/>
          <w:color w:val="auto"/>
          <w:highlight w:val="none"/>
          <w:lang w:val="en-US" w:eastAsia="zh-CN"/>
        </w:rPr>
        <w:t xml:space="preserve"> </w:t>
      </w:r>
      <w:r>
        <w:rPr>
          <w:rFonts w:hint="eastAsia" w:cs="仿宋_GB2312"/>
          <w:color w:val="auto"/>
          <w:highlight w:val="none"/>
          <w:lang w:eastAsia="zh-CN"/>
        </w:rPr>
        <w:t>各级</w:t>
      </w:r>
      <w:r>
        <w:rPr>
          <w:rFonts w:hint="eastAsia" w:ascii="仿宋_GB2312" w:hAnsi="仿宋_GB2312" w:eastAsia="仿宋_GB2312" w:cs="仿宋_GB2312"/>
          <w:color w:val="auto"/>
          <w:highlight w:val="none"/>
        </w:rPr>
        <w:t>卫生健康、教育、文</w:t>
      </w:r>
      <w:r>
        <w:rPr>
          <w:rFonts w:hint="eastAsia" w:cs="仿宋_GB2312"/>
          <w:color w:val="auto"/>
          <w:highlight w:val="none"/>
          <w:lang w:eastAsia="zh-CN"/>
        </w:rPr>
        <w:t>化</w:t>
      </w:r>
      <w:r>
        <w:rPr>
          <w:rFonts w:hint="eastAsia" w:ascii="仿宋_GB2312" w:hAnsi="仿宋_GB2312" w:eastAsia="仿宋_GB2312" w:cs="仿宋_GB2312"/>
          <w:color w:val="auto"/>
          <w:highlight w:val="none"/>
        </w:rPr>
        <w:t>旅游、</w:t>
      </w:r>
      <w:r>
        <w:rPr>
          <w:rFonts w:hint="eastAsia" w:cs="仿宋_GB2312"/>
          <w:color w:val="auto"/>
          <w:highlight w:val="none"/>
          <w:lang w:eastAsia="zh-CN"/>
        </w:rPr>
        <w:t>体育、</w:t>
      </w:r>
      <w:r>
        <w:rPr>
          <w:rFonts w:hint="eastAsia" w:ascii="仿宋_GB2312" w:hAnsi="仿宋_GB2312" w:eastAsia="仿宋_GB2312" w:cs="仿宋_GB2312"/>
          <w:color w:val="auto"/>
          <w:highlight w:val="none"/>
        </w:rPr>
        <w:t>国资及其他行业主管部门，以及政府公共物业管理部门，应根据“管行业必须管安全、管业务必须管安全、管生产经营必须管安全”的要求，</w:t>
      </w:r>
      <w:r>
        <w:rPr>
          <w:rFonts w:hint="eastAsia" w:cs="仿宋_GB2312"/>
          <w:color w:val="auto"/>
          <w:highlight w:val="none"/>
          <w:lang w:val="en-US" w:eastAsia="zh-CN"/>
        </w:rPr>
        <w:t>按照</w:t>
      </w:r>
      <w:r>
        <w:rPr>
          <w:rFonts w:hint="eastAsia" w:ascii="仿宋_GB2312" w:hAnsi="仿宋_GB2312" w:eastAsia="仿宋_GB2312" w:cs="仿宋_GB2312"/>
          <w:color w:val="auto"/>
          <w:highlight w:val="none"/>
        </w:rPr>
        <w:t>各自职责分工，负责协调指导各自行业领域</w:t>
      </w:r>
      <w:r>
        <w:rPr>
          <w:rFonts w:hint="eastAsia" w:cs="仿宋_GB2312"/>
          <w:color w:val="auto"/>
          <w:highlight w:val="none"/>
          <w:lang w:eastAsia="zh-CN"/>
        </w:rPr>
        <w:t>拥有产权或者为从事相关行业领域生产经营活动而实施</w:t>
      </w:r>
      <w:r>
        <w:rPr>
          <w:rFonts w:hint="eastAsia" w:ascii="仿宋_GB2312" w:hAnsi="仿宋_GB2312" w:eastAsia="仿宋_GB2312" w:cs="仿宋_GB2312"/>
          <w:color w:val="auto"/>
          <w:highlight w:val="none"/>
        </w:rPr>
        <w:t>的限额以下小型工程和零星作业安全生产监督管理工作，指导督促相关单位加强安全管理</w:t>
      </w:r>
      <w:r>
        <w:rPr>
          <w:rFonts w:hint="eastAsia" w:cs="仿宋_GB2312"/>
          <w:color w:val="auto"/>
          <w:highlight w:val="none"/>
          <w:lang w:eastAsia="zh-CN"/>
        </w:rPr>
        <w:t>，</w:t>
      </w:r>
      <w:r>
        <w:rPr>
          <w:rFonts w:hint="eastAsia" w:cs="仿宋_GB2312"/>
          <w:color w:val="auto"/>
          <w:highlight w:val="none"/>
          <w:lang w:val="en-US" w:eastAsia="zh-CN"/>
        </w:rPr>
        <w:t>落实办理</w:t>
      </w:r>
      <w:r>
        <w:rPr>
          <w:rFonts w:hint="eastAsia" w:ascii="仿宋_GB2312" w:hAnsi="仿宋_GB2312" w:eastAsia="仿宋_GB2312" w:cs="仿宋_GB2312"/>
          <w:color w:val="auto"/>
          <w:highlight w:val="none"/>
          <w:lang w:val="en-US" w:eastAsia="zh-CN"/>
        </w:rPr>
        <w:t>安全生产</w:t>
      </w:r>
      <w:r>
        <w:rPr>
          <w:rFonts w:hint="eastAsia" w:cs="仿宋_GB2312"/>
          <w:color w:val="auto"/>
          <w:highlight w:val="none"/>
          <w:lang w:val="en-US" w:eastAsia="zh-CN"/>
        </w:rPr>
        <w:t>备案</w:t>
      </w:r>
      <w:r>
        <w:rPr>
          <w:rFonts w:hint="eastAsia" w:ascii="仿宋_GB2312" w:hAnsi="仿宋_GB2312" w:eastAsia="仿宋_GB2312" w:cs="仿宋_GB2312"/>
          <w:color w:val="auto"/>
          <w:highlight w:val="none"/>
          <w:lang w:val="en-US" w:eastAsia="zh-CN"/>
        </w:rPr>
        <w:t>登记</w:t>
      </w:r>
      <w:r>
        <w:rPr>
          <w:rFonts w:hint="eastAsia" w:cs="仿宋_GB2312"/>
          <w:color w:val="auto"/>
          <w:highlight w:val="none"/>
          <w:lang w:val="en-US" w:eastAsia="zh-CN"/>
        </w:rPr>
        <w:t>工作。</w:t>
      </w:r>
    </w:p>
    <w:p w14:paraId="420982BA">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国家机关、事业单位</w:t>
      </w:r>
      <w:r>
        <w:rPr>
          <w:rFonts w:hint="eastAsia" w:cs="仿宋_GB2312"/>
          <w:color w:val="auto"/>
          <w:highlight w:val="none"/>
          <w:lang w:val="en-US" w:eastAsia="zh-CN"/>
        </w:rPr>
        <w:t>及地铁、水务、电力、油气、燃气、通信等专营单位</w:t>
      </w:r>
      <w:r>
        <w:rPr>
          <w:rFonts w:hint="eastAsia" w:ascii="仿宋_GB2312" w:hAnsi="仿宋_GB2312" w:eastAsia="仿宋_GB2312" w:cs="仿宋_GB2312"/>
          <w:color w:val="auto"/>
          <w:highlight w:val="none"/>
        </w:rPr>
        <w:t>作为建设单位</w:t>
      </w:r>
      <w:r>
        <w:rPr>
          <w:rFonts w:hint="eastAsia" w:cs="仿宋_GB2312"/>
          <w:color w:val="auto"/>
          <w:highlight w:val="none"/>
          <w:lang w:eastAsia="zh-CN"/>
        </w:rPr>
        <w:t>或者</w:t>
      </w:r>
      <w:r>
        <w:rPr>
          <w:rFonts w:hint="eastAsia" w:ascii="仿宋_GB2312" w:hAnsi="仿宋_GB2312" w:eastAsia="仿宋_GB2312" w:cs="仿宋_GB2312"/>
          <w:color w:val="auto"/>
          <w:highlight w:val="none"/>
        </w:rPr>
        <w:t>业主组织实施限额以下小型工程</w:t>
      </w:r>
      <w:r>
        <w:rPr>
          <w:rFonts w:hint="eastAsia" w:cs="仿宋_GB2312"/>
          <w:color w:val="auto"/>
          <w:highlight w:val="none"/>
          <w:lang w:eastAsia="zh-CN"/>
        </w:rPr>
        <w:t>或者</w:t>
      </w:r>
      <w:r>
        <w:rPr>
          <w:rFonts w:hint="eastAsia" w:ascii="仿宋_GB2312" w:hAnsi="仿宋_GB2312" w:eastAsia="仿宋_GB2312" w:cs="仿宋_GB2312"/>
          <w:color w:val="auto"/>
          <w:highlight w:val="none"/>
        </w:rPr>
        <w:t>零星作业，应</w:t>
      </w:r>
      <w:r>
        <w:rPr>
          <w:rFonts w:hint="eastAsia" w:cs="仿宋_GB2312"/>
          <w:color w:val="auto"/>
          <w:highlight w:val="none"/>
          <w:lang w:eastAsia="zh-CN"/>
        </w:rPr>
        <w:t>当</w:t>
      </w:r>
      <w:r>
        <w:rPr>
          <w:rFonts w:hint="eastAsia" w:ascii="仿宋_GB2312" w:hAnsi="仿宋_GB2312" w:eastAsia="仿宋_GB2312" w:cs="仿宋_GB2312"/>
          <w:color w:val="auto"/>
          <w:highlight w:val="none"/>
        </w:rPr>
        <w:t>依法履行建设单位</w:t>
      </w:r>
      <w:r>
        <w:rPr>
          <w:rFonts w:hint="eastAsia" w:cs="仿宋_GB2312"/>
          <w:color w:val="auto"/>
          <w:highlight w:val="none"/>
          <w:lang w:eastAsia="zh-CN"/>
        </w:rPr>
        <w:t>或者</w:t>
      </w:r>
      <w:r>
        <w:rPr>
          <w:rFonts w:hint="eastAsia" w:ascii="仿宋_GB2312" w:hAnsi="仿宋_GB2312" w:eastAsia="仿宋_GB2312" w:cs="仿宋_GB2312"/>
          <w:color w:val="auto"/>
          <w:highlight w:val="none"/>
        </w:rPr>
        <w:t>业主的安全生产责任</w:t>
      </w:r>
      <w:r>
        <w:rPr>
          <w:rFonts w:hint="eastAsia" w:cs="仿宋_GB2312"/>
          <w:color w:val="auto"/>
          <w:highlight w:val="none"/>
          <w:lang w:eastAsia="zh-CN"/>
        </w:rPr>
        <w:t>。</w:t>
      </w:r>
    </w:p>
    <w:p w14:paraId="6E12AAEC">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cs="仿宋_GB2312"/>
          <w:color w:val="auto"/>
          <w:highlight w:val="none"/>
          <w:lang w:val="en-US" w:eastAsia="zh-CN"/>
        </w:rPr>
      </w:pPr>
      <w:r>
        <w:rPr>
          <w:rFonts w:hint="eastAsia" w:cs="仿宋_GB2312"/>
          <w:color w:val="auto"/>
          <w:highlight w:val="none"/>
          <w:lang w:val="en-US" w:eastAsia="zh-CN"/>
        </w:rPr>
        <w:t>公安监管场所、监狱、机场、码头、口岸、轨道交通运营管理区域、长途汽车站以及其他依法实施封闭式管理的场所内实施的限额以下小型工程或者零星作业由其管理单位</w:t>
      </w:r>
      <w:r>
        <w:rPr>
          <w:rFonts w:hint="eastAsia"/>
          <w:color w:val="auto"/>
          <w:highlight w:val="none"/>
        </w:rPr>
        <w:t>依法</w:t>
      </w:r>
      <w:r>
        <w:rPr>
          <w:rFonts w:hint="eastAsia" w:cs="仿宋_GB2312"/>
          <w:color w:val="auto"/>
          <w:highlight w:val="none"/>
          <w:lang w:val="en-US" w:eastAsia="zh-CN"/>
        </w:rPr>
        <w:t>自行履行安全生产统一协调、管理职责。</w:t>
      </w:r>
    </w:p>
    <w:p w14:paraId="01EDFE8A">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outlineLvl w:val="1"/>
        <w:rPr>
          <w:rFonts w:hint="eastAsia" w:cs="仿宋_GB2312"/>
          <w:color w:val="auto"/>
          <w:highlight w:val="none"/>
          <w:lang w:val="en-US" w:eastAsia="zh-CN"/>
        </w:rPr>
      </w:pPr>
      <w:r>
        <w:rPr>
          <w:rFonts w:hint="eastAsia" w:cs="仿宋_GB2312"/>
          <w:b/>
          <w:bCs/>
          <w:color w:val="auto"/>
          <w:highlight w:val="none"/>
          <w:lang w:val="en-US" w:eastAsia="zh-CN"/>
        </w:rPr>
        <w:t>第十三条</w:t>
      </w:r>
      <w:r>
        <w:rPr>
          <w:rFonts w:hint="eastAsia" w:cs="仿宋_GB2312"/>
          <w:color w:val="auto"/>
          <w:highlight w:val="none"/>
          <w:lang w:val="en-US" w:eastAsia="zh-CN"/>
        </w:rPr>
        <w:t xml:space="preserve"> 各地级以上市人民政府履行以下职责：</w:t>
      </w:r>
    </w:p>
    <w:p w14:paraId="7C6032D1">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cs="仿宋_GB2312"/>
          <w:color w:val="auto"/>
          <w:highlight w:val="none"/>
          <w:lang w:val="en-US" w:eastAsia="zh-CN"/>
        </w:rPr>
      </w:pPr>
      <w:r>
        <w:rPr>
          <w:rFonts w:hint="eastAsia" w:cs="仿宋_GB2312"/>
          <w:color w:val="auto"/>
          <w:highlight w:val="none"/>
          <w:lang w:val="en-US" w:eastAsia="zh-CN"/>
        </w:rPr>
        <w:t>（一）加强对限额以下小型工程和零星作业施工安全生产管理工作的组织领导，指导、督促下级政府（机构）和有关部门依法履行限额以下小型工程和零星作业施工安全生产监督管理职责，及时协调、解决限额以下小型工程和零星作业施工安全生产监督管理中存在的重大问题。</w:t>
      </w:r>
    </w:p>
    <w:p w14:paraId="2E973574">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cs="仿宋_GB2312"/>
          <w:color w:val="auto"/>
          <w:highlight w:val="none"/>
          <w:lang w:val="en-US" w:eastAsia="zh-CN"/>
        </w:rPr>
      </w:pPr>
      <w:r>
        <w:rPr>
          <w:rFonts w:hint="eastAsia" w:cs="仿宋_GB2312"/>
          <w:color w:val="auto"/>
          <w:highlight w:val="none"/>
          <w:lang w:val="en-US" w:eastAsia="zh-CN"/>
        </w:rPr>
        <w:t>（二）组织制定辖区内限额以下小型工程和零星作业安全生产管理实施细则和风险清单，</w:t>
      </w:r>
      <w:r>
        <w:rPr>
          <w:rFonts w:hint="eastAsia" w:cs="仿宋_GB2312"/>
          <w:color w:val="auto"/>
          <w:highlight w:val="none"/>
        </w:rPr>
        <w:t>结合实际建立</w:t>
      </w:r>
      <w:r>
        <w:rPr>
          <w:rFonts w:hint="eastAsia" w:cs="仿宋_GB2312"/>
          <w:color w:val="auto"/>
          <w:highlight w:val="none"/>
          <w:lang w:eastAsia="zh-CN"/>
        </w:rPr>
        <w:t>限额以下工程</w:t>
      </w:r>
      <w:r>
        <w:rPr>
          <w:rFonts w:hint="eastAsia" w:cs="仿宋_GB2312"/>
          <w:color w:val="auto"/>
          <w:highlight w:val="none"/>
        </w:rPr>
        <w:t>和零星作业</w:t>
      </w:r>
      <w:r>
        <w:rPr>
          <w:rFonts w:hint="eastAsia" w:cs="仿宋_GB2312"/>
          <w:color w:val="auto"/>
          <w:highlight w:val="none"/>
          <w:lang w:val="en-US" w:eastAsia="zh-CN"/>
        </w:rPr>
        <w:t>备案</w:t>
      </w:r>
      <w:r>
        <w:rPr>
          <w:rFonts w:hint="eastAsia" w:cs="仿宋_GB2312"/>
          <w:color w:val="auto"/>
          <w:highlight w:val="none"/>
        </w:rPr>
        <w:t>登记制度</w:t>
      </w:r>
      <w:r>
        <w:rPr>
          <w:rFonts w:hint="eastAsia" w:cs="仿宋_GB2312"/>
          <w:color w:val="auto"/>
          <w:highlight w:val="none"/>
          <w:lang w:eastAsia="zh-CN"/>
        </w:rPr>
        <w:t>，建立</w:t>
      </w:r>
      <w:r>
        <w:rPr>
          <w:rFonts w:hint="eastAsia" w:cs="仿宋_GB2312"/>
          <w:color w:val="auto"/>
          <w:highlight w:val="none"/>
          <w:lang w:val="en-US" w:eastAsia="zh-CN"/>
        </w:rPr>
        <w:t>健全</w:t>
      </w:r>
      <w:r>
        <w:rPr>
          <w:rFonts w:hint="eastAsia" w:cs="仿宋_GB2312"/>
          <w:color w:val="auto"/>
          <w:highlight w:val="none"/>
          <w:lang w:eastAsia="zh-CN"/>
        </w:rPr>
        <w:t>“镇街（</w:t>
      </w:r>
      <w:r>
        <w:rPr>
          <w:rFonts w:hint="eastAsia" w:cs="仿宋_GB2312"/>
          <w:color w:val="auto"/>
          <w:highlight w:val="none"/>
          <w:lang w:val="en-US" w:eastAsia="zh-CN"/>
        </w:rPr>
        <w:t>村居）</w:t>
      </w:r>
      <w:r>
        <w:rPr>
          <w:rFonts w:hint="eastAsia" w:cs="仿宋_GB2312"/>
          <w:color w:val="auto"/>
          <w:highlight w:val="none"/>
          <w:lang w:eastAsia="zh-CN"/>
        </w:rPr>
        <w:t>吹哨、部门报到”</w:t>
      </w:r>
      <w:r>
        <w:rPr>
          <w:rFonts w:hint="eastAsia" w:cs="仿宋_GB2312"/>
          <w:color w:val="auto"/>
          <w:highlight w:val="none"/>
          <w:lang w:val="en-US" w:eastAsia="zh-CN"/>
        </w:rPr>
        <w:t>的安全监管</w:t>
      </w:r>
      <w:r>
        <w:rPr>
          <w:rFonts w:hint="eastAsia" w:cs="仿宋_GB2312"/>
          <w:color w:val="auto"/>
          <w:highlight w:val="none"/>
          <w:lang w:eastAsia="zh-CN"/>
        </w:rPr>
        <w:t>机</w:t>
      </w:r>
      <w:r>
        <w:rPr>
          <w:rFonts w:hint="eastAsia" w:cs="仿宋_GB2312"/>
          <w:color w:val="auto"/>
          <w:highlight w:val="none"/>
          <w:lang w:val="en-US" w:eastAsia="zh-CN"/>
        </w:rPr>
        <w:t>制。</w:t>
      </w:r>
    </w:p>
    <w:p w14:paraId="5618BBC3">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cs="仿宋_GB2312"/>
          <w:color w:val="auto"/>
          <w:highlight w:val="none"/>
          <w:lang w:val="en-US" w:eastAsia="zh-CN"/>
        </w:rPr>
      </w:pPr>
      <w:r>
        <w:rPr>
          <w:rFonts w:hint="eastAsia" w:cs="仿宋_GB2312"/>
          <w:color w:val="auto"/>
          <w:highlight w:val="none"/>
          <w:lang w:val="en-US" w:eastAsia="zh-CN"/>
        </w:rPr>
        <w:t>（三）统筹建立辖区内限额以下小型工程和零星作业登记纳管信息平台，实施信息化管理。</w:t>
      </w:r>
    </w:p>
    <w:p w14:paraId="4D0C93DA">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outlineLvl w:val="1"/>
        <w:rPr>
          <w:rFonts w:hint="eastAsia" w:cs="仿宋_GB2312"/>
          <w:color w:val="auto"/>
          <w:highlight w:val="none"/>
          <w:lang w:val="en-US" w:eastAsia="zh-CN"/>
        </w:rPr>
      </w:pPr>
      <w:r>
        <w:rPr>
          <w:rFonts w:hint="eastAsia" w:cs="仿宋_GB2312"/>
          <w:b/>
          <w:bCs/>
          <w:color w:val="auto"/>
          <w:highlight w:val="none"/>
          <w:lang w:val="en-US" w:eastAsia="zh-CN"/>
        </w:rPr>
        <w:t>第十四条</w:t>
      </w:r>
      <w:r>
        <w:rPr>
          <w:rFonts w:hint="eastAsia" w:cs="仿宋_GB2312"/>
          <w:color w:val="auto"/>
          <w:highlight w:val="none"/>
          <w:lang w:val="en-US" w:eastAsia="zh-CN"/>
        </w:rPr>
        <w:t xml:space="preserve"> 各县（市、区）人民政府履行以下职责：</w:t>
      </w:r>
    </w:p>
    <w:p w14:paraId="1FD77C0E">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cs="仿宋_GB2312"/>
          <w:color w:val="auto"/>
          <w:highlight w:val="none"/>
          <w:lang w:val="en-US" w:eastAsia="zh-CN"/>
        </w:rPr>
      </w:pPr>
      <w:r>
        <w:rPr>
          <w:rFonts w:hint="eastAsia" w:cs="仿宋_GB2312"/>
          <w:color w:val="auto"/>
          <w:highlight w:val="none"/>
          <w:lang w:val="en-US" w:eastAsia="zh-CN"/>
        </w:rPr>
        <w:t>（一）统筹组织辖区镇街和县（市、区）相关主管部门具体实施限额以下小型工程和零星作业安全生产纳管工作。</w:t>
      </w:r>
    </w:p>
    <w:p w14:paraId="0B619FD6">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cs="仿宋_GB2312"/>
          <w:color w:val="auto"/>
          <w:highlight w:val="none"/>
          <w:lang w:val="en-US" w:eastAsia="zh-CN"/>
        </w:rPr>
      </w:pPr>
      <w:r>
        <w:rPr>
          <w:rFonts w:hint="eastAsia" w:cs="仿宋_GB2312"/>
          <w:color w:val="auto"/>
          <w:highlight w:val="none"/>
          <w:lang w:val="en-US" w:eastAsia="zh-CN"/>
        </w:rPr>
        <w:t>（二）建立健全体制机制，明确责任体系和职责分工，建立</w:t>
      </w:r>
      <w:r>
        <w:rPr>
          <w:rFonts w:hint="eastAsia" w:ascii="仿宋_GB2312" w:hAnsi="仿宋_GB2312" w:eastAsia="仿宋_GB2312" w:cs="仿宋_GB2312"/>
          <w:spacing w:val="7"/>
          <w:sz w:val="32"/>
          <w:szCs w:val="32"/>
        </w:rPr>
        <w:t>完善</w:t>
      </w:r>
      <w:r>
        <w:rPr>
          <w:rFonts w:hint="eastAsia" w:cs="仿宋_GB2312"/>
          <w:spacing w:val="7"/>
          <w:sz w:val="32"/>
          <w:szCs w:val="32"/>
          <w:lang w:val="en-US" w:eastAsia="zh-CN"/>
        </w:rPr>
        <w:t>分级</w:t>
      </w:r>
      <w:r>
        <w:rPr>
          <w:rFonts w:hint="eastAsia" w:ascii="仿宋_GB2312" w:hAnsi="仿宋_GB2312" w:eastAsia="仿宋_GB2312" w:cs="仿宋_GB2312"/>
          <w:spacing w:val="7"/>
          <w:sz w:val="32"/>
          <w:szCs w:val="32"/>
        </w:rPr>
        <w:t>网格化管理和日常安全巡查等相关制度和工作措施</w:t>
      </w:r>
      <w:r>
        <w:rPr>
          <w:rFonts w:hint="eastAsia" w:cs="仿宋_GB2312"/>
          <w:color w:val="auto"/>
          <w:highlight w:val="none"/>
          <w:lang w:val="en-US" w:eastAsia="zh-CN"/>
        </w:rPr>
        <w:t>，形成全覆盖、分片管理、分级负责的监管网络。</w:t>
      </w:r>
    </w:p>
    <w:p w14:paraId="254B11E6">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cs="仿宋_GB2312"/>
          <w:color w:val="auto"/>
          <w:highlight w:val="none"/>
          <w:lang w:val="en-US" w:eastAsia="zh-CN"/>
        </w:rPr>
      </w:pPr>
      <w:r>
        <w:rPr>
          <w:rFonts w:hint="eastAsia" w:cs="仿宋_GB2312"/>
          <w:color w:val="auto"/>
          <w:highlight w:val="none"/>
          <w:lang w:val="en-US" w:eastAsia="zh-CN"/>
        </w:rPr>
        <w:t>（三）加强人员及专项经费保障，强化监管人员力量，</w:t>
      </w:r>
      <w:r>
        <w:rPr>
          <w:rFonts w:hint="eastAsia" w:ascii="仿宋_GB2312" w:hAnsi="仿宋_GB2312" w:eastAsia="仿宋_GB2312" w:cs="仿宋_GB2312"/>
          <w:spacing w:val="5"/>
          <w:sz w:val="32"/>
          <w:szCs w:val="32"/>
        </w:rPr>
        <w:t>定期组织监管人员开展业务培训</w:t>
      </w:r>
      <w:r>
        <w:rPr>
          <w:rFonts w:hint="eastAsia" w:cs="仿宋_GB2312"/>
          <w:spacing w:val="5"/>
          <w:sz w:val="32"/>
          <w:szCs w:val="32"/>
          <w:lang w:eastAsia="zh-CN"/>
        </w:rPr>
        <w:t>；</w:t>
      </w:r>
      <w:r>
        <w:rPr>
          <w:rFonts w:hint="eastAsia" w:cs="仿宋_GB2312"/>
          <w:color w:val="auto"/>
          <w:highlight w:val="none"/>
          <w:lang w:val="en-US" w:eastAsia="zh-CN"/>
        </w:rPr>
        <w:t>将限额以下小型工程和零星作业安全生产必要工作经费纳入年度财政预算，确保监管力量与纳管规模相匹配。</w:t>
      </w:r>
    </w:p>
    <w:p w14:paraId="6D324862">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cs="仿宋_GB2312"/>
          <w:color w:val="auto"/>
          <w:highlight w:val="none"/>
          <w:lang w:val="en-US" w:eastAsia="zh-CN"/>
        </w:rPr>
      </w:pPr>
      <w:r>
        <w:rPr>
          <w:rFonts w:hint="eastAsia" w:cs="仿宋_GB2312"/>
          <w:color w:val="auto"/>
          <w:highlight w:val="none"/>
          <w:lang w:val="en-US" w:eastAsia="zh-CN"/>
        </w:rPr>
        <w:t>（四）统筹辖区监管力量，组织开展限额以下小型工程和零星作业日常安全巡查、专业巡查，对发现的安全隐患及时进行处置；组织对高风险小型工程实施重点纳管，加强专业技术支撑，有效排查治理问题隐患和管控安全风险；依照安全生产有关法律法规，组织查处限额以下小型工程和零星作业的违法违规行为。</w:t>
      </w:r>
    </w:p>
    <w:p w14:paraId="74961BE2">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outlineLvl w:val="1"/>
        <w:rPr>
          <w:rFonts w:hint="eastAsia" w:cs="仿宋_GB2312"/>
          <w:color w:val="auto"/>
          <w:highlight w:val="none"/>
          <w:lang w:eastAsia="zh-CN"/>
        </w:rPr>
      </w:pPr>
      <w:r>
        <w:rPr>
          <w:rFonts w:hint="eastAsia" w:ascii="仿宋_GB2312" w:hAnsi="仿宋_GB2312" w:eastAsia="仿宋_GB2312" w:cs="仿宋_GB2312"/>
          <w:b/>
          <w:bCs/>
          <w:color w:val="auto"/>
          <w:highlight w:val="none"/>
        </w:rPr>
        <w:t>第</w:t>
      </w:r>
      <w:r>
        <w:rPr>
          <w:rFonts w:hint="eastAsia" w:ascii="仿宋_GB2312" w:hAnsi="仿宋_GB2312" w:eastAsia="仿宋_GB2312" w:cs="仿宋_GB2312"/>
          <w:b/>
          <w:bCs/>
          <w:color w:val="auto"/>
          <w:highlight w:val="none"/>
          <w:lang w:val="en-US" w:eastAsia="zh-CN"/>
        </w:rPr>
        <w:t>十</w:t>
      </w:r>
      <w:r>
        <w:rPr>
          <w:rFonts w:hint="eastAsia" w:cs="仿宋_GB2312"/>
          <w:b/>
          <w:bCs/>
          <w:color w:val="auto"/>
          <w:highlight w:val="none"/>
          <w:lang w:val="en-US" w:eastAsia="zh-CN"/>
        </w:rPr>
        <w:t>五</w:t>
      </w:r>
      <w:r>
        <w:rPr>
          <w:rFonts w:hint="eastAsia" w:ascii="仿宋_GB2312" w:hAnsi="仿宋_GB2312" w:eastAsia="仿宋_GB2312" w:cs="仿宋_GB2312"/>
          <w:b/>
          <w:bCs/>
          <w:color w:val="auto"/>
          <w:highlight w:val="none"/>
        </w:rPr>
        <w:t>条</w:t>
      </w:r>
      <w:r>
        <w:rPr>
          <w:rFonts w:hint="eastAsia" w:ascii="仿宋_GB2312" w:hAnsi="仿宋_GB2312" w:eastAsia="仿宋_GB2312" w:cs="仿宋_GB2312"/>
          <w:color w:val="auto"/>
          <w:highlight w:val="none"/>
        </w:rPr>
        <w:t xml:space="preserve"> 各街道办事处</w:t>
      </w:r>
      <w:r>
        <w:rPr>
          <w:rFonts w:hint="eastAsia" w:cs="仿宋_GB2312"/>
          <w:color w:val="auto"/>
          <w:highlight w:val="none"/>
          <w:lang w:eastAsia="zh-CN"/>
        </w:rPr>
        <w:t>、</w:t>
      </w:r>
      <w:r>
        <w:rPr>
          <w:rFonts w:hint="eastAsia" w:cs="仿宋_GB2312"/>
          <w:color w:val="auto"/>
          <w:highlight w:val="none"/>
          <w:lang w:val="en-US" w:eastAsia="zh-CN"/>
        </w:rPr>
        <w:t>乡镇人民政府</w:t>
      </w:r>
      <w:r>
        <w:rPr>
          <w:rFonts w:hint="eastAsia" w:cs="仿宋_GB2312"/>
          <w:color w:val="auto"/>
          <w:highlight w:val="none"/>
          <w:lang w:eastAsia="zh-CN"/>
        </w:rPr>
        <w:t>依据有关职责分工履行以下职责：</w:t>
      </w:r>
    </w:p>
    <w:p w14:paraId="391FAA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（一）细化完善辖区限额以下小型工程和零星作业安全生产备案登记制度，建立辖区限额以下小型工程和零星作业管理台账，全面掌握辖区限额以下小型工程和零</w:t>
      </w:r>
      <w:bookmarkStart w:id="2" w:name="_GoBack"/>
      <w:bookmarkEnd w:id="2"/>
      <w:r>
        <w:rPr>
          <w:rFonts w:hint="eastAsia" w:ascii="仿宋_GB2312" w:hAnsi="仿宋_GB2312" w:eastAsia="仿宋_GB2312" w:cs="仿宋_GB2312"/>
          <w:color w:val="auto"/>
          <w:kern w:val="0"/>
          <w:sz w:val="32"/>
          <w:szCs w:val="32"/>
          <w:highlight w:val="none"/>
          <w:lang w:val="en-US" w:eastAsia="zh-CN"/>
        </w:rPr>
        <w:t>星作业动态。</w:t>
      </w:r>
    </w:p>
    <w:p w14:paraId="2AF5A283">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（二）督促指导建设单位和施工单位</w:t>
      </w:r>
      <w:r>
        <w:rPr>
          <w:rFonts w:hint="eastAsia" w:cs="仿宋_GB2312"/>
          <w:color w:val="auto"/>
          <w:kern w:val="0"/>
          <w:sz w:val="32"/>
          <w:szCs w:val="32"/>
          <w:highlight w:val="none"/>
          <w:lang w:val="en-US" w:eastAsia="zh-CN"/>
        </w:rPr>
        <w:t>在备案时接受安全培训；施工前张贴安全风险清单；施工过程中</w:t>
      </w:r>
      <w:r>
        <w:rPr>
          <w:rFonts w:hint="eastAsia" w:ascii="仿宋_GB2312" w:hAnsi="仿宋_GB2312" w:eastAsia="仿宋_GB2312" w:cs="仿宋_GB2312"/>
          <w:color w:val="auto"/>
          <w:kern w:val="0"/>
          <w:sz w:val="32"/>
          <w:szCs w:val="32"/>
          <w:highlight w:val="none"/>
          <w:lang w:val="en-US" w:eastAsia="zh-CN"/>
        </w:rPr>
        <w:t>严格落实事故预防措施，对限额以下小型工程</w:t>
      </w:r>
      <w:r>
        <w:rPr>
          <w:rFonts w:hint="eastAsia" w:cs="仿宋_GB2312"/>
          <w:color w:val="auto"/>
          <w:kern w:val="0"/>
          <w:sz w:val="32"/>
          <w:szCs w:val="32"/>
          <w:highlight w:val="none"/>
          <w:lang w:val="en-US" w:eastAsia="zh-CN"/>
        </w:rPr>
        <w:t>和零星作业</w:t>
      </w:r>
      <w:r>
        <w:rPr>
          <w:rFonts w:hint="eastAsia" w:ascii="仿宋_GB2312" w:hAnsi="仿宋_GB2312" w:eastAsia="仿宋_GB2312" w:cs="仿宋_GB2312"/>
          <w:color w:val="auto"/>
          <w:kern w:val="0"/>
          <w:sz w:val="32"/>
          <w:szCs w:val="32"/>
          <w:highlight w:val="none"/>
          <w:lang w:val="en-US" w:eastAsia="zh-CN"/>
        </w:rPr>
        <w:t>的风险隐患，及时组织排查整改。</w:t>
      </w:r>
    </w:p>
    <w:p w14:paraId="01F7F1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落实对辖区内限额以下小型工程和零星作业安全生产的全覆盖、常态化、网格化巡查，依法查处授权范围内的限额以下小型工程和零星作业安全生产违法行为；对非授权范围的执法事项，及时协调相关建设工程主管部门查处。可委托村居或者第三方服务机构配合开展对限额以下小型工程和零星作业具体事务性、技术性工作。</w:t>
      </w:r>
    </w:p>
    <w:p w14:paraId="558A2CF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center"/>
        <w:textAlignment w:val="auto"/>
        <w:outlineLvl w:val="0"/>
        <w:rPr>
          <w:rFonts w:hint="eastAsia" w:ascii="黑体" w:hAnsi="黑体" w:eastAsia="黑体" w:cs="Times New Roman"/>
          <w:color w:val="auto"/>
          <w:sz w:val="32"/>
          <w:szCs w:val="32"/>
          <w:highlight w:val="none"/>
        </w:rPr>
      </w:pPr>
    </w:p>
    <w:p w14:paraId="042CE55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center"/>
        <w:textAlignment w:val="auto"/>
        <w:outlineLvl w:val="0"/>
        <w:rPr>
          <w:rFonts w:hint="default"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第</w:t>
      </w:r>
      <w:r>
        <w:rPr>
          <w:rFonts w:hint="eastAsia" w:ascii="黑体" w:hAnsi="黑体" w:eastAsia="黑体" w:cs="Times New Roman"/>
          <w:color w:val="auto"/>
          <w:sz w:val="32"/>
          <w:szCs w:val="32"/>
          <w:highlight w:val="none"/>
          <w:lang w:val="en-US" w:eastAsia="zh-CN"/>
        </w:rPr>
        <w:t>四</w:t>
      </w:r>
      <w:r>
        <w:rPr>
          <w:rFonts w:hint="eastAsia" w:ascii="黑体" w:hAnsi="黑体" w:eastAsia="黑体" w:cs="Times New Roman"/>
          <w:color w:val="auto"/>
          <w:sz w:val="32"/>
          <w:szCs w:val="32"/>
          <w:highlight w:val="none"/>
        </w:rPr>
        <w:t xml:space="preserve">章 </w:t>
      </w:r>
      <w:r>
        <w:rPr>
          <w:rFonts w:hint="eastAsia" w:ascii="黑体" w:hAnsi="黑体" w:eastAsia="黑体" w:cs="Times New Roman"/>
          <w:color w:val="auto"/>
          <w:sz w:val="32"/>
          <w:szCs w:val="32"/>
          <w:highlight w:val="none"/>
          <w:lang w:val="en-US" w:eastAsia="zh-CN"/>
        </w:rPr>
        <w:t>备案管理和巡查执法</w:t>
      </w:r>
    </w:p>
    <w:p w14:paraId="46983D83">
      <w:pPr>
        <w:pStyle w:val="16"/>
        <w:keepNext w:val="0"/>
        <w:keepLines w:val="0"/>
        <w:pageBreakBefore w:val="0"/>
        <w:widowControl w:val="0"/>
        <w:shd w:val="clear" w:color="auto" w:fill="auto"/>
        <w:kinsoku/>
        <w:wordWrap/>
        <w:overflowPunct/>
        <w:topLinePunct w:val="0"/>
        <w:autoSpaceDE/>
        <w:autoSpaceDN/>
        <w:bidi w:val="0"/>
        <w:spacing w:line="560" w:lineRule="exact"/>
        <w:textAlignment w:val="auto"/>
        <w:outlineLvl w:val="1"/>
        <w:rPr>
          <w:rFonts w:hint="eastAsia"/>
          <w:color w:val="auto"/>
          <w:highlight w:val="none"/>
          <w:lang w:eastAsia="zh-CN"/>
        </w:rPr>
      </w:pPr>
      <w:r>
        <w:rPr>
          <w:rFonts w:hint="eastAsia" w:ascii="仿宋_GB2312" w:hAnsi="仿宋_GB2312" w:eastAsia="仿宋_GB2312" w:cs="仿宋_GB2312"/>
          <w:b/>
          <w:bCs/>
          <w:color w:val="auto"/>
          <w:highlight w:val="none"/>
        </w:rPr>
        <w:t>第十</w:t>
      </w:r>
      <w:r>
        <w:rPr>
          <w:rFonts w:hint="eastAsia" w:cs="仿宋_GB2312"/>
          <w:b/>
          <w:bCs/>
          <w:color w:val="auto"/>
          <w:highlight w:val="none"/>
          <w:lang w:val="en-US" w:eastAsia="zh-CN"/>
        </w:rPr>
        <w:t>六</w:t>
      </w:r>
      <w:r>
        <w:rPr>
          <w:rFonts w:hint="eastAsia" w:ascii="仿宋_GB2312" w:hAnsi="仿宋_GB2312" w:eastAsia="仿宋_GB2312" w:cs="仿宋_GB2312"/>
          <w:b/>
          <w:bCs/>
          <w:color w:val="auto"/>
          <w:highlight w:val="none"/>
        </w:rPr>
        <w:t>条</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限额以下小型</w:t>
      </w:r>
      <w:r>
        <w:rPr>
          <w:rFonts w:hint="eastAsia" w:ascii="仿宋_GB2312" w:hAnsi="仿宋_GB2312" w:eastAsia="仿宋_GB2312" w:cs="仿宋_GB2312"/>
          <w:color w:val="auto"/>
          <w:highlight w:val="none"/>
        </w:rPr>
        <w:t>工程和零星作业实行安全生产</w:t>
      </w:r>
      <w:r>
        <w:rPr>
          <w:rFonts w:hint="eastAsia" w:cs="仿宋_GB2312"/>
          <w:color w:val="auto"/>
          <w:highlight w:val="none"/>
          <w:lang w:val="en-US" w:eastAsia="zh-CN"/>
        </w:rPr>
        <w:t>备案</w:t>
      </w:r>
      <w:r>
        <w:rPr>
          <w:rFonts w:hint="eastAsia" w:ascii="仿宋_GB2312" w:hAnsi="仿宋_GB2312" w:eastAsia="仿宋_GB2312" w:cs="仿宋_GB2312"/>
          <w:color w:val="auto"/>
          <w:highlight w:val="none"/>
          <w:lang w:val="en-US" w:eastAsia="zh-CN"/>
        </w:rPr>
        <w:t>登记</w:t>
      </w:r>
      <w:r>
        <w:rPr>
          <w:rFonts w:hint="eastAsia" w:ascii="仿宋_GB2312" w:hAnsi="仿宋_GB2312" w:eastAsia="仿宋_GB2312" w:cs="仿宋_GB2312"/>
          <w:color w:val="auto"/>
          <w:highlight w:val="none"/>
        </w:rPr>
        <w:t>制度</w:t>
      </w:r>
      <w:r>
        <w:rPr>
          <w:rFonts w:hint="eastAsia" w:cs="仿宋_GB2312"/>
          <w:color w:val="auto"/>
          <w:highlight w:val="none"/>
          <w:lang w:eastAsia="zh-CN"/>
        </w:rPr>
        <w:t>，</w:t>
      </w:r>
      <w:r>
        <w:rPr>
          <w:rFonts w:hint="eastAsia"/>
          <w:color w:val="auto"/>
          <w:highlight w:val="none"/>
        </w:rPr>
        <w:t>建设单位</w:t>
      </w:r>
      <w:r>
        <w:rPr>
          <w:rFonts w:hint="eastAsia"/>
          <w:color w:val="auto"/>
          <w:highlight w:val="none"/>
          <w:lang w:eastAsia="zh-CN"/>
        </w:rPr>
        <w:t>或者</w:t>
      </w:r>
      <w:r>
        <w:rPr>
          <w:rFonts w:hint="eastAsia"/>
          <w:color w:val="auto"/>
          <w:highlight w:val="none"/>
        </w:rPr>
        <w:t>业主应当在开工</w:t>
      </w:r>
      <w:r>
        <w:rPr>
          <w:rFonts w:hint="eastAsia"/>
          <w:color w:val="auto"/>
          <w:highlight w:val="none"/>
          <w:lang w:eastAsia="zh-CN"/>
        </w:rPr>
        <w:t>作业</w:t>
      </w:r>
      <w:r>
        <w:rPr>
          <w:rFonts w:hint="eastAsia"/>
          <w:color w:val="auto"/>
          <w:highlight w:val="none"/>
        </w:rPr>
        <w:t>前</w:t>
      </w:r>
      <w:r>
        <w:rPr>
          <w:rFonts w:hint="eastAsia" w:ascii="仿宋_GB2312" w:hAnsi="仿宋_GB2312" w:eastAsia="仿宋_GB2312" w:cs="仿宋_GB2312"/>
          <w:b w:val="0"/>
          <w:bCs w:val="0"/>
          <w:spacing w:val="5"/>
          <w:sz w:val="32"/>
          <w:szCs w:val="32"/>
        </w:rPr>
        <w:t>向</w:t>
      </w:r>
      <w:r>
        <w:rPr>
          <w:rFonts w:hint="eastAsia" w:cs="仿宋_GB2312"/>
          <w:b w:val="0"/>
          <w:bCs w:val="0"/>
          <w:spacing w:val="5"/>
          <w:sz w:val="32"/>
          <w:szCs w:val="32"/>
          <w:lang w:val="en-US" w:eastAsia="zh-CN"/>
        </w:rPr>
        <w:t>受理单位（</w:t>
      </w:r>
      <w:r>
        <w:rPr>
          <w:rFonts w:hint="eastAsia" w:ascii="仿宋_GB2312" w:hAnsi="仿宋_GB2312" w:eastAsia="仿宋_GB2312" w:cs="仿宋_GB2312"/>
          <w:b w:val="0"/>
          <w:bCs w:val="0"/>
          <w:spacing w:val="5"/>
          <w:sz w:val="32"/>
          <w:szCs w:val="32"/>
        </w:rPr>
        <w:t>镇街或其委托的单位</w:t>
      </w:r>
      <w:r>
        <w:rPr>
          <w:rFonts w:hint="eastAsia" w:cs="仿宋_GB2312"/>
          <w:b w:val="0"/>
          <w:bCs w:val="0"/>
          <w:spacing w:val="5"/>
          <w:sz w:val="32"/>
          <w:szCs w:val="32"/>
          <w:lang w:eastAsia="zh-CN"/>
        </w:rPr>
        <w:t>）</w:t>
      </w:r>
      <w:r>
        <w:rPr>
          <w:rFonts w:hint="eastAsia" w:ascii="仿宋_GB2312" w:hAnsi="仿宋_GB2312" w:eastAsia="仿宋_GB2312" w:cs="仿宋_GB2312"/>
          <w:b w:val="0"/>
          <w:bCs w:val="0"/>
          <w:spacing w:val="5"/>
          <w:sz w:val="32"/>
          <w:szCs w:val="32"/>
        </w:rPr>
        <w:t>申请备案</w:t>
      </w:r>
      <w:r>
        <w:rPr>
          <w:rFonts w:hint="eastAsia"/>
          <w:color w:val="auto"/>
          <w:highlight w:val="none"/>
          <w:lang w:val="en-US" w:eastAsia="zh-CN"/>
        </w:rPr>
        <w:t>登记</w:t>
      </w:r>
      <w:r>
        <w:rPr>
          <w:rFonts w:hint="eastAsia"/>
          <w:color w:val="auto"/>
          <w:highlight w:val="none"/>
        </w:rPr>
        <w:t>安全生产</w:t>
      </w:r>
      <w:r>
        <w:rPr>
          <w:rFonts w:hint="eastAsia"/>
          <w:color w:val="auto"/>
          <w:highlight w:val="none"/>
          <w:lang w:val="en-US" w:eastAsia="zh-CN"/>
        </w:rPr>
        <w:t>有关信息和材料</w:t>
      </w:r>
      <w:r>
        <w:rPr>
          <w:rFonts w:hint="eastAsia"/>
          <w:color w:val="auto"/>
          <w:highlight w:val="none"/>
          <w:lang w:eastAsia="zh-CN"/>
        </w:rPr>
        <w:t>。</w:t>
      </w:r>
    </w:p>
    <w:p w14:paraId="21D3B062">
      <w:pPr>
        <w:pStyle w:val="16"/>
        <w:keepNext w:val="0"/>
        <w:keepLines w:val="0"/>
        <w:pageBreakBefore w:val="0"/>
        <w:widowControl w:val="0"/>
        <w:kinsoku/>
        <w:wordWrap/>
        <w:overflowPunct/>
        <w:topLinePunct w:val="0"/>
        <w:autoSpaceDE/>
        <w:autoSpaceDN/>
        <w:bidi w:val="0"/>
        <w:spacing w:line="560" w:lineRule="exact"/>
        <w:textAlignment w:val="auto"/>
        <w:rPr>
          <w:rFonts w:hint="eastAsia"/>
          <w:color w:val="auto"/>
          <w:highlight w:val="none"/>
          <w:lang w:val="en-US" w:eastAsia="zh-CN"/>
        </w:rPr>
      </w:pPr>
      <w:r>
        <w:rPr>
          <w:rFonts w:hint="eastAsia"/>
          <w:color w:val="auto"/>
          <w:highlight w:val="none"/>
          <w:lang w:eastAsia="zh-CN"/>
        </w:rPr>
        <w:t>该</w:t>
      </w:r>
      <w:r>
        <w:rPr>
          <w:rFonts w:hint="eastAsia"/>
          <w:color w:val="auto"/>
          <w:highlight w:val="none"/>
        </w:rPr>
        <w:t>信息</w:t>
      </w:r>
      <w:r>
        <w:rPr>
          <w:rFonts w:hint="eastAsia"/>
          <w:color w:val="auto"/>
          <w:highlight w:val="none"/>
          <w:lang w:eastAsia="zh-CN"/>
        </w:rPr>
        <w:t>登记</w:t>
      </w:r>
      <w:r>
        <w:rPr>
          <w:rFonts w:hint="eastAsia"/>
          <w:color w:val="auto"/>
          <w:highlight w:val="none"/>
          <w:lang w:val="en-US" w:eastAsia="zh-CN"/>
        </w:rPr>
        <w:t>为</w:t>
      </w:r>
      <w:r>
        <w:rPr>
          <w:rFonts w:hint="eastAsia"/>
          <w:color w:val="auto"/>
          <w:highlight w:val="none"/>
          <w:lang w:eastAsia="zh-CN"/>
        </w:rPr>
        <w:t>告知性</w:t>
      </w:r>
      <w:r>
        <w:rPr>
          <w:rFonts w:hint="eastAsia"/>
          <w:color w:val="auto"/>
          <w:highlight w:val="none"/>
          <w:lang w:val="en-US" w:eastAsia="zh-CN"/>
        </w:rPr>
        <w:t>登记</w:t>
      </w:r>
      <w:r>
        <w:rPr>
          <w:rFonts w:hint="eastAsia"/>
          <w:color w:val="auto"/>
          <w:highlight w:val="none"/>
          <w:lang w:eastAsia="zh-CN"/>
        </w:rPr>
        <w:t>，仅作为安全生产纳管的依据，</w:t>
      </w:r>
      <w:r>
        <w:rPr>
          <w:rFonts w:hint="eastAsia"/>
          <w:color w:val="auto"/>
          <w:highlight w:val="none"/>
        </w:rPr>
        <w:t>建设单位</w:t>
      </w:r>
      <w:r>
        <w:rPr>
          <w:rFonts w:hint="eastAsia"/>
          <w:color w:val="auto"/>
          <w:highlight w:val="none"/>
          <w:lang w:eastAsia="zh-CN"/>
        </w:rPr>
        <w:t>或者</w:t>
      </w:r>
      <w:r>
        <w:rPr>
          <w:rFonts w:hint="eastAsia"/>
          <w:color w:val="auto"/>
          <w:highlight w:val="none"/>
        </w:rPr>
        <w:t>业主应</w:t>
      </w:r>
      <w:r>
        <w:rPr>
          <w:rFonts w:hint="eastAsia"/>
          <w:color w:val="auto"/>
          <w:highlight w:val="none"/>
          <w:lang w:eastAsia="zh-CN"/>
        </w:rPr>
        <w:t>当</w:t>
      </w:r>
      <w:r>
        <w:rPr>
          <w:rFonts w:hint="eastAsia"/>
          <w:color w:val="auto"/>
          <w:highlight w:val="none"/>
        </w:rPr>
        <w:t>按照有关法律法规规定在施工作业前自行完善</w:t>
      </w:r>
      <w:r>
        <w:rPr>
          <w:rFonts w:hint="eastAsia"/>
          <w:color w:val="auto"/>
          <w:highlight w:val="none"/>
          <w:lang w:val="en-US" w:eastAsia="zh-CN"/>
        </w:rPr>
        <w:t>其他</w:t>
      </w:r>
      <w:r>
        <w:rPr>
          <w:rFonts w:hint="eastAsia"/>
          <w:color w:val="auto"/>
          <w:highlight w:val="none"/>
        </w:rPr>
        <w:t>有关合法性手续</w:t>
      </w:r>
      <w:r>
        <w:rPr>
          <w:rFonts w:hint="eastAsia"/>
          <w:color w:val="auto"/>
          <w:highlight w:val="none"/>
          <w:lang w:eastAsia="zh-CN"/>
        </w:rPr>
        <w:t>。</w:t>
      </w:r>
      <w:r>
        <w:rPr>
          <w:rFonts w:hint="eastAsia"/>
          <w:color w:val="auto"/>
          <w:highlight w:val="none"/>
          <w:lang w:val="en-US" w:eastAsia="zh-CN"/>
        </w:rPr>
        <w:t>凡涉及虚假申报、刻意规避施工许可证办理、超出登记范围施工、违法建设等行为的，信息登记无效，予以撤销。</w:t>
      </w:r>
    </w:p>
    <w:p w14:paraId="19B7EA08">
      <w:pPr>
        <w:pStyle w:val="16"/>
        <w:keepNext w:val="0"/>
        <w:keepLines w:val="0"/>
        <w:pageBreakBefore w:val="0"/>
        <w:widowControl w:val="0"/>
        <w:shd w:val="clear" w:color="auto" w:fill="auto"/>
        <w:kinsoku/>
        <w:wordWrap/>
        <w:overflowPunct/>
        <w:topLinePunct w:val="0"/>
        <w:autoSpaceDE/>
        <w:autoSpaceDN/>
        <w:bidi w:val="0"/>
        <w:spacing w:line="560" w:lineRule="exact"/>
        <w:ind w:firstLine="0"/>
        <w:textAlignment w:val="auto"/>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第十</w:t>
      </w:r>
      <w:r>
        <w:rPr>
          <w:rFonts w:hint="eastAsia" w:cs="仿宋_GB2312"/>
          <w:b/>
          <w:bCs/>
          <w:color w:val="auto"/>
          <w:highlight w:val="none"/>
          <w:lang w:val="en-US" w:eastAsia="zh-CN"/>
        </w:rPr>
        <w:t>七</w:t>
      </w:r>
      <w:r>
        <w:rPr>
          <w:rFonts w:hint="eastAsia" w:ascii="仿宋_GB2312" w:hAnsi="仿宋_GB2312" w:eastAsia="仿宋_GB2312" w:cs="仿宋_GB2312"/>
          <w:b/>
          <w:bCs/>
          <w:color w:val="auto"/>
          <w:highlight w:val="none"/>
          <w:lang w:val="en-US" w:eastAsia="zh-CN"/>
        </w:rPr>
        <w:t>条</w:t>
      </w:r>
      <w:r>
        <w:rPr>
          <w:rFonts w:hint="eastAsia" w:ascii="仿宋_GB2312" w:hAnsi="仿宋_GB2312" w:eastAsia="仿宋_GB2312" w:cs="仿宋_GB2312"/>
          <w:color w:val="auto"/>
          <w:highlight w:val="none"/>
          <w:lang w:val="en-US" w:eastAsia="zh-CN"/>
        </w:rPr>
        <w:t xml:space="preserve"> 限额以下小型</w:t>
      </w:r>
      <w:r>
        <w:rPr>
          <w:rFonts w:hint="eastAsia" w:ascii="仿宋_GB2312" w:hAnsi="仿宋_GB2312" w:eastAsia="仿宋_GB2312" w:cs="仿宋_GB2312"/>
          <w:color w:val="auto"/>
          <w:highlight w:val="none"/>
        </w:rPr>
        <w:t>工程和零星作业应按照以下要求开展安全生产</w:t>
      </w:r>
      <w:r>
        <w:rPr>
          <w:rFonts w:hint="eastAsia" w:cs="仿宋_GB2312"/>
          <w:color w:val="auto"/>
          <w:highlight w:val="none"/>
          <w:lang w:val="en-US" w:eastAsia="zh-CN"/>
        </w:rPr>
        <w:t>备案</w:t>
      </w:r>
      <w:r>
        <w:rPr>
          <w:rFonts w:hint="eastAsia" w:ascii="仿宋_GB2312" w:hAnsi="仿宋_GB2312" w:eastAsia="仿宋_GB2312" w:cs="仿宋_GB2312"/>
          <w:color w:val="auto"/>
          <w:highlight w:val="none"/>
        </w:rPr>
        <w:t>登记工作：</w:t>
      </w:r>
    </w:p>
    <w:p w14:paraId="132177B6">
      <w:pPr>
        <w:pStyle w:val="16"/>
        <w:keepNext w:val="0"/>
        <w:keepLines w:val="0"/>
        <w:pageBreakBefore w:val="0"/>
        <w:widowControl w:val="0"/>
        <w:shd w:val="clear" w:color="auto" w:fill="auto"/>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一</w:t>
      </w:r>
      <w:r>
        <w:rPr>
          <w:rFonts w:hint="eastAsia" w:ascii="仿宋_GB2312" w:hAnsi="仿宋_GB2312" w:eastAsia="仿宋_GB2312" w:cs="仿宋_GB2312"/>
          <w:color w:val="auto"/>
          <w:highlight w:val="none"/>
          <w:lang w:eastAsia="zh-CN"/>
        </w:rPr>
        <w:t>）建设单位</w:t>
      </w:r>
      <w:r>
        <w:rPr>
          <w:rFonts w:hint="eastAsia" w:cs="仿宋_GB2312"/>
          <w:color w:val="auto"/>
          <w:highlight w:val="none"/>
          <w:lang w:eastAsia="zh-CN"/>
        </w:rPr>
        <w:t>或者</w:t>
      </w:r>
      <w:r>
        <w:rPr>
          <w:rFonts w:hint="eastAsia" w:ascii="仿宋_GB2312" w:hAnsi="仿宋_GB2312" w:eastAsia="仿宋_GB2312" w:cs="仿宋_GB2312"/>
          <w:color w:val="auto"/>
          <w:highlight w:val="none"/>
          <w:lang w:eastAsia="zh-CN"/>
        </w:rPr>
        <w:t>业主</w:t>
      </w:r>
      <w:r>
        <w:rPr>
          <w:rFonts w:hint="eastAsia" w:ascii="仿宋_GB2312" w:hAnsi="仿宋_GB2312" w:eastAsia="仿宋_GB2312" w:cs="仿宋_GB2312"/>
          <w:color w:val="auto"/>
          <w:highlight w:val="none"/>
          <w:lang w:val="en-US" w:eastAsia="zh-CN"/>
        </w:rPr>
        <w:t>应</w:t>
      </w:r>
      <w:r>
        <w:rPr>
          <w:rFonts w:hint="eastAsia" w:ascii="仿宋_GB2312" w:hAnsi="仿宋_GB2312" w:eastAsia="仿宋_GB2312" w:cs="仿宋_GB2312"/>
          <w:color w:val="auto"/>
          <w:highlight w:val="none"/>
          <w:lang w:eastAsia="zh-CN"/>
        </w:rPr>
        <w:t>遵循诚信原则申报</w:t>
      </w:r>
      <w:r>
        <w:rPr>
          <w:rFonts w:hint="eastAsia" w:cs="仿宋_GB2312"/>
          <w:color w:val="auto"/>
          <w:highlight w:val="none"/>
          <w:lang w:val="en-US" w:eastAsia="zh-CN"/>
        </w:rPr>
        <w:t>备案</w:t>
      </w:r>
      <w:r>
        <w:rPr>
          <w:rFonts w:hint="eastAsia" w:ascii="仿宋_GB2312" w:hAnsi="仿宋_GB2312" w:eastAsia="仿宋_GB2312" w:cs="仿宋_GB2312"/>
          <w:color w:val="auto"/>
          <w:highlight w:val="none"/>
          <w:lang w:eastAsia="zh-CN"/>
        </w:rPr>
        <w:t>登记</w:t>
      </w:r>
      <w:r>
        <w:rPr>
          <w:rFonts w:hint="eastAsia" w:ascii="仿宋_GB2312" w:hAnsi="仿宋_GB2312" w:eastAsia="仿宋_GB2312" w:cs="仿宋_GB2312"/>
          <w:color w:val="auto"/>
          <w:highlight w:val="none"/>
        </w:rPr>
        <w:t>安全生产</w:t>
      </w:r>
      <w:r>
        <w:rPr>
          <w:rFonts w:hint="eastAsia" w:ascii="仿宋_GB2312" w:hAnsi="仿宋_GB2312" w:eastAsia="仿宋_GB2312" w:cs="仿宋_GB2312"/>
          <w:color w:val="auto"/>
          <w:highlight w:val="none"/>
          <w:lang w:eastAsia="zh-CN"/>
        </w:rPr>
        <w:t>信息和材料，并对</w:t>
      </w:r>
      <w:r>
        <w:rPr>
          <w:rFonts w:hint="eastAsia" w:ascii="仿宋_GB2312" w:hAnsi="仿宋_GB2312" w:eastAsia="仿宋_GB2312" w:cs="仿宋_GB2312"/>
          <w:color w:val="auto"/>
          <w:highlight w:val="none"/>
          <w:lang w:val="en-US" w:eastAsia="zh-CN"/>
        </w:rPr>
        <w:t>登记</w:t>
      </w:r>
      <w:r>
        <w:rPr>
          <w:rFonts w:hint="eastAsia" w:ascii="仿宋_GB2312" w:hAnsi="仿宋_GB2312" w:eastAsia="仿宋_GB2312" w:cs="仿宋_GB2312"/>
          <w:color w:val="auto"/>
          <w:highlight w:val="none"/>
          <w:lang w:eastAsia="zh-CN"/>
        </w:rPr>
        <w:t>信息和材料的真实性负责。</w:t>
      </w:r>
    </w:p>
    <w:p w14:paraId="5FEE93C3">
      <w:pPr>
        <w:pStyle w:val="16"/>
        <w:keepNext w:val="0"/>
        <w:keepLines w:val="0"/>
        <w:pageBreakBefore w:val="0"/>
        <w:widowControl w:val="0"/>
        <w:shd w:val="clear" w:color="auto" w:fill="auto"/>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二</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受理</w:t>
      </w:r>
      <w:r>
        <w:rPr>
          <w:rFonts w:hint="eastAsia" w:ascii="仿宋_GB2312" w:hAnsi="仿宋_GB2312" w:eastAsia="仿宋_GB2312" w:cs="仿宋_GB2312"/>
          <w:color w:val="auto"/>
          <w:highlight w:val="none"/>
          <w:lang w:eastAsia="zh-CN"/>
        </w:rPr>
        <w:t>单位</w:t>
      </w:r>
      <w:r>
        <w:rPr>
          <w:rFonts w:hint="eastAsia" w:ascii="仿宋_GB2312" w:hAnsi="仿宋_GB2312" w:eastAsia="仿宋_GB2312" w:cs="仿宋_GB2312"/>
          <w:color w:val="auto"/>
          <w:highlight w:val="none"/>
          <w:lang w:val="en-US" w:eastAsia="zh-CN"/>
        </w:rPr>
        <w:t>负责</w:t>
      </w:r>
      <w:r>
        <w:rPr>
          <w:rFonts w:hint="eastAsia" w:ascii="仿宋_GB2312" w:hAnsi="仿宋_GB2312" w:eastAsia="仿宋_GB2312" w:cs="仿宋_GB2312"/>
          <w:color w:val="auto"/>
          <w:highlight w:val="none"/>
          <w:lang w:eastAsia="zh-CN"/>
        </w:rPr>
        <w:t>对</w:t>
      </w:r>
      <w:r>
        <w:rPr>
          <w:rFonts w:hint="eastAsia" w:ascii="仿宋_GB2312" w:hAnsi="仿宋_GB2312" w:eastAsia="仿宋_GB2312" w:cs="仿宋_GB2312"/>
          <w:color w:val="auto"/>
          <w:highlight w:val="none"/>
          <w:lang w:val="en-US" w:eastAsia="zh-CN"/>
        </w:rPr>
        <w:t>申报</w:t>
      </w:r>
      <w:r>
        <w:rPr>
          <w:rFonts w:hint="eastAsia" w:ascii="仿宋_GB2312" w:hAnsi="仿宋_GB2312" w:eastAsia="仿宋_GB2312" w:cs="仿宋_GB2312"/>
          <w:color w:val="auto"/>
          <w:highlight w:val="none"/>
          <w:lang w:eastAsia="zh-CN"/>
        </w:rPr>
        <w:t>信息、材料的完整性进行</w:t>
      </w:r>
      <w:r>
        <w:rPr>
          <w:rFonts w:hint="eastAsia" w:ascii="仿宋_GB2312" w:hAnsi="仿宋_GB2312" w:eastAsia="仿宋_GB2312" w:cs="仿宋_GB2312"/>
          <w:color w:val="auto"/>
          <w:highlight w:val="none"/>
          <w:lang w:val="en-US" w:eastAsia="zh-CN"/>
        </w:rPr>
        <w:t>审核。</w:t>
      </w:r>
    </w:p>
    <w:p w14:paraId="702FAA8E">
      <w:pPr>
        <w:pStyle w:val="16"/>
        <w:keepNext w:val="0"/>
        <w:keepLines w:val="0"/>
        <w:pageBreakBefore w:val="0"/>
        <w:widowControl w:val="0"/>
        <w:numPr>
          <w:ilvl w:val="0"/>
          <w:numId w:val="0"/>
        </w:numPr>
        <w:shd w:val="clear" w:color="auto" w:fill="auto"/>
        <w:kinsoku/>
        <w:wordWrap/>
        <w:overflowPunct/>
        <w:topLinePunct w:val="0"/>
        <w:autoSpaceDE/>
        <w:autoSpaceDN/>
        <w:bidi w:val="0"/>
        <w:spacing w:line="560" w:lineRule="exac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对于应当申请办理施工许可证</w:t>
      </w:r>
      <w:r>
        <w:rPr>
          <w:rFonts w:hint="eastAsia" w:cs="仿宋_GB2312"/>
          <w:color w:val="auto"/>
          <w:highlight w:val="none"/>
          <w:lang w:val="en-US" w:eastAsia="zh-CN"/>
        </w:rPr>
        <w:t>或者开工报告</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lang w:eastAsia="zh-CN"/>
        </w:rPr>
        <w:t>告知其向有关部门申请</w:t>
      </w:r>
      <w:r>
        <w:rPr>
          <w:rFonts w:hint="eastAsia" w:ascii="仿宋_GB2312" w:hAnsi="仿宋_GB2312" w:eastAsia="仿宋_GB2312" w:cs="仿宋_GB2312"/>
          <w:color w:val="auto"/>
          <w:highlight w:val="none"/>
          <w:lang w:val="en-US" w:eastAsia="zh-CN"/>
        </w:rPr>
        <w:t>办理。</w:t>
      </w:r>
    </w:p>
    <w:p w14:paraId="5C612DDF">
      <w:pPr>
        <w:pStyle w:val="16"/>
        <w:keepNext w:val="0"/>
        <w:keepLines w:val="0"/>
        <w:pageBreakBefore w:val="0"/>
        <w:widowControl w:val="0"/>
        <w:numPr>
          <w:ilvl w:val="0"/>
          <w:numId w:val="0"/>
        </w:numPr>
        <w:shd w:val="clear" w:color="auto" w:fill="auto"/>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cs="仿宋_GB2312"/>
          <w:color w:val="auto"/>
          <w:highlight w:val="none"/>
          <w:lang w:val="en-US" w:eastAsia="zh-CN"/>
        </w:rPr>
        <w:t>（三）登记信息及时推送各相关部门，各相关部门依照职责开展纳管工作。</w:t>
      </w:r>
    </w:p>
    <w:p w14:paraId="32D1C4AE">
      <w:pPr>
        <w:pStyle w:val="16"/>
        <w:keepNext w:val="0"/>
        <w:keepLines w:val="0"/>
        <w:pageBreakBefore w:val="0"/>
        <w:widowControl w:val="0"/>
        <w:numPr>
          <w:ilvl w:val="0"/>
          <w:numId w:val="0"/>
        </w:numPr>
        <w:shd w:val="clear" w:color="auto" w:fill="auto"/>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highlight w:val="none"/>
          <w:lang w:eastAsia="zh-CN"/>
        </w:rPr>
      </w:pPr>
      <w:r>
        <w:rPr>
          <w:rFonts w:hint="eastAsia"/>
          <w:color w:val="auto"/>
          <w:sz w:val="32"/>
          <w:szCs w:val="24"/>
          <w:highlight w:val="none"/>
          <w:lang w:val="en-US" w:eastAsia="zh-CN"/>
        </w:rPr>
        <w:t>受理单位应当在受理备案登记时，通过签署安全生产承诺书、播放警示教育视频、风险告知书等方式，</w:t>
      </w:r>
      <w:r>
        <w:rPr>
          <w:rFonts w:hint="eastAsia"/>
          <w:color w:val="auto"/>
          <w:sz w:val="32"/>
          <w:szCs w:val="24"/>
          <w:highlight w:val="none"/>
        </w:rPr>
        <w:t>告知</w:t>
      </w:r>
      <w:r>
        <w:rPr>
          <w:rFonts w:hint="eastAsia"/>
          <w:color w:val="auto"/>
          <w:sz w:val="32"/>
          <w:szCs w:val="24"/>
          <w:highlight w:val="none"/>
          <w:lang w:val="en-US" w:eastAsia="zh-CN"/>
        </w:rPr>
        <w:t>限额以下小型</w:t>
      </w:r>
      <w:r>
        <w:rPr>
          <w:rFonts w:hint="eastAsia"/>
          <w:color w:val="auto"/>
          <w:sz w:val="32"/>
          <w:szCs w:val="24"/>
          <w:highlight w:val="none"/>
        </w:rPr>
        <w:t>工程</w:t>
      </w:r>
      <w:r>
        <w:rPr>
          <w:rFonts w:hint="eastAsia"/>
          <w:color w:val="auto"/>
          <w:sz w:val="32"/>
          <w:szCs w:val="24"/>
          <w:highlight w:val="none"/>
          <w:lang w:val="en-US" w:eastAsia="zh-CN"/>
        </w:rPr>
        <w:t>和</w:t>
      </w:r>
      <w:r>
        <w:rPr>
          <w:rFonts w:hint="eastAsia"/>
          <w:color w:val="auto"/>
          <w:sz w:val="32"/>
          <w:szCs w:val="24"/>
          <w:highlight w:val="none"/>
        </w:rPr>
        <w:t>零星作业的有关注意事项、禁止行为、安全生</w:t>
      </w:r>
      <w:r>
        <w:rPr>
          <w:rFonts w:hint="eastAsia" w:ascii="仿宋_GB2312" w:hAnsi="仿宋_GB2312" w:eastAsia="仿宋_GB2312" w:cs="仿宋_GB2312"/>
          <w:color w:val="auto"/>
          <w:highlight w:val="none"/>
          <w:lang w:eastAsia="zh-CN"/>
        </w:rPr>
        <w:t>产工作要求等内容，</w:t>
      </w:r>
      <w:r>
        <w:rPr>
          <w:rFonts w:hint="eastAsia" w:ascii="仿宋_GB2312" w:hAnsi="仿宋_GB2312" w:eastAsia="仿宋_GB2312" w:cs="仿宋_GB2312"/>
          <w:color w:val="auto"/>
          <w:highlight w:val="none"/>
          <w:lang w:val="en-US" w:eastAsia="zh-CN"/>
        </w:rPr>
        <w:t>督促引导责任主体按照规定落实安全生产主体责任。</w:t>
      </w:r>
    </w:p>
    <w:p w14:paraId="6620EB90">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bCs/>
          <w:color w:val="auto"/>
          <w:kern w:val="0"/>
          <w:sz w:val="32"/>
          <w:szCs w:val="32"/>
          <w:highlight w:val="none"/>
          <w:lang w:val="en-US" w:eastAsia="zh-CN"/>
        </w:rPr>
        <w:t>第十</w:t>
      </w:r>
      <w:r>
        <w:rPr>
          <w:rFonts w:hint="eastAsia" w:cs="仿宋_GB2312"/>
          <w:b/>
          <w:bCs/>
          <w:color w:val="auto"/>
          <w:kern w:val="0"/>
          <w:sz w:val="32"/>
          <w:szCs w:val="32"/>
          <w:highlight w:val="none"/>
          <w:lang w:val="en-US" w:eastAsia="zh-CN"/>
        </w:rPr>
        <w:t>八</w:t>
      </w:r>
      <w:r>
        <w:rPr>
          <w:rFonts w:hint="eastAsia" w:ascii="仿宋_GB2312" w:hAnsi="仿宋_GB2312" w:eastAsia="仿宋_GB2312" w:cs="仿宋_GB2312"/>
          <w:b/>
          <w:bCs/>
          <w:color w:val="auto"/>
          <w:kern w:val="0"/>
          <w:sz w:val="32"/>
          <w:szCs w:val="32"/>
          <w:highlight w:val="none"/>
          <w:lang w:val="en-US" w:eastAsia="zh-CN"/>
        </w:rPr>
        <w:t>条</w:t>
      </w:r>
      <w:r>
        <w:rPr>
          <w:rFonts w:hint="eastAsia" w:ascii="黑体" w:hAnsi="黑体" w:eastAsia="黑体" w:cs="Times New Roman"/>
          <w:color w:val="auto"/>
          <w:kern w:val="2"/>
          <w:sz w:val="32"/>
          <w:szCs w:val="32"/>
          <w:lang w:val="en-US" w:eastAsia="zh-CN" w:bidi="ar-SA"/>
        </w:rPr>
        <w:t xml:space="preserve"> </w:t>
      </w:r>
      <w:r>
        <w:rPr>
          <w:rFonts w:hint="eastAsia" w:ascii="仿宋_GB2312" w:hAnsi="仿宋_GB2312" w:eastAsia="仿宋_GB2312" w:cs="仿宋_GB2312"/>
          <w:sz w:val="32"/>
          <w:szCs w:val="32"/>
        </w:rPr>
        <w:t>完成施工合同内容后，建设单位</w:t>
      </w:r>
      <w:r>
        <w:rPr>
          <w:rFonts w:hint="eastAsia" w:cs="仿宋_GB2312"/>
          <w:sz w:val="32"/>
          <w:szCs w:val="32"/>
          <w:lang w:eastAsia="zh-CN"/>
        </w:rPr>
        <w:t>或者业主</w:t>
      </w:r>
      <w:r>
        <w:rPr>
          <w:rFonts w:hint="eastAsia" w:ascii="仿宋_GB2312" w:hAnsi="仿宋_GB2312" w:eastAsia="仿宋_GB2312" w:cs="仿宋_GB2312"/>
          <w:sz w:val="32"/>
          <w:szCs w:val="32"/>
        </w:rPr>
        <w:t>应提交完工证明，及时</w:t>
      </w:r>
      <w:r>
        <w:rPr>
          <w:rFonts w:hint="eastAsia" w:eastAsia="仿宋_GB2312"/>
          <w:color w:val="000000"/>
          <w:sz w:val="32"/>
          <w:szCs w:val="32"/>
        </w:rPr>
        <w:t>向镇街或</w:t>
      </w:r>
      <w:r>
        <w:rPr>
          <w:rFonts w:hint="eastAsia"/>
          <w:color w:val="000000"/>
          <w:sz w:val="32"/>
          <w:szCs w:val="32"/>
          <w:lang w:eastAsia="zh-CN"/>
        </w:rPr>
        <w:t>者</w:t>
      </w:r>
      <w:r>
        <w:rPr>
          <w:rFonts w:hint="eastAsia" w:eastAsia="仿宋_GB2312"/>
          <w:color w:val="000000"/>
          <w:sz w:val="32"/>
          <w:szCs w:val="32"/>
        </w:rPr>
        <w:t>其委托的单位申请</w:t>
      </w:r>
      <w:r>
        <w:rPr>
          <w:rFonts w:hint="eastAsia" w:ascii="仿宋_GB2312" w:hAnsi="仿宋_GB2312" w:eastAsia="仿宋_GB2312" w:cs="仿宋_GB2312"/>
          <w:sz w:val="32"/>
          <w:szCs w:val="32"/>
        </w:rPr>
        <w:t>销案确认。</w:t>
      </w:r>
    </w:p>
    <w:p w14:paraId="210CC1D0">
      <w:pPr>
        <w:pStyle w:val="1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1"/>
        <w:rPr>
          <w:rFonts w:hint="eastAsia" w:ascii="仿宋_GB2312" w:hAnsi="仿宋_GB2312" w:eastAsia="仿宋_GB2312" w:cs="Times New Roman"/>
          <w:color w:val="auto"/>
          <w:kern w:val="0"/>
          <w:sz w:val="32"/>
          <w:szCs w:val="24"/>
          <w:highlight w:val="none"/>
          <w:lang w:val="en-US" w:eastAsia="zh-CN"/>
        </w:rPr>
      </w:pPr>
      <w:r>
        <w:rPr>
          <w:rFonts w:hint="eastAsia" w:ascii="仿宋_GB2312" w:hAnsi="仿宋_GB2312" w:eastAsia="仿宋_GB2312" w:cs="仿宋_GB2312"/>
          <w:b/>
          <w:bCs/>
          <w:color w:val="auto"/>
          <w:highlight w:val="none"/>
          <w:lang w:val="en-US" w:eastAsia="zh-CN"/>
        </w:rPr>
        <w:t>第十</w:t>
      </w:r>
      <w:r>
        <w:rPr>
          <w:rFonts w:hint="eastAsia" w:cs="仿宋_GB2312"/>
          <w:b/>
          <w:bCs/>
          <w:color w:val="auto"/>
          <w:highlight w:val="none"/>
          <w:lang w:val="en-US" w:eastAsia="zh-CN"/>
        </w:rPr>
        <w:t>九</w:t>
      </w:r>
      <w:r>
        <w:rPr>
          <w:rFonts w:hint="eastAsia" w:ascii="仿宋_GB2312" w:hAnsi="仿宋_GB2312" w:eastAsia="仿宋_GB2312" w:cs="仿宋_GB2312"/>
          <w:b/>
          <w:bCs/>
          <w:color w:val="auto"/>
          <w:highlight w:val="none"/>
          <w:lang w:val="en-US" w:eastAsia="zh-CN"/>
        </w:rPr>
        <w:t>条</w:t>
      </w:r>
      <w:r>
        <w:rPr>
          <w:rFonts w:hint="eastAsia" w:ascii="仿宋_GB2312" w:hAnsi="仿宋_GB2312" w:eastAsia="仿宋_GB2312" w:cs="Times New Roman"/>
          <w:color w:val="auto"/>
          <w:kern w:val="0"/>
          <w:sz w:val="32"/>
          <w:szCs w:val="24"/>
          <w:highlight w:val="none"/>
          <w:lang w:val="en-US" w:eastAsia="zh-CN"/>
        </w:rPr>
        <w:t xml:space="preserve"> 高风险小型工程施工应</w:t>
      </w:r>
      <w:r>
        <w:rPr>
          <w:rFonts w:hint="eastAsia" w:cs="Times New Roman"/>
          <w:color w:val="auto"/>
          <w:kern w:val="0"/>
          <w:sz w:val="32"/>
          <w:szCs w:val="24"/>
          <w:highlight w:val="none"/>
          <w:lang w:val="en-US" w:eastAsia="zh-CN"/>
        </w:rPr>
        <w:t>当</w:t>
      </w:r>
      <w:r>
        <w:rPr>
          <w:rFonts w:hint="eastAsia" w:ascii="仿宋_GB2312" w:hAnsi="仿宋_GB2312" w:eastAsia="仿宋_GB2312" w:cs="Times New Roman"/>
          <w:color w:val="auto"/>
          <w:kern w:val="0"/>
          <w:sz w:val="32"/>
          <w:szCs w:val="24"/>
          <w:highlight w:val="none"/>
          <w:lang w:val="en-US" w:eastAsia="zh-CN"/>
        </w:rPr>
        <w:t>遵照以下管理要求：</w:t>
      </w:r>
    </w:p>
    <w:p w14:paraId="4114CE58">
      <w:pPr>
        <w:pStyle w:val="16"/>
        <w:keepNext w:val="0"/>
        <w:keepLines w:val="0"/>
        <w:pageBreakBefore w:val="0"/>
        <w:widowControl w:val="0"/>
        <w:numPr>
          <w:ilvl w:val="0"/>
          <w:numId w:val="0"/>
        </w:numPr>
        <w:shd w:val="clear" w:color="auto" w:fill="auto"/>
        <w:kinsoku/>
        <w:wordWrap/>
        <w:overflowPunct/>
        <w:topLinePunct w:val="0"/>
        <w:autoSpaceDE/>
        <w:autoSpaceDN/>
        <w:bidi w:val="0"/>
        <w:spacing w:line="560" w:lineRule="exact"/>
        <w:ind w:firstLine="640" w:firstLineChars="200"/>
        <w:textAlignment w:val="auto"/>
        <w:rPr>
          <w:rFonts w:hint="eastAsia"/>
          <w:color w:val="auto"/>
          <w:sz w:val="32"/>
          <w:szCs w:val="24"/>
          <w:highlight w:val="none"/>
        </w:rPr>
      </w:pPr>
      <w:bookmarkStart w:id="0" w:name="_Hlk169077631"/>
      <w:r>
        <w:rPr>
          <w:rFonts w:hint="eastAsia"/>
          <w:color w:val="auto"/>
          <w:sz w:val="32"/>
          <w:szCs w:val="24"/>
          <w:highlight w:val="none"/>
        </w:rPr>
        <w:t>（一）开工前，建设单位必须在施工现场显著位置放置施工公示牌，公示建设单位、施工单位、项目负责人、投诉举报电话、高风险限额以下工程管理要求等信息，自觉接受社会监督。施工单位必须组织编制施工组织方案，明确施工安全保证措施、施工人员保障、应急处置措施等内容，</w:t>
      </w:r>
      <w:bookmarkStart w:id="1" w:name="_Hlk169020952"/>
      <w:r>
        <w:rPr>
          <w:rFonts w:hint="eastAsia"/>
          <w:color w:val="auto"/>
          <w:sz w:val="32"/>
          <w:szCs w:val="24"/>
          <w:highlight w:val="none"/>
        </w:rPr>
        <w:t>涉及超过一定规模的危大工程，施工单位还应按规定组织落实专家论证等有关要求</w:t>
      </w:r>
      <w:bookmarkEnd w:id="1"/>
      <w:r>
        <w:rPr>
          <w:rFonts w:hint="eastAsia"/>
          <w:color w:val="auto"/>
          <w:sz w:val="32"/>
          <w:szCs w:val="24"/>
          <w:highlight w:val="none"/>
        </w:rPr>
        <w:t>。施工</w:t>
      </w:r>
      <w:r>
        <w:rPr>
          <w:rFonts w:hint="eastAsia"/>
          <w:color w:val="auto"/>
          <w:sz w:val="32"/>
          <w:szCs w:val="24"/>
          <w:highlight w:val="none"/>
          <w:lang w:eastAsia="zh-CN"/>
        </w:rPr>
        <w:t>组织</w:t>
      </w:r>
      <w:r>
        <w:rPr>
          <w:rFonts w:hint="eastAsia"/>
          <w:color w:val="auto"/>
          <w:sz w:val="32"/>
          <w:szCs w:val="24"/>
          <w:highlight w:val="none"/>
        </w:rPr>
        <w:t>方案由施工单位技术负责人审核签字、加盖单位公章后，报建设单位存档。施工单位严格按照方案组织施工，不得擅自修改施工方案。</w:t>
      </w:r>
    </w:p>
    <w:p w14:paraId="4A3F7074">
      <w:pPr>
        <w:pStyle w:val="16"/>
        <w:keepNext w:val="0"/>
        <w:keepLines w:val="0"/>
        <w:pageBreakBefore w:val="0"/>
        <w:widowControl w:val="0"/>
        <w:numPr>
          <w:ilvl w:val="0"/>
          <w:numId w:val="0"/>
        </w:numPr>
        <w:shd w:val="clear" w:color="auto" w:fill="auto"/>
        <w:kinsoku/>
        <w:wordWrap/>
        <w:overflowPunct/>
        <w:topLinePunct w:val="0"/>
        <w:autoSpaceDE/>
        <w:autoSpaceDN/>
        <w:bidi w:val="0"/>
        <w:spacing w:line="560" w:lineRule="exact"/>
        <w:ind w:firstLine="640" w:firstLineChars="200"/>
        <w:textAlignment w:val="auto"/>
        <w:rPr>
          <w:rFonts w:hint="eastAsia"/>
          <w:color w:val="auto"/>
          <w:sz w:val="32"/>
          <w:szCs w:val="24"/>
          <w:highlight w:val="none"/>
          <w:lang w:val="en-US" w:eastAsia="zh-CN"/>
        </w:rPr>
      </w:pPr>
      <w:r>
        <w:rPr>
          <w:rFonts w:hint="eastAsia"/>
          <w:color w:val="auto"/>
          <w:sz w:val="32"/>
          <w:szCs w:val="24"/>
          <w:highlight w:val="none"/>
        </w:rPr>
        <w:t>（二）涉及建筑主体结构和承重结构变动的，</w:t>
      </w:r>
      <w:r>
        <w:rPr>
          <w:rFonts w:hint="eastAsia"/>
          <w:color w:val="auto"/>
          <w:sz w:val="32"/>
          <w:szCs w:val="24"/>
          <w:highlight w:val="none"/>
          <w:lang w:val="en-US" w:eastAsia="zh-CN"/>
        </w:rPr>
        <w:t>应当严格按照本办法第六条第四款要求加强管理。</w:t>
      </w:r>
    </w:p>
    <w:p w14:paraId="5CBB246D">
      <w:pPr>
        <w:pStyle w:val="16"/>
        <w:keepNext w:val="0"/>
        <w:keepLines w:val="0"/>
        <w:pageBreakBefore w:val="0"/>
        <w:widowControl w:val="0"/>
        <w:numPr>
          <w:ilvl w:val="0"/>
          <w:numId w:val="0"/>
        </w:numPr>
        <w:shd w:val="clear" w:color="auto" w:fill="auto"/>
        <w:kinsoku/>
        <w:wordWrap/>
        <w:overflowPunct/>
        <w:topLinePunct w:val="0"/>
        <w:autoSpaceDE/>
        <w:autoSpaceDN/>
        <w:bidi w:val="0"/>
        <w:spacing w:line="560" w:lineRule="exact"/>
        <w:ind w:firstLine="640" w:firstLineChars="200"/>
        <w:textAlignment w:val="auto"/>
        <w:rPr>
          <w:rFonts w:hint="default"/>
          <w:color w:val="auto"/>
          <w:sz w:val="32"/>
          <w:szCs w:val="24"/>
          <w:highlight w:val="none"/>
          <w:lang w:val="en-US" w:eastAsia="zh-CN"/>
        </w:rPr>
      </w:pPr>
      <w:r>
        <w:rPr>
          <w:rFonts w:hint="eastAsia"/>
          <w:color w:val="auto"/>
          <w:sz w:val="32"/>
          <w:szCs w:val="24"/>
          <w:highlight w:val="none"/>
          <w:lang w:val="en-US" w:eastAsia="zh-CN"/>
        </w:rPr>
        <w:t>（三）涉及动火作业的，应当严格按照本办法第八条第五款要求加强管理，落实动火作业安全管理的若干措施。</w:t>
      </w:r>
    </w:p>
    <w:p w14:paraId="335B66DE">
      <w:pPr>
        <w:pStyle w:val="16"/>
        <w:keepNext w:val="0"/>
        <w:keepLines w:val="0"/>
        <w:pageBreakBefore w:val="0"/>
        <w:widowControl w:val="0"/>
        <w:numPr>
          <w:ilvl w:val="0"/>
          <w:numId w:val="0"/>
        </w:numPr>
        <w:shd w:val="clear" w:color="auto" w:fill="auto"/>
        <w:kinsoku/>
        <w:wordWrap/>
        <w:overflowPunct/>
        <w:topLinePunct w:val="0"/>
        <w:autoSpaceDE/>
        <w:autoSpaceDN/>
        <w:bidi w:val="0"/>
        <w:spacing w:line="560" w:lineRule="exact"/>
        <w:ind w:firstLine="640" w:firstLineChars="200"/>
        <w:textAlignment w:val="auto"/>
        <w:rPr>
          <w:rFonts w:hint="eastAsia"/>
          <w:color w:val="auto"/>
          <w:sz w:val="32"/>
          <w:szCs w:val="24"/>
          <w:highlight w:val="none"/>
        </w:rPr>
      </w:pPr>
      <w:r>
        <w:rPr>
          <w:rFonts w:hint="eastAsia"/>
          <w:color w:val="auto"/>
          <w:sz w:val="32"/>
          <w:szCs w:val="24"/>
          <w:highlight w:val="none"/>
        </w:rPr>
        <w:t>（</w:t>
      </w:r>
      <w:r>
        <w:rPr>
          <w:rFonts w:hint="eastAsia"/>
          <w:color w:val="auto"/>
          <w:sz w:val="32"/>
          <w:szCs w:val="24"/>
          <w:highlight w:val="none"/>
          <w:lang w:val="en-US" w:eastAsia="zh-CN"/>
        </w:rPr>
        <w:t>四</w:t>
      </w:r>
      <w:r>
        <w:rPr>
          <w:rFonts w:hint="eastAsia"/>
          <w:color w:val="auto"/>
          <w:sz w:val="32"/>
          <w:szCs w:val="24"/>
          <w:highlight w:val="none"/>
        </w:rPr>
        <w:t>）建设单位申请备案登记后，镇街应</w:t>
      </w:r>
      <w:r>
        <w:rPr>
          <w:rFonts w:hint="eastAsia"/>
          <w:color w:val="auto"/>
          <w:sz w:val="32"/>
          <w:szCs w:val="24"/>
          <w:highlight w:val="none"/>
          <w:lang w:eastAsia="zh-CN"/>
        </w:rPr>
        <w:t>当</w:t>
      </w:r>
      <w:r>
        <w:rPr>
          <w:rFonts w:hint="eastAsia"/>
          <w:color w:val="auto"/>
          <w:sz w:val="32"/>
          <w:szCs w:val="24"/>
          <w:highlight w:val="none"/>
        </w:rPr>
        <w:t>于</w:t>
      </w:r>
      <w:r>
        <w:rPr>
          <w:rFonts w:hint="default" w:ascii="Times New Roman" w:hAnsi="Times New Roman" w:cs="Times New Roman"/>
          <w:color w:val="auto"/>
          <w:sz w:val="32"/>
          <w:szCs w:val="24"/>
          <w:highlight w:val="none"/>
        </w:rPr>
        <w:t>5</w:t>
      </w:r>
      <w:r>
        <w:rPr>
          <w:rFonts w:hint="eastAsia"/>
          <w:color w:val="auto"/>
          <w:sz w:val="32"/>
          <w:szCs w:val="24"/>
          <w:highlight w:val="none"/>
        </w:rPr>
        <w:t>个工作日内会同县（市、区）建设</w:t>
      </w:r>
      <w:r>
        <w:rPr>
          <w:rFonts w:hint="eastAsia"/>
          <w:color w:val="auto"/>
          <w:sz w:val="32"/>
          <w:szCs w:val="24"/>
          <w:highlight w:val="none"/>
          <w:lang w:val="en-US" w:eastAsia="zh-CN"/>
        </w:rPr>
        <w:t>工程主管</w:t>
      </w:r>
      <w:r>
        <w:rPr>
          <w:rFonts w:hint="eastAsia"/>
          <w:color w:val="auto"/>
          <w:sz w:val="32"/>
          <w:szCs w:val="24"/>
          <w:highlight w:val="none"/>
        </w:rPr>
        <w:t>部门开展现场检查</w:t>
      </w:r>
      <w:r>
        <w:rPr>
          <w:rFonts w:hint="eastAsia"/>
          <w:color w:val="auto"/>
          <w:sz w:val="32"/>
          <w:szCs w:val="24"/>
          <w:highlight w:val="none"/>
          <w:lang w:eastAsia="zh-CN"/>
        </w:rPr>
        <w:t>或视频远程检查</w:t>
      </w:r>
      <w:r>
        <w:rPr>
          <w:rFonts w:hint="eastAsia"/>
          <w:color w:val="auto"/>
          <w:sz w:val="32"/>
          <w:szCs w:val="24"/>
          <w:highlight w:val="none"/>
        </w:rPr>
        <w:t>。</w:t>
      </w:r>
    </w:p>
    <w:p w14:paraId="63978512">
      <w:pPr>
        <w:pStyle w:val="16"/>
        <w:keepNext w:val="0"/>
        <w:keepLines w:val="0"/>
        <w:pageBreakBefore w:val="0"/>
        <w:widowControl w:val="0"/>
        <w:numPr>
          <w:ilvl w:val="0"/>
          <w:numId w:val="0"/>
        </w:numPr>
        <w:shd w:val="clear" w:color="auto" w:fill="auto"/>
        <w:kinsoku/>
        <w:wordWrap/>
        <w:overflowPunct/>
        <w:topLinePunct w:val="0"/>
        <w:autoSpaceDE/>
        <w:autoSpaceDN/>
        <w:bidi w:val="0"/>
        <w:spacing w:line="560" w:lineRule="exact"/>
        <w:ind w:firstLine="640" w:firstLineChars="200"/>
        <w:textAlignment w:val="auto"/>
        <w:rPr>
          <w:rFonts w:hint="eastAsia"/>
          <w:color w:val="auto"/>
          <w:sz w:val="32"/>
          <w:szCs w:val="24"/>
          <w:highlight w:val="none"/>
        </w:rPr>
      </w:pPr>
      <w:r>
        <w:rPr>
          <w:rFonts w:hint="eastAsia"/>
          <w:color w:val="auto"/>
          <w:sz w:val="32"/>
          <w:szCs w:val="24"/>
          <w:highlight w:val="none"/>
        </w:rPr>
        <w:t>（</w:t>
      </w:r>
      <w:r>
        <w:rPr>
          <w:rFonts w:hint="eastAsia"/>
          <w:color w:val="auto"/>
          <w:sz w:val="32"/>
          <w:szCs w:val="24"/>
          <w:highlight w:val="none"/>
          <w:lang w:val="en-US" w:eastAsia="zh-CN"/>
        </w:rPr>
        <w:t>五</w:t>
      </w:r>
      <w:r>
        <w:rPr>
          <w:rFonts w:hint="eastAsia"/>
          <w:color w:val="auto"/>
          <w:sz w:val="32"/>
          <w:szCs w:val="24"/>
          <w:highlight w:val="none"/>
        </w:rPr>
        <w:t>）施工前，施工单位项目相关负责人必须向施工现场管理人员和作业人员进行书面安全技术交底，告知危险事项及安全管理要点，交底资料由双方共同签字确认，并留档备查。</w:t>
      </w:r>
    </w:p>
    <w:bookmarkEnd w:id="0"/>
    <w:p w14:paraId="5C1B421F">
      <w:pPr>
        <w:pStyle w:val="16"/>
        <w:keepNext w:val="0"/>
        <w:keepLines w:val="0"/>
        <w:pageBreakBefore w:val="0"/>
        <w:widowControl w:val="0"/>
        <w:numPr>
          <w:ilvl w:val="0"/>
          <w:numId w:val="0"/>
        </w:numPr>
        <w:shd w:val="clear" w:color="auto" w:fill="auto"/>
        <w:kinsoku/>
        <w:wordWrap/>
        <w:overflowPunct/>
        <w:topLinePunct w:val="0"/>
        <w:autoSpaceDE/>
        <w:autoSpaceDN/>
        <w:bidi w:val="0"/>
        <w:spacing w:line="560" w:lineRule="exact"/>
        <w:ind w:firstLine="640" w:firstLineChars="200"/>
        <w:textAlignment w:val="auto"/>
        <w:rPr>
          <w:rFonts w:hint="eastAsia"/>
          <w:color w:val="auto"/>
          <w:sz w:val="32"/>
          <w:szCs w:val="24"/>
          <w:highlight w:val="none"/>
          <w:lang w:val="en-US" w:eastAsia="zh-CN"/>
        </w:rPr>
      </w:pPr>
      <w:r>
        <w:rPr>
          <w:rFonts w:hint="eastAsia"/>
          <w:color w:val="auto"/>
          <w:sz w:val="32"/>
          <w:szCs w:val="24"/>
          <w:highlight w:val="none"/>
        </w:rPr>
        <w:t>（</w:t>
      </w:r>
      <w:r>
        <w:rPr>
          <w:rFonts w:hint="eastAsia"/>
          <w:color w:val="auto"/>
          <w:sz w:val="32"/>
          <w:szCs w:val="24"/>
          <w:highlight w:val="none"/>
          <w:lang w:val="en-US" w:eastAsia="zh-CN"/>
        </w:rPr>
        <w:t>六</w:t>
      </w:r>
      <w:r>
        <w:rPr>
          <w:rFonts w:hint="eastAsia"/>
          <w:color w:val="auto"/>
          <w:sz w:val="32"/>
          <w:szCs w:val="24"/>
          <w:highlight w:val="none"/>
        </w:rPr>
        <w:t>）施工过程中，发生危及人身安全的险情时，施工单位现场负责人应</w:t>
      </w:r>
      <w:r>
        <w:rPr>
          <w:rFonts w:hint="eastAsia"/>
          <w:color w:val="auto"/>
          <w:sz w:val="32"/>
          <w:szCs w:val="24"/>
          <w:highlight w:val="none"/>
          <w:lang w:eastAsia="zh-CN"/>
        </w:rPr>
        <w:t>当</w:t>
      </w:r>
      <w:r>
        <w:rPr>
          <w:rFonts w:hint="eastAsia"/>
          <w:color w:val="auto"/>
          <w:sz w:val="32"/>
          <w:szCs w:val="24"/>
          <w:highlight w:val="none"/>
        </w:rPr>
        <w:t>立即组织施工人员停止作业、撤离危险区域。</w:t>
      </w:r>
    </w:p>
    <w:p w14:paraId="686D8E6A">
      <w:pPr>
        <w:pStyle w:val="1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1"/>
        <w:rPr>
          <w:rFonts w:hint="eastAsia" w:ascii="仿宋_GB2312" w:hAnsi="仿宋_GB2312" w:eastAsia="仿宋_GB2312" w:cs="Times New Roman"/>
          <w:color w:val="auto"/>
          <w:kern w:val="0"/>
          <w:sz w:val="32"/>
          <w:szCs w:val="24"/>
          <w:highlight w:val="none"/>
          <w:lang w:val="en-US" w:eastAsia="zh-CN"/>
        </w:rPr>
      </w:pPr>
      <w:r>
        <w:rPr>
          <w:rFonts w:hint="eastAsia" w:ascii="仿宋_GB2312" w:hAnsi="仿宋_GB2312" w:eastAsia="仿宋_GB2312" w:cs="仿宋_GB2312"/>
          <w:b/>
          <w:bCs/>
          <w:color w:val="auto"/>
          <w:highlight w:val="none"/>
          <w:lang w:val="en-US" w:eastAsia="zh-CN"/>
        </w:rPr>
        <w:t>第</w:t>
      </w:r>
      <w:r>
        <w:rPr>
          <w:rFonts w:hint="eastAsia" w:cs="仿宋_GB2312"/>
          <w:b/>
          <w:bCs/>
          <w:color w:val="auto"/>
          <w:highlight w:val="none"/>
          <w:lang w:val="en-US" w:eastAsia="zh-CN"/>
        </w:rPr>
        <w:t>二十</w:t>
      </w:r>
      <w:r>
        <w:rPr>
          <w:rFonts w:hint="eastAsia" w:ascii="仿宋_GB2312" w:hAnsi="仿宋_GB2312" w:eastAsia="仿宋_GB2312" w:cs="仿宋_GB2312"/>
          <w:b/>
          <w:bCs/>
          <w:color w:val="auto"/>
          <w:highlight w:val="none"/>
          <w:lang w:val="en-US" w:eastAsia="zh-CN"/>
        </w:rPr>
        <w:t>条</w:t>
      </w:r>
      <w:r>
        <w:rPr>
          <w:rFonts w:hint="eastAsia" w:ascii="黑体" w:hAnsi="黑体" w:eastAsia="黑体" w:cs="Times New Roman"/>
          <w:color w:val="auto"/>
          <w:kern w:val="2"/>
          <w:sz w:val="32"/>
          <w:szCs w:val="32"/>
          <w:highlight w:val="none"/>
          <w:lang w:val="en-US" w:eastAsia="zh-CN" w:bidi="ar-SA"/>
        </w:rPr>
        <w:t xml:space="preserve"> </w:t>
      </w:r>
      <w:r>
        <w:rPr>
          <w:rFonts w:hint="eastAsia"/>
          <w:color w:val="auto"/>
          <w:sz w:val="32"/>
          <w:szCs w:val="24"/>
          <w:highlight w:val="none"/>
          <w:lang w:val="en-US" w:eastAsia="zh-CN"/>
        </w:rPr>
        <w:t>镇街应安排专人或者兼职人员对限额以下小型工程和零星作业安全生产情况开展巡查检查，督促相关单位及责任人落实安全生产主体责任。</w:t>
      </w:r>
      <w:r>
        <w:rPr>
          <w:rFonts w:hint="eastAsia" w:cs="Times New Roman"/>
          <w:color w:val="auto"/>
          <w:kern w:val="0"/>
          <w:sz w:val="32"/>
          <w:szCs w:val="24"/>
          <w:highlight w:val="none"/>
          <w:lang w:val="en-US" w:eastAsia="zh-CN"/>
        </w:rPr>
        <w:t>相关人员应当具备开展巡查工作的基本能力，</w:t>
      </w:r>
      <w:r>
        <w:rPr>
          <w:rFonts w:hint="eastAsia" w:ascii="仿宋_GB2312" w:hAnsi="仿宋_GB2312" w:eastAsia="仿宋_GB2312" w:cs="Times New Roman"/>
          <w:color w:val="auto"/>
          <w:kern w:val="0"/>
          <w:sz w:val="32"/>
          <w:szCs w:val="24"/>
          <w:highlight w:val="none"/>
          <w:lang w:val="en-US" w:eastAsia="zh-CN"/>
        </w:rPr>
        <w:t>管理力量不足的，</w:t>
      </w:r>
      <w:r>
        <w:rPr>
          <w:rFonts w:hint="eastAsia" w:cs="Times New Roman"/>
          <w:color w:val="auto"/>
          <w:kern w:val="0"/>
          <w:sz w:val="32"/>
          <w:szCs w:val="24"/>
          <w:highlight w:val="none"/>
          <w:lang w:val="en-US" w:eastAsia="zh-CN"/>
        </w:rPr>
        <w:t>应当</w:t>
      </w:r>
      <w:r>
        <w:rPr>
          <w:rFonts w:hint="eastAsia" w:ascii="仿宋_GB2312" w:hAnsi="仿宋_GB2312" w:eastAsia="仿宋_GB2312" w:cs="Times New Roman"/>
          <w:color w:val="auto"/>
          <w:kern w:val="0"/>
          <w:sz w:val="32"/>
          <w:szCs w:val="24"/>
          <w:highlight w:val="none"/>
          <w:lang w:val="en-US" w:eastAsia="zh-CN"/>
        </w:rPr>
        <w:t>通过政府购买服务</w:t>
      </w:r>
      <w:r>
        <w:rPr>
          <w:rFonts w:hint="eastAsia" w:cs="Times New Roman"/>
          <w:color w:val="auto"/>
          <w:kern w:val="0"/>
          <w:sz w:val="32"/>
          <w:szCs w:val="24"/>
          <w:highlight w:val="none"/>
          <w:lang w:val="en-US" w:eastAsia="zh-CN"/>
        </w:rPr>
        <w:t>、专业志愿者等</w:t>
      </w:r>
      <w:r>
        <w:rPr>
          <w:rFonts w:hint="eastAsia" w:ascii="仿宋_GB2312" w:hAnsi="仿宋_GB2312" w:eastAsia="仿宋_GB2312" w:cs="Times New Roman"/>
          <w:color w:val="auto"/>
          <w:kern w:val="0"/>
          <w:sz w:val="32"/>
          <w:szCs w:val="24"/>
          <w:highlight w:val="none"/>
          <w:lang w:val="en-US" w:eastAsia="zh-CN"/>
        </w:rPr>
        <w:t>方式充实管理力量。</w:t>
      </w:r>
    </w:p>
    <w:p w14:paraId="166996F7">
      <w:pPr>
        <w:pStyle w:val="16"/>
        <w:shd w:val="clear" w:color="auto" w:fil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第二十一条</w:t>
      </w:r>
      <w:r>
        <w:rPr>
          <w:rFonts w:hint="eastAsia"/>
          <w:color w:val="auto"/>
          <w:sz w:val="32"/>
          <w:szCs w:val="24"/>
          <w:highlight w:val="none"/>
          <w:lang w:val="en-US" w:eastAsia="zh-CN"/>
        </w:rPr>
        <w:t xml:space="preserve"> 巡查人员</w:t>
      </w:r>
      <w:r>
        <w:rPr>
          <w:rFonts w:hint="eastAsia"/>
          <w:color w:val="auto"/>
          <w:sz w:val="32"/>
          <w:szCs w:val="24"/>
          <w:highlight w:val="none"/>
        </w:rPr>
        <w:t>发现未办理安全生产</w:t>
      </w:r>
      <w:r>
        <w:rPr>
          <w:rFonts w:hint="eastAsia"/>
          <w:color w:val="auto"/>
          <w:sz w:val="32"/>
          <w:szCs w:val="24"/>
          <w:highlight w:val="none"/>
          <w:lang w:val="en-US" w:eastAsia="zh-CN"/>
        </w:rPr>
        <w:t>信息登记</w:t>
      </w:r>
      <w:r>
        <w:rPr>
          <w:rFonts w:hint="eastAsia"/>
          <w:color w:val="auto"/>
          <w:sz w:val="32"/>
          <w:szCs w:val="24"/>
          <w:highlight w:val="none"/>
        </w:rPr>
        <w:t>手续的，应</w:t>
      </w:r>
      <w:r>
        <w:rPr>
          <w:rFonts w:hint="eastAsia"/>
          <w:color w:val="auto"/>
          <w:sz w:val="32"/>
          <w:szCs w:val="24"/>
          <w:highlight w:val="none"/>
          <w:lang w:val="en-US" w:eastAsia="zh-CN"/>
        </w:rPr>
        <w:t>当</w:t>
      </w:r>
      <w:r>
        <w:rPr>
          <w:rFonts w:hint="eastAsia"/>
          <w:color w:val="auto"/>
          <w:sz w:val="32"/>
          <w:szCs w:val="24"/>
          <w:highlight w:val="none"/>
        </w:rPr>
        <w:t>督促指导</w:t>
      </w:r>
      <w:r>
        <w:rPr>
          <w:rFonts w:hint="eastAsia"/>
          <w:color w:val="auto"/>
          <w:sz w:val="32"/>
          <w:szCs w:val="24"/>
          <w:highlight w:val="none"/>
          <w:lang w:eastAsia="zh-CN"/>
        </w:rPr>
        <w:t>建设单位或者业主</w:t>
      </w:r>
      <w:r>
        <w:rPr>
          <w:rFonts w:hint="eastAsia"/>
          <w:color w:val="auto"/>
          <w:sz w:val="32"/>
          <w:szCs w:val="24"/>
          <w:highlight w:val="none"/>
        </w:rPr>
        <w:t>按规定办理安全生产</w:t>
      </w:r>
      <w:r>
        <w:rPr>
          <w:rFonts w:hint="eastAsia"/>
          <w:color w:val="auto"/>
          <w:sz w:val="32"/>
          <w:szCs w:val="24"/>
          <w:highlight w:val="none"/>
          <w:lang w:val="en-US" w:eastAsia="zh-CN"/>
        </w:rPr>
        <w:t>备案登记</w:t>
      </w:r>
      <w:r>
        <w:rPr>
          <w:rFonts w:hint="eastAsia"/>
          <w:color w:val="auto"/>
          <w:sz w:val="32"/>
          <w:szCs w:val="24"/>
          <w:highlight w:val="none"/>
        </w:rPr>
        <w:t>手续；发现</w:t>
      </w:r>
      <w:r>
        <w:rPr>
          <w:rFonts w:hint="eastAsia"/>
          <w:color w:val="auto"/>
          <w:sz w:val="32"/>
          <w:szCs w:val="24"/>
          <w:highlight w:val="none"/>
          <w:lang w:val="en-US" w:eastAsia="zh-CN"/>
        </w:rPr>
        <w:t>现场</w:t>
      </w:r>
      <w:r>
        <w:rPr>
          <w:rFonts w:hint="eastAsia"/>
          <w:color w:val="auto"/>
          <w:sz w:val="32"/>
          <w:szCs w:val="24"/>
          <w:highlight w:val="none"/>
        </w:rPr>
        <w:t>高风险小型工程与</w:t>
      </w:r>
      <w:r>
        <w:rPr>
          <w:rFonts w:hint="eastAsia"/>
          <w:color w:val="auto"/>
          <w:sz w:val="32"/>
          <w:szCs w:val="24"/>
          <w:highlight w:val="none"/>
          <w:lang w:val="en-US" w:eastAsia="zh-CN"/>
        </w:rPr>
        <w:t>备案登记的信息</w:t>
      </w:r>
      <w:r>
        <w:rPr>
          <w:rFonts w:hint="eastAsia"/>
          <w:color w:val="auto"/>
          <w:sz w:val="32"/>
          <w:szCs w:val="24"/>
          <w:highlight w:val="none"/>
        </w:rPr>
        <w:t>不符的，应</w:t>
      </w:r>
      <w:r>
        <w:rPr>
          <w:rFonts w:hint="eastAsia"/>
          <w:color w:val="auto"/>
          <w:sz w:val="32"/>
          <w:szCs w:val="24"/>
          <w:highlight w:val="none"/>
          <w:lang w:val="en-US" w:eastAsia="zh-CN"/>
        </w:rPr>
        <w:t>当</w:t>
      </w:r>
      <w:r>
        <w:rPr>
          <w:rFonts w:hint="eastAsia"/>
          <w:color w:val="auto"/>
          <w:sz w:val="32"/>
          <w:szCs w:val="24"/>
          <w:highlight w:val="none"/>
        </w:rPr>
        <w:t>督促指导建设单位</w:t>
      </w:r>
      <w:r>
        <w:rPr>
          <w:rFonts w:hint="eastAsia"/>
          <w:color w:val="auto"/>
          <w:sz w:val="32"/>
          <w:szCs w:val="24"/>
          <w:highlight w:val="none"/>
          <w:lang w:val="en-US" w:eastAsia="zh-CN"/>
        </w:rPr>
        <w:t>按要求补充完善有关信息和条件；</w:t>
      </w:r>
      <w:r>
        <w:rPr>
          <w:rFonts w:hint="eastAsia"/>
          <w:color w:val="auto"/>
          <w:sz w:val="32"/>
          <w:szCs w:val="24"/>
          <w:highlight w:val="none"/>
        </w:rPr>
        <w:t>对未按期</w:t>
      </w:r>
      <w:r>
        <w:rPr>
          <w:rFonts w:hint="eastAsia"/>
          <w:color w:val="auto"/>
          <w:sz w:val="32"/>
          <w:szCs w:val="24"/>
          <w:highlight w:val="none"/>
          <w:lang w:val="en-US" w:eastAsia="zh-CN"/>
        </w:rPr>
        <w:t>补办或者</w:t>
      </w:r>
      <w:r>
        <w:rPr>
          <w:rFonts w:hint="eastAsia"/>
          <w:color w:val="auto"/>
          <w:sz w:val="32"/>
          <w:szCs w:val="24"/>
          <w:highlight w:val="none"/>
        </w:rPr>
        <w:t>拒不</w:t>
      </w:r>
      <w:r>
        <w:rPr>
          <w:rFonts w:hint="eastAsia"/>
          <w:color w:val="auto"/>
          <w:sz w:val="32"/>
          <w:szCs w:val="24"/>
          <w:highlight w:val="none"/>
          <w:lang w:val="en-US" w:eastAsia="zh-CN"/>
        </w:rPr>
        <w:t>登记</w:t>
      </w:r>
      <w:r>
        <w:rPr>
          <w:rFonts w:hint="eastAsia"/>
          <w:color w:val="auto"/>
          <w:sz w:val="32"/>
          <w:szCs w:val="24"/>
          <w:highlight w:val="none"/>
        </w:rPr>
        <w:t>的，</w:t>
      </w:r>
      <w:r>
        <w:rPr>
          <w:rFonts w:hint="eastAsia"/>
          <w:color w:val="auto"/>
          <w:sz w:val="32"/>
          <w:szCs w:val="24"/>
          <w:highlight w:val="none"/>
          <w:lang w:val="en-US" w:eastAsia="zh-CN"/>
        </w:rPr>
        <w:t>提请</w:t>
      </w:r>
      <w:r>
        <w:rPr>
          <w:rFonts w:hint="eastAsia"/>
          <w:color w:val="auto"/>
          <w:sz w:val="32"/>
          <w:szCs w:val="24"/>
          <w:highlight w:val="none"/>
        </w:rPr>
        <w:t>相关执法机构</w:t>
      </w:r>
      <w:r>
        <w:rPr>
          <w:rFonts w:hint="eastAsia"/>
          <w:color w:val="auto"/>
          <w:sz w:val="32"/>
          <w:szCs w:val="24"/>
          <w:highlight w:val="none"/>
          <w:lang w:val="en-US" w:eastAsia="zh-CN"/>
        </w:rPr>
        <w:t>依照执法权限分工</w:t>
      </w:r>
      <w:r>
        <w:rPr>
          <w:rFonts w:hint="eastAsia"/>
          <w:color w:val="auto"/>
          <w:sz w:val="32"/>
          <w:szCs w:val="24"/>
          <w:highlight w:val="none"/>
        </w:rPr>
        <w:t>依法查处</w:t>
      </w:r>
      <w:r>
        <w:rPr>
          <w:rFonts w:hint="eastAsia"/>
          <w:color w:val="auto"/>
          <w:sz w:val="32"/>
          <w:szCs w:val="24"/>
          <w:highlight w:val="none"/>
          <w:lang w:eastAsia="zh-CN"/>
        </w:rPr>
        <w:t>；</w:t>
      </w:r>
      <w:r>
        <w:rPr>
          <w:rFonts w:hint="eastAsia" w:ascii="仿宋_GB2312" w:hAnsi="仿宋_GB2312" w:eastAsia="仿宋_GB2312" w:cs="仿宋_GB2312"/>
          <w:color w:val="auto"/>
          <w:highlight w:val="none"/>
          <w:lang w:val="en-US" w:eastAsia="zh-CN"/>
        </w:rPr>
        <w:t>发现存在安全隐患或者违法违规行为的，应当立即制止</w:t>
      </w:r>
      <w:r>
        <w:rPr>
          <w:rFonts w:hint="eastAsia" w:cs="仿宋_GB2312"/>
          <w:color w:val="auto"/>
          <w:highlight w:val="none"/>
          <w:lang w:val="en-US" w:eastAsia="zh-CN"/>
        </w:rPr>
        <w:t>，</w:t>
      </w:r>
      <w:r>
        <w:rPr>
          <w:rFonts w:hint="eastAsia" w:ascii="仿宋_GB2312" w:hAnsi="仿宋_GB2312" w:eastAsia="仿宋_GB2312" w:cs="仿宋_GB2312"/>
          <w:color w:val="auto"/>
          <w:highlight w:val="none"/>
        </w:rPr>
        <w:t>督促整改，并</w:t>
      </w:r>
      <w:r>
        <w:rPr>
          <w:rFonts w:hint="eastAsia" w:ascii="仿宋_GB2312" w:hAnsi="仿宋_GB2312" w:eastAsia="仿宋_GB2312" w:cs="仿宋_GB2312"/>
          <w:color w:val="auto"/>
          <w:highlight w:val="none"/>
          <w:lang w:val="en-US" w:eastAsia="zh-CN"/>
        </w:rPr>
        <w:t>按规定上报</w:t>
      </w:r>
      <w:r>
        <w:rPr>
          <w:rFonts w:hint="eastAsia" w:ascii="仿宋_GB2312" w:hAnsi="仿宋_GB2312" w:eastAsia="仿宋_GB2312" w:cs="仿宋_GB2312"/>
          <w:color w:val="auto"/>
          <w:highlight w:val="none"/>
        </w:rPr>
        <w:t>；对未按期整改</w:t>
      </w:r>
      <w:r>
        <w:rPr>
          <w:rFonts w:hint="eastAsia" w:cs="仿宋_GB2312"/>
          <w:color w:val="auto"/>
          <w:highlight w:val="none"/>
          <w:lang w:val="en-US" w:eastAsia="zh-CN"/>
        </w:rPr>
        <w:t>或者</w:t>
      </w:r>
      <w:r>
        <w:rPr>
          <w:rFonts w:hint="eastAsia" w:ascii="仿宋_GB2312" w:hAnsi="仿宋_GB2312" w:eastAsia="仿宋_GB2312" w:cs="仿宋_GB2312"/>
          <w:color w:val="auto"/>
          <w:highlight w:val="none"/>
        </w:rPr>
        <w:t>现场存在重大</w:t>
      </w:r>
      <w:r>
        <w:rPr>
          <w:rFonts w:hint="eastAsia" w:cs="仿宋_GB2312"/>
          <w:color w:val="auto"/>
          <w:highlight w:val="none"/>
          <w:lang w:val="en-US" w:eastAsia="zh-CN"/>
        </w:rPr>
        <w:t>事故</w:t>
      </w:r>
      <w:r>
        <w:rPr>
          <w:rFonts w:hint="eastAsia" w:ascii="仿宋_GB2312" w:hAnsi="仿宋_GB2312" w:eastAsia="仿宋_GB2312" w:cs="仿宋_GB2312"/>
          <w:color w:val="auto"/>
          <w:highlight w:val="none"/>
        </w:rPr>
        <w:t>隐患</w:t>
      </w:r>
      <w:r>
        <w:rPr>
          <w:rFonts w:hint="eastAsia" w:ascii="仿宋_GB2312" w:hAnsi="仿宋_GB2312" w:eastAsia="仿宋_GB2312" w:cs="仿宋_GB2312"/>
          <w:color w:val="auto"/>
          <w:highlight w:val="none"/>
          <w:lang w:val="en-US" w:eastAsia="zh-CN"/>
        </w:rPr>
        <w:t>的，</w:t>
      </w:r>
      <w:r>
        <w:rPr>
          <w:rFonts w:hint="eastAsia" w:cs="仿宋_GB2312"/>
          <w:color w:val="auto"/>
          <w:highlight w:val="none"/>
          <w:lang w:val="en-US" w:eastAsia="zh-CN"/>
        </w:rPr>
        <w:t>提请</w:t>
      </w:r>
      <w:r>
        <w:rPr>
          <w:rFonts w:hint="eastAsia" w:ascii="仿宋_GB2312" w:hAnsi="仿宋_GB2312" w:eastAsia="仿宋_GB2312" w:cs="仿宋_GB2312"/>
          <w:color w:val="auto"/>
          <w:highlight w:val="none"/>
        </w:rPr>
        <w:t>相关执法机构</w:t>
      </w:r>
      <w:r>
        <w:rPr>
          <w:rFonts w:hint="eastAsia" w:cs="仿宋_GB2312"/>
          <w:color w:val="auto"/>
          <w:highlight w:val="none"/>
          <w:lang w:val="en-US" w:eastAsia="zh-CN"/>
        </w:rPr>
        <w:t>依照执法权限分工</w:t>
      </w:r>
      <w:r>
        <w:rPr>
          <w:rFonts w:hint="eastAsia" w:ascii="仿宋_GB2312" w:hAnsi="仿宋_GB2312" w:eastAsia="仿宋_GB2312" w:cs="仿宋_GB2312"/>
          <w:color w:val="auto"/>
          <w:highlight w:val="none"/>
        </w:rPr>
        <w:t>依法查处</w:t>
      </w:r>
      <w:r>
        <w:rPr>
          <w:rFonts w:hint="eastAsia" w:cs="仿宋_GB2312"/>
          <w:color w:val="auto"/>
          <w:highlight w:val="none"/>
          <w:lang w:eastAsia="zh-CN"/>
        </w:rPr>
        <w:t>。</w:t>
      </w:r>
    </w:p>
    <w:p w14:paraId="47C0FF35">
      <w:pPr>
        <w:pStyle w:val="16"/>
        <w:shd w:val="clear" w:color="auto" w:fill="auto"/>
        <w:ind w:firstLine="0"/>
        <w:outlineLvl w:val="1"/>
        <w:rPr>
          <w:rFonts w:hint="eastAsia" w:cs="仿宋_GB2312"/>
          <w:b w:val="0"/>
          <w:bCs w:val="0"/>
          <w:color w:val="auto"/>
          <w:highlight w:val="none"/>
          <w:lang w:val="en-US" w:eastAsia="zh-CN"/>
        </w:rPr>
      </w:pPr>
      <w:r>
        <w:rPr>
          <w:rFonts w:hint="eastAsia" w:cs="仿宋_GB2312"/>
          <w:b/>
          <w:bCs/>
          <w:color w:val="auto"/>
          <w:highlight w:val="none"/>
          <w:lang w:val="en-US" w:eastAsia="zh-CN"/>
        </w:rPr>
        <w:t>第二十二条</w:t>
      </w:r>
      <w:r>
        <w:rPr>
          <w:rFonts w:hint="eastAsia" w:cs="仿宋_GB2312"/>
          <w:b w:val="0"/>
          <w:bCs w:val="0"/>
          <w:color w:val="auto"/>
          <w:highlight w:val="none"/>
          <w:lang w:val="en-US" w:eastAsia="zh-CN"/>
        </w:rPr>
        <w:t xml:space="preserve"> 鼓励社会各界和广大群众举报限额以下小型工程和零星作业安全生产违法违规行为和突出安全风险隐患，举报事项符合有关奖励办法规定并经核查属实的，按照规定进行奖励。</w:t>
      </w:r>
    </w:p>
    <w:p w14:paraId="22B24B8F">
      <w:pPr>
        <w:pStyle w:val="16"/>
        <w:shd w:val="clear" w:color="auto" w:fill="auto"/>
        <w:ind w:firstLine="643"/>
        <w:rPr>
          <w:rFonts w:hint="eastAsia" w:cs="仿宋_GB2312"/>
          <w:b w:val="0"/>
          <w:bCs w:val="0"/>
          <w:color w:val="auto"/>
          <w:highlight w:val="none"/>
          <w:lang w:val="en-US" w:eastAsia="zh-CN"/>
        </w:rPr>
      </w:pPr>
    </w:p>
    <w:p w14:paraId="4C9504F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center"/>
        <w:textAlignment w:val="auto"/>
        <w:outlineLvl w:val="0"/>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第</w:t>
      </w:r>
      <w:r>
        <w:rPr>
          <w:rFonts w:hint="eastAsia" w:ascii="黑体" w:hAnsi="黑体" w:eastAsia="黑体" w:cs="Times New Roman"/>
          <w:color w:val="auto"/>
          <w:sz w:val="32"/>
          <w:szCs w:val="32"/>
          <w:highlight w:val="none"/>
          <w:lang w:val="en-US" w:eastAsia="zh-CN"/>
        </w:rPr>
        <w:t>五</w:t>
      </w:r>
      <w:r>
        <w:rPr>
          <w:rFonts w:hint="eastAsia" w:ascii="黑体" w:hAnsi="黑体" w:eastAsia="黑体" w:cs="Times New Roman"/>
          <w:color w:val="auto"/>
          <w:sz w:val="32"/>
          <w:szCs w:val="32"/>
          <w:highlight w:val="none"/>
        </w:rPr>
        <w:t>章 附 则</w:t>
      </w:r>
    </w:p>
    <w:p w14:paraId="6A6817D9">
      <w:pPr>
        <w:pStyle w:val="16"/>
        <w:keepNext w:val="0"/>
        <w:keepLines w:val="0"/>
        <w:pageBreakBefore w:val="0"/>
        <w:widowControl w:val="0"/>
        <w:shd w:val="clear" w:color="auto" w:fill="auto"/>
        <w:kinsoku/>
        <w:wordWrap/>
        <w:overflowPunct/>
        <w:topLinePunct w:val="0"/>
        <w:autoSpaceDE/>
        <w:autoSpaceDN/>
        <w:bidi w:val="0"/>
        <w:spacing w:line="560" w:lineRule="exact"/>
        <w:ind w:firstLine="643" w:firstLineChars="200"/>
        <w:textAlignment w:val="auto"/>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第</w:t>
      </w:r>
      <w:r>
        <w:rPr>
          <w:rFonts w:hint="eastAsia" w:cs="仿宋_GB2312"/>
          <w:b/>
          <w:bCs/>
          <w:color w:val="auto"/>
          <w:highlight w:val="none"/>
          <w:lang w:val="en-US" w:eastAsia="zh-CN"/>
        </w:rPr>
        <w:t>二十三</w:t>
      </w:r>
      <w:r>
        <w:rPr>
          <w:rFonts w:hint="eastAsia" w:ascii="仿宋_GB2312" w:hAnsi="仿宋_GB2312" w:eastAsia="仿宋_GB2312" w:cs="仿宋_GB2312"/>
          <w:b/>
          <w:bCs/>
          <w:color w:val="auto"/>
          <w:highlight w:val="none"/>
        </w:rPr>
        <w:t>条</w:t>
      </w:r>
      <w:r>
        <w:rPr>
          <w:rFonts w:hint="eastAsia" w:ascii="仿宋_GB2312" w:hAnsi="仿宋_GB2312" w:eastAsia="仿宋_GB2312" w:cs="仿宋_GB2312"/>
          <w:b w:val="0"/>
          <w:bCs w:val="0"/>
          <w:color w:val="auto"/>
          <w:highlight w:val="none"/>
          <w:lang w:val="en-US" w:eastAsia="zh-CN"/>
        </w:rPr>
        <w:t xml:space="preserve"> </w:t>
      </w:r>
      <w:r>
        <w:rPr>
          <w:rFonts w:hint="eastAsia" w:ascii="仿宋_GB2312" w:hAnsi="仿宋_GB2312" w:eastAsia="仿宋_GB2312" w:cs="仿宋_GB2312"/>
          <w:color w:val="auto"/>
          <w:highlight w:val="none"/>
        </w:rPr>
        <w:t>抢险救灾工程不适用本办法。</w:t>
      </w:r>
    </w:p>
    <w:p w14:paraId="3AB58B60">
      <w:pPr>
        <w:pStyle w:val="16"/>
        <w:keepNext w:val="0"/>
        <w:keepLines w:val="0"/>
        <w:pageBreakBefore w:val="0"/>
        <w:widowControl w:val="0"/>
        <w:shd w:val="clear" w:color="auto" w:fill="auto"/>
        <w:kinsoku/>
        <w:wordWrap/>
        <w:overflowPunct/>
        <w:topLinePunct w:val="0"/>
        <w:autoSpaceDE/>
        <w:autoSpaceDN/>
        <w:bidi w:val="0"/>
        <w:spacing w:line="560" w:lineRule="exact"/>
        <w:ind w:firstLine="643" w:firstLineChars="200"/>
        <w:textAlignment w:val="auto"/>
        <w:outlineLvl w:val="1"/>
        <w:rPr>
          <w:rFonts w:hint="eastAsia" w:cs="仿宋_GB2312"/>
          <w:color w:val="auto"/>
          <w:highlight w:val="none"/>
          <w:lang w:val="en-US" w:eastAsia="zh-CN"/>
        </w:rPr>
      </w:pPr>
      <w:r>
        <w:rPr>
          <w:rFonts w:hint="eastAsia" w:cs="仿宋_GB2312"/>
          <w:b/>
          <w:bCs/>
          <w:color w:val="auto"/>
          <w:highlight w:val="none"/>
          <w:lang w:val="en-US" w:eastAsia="zh-CN"/>
        </w:rPr>
        <w:t>第二十四条</w:t>
      </w:r>
      <w:r>
        <w:rPr>
          <w:rFonts w:hint="eastAsia" w:cs="仿宋_GB2312"/>
          <w:color w:val="auto"/>
          <w:highlight w:val="none"/>
          <w:lang w:val="en-US" w:eastAsia="zh-CN"/>
        </w:rPr>
        <w:t xml:space="preserve"> 本办法由 负责解释。</w:t>
      </w:r>
    </w:p>
    <w:p w14:paraId="5CC5F92D">
      <w:pPr>
        <w:pStyle w:val="16"/>
        <w:keepNext w:val="0"/>
        <w:keepLines w:val="0"/>
        <w:pageBreakBefore w:val="0"/>
        <w:widowControl w:val="0"/>
        <w:shd w:val="clear" w:color="auto" w:fill="auto"/>
        <w:kinsoku/>
        <w:wordWrap/>
        <w:overflowPunct/>
        <w:topLinePunct w:val="0"/>
        <w:autoSpaceDE/>
        <w:autoSpaceDN/>
        <w:bidi w:val="0"/>
        <w:spacing w:line="560" w:lineRule="exact"/>
        <w:ind w:firstLine="643" w:firstLineChars="200"/>
        <w:textAlignment w:val="auto"/>
        <w:outlineLvl w:val="1"/>
        <w:rPr>
          <w:rFonts w:hint="default" w:cs="仿宋_GB2312"/>
          <w:color w:val="auto"/>
          <w:highlight w:val="none"/>
          <w:lang w:val="en-US" w:eastAsia="zh-CN"/>
        </w:rPr>
      </w:pPr>
      <w:r>
        <w:rPr>
          <w:rFonts w:hint="eastAsia" w:cs="仿宋_GB2312"/>
          <w:b/>
          <w:bCs/>
          <w:color w:val="auto"/>
          <w:highlight w:val="none"/>
          <w:lang w:val="en-US" w:eastAsia="zh-CN"/>
        </w:rPr>
        <w:t xml:space="preserve">第二十五条 </w:t>
      </w:r>
      <w:r>
        <w:rPr>
          <w:rFonts w:hint="eastAsia" w:cs="仿宋_GB2312"/>
          <w:color w:val="auto"/>
          <w:highlight w:val="none"/>
          <w:lang w:val="en-US" w:eastAsia="zh-CN"/>
        </w:rPr>
        <w:t>本办法自XX年X月X日起施行，有效期</w:t>
      </w:r>
      <w:r>
        <w:rPr>
          <w:rFonts w:hint="default" w:ascii="Times New Roman" w:hAnsi="Times New Roman" w:cs="Times New Roman"/>
          <w:color w:val="auto"/>
          <w:highlight w:val="none"/>
          <w:lang w:val="en-US" w:eastAsia="zh-CN"/>
        </w:rPr>
        <w:t>5</w:t>
      </w:r>
      <w:r>
        <w:rPr>
          <w:rFonts w:hint="eastAsia" w:cs="仿宋_GB2312"/>
          <w:color w:val="auto"/>
          <w:highlight w:val="none"/>
          <w:lang w:val="en-US" w:eastAsia="zh-CN"/>
        </w:rPr>
        <w:t>年。</w:t>
      </w:r>
    </w:p>
    <w:sectPr>
      <w:footerReference r:id="rId4" w:type="first"/>
      <w:footerReference r:id="rId3" w:type="default"/>
      <w:pgSz w:w="11906" w:h="16838"/>
      <w:pgMar w:top="1644" w:right="1474" w:bottom="1417" w:left="1587" w:header="851" w:footer="1417" w:gutter="0"/>
      <w:pgNumType w:fmt="numberInDash"/>
      <w:cols w:space="0" w:num="1"/>
      <w:titlePg/>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58CD5">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0227C">
                          <w:pPr>
                            <w:pStyle w:val="6"/>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2</w:t>
                          </w:r>
                          <w:r>
                            <w:rPr>
                              <w:rFonts w:hint="eastAsia" w:asciiTheme="minorEastAsia" w:hAnsiTheme="minorEastAsia" w:eastAsiaTheme="minorEastAsia" w:cstheme="minorEastAsia"/>
                              <w:sz w:val="28"/>
                              <w:szCs w:val="32"/>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14:paraId="4980227C">
                    <w:pPr>
                      <w:pStyle w:val="6"/>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2</w:t>
                    </w:r>
                    <w:r>
                      <w:rPr>
                        <w:rFonts w:hint="eastAsia" w:asciiTheme="minorEastAsia" w:hAnsiTheme="minorEastAsia" w:eastAsiaTheme="minorEastAsia" w:cstheme="minorEastAsia"/>
                        <w:sz w:val="28"/>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E0A5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E88C2">
                          <w:pPr>
                            <w:pStyle w:val="6"/>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- 1 -</w:t>
                          </w:r>
                          <w:r>
                            <w:rPr>
                              <w:rFonts w:hint="eastAsia" w:asciiTheme="minorEastAsia" w:hAnsiTheme="minorEastAsia" w:eastAsiaTheme="minorEastAsia" w:cstheme="minorEastAsia"/>
                              <w:sz w:val="28"/>
                              <w:szCs w:val="32"/>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hcf8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GFx/yQEAAJkDAAAOAAAAAAAAAAEAIAAAAB4BAABkcnMvZTJvRG9j&#10;LnhtbFBLBQYAAAAABgAGAFkBAABZBQAAAAA=&#10;">
              <v:fill on="f" focussize="0,0"/>
              <v:stroke on="f"/>
              <v:imagedata o:title=""/>
              <o:lock v:ext="edit" aspectratio="f"/>
              <v:textbox inset="0mm,0mm,0mm,0mm" style="mso-fit-shape-to-text:t;">
                <w:txbxContent>
                  <w:p w14:paraId="033E88C2">
                    <w:pPr>
                      <w:pStyle w:val="6"/>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- 1 -</w:t>
                    </w:r>
                    <w:r>
                      <w:rPr>
                        <w:rFonts w:hint="eastAsia" w:asciiTheme="minorEastAsia" w:hAnsiTheme="minorEastAsia" w:eastAsiaTheme="minorEastAsia" w:cstheme="minorEastAsia"/>
                        <w:sz w:val="28"/>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5D6A5D"/>
    <w:multiLevelType w:val="singleLevel"/>
    <w:tmpl w:val="505D6A5D"/>
    <w:lvl w:ilvl="0" w:tentative="0">
      <w:start w:val="1"/>
      <w:numFmt w:val="chineseCounting"/>
      <w:suff w:val="space"/>
      <w:lvlText w:val="第%1章"/>
      <w:lvlJc w:val="left"/>
      <w:rPr>
        <w:rFonts w:hint="eastAsia"/>
      </w:rPr>
    </w:lvl>
  </w:abstractNum>
  <w:abstractNum w:abstractNumId="1">
    <w:nsid w:val="5B03D0E0"/>
    <w:multiLevelType w:val="singleLevel"/>
    <w:tmpl w:val="5B03D0E0"/>
    <w:lvl w:ilvl="0" w:tentative="0">
      <w:start w:val="1"/>
      <w:numFmt w:val="bullet"/>
      <w:pStyle w:val="32"/>
      <w:lvlText w:val="►"/>
      <w:lvlJc w:val="left"/>
      <w:pPr>
        <w:tabs>
          <w:tab w:val="left" w:pos="420"/>
        </w:tabs>
        <w:ind w:left="420" w:hanging="420"/>
      </w:pPr>
      <w:rPr>
        <w:rFonts w:hint="default" w:ascii="Arial" w:hAnsi="Arial" w:cs="Arial"/>
      </w:rPr>
    </w:lvl>
  </w:abstractNum>
  <w:abstractNum w:abstractNumId="2">
    <w:nsid w:val="5B03D0F8"/>
    <w:multiLevelType w:val="singleLevel"/>
    <w:tmpl w:val="5B03D0F8"/>
    <w:lvl w:ilvl="0" w:tentative="0">
      <w:start w:val="1"/>
      <w:numFmt w:val="bullet"/>
      <w:pStyle w:val="28"/>
      <w:lvlText w:val=""/>
      <w:lvlJc w:val="left"/>
      <w:pPr>
        <w:tabs>
          <w:tab w:val="left" w:pos="420"/>
        </w:tabs>
        <w:ind w:left="420" w:hanging="420"/>
      </w:pPr>
      <w:rPr>
        <w:rFonts w:hint="default" w:ascii="Wingdings" w:hAnsi="Wingdings"/>
      </w:rPr>
    </w:lvl>
  </w:abstractNum>
  <w:abstractNum w:abstractNumId="3">
    <w:nsid w:val="5BBEF265"/>
    <w:multiLevelType w:val="singleLevel"/>
    <w:tmpl w:val="5BBEF265"/>
    <w:lvl w:ilvl="0" w:tentative="0">
      <w:start w:val="1"/>
      <w:numFmt w:val="chineseCounting"/>
      <w:pStyle w:val="36"/>
      <w:suff w:val="nothing"/>
      <w:lvlText w:val="■%1、"/>
      <w:lvlJc w:val="left"/>
      <w:pPr>
        <w:ind w:left="0" w:firstLine="420"/>
      </w:pPr>
      <w:rPr>
        <w:rFonts w:hint="eastAsia"/>
      </w:rPr>
    </w:lvl>
  </w:abstractNum>
  <w:abstractNum w:abstractNumId="4">
    <w:nsid w:val="621C2842"/>
    <w:multiLevelType w:val="singleLevel"/>
    <w:tmpl w:val="621C2842"/>
    <w:lvl w:ilvl="0" w:tentative="0">
      <w:start w:val="1"/>
      <w:numFmt w:val="decimalEnclosedCircleChinese"/>
      <w:pStyle w:val="33"/>
      <w:suff w:val="nothing"/>
      <w:lvlText w:val="%1　"/>
      <w:lvlJc w:val="left"/>
      <w:pPr>
        <w:ind w:left="0" w:firstLine="0"/>
      </w:pPr>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81"/>
  <w:drawingGridVerticalSpacing w:val="15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ReumeCategoryDocument" w:val="0"/>
  </w:docVars>
  <w:rsids>
    <w:rsidRoot w:val="00172A27"/>
    <w:rsid w:val="00357B66"/>
    <w:rsid w:val="00485C1C"/>
    <w:rsid w:val="006D7742"/>
    <w:rsid w:val="00B316E7"/>
    <w:rsid w:val="01777760"/>
    <w:rsid w:val="017C600D"/>
    <w:rsid w:val="01BC28E7"/>
    <w:rsid w:val="01D47F8D"/>
    <w:rsid w:val="01EEC00A"/>
    <w:rsid w:val="02747437"/>
    <w:rsid w:val="02DC3F04"/>
    <w:rsid w:val="035F07BE"/>
    <w:rsid w:val="042E6E68"/>
    <w:rsid w:val="04AD6B72"/>
    <w:rsid w:val="04F7326E"/>
    <w:rsid w:val="05B92EF0"/>
    <w:rsid w:val="05D55E68"/>
    <w:rsid w:val="06340ADC"/>
    <w:rsid w:val="06FF01C2"/>
    <w:rsid w:val="079E0D8E"/>
    <w:rsid w:val="07C17CF7"/>
    <w:rsid w:val="07C3194E"/>
    <w:rsid w:val="07CB2BB8"/>
    <w:rsid w:val="07FE0B88"/>
    <w:rsid w:val="08C37C4A"/>
    <w:rsid w:val="09C755CE"/>
    <w:rsid w:val="0A1111ED"/>
    <w:rsid w:val="0A46243C"/>
    <w:rsid w:val="0A5C690F"/>
    <w:rsid w:val="0AC96D38"/>
    <w:rsid w:val="0B024724"/>
    <w:rsid w:val="0B5C1D92"/>
    <w:rsid w:val="0B6A660E"/>
    <w:rsid w:val="0C5E3BDC"/>
    <w:rsid w:val="0C9E682A"/>
    <w:rsid w:val="0C9F417C"/>
    <w:rsid w:val="0D68474A"/>
    <w:rsid w:val="0D853B56"/>
    <w:rsid w:val="0D8C17D3"/>
    <w:rsid w:val="0D8D7910"/>
    <w:rsid w:val="0EFD76DC"/>
    <w:rsid w:val="0F700671"/>
    <w:rsid w:val="0F711B34"/>
    <w:rsid w:val="103C6E2A"/>
    <w:rsid w:val="10890E84"/>
    <w:rsid w:val="10B30631"/>
    <w:rsid w:val="10B44742"/>
    <w:rsid w:val="10E550A9"/>
    <w:rsid w:val="11050ACA"/>
    <w:rsid w:val="11452B4F"/>
    <w:rsid w:val="117F5DD0"/>
    <w:rsid w:val="11B26A42"/>
    <w:rsid w:val="12CF083A"/>
    <w:rsid w:val="131937DE"/>
    <w:rsid w:val="140041F8"/>
    <w:rsid w:val="14124C0E"/>
    <w:rsid w:val="1479396D"/>
    <w:rsid w:val="14E55858"/>
    <w:rsid w:val="14FE2365"/>
    <w:rsid w:val="15B526AD"/>
    <w:rsid w:val="16030626"/>
    <w:rsid w:val="162B00EE"/>
    <w:rsid w:val="16437D9A"/>
    <w:rsid w:val="167A0330"/>
    <w:rsid w:val="16BB4117"/>
    <w:rsid w:val="170F3BE3"/>
    <w:rsid w:val="179B41C1"/>
    <w:rsid w:val="17A20448"/>
    <w:rsid w:val="17ED5587"/>
    <w:rsid w:val="182B4CEC"/>
    <w:rsid w:val="184F43CE"/>
    <w:rsid w:val="18685B82"/>
    <w:rsid w:val="199930E0"/>
    <w:rsid w:val="1B810BAF"/>
    <w:rsid w:val="1BCE689B"/>
    <w:rsid w:val="1BFD03EF"/>
    <w:rsid w:val="1CAB585A"/>
    <w:rsid w:val="1D734DE0"/>
    <w:rsid w:val="1E7828DC"/>
    <w:rsid w:val="1EEE2A35"/>
    <w:rsid w:val="1F2345EC"/>
    <w:rsid w:val="1FB50629"/>
    <w:rsid w:val="1FFE7DB9"/>
    <w:rsid w:val="209237D7"/>
    <w:rsid w:val="221C2118"/>
    <w:rsid w:val="223448E5"/>
    <w:rsid w:val="22384AB0"/>
    <w:rsid w:val="22D110E1"/>
    <w:rsid w:val="22D36C7A"/>
    <w:rsid w:val="2311430C"/>
    <w:rsid w:val="243510E8"/>
    <w:rsid w:val="253848B8"/>
    <w:rsid w:val="25F9579F"/>
    <w:rsid w:val="260B4387"/>
    <w:rsid w:val="263578BE"/>
    <w:rsid w:val="26B4682E"/>
    <w:rsid w:val="27834FE2"/>
    <w:rsid w:val="27BE062A"/>
    <w:rsid w:val="28297701"/>
    <w:rsid w:val="287F0D1C"/>
    <w:rsid w:val="28B41D66"/>
    <w:rsid w:val="28FE198F"/>
    <w:rsid w:val="29671ACD"/>
    <w:rsid w:val="29AB24AA"/>
    <w:rsid w:val="29AE7AF9"/>
    <w:rsid w:val="29DA0A29"/>
    <w:rsid w:val="2A1724EA"/>
    <w:rsid w:val="2B046F85"/>
    <w:rsid w:val="2B7EB312"/>
    <w:rsid w:val="2BB38584"/>
    <w:rsid w:val="2BDB7F3A"/>
    <w:rsid w:val="2C7B4A02"/>
    <w:rsid w:val="2CE05F01"/>
    <w:rsid w:val="2D6170D1"/>
    <w:rsid w:val="2DEF20A0"/>
    <w:rsid w:val="2EFF36D1"/>
    <w:rsid w:val="2F4A3ACB"/>
    <w:rsid w:val="2FCA1413"/>
    <w:rsid w:val="2FEE1EB0"/>
    <w:rsid w:val="30532A6F"/>
    <w:rsid w:val="308D5A59"/>
    <w:rsid w:val="31AE434C"/>
    <w:rsid w:val="335B3C7E"/>
    <w:rsid w:val="339448A5"/>
    <w:rsid w:val="33B278B4"/>
    <w:rsid w:val="33E91F24"/>
    <w:rsid w:val="33F425AD"/>
    <w:rsid w:val="34A22665"/>
    <w:rsid w:val="34F91050"/>
    <w:rsid w:val="35644A6C"/>
    <w:rsid w:val="35759E2F"/>
    <w:rsid w:val="36D21104"/>
    <w:rsid w:val="3775168B"/>
    <w:rsid w:val="377B4CF7"/>
    <w:rsid w:val="37C44C8D"/>
    <w:rsid w:val="37C91115"/>
    <w:rsid w:val="37E05340"/>
    <w:rsid w:val="38137841"/>
    <w:rsid w:val="384A7BF6"/>
    <w:rsid w:val="387B69BA"/>
    <w:rsid w:val="388365F5"/>
    <w:rsid w:val="38A85352"/>
    <w:rsid w:val="38C904AC"/>
    <w:rsid w:val="38DAE37D"/>
    <w:rsid w:val="38F713E9"/>
    <w:rsid w:val="38FEDE51"/>
    <w:rsid w:val="39857292"/>
    <w:rsid w:val="3A4C7E85"/>
    <w:rsid w:val="3A850402"/>
    <w:rsid w:val="3A941F45"/>
    <w:rsid w:val="3A947EFE"/>
    <w:rsid w:val="3AE86AB3"/>
    <w:rsid w:val="3AEFA19E"/>
    <w:rsid w:val="3B512C60"/>
    <w:rsid w:val="3BA37854"/>
    <w:rsid w:val="3C291261"/>
    <w:rsid w:val="3C7CD108"/>
    <w:rsid w:val="3D15722F"/>
    <w:rsid w:val="3D454394"/>
    <w:rsid w:val="3D6BCD9B"/>
    <w:rsid w:val="3DB324D1"/>
    <w:rsid w:val="3DF6361C"/>
    <w:rsid w:val="3E30195C"/>
    <w:rsid w:val="3E8E0ECE"/>
    <w:rsid w:val="3EFD6494"/>
    <w:rsid w:val="3F3EE633"/>
    <w:rsid w:val="3F4CE6B9"/>
    <w:rsid w:val="3F617B87"/>
    <w:rsid w:val="3F6FB673"/>
    <w:rsid w:val="3FBF014A"/>
    <w:rsid w:val="3FE913D1"/>
    <w:rsid w:val="3FEB634B"/>
    <w:rsid w:val="3FEB8201"/>
    <w:rsid w:val="3FEFD040"/>
    <w:rsid w:val="3FF4303B"/>
    <w:rsid w:val="3FFFB388"/>
    <w:rsid w:val="4119609B"/>
    <w:rsid w:val="41531C40"/>
    <w:rsid w:val="41FE3E0F"/>
    <w:rsid w:val="42C11812"/>
    <w:rsid w:val="42E07E34"/>
    <w:rsid w:val="43394340"/>
    <w:rsid w:val="43574906"/>
    <w:rsid w:val="43600C0B"/>
    <w:rsid w:val="43BB5679"/>
    <w:rsid w:val="43D732D0"/>
    <w:rsid w:val="4402047A"/>
    <w:rsid w:val="441659D2"/>
    <w:rsid w:val="44C84A29"/>
    <w:rsid w:val="450D652D"/>
    <w:rsid w:val="45AFC9B0"/>
    <w:rsid w:val="46C25E7F"/>
    <w:rsid w:val="475A7E39"/>
    <w:rsid w:val="47EC1720"/>
    <w:rsid w:val="48114653"/>
    <w:rsid w:val="482D6FE0"/>
    <w:rsid w:val="485B637D"/>
    <w:rsid w:val="49024FE9"/>
    <w:rsid w:val="4923386B"/>
    <w:rsid w:val="49933538"/>
    <w:rsid w:val="49B31CD9"/>
    <w:rsid w:val="4A447263"/>
    <w:rsid w:val="4ADC7C7C"/>
    <w:rsid w:val="4B00559A"/>
    <w:rsid w:val="4B020A9D"/>
    <w:rsid w:val="4B187AAA"/>
    <w:rsid w:val="4B7F0992"/>
    <w:rsid w:val="4D3B4EC4"/>
    <w:rsid w:val="4D780F35"/>
    <w:rsid w:val="4DB7786B"/>
    <w:rsid w:val="4ED82D9F"/>
    <w:rsid w:val="4EDF109D"/>
    <w:rsid w:val="4EF96899"/>
    <w:rsid w:val="4F126887"/>
    <w:rsid w:val="4F97143C"/>
    <w:rsid w:val="4FAF04BD"/>
    <w:rsid w:val="4FAF2F9F"/>
    <w:rsid w:val="4FB73E29"/>
    <w:rsid w:val="505F3020"/>
    <w:rsid w:val="507433A8"/>
    <w:rsid w:val="512B5A0C"/>
    <w:rsid w:val="517D7C2E"/>
    <w:rsid w:val="51D015F8"/>
    <w:rsid w:val="520C0C38"/>
    <w:rsid w:val="523A23E2"/>
    <w:rsid w:val="52987160"/>
    <w:rsid w:val="53BF3D7F"/>
    <w:rsid w:val="53DC1E7C"/>
    <w:rsid w:val="548E5AA5"/>
    <w:rsid w:val="549E1E4D"/>
    <w:rsid w:val="54D10433"/>
    <w:rsid w:val="54ED0C26"/>
    <w:rsid w:val="55110DB9"/>
    <w:rsid w:val="556C4793"/>
    <w:rsid w:val="566D14D9"/>
    <w:rsid w:val="5693435A"/>
    <w:rsid w:val="56F42740"/>
    <w:rsid w:val="56FD2CC5"/>
    <w:rsid w:val="56FE5EA0"/>
    <w:rsid w:val="578F0D1A"/>
    <w:rsid w:val="57986339"/>
    <w:rsid w:val="57E84ECC"/>
    <w:rsid w:val="57EB4989"/>
    <w:rsid w:val="57EFCF03"/>
    <w:rsid w:val="584D65AC"/>
    <w:rsid w:val="58580AAD"/>
    <w:rsid w:val="585F3CF0"/>
    <w:rsid w:val="586941AA"/>
    <w:rsid w:val="58871392"/>
    <w:rsid w:val="59020BD6"/>
    <w:rsid w:val="595DDF7B"/>
    <w:rsid w:val="59732284"/>
    <w:rsid w:val="59821F6D"/>
    <w:rsid w:val="599C7113"/>
    <w:rsid w:val="59C44795"/>
    <w:rsid w:val="59CEA9E1"/>
    <w:rsid w:val="59DE2D0A"/>
    <w:rsid w:val="59FFB368"/>
    <w:rsid w:val="5A031FBA"/>
    <w:rsid w:val="5A761891"/>
    <w:rsid w:val="5A880BA3"/>
    <w:rsid w:val="5AD5845D"/>
    <w:rsid w:val="5B6D328A"/>
    <w:rsid w:val="5B7763A3"/>
    <w:rsid w:val="5B841BB9"/>
    <w:rsid w:val="5BB79B4A"/>
    <w:rsid w:val="5BFB9E5A"/>
    <w:rsid w:val="5C02145B"/>
    <w:rsid w:val="5C0F1DCA"/>
    <w:rsid w:val="5C6F1F20"/>
    <w:rsid w:val="5C841CF1"/>
    <w:rsid w:val="5D255365"/>
    <w:rsid w:val="5D487342"/>
    <w:rsid w:val="5D6BB173"/>
    <w:rsid w:val="5E9375B7"/>
    <w:rsid w:val="5EAEB10E"/>
    <w:rsid w:val="5EF6616A"/>
    <w:rsid w:val="5F59C27F"/>
    <w:rsid w:val="5F6D6D8A"/>
    <w:rsid w:val="5F926F6F"/>
    <w:rsid w:val="5FB7C1AB"/>
    <w:rsid w:val="5FBDD7BD"/>
    <w:rsid w:val="5FD36DD0"/>
    <w:rsid w:val="5FDF44BC"/>
    <w:rsid w:val="5FED586D"/>
    <w:rsid w:val="5FF00B2D"/>
    <w:rsid w:val="5FF3F262"/>
    <w:rsid w:val="5FFC99ED"/>
    <w:rsid w:val="5FFF3BE0"/>
    <w:rsid w:val="60670FDF"/>
    <w:rsid w:val="60A501AC"/>
    <w:rsid w:val="60DA3F12"/>
    <w:rsid w:val="612C6C98"/>
    <w:rsid w:val="61FE6552"/>
    <w:rsid w:val="620F6680"/>
    <w:rsid w:val="62247105"/>
    <w:rsid w:val="622631BF"/>
    <w:rsid w:val="626E7725"/>
    <w:rsid w:val="628237A3"/>
    <w:rsid w:val="629616EA"/>
    <w:rsid w:val="62C25F36"/>
    <w:rsid w:val="63261C88"/>
    <w:rsid w:val="634642EB"/>
    <w:rsid w:val="634B79CE"/>
    <w:rsid w:val="64642EC7"/>
    <w:rsid w:val="64853311"/>
    <w:rsid w:val="64C7575E"/>
    <w:rsid w:val="656B0071"/>
    <w:rsid w:val="657BF868"/>
    <w:rsid w:val="65847385"/>
    <w:rsid w:val="658C7E20"/>
    <w:rsid w:val="65A60E34"/>
    <w:rsid w:val="65DA3EE9"/>
    <w:rsid w:val="65FF9F6B"/>
    <w:rsid w:val="65FFF36D"/>
    <w:rsid w:val="6677ABE5"/>
    <w:rsid w:val="667F3755"/>
    <w:rsid w:val="66BFEC8B"/>
    <w:rsid w:val="66EA3AB2"/>
    <w:rsid w:val="66F95B50"/>
    <w:rsid w:val="67046310"/>
    <w:rsid w:val="67303293"/>
    <w:rsid w:val="67902011"/>
    <w:rsid w:val="679B7F3E"/>
    <w:rsid w:val="679E2C8B"/>
    <w:rsid w:val="67BC1058"/>
    <w:rsid w:val="68B43984"/>
    <w:rsid w:val="68E41F95"/>
    <w:rsid w:val="69692B1A"/>
    <w:rsid w:val="697B284D"/>
    <w:rsid w:val="69DAA5D3"/>
    <w:rsid w:val="6AE12B83"/>
    <w:rsid w:val="6B7A2133"/>
    <w:rsid w:val="6B965D8F"/>
    <w:rsid w:val="6BCC4C14"/>
    <w:rsid w:val="6C691082"/>
    <w:rsid w:val="6C9D1A3F"/>
    <w:rsid w:val="6D1FB1F2"/>
    <w:rsid w:val="6D7D5DF8"/>
    <w:rsid w:val="6DD7624E"/>
    <w:rsid w:val="6DDFD7D0"/>
    <w:rsid w:val="6DF67E77"/>
    <w:rsid w:val="6DFF4ED0"/>
    <w:rsid w:val="6E0D3A1C"/>
    <w:rsid w:val="6E2B729A"/>
    <w:rsid w:val="6EAC22BC"/>
    <w:rsid w:val="6EBFADA9"/>
    <w:rsid w:val="6EC87C6E"/>
    <w:rsid w:val="6EDBCF65"/>
    <w:rsid w:val="6EDBEFDE"/>
    <w:rsid w:val="6EDFA9D1"/>
    <w:rsid w:val="6EF6B031"/>
    <w:rsid w:val="6F5FB858"/>
    <w:rsid w:val="6FBDF7DC"/>
    <w:rsid w:val="6FEC71F4"/>
    <w:rsid w:val="6FF16B23"/>
    <w:rsid w:val="6FF70298"/>
    <w:rsid w:val="702F3C1B"/>
    <w:rsid w:val="70365454"/>
    <w:rsid w:val="708F73ED"/>
    <w:rsid w:val="715F4CEA"/>
    <w:rsid w:val="717F3703"/>
    <w:rsid w:val="7187387B"/>
    <w:rsid w:val="71C51099"/>
    <w:rsid w:val="726926CA"/>
    <w:rsid w:val="7278324F"/>
    <w:rsid w:val="72863ADB"/>
    <w:rsid w:val="72EA1C3C"/>
    <w:rsid w:val="732743DA"/>
    <w:rsid w:val="73451ECF"/>
    <w:rsid w:val="73FEFA16"/>
    <w:rsid w:val="743F146C"/>
    <w:rsid w:val="74DD0860"/>
    <w:rsid w:val="74E160F8"/>
    <w:rsid w:val="74E219AE"/>
    <w:rsid w:val="74FD0D8C"/>
    <w:rsid w:val="75BB6668"/>
    <w:rsid w:val="75CF5154"/>
    <w:rsid w:val="75F5A6CD"/>
    <w:rsid w:val="7665541C"/>
    <w:rsid w:val="766B484B"/>
    <w:rsid w:val="76EEF022"/>
    <w:rsid w:val="76F32A82"/>
    <w:rsid w:val="76FD910E"/>
    <w:rsid w:val="773F0A3A"/>
    <w:rsid w:val="776E225E"/>
    <w:rsid w:val="7774026E"/>
    <w:rsid w:val="777F0E00"/>
    <w:rsid w:val="777F1C90"/>
    <w:rsid w:val="779766B3"/>
    <w:rsid w:val="77B3D593"/>
    <w:rsid w:val="77BFB573"/>
    <w:rsid w:val="77BFFAEF"/>
    <w:rsid w:val="77C54B2F"/>
    <w:rsid w:val="77E635C6"/>
    <w:rsid w:val="77E72D3B"/>
    <w:rsid w:val="77E734C2"/>
    <w:rsid w:val="77F96D63"/>
    <w:rsid w:val="77FD2F98"/>
    <w:rsid w:val="7812B3D8"/>
    <w:rsid w:val="78210A63"/>
    <w:rsid w:val="785B7A2E"/>
    <w:rsid w:val="78623556"/>
    <w:rsid w:val="7867543F"/>
    <w:rsid w:val="789B42E3"/>
    <w:rsid w:val="78ED0033"/>
    <w:rsid w:val="78FA10AB"/>
    <w:rsid w:val="78FD338F"/>
    <w:rsid w:val="791A26BE"/>
    <w:rsid w:val="791E17DB"/>
    <w:rsid w:val="79237F98"/>
    <w:rsid w:val="7990232C"/>
    <w:rsid w:val="79DF2984"/>
    <w:rsid w:val="79FB8B48"/>
    <w:rsid w:val="7A2C60B1"/>
    <w:rsid w:val="7A4A42A1"/>
    <w:rsid w:val="7A6A0DAE"/>
    <w:rsid w:val="7A957C54"/>
    <w:rsid w:val="7A9E1E33"/>
    <w:rsid w:val="7AAB7678"/>
    <w:rsid w:val="7AD76B94"/>
    <w:rsid w:val="7B3E247B"/>
    <w:rsid w:val="7BBF3C16"/>
    <w:rsid w:val="7C197879"/>
    <w:rsid w:val="7C24229C"/>
    <w:rsid w:val="7C52811E"/>
    <w:rsid w:val="7C6D705E"/>
    <w:rsid w:val="7D836A2E"/>
    <w:rsid w:val="7DB76FC4"/>
    <w:rsid w:val="7DBF42E5"/>
    <w:rsid w:val="7DD56578"/>
    <w:rsid w:val="7DD5E4D0"/>
    <w:rsid w:val="7DDEE1FA"/>
    <w:rsid w:val="7DFE9203"/>
    <w:rsid w:val="7DFF67CF"/>
    <w:rsid w:val="7DFFB897"/>
    <w:rsid w:val="7E5AC113"/>
    <w:rsid w:val="7EB65EA6"/>
    <w:rsid w:val="7EBA4878"/>
    <w:rsid w:val="7ED9E620"/>
    <w:rsid w:val="7EE258CF"/>
    <w:rsid w:val="7EE9A96D"/>
    <w:rsid w:val="7EFF0C67"/>
    <w:rsid w:val="7F0EFD69"/>
    <w:rsid w:val="7F3D3888"/>
    <w:rsid w:val="7F3FD6E1"/>
    <w:rsid w:val="7F6B8F71"/>
    <w:rsid w:val="7F7032D6"/>
    <w:rsid w:val="7F70517C"/>
    <w:rsid w:val="7F7F1A65"/>
    <w:rsid w:val="7F9A99D3"/>
    <w:rsid w:val="7F9B5339"/>
    <w:rsid w:val="7FAF8554"/>
    <w:rsid w:val="7FB52E49"/>
    <w:rsid w:val="7FBC14E0"/>
    <w:rsid w:val="7FBC791E"/>
    <w:rsid w:val="7FBE8E29"/>
    <w:rsid w:val="7FBFCDCF"/>
    <w:rsid w:val="7FC9F966"/>
    <w:rsid w:val="7FE18BA2"/>
    <w:rsid w:val="7FEB9C89"/>
    <w:rsid w:val="7FED8232"/>
    <w:rsid w:val="7FF604E9"/>
    <w:rsid w:val="7FF70B50"/>
    <w:rsid w:val="7FF9860A"/>
    <w:rsid w:val="7FFD7114"/>
    <w:rsid w:val="7FFD9599"/>
    <w:rsid w:val="7FFF4EA5"/>
    <w:rsid w:val="7FFF555A"/>
    <w:rsid w:val="7FFFE388"/>
    <w:rsid w:val="837FC106"/>
    <w:rsid w:val="875FBAB9"/>
    <w:rsid w:val="8BFF5162"/>
    <w:rsid w:val="8BFF6419"/>
    <w:rsid w:val="8EFF9B7C"/>
    <w:rsid w:val="917F8B3B"/>
    <w:rsid w:val="93FFC495"/>
    <w:rsid w:val="99934689"/>
    <w:rsid w:val="9AFE7D97"/>
    <w:rsid w:val="9B4D942E"/>
    <w:rsid w:val="9EF7F9B3"/>
    <w:rsid w:val="9FF69F7D"/>
    <w:rsid w:val="9FF96FD9"/>
    <w:rsid w:val="9FF99ED8"/>
    <w:rsid w:val="A60E1CAB"/>
    <w:rsid w:val="A97F806F"/>
    <w:rsid w:val="A9EF9733"/>
    <w:rsid w:val="ACDFE860"/>
    <w:rsid w:val="ADF73F04"/>
    <w:rsid w:val="AF7F51F7"/>
    <w:rsid w:val="AFAE0C74"/>
    <w:rsid w:val="AFE411C8"/>
    <w:rsid w:val="B7FF8905"/>
    <w:rsid w:val="B9AF8901"/>
    <w:rsid w:val="B9FF8106"/>
    <w:rsid w:val="BB9FB364"/>
    <w:rsid w:val="BBB7BFCF"/>
    <w:rsid w:val="BBFB9343"/>
    <w:rsid w:val="BBFC86A9"/>
    <w:rsid w:val="BC8EAE78"/>
    <w:rsid w:val="BE7FAC44"/>
    <w:rsid w:val="BF4F435C"/>
    <w:rsid w:val="BF7CDF92"/>
    <w:rsid w:val="BF7F2F60"/>
    <w:rsid w:val="BFF26028"/>
    <w:rsid w:val="BFF79591"/>
    <w:rsid w:val="C455BA1E"/>
    <w:rsid w:val="C7D5A742"/>
    <w:rsid w:val="C7EEFFBC"/>
    <w:rsid w:val="CC5F5431"/>
    <w:rsid w:val="CF2FF9A0"/>
    <w:rsid w:val="D392FB70"/>
    <w:rsid w:val="D5EF0CD8"/>
    <w:rsid w:val="D7BABA48"/>
    <w:rsid w:val="D7D043D8"/>
    <w:rsid w:val="D9FBBEAB"/>
    <w:rsid w:val="DBBF9C7E"/>
    <w:rsid w:val="DD7F6555"/>
    <w:rsid w:val="DDADB6A5"/>
    <w:rsid w:val="DDFF3A3F"/>
    <w:rsid w:val="DDFFEB6B"/>
    <w:rsid w:val="DF0F7C7B"/>
    <w:rsid w:val="DF4F581E"/>
    <w:rsid w:val="DF59CB63"/>
    <w:rsid w:val="DFBB7DF9"/>
    <w:rsid w:val="DFC101B8"/>
    <w:rsid w:val="DFEEB8A9"/>
    <w:rsid w:val="E3BF0BD4"/>
    <w:rsid w:val="E3FA1DC3"/>
    <w:rsid w:val="E437CD72"/>
    <w:rsid w:val="E59F211B"/>
    <w:rsid w:val="E5A60813"/>
    <w:rsid w:val="E7EF6F1E"/>
    <w:rsid w:val="E7FBDA29"/>
    <w:rsid w:val="E7FBEE26"/>
    <w:rsid w:val="E9FD3BD3"/>
    <w:rsid w:val="E9FF22CE"/>
    <w:rsid w:val="EBDF493C"/>
    <w:rsid w:val="EBF31A05"/>
    <w:rsid w:val="EDA28AD3"/>
    <w:rsid w:val="EF2DA0E7"/>
    <w:rsid w:val="EFBF9587"/>
    <w:rsid w:val="EFBFC696"/>
    <w:rsid w:val="EFE709E2"/>
    <w:rsid w:val="EFF46954"/>
    <w:rsid w:val="EFFC8CE5"/>
    <w:rsid w:val="EFFDD6C7"/>
    <w:rsid w:val="F18F9F32"/>
    <w:rsid w:val="F33F857E"/>
    <w:rsid w:val="F5BF5F0E"/>
    <w:rsid w:val="F6C716B0"/>
    <w:rsid w:val="F6D7EE1D"/>
    <w:rsid w:val="F75EB486"/>
    <w:rsid w:val="F76B8B21"/>
    <w:rsid w:val="F7B663C1"/>
    <w:rsid w:val="F7F72DA4"/>
    <w:rsid w:val="F87D70B5"/>
    <w:rsid w:val="F899E1DE"/>
    <w:rsid w:val="F8FF8B01"/>
    <w:rsid w:val="F9D7BEAB"/>
    <w:rsid w:val="F9EB67CD"/>
    <w:rsid w:val="FB3F573C"/>
    <w:rsid w:val="FB75DEFA"/>
    <w:rsid w:val="FBC39DE2"/>
    <w:rsid w:val="FBFDD7E6"/>
    <w:rsid w:val="FC379A93"/>
    <w:rsid w:val="FCF765B7"/>
    <w:rsid w:val="FD3FDB6E"/>
    <w:rsid w:val="FD6F225F"/>
    <w:rsid w:val="FD76E338"/>
    <w:rsid w:val="FD7E92E5"/>
    <w:rsid w:val="FDDE0235"/>
    <w:rsid w:val="FDF6164A"/>
    <w:rsid w:val="FDF94E5C"/>
    <w:rsid w:val="FE73446C"/>
    <w:rsid w:val="FE77B908"/>
    <w:rsid w:val="FE9A88BA"/>
    <w:rsid w:val="FE9C82ED"/>
    <w:rsid w:val="FE9F07C9"/>
    <w:rsid w:val="FEBBEABF"/>
    <w:rsid w:val="FEDB39F4"/>
    <w:rsid w:val="FEF9567E"/>
    <w:rsid w:val="FEFD1592"/>
    <w:rsid w:val="FF3B8A6E"/>
    <w:rsid w:val="FF3D8DE5"/>
    <w:rsid w:val="FF5751DD"/>
    <w:rsid w:val="FF767F9B"/>
    <w:rsid w:val="FFA375BB"/>
    <w:rsid w:val="FFA8A750"/>
    <w:rsid w:val="FFAB474B"/>
    <w:rsid w:val="FFD40D03"/>
    <w:rsid w:val="FFD88250"/>
    <w:rsid w:val="FFDF72F6"/>
    <w:rsid w:val="FFEAC66E"/>
    <w:rsid w:val="FFEFE170"/>
    <w:rsid w:val="FFF72E3A"/>
    <w:rsid w:val="FFFBC821"/>
    <w:rsid w:val="FFFD010F"/>
    <w:rsid w:val="FFFFE71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unhideWhenUsed/>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widowControl w:val="0"/>
      <w:spacing w:line="590" w:lineRule="exact"/>
      <w:ind w:firstLine="880" w:firstLineChars="200"/>
      <w:jc w:val="both"/>
    </w:pPr>
    <w:rPr>
      <w:rFonts w:hint="eastAsia" w:ascii="Times New Roman" w:hAnsi="Times New Roman" w:eastAsia="方正仿宋_GBK" w:cs="Times New Roman"/>
      <w:kern w:val="2"/>
      <w:sz w:val="32"/>
      <w:szCs w:val="32"/>
      <w:lang w:val="en-US" w:eastAsia="zh-CN" w:bidi="ar-SA"/>
    </w:rPr>
  </w:style>
  <w:style w:type="paragraph" w:styleId="3">
    <w:name w:val="Normal Indent"/>
    <w:qFormat/>
    <w:uiPriority w:val="0"/>
    <w:pPr>
      <w:widowControl w:val="0"/>
      <w:spacing w:line="580" w:lineRule="exact"/>
      <w:ind w:firstLine="420" w:firstLineChars="200"/>
      <w:jc w:val="both"/>
    </w:pPr>
    <w:rPr>
      <w:rFonts w:ascii="Calibri" w:hAnsi="Calibri" w:eastAsia="宋体" w:cs="Times New Roman"/>
      <w:kern w:val="2"/>
      <w:sz w:val="21"/>
      <w:szCs w:val="24"/>
      <w:lang w:val="en-US" w:eastAsia="zh-CN" w:bidi="ar-SA"/>
    </w:rPr>
  </w:style>
  <w:style w:type="paragraph" w:styleId="4">
    <w:name w:val="Body Text"/>
    <w:basedOn w:val="1"/>
    <w:unhideWhenUsed/>
    <w:qFormat/>
    <w:uiPriority w:val="99"/>
    <w:pPr>
      <w:spacing w:after="120"/>
    </w:pPr>
  </w:style>
  <w:style w:type="paragraph" w:styleId="5">
    <w:name w:val="Plain Text"/>
    <w:basedOn w:val="1"/>
    <w:unhideWhenUsed/>
    <w:qFormat/>
    <w:uiPriority w:val="99"/>
    <w:rPr>
      <w:rFonts w:ascii="宋体" w:hAnsi="Calibri" w:eastAsia="宋体" w:cs="Courier New"/>
      <w:szCs w:val="21"/>
    </w:rPr>
  </w:style>
  <w:style w:type="paragraph" w:styleId="6">
    <w:name w:val="footer"/>
    <w:basedOn w:val="1"/>
    <w:unhideWhenUsed/>
    <w:qFormat/>
    <w:uiPriority w:val="0"/>
    <w:pPr>
      <w:tabs>
        <w:tab w:val="center" w:pos="4153"/>
        <w:tab w:val="right" w:pos="8306"/>
      </w:tabs>
      <w:snapToGrid w:val="0"/>
      <w:jc w:val="left"/>
    </w:pPr>
    <w:rPr>
      <w:sz w:val="18"/>
    </w:rPr>
  </w:style>
  <w:style w:type="paragraph" w:styleId="7">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unhideWhenUsed/>
    <w:qFormat/>
    <w:uiPriority w:val="99"/>
    <w:pPr>
      <w:spacing w:before="0" w:beforeAutospacing="1" w:after="0" w:afterAutospacing="1"/>
      <w:ind w:left="0" w:right="0"/>
      <w:jc w:val="left"/>
    </w:pPr>
    <w:rPr>
      <w:rFonts w:hint="eastAsia" w:ascii="Times New Roman" w:hAnsi="Times New Roman" w:eastAsia="Times New Roman" w:cs="Times New Roman"/>
      <w:kern w:val="0"/>
      <w:sz w:val="24"/>
      <w:lang w:val="en-US" w:eastAsia="zh-CN" w:bidi="ar-SA"/>
    </w:rPr>
  </w:style>
  <w:style w:type="paragraph" w:styleId="9">
    <w:name w:val="Title"/>
    <w:basedOn w:val="1"/>
    <w:next w:val="1"/>
    <w:qFormat/>
    <w:uiPriority w:val="10"/>
    <w:pPr>
      <w:spacing w:before="240" w:after="60"/>
      <w:jc w:val="center"/>
    </w:pPr>
    <w:rPr>
      <w:rFonts w:ascii="Cambria" w:hAnsi="Cambria"/>
      <w:b/>
      <w:bCs/>
      <w:sz w:val="32"/>
      <w:szCs w:val="32"/>
    </w:rPr>
  </w:style>
  <w:style w:type="table" w:styleId="11">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qFormat/>
    <w:uiPriority w:val="0"/>
  </w:style>
  <w:style w:type="paragraph" w:customStyle="1" w:styleId="15">
    <w:name w:val="BT01"/>
    <w:next w:val="16"/>
    <w:link w:val="18"/>
    <w:qFormat/>
    <w:uiPriority w:val="0"/>
    <w:pPr>
      <w:keepNext w:val="0"/>
      <w:widowControl w:val="0"/>
      <w:spacing w:line="560" w:lineRule="exact"/>
      <w:ind w:firstLine="880" w:firstLineChars="200"/>
      <w:jc w:val="both"/>
      <w:outlineLvl w:val="1"/>
    </w:pPr>
    <w:rPr>
      <w:rFonts w:ascii="黑体" w:hAnsi="黑体" w:eastAsia="方正黑体_GBK" w:cs="Times New Roman"/>
      <w:sz w:val="32"/>
      <w:szCs w:val="32"/>
    </w:rPr>
  </w:style>
  <w:style w:type="paragraph" w:customStyle="1" w:styleId="16">
    <w:name w:val="BZWFS"/>
    <w:link w:val="19"/>
    <w:qFormat/>
    <w:uiPriority w:val="0"/>
    <w:pPr>
      <w:widowControl w:val="0"/>
      <w:spacing w:line="560" w:lineRule="exact"/>
      <w:ind w:firstLine="880" w:firstLineChars="200"/>
      <w:jc w:val="both"/>
    </w:pPr>
    <w:rPr>
      <w:rFonts w:ascii="仿宋_GB2312" w:hAnsi="仿宋_GB2312" w:eastAsia="仿宋_GB2312" w:cs="Times New Roman"/>
      <w:sz w:val="32"/>
      <w:szCs w:val="32"/>
    </w:rPr>
  </w:style>
  <w:style w:type="paragraph" w:customStyle="1" w:styleId="17">
    <w:name w:val="Basiclf"/>
    <w:qFormat/>
    <w:uiPriority w:val="0"/>
    <w:pPr>
      <w:widowControl w:val="0"/>
      <w:spacing w:line="560" w:lineRule="exact"/>
      <w:jc w:val="both"/>
    </w:pPr>
    <w:rPr>
      <w:rFonts w:ascii="仿宋_GB2312" w:hAnsi="仿宋_GB2312" w:eastAsia="仿宋_GB2312" w:cs="Times New Roman"/>
      <w:sz w:val="32"/>
      <w:szCs w:val="32"/>
    </w:rPr>
  </w:style>
  <w:style w:type="character" w:customStyle="1" w:styleId="18">
    <w:name w:val="BT01 Char"/>
    <w:link w:val="15"/>
    <w:qFormat/>
    <w:uiPriority w:val="0"/>
    <w:rPr>
      <w:rFonts w:ascii="黑体" w:hAnsi="黑体" w:eastAsia="方正黑体_GBK"/>
      <w:sz w:val="32"/>
      <w:szCs w:val="32"/>
    </w:rPr>
  </w:style>
  <w:style w:type="character" w:customStyle="1" w:styleId="19">
    <w:name w:val="BZWFS Char1"/>
    <w:link w:val="16"/>
    <w:qFormat/>
    <w:uiPriority w:val="0"/>
    <w:rPr>
      <w:rFonts w:ascii="仿宋_GB2312" w:hAnsi="仿宋_GB2312" w:eastAsia="仿宋_GB2312" w:cs="Times New Roman"/>
      <w:sz w:val="32"/>
      <w:szCs w:val="32"/>
    </w:rPr>
  </w:style>
  <w:style w:type="character" w:customStyle="1" w:styleId="20">
    <w:name w:val="BZWFS Char"/>
    <w:qFormat/>
    <w:uiPriority w:val="0"/>
    <w:rPr>
      <w:rFonts w:ascii="仿宋_GB2312" w:hAnsi="仿宋_GB2312" w:eastAsia="仿宋_GB2312"/>
      <w:sz w:val="32"/>
      <w:szCs w:val="32"/>
    </w:rPr>
  </w:style>
  <w:style w:type="paragraph" w:customStyle="1" w:styleId="21">
    <w:name w:val="BT02"/>
    <w:next w:val="16"/>
    <w:link w:val="22"/>
    <w:qFormat/>
    <w:uiPriority w:val="0"/>
    <w:pPr>
      <w:keepNext w:val="0"/>
      <w:widowControl w:val="0"/>
      <w:spacing w:line="560" w:lineRule="exact"/>
      <w:ind w:firstLine="880" w:firstLineChars="200"/>
      <w:jc w:val="both"/>
      <w:outlineLvl w:val="1"/>
    </w:pPr>
    <w:rPr>
      <w:rFonts w:ascii="楷体_GB2312" w:hAnsi="楷体_GB2312" w:eastAsia="楷体_GB2312" w:cs="Times New Roman"/>
      <w:sz w:val="32"/>
      <w:szCs w:val="32"/>
    </w:rPr>
  </w:style>
  <w:style w:type="character" w:customStyle="1" w:styleId="22">
    <w:name w:val="BT02 Char"/>
    <w:link w:val="21"/>
    <w:qFormat/>
    <w:uiPriority w:val="0"/>
    <w:rPr>
      <w:rFonts w:ascii="楷体_GB2312" w:hAnsi="楷体_GB2312" w:eastAsia="楷体_GB2312"/>
      <w:sz w:val="32"/>
      <w:szCs w:val="32"/>
    </w:rPr>
  </w:style>
  <w:style w:type="paragraph" w:customStyle="1" w:styleId="23">
    <w:name w:val="BT03"/>
    <w:next w:val="16"/>
    <w:link w:val="24"/>
    <w:qFormat/>
    <w:uiPriority w:val="0"/>
    <w:pPr>
      <w:widowControl w:val="0"/>
      <w:spacing w:line="560" w:lineRule="exact"/>
      <w:ind w:firstLine="880" w:firstLineChars="200"/>
      <w:jc w:val="both"/>
      <w:outlineLvl w:val="2"/>
    </w:pPr>
    <w:rPr>
      <w:rFonts w:ascii="仿宋_GB2312" w:hAnsi="仿宋_GB2312" w:eastAsia="仿宋_GB2312" w:cs="Times New Roman"/>
      <w:b/>
      <w:sz w:val="32"/>
      <w:szCs w:val="32"/>
      <w:lang w:val="en-US" w:eastAsia="zh-CN" w:bidi="ar-SA"/>
    </w:rPr>
  </w:style>
  <w:style w:type="character" w:customStyle="1" w:styleId="24">
    <w:name w:val="BT03 Char"/>
    <w:link w:val="23"/>
    <w:qFormat/>
    <w:uiPriority w:val="0"/>
    <w:rPr>
      <w:rFonts w:ascii="仿宋_GB2312" w:hAnsi="仿宋_GB2312" w:eastAsia="仿宋_GB2312"/>
      <w:b/>
      <w:sz w:val="32"/>
      <w:szCs w:val="32"/>
      <w:lang w:val="en-US" w:eastAsia="zh-CN" w:bidi="ar-SA"/>
    </w:rPr>
  </w:style>
  <w:style w:type="paragraph" w:customStyle="1" w:styleId="25">
    <w:name w:val="BG"/>
    <w:qFormat/>
    <w:uiPriority w:val="0"/>
    <w:pPr>
      <w:widowControl w:val="0"/>
      <w:spacing w:line="520" w:lineRule="exact"/>
      <w:jc w:val="center"/>
    </w:pPr>
    <w:rPr>
      <w:rFonts w:ascii="Times New Roman" w:hAnsi="Times New Roman" w:eastAsia="仿宋_GB2312" w:cs="Times New Roman"/>
      <w:sz w:val="32"/>
      <w:szCs w:val="24"/>
    </w:rPr>
  </w:style>
  <w:style w:type="character" w:customStyle="1" w:styleId="26">
    <w:name w:val="BXZ Char"/>
    <w:link w:val="27"/>
    <w:qFormat/>
    <w:uiPriority w:val="0"/>
    <w:rPr>
      <w:rFonts w:eastAsia="仿宋_GB2312"/>
      <w:color w:val="0000FF"/>
    </w:rPr>
  </w:style>
  <w:style w:type="paragraph" w:customStyle="1" w:styleId="27">
    <w:name w:val="BXZ"/>
    <w:basedOn w:val="16"/>
    <w:link w:val="26"/>
    <w:qFormat/>
    <w:uiPriority w:val="0"/>
    <w:pPr>
      <w:spacing w:line="240" w:lineRule="auto"/>
    </w:pPr>
    <w:rPr>
      <w:color w:val="0000FF"/>
    </w:rPr>
  </w:style>
  <w:style w:type="paragraph" w:customStyle="1" w:styleId="28">
    <w:name w:val="项符"/>
    <w:basedOn w:val="16"/>
    <w:qFormat/>
    <w:uiPriority w:val="0"/>
    <w:pPr>
      <w:numPr>
        <w:ilvl w:val="0"/>
        <w:numId w:val="1"/>
      </w:numPr>
      <w:ind w:firstLine="640"/>
    </w:pPr>
  </w:style>
  <w:style w:type="paragraph" w:customStyle="1" w:styleId="29">
    <w:name w:val="B_TAI"/>
    <w:basedOn w:val="17"/>
    <w:qFormat/>
    <w:uiPriority w:val="0"/>
    <w:pPr>
      <w:spacing w:before="100" w:beforeLines="100" w:line="240" w:lineRule="auto"/>
    </w:pPr>
    <w:rPr>
      <w:rFonts w:cs="Times New Roman"/>
    </w:rPr>
  </w:style>
  <w:style w:type="paragraph" w:customStyle="1" w:styleId="30">
    <w:name w:val="BKT"/>
    <w:basedOn w:val="16"/>
    <w:qFormat/>
    <w:uiPriority w:val="0"/>
    <w:pPr>
      <w:spacing w:line="240" w:lineRule="auto"/>
    </w:pPr>
    <w:rPr>
      <w:rFonts w:eastAsia="楷体_GB2312"/>
    </w:rPr>
  </w:style>
  <w:style w:type="paragraph" w:customStyle="1" w:styleId="31">
    <w:name w:val="BTP"/>
    <w:basedOn w:val="16"/>
    <w:qFormat/>
    <w:uiPriority w:val="0"/>
    <w:pPr>
      <w:spacing w:line="240" w:lineRule="auto"/>
      <w:ind w:firstLine="0" w:firstLineChars="0"/>
      <w:jc w:val="center"/>
    </w:pPr>
  </w:style>
  <w:style w:type="paragraph" w:customStyle="1" w:styleId="32">
    <w:name w:val="Point"/>
    <w:basedOn w:val="16"/>
    <w:next w:val="16"/>
    <w:qFormat/>
    <w:uiPriority w:val="0"/>
    <w:pPr>
      <w:numPr>
        <w:ilvl w:val="0"/>
        <w:numId w:val="2"/>
      </w:numPr>
      <w:tabs>
        <w:tab w:val="left" w:pos="210"/>
        <w:tab w:val="clear" w:pos="420"/>
      </w:tabs>
      <w:spacing w:line="240" w:lineRule="auto"/>
      <w:ind w:left="0" w:firstLine="640" w:firstLineChars="200"/>
    </w:pPr>
  </w:style>
  <w:style w:type="paragraph" w:customStyle="1" w:styleId="33">
    <w:name w:val="①"/>
    <w:basedOn w:val="1"/>
    <w:qFormat/>
    <w:uiPriority w:val="0"/>
    <w:pPr>
      <w:numPr>
        <w:ilvl w:val="0"/>
        <w:numId w:val="3"/>
      </w:numPr>
      <w:spacing w:line="240" w:lineRule="atLeast"/>
    </w:pPr>
    <w:rPr>
      <w:rFonts w:hint="default" w:ascii="Times New Roman" w:hAnsi="Times New Roman" w:eastAsia="仿宋_GB2312" w:cs="Times New Roman"/>
      <w:sz w:val="24"/>
      <w:szCs w:val="24"/>
    </w:rPr>
  </w:style>
  <w:style w:type="paragraph" w:customStyle="1" w:styleId="34">
    <w:name w:val="BEI"/>
    <w:basedOn w:val="1"/>
    <w:qFormat/>
    <w:uiPriority w:val="0"/>
    <w:rPr>
      <w:rFonts w:ascii="Times New Roman" w:hAnsi="Times New Roman" w:eastAsia="方正兰亭超细黑简体" w:cs="宋体"/>
      <w:sz w:val="28"/>
      <w:szCs w:val="21"/>
      <w:lang w:bidi="ar-SA"/>
    </w:rPr>
  </w:style>
  <w:style w:type="paragraph" w:customStyle="1" w:styleId="35">
    <w:name w:val="BodyText"/>
    <w:basedOn w:val="1"/>
    <w:next w:val="9"/>
    <w:qFormat/>
    <w:uiPriority w:val="0"/>
    <w:pPr>
      <w:spacing w:after="120"/>
    </w:pPr>
  </w:style>
  <w:style w:type="paragraph" w:customStyle="1" w:styleId="36">
    <w:name w:val="B1符"/>
    <w:basedOn w:val="15"/>
    <w:qFormat/>
    <w:uiPriority w:val="0"/>
    <w:pPr>
      <w:numPr>
        <w:ilvl w:val="0"/>
        <w:numId w:val="4"/>
      </w:numPr>
    </w:pPr>
  </w:style>
  <w:style w:type="paragraph" w:customStyle="1" w:styleId="37">
    <w:name w:val="Blue"/>
    <w:basedOn w:val="16"/>
    <w:qFormat/>
    <w:uiPriority w:val="0"/>
    <w:pPr>
      <w:spacing w:line="240" w:lineRule="auto"/>
    </w:pPr>
    <w:rPr>
      <w:color w:val="0000FF"/>
    </w:rPr>
  </w:style>
  <w:style w:type="paragraph" w:customStyle="1" w:styleId="38">
    <w:name w:val="BT00"/>
    <w:qFormat/>
    <w:uiPriority w:val="0"/>
    <w:pPr>
      <w:widowControl w:val="0"/>
      <w:spacing w:line="600" w:lineRule="exact"/>
      <w:jc w:val="center"/>
      <w:outlineLvl w:val="0"/>
    </w:pPr>
    <w:rPr>
      <w:rFonts w:ascii="宋体" w:hAnsi="宋体" w:eastAsia="方正小标宋简体" w:cs="Times New Roman"/>
      <w:sz w:val="44"/>
      <w:szCs w:val="44"/>
    </w:rPr>
  </w:style>
  <w:style w:type="paragraph" w:customStyle="1" w:styleId="39">
    <w:name w:val="图"/>
    <w:basedOn w:val="16"/>
    <w:link w:val="44"/>
    <w:qFormat/>
    <w:uiPriority w:val="0"/>
    <w:pPr>
      <w:spacing w:line="240" w:lineRule="atLeast"/>
      <w:ind w:firstLine="0" w:firstLineChars="0"/>
      <w:jc w:val="center"/>
    </w:pPr>
    <w:rPr>
      <w:rFonts w:ascii="仿宋_GB2312" w:hAnsi="仿宋_GB2312" w:cs="仿宋_GB2312"/>
    </w:rPr>
  </w:style>
  <w:style w:type="paragraph" w:customStyle="1" w:styleId="40">
    <w:name w:val="C楷体居中"/>
    <w:basedOn w:val="25"/>
    <w:qFormat/>
    <w:uiPriority w:val="0"/>
    <w:pPr>
      <w:adjustRightInd w:val="0"/>
      <w:snapToGrid w:val="0"/>
      <w:spacing w:line="560" w:lineRule="exact"/>
    </w:pPr>
    <w:rPr>
      <w:rFonts w:ascii="楷体_GB2312" w:hAnsi="楷体_GB2312" w:eastAsia="楷体_GB2312" w:cs="楷体_GB2312"/>
      <w:sz w:val="32"/>
      <w:szCs w:val="32"/>
    </w:rPr>
  </w:style>
  <w:style w:type="paragraph" w:customStyle="1" w:styleId="41">
    <w:name w:val="C黑体"/>
    <w:basedOn w:val="40"/>
    <w:qFormat/>
    <w:uiPriority w:val="0"/>
    <w:pPr>
      <w:spacing w:before="100" w:beforeLines="100" w:after="100" w:afterLines="100"/>
      <w:outlineLvl w:val="1"/>
    </w:pPr>
    <w:rPr>
      <w:rFonts w:ascii="黑体" w:hAnsi="黑体" w:eastAsia="黑体" w:cs="黑体"/>
    </w:rPr>
  </w:style>
  <w:style w:type="paragraph" w:customStyle="1" w:styleId="42">
    <w:name w:val="BT02.1"/>
    <w:link w:val="43"/>
    <w:qFormat/>
    <w:uiPriority w:val="0"/>
    <w:pPr>
      <w:widowControl w:val="0"/>
      <w:spacing w:line="560" w:lineRule="exact"/>
      <w:ind w:firstLine="880" w:firstLineChars="200"/>
      <w:jc w:val="both"/>
      <w:outlineLvl w:val="1"/>
    </w:pPr>
    <w:rPr>
      <w:rFonts w:ascii="楷体_GB2312" w:hAnsi="楷体_GB2312" w:eastAsia="楷体_GB2312" w:cs="Times New Roman"/>
      <w:sz w:val="32"/>
      <w:szCs w:val="32"/>
      <w:lang w:val="en-US" w:eastAsia="zh-CN" w:bidi="ar-SA"/>
    </w:rPr>
  </w:style>
  <w:style w:type="character" w:customStyle="1" w:styleId="43">
    <w:name w:val="BT02.1 Char"/>
    <w:link w:val="42"/>
    <w:qFormat/>
    <w:uiPriority w:val="0"/>
    <w:rPr>
      <w:rFonts w:ascii="楷体_GB2312" w:hAnsi="楷体_GB2312" w:eastAsia="楷体_GB2312" w:cs="Times New Roman"/>
      <w:sz w:val="32"/>
      <w:szCs w:val="32"/>
      <w:lang w:val="en-US" w:eastAsia="zh-CN" w:bidi="ar-SA"/>
    </w:rPr>
  </w:style>
  <w:style w:type="character" w:customStyle="1" w:styleId="44">
    <w:name w:val="图 Char"/>
    <w:link w:val="39"/>
    <w:qFormat/>
    <w:uiPriority w:val="0"/>
    <w:rPr>
      <w:rFonts w:ascii="仿宋_GB2312" w:hAnsi="仿宋_GB2312" w:eastAsia="仿宋_GB2312" w:cs="仿宋_GB2312"/>
      <w:szCs w:val="32"/>
    </w:rPr>
  </w:style>
  <w:style w:type="paragraph" w:customStyle="1" w:styleId="45">
    <w:name w:val="Normal (Web)"/>
    <w:qFormat/>
    <w:uiPriority w:val="0"/>
    <w:pPr>
      <w:widowControl w:val="0"/>
      <w:jc w:val="left"/>
    </w:pPr>
    <w:rPr>
      <w:rFonts w:hint="eastAsia" w:ascii="Times New Roman" w:hAnsi="Times New Roman" w:eastAsia="Times New Roman" w:cs="Times New Roman"/>
      <w:kern w:val="0"/>
      <w:sz w:val="24"/>
      <w:lang w:val="en-US" w:eastAsia="zh-CN" w:bidi="ar-SA"/>
    </w:rPr>
  </w:style>
  <w:style w:type="paragraph" w:customStyle="1" w:styleId="46">
    <w:name w:val="Body text|1"/>
    <w:basedOn w:val="1"/>
    <w:qFormat/>
    <w:uiPriority w:val="0"/>
    <w:pPr>
      <w:widowControl w:val="0"/>
      <w:shd w:val="clear" w:color="auto" w:fill="auto"/>
      <w:spacing w:line="413" w:lineRule="auto"/>
      <w:ind w:firstLine="400"/>
    </w:pPr>
    <w:rPr>
      <w:rFonts w:ascii="宋体" w:hAnsi="宋体" w:eastAsia="宋体" w:cs="宋体"/>
      <w:color w:val="2B2B2B"/>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5700</Words>
  <Characters>5717</Characters>
  <Lines>1</Lines>
  <Paragraphs>1</Paragraphs>
  <TotalTime>26</TotalTime>
  <ScaleCrop>false</ScaleCrop>
  <LinksUpToDate>false</LinksUpToDate>
  <CharactersWithSpaces>5752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2025-01-17T03:53:00Z</dcterms:created>
  <dc:creator>zalf</dc:creator>
  <cp:lastModifiedBy>陌</cp:lastModifiedBy>
  <cp:lastPrinted>2025-05-20T03:46:00Z</cp:lastPrinted>
  <dcterms:modified xsi:type="dcterms:W3CDTF">2025-11-07T02:42:11Z</dcterms:modified>
  <dc:title>根据市委市政府对安全生产工作的部署及城市管理治理年的总体工作要求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8C0A1FCE6AC1BC27BB8CCF67F4B65F38</vt:lpwstr>
  </property>
  <property fmtid="{D5CDD505-2E9C-101B-9397-08002B2CF9AE}" pid="4" name="KSOTemplateDocerSaveRecord">
    <vt:lpwstr>eyJoZGlkIjoiZmVmNTlkY2EwZTU0YTRhZWJkZWQxZDNiODhlMTczZDkiLCJ1c2VySWQiOiIxMjA5OTQ0MDAwIn0=</vt:lpwstr>
  </property>
</Properties>
</file>