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  <w:t>4</w:t>
      </w:r>
    </w:p>
    <w:p w14:paraId="2531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 w:bidi="ar-SA"/>
        </w:rPr>
      </w:pPr>
    </w:p>
    <w:p w14:paraId="118B5D5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主会场观摩工程--东莞市长安镇新安社区</w:t>
      </w:r>
    </w:p>
    <w:p w14:paraId="35AF348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农民公寓项目概况</w:t>
      </w:r>
    </w:p>
    <w:p w14:paraId="3A257DB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</w:p>
    <w:p w14:paraId="7CFB7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工程名称：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东莞市长安镇新安社区农民公寓项目；</w:t>
      </w:r>
    </w:p>
    <w:p w14:paraId="0A272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建设单位：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东莞市长安镇新安社区股份经济联合社；</w:t>
      </w:r>
    </w:p>
    <w:p w14:paraId="14B2D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勘察单位：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广东建青工程勘察设计咨询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；</w:t>
      </w:r>
    </w:p>
    <w:p w14:paraId="2B97E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设计单位：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广州汉森建筑设计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；</w:t>
      </w:r>
    </w:p>
    <w:p w14:paraId="29390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监理单位：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浙江天成项目管理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；</w:t>
      </w:r>
    </w:p>
    <w:p w14:paraId="4979A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施工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单位：中国建筑第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工程局有限公司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eastAsia="zh-CN"/>
        </w:rPr>
        <w:t>；</w:t>
      </w:r>
    </w:p>
    <w:p w14:paraId="333B0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观摩时间：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9月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9月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 w14:paraId="42957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/>
        </w:rPr>
        <w:t>联系人：</w:t>
      </w:r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刘平</w:t>
      </w:r>
      <w:bookmarkStart w:id="0" w:name="_GoBack"/>
      <w:bookmarkEnd w:id="0"/>
      <w:r>
        <w:rPr>
          <w:rFonts w:hint="eastAsia" w:ascii="仿宋_GB2312" w:hAnsi="仿宋_GB2312" w:cs="宋体"/>
          <w:kern w:val="0"/>
          <w:sz w:val="32"/>
          <w:szCs w:val="32"/>
          <w:highlight w:val="none"/>
          <w:lang w:val="en-US" w:eastAsia="zh-CN"/>
        </w:rPr>
        <w:t>。</w:t>
      </w:r>
    </w:p>
    <w:p w14:paraId="0945F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项目位于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/>
        </w:rPr>
        <w:t>东莞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/>
        </w:rPr>
        <w:t>长安镇莲湖路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 w:bidi="ar-SA"/>
        </w:rPr>
        <w:t>占地面积6.6万平方米，总建筑面积39.9万平方米，包括12栋住宅楼、2栋门楼、1栋幼儿园、1栋配套楼和3层地下室，最大建筑高度118m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。</w:t>
      </w:r>
    </w:p>
    <w:p w14:paraId="34388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观摩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亮点：</w:t>
      </w:r>
    </w:p>
    <w:p w14:paraId="2782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优秀工艺工法展示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主要包括主体结构、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地下室铝模、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砌筑抹灰、机电安装、屋面工程、设备房安装及装修、幕墙安装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405E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智慧工地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采用智慧工地一体化管理云平台管理，依托计算机信息、网络通讯、物联网、系统集成及云计算技术，通过数据采集、信息动态交互、智能分析，建立一套集成的项目建设综合管理系统。实现项目管理信息化、网络化、智能化、规范化，对建设工程的实施过程进行全方位的动态监控管理。</w:t>
      </w:r>
    </w:p>
    <w:p w14:paraId="6CCB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绿色施工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：项目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围挡喷淋、雾炮机、扬尘噪音监测等技术降低污染；采用预制构件一体化管理及机器人施工（墙面抹灰、地坪漆处理等），减少资源浪费，助力生态文明建设。</w:t>
      </w:r>
    </w:p>
    <w:p w14:paraId="12FC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新技术应用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项目在施工中应用住建部颁发的建筑业10项新技术中的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大项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小项，目前已应用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大项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小项，主要包括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高强高性能混凝土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技术、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混凝土裂缝控制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技术、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高强钢筋直螺纹连接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技术、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组合铝合金模板施工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技术、施工扬尘控制技术、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地下工程预铺反粘防水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技术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深基坑施工监测技术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等。</w:t>
      </w:r>
    </w:p>
    <w:p w14:paraId="680F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党建引领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FFFFFF"/>
        </w:rPr>
        <w:t>项目成立党支部，推动党建和业务深度融合，实现联合共建，加强党建对施工生产的有效引领，充分发挥大型企业担当，强化党的领导，把党建工作做实，以党建为开路先锋及工作动力，实现政府工程高质量发展，充分彰显了党的建设工作的显著优势。</w:t>
      </w:r>
      <w:r>
        <w:rPr>
          <w:rFonts w:hint="eastAsia" w:eastAsia="仿宋_GB2312" w:asciiTheme="minorHAnsi" w:hAnsiTheme="minorHAnsi" w:cstheme="minorBidi"/>
          <w:b w:val="0"/>
          <w:bCs w:val="0"/>
          <w:sz w:val="32"/>
          <w:szCs w:val="24"/>
          <w:lang w:eastAsia="zh-CN" w:bidi="ar-SA"/>
        </w:rPr>
        <w:br w:type="page"/>
      </w:r>
    </w:p>
    <w:p w14:paraId="7ED28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主会场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highlight w:val="none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观摩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工程交通指引</w:t>
      </w:r>
    </w:p>
    <w:p w14:paraId="2929F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</w:p>
    <w:p w14:paraId="405F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工程地点：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广东省东莞市长安镇莲湖路55号。</w:t>
      </w:r>
    </w:p>
    <w:p w14:paraId="1DC7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导航设置地址：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中建五局长安镇新安社区农民公寓项目部。</w:t>
      </w:r>
    </w:p>
    <w:p w14:paraId="010CB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自驾路线：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经环莞快速路（长安方向），左转进入莲湖路行驶1公里掉头行驶700米到达观摩地点。</w:t>
      </w:r>
    </w:p>
    <w:p w14:paraId="58DB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大巴路线：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线路同上，停放至大巴专用停车区。</w:t>
      </w:r>
    </w:p>
    <w:p w14:paraId="6F5E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高铁路线：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乘坐高铁至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虎门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站（观摩项目距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虎门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km），出站后乘坐出租车（约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min车程）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或</w:t>
      </w:r>
      <w:r>
        <w:rPr>
          <w:rFonts w:hint="eastAsia" w:ascii="仿宋_GB2312" w:hAnsi="仿宋_GB2312" w:cs="仿宋_GB2312"/>
          <w:color w:val="auto"/>
          <w:sz w:val="32"/>
          <w:szCs w:val="24"/>
          <w:lang w:val="en-US" w:eastAsia="zh-CN" w:bidi="ar-SA"/>
        </w:rPr>
        <w:t>步行至虎门高铁站公交站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乘</w:t>
      </w:r>
      <w:r>
        <w:rPr>
          <w:rFonts w:hint="eastAsia" w:ascii="仿宋_GB2312" w:hAnsi="仿宋_GB2312" w:cs="仿宋_GB2312"/>
          <w:color w:val="auto"/>
          <w:sz w:val="32"/>
          <w:szCs w:val="24"/>
          <w:lang w:val="en-US" w:eastAsia="zh-CN" w:bidi="ar-SA"/>
        </w:rPr>
        <w:t>坐222路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（开往</w:t>
      </w:r>
      <w:r>
        <w:rPr>
          <w:rFonts w:hint="eastAsia" w:ascii="仿宋_GB2312" w:hAnsi="仿宋_GB2312" w:cs="仿宋_GB2312"/>
          <w:color w:val="auto"/>
          <w:sz w:val="32"/>
          <w:szCs w:val="24"/>
          <w:lang w:val="en-US" w:eastAsia="zh-CN" w:bidi="ar-SA"/>
        </w:rPr>
        <w:t>长安霄边首末站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方向）</w:t>
      </w:r>
      <w:r>
        <w:rPr>
          <w:rFonts w:hint="eastAsia" w:ascii="仿宋_GB2312" w:hAnsi="仿宋_GB2312" w:cs="仿宋_GB2312"/>
          <w:color w:val="auto"/>
          <w:sz w:val="32"/>
          <w:szCs w:val="24"/>
          <w:lang w:val="en-US" w:eastAsia="zh-CN" w:bidi="ar-SA"/>
        </w:rPr>
        <w:t>，经21站在四季豪园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公交站下车后</w:t>
      </w:r>
      <w:r>
        <w:rPr>
          <w:rFonts w:hint="eastAsia" w:ascii="仿宋_GB2312" w:hAnsi="仿宋_GB2312" w:cs="仿宋_GB2312"/>
          <w:color w:val="auto"/>
          <w:sz w:val="32"/>
          <w:szCs w:val="24"/>
          <w:lang w:val="en-US" w:eastAsia="zh-CN" w:bidi="ar-SA"/>
        </w:rPr>
        <w:t>步行约300米到</w:t>
      </w:r>
      <w:r>
        <w:rPr>
          <w:rFonts w:hint="default" w:ascii="仿宋_GB2312" w:hAnsi="仿宋_GB2312" w:eastAsia="仿宋_GB2312" w:cs="仿宋_GB2312"/>
          <w:color w:val="auto"/>
          <w:sz w:val="32"/>
          <w:szCs w:val="24"/>
          <w:lang w:val="en-US" w:eastAsia="zh-CN" w:bidi="ar-SA"/>
        </w:rPr>
        <w:t>达观摩地点。</w:t>
      </w: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002D5"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 w14:paraId="025D419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WRlYWNlMTMyZmUzODA4Y2UyYjhlMDY5YTdlZWMifQ=="/>
  </w:docVars>
  <w:rsids>
    <w:rsidRoot w:val="7D5D3830"/>
    <w:rsid w:val="07C54FE7"/>
    <w:rsid w:val="084C31D7"/>
    <w:rsid w:val="0CA05756"/>
    <w:rsid w:val="179B145C"/>
    <w:rsid w:val="181141F9"/>
    <w:rsid w:val="19341F4D"/>
    <w:rsid w:val="23FD7A1B"/>
    <w:rsid w:val="27DED669"/>
    <w:rsid w:val="2818512F"/>
    <w:rsid w:val="38210DB4"/>
    <w:rsid w:val="3B7B71CA"/>
    <w:rsid w:val="3BFDAB50"/>
    <w:rsid w:val="4055188E"/>
    <w:rsid w:val="4A971F73"/>
    <w:rsid w:val="4C979043"/>
    <w:rsid w:val="52EE65B8"/>
    <w:rsid w:val="530053B6"/>
    <w:rsid w:val="566D3108"/>
    <w:rsid w:val="5B5A2A96"/>
    <w:rsid w:val="5FFF2181"/>
    <w:rsid w:val="68DE65A4"/>
    <w:rsid w:val="69BB0E40"/>
    <w:rsid w:val="734A26D0"/>
    <w:rsid w:val="795B47D9"/>
    <w:rsid w:val="7BFEBBF1"/>
    <w:rsid w:val="7D5D3830"/>
    <w:rsid w:val="7DCBC8C8"/>
    <w:rsid w:val="AA6B9A47"/>
    <w:rsid w:val="B4DFABB0"/>
    <w:rsid w:val="BDF7F732"/>
    <w:rsid w:val="BFF59694"/>
    <w:rsid w:val="C6ED32D7"/>
    <w:rsid w:val="DF571C84"/>
    <w:rsid w:val="DFB6C710"/>
    <w:rsid w:val="EA3E3296"/>
    <w:rsid w:val="F773432B"/>
    <w:rsid w:val="F8FF3B07"/>
    <w:rsid w:val="FDFE7294"/>
    <w:rsid w:val="FEF7A752"/>
    <w:rsid w:val="FF3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1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1049</Characters>
  <Lines>0</Lines>
  <Paragraphs>0</Paragraphs>
  <TotalTime>0</TotalTime>
  <ScaleCrop>false</ScaleCrop>
  <LinksUpToDate>false</LinksUpToDate>
  <CharactersWithSpaces>1049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2024-08-24T11:05:00Z</dcterms:created>
  <dc:creator>pjb</dc:creator>
  <cp:lastModifiedBy>陌</cp:lastModifiedBy>
  <cp:lastPrinted>2024-08-28T17:48:00Z</cp:lastPrinted>
  <dcterms:modified xsi:type="dcterms:W3CDTF">2025-10-21T07:53:42Z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4F96C87277E34D6DB42B92CE5E268AB5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eyJoZGlkIjoiZmVmNTlkY2EwZTU0YTRhZWJkZWQxZDNiODhlMTczZDkiLCJ1c2VySWQiOiIxMjA5OTQ0MDAwIn0=</vt:lpwstr>
  </property>
</Properties>
</file>