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房地产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从业机构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反洗钱工作管理办法</w:t>
      </w:r>
    </w:p>
    <w:p w14:paraId="1666BEF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/>
        <w:textAlignment w:val="auto"/>
        <w:outlineLvl w:val="9"/>
        <w:rPr>
          <w:rFonts w:hint="eastAsia" w:ascii="楷体_GB2312" w:hAnsi="宋体" w:eastAsia="楷体_GB2312" w:cs="宋体"/>
          <w:color w:val="000000"/>
          <w:spacing w:val="0"/>
          <w:sz w:val="32"/>
          <w:szCs w:val="32"/>
          <w:lang w:val="zh-CN" w:bidi="zh-CN"/>
        </w:rPr>
      </w:pPr>
    </w:p>
    <w:p w14:paraId="0ECF0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第一章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总则</w:t>
      </w:r>
    </w:p>
    <w:p w14:paraId="1F30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为了预防洗钱和恐怖融资（以下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sz w:val="32"/>
          <w:szCs w:val="32"/>
        </w:rPr>
        <w:t>称洗钱）活动，遏制洗钱及相关犯罪，加强和规范房地产从业机构反洗钱和反恐怖融资（以下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sz w:val="32"/>
          <w:szCs w:val="32"/>
        </w:rPr>
        <w:t>称反洗钱）工作，根据《中华人民共和国反洗钱法》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《中华人民共和国反恐怖主义法》等法律法规，制定本办法。</w:t>
      </w:r>
    </w:p>
    <w:p w14:paraId="0E52F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在中华人民共和国境内依法设立，提供房屋销售、房屋买卖经纪服务的房地产开发企业或者房地产中介机构（以下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</w:t>
      </w:r>
      <w:r>
        <w:rPr>
          <w:rFonts w:hint="eastAsia" w:ascii="仿宋_GB2312" w:hAnsi="仿宋_GB2312" w:eastAsia="仿宋_GB2312" w:cs="仿宋_GB2312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</w:t>
      </w:r>
      <w:r>
        <w:rPr>
          <w:rFonts w:hint="eastAsia" w:ascii="仿宋_GB2312" w:hAnsi="仿宋_GB2312" w:eastAsia="仿宋_GB2312" w:cs="仿宋_GB2312"/>
          <w:sz w:val="32"/>
          <w:szCs w:val="32"/>
        </w:rPr>
        <w:t>从业机构），应当依据本办法规定履行反洗钱义务。</w:t>
      </w:r>
    </w:p>
    <w:p w14:paraId="3ADAD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住房城乡建设部会同中国人民银行制定房地产从业机构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反洗钱管理规定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，对全国房地产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行业反洗钱工作进行监督管理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 w14:paraId="12A7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房地产从业机构履行反洗钱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，指导房地产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行业自律组织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反洗钱自律管理，处理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中国人民银行及其派出机构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提出的反洗钱监督管理建议，履行法律和国务院规定的有关反洗钱其他职责。</w:t>
      </w:r>
    </w:p>
    <w:p w14:paraId="6E244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Style w:val="6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中国房地产估价师与房地产经纪人学会、中国房地产业协会以及地方有关房地产行业自律组织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，依法开展房地产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反洗钱自律管理。</w:t>
      </w:r>
    </w:p>
    <w:p w14:paraId="41240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房地产行业反洗钱监督管理应当遵循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基于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风险原则，在有效识别行业和从业机构洗钱风险状况的基础上，对不同洗钱风险的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从业机构确定与风险相匹配的监管措施。</w:t>
      </w:r>
    </w:p>
    <w:p w14:paraId="2A8F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房地产从业机构应当依法履行反洗钱义务，接受反洗钱监督管理和自律管理，配合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中国人民银行及其派出机构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反洗钱调查。</w:t>
      </w:r>
    </w:p>
    <w:p w14:paraId="4718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房地产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从业机构及其工作人员不得从事洗钱活动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或者为洗钱活动提供便利。</w:t>
      </w:r>
    </w:p>
    <w:p w14:paraId="4D92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Style w:val="6"/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对依法履行反洗钱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职责或者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义务获得的客户身份资料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交易信息</w:t>
      </w:r>
      <w:bookmarkStart w:id="0" w:name="_Hlk86253201"/>
      <w:r>
        <w:rPr>
          <w:rFonts w:hint="eastAsia" w:ascii="仿宋_GB2312" w:hAnsi="仿宋_GB2312" w:eastAsia="仿宋_GB2312" w:cs="仿宋_GB2312"/>
          <w:sz w:val="32"/>
          <w:szCs w:val="32"/>
        </w:rPr>
        <w:t>、反洗钱调查信息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反洗钱信息，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应当予以保密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非依法律规定，不得向任何单位和个人提供。</w:t>
      </w:r>
    </w:p>
    <w:p w14:paraId="197FA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ascii="仿宋" w:hAnsi="仿宋" w:eastAsia="仿宋"/>
          <w:bCs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七</w:t>
      </w: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房地产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从业机构及其工作人员因履行反洗钱义务，在境内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依法处理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客户身份资料、交易及相关信息，开展提交可疑交易报告等工作，受法律保护。</w:t>
      </w:r>
    </w:p>
    <w:p w14:paraId="54E17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/>
          <w:b/>
          <w:sz w:val="32"/>
          <w:szCs w:val="32"/>
        </w:rPr>
      </w:pPr>
    </w:p>
    <w:p w14:paraId="07F96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第二章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反洗钱义务</w:t>
      </w:r>
    </w:p>
    <w:p w14:paraId="0B2AE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房地产从业机构应当充分考虑面临的洗钱风险，依法采取预防、监控措施，建立健全反洗钱内部控制制度，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指定内设机构或者人员负责反洗钱工作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9BAA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房地产从业机构应当采取合理措施定期识别、评估本机构面临的洗钱风险，并根据风险评估结果，制定和采取适当的洗钱风险管理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和措施，持续监控其执行情况。</w:t>
      </w:r>
    </w:p>
    <w:p w14:paraId="6199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开发企业向客户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销售房屋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房地产中介机构为客户买卖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经纪服务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有合理理由怀疑客户及其交易涉嫌洗钱活动的，应当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通过以下措施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身份信息及其交易目的：</w:t>
      </w:r>
    </w:p>
    <w:p w14:paraId="7655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查验自然人提供的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居民身份证、护照或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其他来源可靠、独立的身份证明材料；留存客户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的复印件、影印件；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询问并记录其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交易目的。</w:t>
      </w:r>
    </w:p>
    <w:p w14:paraId="1A306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法人和非法人组织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其他来源可靠、独立的身份证明材料；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识别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客户受益所有人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留存客户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的复印件、影印件；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询问并记录其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交易目的。</w:t>
      </w:r>
    </w:p>
    <w:p w14:paraId="3BABFF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代理人代办业务的，应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身份信息及其交易目的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的基础上，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查验并留存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证明材料和代理关系证明材料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E22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房地产开发企业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在与客户签订房屋买卖合同前，房地产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中介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机构应当在撮合客户签订房屋买卖合同前的合理期限内完成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前款规定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3C957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身份不明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销售房屋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提供经纪服务。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客户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拒不配合提供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信息的，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可以拒绝向其销售房屋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经纪服务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，并根据情况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向中国反洗钱监测分析中心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提交可疑交易报告。</w:t>
      </w:r>
    </w:p>
    <w:p w14:paraId="4626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房地产从业机构应当采取妥善措施，完整、准确地保存获取的客户身份资料和交易记录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期不少于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 w14:paraId="2A29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19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房地产从业机构发现或者有合理理由怀疑客户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拟进行的房屋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交易与洗钱等犯罪活动相关的，应当及时向中国反洗钱监测分析中心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2"/>
        </w:rPr>
        <w:t>可疑交易报告。</w:t>
      </w:r>
    </w:p>
    <w:p w14:paraId="41B49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3" w:firstLineChars="198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可疑交易报告的格式和填报要求，由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中国反洗钱监测分析中心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另行规定。</w:t>
      </w:r>
    </w:p>
    <w:p w14:paraId="45D9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下列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名单所列对象采取反洗钱特别预防措施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FA3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（一）国家反恐怖主义工作领导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32"/>
          <w:szCs w:val="32"/>
          <w:u w:val="none"/>
          <w:lang w:val="en-US" w:eastAsia="zh-CN"/>
        </w:rPr>
        <w:t>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认定并由其办公室公告的恐怖活动组织和人员名单；</w:t>
      </w:r>
    </w:p>
    <w:p w14:paraId="214C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（二）外交部发布的执行联合国安理会决议通知中涉及恐怖融资、大规模杀伤性武器扩散融资定向金融制裁的组织和人员名单；</w:t>
      </w:r>
    </w:p>
    <w:p w14:paraId="4F2F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（三）中国人民银行认定或者会同国家有关机关认定的，具有重大洗钱风险、不采取措施可能造成严重后果的组织和人员名单。</w:t>
      </w:r>
    </w:p>
    <w:p w14:paraId="0AB4C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经核查发现名单所列对象及其代理人、受其指使的组织和人员、其直接或者间接控制的组织的，应当立即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停止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向其销售房屋或者提供经纪服务，并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依法向相关部门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报告。</w:t>
      </w:r>
    </w:p>
    <w:p w14:paraId="54211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积极配合行业主管部门或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自律组织做好反洗钱社会宣传，参加行业主管部门或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自律组织举办的反洗钱培训，对本机构管理人员和员工持续开展反洗钱培训。</w:t>
      </w:r>
    </w:p>
    <w:p w14:paraId="59529E12"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房地产从业机构应当根据洗钱风险状况，合理确定反洗钱内部审计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检查工作内容，或者在内部审计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检查、社会审计中包含与洗钱风险管理需求相适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的内容，监督反洗钱内部控制制度的有效实施。</w:t>
      </w:r>
    </w:p>
    <w:p w14:paraId="657B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D50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第三章  反洗钱监督管理</w:t>
      </w:r>
    </w:p>
    <w:p w14:paraId="662C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对房地产从业机构履行反洗钱义务的情况实施监督检查。住房城乡建设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门进行监督检查时，应当避免或者尽量减少对房地产从业机构正常生产经营活动的影响。</w:t>
      </w:r>
    </w:p>
    <w:p w14:paraId="76B0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中国人民银行及其派出机构与同级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建立工作沟通联系机制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的反洗钱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协助。</w:t>
      </w:r>
    </w:p>
    <w:p w14:paraId="3E940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中国房地产估价师与房地产经纪人学会、中国房地产业协会在住房城乡建设部的指导下，承担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行业反洗钱自律管理职责，包括：</w:t>
      </w:r>
    </w:p>
    <w:p w14:paraId="0E5BC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从业机构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反洗钱自律管理规范及工作指引；</w:t>
      </w:r>
    </w:p>
    <w:p w14:paraId="2E897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（二）识别与评估房地产行业洗钱和恐怖融资风险，发布风险提示并采取与风险相匹配的措施；</w:t>
      </w:r>
    </w:p>
    <w:p w14:paraId="664D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（三）指导从业机构遵守反洗钱法律法规及自律规范，提升行业合规意识和风险防控能力；</w:t>
      </w:r>
    </w:p>
    <w:p w14:paraId="66D6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（四）协调组织从业机构报送可疑交易报告；</w:t>
      </w:r>
    </w:p>
    <w:p w14:paraId="1DEDB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）对从业机构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实施反洗钱自律管理，对违反本办法和自律规范的从业机构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进行惩戒；</w:t>
      </w:r>
    </w:p>
    <w:p w14:paraId="0582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）开展房地产行业反洗钱研究、培训和宣传；</w:t>
      </w:r>
    </w:p>
    <w:p w14:paraId="75DC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）向住房城乡建设部反映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，提出政策建议；</w:t>
      </w:r>
    </w:p>
    <w:p w14:paraId="06215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）指导、协调地方有关房地产行业自律组织开展当地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反洗钱</w:t>
      </w:r>
      <w:r>
        <w:rPr>
          <w:rFonts w:hint="eastAsia" w:ascii="仿宋_GB2312" w:hAnsi="仿宋_GB2312" w:eastAsia="仿宋_GB2312" w:cs="仿宋_GB2312"/>
          <w:sz w:val="32"/>
          <w:szCs w:val="32"/>
        </w:rPr>
        <w:t>自律管理工作；</w:t>
      </w:r>
    </w:p>
    <w:p w14:paraId="41D67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）住房城乡建设部授权履行的其他自律管理职责。</w:t>
      </w:r>
    </w:p>
    <w:p w14:paraId="3E79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地方有关房地产行业自律组织在所在地住房城乡建设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部门的指导下，承担本地区房地产行业反洗钱自律管理职责。</w:t>
      </w:r>
    </w:p>
    <w:p w14:paraId="4C160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房地产行业自律组织合理运用以下措施，对从业机构实行反洗钱自律管理：</w:t>
      </w:r>
    </w:p>
    <w:p w14:paraId="6829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（一）要求从业机构定期或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不定期报告反洗钱工作情况，持续监测从业机构洗钱风险状况；</w:t>
      </w:r>
    </w:p>
    <w:p w14:paraId="492D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（二）遵循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风险原则，对从业机构履行反洗钱义务情况实施自律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4B0B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（三）向风险较为突出或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反洗钱工作存在违规问题的从业机构提出改正意见；</w:t>
      </w:r>
    </w:p>
    <w:p w14:paraId="601E5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理对从业机构反洗钱工作的投诉或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举报；</w:t>
      </w:r>
    </w:p>
    <w:p w14:paraId="794D2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（五）加强从业机构入会资格审核，关注从业机构及其主要股东、受益所有人、高级管理人员是否涉及洗钱及相关犯罪活动；</w:t>
      </w:r>
    </w:p>
    <w:p w14:paraId="3962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（六）对经查实存在违法违规行为的从业机构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采取自律惩戒措施；</w:t>
      </w:r>
    </w:p>
    <w:p w14:paraId="14E4A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（七）根据反洗钱自律管理需要或者经住房城乡建设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部门授权、委托采取其他相关措施。</w:t>
      </w:r>
    </w:p>
    <w:p w14:paraId="6A8C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房地产行业自律组织发现从业机构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违反本办法有关规定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、应予行政处罚的，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及时报告所在地住房城乡建设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部门。</w:t>
      </w:r>
    </w:p>
    <w:p w14:paraId="33949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部门在有效识别房地产行业洗钱风险状况的基础上，可合理确定对不同类型或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风险等级房地产从业机构的监督管理措施及频率。对高风险的从业机构采取强化的监管措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施，对低风险的从业机构可采取简化的监管措施。</w:t>
      </w:r>
    </w:p>
    <w:p w14:paraId="1E73A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9F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第四章  法律责任</w:t>
      </w:r>
    </w:p>
    <w:p w14:paraId="75671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的，由所在地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auto"/>
        </w:rPr>
        <w:t>县级以上地方人民政府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依照《中华人民共和国反洗钱法》第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的规定予以处罚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违反《中华人民共和国反恐怖主义法》等有关法律的，依照有关法律的规定处理。</w:t>
      </w:r>
    </w:p>
    <w:p w14:paraId="5528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房地产从业机构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房地产行业反洗钱自律规范的，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由房地产行业自律组织予以自律惩戒。</w:t>
      </w:r>
    </w:p>
    <w:p w14:paraId="2F3EA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各级住房城乡建设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中国人民银行及其派出机构、</w:t>
      </w:r>
      <w:r>
        <w:rPr>
          <w:rFonts w:hint="eastAsia" w:ascii="仿宋_GB2312" w:hAnsi="仿宋_GB2312" w:eastAsia="仿宋_GB2312" w:cs="仿宋_GB2312"/>
          <w:sz w:val="32"/>
          <w:szCs w:val="32"/>
        </w:rPr>
        <w:t>房地产行业自律组织相关工作人员违反本办法有关规定的，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依法追究法律责任。</w:t>
      </w:r>
    </w:p>
    <w:p w14:paraId="241AB72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 w14:paraId="1D55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第五章  附则</w:t>
      </w:r>
    </w:p>
    <w:p w14:paraId="62373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本办法由住房城乡建设部会同中国人民银行解释。</w:t>
      </w:r>
    </w:p>
    <w:p w14:paraId="74204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日起施行。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前有关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房地产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行业反洗钱规定与本办法不一致的，按照本办法执行。</w:t>
      </w:r>
    </w:p>
    <w:p w14:paraId="417CDD59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465DD4C-73EB-4B3A-8BA8-144C7DD8A169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18B32D-D58A-480C-90A2-F5646D75031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0718B12-EAB9-4EBE-971D-A1B79C81E8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72C5E5-5759-4827-91CA-E8E4A0DEC1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3DFCCA3-8300-4C4F-A7F7-327B26118CC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9E051">
    <w:pPr>
      <w:pStyle w:val="3"/>
      <w:jc w:val="center"/>
      <w:rPr>
        <w:rFonts w:hint="eastAsia"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PAGE   \* MERGEFORMAT</w:instrText>
    </w:r>
    <w:r>
      <w:rPr>
        <w:rFonts w:ascii="宋体" w:hAnsi="宋体"/>
        <w:sz w:val="24"/>
        <w:szCs w:val="24"/>
      </w:rPr>
      <w:fldChar w:fldCharType="separate"/>
    </w:r>
    <w:r>
      <w:t>1</w:t>
    </w:r>
    <w:r>
      <w:rPr>
        <w:rFonts w:ascii="宋体" w:hAnsi="宋体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A57FC4"/>
    <w:multiLevelType w:val="singleLevel"/>
    <w:tmpl w:val="E6A57FC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widowControl w:val="0"/>
      <w:adjustRightInd/>
      <w:snapToGrid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annotation reference"/>
    <w:qFormat/>
    <w:uiPriority w:val="99"/>
    <w:rPr>
      <w:sz w:val="21"/>
      <w:szCs w:val="21"/>
    </w:rPr>
  </w:style>
  <w:style w:type="paragraph" w:customStyle="1" w:styleId="7">
    <w:name w:val="Body text|2"/>
    <w:basedOn w:val="1"/>
    <w:qFormat/>
    <w:uiPriority w:val="0"/>
    <w:pPr>
      <w:shd w:val="clear" w:color="auto" w:fill="FFFFFF"/>
      <w:spacing w:before="500" w:after="2060" w:line="300" w:lineRule="exact"/>
      <w:ind w:hanging="860"/>
      <w:jc w:val="center"/>
    </w:pPr>
    <w:rPr>
      <w:rFonts w:ascii="PMingLiU" w:hAnsi="PMingLiU" w:eastAsia="PMingLiU" w:cs="PMingLiU"/>
      <w:spacing w:val="30"/>
      <w:sz w:val="30"/>
      <w:szCs w:val="30"/>
    </w:rPr>
  </w:style>
  <w:style w:type="paragraph" w:customStyle="1" w:styleId="8">
    <w:name w:val="Plain Text1"/>
    <w:basedOn w:val="1"/>
    <w:next w:val="1"/>
    <w:qFormat/>
    <w:uiPriority w:val="0"/>
    <w:rPr>
      <w:rFonts w:ascii="宋体" w:hAnsi="Courier New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2025-08-25T08:21:32Z</dcterms:created>
  <dc:creator>yanglinyi</dc:creator>
  <cp:lastModifiedBy>tinykerman</cp:lastModifiedBy>
  <dcterms:modified xsi:type="dcterms:W3CDTF">2025-08-25T08:21:45Z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eyJoZGlkIjoiYjkxZDFiOTYwY2FkZGZkNDgxMzdmMWNlMjJhODM1NGIiLCJ1c2VySWQiOiIyNDQ5ODgwNDMifQ==</vt:lpwstr>
  </property>
  <property fmtid="{D5CDD505-2E9C-101B-9397-08002B2CF9AE}" pid="4" name="ICV">
    <vt:lpwstr>055223D31F684DDA8E3E12EAC061133F_12</vt:lpwstr>
  </property>
</Properties>
</file>