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29754">
      <w:pPr>
        <w:adjustRightInd/>
        <w:snapToGrid/>
        <w:spacing w:line="240" w:lineRule="auto"/>
        <w:jc w:val="left"/>
        <w:rPr>
          <w:rFonts w:hint="default" w:ascii="黑体" w:hAnsi="黑体" w:eastAsia="黑体" w:cs="黑体"/>
          <w:bCs/>
          <w:color w:val="000000"/>
          <w:kern w:val="0"/>
          <w:sz w:val="32"/>
          <w:szCs w:val="32"/>
          <w:lang w:eastAsia="zh-CN"/>
        </w:rPr>
      </w:pPr>
    </w:p>
    <w:p w14:paraId="6A3E21D0">
      <w:pPr>
        <w:adjustRightInd w:val="0"/>
        <w:snapToGrid w:val="0"/>
        <w:spacing w:line="600" w:lineRule="exact"/>
        <w:jc w:val="center"/>
        <w:rPr>
          <w:rFonts w:hint="eastAsia" w:ascii="方正小标宋简体" w:hAnsi="方正小标宋简体" w:eastAsia="方正小标宋简体" w:cs="方正小标宋简体"/>
          <w:bCs/>
          <w:color w:val="000000"/>
          <w:kern w:val="0"/>
          <w:sz w:val="44"/>
          <w:szCs w:val="44"/>
          <w:lang w:eastAsia="zh-CN"/>
        </w:rPr>
      </w:pPr>
      <w:r>
        <w:rPr>
          <w:rFonts w:hint="eastAsia" w:ascii="方正小标宋简体" w:hAnsi="方正小标宋简体" w:eastAsia="方正小标宋简体" w:cs="方正小标宋简体"/>
          <w:bCs/>
          <w:color w:val="000000"/>
          <w:kern w:val="0"/>
          <w:sz w:val="44"/>
          <w:szCs w:val="44"/>
          <w:lang w:eastAsia="zh-CN"/>
        </w:rPr>
        <w:t>《广东省可再生能源建筑应用系统设计</w:t>
      </w:r>
    </w:p>
    <w:p w14:paraId="4652462A">
      <w:pPr>
        <w:adjustRightInd w:val="0"/>
        <w:snapToGrid w:val="0"/>
        <w:spacing w:line="600" w:lineRule="exact"/>
        <w:jc w:val="center"/>
        <w:rPr>
          <w:rFonts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lang w:eastAsia="zh-CN"/>
        </w:rPr>
        <w:t>技术导则》</w:t>
      </w:r>
      <w:r>
        <w:rPr>
          <w:rFonts w:hint="eastAsia" w:ascii="方正小标宋简体" w:hAnsi="方正小标宋简体" w:eastAsia="方正小标宋简体" w:cs="方正小标宋简体"/>
          <w:bCs/>
          <w:color w:val="000000"/>
          <w:kern w:val="0"/>
          <w:sz w:val="44"/>
          <w:szCs w:val="44"/>
        </w:rPr>
        <w:t>编制说明</w:t>
      </w:r>
    </w:p>
    <w:p w14:paraId="23372F81">
      <w:pPr>
        <w:adjustRightInd w:val="0"/>
        <w:snapToGrid w:val="0"/>
        <w:spacing w:line="600" w:lineRule="exact"/>
        <w:jc w:val="center"/>
        <w:rPr>
          <w:rFonts w:ascii="仿宋_GB2312" w:hAnsi="仿宋_GB2312" w:cs="仿宋_GB2312"/>
          <w:b w:val="0"/>
          <w:bCs/>
        </w:rPr>
      </w:pPr>
    </w:p>
    <w:p w14:paraId="36D0D64B">
      <w:pPr>
        <w:adjustRightInd w:val="0"/>
        <w:snapToGrid w:val="0"/>
        <w:spacing w:line="600" w:lineRule="exact"/>
        <w:ind w:firstLine="640" w:firstLineChars="200"/>
        <w:outlineLvl w:val="0"/>
        <w:rPr>
          <w:rFonts w:ascii="黑体" w:hAnsi="黑体" w:eastAsia="黑体" w:cs="黑体"/>
          <w:bCs/>
          <w:snapToGrid w:val="0"/>
          <w:szCs w:val="32"/>
        </w:rPr>
      </w:pPr>
      <w:r>
        <w:rPr>
          <w:rFonts w:hint="eastAsia" w:ascii="黑体" w:hAnsi="黑体" w:eastAsia="黑体" w:cs="黑体"/>
          <w:bCs/>
          <w:snapToGrid w:val="0"/>
          <w:szCs w:val="32"/>
        </w:rPr>
        <w:t>一、编制背景及过程</w:t>
      </w:r>
    </w:p>
    <w:p w14:paraId="137E0299">
      <w:pPr>
        <w:adjustRightInd w:val="0"/>
        <w:snapToGrid w:val="0"/>
        <w:spacing w:line="600" w:lineRule="exact"/>
        <w:ind w:firstLine="640" w:firstLineChars="200"/>
        <w:rPr>
          <w:rFonts w:hint="eastAsia" w:ascii="仿宋_GB2312" w:hAnsi="仿宋_GB2312" w:cs="仿宋_GB2312"/>
          <w:snapToGrid w:val="0"/>
          <w:color w:val="000000"/>
          <w:kern w:val="0"/>
          <w:szCs w:val="32"/>
        </w:rPr>
      </w:pPr>
      <w:r>
        <w:rPr>
          <w:rFonts w:hint="eastAsia" w:ascii="仿宋_GB2312" w:hAnsi="仿宋_GB2312" w:cs="仿宋_GB2312"/>
          <w:snapToGrid w:val="0"/>
          <w:color w:val="000000"/>
          <w:kern w:val="0"/>
          <w:szCs w:val="32"/>
        </w:rPr>
        <w:t>为推动建筑领域的可再生能源利用，2022年4月，全文强制性工程建设规范《建筑节能与可再生能源利用通用规范》（GB55015-2021）发布实施，并在第5章第5.2节提出“新建建筑应安装太阳能系统”。但广东省各地市在执行该标准要求时，对于采用何种太阳能系统以及太阳能系统的应用规模等相关要求，存在不</w:t>
      </w:r>
      <w:bookmarkStart w:id="0" w:name="_GoBack"/>
      <w:bookmarkEnd w:id="0"/>
      <w:r>
        <w:rPr>
          <w:rFonts w:hint="eastAsia" w:ascii="仿宋_GB2312" w:hAnsi="仿宋_GB2312" w:cs="仿宋_GB2312"/>
          <w:snapToGrid w:val="0"/>
          <w:color w:val="000000"/>
          <w:kern w:val="0"/>
          <w:szCs w:val="32"/>
        </w:rPr>
        <w:t>小的困惑。为了解决上述执行中的具体问题，结合实际工作情况，规范广东省新建建筑可再生能源利用要求，提高建筑可再生能源利用比例，组织开展本研究工作。本研究通过调研分析国内外先进地区建筑可再生能源利用相关的政策要求与技术标准，及各类建筑应用实践。结合广东</w:t>
      </w:r>
      <w:r>
        <w:rPr>
          <w:rFonts w:hint="eastAsia" w:ascii="仿宋_GB2312" w:hAnsi="仿宋_GB2312" w:cs="仿宋_GB2312"/>
          <w:snapToGrid w:val="0"/>
          <w:color w:val="000000"/>
          <w:kern w:val="0"/>
          <w:szCs w:val="32"/>
          <w:lang w:val="en-US" w:eastAsia="zh-CN"/>
        </w:rPr>
        <w:t>省的</w:t>
      </w:r>
      <w:r>
        <w:rPr>
          <w:rFonts w:hint="eastAsia" w:ascii="仿宋_GB2312" w:hAnsi="仿宋_GB2312" w:cs="仿宋_GB2312"/>
          <w:snapToGrid w:val="0"/>
          <w:color w:val="000000"/>
          <w:kern w:val="0"/>
          <w:szCs w:val="32"/>
        </w:rPr>
        <w:t>实际</w:t>
      </w:r>
      <w:r>
        <w:rPr>
          <w:rFonts w:hint="eastAsia" w:ascii="仿宋_GB2312" w:hAnsi="仿宋_GB2312" w:cs="仿宋_GB2312"/>
          <w:snapToGrid w:val="0"/>
          <w:color w:val="000000"/>
          <w:kern w:val="0"/>
          <w:szCs w:val="32"/>
          <w:lang w:val="en-US" w:eastAsia="zh-CN"/>
        </w:rPr>
        <w:t>情况</w:t>
      </w:r>
      <w:r>
        <w:rPr>
          <w:rFonts w:hint="eastAsia" w:ascii="仿宋_GB2312" w:hAnsi="仿宋_GB2312" w:cs="仿宋_GB2312"/>
          <w:snapToGrid w:val="0"/>
          <w:color w:val="000000"/>
          <w:kern w:val="0"/>
          <w:szCs w:val="32"/>
        </w:rPr>
        <w:t>，明确不同类型新建建筑的可再生能源利用要求，</w:t>
      </w:r>
      <w:r>
        <w:rPr>
          <w:rFonts w:hint="eastAsia" w:ascii="仿宋_GB2312" w:hAnsi="仿宋_GB2312" w:cs="仿宋_GB2312"/>
          <w:snapToGrid w:val="0"/>
          <w:color w:val="000000"/>
          <w:kern w:val="0"/>
          <w:szCs w:val="32"/>
          <w:lang w:val="en-US" w:eastAsia="zh-CN"/>
        </w:rPr>
        <w:t>并最终</w:t>
      </w:r>
      <w:r>
        <w:rPr>
          <w:rFonts w:hint="eastAsia" w:ascii="仿宋_GB2312" w:hAnsi="仿宋_GB2312" w:cs="仿宋_GB2312"/>
          <w:snapToGrid w:val="0"/>
          <w:color w:val="000000"/>
          <w:kern w:val="0"/>
          <w:szCs w:val="32"/>
        </w:rPr>
        <w:t>形成《广东省可再生能源建筑应用系统设计技术导则》（后文简称《技术</w:t>
      </w:r>
      <w:r>
        <w:rPr>
          <w:rFonts w:hint="eastAsia" w:ascii="仿宋_GB2312" w:hAnsi="仿宋_GB2312" w:cs="仿宋_GB2312"/>
          <w:snapToGrid w:val="0"/>
          <w:color w:val="000000"/>
          <w:kern w:val="0"/>
          <w:szCs w:val="32"/>
          <w:lang w:val="en-US" w:eastAsia="zh-CN"/>
        </w:rPr>
        <w:t>导则</w:t>
      </w:r>
      <w:r>
        <w:rPr>
          <w:rFonts w:hint="eastAsia" w:ascii="仿宋_GB2312" w:hAnsi="仿宋_GB2312" w:cs="仿宋_GB2312"/>
          <w:snapToGrid w:val="0"/>
          <w:color w:val="000000"/>
          <w:kern w:val="0"/>
          <w:szCs w:val="32"/>
        </w:rPr>
        <w:t>》），为《建筑节能与可再生能源利用通用规范》（GB55015-2021）在广东省内的执行以及</w:t>
      </w:r>
      <w:r>
        <w:rPr>
          <w:rFonts w:hint="eastAsia" w:ascii="仿宋_GB2312" w:hAnsi="仿宋_GB2312" w:cs="仿宋_GB2312"/>
          <w:snapToGrid w:val="0"/>
          <w:color w:val="000000"/>
          <w:kern w:val="0"/>
          <w:szCs w:val="32"/>
          <w:lang w:eastAsia="zh-CN"/>
        </w:rPr>
        <w:t>广东省</w:t>
      </w:r>
      <w:r>
        <w:rPr>
          <w:rFonts w:hint="eastAsia" w:ascii="仿宋_GB2312" w:hAnsi="仿宋_GB2312" w:cs="仿宋_GB2312"/>
          <w:snapToGrid w:val="0"/>
          <w:color w:val="000000"/>
          <w:kern w:val="0"/>
          <w:szCs w:val="32"/>
          <w:lang w:val="en-US" w:eastAsia="zh-CN"/>
        </w:rPr>
        <w:t>可再生能源</w:t>
      </w:r>
      <w:r>
        <w:rPr>
          <w:rFonts w:hint="eastAsia" w:ascii="仿宋_GB2312" w:hAnsi="仿宋_GB2312" w:cs="仿宋_GB2312"/>
          <w:snapToGrid w:val="0"/>
          <w:color w:val="000000"/>
          <w:kern w:val="0"/>
          <w:szCs w:val="32"/>
        </w:rPr>
        <w:t>利用，起到积极地推进作用。</w:t>
      </w:r>
    </w:p>
    <w:p w14:paraId="7E9C5BE1">
      <w:pPr>
        <w:pStyle w:val="8"/>
        <w:adjustRightInd/>
        <w:spacing w:line="600" w:lineRule="exact"/>
        <w:ind w:firstLine="640"/>
        <w:jc w:val="both"/>
        <w:rPr>
          <w:rFonts w:hint="default" w:ascii="仿宋_GB2312" w:hAnsi="仿宋_GB2312" w:eastAsia="仿宋_GB2312" w:cs="仿宋_GB2312"/>
          <w:snapToGrid w:val="0"/>
          <w:sz w:val="32"/>
          <w:szCs w:val="32"/>
          <w:lang w:val="en-US" w:eastAsia="zh-CN"/>
        </w:rPr>
      </w:pPr>
      <w:r>
        <w:rPr>
          <w:rFonts w:ascii="仿宋_GB2312" w:hAnsi="仿宋_GB2312" w:eastAsia="仿宋_GB2312" w:cs="仿宋_GB2312"/>
          <w:snapToGrid w:val="0"/>
          <w:sz w:val="32"/>
          <w:szCs w:val="32"/>
        </w:rPr>
        <w:t>为做好</w:t>
      </w:r>
      <w:r>
        <w:rPr>
          <w:rFonts w:hint="eastAsia" w:ascii="仿宋_GB2312" w:hAnsi="仿宋_GB2312" w:eastAsia="仿宋_GB2312" w:cs="仿宋_GB2312"/>
          <w:snapToGrid w:val="0"/>
          <w:sz w:val="32"/>
          <w:szCs w:val="32"/>
          <w:lang w:eastAsia="zh-CN"/>
        </w:rPr>
        <w:t>《技术导则》</w:t>
      </w:r>
      <w:r>
        <w:rPr>
          <w:rFonts w:hint="eastAsia" w:ascii="仿宋_GB2312" w:hAnsi="仿宋_GB2312" w:eastAsia="仿宋_GB2312" w:cs="仿宋_GB2312"/>
          <w:snapToGrid w:val="0"/>
          <w:sz w:val="32"/>
          <w:szCs w:val="32"/>
          <w:lang w:val="en-US" w:eastAsia="zh-CN"/>
        </w:rPr>
        <w:t>编制工作，编制单位进行了充分的资料调研，对美国、德国、欧盟、日本等国外发达地区的建筑可再生能源利用政策进行了研究分析，并对国内包括广东省以及广东省以外的省份和城市的建筑可再生能源利用政策进行了认真梳理，总结出可供参考借鉴的指标类型和要求。又对《建筑节能与可再生能源利用通用规范》GB55015-2021、《广东省公共建筑节能设计标准》DBJ 15-51-2020、《雄安新区零碳建筑技术标准》DB1331/T 080—2024等多本技术标准和规范进行了对比分析，提取了可供参考的相关技术参数。最后，通过建筑可再生能源应用的案例分析，对各项指标参数的现状进行了研究，为合理确认相关指标参数提供参考依据。综合上述研究内容，2024年10月底形成了《技术导则》初稿。2024年11月征求了广东省太阳能协会有关专家意见，并根据专家反馈的意见进行了修改。2024年12月，邀请了华南理工大学、广东省规划院、广东省建筑设计院的行业专家以及隆基森特新能源有限公司等厂家代表，组织召开了现场研讨会。</w:t>
      </w:r>
    </w:p>
    <w:p w14:paraId="21548A88">
      <w:pPr>
        <w:adjustRightInd w:val="0"/>
        <w:snapToGrid w:val="0"/>
        <w:spacing w:line="600" w:lineRule="exact"/>
        <w:ind w:firstLine="640" w:firstLineChars="200"/>
        <w:rPr>
          <w:rFonts w:hint="default" w:ascii="黑体" w:hAnsi="黑体" w:eastAsia="黑体" w:cs="黑体"/>
          <w:bCs/>
          <w:snapToGrid w:val="0"/>
          <w:lang w:val="en-US" w:eastAsia="zh-CN"/>
        </w:rPr>
      </w:pPr>
      <w:r>
        <w:rPr>
          <w:rFonts w:hint="eastAsia" w:ascii="黑体" w:hAnsi="黑体" w:eastAsia="黑体" w:cs="黑体"/>
          <w:bCs/>
          <w:snapToGrid w:val="0"/>
          <w:lang w:val="en-US" w:eastAsia="zh-CN"/>
        </w:rPr>
        <w:t>二、主要编制依据</w:t>
      </w:r>
    </w:p>
    <w:p w14:paraId="6AB5493A">
      <w:pPr>
        <w:pStyle w:val="8"/>
        <w:adjustRightInd/>
        <w:spacing w:line="600" w:lineRule="exact"/>
        <w:ind w:firstLine="640"/>
        <w:jc w:val="both"/>
        <w:rPr>
          <w:rFonts w:hint="default"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（一）《2030年前碳达峰行动方案》</w:t>
      </w:r>
    </w:p>
    <w:p w14:paraId="71A2DC11">
      <w:pPr>
        <w:pStyle w:val="8"/>
        <w:adjustRightInd/>
        <w:spacing w:line="600" w:lineRule="exact"/>
        <w:ind w:firstLine="640"/>
        <w:jc w:val="both"/>
        <w:rPr>
          <w:rFonts w:hint="default"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（二）《城乡建设领域碳达峰实施方案》</w:t>
      </w:r>
    </w:p>
    <w:p w14:paraId="39DC586F">
      <w:pPr>
        <w:pStyle w:val="8"/>
        <w:adjustRightInd/>
        <w:spacing w:line="600" w:lineRule="exact"/>
        <w:ind w:firstLine="640"/>
        <w:jc w:val="both"/>
        <w:rPr>
          <w:rFonts w:hint="default"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（三）《广东省推进县域“光伏+建筑”应用试点工作方案》</w:t>
      </w:r>
    </w:p>
    <w:p w14:paraId="43174E4D">
      <w:pPr>
        <w:pStyle w:val="8"/>
        <w:adjustRightInd/>
        <w:spacing w:line="600" w:lineRule="exact"/>
        <w:ind w:firstLine="640"/>
        <w:jc w:val="both"/>
        <w:rPr>
          <w:rFonts w:hint="default"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（四）《广东省推进分布式光伏高质量发展行动方案》</w:t>
      </w:r>
    </w:p>
    <w:p w14:paraId="2E3A5B0B">
      <w:pPr>
        <w:pStyle w:val="8"/>
        <w:adjustRightInd/>
        <w:spacing w:line="600" w:lineRule="exact"/>
        <w:ind w:firstLine="640"/>
        <w:jc w:val="both"/>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（五）《广东省碳达峰实施方案》</w:t>
      </w:r>
    </w:p>
    <w:p w14:paraId="027332B8">
      <w:pPr>
        <w:pStyle w:val="8"/>
        <w:adjustRightInd/>
        <w:spacing w:line="600" w:lineRule="exact"/>
        <w:ind w:firstLine="640"/>
        <w:jc w:val="both"/>
        <w:rPr>
          <w:rFonts w:hint="default"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（六）《广东省建筑节能与绿色建筑发展“十四五”规划》</w:t>
      </w:r>
    </w:p>
    <w:p w14:paraId="7993240D">
      <w:pPr>
        <w:pStyle w:val="8"/>
        <w:adjustRightInd/>
        <w:spacing w:line="600" w:lineRule="exact"/>
        <w:ind w:firstLine="640"/>
        <w:jc w:val="both"/>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（七）《建筑节能与可再生能源利用通用规范》GB 55015-2021</w:t>
      </w:r>
    </w:p>
    <w:p w14:paraId="2A364CE6">
      <w:pPr>
        <w:pStyle w:val="8"/>
        <w:adjustRightInd/>
        <w:spacing w:line="600" w:lineRule="exact"/>
        <w:ind w:firstLine="640"/>
        <w:jc w:val="both"/>
        <w:rPr>
          <w:rFonts w:hint="default"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（八）《广东省公共建筑节能设计标准》DBJ 15-51-2020</w:t>
      </w:r>
    </w:p>
    <w:p w14:paraId="7A5CFC37">
      <w:pPr>
        <w:pStyle w:val="8"/>
        <w:adjustRightInd/>
        <w:spacing w:line="600" w:lineRule="exact"/>
        <w:ind w:firstLine="640"/>
        <w:jc w:val="both"/>
        <w:rPr>
          <w:rFonts w:hint="default"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（九）《公共建筑节能设计标准》（征求意见稿）</w:t>
      </w:r>
    </w:p>
    <w:p w14:paraId="2600026D">
      <w:pPr>
        <w:adjustRightInd w:val="0"/>
        <w:snapToGrid w:val="0"/>
        <w:spacing w:line="600" w:lineRule="exact"/>
        <w:ind w:firstLine="640" w:firstLineChars="200"/>
        <w:rPr>
          <w:rFonts w:ascii="黑体" w:hAnsi="黑体" w:eastAsia="黑体" w:cs="黑体"/>
          <w:bCs/>
          <w:snapToGrid w:val="0"/>
        </w:rPr>
      </w:pPr>
      <w:r>
        <w:rPr>
          <w:rFonts w:hint="eastAsia" w:ascii="黑体" w:hAnsi="黑体" w:eastAsia="黑体" w:cs="黑体"/>
          <w:bCs/>
          <w:snapToGrid w:val="0"/>
          <w:lang w:val="en-US" w:eastAsia="zh-CN"/>
        </w:rPr>
        <w:t>三</w:t>
      </w:r>
      <w:r>
        <w:rPr>
          <w:rFonts w:hint="eastAsia" w:ascii="黑体" w:hAnsi="黑体" w:eastAsia="黑体" w:cs="黑体"/>
          <w:bCs/>
          <w:snapToGrid w:val="0"/>
        </w:rPr>
        <w:t>、</w:t>
      </w:r>
      <w:r>
        <w:rPr>
          <w:rFonts w:hint="eastAsia" w:ascii="黑体" w:hAnsi="黑体" w:eastAsia="黑体" w:cs="黑体"/>
          <w:bCs/>
          <w:snapToGrid w:val="0"/>
          <w:lang w:eastAsia="zh-CN"/>
        </w:rPr>
        <w:t>《技术导则》</w:t>
      </w:r>
      <w:r>
        <w:rPr>
          <w:rFonts w:hint="eastAsia" w:ascii="黑体" w:hAnsi="黑体" w:eastAsia="黑体" w:cs="黑体"/>
          <w:bCs/>
          <w:snapToGrid w:val="0"/>
        </w:rPr>
        <w:t>的主要内容</w:t>
      </w:r>
    </w:p>
    <w:p w14:paraId="7E0CECBC">
      <w:pPr>
        <w:adjustRightInd w:val="0"/>
        <w:snapToGrid w:val="0"/>
        <w:spacing w:line="600" w:lineRule="exact"/>
        <w:ind w:firstLine="640"/>
        <w:rPr>
          <w:rFonts w:hint="eastAsia" w:ascii="等线" w:hAnsi="等线" w:cs="Times New Roman"/>
          <w:snapToGrid w:val="0"/>
          <w:kern w:val="2"/>
          <w:szCs w:val="24"/>
          <w:highlight w:val="none"/>
        </w:rPr>
      </w:pPr>
      <w:r>
        <w:rPr>
          <w:rFonts w:hint="eastAsia" w:ascii="仿宋_GB2312" w:hAnsi="仿宋_GB2312" w:cs="仿宋_GB2312"/>
          <w:snapToGrid w:val="0"/>
          <w:sz w:val="32"/>
          <w:szCs w:val="32"/>
          <w:lang w:val="en-US" w:eastAsia="zh-CN"/>
        </w:rPr>
        <w:t>《技术导则》包括</w:t>
      </w:r>
      <w:r>
        <w:rPr>
          <w:rFonts w:hint="eastAsia" w:ascii="Times New Roman" w:hAnsi="Times New Roman" w:cs="Times New Roman"/>
          <w:snapToGrid w:val="0"/>
          <w:lang w:val="en-US" w:eastAsia="zh-CN"/>
        </w:rPr>
        <w:t>总则、术语与符号、基本规定、设计要求、等四部分内容。</w:t>
      </w:r>
    </w:p>
    <w:p w14:paraId="26F40912">
      <w:pPr>
        <w:adjustRightInd w:val="0"/>
        <w:snapToGrid w:val="0"/>
        <w:spacing w:line="600" w:lineRule="exact"/>
        <w:ind w:firstLine="640" w:firstLineChars="0"/>
        <w:rPr>
          <w:rFonts w:hint="eastAsia" w:ascii="仿宋_GB2312" w:hAnsi="仿宋_GB2312" w:cs="仿宋_GB2312"/>
          <w:snapToGrid w:val="0"/>
          <w:szCs w:val="32"/>
        </w:rPr>
      </w:pPr>
      <w:r>
        <w:rPr>
          <w:rFonts w:hint="eastAsia" w:ascii="仿宋_GB2312" w:hAnsi="仿宋_GB2312" w:cs="仿宋_GB2312"/>
          <w:snapToGrid w:val="0"/>
          <w:kern w:val="2"/>
          <w:szCs w:val="32"/>
        </w:rPr>
        <w:t>（一）</w:t>
      </w:r>
      <w:r>
        <w:rPr>
          <w:rFonts w:hint="eastAsia" w:ascii="仿宋_GB2312" w:hAnsi="仿宋_GB2312" w:cs="仿宋_GB2312"/>
          <w:snapToGrid w:val="0"/>
          <w:kern w:val="2"/>
          <w:szCs w:val="32"/>
          <w:lang w:val="en-US" w:eastAsia="zh-CN"/>
        </w:rPr>
        <w:t>总则</w:t>
      </w:r>
      <w:r>
        <w:rPr>
          <w:rFonts w:hint="eastAsia" w:ascii="仿宋_GB2312" w:hAnsi="仿宋_GB2312" w:cs="仿宋_GB2312"/>
          <w:snapToGrid w:val="0"/>
          <w:kern w:val="0"/>
          <w:szCs w:val="32"/>
          <w:lang w:val="en-US" w:eastAsia="zh-CN"/>
        </w:rPr>
        <w:t>部分明确了</w:t>
      </w:r>
      <w:r>
        <w:rPr>
          <w:rFonts w:hint="eastAsia" w:ascii="仿宋_GB2312" w:hAnsi="仿宋_GB2312" w:cs="仿宋_GB2312"/>
          <w:snapToGrid w:val="0"/>
          <w:sz w:val="32"/>
          <w:szCs w:val="32"/>
          <w:lang w:val="en-US" w:eastAsia="zh-CN"/>
        </w:rPr>
        <w:t>《技术导则》的编制目的、使用范围等</w:t>
      </w:r>
      <w:r>
        <w:rPr>
          <w:rFonts w:hint="eastAsia" w:ascii="仿宋_GB2312" w:hAnsi="仿宋_GB2312" w:cs="仿宋_GB2312"/>
          <w:snapToGrid w:val="0"/>
          <w:kern w:val="0"/>
          <w:szCs w:val="32"/>
          <w:lang w:val="en-US" w:eastAsia="zh-CN"/>
        </w:rPr>
        <w:t>。</w:t>
      </w:r>
    </w:p>
    <w:p w14:paraId="12514E21">
      <w:pPr>
        <w:adjustRightInd w:val="0"/>
        <w:snapToGrid w:val="0"/>
        <w:spacing w:line="600" w:lineRule="exact"/>
        <w:ind w:firstLine="640"/>
        <w:rPr>
          <w:rFonts w:hint="default" w:ascii="仿宋_GB2312" w:hAnsi="仿宋_GB2312" w:cs="仿宋_GB2312"/>
          <w:snapToGrid w:val="0"/>
          <w:szCs w:val="32"/>
          <w:lang w:val="en-US" w:eastAsia="zh-CN"/>
        </w:rPr>
      </w:pPr>
      <w:r>
        <w:rPr>
          <w:rFonts w:hint="eastAsia" w:ascii="仿宋_GB2312" w:hAnsi="仿宋_GB2312" w:cs="仿宋_GB2312"/>
          <w:snapToGrid w:val="0"/>
          <w:szCs w:val="32"/>
        </w:rPr>
        <w:t>（二）</w:t>
      </w:r>
      <w:r>
        <w:rPr>
          <w:rFonts w:hint="eastAsia" w:ascii="Times New Roman" w:hAnsi="Times New Roman" w:cs="Times New Roman"/>
          <w:snapToGrid w:val="0"/>
          <w:lang w:val="en-US" w:eastAsia="zh-CN"/>
        </w:rPr>
        <w:t>术语与符号</w:t>
      </w:r>
      <w:r>
        <w:rPr>
          <w:rFonts w:hint="eastAsia" w:ascii="仿宋_GB2312" w:hAnsi="仿宋_GB2312" w:cs="仿宋_GB2312"/>
          <w:snapToGrid w:val="0"/>
          <w:szCs w:val="32"/>
          <w:lang w:val="en-US" w:eastAsia="zh-CN"/>
        </w:rPr>
        <w:t>部分明确建筑可再生能源、建筑太阳能光伏设计替代率、太阳能光伏系统年发电量等名词的定义以及对应的符号表达。</w:t>
      </w:r>
    </w:p>
    <w:p w14:paraId="13A512E7">
      <w:pPr>
        <w:adjustRightInd w:val="0"/>
        <w:snapToGrid w:val="0"/>
        <w:spacing w:line="600" w:lineRule="exact"/>
        <w:ind w:firstLine="640"/>
        <w:rPr>
          <w:rFonts w:hint="default" w:ascii="仿宋_GB2312" w:hAnsi="仿宋_GB2312" w:cs="仿宋_GB2312"/>
          <w:bCs w:val="0"/>
          <w:snapToGrid w:val="0"/>
          <w:szCs w:val="32"/>
          <w:lang w:val="en-US" w:eastAsia="zh-CN"/>
        </w:rPr>
      </w:pPr>
      <w:r>
        <w:rPr>
          <w:rFonts w:hint="eastAsia" w:ascii="仿宋_GB2312" w:hAnsi="仿宋_GB2312" w:cs="仿宋_GB2312"/>
          <w:bCs w:val="0"/>
          <w:snapToGrid w:val="0"/>
          <w:szCs w:val="32"/>
        </w:rPr>
        <w:t>（三）</w:t>
      </w:r>
      <w:r>
        <w:rPr>
          <w:rFonts w:hint="eastAsia" w:ascii="仿宋_GB2312" w:hAnsi="仿宋_GB2312" w:cs="仿宋_GB2312"/>
          <w:bCs w:val="0"/>
          <w:snapToGrid w:val="0"/>
          <w:szCs w:val="32"/>
          <w:lang w:val="en-US" w:eastAsia="zh-CN"/>
        </w:rPr>
        <w:t>基本规定部分明确了建筑太阳能光伏系统的安装位置，提出光伏建筑一体化设计建设的要求。同时，对某些特殊情况（如采用太阳能光伏系统之外的可再生能源利用系统以及不能安装太阳能光伏系统的情况）进行了说明。</w:t>
      </w:r>
    </w:p>
    <w:p w14:paraId="6CD8FAEA">
      <w:pPr>
        <w:adjustRightInd w:val="0"/>
        <w:snapToGrid w:val="0"/>
        <w:spacing w:line="600" w:lineRule="exact"/>
        <w:ind w:firstLine="640"/>
        <w:rPr>
          <w:rFonts w:hint="default" w:ascii="仿宋_GB2312" w:hAnsi="仿宋_GB2312" w:cs="仿宋_GB2312"/>
          <w:bCs w:val="0"/>
          <w:snapToGrid w:val="0"/>
          <w:szCs w:val="32"/>
          <w:lang w:val="en-US" w:eastAsia="zh-CN"/>
        </w:rPr>
      </w:pPr>
      <w:r>
        <w:rPr>
          <w:rFonts w:hint="eastAsia" w:ascii="仿宋_GB2312" w:hAnsi="仿宋_GB2312" w:cs="仿宋_GB2312"/>
          <w:bCs w:val="0"/>
          <w:snapToGrid w:val="0"/>
          <w:szCs w:val="32"/>
          <w:lang w:val="en-US" w:eastAsia="zh-CN"/>
        </w:rPr>
        <w:t>（四）设计要求部分对不同建筑类型（居住建筑、公共建筑以及工业建筑）的太阳能光伏系统设置提出了应用指标要求，并对除太阳能光伏系统以外的可再生能源应用系统提出了应用指标要求。</w:t>
      </w:r>
    </w:p>
    <w:p w14:paraId="1625F163">
      <w:pPr>
        <w:adjustRightInd w:val="0"/>
        <w:snapToGrid w:val="0"/>
        <w:spacing w:line="600" w:lineRule="exact"/>
        <w:ind w:firstLine="640" w:firstLineChars="200"/>
        <w:rPr>
          <w:rFonts w:ascii="黑体" w:hAnsi="黑体" w:eastAsia="黑体" w:cs="黑体"/>
          <w:bCs/>
          <w:snapToGrid w:val="0"/>
        </w:rPr>
      </w:pPr>
      <w:r>
        <w:rPr>
          <w:rFonts w:hint="eastAsia" w:ascii="黑体" w:hAnsi="黑体" w:eastAsia="黑体" w:cs="黑体"/>
          <w:bCs/>
          <w:snapToGrid w:val="0"/>
          <w:lang w:val="en-US" w:eastAsia="zh-CN"/>
        </w:rPr>
        <w:t>四</w:t>
      </w:r>
      <w:r>
        <w:rPr>
          <w:rFonts w:hint="eastAsia" w:ascii="黑体" w:hAnsi="黑体" w:eastAsia="黑体" w:cs="黑体"/>
          <w:bCs/>
          <w:snapToGrid w:val="0"/>
        </w:rPr>
        <w:t>、征求意见的采纳情况</w:t>
      </w:r>
    </w:p>
    <w:p w14:paraId="10AD4020">
      <w:pPr>
        <w:adjustRightInd w:val="0"/>
        <w:snapToGrid w:val="0"/>
        <w:spacing w:line="600" w:lineRule="exact"/>
        <w:ind w:firstLine="640" w:firstLineChars="0"/>
        <w:rPr>
          <w:rFonts w:hint="eastAsia" w:ascii="仿宋_GB2312" w:hAnsi="仿宋_GB2312" w:cs="仿宋_GB2312"/>
          <w:snapToGrid w:val="0"/>
          <w:szCs w:val="32"/>
        </w:rPr>
      </w:pPr>
      <w:r>
        <w:rPr>
          <w:rFonts w:hint="eastAsia" w:ascii="仿宋_GB2312" w:hAnsi="仿宋_GB2312" w:eastAsia="仿宋_GB2312" w:cs="仿宋_GB2312"/>
          <w:snapToGrid w:val="0"/>
          <w:sz w:val="32"/>
          <w:szCs w:val="32"/>
          <w:lang w:val="en-US" w:eastAsia="zh-CN"/>
        </w:rPr>
        <w:t>2025年3月，征求了省有关单位和各地级以上市住房城乡建设主管部门意见，共收到19条意见，其中采纳9条，部分采纳6条，不采纳4条。</w:t>
      </w:r>
      <w:r>
        <w:rPr>
          <w:rFonts w:hint="eastAsia" w:ascii="仿宋_GB2312" w:hAnsi="仿宋_GB2312" w:cs="仿宋_GB2312"/>
          <w:snapToGrid w:val="0"/>
          <w:sz w:val="32"/>
          <w:szCs w:val="32"/>
          <w:lang w:val="en-US" w:eastAsia="zh-CN"/>
        </w:rPr>
        <w:t>其中4条不采纳的意见，主要是：建议新增内容已有相关技术标准有详细规定，且已附标准规范清单，如：防腐检查、结构安全等内容；考虑市场产品应用实际情况，不删除“多晶硅电池组件”的表述；本导则为技术性文件，不增加招标内容。</w:t>
      </w:r>
      <w:r>
        <w:rPr>
          <w:rFonts w:hint="eastAsia" w:ascii="仿宋_GB2312" w:hAnsi="仿宋_GB2312" w:eastAsia="仿宋_GB2312" w:cs="仿宋_GB2312"/>
          <w:snapToGrid w:val="0"/>
          <w:sz w:val="32"/>
          <w:szCs w:val="32"/>
          <w:lang w:val="en-US" w:eastAsia="zh-CN"/>
        </w:rPr>
        <w:t>2025年6月，公开征求</w:t>
      </w:r>
      <w:r>
        <w:rPr>
          <w:rFonts w:hint="eastAsia" w:ascii="仿宋_GB2312" w:hAnsi="仿宋_GB2312" w:cs="仿宋_GB2312"/>
          <w:snapToGrid w:val="0"/>
          <w:sz w:val="32"/>
          <w:szCs w:val="32"/>
          <w:lang w:val="en-US" w:eastAsia="zh-CN"/>
        </w:rPr>
        <w:t>了</w:t>
      </w:r>
      <w:r>
        <w:rPr>
          <w:rFonts w:hint="eastAsia" w:ascii="仿宋_GB2312" w:hAnsi="仿宋_GB2312" w:eastAsia="仿宋_GB2312" w:cs="仿宋_GB2312"/>
          <w:snapToGrid w:val="0"/>
          <w:sz w:val="32"/>
          <w:szCs w:val="32"/>
          <w:lang w:val="en-US" w:eastAsia="zh-CN"/>
        </w:rPr>
        <w:t>意见，共收到3条意见，其中部分采纳2条，不采纳1条，不采纳的1条意见及回复详见附表。</w:t>
      </w:r>
    </w:p>
    <w:p w14:paraId="1E3F8496">
      <w:pPr>
        <w:spacing w:line="600" w:lineRule="exact"/>
        <w:ind w:firstLine="640" w:firstLineChars="200"/>
        <w:rPr>
          <w:rFonts w:ascii="Times New Roman" w:hAnsi="Times New Roman" w:eastAsia="黑体" w:cs="Times New Roman"/>
          <w:snapToGrid w:val="0"/>
          <w:szCs w:val="32"/>
        </w:rPr>
      </w:pPr>
      <w:r>
        <w:rPr>
          <w:rFonts w:hint="eastAsia" w:ascii="Times New Roman" w:hAnsi="Times New Roman" w:eastAsia="黑体" w:cs="Times New Roman"/>
          <w:snapToGrid w:val="0"/>
          <w:szCs w:val="32"/>
          <w:lang w:val="en-US" w:eastAsia="zh-CN"/>
        </w:rPr>
        <w:t>五</w:t>
      </w:r>
      <w:r>
        <w:rPr>
          <w:rFonts w:hint="eastAsia" w:ascii="Times New Roman" w:hAnsi="Times New Roman" w:eastAsia="黑体" w:cs="Times New Roman"/>
          <w:snapToGrid w:val="0"/>
          <w:szCs w:val="32"/>
        </w:rPr>
        <w:t>、</w:t>
      </w:r>
      <w:r>
        <w:rPr>
          <w:rFonts w:ascii="Times New Roman" w:hAnsi="Times New Roman" w:eastAsia="黑体" w:cs="Times New Roman"/>
          <w:snapToGrid w:val="0"/>
          <w:szCs w:val="32"/>
        </w:rPr>
        <w:t>下一步工作建议</w:t>
      </w:r>
    </w:p>
    <w:p w14:paraId="3111B9A9">
      <w:pPr>
        <w:rPr>
          <w:rFonts w:hint="eastAsia" w:eastAsia="仿宋_GB2312"/>
          <w:lang w:eastAsia="zh-CN"/>
        </w:rPr>
      </w:pPr>
      <w:r>
        <w:rPr>
          <w:rFonts w:hint="eastAsia" w:ascii="仿宋_GB2312" w:hAnsiTheme="minorHAnsi"/>
          <w:snapToGrid w:val="0"/>
        </w:rPr>
        <w:t>建议</w:t>
      </w:r>
      <w:r>
        <w:rPr>
          <w:rFonts w:hint="eastAsia" w:ascii="仿宋_GB2312" w:hAnsi="仿宋_GB2312" w:cs="仿宋_GB2312"/>
          <w:snapToGrid w:val="0"/>
          <w:sz w:val="32"/>
          <w:szCs w:val="32"/>
          <w:lang w:val="en-US" w:eastAsia="zh-CN"/>
        </w:rPr>
        <w:t>《技术导则》</w:t>
      </w:r>
      <w:r>
        <w:rPr>
          <w:rFonts w:hint="eastAsia" w:ascii="仿宋_GB2312" w:hAnsiTheme="minorHAnsi"/>
          <w:snapToGrid w:val="0"/>
        </w:rPr>
        <w:t>通过</w:t>
      </w:r>
      <w:r>
        <w:rPr>
          <w:rFonts w:hint="eastAsia" w:ascii="仿宋_GB2312" w:hAnsiTheme="minorHAnsi"/>
          <w:snapToGrid w:val="0"/>
          <w:lang w:val="en-US" w:eastAsia="zh-CN"/>
        </w:rPr>
        <w:t>厅长办公会</w:t>
      </w:r>
      <w:r>
        <w:rPr>
          <w:rFonts w:hint="eastAsia" w:ascii="仿宋_GB2312" w:hAnsiTheme="minorHAnsi"/>
          <w:snapToGrid w:val="0"/>
        </w:rPr>
        <w:t>审议后，根据审议意见修改完善后印发实施</w:t>
      </w:r>
      <w:r>
        <w:rPr>
          <w:rFonts w:hint="eastAsia" w:ascii="仿宋_GB2312"/>
          <w:snapToGrid w:val="0"/>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简体">
    <w:altName w:val="微软雅黑"/>
    <w:panose1 w:val="00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16ABE">
    <w:pPr>
      <w:pStyle w:val="4"/>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70563ADB">
                          <w:pPr>
                            <w:pStyle w:val="4"/>
                            <w:rPr>
                              <w:rStyle w:val="7"/>
                            </w:rPr>
                          </w:pPr>
                          <w:r>
                            <w:rPr>
                              <w:rFonts w:hint="eastAsia" w:asciiTheme="majorEastAsia" w:hAnsiTheme="majorEastAsia" w:eastAsiaTheme="majorEastAsia" w:cstheme="majorEastAsia"/>
                              <w:sz w:val="28"/>
                              <w:szCs w:val="28"/>
                            </w:rPr>
                            <w:fldChar w:fldCharType="begin"/>
                          </w:r>
                          <w:r>
                            <w:rPr>
                              <w:rStyle w:val="7"/>
                              <w:rFonts w:hint="eastAsia" w:asciiTheme="majorEastAsia" w:hAnsiTheme="majorEastAsia" w:eastAsiaTheme="majorEastAsia" w:cstheme="majorEastAsia"/>
                              <w:sz w:val="28"/>
                              <w:szCs w:val="28"/>
                            </w:rPr>
                            <w:instrText xml:space="preserve">PAGE  </w:instrText>
                          </w:r>
                          <w:r>
                            <w:rPr>
                              <w:rFonts w:hint="eastAsia" w:asciiTheme="majorEastAsia" w:hAnsiTheme="majorEastAsia" w:eastAsiaTheme="majorEastAsia" w:cstheme="majorEastAsia"/>
                              <w:sz w:val="28"/>
                              <w:szCs w:val="28"/>
                            </w:rPr>
                            <w:fldChar w:fldCharType="separate"/>
                          </w:r>
                          <w:r>
                            <w:rPr>
                              <w:rStyle w:val="7"/>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iMDs2zwEAAKQDAAAOAAAAAAAAAAEAIAAAAB4BAABkcnMv&#10;ZTJvRG9jLnhtbFBLBQYAAAAABgAGAFkBAABfBQAAAAA=&#10;">
              <v:fill on="f" focussize="0,0"/>
              <v:stroke on="f"/>
              <v:imagedata o:title=""/>
              <o:lock v:ext="edit" aspectratio="f"/>
              <v:textbox inset="0mm,0mm,0mm,0mm" style="mso-fit-shape-to-text:t;">
                <w:txbxContent>
                  <w:p w14:paraId="70563ADB">
                    <w:pPr>
                      <w:pStyle w:val="4"/>
                      <w:rPr>
                        <w:rStyle w:val="7"/>
                      </w:rPr>
                    </w:pPr>
                    <w:r>
                      <w:rPr>
                        <w:rFonts w:hint="eastAsia" w:asciiTheme="majorEastAsia" w:hAnsiTheme="majorEastAsia" w:eastAsiaTheme="majorEastAsia" w:cstheme="majorEastAsia"/>
                        <w:sz w:val="28"/>
                        <w:szCs w:val="28"/>
                      </w:rPr>
                      <w:fldChar w:fldCharType="begin"/>
                    </w:r>
                    <w:r>
                      <w:rPr>
                        <w:rStyle w:val="7"/>
                        <w:rFonts w:hint="eastAsia" w:asciiTheme="majorEastAsia" w:hAnsiTheme="majorEastAsia" w:eastAsiaTheme="majorEastAsia" w:cstheme="majorEastAsia"/>
                        <w:sz w:val="28"/>
                        <w:szCs w:val="28"/>
                      </w:rPr>
                      <w:instrText xml:space="preserve">PAGE  </w:instrText>
                    </w:r>
                    <w:r>
                      <w:rPr>
                        <w:rFonts w:hint="eastAsia" w:asciiTheme="majorEastAsia" w:hAnsiTheme="majorEastAsia" w:eastAsiaTheme="majorEastAsia" w:cstheme="majorEastAsia"/>
                        <w:sz w:val="28"/>
                        <w:szCs w:val="28"/>
                      </w:rPr>
                      <w:fldChar w:fldCharType="separate"/>
                    </w:r>
                    <w:r>
                      <w:rPr>
                        <w:rStyle w:val="7"/>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3309FA"/>
    <w:rsid w:val="26330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next w:val="3"/>
    <w:unhideWhenUsed/>
    <w:qFormat/>
    <w:uiPriority w:val="99"/>
    <w:pPr>
      <w:widowControl w:val="0"/>
      <w:spacing w:after="120"/>
      <w:jc w:val="both"/>
    </w:pPr>
    <w:rPr>
      <w:rFonts w:ascii="Calibri" w:hAnsi="Calibri" w:eastAsia="宋体" w:cs="Times New Roman"/>
      <w:kern w:val="2"/>
      <w:sz w:val="21"/>
      <w:szCs w:val="22"/>
      <w:lang w:val="en-US" w:eastAsia="zh-CN" w:bidi="ar-SA"/>
    </w:rPr>
  </w:style>
  <w:style w:type="paragraph" w:styleId="3">
    <w:name w:val="toc 5"/>
    <w:next w:val="1"/>
    <w:unhideWhenUsed/>
    <w:qFormat/>
    <w:uiPriority w:val="39"/>
    <w:pPr>
      <w:widowControl w:val="0"/>
      <w:ind w:left="1680" w:leftChars="800"/>
      <w:jc w:val="both"/>
    </w:pPr>
    <w:rPr>
      <w:rFonts w:hint="eastAsia" w:ascii="等线" w:hAnsi="等线" w:eastAsia="等线" w:cs="Times New Roman"/>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character" w:styleId="7">
    <w:name w:val="page number"/>
    <w:basedOn w:val="6"/>
    <w:qFormat/>
    <w:uiPriority w:val="0"/>
  </w:style>
  <w:style w:type="paragraph" w:customStyle="1" w:styleId="8">
    <w:name w:val="Default"/>
    <w:qFormat/>
    <w:uiPriority w:val="0"/>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customStyle="1" w:styleId="9">
    <w:name w:val="BodyTextIndent2"/>
    <w:basedOn w:val="1"/>
    <w:qFormat/>
    <w:uiPriority w:val="0"/>
    <w:pPr>
      <w:spacing w:after="120" w:line="480" w:lineRule="auto"/>
      <w:ind w:left="420" w:leftChars="200"/>
      <w:textAlignment w:val="baseline"/>
    </w:pPr>
    <w:rPr>
      <w:rFonts w:ascii="Times New Roman" w:hAnsi="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2025-09-16T06:45:00Z</dcterms:created>
  <dc:creator>陌</dc:creator>
  <cp:lastModifiedBy>陌</cp:lastModifiedBy>
  <dcterms:modified xsi:type="dcterms:W3CDTF">2025-09-16T06:47:07Z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7F2B3BA854604527B3D8BA080B620EB5_11</vt:lpwstr>
  </property>
  <property fmtid="{D5CDD505-2E9C-101B-9397-08002B2CF9AE}" pid="4" name="KSOTemplateDocerSaveRecord">
    <vt:lpwstr>eyJoZGlkIjoiZmVmNTlkY2EwZTU0YTRhZWJkZWQxZDNiODhlMTczZDkiLCJ1c2VySWQiOiIxMjA5OTQ0MDAwIn0=</vt:lpwstr>
  </property>
</Properties>
</file>