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8C046C">
      <w:pPr>
        <w:spacing w:line="180" w:lineRule="exact"/>
        <w:rPr>
          <w:bCs/>
          <w:color w:val="auto"/>
          <w:highlight w:val="none"/>
        </w:rPr>
      </w:pPr>
    </w:p>
    <w:p w14:paraId="33B8BC13">
      <w:pPr>
        <w:spacing w:line="180" w:lineRule="exact"/>
        <w:rPr>
          <w:bCs/>
          <w:color w:val="auto"/>
          <w:highlight w:val="none"/>
        </w:rPr>
      </w:pPr>
    </w:p>
    <w:p w14:paraId="3AD8EA3D">
      <w:pPr>
        <w:spacing w:line="180" w:lineRule="exact"/>
        <w:rPr>
          <w:bCs/>
          <w:color w:val="auto"/>
          <w:highlight w:val="none"/>
        </w:rPr>
      </w:pPr>
    </w:p>
    <w:p w14:paraId="1DC0CE19">
      <w:pPr>
        <w:spacing w:line="180" w:lineRule="exact"/>
        <w:rPr>
          <w:bCs/>
          <w:color w:val="auto"/>
          <w:highlight w:val="none"/>
        </w:rPr>
      </w:pPr>
    </w:p>
    <w:p w14:paraId="55E1746B">
      <w:pPr>
        <w:spacing w:line="180" w:lineRule="exact"/>
        <w:rPr>
          <w:bCs/>
          <w:color w:val="auto"/>
          <w:highlight w:val="none"/>
        </w:rPr>
      </w:pPr>
    </w:p>
    <w:p w14:paraId="591376AB">
      <w:pPr>
        <w:spacing w:line="180" w:lineRule="exact"/>
        <w:rPr>
          <w:bCs/>
          <w:color w:val="auto"/>
          <w:highlight w:val="none"/>
        </w:rPr>
      </w:pPr>
    </w:p>
    <w:p w14:paraId="60312AED">
      <w:pPr>
        <w:spacing w:line="180" w:lineRule="exact"/>
        <w:rPr>
          <w:bCs/>
          <w:color w:val="auto"/>
          <w:highlight w:val="none"/>
        </w:rPr>
      </w:pPr>
    </w:p>
    <w:p w14:paraId="14E8D6BD">
      <w:pPr>
        <w:spacing w:line="288" w:lineRule="auto"/>
        <w:jc w:val="center"/>
        <w:rPr>
          <w:rFonts w:eastAsia="黑体"/>
          <w:bCs/>
          <w:color w:val="auto"/>
          <w:sz w:val="40"/>
          <w:szCs w:val="40"/>
          <w:highlight w:val="none"/>
        </w:rPr>
      </w:pPr>
      <w:bookmarkStart w:id="0" w:name="_Toc17125"/>
      <w:bookmarkStart w:id="1" w:name="_Toc29164"/>
      <w:bookmarkStart w:id="2" w:name="_Toc12424"/>
      <w:bookmarkStart w:id="3" w:name="OLE_LINK1"/>
      <w:bookmarkStart w:id="4" w:name="_Hlk521568515"/>
      <w:r>
        <w:rPr>
          <w:rFonts w:hint="eastAsia" w:eastAsia="黑体"/>
          <w:bCs/>
          <w:color w:val="auto"/>
          <w:sz w:val="40"/>
          <w:szCs w:val="40"/>
          <w:highlight w:val="none"/>
        </w:rPr>
        <w:t>混凝土模块化建筑</w:t>
      </w:r>
      <w:r>
        <w:rPr>
          <w:rFonts w:eastAsia="黑体"/>
          <w:bCs/>
          <w:color w:val="auto"/>
          <w:sz w:val="40"/>
          <w:szCs w:val="40"/>
          <w:highlight w:val="none"/>
        </w:rPr>
        <w:t>技术标准</w:t>
      </w:r>
      <w:bookmarkEnd w:id="0"/>
      <w:bookmarkEnd w:id="1"/>
      <w:bookmarkEnd w:id="2"/>
    </w:p>
    <w:bookmarkEnd w:id="3"/>
    <w:bookmarkEnd w:id="4"/>
    <w:p w14:paraId="03C6FC91">
      <w:pPr>
        <w:spacing w:line="480" w:lineRule="auto"/>
        <w:jc w:val="center"/>
        <w:rPr>
          <w:rFonts w:eastAsia="黑体"/>
          <w:bCs/>
          <w:color w:val="auto"/>
          <w:sz w:val="24"/>
          <w:szCs w:val="28"/>
          <w:highlight w:val="none"/>
        </w:rPr>
      </w:pPr>
      <w:r>
        <w:rPr>
          <w:rFonts w:eastAsia="黑体"/>
          <w:bCs/>
          <w:color w:val="auto"/>
          <w:sz w:val="24"/>
          <w:szCs w:val="28"/>
          <w:highlight w:val="none"/>
        </w:rPr>
        <w:t>Technical Standard for Concrete Modular Building</w:t>
      </w:r>
    </w:p>
    <w:p w14:paraId="2D7A047E">
      <w:pPr>
        <w:spacing w:line="480" w:lineRule="auto"/>
        <w:jc w:val="center"/>
        <w:rPr>
          <w:rFonts w:eastAsia="黑体"/>
          <w:bCs/>
          <w:color w:val="auto"/>
          <w:sz w:val="32"/>
          <w:szCs w:val="32"/>
          <w:highlight w:val="none"/>
        </w:rPr>
      </w:pPr>
      <w:r>
        <w:rPr>
          <w:rFonts w:eastAsia="黑体"/>
          <w:bCs/>
          <w:color w:val="auto"/>
          <w:sz w:val="32"/>
          <w:szCs w:val="32"/>
          <w:highlight w:val="none"/>
        </w:rPr>
        <w:t>（征求意见稿）</w:t>
      </w:r>
    </w:p>
    <w:p w14:paraId="644C36FC">
      <w:pPr>
        <w:spacing w:line="180" w:lineRule="exact"/>
        <w:rPr>
          <w:rFonts w:eastAsia="黑体"/>
          <w:bCs/>
          <w:color w:val="auto"/>
          <w:szCs w:val="21"/>
          <w:highlight w:val="none"/>
        </w:rPr>
      </w:pPr>
    </w:p>
    <w:p w14:paraId="7A5E62AC">
      <w:pPr>
        <w:spacing w:before="360" w:after="360" w:line="360" w:lineRule="exact"/>
        <w:jc w:val="center"/>
        <w:outlineLvl w:val="9"/>
        <w:rPr>
          <w:b/>
          <w:color w:val="auto"/>
          <w:sz w:val="28"/>
          <w:szCs w:val="28"/>
          <w:highlight w:val="none"/>
        </w:rPr>
      </w:pPr>
      <w:bookmarkStart w:id="5" w:name="_Toc24212"/>
      <w:bookmarkStart w:id="6" w:name="_Toc32673"/>
      <w:bookmarkStart w:id="7" w:name="_Toc25681"/>
      <w:bookmarkStart w:id="8" w:name="_Toc28316"/>
      <w:bookmarkStart w:id="9" w:name="_Toc11683"/>
      <w:bookmarkStart w:id="10" w:name="_Toc26152"/>
      <w:bookmarkStart w:id="11" w:name="_Toc2001"/>
      <w:bookmarkStart w:id="12" w:name="_Toc18935"/>
      <w:bookmarkStart w:id="13" w:name="_Toc11730"/>
      <w:bookmarkStart w:id="14" w:name="_Toc5180"/>
    </w:p>
    <w:p w14:paraId="6786CF4D">
      <w:pPr>
        <w:spacing w:before="360" w:after="360" w:line="360" w:lineRule="exact"/>
        <w:jc w:val="center"/>
        <w:outlineLvl w:val="9"/>
        <w:rPr>
          <w:b/>
          <w:color w:val="auto"/>
          <w:sz w:val="28"/>
          <w:szCs w:val="28"/>
          <w:highlight w:val="none"/>
        </w:rPr>
      </w:pPr>
    </w:p>
    <w:p w14:paraId="12027A9F">
      <w:pPr>
        <w:spacing w:before="360" w:after="360" w:line="360" w:lineRule="exact"/>
        <w:jc w:val="center"/>
        <w:outlineLvl w:val="9"/>
        <w:rPr>
          <w:b/>
          <w:color w:val="auto"/>
          <w:sz w:val="28"/>
          <w:szCs w:val="28"/>
          <w:highlight w:val="none"/>
        </w:rPr>
      </w:pPr>
    </w:p>
    <w:p w14:paraId="7B91E102">
      <w:pPr>
        <w:spacing w:before="360" w:after="360" w:line="360" w:lineRule="exact"/>
        <w:jc w:val="center"/>
        <w:outlineLvl w:val="9"/>
        <w:rPr>
          <w:b/>
          <w:color w:val="auto"/>
          <w:sz w:val="28"/>
          <w:szCs w:val="28"/>
          <w:highlight w:val="none"/>
        </w:rPr>
      </w:pPr>
    </w:p>
    <w:p w14:paraId="544EBDC3">
      <w:pPr>
        <w:spacing w:before="360" w:after="360" w:line="360" w:lineRule="exact"/>
        <w:jc w:val="center"/>
        <w:outlineLvl w:val="9"/>
        <w:rPr>
          <w:rFonts w:hint="default" w:eastAsia="宋体"/>
          <w:b/>
          <w:color w:val="auto"/>
          <w:sz w:val="28"/>
          <w:szCs w:val="28"/>
          <w:highlight w:val="none"/>
          <w:lang w:val="en-US" w:eastAsia="zh-CN"/>
        </w:rPr>
      </w:pPr>
      <w:r>
        <w:rPr>
          <w:rFonts w:hint="eastAsia"/>
          <w:b/>
          <w:color w:val="auto"/>
          <w:sz w:val="28"/>
          <w:szCs w:val="28"/>
          <w:highlight w:val="none"/>
          <w:lang w:val="en-US" w:eastAsia="zh-CN"/>
        </w:rPr>
        <w:t>2025年8月</w:t>
      </w:r>
    </w:p>
    <w:p w14:paraId="2B3C9BC8">
      <w:pPr>
        <w:spacing w:before="360" w:after="360" w:line="360" w:lineRule="exact"/>
        <w:jc w:val="center"/>
        <w:outlineLvl w:val="9"/>
        <w:rPr>
          <w:b/>
          <w:color w:val="auto"/>
          <w:sz w:val="28"/>
          <w:szCs w:val="28"/>
          <w:highlight w:val="none"/>
        </w:rPr>
      </w:pPr>
    </w:p>
    <w:p w14:paraId="46BA5380">
      <w:pPr>
        <w:spacing w:before="360" w:after="360" w:line="360" w:lineRule="exact"/>
        <w:jc w:val="center"/>
        <w:outlineLvl w:val="9"/>
        <w:rPr>
          <w:b/>
          <w:color w:val="auto"/>
          <w:sz w:val="28"/>
          <w:szCs w:val="28"/>
          <w:highlight w:val="none"/>
        </w:rPr>
      </w:pPr>
    </w:p>
    <w:p w14:paraId="0E4FBE2D">
      <w:pPr>
        <w:spacing w:before="360" w:after="360" w:line="360" w:lineRule="exact"/>
        <w:jc w:val="center"/>
        <w:outlineLvl w:val="9"/>
        <w:rPr>
          <w:b/>
          <w:color w:val="auto"/>
          <w:sz w:val="28"/>
          <w:szCs w:val="28"/>
          <w:highlight w:val="none"/>
        </w:rPr>
      </w:pPr>
      <w:r>
        <w:rPr>
          <w:b/>
          <w:color w:val="auto"/>
          <w:sz w:val="28"/>
          <w:szCs w:val="28"/>
          <w:highlight w:val="none"/>
        </w:rPr>
        <w:t>前    言</w:t>
      </w:r>
      <w:bookmarkEnd w:id="5"/>
      <w:bookmarkEnd w:id="6"/>
      <w:bookmarkEnd w:id="7"/>
      <w:bookmarkEnd w:id="8"/>
      <w:bookmarkEnd w:id="9"/>
      <w:bookmarkEnd w:id="10"/>
      <w:bookmarkEnd w:id="11"/>
      <w:bookmarkEnd w:id="12"/>
      <w:bookmarkEnd w:id="13"/>
      <w:bookmarkEnd w:id="14"/>
    </w:p>
    <w:p w14:paraId="0882FEAB">
      <w:pPr>
        <w:widowControl/>
        <w:spacing w:after="240" w:line="360" w:lineRule="exact"/>
        <w:ind w:firstLine="440" w:firstLineChars="200"/>
        <w:rPr>
          <w:rFonts w:hint="eastAsia"/>
          <w:color w:val="auto"/>
          <w:szCs w:val="24"/>
          <w:highlight w:val="none"/>
        </w:rPr>
      </w:pPr>
      <w:r>
        <w:rPr>
          <w:color w:val="auto"/>
          <w:szCs w:val="24"/>
          <w:highlight w:val="none"/>
        </w:rPr>
        <w:t>根据《广东省市场监督管理局关于批准下达2023年第二批广东省地方标准制修订计划的通知》</w:t>
      </w:r>
      <w:r>
        <w:rPr>
          <w:rFonts w:hint="eastAsia"/>
          <w:color w:val="auto"/>
          <w:szCs w:val="24"/>
          <w:highlight w:val="none"/>
          <w:lang w:eastAsia="zh-CN"/>
        </w:rPr>
        <w:t>（</w:t>
      </w:r>
      <w:r>
        <w:rPr>
          <w:color w:val="auto"/>
          <w:szCs w:val="24"/>
          <w:highlight w:val="none"/>
        </w:rPr>
        <w:t>粤市监标准〔2023〕591号</w:t>
      </w:r>
      <w:r>
        <w:rPr>
          <w:rFonts w:hint="eastAsia"/>
          <w:color w:val="auto"/>
          <w:szCs w:val="24"/>
          <w:highlight w:val="none"/>
          <w:lang w:eastAsia="zh-CN"/>
        </w:rPr>
        <w:t>）和《关于下达广东省标准</w:t>
      </w:r>
      <w:r>
        <w:rPr>
          <w:rFonts w:hint="eastAsia"/>
          <w:color w:val="auto"/>
          <w:szCs w:val="24"/>
          <w:highlight w:val="none"/>
          <w:lang w:val="en-US" w:eastAsia="zh-CN"/>
        </w:rPr>
        <w:t>&lt;</w:t>
      </w:r>
      <w:r>
        <w:rPr>
          <w:rFonts w:hint="eastAsia"/>
          <w:color w:val="auto"/>
          <w:szCs w:val="24"/>
          <w:highlight w:val="none"/>
          <w:lang w:eastAsia="zh-CN"/>
        </w:rPr>
        <w:t>高层混凝土模块化建筑施工与质量验收技术规程</w:t>
      </w:r>
      <w:r>
        <w:rPr>
          <w:rFonts w:hint="eastAsia"/>
          <w:color w:val="auto"/>
          <w:szCs w:val="24"/>
          <w:highlight w:val="none"/>
          <w:lang w:val="en-US" w:eastAsia="zh-CN"/>
        </w:rPr>
        <w:t>&gt;</w:t>
      </w:r>
      <w:r>
        <w:rPr>
          <w:rFonts w:hint="eastAsia"/>
          <w:color w:val="auto"/>
          <w:szCs w:val="24"/>
          <w:highlight w:val="none"/>
          <w:lang w:eastAsia="zh-CN"/>
        </w:rPr>
        <w:t>编制任务的通知》</w:t>
      </w:r>
      <w:r>
        <w:rPr>
          <w:color w:val="auto"/>
          <w:szCs w:val="24"/>
          <w:highlight w:val="none"/>
        </w:rPr>
        <w:t>的要求，</w:t>
      </w:r>
      <w:r>
        <w:rPr>
          <w:rFonts w:hint="eastAsia"/>
          <w:color w:val="auto"/>
          <w:szCs w:val="24"/>
          <w:highlight w:val="none"/>
        </w:rPr>
        <w:t>编制组经广泛调查研究，认真总结实践经验和科研成果，参考有关国家标准和地方标准，结合广东省实际，并在广泛征求意见的基础上，</w:t>
      </w:r>
      <w:r>
        <w:rPr>
          <w:rFonts w:hint="eastAsia"/>
          <w:color w:val="auto"/>
          <w:szCs w:val="24"/>
          <w:highlight w:val="none"/>
          <w:lang w:val="en-US" w:eastAsia="zh-CN"/>
        </w:rPr>
        <w:t>制定</w:t>
      </w:r>
      <w:r>
        <w:rPr>
          <w:rFonts w:hint="eastAsia"/>
          <w:color w:val="auto"/>
          <w:szCs w:val="24"/>
          <w:highlight w:val="none"/>
        </w:rPr>
        <w:t>本标准。</w:t>
      </w:r>
    </w:p>
    <w:p w14:paraId="012978DA">
      <w:pPr>
        <w:widowControl/>
        <w:spacing w:after="240" w:line="360" w:lineRule="exact"/>
        <w:ind w:firstLine="440" w:firstLineChars="200"/>
        <w:rPr>
          <w:color w:val="auto"/>
          <w:szCs w:val="24"/>
          <w:highlight w:val="none"/>
        </w:rPr>
      </w:pPr>
      <w:r>
        <w:rPr>
          <w:color w:val="auto"/>
          <w:szCs w:val="24"/>
          <w:highlight w:val="none"/>
        </w:rPr>
        <w:t>本</w:t>
      </w:r>
      <w:r>
        <w:rPr>
          <w:rFonts w:hint="eastAsia"/>
          <w:color w:val="auto"/>
          <w:szCs w:val="24"/>
          <w:highlight w:val="none"/>
          <w:lang w:val="en-US" w:eastAsia="zh-CN"/>
        </w:rPr>
        <w:t>标准</w:t>
      </w:r>
      <w:r>
        <w:rPr>
          <w:color w:val="auto"/>
          <w:szCs w:val="24"/>
          <w:highlight w:val="none"/>
        </w:rPr>
        <w:t>主要技术内容：1.总则；2.术语和符号；3.基本规定；4.材料；5.建筑设计；6.结构设计；7.</w:t>
      </w:r>
      <w:r>
        <w:rPr>
          <w:rFonts w:hint="eastAsia"/>
          <w:color w:val="auto"/>
          <w:szCs w:val="24"/>
          <w:highlight w:val="none"/>
        </w:rPr>
        <w:t>设备管线与内装系8.</w:t>
      </w:r>
      <w:r>
        <w:rPr>
          <w:color w:val="auto"/>
          <w:szCs w:val="24"/>
          <w:highlight w:val="none"/>
        </w:rPr>
        <w:t>模块单元生产与运输；</w:t>
      </w:r>
      <w:r>
        <w:rPr>
          <w:rFonts w:hint="eastAsia"/>
          <w:color w:val="auto"/>
          <w:szCs w:val="24"/>
          <w:highlight w:val="none"/>
        </w:rPr>
        <w:t>9.</w:t>
      </w:r>
      <w:r>
        <w:rPr>
          <w:color w:val="auto"/>
          <w:szCs w:val="24"/>
          <w:highlight w:val="none"/>
        </w:rPr>
        <w:t>施工安装；</w:t>
      </w:r>
      <w:r>
        <w:rPr>
          <w:rFonts w:hint="eastAsia"/>
          <w:color w:val="auto"/>
          <w:szCs w:val="24"/>
          <w:highlight w:val="none"/>
        </w:rPr>
        <w:t>10.质量</w:t>
      </w:r>
      <w:r>
        <w:rPr>
          <w:color w:val="auto"/>
          <w:szCs w:val="24"/>
          <w:highlight w:val="none"/>
        </w:rPr>
        <w:t>验收；</w:t>
      </w:r>
      <w:r>
        <w:rPr>
          <w:rFonts w:hint="eastAsia"/>
          <w:color w:val="auto"/>
          <w:szCs w:val="24"/>
          <w:highlight w:val="none"/>
        </w:rPr>
        <w:t>11.</w:t>
      </w:r>
      <w:r>
        <w:rPr>
          <w:color w:val="auto"/>
          <w:szCs w:val="24"/>
          <w:highlight w:val="none"/>
        </w:rPr>
        <w:t xml:space="preserve">智能建造与运维。 </w:t>
      </w:r>
    </w:p>
    <w:p w14:paraId="6267C944">
      <w:pPr>
        <w:widowControl/>
        <w:spacing w:after="240" w:line="360" w:lineRule="exact"/>
        <w:ind w:firstLine="440" w:firstLineChars="200"/>
        <w:rPr>
          <w:color w:val="auto"/>
          <w:szCs w:val="24"/>
          <w:highlight w:val="none"/>
        </w:rPr>
      </w:pPr>
      <w:r>
        <w:rPr>
          <w:color w:val="auto"/>
          <w:szCs w:val="24"/>
          <w:highlight w:val="none"/>
        </w:rPr>
        <w:t>本</w:t>
      </w:r>
      <w:r>
        <w:rPr>
          <w:rFonts w:hint="eastAsia"/>
          <w:color w:val="auto"/>
          <w:szCs w:val="24"/>
          <w:highlight w:val="none"/>
          <w:lang w:eastAsia="zh-CN"/>
        </w:rPr>
        <w:t>标准</w:t>
      </w:r>
      <w:r>
        <w:rPr>
          <w:color w:val="auto"/>
          <w:szCs w:val="24"/>
          <w:highlight w:val="none"/>
        </w:rPr>
        <w:t>由广东省住房和城乡建设</w:t>
      </w:r>
      <w:r>
        <w:rPr>
          <w:rFonts w:hint="eastAsia"/>
          <w:color w:val="auto"/>
          <w:szCs w:val="24"/>
          <w:highlight w:val="none"/>
          <w:lang w:val="en-US" w:eastAsia="zh-CN"/>
        </w:rPr>
        <w:t>厅</w:t>
      </w:r>
      <w:r>
        <w:rPr>
          <w:color w:val="auto"/>
          <w:szCs w:val="24"/>
          <w:highlight w:val="none"/>
        </w:rPr>
        <w:t>负责管理，由深圳市龙华安居有限公司负责具体技术内容</w:t>
      </w:r>
      <w:r>
        <w:rPr>
          <w:rFonts w:hint="eastAsia"/>
          <w:color w:val="auto"/>
          <w:szCs w:val="24"/>
          <w:highlight w:val="none"/>
        </w:rPr>
        <w:t>的解释。本</w:t>
      </w:r>
      <w:r>
        <w:rPr>
          <w:rFonts w:hint="eastAsia"/>
          <w:color w:val="auto"/>
          <w:szCs w:val="24"/>
          <w:highlight w:val="none"/>
          <w:lang w:eastAsia="zh-CN"/>
        </w:rPr>
        <w:t>标准</w:t>
      </w:r>
      <w:r>
        <w:rPr>
          <w:rFonts w:hint="eastAsia"/>
          <w:color w:val="auto"/>
          <w:szCs w:val="24"/>
          <w:highlight w:val="none"/>
        </w:rPr>
        <w:t>在执行过程中如有意见或建议，</w:t>
      </w:r>
      <w:r>
        <w:rPr>
          <w:rFonts w:hint="eastAsia"/>
          <w:color w:val="auto"/>
          <w:szCs w:val="24"/>
          <w:highlight w:val="none"/>
          <w:lang w:val="en-US" w:eastAsia="zh-CN"/>
        </w:rPr>
        <w:t>请</w:t>
      </w:r>
      <w:r>
        <w:rPr>
          <w:rFonts w:hint="eastAsia"/>
          <w:color w:val="auto"/>
          <w:szCs w:val="24"/>
          <w:highlight w:val="none"/>
        </w:rPr>
        <w:t>将有关意见和建议反馈</w:t>
      </w:r>
      <w:bookmarkStart w:id="15" w:name="OLE_LINK4"/>
      <w:r>
        <w:rPr>
          <w:rFonts w:hint="eastAsia"/>
          <w:color w:val="auto"/>
          <w:szCs w:val="24"/>
          <w:highlight w:val="none"/>
          <w:lang w:val="en-US" w:eastAsia="zh-CN"/>
        </w:rPr>
        <w:t>至</w:t>
      </w:r>
      <w:r>
        <w:rPr>
          <w:rFonts w:hint="eastAsia"/>
          <w:color w:val="auto"/>
          <w:szCs w:val="24"/>
          <w:highlight w:val="none"/>
        </w:rPr>
        <w:t>深圳市龙华安居有限公司</w:t>
      </w:r>
      <w:bookmarkEnd w:id="15"/>
      <w:r>
        <w:rPr>
          <w:rFonts w:hint="eastAsia"/>
          <w:color w:val="auto"/>
          <w:szCs w:val="24"/>
          <w:highlight w:val="none"/>
        </w:rPr>
        <w:t>（地址：</w:t>
      </w:r>
      <w:bookmarkStart w:id="16" w:name="OLE_LINK3"/>
      <w:r>
        <w:rPr>
          <w:rFonts w:hint="eastAsia"/>
          <w:color w:val="auto"/>
          <w:szCs w:val="24"/>
          <w:highlight w:val="none"/>
        </w:rPr>
        <w:t>深圳市龙华区数字创新中心</w:t>
      </w:r>
      <w:bookmarkEnd w:id="16"/>
      <w:r>
        <w:rPr>
          <w:rFonts w:hint="eastAsia"/>
          <w:color w:val="auto"/>
          <w:szCs w:val="24"/>
          <w:highlight w:val="none"/>
        </w:rPr>
        <w:t>A座48楼</w:t>
      </w:r>
      <w:r>
        <w:rPr>
          <w:rFonts w:hint="eastAsia"/>
          <w:color w:val="auto"/>
          <w:szCs w:val="24"/>
          <w:highlight w:val="none"/>
          <w:lang w:eastAsia="zh-CN"/>
        </w:rPr>
        <w:t>，</w:t>
      </w:r>
      <w:r>
        <w:rPr>
          <w:rFonts w:hint="eastAsia"/>
          <w:color w:val="auto"/>
          <w:szCs w:val="24"/>
          <w:highlight w:val="none"/>
        </w:rPr>
        <w:t>邮编</w:t>
      </w:r>
      <w:r>
        <w:rPr>
          <w:rFonts w:hint="eastAsia"/>
          <w:color w:val="auto"/>
          <w:szCs w:val="24"/>
          <w:highlight w:val="none"/>
          <w:lang w:eastAsia="zh-CN"/>
        </w:rPr>
        <w:t>：</w:t>
      </w:r>
      <w:r>
        <w:rPr>
          <w:rFonts w:hint="eastAsia"/>
          <w:color w:val="auto"/>
          <w:szCs w:val="24"/>
          <w:highlight w:val="none"/>
        </w:rPr>
        <w:t>518109</w:t>
      </w:r>
      <w:r>
        <w:rPr>
          <w:rFonts w:hint="eastAsia"/>
          <w:color w:val="auto"/>
          <w:szCs w:val="24"/>
          <w:highlight w:val="none"/>
          <w:lang w:eastAsia="zh-CN"/>
        </w:rPr>
        <w:t>；</w:t>
      </w:r>
      <w:r>
        <w:rPr>
          <w:rFonts w:hint="eastAsia"/>
          <w:color w:val="auto"/>
          <w:szCs w:val="24"/>
          <w:highlight w:val="none"/>
          <w:lang w:val="en-US" w:eastAsia="zh-CN"/>
        </w:rPr>
        <w:t>邮箱</w:t>
      </w:r>
      <w:r>
        <w:rPr>
          <w:rFonts w:hint="eastAsia"/>
          <w:color w:val="auto"/>
          <w:szCs w:val="24"/>
          <w:highlight w:val="none"/>
        </w:rPr>
        <w:t>：</w:t>
      </w:r>
      <w:bookmarkStart w:id="17" w:name="OLE_LINK154"/>
      <w:bookmarkStart w:id="18" w:name="OLE_LINK155"/>
      <w:r>
        <w:rPr>
          <w:rFonts w:hint="eastAsia"/>
          <w:color w:val="auto"/>
          <w:szCs w:val="24"/>
          <w:highlight w:val="none"/>
          <w:lang w:val="en-US" w:eastAsia="zh-CN"/>
        </w:rPr>
        <w:t>1589014166@qq</w:t>
      </w:r>
      <w:r>
        <w:rPr>
          <w:rFonts w:hint="eastAsia"/>
          <w:color w:val="auto"/>
          <w:szCs w:val="24"/>
          <w:highlight w:val="none"/>
        </w:rPr>
        <w:t>.com</w:t>
      </w:r>
      <w:bookmarkEnd w:id="17"/>
      <w:bookmarkEnd w:id="18"/>
      <w:r>
        <w:rPr>
          <w:rFonts w:hint="eastAsia"/>
          <w:color w:val="auto"/>
          <w:szCs w:val="24"/>
          <w:highlight w:val="none"/>
        </w:rPr>
        <w:t xml:space="preserve">）。 </w:t>
      </w:r>
    </w:p>
    <w:p w14:paraId="5722607C">
      <w:pPr>
        <w:keepNext w:val="0"/>
        <w:keepLines w:val="0"/>
        <w:pageBreakBefore w:val="0"/>
        <w:widowControl w:val="0"/>
        <w:kinsoku/>
        <w:wordWrap/>
        <w:overflowPunct/>
        <w:topLinePunct w:val="0"/>
        <w:autoSpaceDE w:val="0"/>
        <w:autoSpaceDN w:val="0"/>
        <w:bidi w:val="0"/>
        <w:adjustRightInd w:val="0"/>
        <w:snapToGrid w:val="0"/>
        <w:spacing w:line="312" w:lineRule="auto"/>
        <w:ind w:left="1760" w:hanging="1760" w:hangingChars="800"/>
        <w:jc w:val="both"/>
        <w:textAlignment w:val="auto"/>
        <w:rPr>
          <w:rFonts w:hint="eastAsia"/>
          <w:color w:val="auto"/>
          <w:szCs w:val="24"/>
          <w:highlight w:val="none"/>
          <w:lang w:val="en-US" w:eastAsia="zh-CN"/>
        </w:rPr>
      </w:pPr>
      <w:r>
        <w:rPr>
          <w:rFonts w:hint="eastAsia"/>
          <w:color w:val="auto"/>
          <w:szCs w:val="24"/>
          <w:highlight w:val="none"/>
          <w:lang w:val="en-US" w:eastAsia="zh-CN"/>
        </w:rPr>
        <w:t>本标准主编单位</w:t>
      </w:r>
      <w:r>
        <w:rPr>
          <w:color w:val="auto"/>
          <w:szCs w:val="24"/>
          <w:highlight w:val="none"/>
        </w:rPr>
        <w:t>：</w:t>
      </w:r>
      <w:r>
        <w:rPr>
          <w:rFonts w:hint="eastAsia"/>
          <w:color w:val="auto"/>
          <w:szCs w:val="24"/>
          <w:highlight w:val="none"/>
          <w:lang w:val="en-US" w:eastAsia="zh-CN"/>
        </w:rPr>
        <w:t>深圳市龙华安居有限公司</w:t>
      </w:r>
      <w:r>
        <w:rPr>
          <w:rFonts w:hint="eastAsia"/>
          <w:color w:val="auto"/>
          <w:szCs w:val="24"/>
          <w:highlight w:val="none"/>
          <w:lang w:val="en-US" w:eastAsia="zh-CN"/>
        </w:rPr>
        <w:br w:type="textWrapping"/>
      </w:r>
      <w:r>
        <w:rPr>
          <w:rFonts w:hint="eastAsia"/>
          <w:color w:val="auto"/>
          <w:szCs w:val="24"/>
          <w:highlight w:val="none"/>
          <w:lang w:val="en-US" w:eastAsia="zh-CN"/>
        </w:rPr>
        <w:t>中建科技集团有限公司</w:t>
      </w:r>
      <w:r>
        <w:rPr>
          <w:rFonts w:hint="eastAsia"/>
          <w:color w:val="auto"/>
          <w:szCs w:val="24"/>
          <w:highlight w:val="none"/>
          <w:lang w:val="en-US" w:eastAsia="zh-CN"/>
        </w:rPr>
        <w:br w:type="textWrapping"/>
      </w:r>
      <w:r>
        <w:rPr>
          <w:rFonts w:hint="eastAsia"/>
          <w:color w:val="auto"/>
          <w:szCs w:val="24"/>
          <w:highlight w:val="none"/>
          <w:lang w:val="en-US" w:eastAsia="zh-CN"/>
        </w:rPr>
        <w:t>清华大学</w:t>
      </w:r>
    </w:p>
    <w:p w14:paraId="4870CDCE">
      <w:pPr>
        <w:keepNext w:val="0"/>
        <w:keepLines w:val="0"/>
        <w:pageBreakBefore w:val="0"/>
        <w:widowControl w:val="0"/>
        <w:kinsoku/>
        <w:wordWrap/>
        <w:overflowPunct/>
        <w:topLinePunct w:val="0"/>
        <w:autoSpaceDE w:val="0"/>
        <w:autoSpaceDN w:val="0"/>
        <w:bidi w:val="0"/>
        <w:adjustRightInd w:val="0"/>
        <w:snapToGrid w:val="0"/>
        <w:spacing w:line="312" w:lineRule="auto"/>
        <w:ind w:left="1760" w:hanging="1760" w:hangingChars="800"/>
        <w:jc w:val="both"/>
        <w:textAlignment w:val="auto"/>
        <w:rPr>
          <w:rFonts w:hint="eastAsia"/>
          <w:color w:val="auto"/>
          <w:szCs w:val="24"/>
          <w:highlight w:val="none"/>
          <w:lang w:val="en-US" w:eastAsia="zh-CN"/>
        </w:rPr>
      </w:pPr>
      <w:r>
        <w:rPr>
          <w:rFonts w:hint="eastAsia"/>
          <w:color w:val="auto"/>
          <w:szCs w:val="24"/>
          <w:highlight w:val="none"/>
          <w:lang w:val="en-US" w:eastAsia="zh-CN"/>
        </w:rPr>
        <w:t>本标准</w:t>
      </w:r>
      <w:r>
        <w:rPr>
          <w:color w:val="auto"/>
          <w:szCs w:val="24"/>
          <w:highlight w:val="none"/>
        </w:rPr>
        <w:t>参编单位</w:t>
      </w:r>
      <w:r>
        <w:rPr>
          <w:rFonts w:hint="eastAsia"/>
          <w:color w:val="auto"/>
          <w:szCs w:val="24"/>
          <w:highlight w:val="none"/>
        </w:rPr>
        <w:t>：</w:t>
      </w:r>
      <w:r>
        <w:rPr>
          <w:rFonts w:hint="eastAsia"/>
          <w:color w:val="auto"/>
          <w:szCs w:val="24"/>
          <w:highlight w:val="none"/>
          <w:lang w:val="en-US" w:eastAsia="zh-CN"/>
        </w:rPr>
        <w:t>深圳市安居集团有限公司</w:t>
      </w:r>
      <w:r>
        <w:rPr>
          <w:rFonts w:hint="eastAsia"/>
          <w:color w:val="auto"/>
          <w:szCs w:val="24"/>
          <w:highlight w:val="none"/>
          <w:lang w:val="en-US" w:eastAsia="zh-CN"/>
        </w:rPr>
        <w:br w:type="textWrapping"/>
      </w:r>
      <w:r>
        <w:rPr>
          <w:rFonts w:hint="eastAsia"/>
          <w:color w:val="auto"/>
          <w:szCs w:val="24"/>
          <w:highlight w:val="none"/>
          <w:lang w:val="en-US" w:eastAsia="zh-CN"/>
        </w:rPr>
        <w:t>香港大学</w:t>
      </w:r>
      <w:r>
        <w:rPr>
          <w:rFonts w:hint="eastAsia"/>
          <w:color w:val="auto"/>
          <w:szCs w:val="24"/>
          <w:highlight w:val="none"/>
          <w:lang w:val="en-US" w:eastAsia="zh-CN"/>
        </w:rPr>
        <w:br w:type="textWrapping"/>
      </w:r>
      <w:r>
        <w:rPr>
          <w:rFonts w:hint="eastAsia"/>
          <w:color w:val="auto"/>
          <w:szCs w:val="24"/>
          <w:highlight w:val="none"/>
          <w:lang w:val="en-US" w:eastAsia="zh-CN"/>
        </w:rPr>
        <w:t>香港理工大学</w:t>
      </w:r>
      <w:r>
        <w:rPr>
          <w:rFonts w:hint="eastAsia"/>
          <w:color w:val="auto"/>
          <w:szCs w:val="24"/>
          <w:highlight w:val="none"/>
          <w:lang w:val="en-US" w:eastAsia="zh-CN"/>
        </w:rPr>
        <w:br w:type="textWrapping"/>
      </w:r>
      <w:r>
        <w:rPr>
          <w:rFonts w:hint="eastAsia"/>
          <w:color w:val="auto"/>
          <w:szCs w:val="24"/>
          <w:highlight w:val="none"/>
          <w:lang w:val="en-US" w:eastAsia="zh-CN"/>
        </w:rPr>
        <w:t>华南理工大学</w:t>
      </w:r>
      <w:r>
        <w:rPr>
          <w:rFonts w:hint="eastAsia"/>
          <w:color w:val="auto"/>
          <w:szCs w:val="24"/>
          <w:highlight w:val="none"/>
          <w:lang w:val="en-US" w:eastAsia="zh-CN"/>
        </w:rPr>
        <w:br w:type="textWrapping"/>
      </w:r>
      <w:r>
        <w:rPr>
          <w:rFonts w:hint="eastAsia"/>
          <w:color w:val="auto"/>
          <w:szCs w:val="24"/>
          <w:highlight w:val="none"/>
          <w:lang w:val="en-US" w:eastAsia="zh-CN"/>
        </w:rPr>
        <w:t>广东省建设工程绿色与装配式发展协会</w:t>
      </w:r>
      <w:r>
        <w:rPr>
          <w:rFonts w:hint="eastAsia"/>
          <w:color w:val="auto"/>
          <w:szCs w:val="24"/>
          <w:highlight w:val="none"/>
          <w:lang w:val="en-US" w:eastAsia="zh-CN"/>
        </w:rPr>
        <w:br w:type="textWrapping"/>
      </w:r>
      <w:r>
        <w:rPr>
          <w:rFonts w:hint="eastAsia"/>
          <w:color w:val="auto"/>
          <w:szCs w:val="24"/>
          <w:highlight w:val="none"/>
          <w:lang w:val="en-US" w:eastAsia="zh-CN"/>
        </w:rPr>
        <w:t>深圳市建设科技促进中心</w:t>
      </w:r>
      <w:r>
        <w:rPr>
          <w:rFonts w:hint="eastAsia"/>
          <w:color w:val="auto"/>
          <w:szCs w:val="24"/>
          <w:highlight w:val="none"/>
          <w:lang w:val="en-US" w:eastAsia="zh-CN"/>
        </w:rPr>
        <w:br w:type="textWrapping"/>
      </w:r>
      <w:r>
        <w:rPr>
          <w:rFonts w:hint="eastAsia"/>
          <w:color w:val="auto"/>
          <w:szCs w:val="24"/>
          <w:highlight w:val="none"/>
          <w:lang w:val="en-US" w:eastAsia="zh-CN"/>
        </w:rPr>
        <w:t>中建科技华南有限公司</w:t>
      </w:r>
      <w:r>
        <w:rPr>
          <w:rFonts w:hint="eastAsia"/>
          <w:color w:val="auto"/>
          <w:szCs w:val="24"/>
          <w:highlight w:val="none"/>
          <w:lang w:val="en-US" w:eastAsia="zh-CN"/>
        </w:rPr>
        <w:br w:type="textWrapping"/>
      </w:r>
      <w:r>
        <w:rPr>
          <w:rFonts w:hint="eastAsia"/>
          <w:color w:val="auto"/>
          <w:szCs w:val="24"/>
          <w:highlight w:val="none"/>
          <w:lang w:val="en-US" w:eastAsia="zh-CN"/>
        </w:rPr>
        <w:t>中冶建筑研究总院（深圳）有限公司</w:t>
      </w:r>
      <w:r>
        <w:rPr>
          <w:rFonts w:hint="eastAsia"/>
          <w:color w:val="auto"/>
          <w:szCs w:val="24"/>
          <w:highlight w:val="none"/>
          <w:lang w:val="en-US" w:eastAsia="zh-CN"/>
        </w:rPr>
        <w:br w:type="textWrapping"/>
      </w:r>
      <w:r>
        <w:rPr>
          <w:rFonts w:hint="eastAsia"/>
          <w:color w:val="auto"/>
          <w:szCs w:val="24"/>
          <w:highlight w:val="none"/>
          <w:lang w:val="en-US" w:eastAsia="zh-CN"/>
        </w:rPr>
        <w:t>深圳市建筑产业化协会</w:t>
      </w:r>
      <w:r>
        <w:rPr>
          <w:rFonts w:hint="eastAsia"/>
          <w:color w:val="auto"/>
          <w:szCs w:val="24"/>
          <w:highlight w:val="none"/>
          <w:lang w:val="en-US" w:eastAsia="zh-CN"/>
        </w:rPr>
        <w:br w:type="textWrapping"/>
      </w:r>
      <w:r>
        <w:rPr>
          <w:rFonts w:hint="eastAsia"/>
          <w:color w:val="auto"/>
          <w:szCs w:val="24"/>
          <w:highlight w:val="none"/>
          <w:lang w:val="en-US" w:eastAsia="zh-CN"/>
        </w:rPr>
        <w:t>广东省建筑设计研究院有限公司</w:t>
      </w:r>
      <w:r>
        <w:rPr>
          <w:rFonts w:hint="eastAsia"/>
          <w:color w:val="auto"/>
          <w:szCs w:val="24"/>
          <w:highlight w:val="none"/>
          <w:lang w:val="en-US" w:eastAsia="zh-CN"/>
        </w:rPr>
        <w:br w:type="textWrapping"/>
      </w:r>
      <w:r>
        <w:rPr>
          <w:rFonts w:hint="eastAsia"/>
          <w:color w:val="auto"/>
          <w:szCs w:val="24"/>
          <w:highlight w:val="none"/>
          <w:lang w:val="en-US" w:eastAsia="zh-CN"/>
        </w:rPr>
        <w:t>华南理工大学建筑设计研究院有限公司</w:t>
      </w:r>
      <w:r>
        <w:rPr>
          <w:rFonts w:hint="eastAsia"/>
          <w:color w:val="auto"/>
          <w:szCs w:val="24"/>
          <w:highlight w:val="none"/>
          <w:lang w:val="en-US" w:eastAsia="zh-CN"/>
        </w:rPr>
        <w:br w:type="textWrapping"/>
      </w:r>
      <w:r>
        <w:rPr>
          <w:rFonts w:hint="eastAsia"/>
          <w:color w:val="auto"/>
          <w:szCs w:val="24"/>
          <w:highlight w:val="none"/>
          <w:lang w:val="en-US" w:eastAsia="zh-CN"/>
        </w:rPr>
        <w:t>深圳市前海深港现代服务业合作区</w:t>
      </w:r>
      <w:bookmarkStart w:id="1421" w:name="_GoBack"/>
      <w:bookmarkEnd w:id="1421"/>
      <w:r>
        <w:rPr>
          <w:rFonts w:hint="eastAsia"/>
          <w:color w:val="auto"/>
          <w:szCs w:val="24"/>
          <w:highlight w:val="none"/>
          <w:lang w:val="en-US" w:eastAsia="zh-CN"/>
        </w:rPr>
        <w:t>管理局</w:t>
      </w:r>
      <w:r>
        <w:rPr>
          <w:rFonts w:hint="eastAsia"/>
          <w:color w:val="auto"/>
          <w:szCs w:val="24"/>
          <w:highlight w:val="none"/>
          <w:lang w:val="en-US" w:eastAsia="zh-CN"/>
        </w:rPr>
        <w:br w:type="textWrapping"/>
      </w:r>
      <w:r>
        <w:rPr>
          <w:rFonts w:hint="eastAsia"/>
          <w:color w:val="auto"/>
          <w:szCs w:val="24"/>
          <w:highlight w:val="none"/>
          <w:lang w:val="en-US" w:eastAsia="zh-CN"/>
        </w:rPr>
        <w:t>深圳市建筑工程质量安全监督总站</w:t>
      </w:r>
      <w:r>
        <w:rPr>
          <w:rFonts w:hint="eastAsia"/>
          <w:color w:val="auto"/>
          <w:szCs w:val="24"/>
          <w:highlight w:val="none"/>
          <w:lang w:val="en-US" w:eastAsia="zh-CN"/>
        </w:rPr>
        <w:br w:type="textWrapping"/>
      </w:r>
      <w:r>
        <w:rPr>
          <w:rFonts w:hint="eastAsia"/>
          <w:color w:val="auto"/>
          <w:szCs w:val="24"/>
          <w:highlight w:val="none"/>
          <w:lang w:val="en-US" w:eastAsia="zh-CN"/>
        </w:rPr>
        <w:t>建盛（亚洲）工程顾问有限公司</w:t>
      </w:r>
      <w:r>
        <w:rPr>
          <w:rFonts w:hint="eastAsia"/>
          <w:color w:val="auto"/>
          <w:szCs w:val="24"/>
          <w:highlight w:val="none"/>
          <w:lang w:val="en-US" w:eastAsia="zh-CN"/>
        </w:rPr>
        <w:br w:type="textWrapping"/>
      </w:r>
      <w:r>
        <w:rPr>
          <w:rFonts w:hint="eastAsia"/>
          <w:color w:val="auto"/>
          <w:szCs w:val="24"/>
          <w:highlight w:val="none"/>
          <w:lang w:val="en-US" w:eastAsia="zh-CN"/>
        </w:rPr>
        <w:t>安保工程控股有限公司</w:t>
      </w:r>
      <w:r>
        <w:rPr>
          <w:rFonts w:hint="eastAsia"/>
          <w:color w:val="auto"/>
          <w:szCs w:val="24"/>
          <w:highlight w:val="none"/>
          <w:lang w:val="en-US" w:eastAsia="zh-CN"/>
        </w:rPr>
        <w:br w:type="textWrapping"/>
      </w:r>
      <w:r>
        <w:rPr>
          <w:rFonts w:hint="eastAsia"/>
          <w:color w:val="auto"/>
          <w:szCs w:val="24"/>
          <w:highlight w:val="none"/>
          <w:lang w:val="en-US" w:eastAsia="zh-CN"/>
        </w:rPr>
        <w:t>吕元祥建筑师事务所（RLP Asia）</w:t>
      </w:r>
      <w:r>
        <w:rPr>
          <w:rFonts w:hint="eastAsia"/>
          <w:color w:val="auto"/>
          <w:szCs w:val="24"/>
          <w:highlight w:val="none"/>
          <w:lang w:val="en-US" w:eastAsia="zh-CN"/>
        </w:rPr>
        <w:br w:type="textWrapping"/>
      </w:r>
      <w:r>
        <w:rPr>
          <w:rFonts w:hint="eastAsia"/>
          <w:color w:val="auto"/>
          <w:szCs w:val="24"/>
          <w:highlight w:val="none"/>
          <w:lang w:val="en-US" w:eastAsia="zh-CN"/>
        </w:rPr>
        <w:t>广州建筑湾区智造科技有限公司</w:t>
      </w:r>
    </w:p>
    <w:p w14:paraId="4A94A1DB">
      <w:pPr>
        <w:widowControl/>
        <w:adjustRightInd w:val="0"/>
        <w:snapToGrid w:val="0"/>
        <w:spacing w:after="0" w:line="312" w:lineRule="auto"/>
        <w:ind w:left="0" w:hanging="1540" w:hangingChars="700"/>
        <w:jc w:val="both"/>
        <w:rPr>
          <w:rFonts w:hint="eastAsia"/>
          <w:color w:val="000000"/>
          <w:szCs w:val="21"/>
          <w:highlight w:val="none"/>
        </w:rPr>
      </w:pPr>
      <w:r>
        <w:rPr>
          <w:rFonts w:hint="eastAsia"/>
          <w:color w:val="auto"/>
          <w:szCs w:val="24"/>
          <w:highlight w:val="none"/>
          <w:lang w:val="en-US" w:eastAsia="zh-CN"/>
        </w:rPr>
        <w:t>本标准</w:t>
      </w:r>
      <w:r>
        <w:rPr>
          <w:color w:val="auto"/>
          <w:szCs w:val="24"/>
          <w:highlight w:val="none"/>
        </w:rPr>
        <w:t>主要起草人员：</w:t>
      </w:r>
      <w:r>
        <w:rPr>
          <w:rFonts w:hint="eastAsia"/>
          <w:color w:val="auto"/>
          <w:szCs w:val="24"/>
          <w:highlight w:val="none"/>
          <w:lang w:val="en-US" w:eastAsia="zh-CN"/>
        </w:rPr>
        <w:t>杨智锋</w:t>
      </w:r>
      <w:r>
        <w:rPr>
          <w:rFonts w:hint="eastAsia"/>
          <w:color w:val="000000"/>
          <w:szCs w:val="21"/>
          <w:highlight w:val="none"/>
        </w:rPr>
        <w:t xml:space="preserve">  </w:t>
      </w:r>
      <w:r>
        <w:rPr>
          <w:rFonts w:hint="eastAsia"/>
          <w:color w:val="000000"/>
          <w:szCs w:val="21"/>
          <w:highlight w:val="none"/>
          <w:lang w:val="en-US" w:eastAsia="zh-CN"/>
        </w:rPr>
        <w:t>樊则森</w:t>
      </w:r>
      <w:r>
        <w:rPr>
          <w:rFonts w:hint="eastAsia"/>
          <w:color w:val="000000"/>
          <w:szCs w:val="21"/>
          <w:highlight w:val="none"/>
        </w:rPr>
        <w:t xml:space="preserve">  </w:t>
      </w:r>
      <w:r>
        <w:rPr>
          <w:rFonts w:hint="eastAsia"/>
          <w:color w:val="000000"/>
          <w:szCs w:val="21"/>
          <w:highlight w:val="none"/>
          <w:lang w:val="en-US" w:eastAsia="zh-CN"/>
        </w:rPr>
        <w:t>聂  鑫</w:t>
      </w:r>
      <w:r>
        <w:rPr>
          <w:rFonts w:hint="eastAsia"/>
          <w:color w:val="000000"/>
          <w:szCs w:val="21"/>
          <w:highlight w:val="none"/>
        </w:rPr>
        <w:t xml:space="preserve"> </w:t>
      </w:r>
      <w:r>
        <w:rPr>
          <w:rFonts w:hint="eastAsia"/>
          <w:color w:val="000000"/>
          <w:szCs w:val="21"/>
          <w:highlight w:val="none"/>
          <w:lang w:val="en-US" w:eastAsia="zh-CN"/>
        </w:rPr>
        <w:t xml:space="preserve"> 侯兆新</w:t>
      </w:r>
      <w:r>
        <w:rPr>
          <w:rFonts w:hint="eastAsia"/>
          <w:color w:val="000000"/>
          <w:szCs w:val="21"/>
          <w:highlight w:val="none"/>
        </w:rPr>
        <w:t xml:space="preserve">  </w:t>
      </w:r>
    </w:p>
    <w:p w14:paraId="02F7643F">
      <w:pPr>
        <w:widowControl/>
        <w:adjustRightInd w:val="0"/>
        <w:snapToGrid w:val="0"/>
        <w:spacing w:after="0" w:line="312" w:lineRule="auto"/>
        <w:ind w:left="0" w:leftChars="0" w:firstLine="2200" w:firstLineChars="1000"/>
        <w:jc w:val="both"/>
        <w:rPr>
          <w:rFonts w:hint="eastAsia"/>
          <w:color w:val="auto"/>
          <w:szCs w:val="24"/>
          <w:highlight w:val="none"/>
          <w:lang w:val="en-US" w:eastAsia="zh-CN"/>
        </w:rPr>
      </w:pPr>
      <w:r>
        <w:rPr>
          <w:rFonts w:hint="eastAsia"/>
          <w:color w:val="000000"/>
          <w:szCs w:val="21"/>
          <w:highlight w:val="none"/>
          <w:lang w:val="en-US" w:eastAsia="zh-CN"/>
        </w:rPr>
        <w:t xml:space="preserve">田春雨  </w:t>
      </w:r>
      <w:r>
        <w:rPr>
          <w:rFonts w:hint="eastAsia"/>
          <w:color w:val="auto"/>
          <w:szCs w:val="24"/>
          <w:highlight w:val="none"/>
          <w:lang w:val="en-US" w:eastAsia="zh-CN"/>
        </w:rPr>
        <w:t xml:space="preserve">胡孟辉  芦静夫  庄亮东 </w:t>
      </w:r>
    </w:p>
    <w:p w14:paraId="55EC1A11">
      <w:pPr>
        <w:widowControl/>
        <w:adjustRightInd w:val="0"/>
        <w:snapToGrid w:val="0"/>
        <w:spacing w:after="0" w:line="312" w:lineRule="auto"/>
        <w:ind w:left="0" w:leftChars="0" w:firstLine="2200" w:firstLineChars="1000"/>
        <w:jc w:val="both"/>
        <w:rPr>
          <w:rFonts w:hint="eastAsia"/>
          <w:color w:val="000000"/>
          <w:szCs w:val="21"/>
          <w:highlight w:val="none"/>
          <w:lang w:val="en-US" w:eastAsia="zh-CN"/>
        </w:rPr>
      </w:pPr>
      <w:r>
        <w:rPr>
          <w:rFonts w:hint="eastAsia"/>
          <w:color w:val="auto"/>
          <w:szCs w:val="24"/>
          <w:highlight w:val="none"/>
          <w:lang w:val="en-US" w:eastAsia="zh-CN"/>
        </w:rPr>
        <w:t xml:space="preserve">李东宁  饶少华  </w:t>
      </w:r>
      <w:r>
        <w:rPr>
          <w:rFonts w:hint="eastAsia"/>
          <w:color w:val="000000"/>
          <w:szCs w:val="21"/>
          <w:highlight w:val="none"/>
          <w:lang w:val="en-US" w:eastAsia="zh-CN"/>
        </w:rPr>
        <w:t xml:space="preserve">罗赤宇  曹大燕  </w:t>
      </w:r>
    </w:p>
    <w:p w14:paraId="3D862F1E">
      <w:pPr>
        <w:widowControl/>
        <w:adjustRightInd w:val="0"/>
        <w:snapToGrid w:val="0"/>
        <w:spacing w:after="0" w:line="312" w:lineRule="auto"/>
        <w:ind w:left="0" w:leftChars="0" w:firstLine="2200" w:firstLineChars="1000"/>
        <w:jc w:val="both"/>
        <w:rPr>
          <w:rFonts w:hint="eastAsia"/>
          <w:color w:val="000000"/>
          <w:szCs w:val="21"/>
          <w:highlight w:val="none"/>
          <w:lang w:val="en-US" w:eastAsia="zh-CN"/>
        </w:rPr>
      </w:pPr>
      <w:r>
        <w:rPr>
          <w:rFonts w:hint="eastAsia"/>
          <w:color w:val="000000"/>
          <w:szCs w:val="21"/>
          <w:highlight w:val="none"/>
          <w:lang w:val="en-US" w:eastAsia="zh-CN"/>
        </w:rPr>
        <w:t xml:space="preserve">王  帆  岑  岩  李  蕾  张  磊 </w:t>
      </w:r>
    </w:p>
    <w:p w14:paraId="7874ED4B">
      <w:pPr>
        <w:widowControl/>
        <w:adjustRightInd w:val="0"/>
        <w:snapToGrid w:val="0"/>
        <w:spacing w:after="0" w:line="312" w:lineRule="auto"/>
        <w:ind w:left="0" w:leftChars="0" w:firstLine="2200" w:firstLineChars="1000"/>
        <w:jc w:val="both"/>
        <w:rPr>
          <w:rFonts w:hint="eastAsia"/>
          <w:color w:val="000000"/>
          <w:szCs w:val="21"/>
          <w:highlight w:val="none"/>
          <w:lang w:val="en-US" w:eastAsia="zh-CN"/>
        </w:rPr>
      </w:pPr>
      <w:r>
        <w:rPr>
          <w:rFonts w:hint="eastAsia"/>
          <w:color w:val="000000"/>
          <w:szCs w:val="21"/>
          <w:highlight w:val="none"/>
          <w:lang w:val="en-US" w:eastAsia="zh-CN"/>
        </w:rPr>
        <w:t>龚  超  潘智生  吕伟生  唐耀南</w:t>
      </w:r>
    </w:p>
    <w:p w14:paraId="70E0ED71">
      <w:pPr>
        <w:widowControl/>
        <w:adjustRightInd w:val="0"/>
        <w:snapToGrid w:val="0"/>
        <w:spacing w:after="0" w:line="312" w:lineRule="auto"/>
        <w:ind w:left="0" w:leftChars="0" w:firstLine="2200" w:firstLineChars="1000"/>
        <w:jc w:val="both"/>
        <w:rPr>
          <w:rFonts w:hint="eastAsia"/>
          <w:color w:val="000000"/>
          <w:szCs w:val="21"/>
          <w:highlight w:val="none"/>
          <w:lang w:val="en-US" w:eastAsia="zh-CN"/>
        </w:rPr>
      </w:pPr>
      <w:r>
        <w:rPr>
          <w:rFonts w:hint="eastAsia"/>
          <w:color w:val="000000"/>
          <w:szCs w:val="21"/>
          <w:highlight w:val="none"/>
          <w:lang w:val="en-US" w:eastAsia="zh-CN"/>
        </w:rPr>
        <w:t xml:space="preserve">夏春颖  宋  维  申新亚  孟伟峰  </w:t>
      </w:r>
    </w:p>
    <w:p w14:paraId="3D5F3A7D">
      <w:pPr>
        <w:widowControl/>
        <w:adjustRightInd w:val="0"/>
        <w:snapToGrid w:val="0"/>
        <w:spacing w:after="0" w:line="312" w:lineRule="auto"/>
        <w:ind w:left="0" w:leftChars="0" w:firstLine="2200" w:firstLineChars="1000"/>
        <w:jc w:val="both"/>
        <w:rPr>
          <w:rFonts w:hint="eastAsia"/>
          <w:color w:val="000000"/>
          <w:szCs w:val="21"/>
          <w:highlight w:val="none"/>
          <w:lang w:val="en-US" w:eastAsia="zh-CN"/>
        </w:rPr>
      </w:pPr>
      <w:r>
        <w:rPr>
          <w:rFonts w:hint="eastAsia"/>
          <w:color w:val="000000"/>
          <w:szCs w:val="21"/>
          <w:highlight w:val="none"/>
          <w:lang w:val="en-US" w:eastAsia="zh-CN"/>
        </w:rPr>
        <w:t xml:space="preserve">朱怀涛  龙玉峰  韦  宏  刘维亚 </w:t>
      </w:r>
    </w:p>
    <w:p w14:paraId="67A1F4AB">
      <w:pPr>
        <w:widowControl/>
        <w:adjustRightInd w:val="0"/>
        <w:snapToGrid w:val="0"/>
        <w:spacing w:after="0" w:line="312" w:lineRule="auto"/>
        <w:ind w:left="0" w:leftChars="0" w:firstLine="2200" w:firstLineChars="1000"/>
        <w:jc w:val="both"/>
        <w:rPr>
          <w:rFonts w:hint="eastAsia"/>
          <w:color w:val="000000"/>
          <w:szCs w:val="21"/>
          <w:highlight w:val="none"/>
          <w:lang w:val="en-US" w:eastAsia="zh-CN"/>
        </w:rPr>
      </w:pPr>
      <w:r>
        <w:rPr>
          <w:rFonts w:hint="eastAsia"/>
          <w:color w:val="000000"/>
          <w:szCs w:val="21"/>
          <w:highlight w:val="none"/>
          <w:lang w:val="en-US" w:eastAsia="zh-CN"/>
        </w:rPr>
        <w:t xml:space="preserve">付灿华  林春光  林生逸  胡  楠  </w:t>
      </w:r>
    </w:p>
    <w:p w14:paraId="57CED9CC">
      <w:pPr>
        <w:widowControl/>
        <w:adjustRightInd w:val="0"/>
        <w:snapToGrid w:val="0"/>
        <w:spacing w:after="0" w:line="312" w:lineRule="auto"/>
        <w:ind w:left="0" w:leftChars="0" w:firstLine="2200" w:firstLineChars="1000"/>
        <w:jc w:val="both"/>
        <w:rPr>
          <w:rFonts w:hint="eastAsia"/>
          <w:color w:val="000000"/>
          <w:szCs w:val="21"/>
          <w:highlight w:val="none"/>
          <w:lang w:val="en-US" w:eastAsia="zh-CN"/>
        </w:rPr>
      </w:pPr>
      <w:r>
        <w:rPr>
          <w:rFonts w:hint="eastAsia"/>
          <w:color w:val="000000"/>
          <w:szCs w:val="21"/>
          <w:highlight w:val="none"/>
          <w:lang w:val="en-US" w:eastAsia="zh-CN"/>
        </w:rPr>
        <w:t xml:space="preserve">李恒颖  吴卓文  黄晓晖  郭宇韬  </w:t>
      </w:r>
    </w:p>
    <w:p w14:paraId="79A42174">
      <w:pPr>
        <w:widowControl/>
        <w:adjustRightInd w:val="0"/>
        <w:snapToGrid w:val="0"/>
        <w:spacing w:after="0" w:line="312" w:lineRule="auto"/>
        <w:ind w:left="0" w:leftChars="0" w:firstLine="2200" w:firstLineChars="1000"/>
        <w:jc w:val="both"/>
        <w:rPr>
          <w:rFonts w:hint="default"/>
          <w:color w:val="000000"/>
          <w:szCs w:val="21"/>
          <w:highlight w:val="none"/>
          <w:lang w:val="en-US" w:eastAsia="zh-CN"/>
        </w:rPr>
      </w:pPr>
      <w:r>
        <w:rPr>
          <w:rFonts w:hint="eastAsia"/>
          <w:color w:val="000000"/>
          <w:szCs w:val="21"/>
          <w:highlight w:val="none"/>
          <w:lang w:val="en-US" w:eastAsia="zh-CN"/>
        </w:rPr>
        <w:t>王  龙  郭万里</w:t>
      </w:r>
    </w:p>
    <w:p w14:paraId="5655AC27">
      <w:pPr>
        <w:widowControl/>
        <w:spacing w:after="240" w:line="360" w:lineRule="exact"/>
        <w:ind w:left="1540" w:hanging="1540" w:hangingChars="700"/>
        <w:jc w:val="both"/>
        <w:rPr>
          <w:color w:val="auto"/>
          <w:szCs w:val="24"/>
          <w:highlight w:val="none"/>
        </w:rPr>
        <w:sectPr>
          <w:headerReference r:id="rId3" w:type="default"/>
          <w:footerReference r:id="rId4" w:type="default"/>
          <w:footerReference r:id="rId5" w:type="even"/>
          <w:pgSz w:w="7937" w:h="11509"/>
          <w:pgMar w:top="1083" w:right="1009" w:bottom="1083" w:left="1009" w:header="851" w:footer="992" w:gutter="0"/>
          <w:pgNumType w:fmt="decimal" w:start="1"/>
          <w:cols w:space="0" w:num="1"/>
          <w:docGrid w:type="linesAndChars" w:linePitch="333" w:charSpace="2165"/>
        </w:sectPr>
      </w:pPr>
      <w:r>
        <w:rPr>
          <w:rFonts w:hint="eastAsia"/>
          <w:color w:val="auto"/>
          <w:szCs w:val="24"/>
          <w:highlight w:val="none"/>
          <w:lang w:val="en-US" w:eastAsia="zh-CN"/>
        </w:rPr>
        <w:t>本标准</w:t>
      </w:r>
      <w:r>
        <w:rPr>
          <w:color w:val="auto"/>
          <w:szCs w:val="24"/>
          <w:highlight w:val="none"/>
        </w:rPr>
        <w:t>主要审查人员：</w:t>
      </w:r>
    </w:p>
    <w:sdt>
      <w:sdtPr>
        <w:rPr>
          <w:rFonts w:eastAsia="黑体"/>
          <w:b/>
          <w:bCs/>
          <w:color w:val="auto"/>
          <w:sz w:val="28"/>
          <w:szCs w:val="32"/>
          <w:highlight w:val="none"/>
        </w:rPr>
        <w:id w:val="147469392"/>
        <w15:color w:val="DBDBDB"/>
        <w:docPartObj>
          <w:docPartGallery w:val="Table of Contents"/>
          <w:docPartUnique/>
        </w:docPartObj>
      </w:sdtPr>
      <w:sdtEndPr>
        <w:rPr>
          <w:rFonts w:eastAsia="仿宋"/>
          <w:b/>
          <w:bCs/>
          <w:color w:val="auto"/>
          <w:sz w:val="21"/>
          <w:szCs w:val="28"/>
          <w:highlight w:val="none"/>
        </w:rPr>
      </w:sdtEndPr>
      <w:sdtContent>
        <w:p w14:paraId="62C54BFC">
          <w:pPr>
            <w:jc w:val="center"/>
            <w:rPr>
              <w:rFonts w:hint="eastAsia" w:ascii="Times New Roman" w:hAnsi="Times New Roman" w:eastAsia="黑体" w:cs="Times New Roman"/>
              <w:b/>
              <w:bCs/>
              <w:color w:val="auto"/>
              <w:sz w:val="28"/>
              <w:szCs w:val="32"/>
              <w:highlight w:val="none"/>
            </w:rPr>
          </w:pPr>
          <w:r>
            <w:rPr>
              <w:rFonts w:hint="eastAsia" w:ascii="Times New Roman" w:hAnsi="Times New Roman" w:eastAsia="黑体" w:cs="Times New Roman"/>
              <w:b/>
              <w:bCs/>
              <w:color w:val="auto"/>
              <w:sz w:val="28"/>
              <w:szCs w:val="32"/>
              <w:highlight w:val="none"/>
            </w:rPr>
            <w:t xml:space="preserve">目 </w:t>
          </w:r>
          <w:r>
            <w:rPr>
              <w:rFonts w:hint="eastAsia" w:eastAsia="黑体" w:cs="Times New Roman"/>
              <w:b/>
              <w:bCs/>
              <w:color w:val="auto"/>
              <w:sz w:val="28"/>
              <w:szCs w:val="32"/>
              <w:highlight w:val="none"/>
              <w:lang w:val="en-US" w:eastAsia="zh-CN"/>
            </w:rPr>
            <w:t>次</w:t>
          </w:r>
        </w:p>
        <w:p w14:paraId="19F75C4D">
          <w:pPr>
            <w:pStyle w:val="17"/>
            <w:tabs>
              <w:tab w:val="right" w:leader="dot" w:pos="5919"/>
              <w:tab w:val="clear" w:pos="1050"/>
              <w:tab w:val="clear" w:pos="13948"/>
            </w:tabs>
            <w:rPr>
              <w:rFonts w:hint="default" w:ascii="Times New Roman" w:hAnsi="Times New Roman" w:eastAsia="宋体" w:cs="Times New Roman"/>
              <w:highlight w:val="none"/>
            </w:rPr>
          </w:pPr>
          <w:bookmarkStart w:id="19" w:name="OLE_LINK14"/>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TOC \o "1-3" \h \u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szCs w:val="28"/>
              <w:highlight w:val="none"/>
            </w:rPr>
            <w:instrText xml:space="preserve"> HYPERLINK \l _Toc28144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highlight w:val="none"/>
            </w:rPr>
            <w:t>1</w:t>
          </w:r>
          <w:r>
            <w:rPr>
              <w:rFonts w:hint="eastAsia" w:ascii="Times New Roman" w:hAnsi="Times New Roman" w:eastAsia="宋体" w:cs="Times New Roman"/>
              <w:szCs w:val="28"/>
              <w:highlight w:val="none"/>
              <w:lang w:val="en-US" w:eastAsia="zh-CN"/>
            </w:rPr>
            <w:t xml:space="preserve">  </w:t>
          </w:r>
          <w:r>
            <w:rPr>
              <w:rFonts w:hint="default" w:ascii="Times New Roman" w:hAnsi="Times New Roman" w:eastAsia="宋体" w:cs="Times New Roman"/>
              <w:szCs w:val="28"/>
              <w:highlight w:val="none"/>
            </w:rPr>
            <w:t>总则</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_Toc28144 \h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w:t>
          </w:r>
          <w:r>
            <w:rPr>
              <w:rFonts w:hint="default" w:ascii="Times New Roman" w:hAnsi="Times New Roman" w:eastAsia="宋体" w:cs="Times New Roman"/>
              <w:highlight w:val="none"/>
            </w:rPr>
            <w:fldChar w:fldCharType="end"/>
          </w:r>
          <w:r>
            <w:rPr>
              <w:rFonts w:hint="default" w:ascii="Times New Roman" w:hAnsi="Times New Roman" w:eastAsia="宋体" w:cs="Times New Roman"/>
              <w:color w:val="auto"/>
              <w:szCs w:val="28"/>
              <w:highlight w:val="none"/>
            </w:rPr>
            <w:fldChar w:fldCharType="end"/>
          </w:r>
        </w:p>
        <w:p w14:paraId="1F2BCFB4">
          <w:pPr>
            <w:pStyle w:val="17"/>
            <w:tabs>
              <w:tab w:val="right" w:leader="dot" w:pos="5919"/>
              <w:tab w:val="clear" w:pos="1050"/>
              <w:tab w:val="clear" w:pos="13948"/>
            </w:tabs>
            <w:rPr>
              <w:rFonts w:hint="default" w:ascii="Times New Roman" w:hAnsi="Times New Roman" w:eastAsia="宋体" w:cs="Times New Roman"/>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szCs w:val="28"/>
              <w:highlight w:val="none"/>
            </w:rPr>
            <w:instrText xml:space="preserve"> HYPERLINK \l _Toc31067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highlight w:val="none"/>
            </w:rPr>
            <w:t>2</w:t>
          </w:r>
          <w:r>
            <w:rPr>
              <w:rFonts w:hint="eastAsia" w:ascii="Times New Roman" w:hAnsi="Times New Roman" w:eastAsia="宋体" w:cs="Times New Roman"/>
              <w:szCs w:val="28"/>
              <w:highlight w:val="none"/>
              <w:lang w:val="en-US" w:eastAsia="zh-CN"/>
            </w:rPr>
            <w:t xml:space="preserve">  </w:t>
          </w:r>
          <w:r>
            <w:rPr>
              <w:rFonts w:hint="default" w:ascii="Times New Roman" w:hAnsi="Times New Roman" w:eastAsia="宋体" w:cs="Times New Roman"/>
              <w:szCs w:val="28"/>
              <w:highlight w:val="none"/>
            </w:rPr>
            <w:t>术语和符号</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_Toc31067 \h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2</w:t>
          </w:r>
          <w:r>
            <w:rPr>
              <w:rFonts w:hint="default" w:ascii="Times New Roman" w:hAnsi="Times New Roman" w:eastAsia="宋体" w:cs="Times New Roman"/>
              <w:highlight w:val="none"/>
            </w:rPr>
            <w:fldChar w:fldCharType="end"/>
          </w:r>
          <w:r>
            <w:rPr>
              <w:rFonts w:hint="default" w:ascii="Times New Roman" w:hAnsi="Times New Roman" w:eastAsia="宋体" w:cs="Times New Roman"/>
              <w:color w:val="auto"/>
              <w:szCs w:val="28"/>
              <w:highlight w:val="none"/>
            </w:rPr>
            <w:fldChar w:fldCharType="end"/>
          </w:r>
        </w:p>
        <w:p w14:paraId="732208C0">
          <w:pPr>
            <w:pStyle w:val="20"/>
            <w:tabs>
              <w:tab w:val="right" w:leader="dot" w:pos="5919"/>
            </w:tabs>
            <w:rPr>
              <w:rFonts w:hint="default" w:ascii="Times New Roman" w:hAnsi="Times New Roman" w:eastAsia="宋体" w:cs="Times New Roman"/>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sz w:val="18"/>
              <w:szCs w:val="18"/>
              <w:highlight w:val="none"/>
            </w:rPr>
            <w:instrText xml:space="preserve"> HYPERLINK \l _Toc361 </w:instrText>
          </w:r>
          <w:r>
            <w:rPr>
              <w:rFonts w:hint="default" w:ascii="Times New Roman" w:hAnsi="Times New Roman" w:eastAsia="宋体" w:cs="Times New Roman"/>
              <w:sz w:val="18"/>
              <w:szCs w:val="18"/>
              <w:highlight w:val="none"/>
            </w:rPr>
            <w:fldChar w:fldCharType="separate"/>
          </w:r>
          <w:r>
            <w:rPr>
              <w:rFonts w:hint="default" w:ascii="Times New Roman" w:hAnsi="Times New Roman" w:eastAsia="宋体" w:cs="Times New Roman"/>
              <w:sz w:val="18"/>
              <w:szCs w:val="18"/>
              <w:highlight w:val="none"/>
            </w:rPr>
            <w:t>2.1</w:t>
          </w:r>
          <w:r>
            <w:rPr>
              <w:rFonts w:hint="eastAsia" w:ascii="Times New Roman" w:hAnsi="Times New Roman" w:eastAsia="宋体" w:cs="Times New Roman"/>
              <w:sz w:val="18"/>
              <w:szCs w:val="18"/>
              <w:highlight w:val="none"/>
              <w:lang w:val="en-US" w:eastAsia="zh-CN"/>
            </w:rPr>
            <w:t xml:space="preserve">  </w:t>
          </w:r>
          <w:r>
            <w:rPr>
              <w:rFonts w:hint="default" w:ascii="Times New Roman" w:hAnsi="Times New Roman" w:eastAsia="宋体" w:cs="Times New Roman"/>
              <w:sz w:val="18"/>
              <w:szCs w:val="18"/>
              <w:highlight w:val="none"/>
            </w:rPr>
            <w:t>术语</w:t>
          </w:r>
          <w:r>
            <w:rPr>
              <w:rFonts w:hint="default" w:ascii="Times New Roman" w:hAnsi="Times New Roman" w:eastAsia="宋体" w:cs="Times New Roman"/>
              <w:sz w:val="18"/>
              <w:szCs w:val="18"/>
              <w:highlight w:val="none"/>
            </w:rPr>
            <w:tab/>
          </w:r>
          <w:r>
            <w:rPr>
              <w:rFonts w:hint="default" w:ascii="Times New Roman" w:hAnsi="Times New Roman" w:eastAsia="宋体" w:cs="Times New Roman"/>
              <w:sz w:val="18"/>
              <w:szCs w:val="18"/>
              <w:highlight w:val="none"/>
            </w:rPr>
            <w:fldChar w:fldCharType="begin"/>
          </w:r>
          <w:r>
            <w:rPr>
              <w:rFonts w:hint="default" w:ascii="Times New Roman" w:hAnsi="Times New Roman" w:eastAsia="宋体" w:cs="Times New Roman"/>
              <w:sz w:val="18"/>
              <w:szCs w:val="18"/>
              <w:highlight w:val="none"/>
            </w:rPr>
            <w:instrText xml:space="preserve"> PAGEREF _Toc361 \h </w:instrText>
          </w:r>
          <w:r>
            <w:rPr>
              <w:rFonts w:hint="default" w:ascii="Times New Roman" w:hAnsi="Times New Roman" w:eastAsia="宋体" w:cs="Times New Roman"/>
              <w:sz w:val="18"/>
              <w:szCs w:val="18"/>
              <w:highlight w:val="none"/>
            </w:rPr>
            <w:fldChar w:fldCharType="separate"/>
          </w:r>
          <w:r>
            <w:rPr>
              <w:rFonts w:hint="default" w:ascii="Times New Roman" w:hAnsi="Times New Roman" w:eastAsia="宋体" w:cs="Times New Roman"/>
              <w:sz w:val="18"/>
              <w:szCs w:val="18"/>
              <w:highlight w:val="none"/>
            </w:rPr>
            <w:t>2</w:t>
          </w:r>
          <w:r>
            <w:rPr>
              <w:rFonts w:hint="default" w:ascii="Times New Roman" w:hAnsi="Times New Roman" w:eastAsia="宋体" w:cs="Times New Roman"/>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1D32FDED">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_Toc13503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2.2</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符号</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_Toc13503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6</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6392A313">
          <w:pPr>
            <w:pStyle w:val="17"/>
            <w:tabs>
              <w:tab w:val="right" w:leader="dot" w:pos="5919"/>
              <w:tab w:val="clear" w:pos="1050"/>
              <w:tab w:val="clear" w:pos="13948"/>
            </w:tabs>
            <w:rPr>
              <w:rFonts w:hint="default" w:ascii="Times New Roman" w:hAnsi="Times New Roman" w:eastAsia="宋体" w:cs="Times New Roman"/>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szCs w:val="28"/>
              <w:highlight w:val="none"/>
            </w:rPr>
            <w:instrText xml:space="preserve"> HYPERLINK \l _Toc6380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highlight w:val="none"/>
            </w:rPr>
            <w:t>3</w:t>
          </w:r>
          <w:r>
            <w:rPr>
              <w:rFonts w:hint="eastAsia" w:ascii="Times New Roman" w:hAnsi="Times New Roman" w:eastAsia="宋体" w:cs="Times New Roman"/>
              <w:szCs w:val="28"/>
              <w:highlight w:val="none"/>
              <w:lang w:val="en-US" w:eastAsia="zh-CN"/>
            </w:rPr>
            <w:t xml:space="preserve">  </w:t>
          </w:r>
          <w:r>
            <w:rPr>
              <w:rFonts w:hint="default" w:ascii="Times New Roman" w:hAnsi="Times New Roman" w:eastAsia="宋体" w:cs="Times New Roman"/>
              <w:szCs w:val="28"/>
              <w:highlight w:val="none"/>
            </w:rPr>
            <w:t>基本规定</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_Toc6380 \h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8</w:t>
          </w:r>
          <w:r>
            <w:rPr>
              <w:rFonts w:hint="default" w:ascii="Times New Roman" w:hAnsi="Times New Roman" w:eastAsia="宋体" w:cs="Times New Roman"/>
              <w:highlight w:val="none"/>
            </w:rPr>
            <w:fldChar w:fldCharType="end"/>
          </w:r>
          <w:r>
            <w:rPr>
              <w:rFonts w:hint="default" w:ascii="Times New Roman" w:hAnsi="Times New Roman" w:eastAsia="宋体" w:cs="Times New Roman"/>
              <w:color w:val="auto"/>
              <w:szCs w:val="28"/>
              <w:highlight w:val="none"/>
            </w:rPr>
            <w:fldChar w:fldCharType="end"/>
          </w:r>
        </w:p>
        <w:p w14:paraId="5580B79D">
          <w:pPr>
            <w:pStyle w:val="17"/>
            <w:tabs>
              <w:tab w:val="right" w:leader="dot" w:pos="5919"/>
              <w:tab w:val="clear" w:pos="1050"/>
              <w:tab w:val="clear" w:pos="13948"/>
            </w:tabs>
            <w:rPr>
              <w:rFonts w:hint="default" w:ascii="Times New Roman" w:hAnsi="Times New Roman" w:eastAsia="宋体" w:cs="Times New Roman"/>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szCs w:val="28"/>
              <w:highlight w:val="none"/>
            </w:rPr>
            <w:instrText xml:space="preserve"> HYPERLINK \l _Toc4041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highlight w:val="none"/>
            </w:rPr>
            <w:t>4</w:t>
          </w:r>
          <w:r>
            <w:rPr>
              <w:rFonts w:hint="eastAsia" w:ascii="Times New Roman" w:hAnsi="Times New Roman" w:eastAsia="宋体" w:cs="Times New Roman"/>
              <w:szCs w:val="28"/>
              <w:highlight w:val="none"/>
              <w:lang w:val="en-US" w:eastAsia="zh-CN"/>
            </w:rPr>
            <w:t xml:space="preserve">  </w:t>
          </w:r>
          <w:r>
            <w:rPr>
              <w:rFonts w:hint="default" w:ascii="Times New Roman" w:hAnsi="Times New Roman" w:eastAsia="宋体" w:cs="Times New Roman"/>
              <w:szCs w:val="28"/>
              <w:highlight w:val="none"/>
            </w:rPr>
            <w:t>材料</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_Toc4041 \h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10</w:t>
          </w:r>
          <w:r>
            <w:rPr>
              <w:rFonts w:hint="default" w:ascii="Times New Roman" w:hAnsi="Times New Roman" w:eastAsia="宋体" w:cs="Times New Roman"/>
              <w:highlight w:val="none"/>
            </w:rPr>
            <w:fldChar w:fldCharType="end"/>
          </w:r>
          <w:r>
            <w:rPr>
              <w:rFonts w:hint="default" w:ascii="Times New Roman" w:hAnsi="Times New Roman" w:eastAsia="宋体" w:cs="Times New Roman"/>
              <w:color w:val="auto"/>
              <w:szCs w:val="28"/>
              <w:highlight w:val="none"/>
            </w:rPr>
            <w:fldChar w:fldCharType="end"/>
          </w:r>
        </w:p>
        <w:p w14:paraId="4B5DE699">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_Toc10039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4.1</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结构材料</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_Toc10039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10</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44B45672">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_Toc31309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4.2</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装饰装修材料</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_Toc31309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14</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3A93A82D">
          <w:pPr>
            <w:pStyle w:val="20"/>
            <w:tabs>
              <w:tab w:val="right" w:leader="dot" w:pos="5919"/>
            </w:tabs>
            <w:rPr>
              <w:rFonts w:hint="default" w:ascii="Times New Roman" w:hAnsi="Times New Roman" w:eastAsia="宋体" w:cs="Times New Roman"/>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_Toc19605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4.3</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其他材料</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_Toc19605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15</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7B9170F9">
          <w:pPr>
            <w:pStyle w:val="17"/>
            <w:tabs>
              <w:tab w:val="right" w:leader="dot" w:pos="5919"/>
              <w:tab w:val="clear" w:pos="1050"/>
              <w:tab w:val="clear" w:pos="13948"/>
            </w:tabs>
            <w:rPr>
              <w:rFonts w:hint="default" w:ascii="Times New Roman" w:hAnsi="Times New Roman" w:eastAsia="宋体" w:cs="Times New Roman"/>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szCs w:val="28"/>
              <w:highlight w:val="none"/>
            </w:rPr>
            <w:instrText xml:space="preserve"> HYPERLINK \l _Toc27666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highlight w:val="none"/>
            </w:rPr>
            <w:t>5</w:t>
          </w:r>
          <w:r>
            <w:rPr>
              <w:rFonts w:hint="eastAsia" w:ascii="Times New Roman" w:hAnsi="Times New Roman" w:eastAsia="宋体" w:cs="Times New Roman"/>
              <w:szCs w:val="28"/>
              <w:highlight w:val="none"/>
              <w:lang w:val="en-US" w:eastAsia="zh-CN"/>
            </w:rPr>
            <w:t xml:space="preserve">  </w:t>
          </w:r>
          <w:r>
            <w:rPr>
              <w:rFonts w:hint="default" w:ascii="Times New Roman" w:hAnsi="Times New Roman" w:eastAsia="宋体" w:cs="Times New Roman"/>
              <w:szCs w:val="28"/>
              <w:highlight w:val="none"/>
            </w:rPr>
            <w:t>建筑设计</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_Toc27666 \h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17</w:t>
          </w:r>
          <w:r>
            <w:rPr>
              <w:rFonts w:hint="default" w:ascii="Times New Roman" w:hAnsi="Times New Roman" w:eastAsia="宋体" w:cs="Times New Roman"/>
              <w:highlight w:val="none"/>
            </w:rPr>
            <w:fldChar w:fldCharType="end"/>
          </w:r>
          <w:r>
            <w:rPr>
              <w:rFonts w:hint="default" w:ascii="Times New Roman" w:hAnsi="Times New Roman" w:eastAsia="宋体" w:cs="Times New Roman"/>
              <w:color w:val="auto"/>
              <w:szCs w:val="28"/>
              <w:highlight w:val="none"/>
            </w:rPr>
            <w:fldChar w:fldCharType="end"/>
          </w:r>
        </w:p>
        <w:p w14:paraId="23981E64">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_Toc8144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5.1</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一般规定</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_Toc8144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17</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57240A63">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_Toc3685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5.2</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系统集成设计</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_Toc3685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18</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6D7E3026">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_Toc9192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5.3</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平面设计</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_Toc9192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20</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16912956">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_Toc911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5.4</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立面设计</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_Toc911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21</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4BB40EF9">
          <w:pPr>
            <w:pStyle w:val="20"/>
            <w:tabs>
              <w:tab w:val="right" w:leader="dot" w:pos="5919"/>
            </w:tabs>
            <w:rPr>
              <w:rFonts w:hint="default" w:ascii="Times New Roman" w:hAnsi="Times New Roman" w:eastAsia="宋体" w:cs="Times New Roman"/>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_Toc30780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5.5</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建筑构造</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_Toc30780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22</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525A76FC">
          <w:pPr>
            <w:pStyle w:val="17"/>
            <w:tabs>
              <w:tab w:val="right" w:leader="dot" w:pos="5919"/>
              <w:tab w:val="clear" w:pos="1050"/>
              <w:tab w:val="clear" w:pos="13948"/>
            </w:tabs>
            <w:rPr>
              <w:rFonts w:hint="default" w:ascii="Times New Roman" w:hAnsi="Times New Roman" w:eastAsia="宋体" w:cs="Times New Roman"/>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szCs w:val="28"/>
              <w:highlight w:val="none"/>
            </w:rPr>
            <w:instrText xml:space="preserve"> HYPERLINK \l _Toc17085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highlight w:val="none"/>
            </w:rPr>
            <w:t>6</w:t>
          </w:r>
          <w:r>
            <w:rPr>
              <w:rFonts w:hint="eastAsia" w:ascii="Times New Roman" w:hAnsi="Times New Roman" w:eastAsia="宋体" w:cs="Times New Roman"/>
              <w:szCs w:val="28"/>
              <w:highlight w:val="none"/>
              <w:lang w:val="en-US" w:eastAsia="zh-CN"/>
            </w:rPr>
            <w:t xml:space="preserve">  </w:t>
          </w:r>
          <w:r>
            <w:rPr>
              <w:rFonts w:hint="default" w:ascii="Times New Roman" w:hAnsi="Times New Roman" w:eastAsia="宋体" w:cs="Times New Roman"/>
              <w:szCs w:val="28"/>
              <w:highlight w:val="none"/>
            </w:rPr>
            <w:t>结构设计</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_Toc17085 \h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27</w:t>
          </w:r>
          <w:r>
            <w:rPr>
              <w:rFonts w:hint="default" w:ascii="Times New Roman" w:hAnsi="Times New Roman" w:eastAsia="宋体" w:cs="Times New Roman"/>
              <w:highlight w:val="none"/>
            </w:rPr>
            <w:fldChar w:fldCharType="end"/>
          </w:r>
          <w:r>
            <w:rPr>
              <w:rFonts w:hint="default" w:ascii="Times New Roman" w:hAnsi="Times New Roman" w:eastAsia="宋体" w:cs="Times New Roman"/>
              <w:color w:val="auto"/>
              <w:szCs w:val="28"/>
              <w:highlight w:val="none"/>
            </w:rPr>
            <w:fldChar w:fldCharType="end"/>
          </w:r>
        </w:p>
        <w:p w14:paraId="3EF3527D">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_Toc32588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6.1</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一般规定</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_Toc32588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27</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087F34DB">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_Toc29784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6.2</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结构布置</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_Toc29784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31</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4E617FE6">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_Toc22590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6.3</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结构分析</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_Toc22590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34</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4E1A6B27">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_Toc23003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6.</w:t>
          </w:r>
          <w:r>
            <w:rPr>
              <w:rFonts w:hint="default" w:ascii="Times New Roman" w:hAnsi="Times New Roman" w:eastAsia="宋体" w:cs="Times New Roman"/>
              <w:color w:val="auto"/>
              <w:sz w:val="18"/>
              <w:szCs w:val="18"/>
              <w:highlight w:val="none"/>
              <w:lang w:val="en-US" w:eastAsia="zh-CN"/>
            </w:rPr>
            <w:t>4</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模块构件及连接设计</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_Toc23003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38</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0750686E">
          <w:pPr>
            <w:pStyle w:val="20"/>
            <w:tabs>
              <w:tab w:val="right" w:leader="dot" w:pos="5919"/>
            </w:tabs>
            <w:rPr>
              <w:rFonts w:hint="default" w:ascii="Times New Roman" w:hAnsi="Times New Roman" w:eastAsia="宋体" w:cs="Times New Roman"/>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_Toc26029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6.</w:t>
          </w:r>
          <w:r>
            <w:rPr>
              <w:rFonts w:hint="default" w:ascii="Times New Roman" w:hAnsi="Times New Roman" w:eastAsia="宋体" w:cs="Times New Roman"/>
              <w:color w:val="auto"/>
              <w:sz w:val="18"/>
              <w:szCs w:val="18"/>
              <w:highlight w:val="none"/>
              <w:lang w:val="en-US" w:eastAsia="zh-CN"/>
            </w:rPr>
            <w:t>5</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模块单元结构设计</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_Toc26029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46</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62A1357B">
          <w:pPr>
            <w:pStyle w:val="17"/>
            <w:tabs>
              <w:tab w:val="right" w:leader="dot" w:pos="5919"/>
              <w:tab w:val="clear" w:pos="1050"/>
              <w:tab w:val="clear" w:pos="13948"/>
            </w:tabs>
            <w:rPr>
              <w:rFonts w:hint="default" w:ascii="Times New Roman" w:hAnsi="Times New Roman" w:eastAsia="宋体" w:cs="Times New Roman"/>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szCs w:val="28"/>
              <w:highlight w:val="none"/>
            </w:rPr>
            <w:instrText xml:space="preserve"> HYPERLINK \l _Toc20221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highlight w:val="none"/>
            </w:rPr>
            <w:t>7</w:t>
          </w:r>
          <w:r>
            <w:rPr>
              <w:rFonts w:hint="eastAsia" w:ascii="Times New Roman" w:hAnsi="Times New Roman" w:eastAsia="宋体" w:cs="Times New Roman"/>
              <w:szCs w:val="28"/>
              <w:highlight w:val="none"/>
              <w:lang w:val="en-US" w:eastAsia="zh-CN"/>
            </w:rPr>
            <w:t xml:space="preserve">  </w:t>
          </w:r>
          <w:r>
            <w:rPr>
              <w:rFonts w:hint="default" w:ascii="Times New Roman" w:hAnsi="Times New Roman" w:eastAsia="宋体" w:cs="Times New Roman"/>
              <w:szCs w:val="28"/>
              <w:highlight w:val="none"/>
            </w:rPr>
            <w:t>设备管线与内装系统设计</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_Toc20221 \h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51</w:t>
          </w:r>
          <w:r>
            <w:rPr>
              <w:rFonts w:hint="default" w:ascii="Times New Roman" w:hAnsi="Times New Roman" w:eastAsia="宋体" w:cs="Times New Roman"/>
              <w:highlight w:val="none"/>
            </w:rPr>
            <w:fldChar w:fldCharType="end"/>
          </w:r>
          <w:r>
            <w:rPr>
              <w:rFonts w:hint="default" w:ascii="Times New Roman" w:hAnsi="Times New Roman" w:eastAsia="宋体" w:cs="Times New Roman"/>
              <w:color w:val="auto"/>
              <w:szCs w:val="28"/>
              <w:highlight w:val="none"/>
            </w:rPr>
            <w:fldChar w:fldCharType="end"/>
          </w:r>
        </w:p>
        <w:p w14:paraId="0335EDE0">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_Toc23745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7.1</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一般规定</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_Toc23745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51</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434C49F0">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_Toc16938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7.2</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给水排水系统</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_Toc16938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52</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73D2A527">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_Toc16292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7.3</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通风、空调及燃气系统</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_Toc16292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53</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33105A4B">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_Toc17260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7.4</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电气系统</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_Toc17260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54</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6570ECE8">
          <w:pPr>
            <w:pStyle w:val="20"/>
            <w:tabs>
              <w:tab w:val="right" w:leader="dot" w:pos="5919"/>
            </w:tabs>
            <w:rPr>
              <w:rFonts w:hint="default" w:ascii="Times New Roman" w:hAnsi="Times New Roman" w:eastAsia="宋体" w:cs="Times New Roman"/>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_Toc9609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7.5</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内装系统</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_Toc9609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56</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7C7D7546">
          <w:pPr>
            <w:pStyle w:val="17"/>
            <w:tabs>
              <w:tab w:val="right" w:leader="dot" w:pos="5919"/>
              <w:tab w:val="clear" w:pos="1050"/>
              <w:tab w:val="clear" w:pos="13948"/>
            </w:tabs>
            <w:rPr>
              <w:rFonts w:hint="default" w:ascii="Times New Roman" w:hAnsi="Times New Roman" w:eastAsia="宋体" w:cs="Times New Roman"/>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szCs w:val="28"/>
              <w:highlight w:val="none"/>
            </w:rPr>
            <w:instrText xml:space="preserve"> HYPERLINK \l _Toc450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highlight w:val="none"/>
            </w:rPr>
            <w:t>8</w:t>
          </w:r>
          <w:r>
            <w:rPr>
              <w:rFonts w:hint="eastAsia" w:ascii="Times New Roman" w:hAnsi="Times New Roman" w:eastAsia="宋体" w:cs="Times New Roman"/>
              <w:szCs w:val="28"/>
              <w:highlight w:val="none"/>
              <w:lang w:val="en-US" w:eastAsia="zh-CN"/>
            </w:rPr>
            <w:t xml:space="preserve">  </w:t>
          </w:r>
          <w:r>
            <w:rPr>
              <w:rFonts w:hint="default" w:ascii="Times New Roman" w:hAnsi="Times New Roman" w:eastAsia="宋体" w:cs="Times New Roman"/>
              <w:szCs w:val="28"/>
              <w:highlight w:val="none"/>
            </w:rPr>
            <w:t>模块单元生产与运输</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_Toc450 \h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60</w:t>
          </w:r>
          <w:r>
            <w:rPr>
              <w:rFonts w:hint="default" w:ascii="Times New Roman" w:hAnsi="Times New Roman" w:eastAsia="宋体" w:cs="Times New Roman"/>
              <w:highlight w:val="none"/>
            </w:rPr>
            <w:fldChar w:fldCharType="end"/>
          </w:r>
          <w:r>
            <w:rPr>
              <w:rFonts w:hint="default" w:ascii="Times New Roman" w:hAnsi="Times New Roman" w:eastAsia="宋体" w:cs="Times New Roman"/>
              <w:color w:val="auto"/>
              <w:szCs w:val="28"/>
              <w:highlight w:val="none"/>
            </w:rPr>
            <w:fldChar w:fldCharType="end"/>
          </w:r>
        </w:p>
        <w:p w14:paraId="06BFC4FA">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_Toc17565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8.1</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一般规定</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_Toc17565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60</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001A7640">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_Toc6123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8.</w:t>
          </w:r>
          <w:r>
            <w:rPr>
              <w:rFonts w:hint="default" w:ascii="Times New Roman" w:hAnsi="Times New Roman" w:eastAsia="宋体" w:cs="Times New Roman"/>
              <w:color w:val="auto"/>
              <w:sz w:val="18"/>
              <w:szCs w:val="18"/>
              <w:highlight w:val="none"/>
              <w:lang w:val="en-US" w:eastAsia="zh-CN"/>
            </w:rPr>
            <w:t>2</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模具</w:t>
          </w:r>
          <w:r>
            <w:rPr>
              <w:rFonts w:hint="default" w:ascii="Times New Roman" w:hAnsi="Times New Roman" w:eastAsia="宋体" w:cs="Times New Roman"/>
              <w:color w:val="auto"/>
              <w:sz w:val="18"/>
              <w:szCs w:val="18"/>
              <w:highlight w:val="none"/>
              <w:lang w:val="en-US" w:eastAsia="zh-CN"/>
            </w:rPr>
            <w:t>及预埋件</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_Toc6123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61</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2A59A476">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_Toc10314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8.</w:t>
          </w:r>
          <w:r>
            <w:rPr>
              <w:rFonts w:hint="default" w:ascii="Times New Roman" w:hAnsi="Times New Roman" w:eastAsia="宋体" w:cs="Times New Roman"/>
              <w:color w:val="auto"/>
              <w:sz w:val="18"/>
              <w:szCs w:val="18"/>
              <w:highlight w:val="none"/>
              <w:lang w:val="en-US" w:eastAsia="zh-CN"/>
            </w:rPr>
            <w:t>3</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钢筋</w:t>
          </w:r>
          <w:r>
            <w:rPr>
              <w:rFonts w:hint="default" w:ascii="Times New Roman" w:hAnsi="Times New Roman" w:eastAsia="宋体" w:cs="Times New Roman"/>
              <w:color w:val="auto"/>
              <w:sz w:val="18"/>
              <w:szCs w:val="18"/>
              <w:highlight w:val="none"/>
              <w:lang w:val="en-US" w:eastAsia="zh-CN"/>
            </w:rPr>
            <w:t>加工及安装</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_Toc10314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64</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259B3A0F">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_Toc17093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8.</w:t>
          </w:r>
          <w:r>
            <w:rPr>
              <w:rFonts w:hint="default" w:ascii="Times New Roman" w:hAnsi="Times New Roman" w:eastAsia="宋体" w:cs="Times New Roman"/>
              <w:color w:val="auto"/>
              <w:sz w:val="18"/>
              <w:szCs w:val="18"/>
              <w:highlight w:val="none"/>
              <w:lang w:val="en-US" w:eastAsia="zh-CN"/>
            </w:rPr>
            <w:t>4</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成型、养护及脱模</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_Toc17093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66</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1C01ADA5">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_Toc23156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8.</w:t>
          </w:r>
          <w:r>
            <w:rPr>
              <w:rFonts w:hint="default" w:ascii="Times New Roman" w:hAnsi="Times New Roman" w:eastAsia="宋体" w:cs="Times New Roman"/>
              <w:color w:val="auto"/>
              <w:sz w:val="18"/>
              <w:szCs w:val="18"/>
              <w:highlight w:val="none"/>
              <w:lang w:val="en-US" w:eastAsia="zh-CN"/>
            </w:rPr>
            <w:t>5</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设备管线安装及装修</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_Toc23156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67</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4CDAA5F1">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_Toc28086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8.</w:t>
          </w:r>
          <w:r>
            <w:rPr>
              <w:rFonts w:hint="default" w:ascii="Times New Roman" w:hAnsi="Times New Roman" w:eastAsia="宋体" w:cs="Times New Roman"/>
              <w:color w:val="auto"/>
              <w:sz w:val="18"/>
              <w:szCs w:val="18"/>
              <w:highlight w:val="none"/>
              <w:lang w:val="en-US" w:eastAsia="zh-CN"/>
            </w:rPr>
            <w:t>6</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模块单元检验</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_Toc28086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69</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729DE384">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_Toc13808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8.</w:t>
          </w:r>
          <w:r>
            <w:rPr>
              <w:rFonts w:hint="default" w:ascii="Times New Roman" w:hAnsi="Times New Roman" w:eastAsia="宋体" w:cs="Times New Roman"/>
              <w:color w:val="auto"/>
              <w:sz w:val="18"/>
              <w:szCs w:val="18"/>
              <w:highlight w:val="none"/>
              <w:lang w:val="en-US" w:eastAsia="zh-CN"/>
            </w:rPr>
            <w:t>7</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吊</w:t>
          </w:r>
          <w:r>
            <w:rPr>
              <w:rFonts w:hint="default" w:ascii="Times New Roman" w:hAnsi="Times New Roman" w:eastAsia="宋体" w:cs="Times New Roman"/>
              <w:color w:val="auto"/>
              <w:sz w:val="18"/>
              <w:szCs w:val="18"/>
              <w:highlight w:val="none"/>
              <w:lang w:val="en-US" w:eastAsia="zh-CN"/>
            </w:rPr>
            <w:t>运</w:t>
          </w:r>
          <w:r>
            <w:rPr>
              <w:rFonts w:hint="default" w:ascii="Times New Roman" w:hAnsi="Times New Roman" w:eastAsia="宋体" w:cs="Times New Roman"/>
              <w:color w:val="auto"/>
              <w:sz w:val="18"/>
              <w:szCs w:val="18"/>
              <w:highlight w:val="none"/>
            </w:rPr>
            <w:t>、存放</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保护</w:t>
          </w:r>
          <w:r>
            <w:rPr>
              <w:rFonts w:hint="default" w:ascii="Times New Roman" w:hAnsi="Times New Roman" w:eastAsia="宋体" w:cs="Times New Roman"/>
              <w:color w:val="auto"/>
              <w:sz w:val="18"/>
              <w:szCs w:val="18"/>
              <w:highlight w:val="none"/>
            </w:rPr>
            <w:t>及运输</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_Toc13808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78</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1BB3BA3F">
          <w:pPr>
            <w:pStyle w:val="20"/>
            <w:tabs>
              <w:tab w:val="right" w:leader="dot" w:pos="5919"/>
            </w:tabs>
            <w:rPr>
              <w:rFonts w:hint="default" w:ascii="Times New Roman" w:hAnsi="Times New Roman" w:eastAsia="宋体" w:cs="Times New Roman"/>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_Toc25710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8.</w:t>
          </w:r>
          <w:r>
            <w:rPr>
              <w:rFonts w:hint="default" w:ascii="Times New Roman" w:hAnsi="Times New Roman" w:eastAsia="宋体" w:cs="Times New Roman"/>
              <w:color w:val="auto"/>
              <w:sz w:val="18"/>
              <w:szCs w:val="18"/>
              <w:highlight w:val="none"/>
              <w:lang w:val="en-US" w:eastAsia="zh-CN"/>
            </w:rPr>
            <w:t>8</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lang w:val="en-US" w:eastAsia="zh-CN"/>
            </w:rPr>
            <w:t>资料及交付</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_Toc25710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80</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6147EBC2">
          <w:pPr>
            <w:pStyle w:val="17"/>
            <w:tabs>
              <w:tab w:val="right" w:leader="dot" w:pos="5919"/>
              <w:tab w:val="clear" w:pos="1050"/>
              <w:tab w:val="clear" w:pos="13948"/>
            </w:tabs>
            <w:rPr>
              <w:rFonts w:hint="default" w:ascii="Times New Roman" w:hAnsi="Times New Roman" w:eastAsia="宋体" w:cs="Times New Roman"/>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szCs w:val="28"/>
              <w:highlight w:val="none"/>
            </w:rPr>
            <w:instrText xml:space="preserve"> HYPERLINK \l _Toc23522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highlight w:val="none"/>
            </w:rPr>
            <w:t>9</w:t>
          </w:r>
          <w:r>
            <w:rPr>
              <w:rFonts w:hint="eastAsia" w:ascii="Times New Roman" w:hAnsi="Times New Roman" w:eastAsia="宋体" w:cs="Times New Roman"/>
              <w:szCs w:val="28"/>
              <w:highlight w:val="none"/>
              <w:lang w:val="en-US" w:eastAsia="zh-CN"/>
            </w:rPr>
            <w:t xml:space="preserve">  </w:t>
          </w:r>
          <w:r>
            <w:rPr>
              <w:rFonts w:hint="default" w:ascii="Times New Roman" w:hAnsi="Times New Roman" w:eastAsia="宋体" w:cs="Times New Roman"/>
              <w:szCs w:val="28"/>
              <w:highlight w:val="none"/>
            </w:rPr>
            <w:t>施工安装</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_Toc23522 \h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82</w:t>
          </w:r>
          <w:r>
            <w:rPr>
              <w:rFonts w:hint="default" w:ascii="Times New Roman" w:hAnsi="Times New Roman" w:eastAsia="宋体" w:cs="Times New Roman"/>
              <w:highlight w:val="none"/>
            </w:rPr>
            <w:fldChar w:fldCharType="end"/>
          </w:r>
          <w:r>
            <w:rPr>
              <w:rFonts w:hint="default" w:ascii="Times New Roman" w:hAnsi="Times New Roman" w:eastAsia="宋体" w:cs="Times New Roman"/>
              <w:color w:val="auto"/>
              <w:szCs w:val="28"/>
              <w:highlight w:val="none"/>
            </w:rPr>
            <w:fldChar w:fldCharType="end"/>
          </w:r>
        </w:p>
        <w:p w14:paraId="5B758993">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_Toc25454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9.1</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一般规定</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_Toc25454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82</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68363FDD">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_Toc24327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9.2</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施工准备</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_Toc24327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83</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60428B05">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_Toc25011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9.3</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模块安装</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_Toc25011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84</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3453D778">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_Toc13495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9.4</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模块连接</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_Toc13495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86</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7DCC2B83">
          <w:pPr>
            <w:pStyle w:val="20"/>
            <w:tabs>
              <w:tab w:val="right" w:leader="dot" w:pos="5919"/>
            </w:tabs>
            <w:rPr>
              <w:rFonts w:hint="default" w:ascii="Times New Roman" w:hAnsi="Times New Roman" w:eastAsia="宋体" w:cs="Times New Roman"/>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_Toc14404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9.5</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施工安全与环境保护</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_Toc14404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87</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227E2C66">
          <w:pPr>
            <w:pStyle w:val="17"/>
            <w:tabs>
              <w:tab w:val="right" w:leader="dot" w:pos="5919"/>
              <w:tab w:val="clear" w:pos="1050"/>
              <w:tab w:val="clear" w:pos="13948"/>
            </w:tabs>
            <w:rPr>
              <w:rFonts w:hint="default" w:ascii="Times New Roman" w:hAnsi="Times New Roman" w:eastAsia="宋体" w:cs="Times New Roman"/>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szCs w:val="28"/>
              <w:highlight w:val="none"/>
            </w:rPr>
            <w:instrText xml:space="preserve"> HYPERLINK \l _Toc20162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highlight w:val="none"/>
            </w:rPr>
            <w:t>10质量验收</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_Toc20162 \h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90</w:t>
          </w:r>
          <w:r>
            <w:rPr>
              <w:rFonts w:hint="default" w:ascii="Times New Roman" w:hAnsi="Times New Roman" w:eastAsia="宋体" w:cs="Times New Roman"/>
              <w:highlight w:val="none"/>
            </w:rPr>
            <w:fldChar w:fldCharType="end"/>
          </w:r>
          <w:r>
            <w:rPr>
              <w:rFonts w:hint="default" w:ascii="Times New Roman" w:hAnsi="Times New Roman" w:eastAsia="宋体" w:cs="Times New Roman"/>
              <w:color w:val="auto"/>
              <w:szCs w:val="28"/>
              <w:highlight w:val="none"/>
            </w:rPr>
            <w:fldChar w:fldCharType="end"/>
          </w:r>
        </w:p>
        <w:p w14:paraId="232D7BB0">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_Toc8969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10.1</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一般规定</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_Toc8969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90</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0420D955">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_Toc11617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10.2</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模块单元进场验收</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_Toc11617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93</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4580FFF7">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_Toc19841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10.3</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模块单元安装与连接</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_Toc19841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94</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5B8228DF">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_Toc29081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10.4</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设备管线安装</w:t>
          </w:r>
          <w:r>
            <w:rPr>
              <w:rFonts w:hint="default" w:ascii="Times New Roman" w:hAnsi="Times New Roman" w:eastAsia="宋体" w:cs="Times New Roman"/>
              <w:color w:val="auto"/>
              <w:sz w:val="18"/>
              <w:szCs w:val="18"/>
              <w:highlight w:val="none"/>
              <w:lang w:val="en-US" w:eastAsia="zh-CN"/>
            </w:rPr>
            <w:t>及内装</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_Toc29081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97</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4CF6C4FD">
          <w:pPr>
            <w:pStyle w:val="20"/>
            <w:tabs>
              <w:tab w:val="right" w:leader="dot" w:pos="5919"/>
            </w:tabs>
            <w:rPr>
              <w:rFonts w:hint="default" w:ascii="Times New Roman" w:hAnsi="Times New Roman" w:eastAsia="宋体" w:cs="Times New Roman"/>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_Toc29207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10.5</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实体检验</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_Toc29207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98</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48DBA186">
          <w:pPr>
            <w:pStyle w:val="17"/>
            <w:tabs>
              <w:tab w:val="right" w:leader="dot" w:pos="5919"/>
              <w:tab w:val="clear" w:pos="1050"/>
              <w:tab w:val="clear" w:pos="13948"/>
            </w:tabs>
            <w:rPr>
              <w:rFonts w:hint="default" w:ascii="Times New Roman" w:hAnsi="Times New Roman" w:eastAsia="宋体" w:cs="Times New Roman"/>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szCs w:val="28"/>
              <w:highlight w:val="none"/>
            </w:rPr>
            <w:instrText xml:space="preserve"> HYPERLINK \l _Toc31676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highlight w:val="none"/>
            </w:rPr>
            <w:t>11</w:t>
          </w:r>
          <w:r>
            <w:rPr>
              <w:rFonts w:hint="eastAsia" w:ascii="Times New Roman" w:hAnsi="Times New Roman" w:eastAsia="宋体" w:cs="Times New Roman"/>
              <w:szCs w:val="28"/>
              <w:highlight w:val="none"/>
              <w:lang w:val="en-US" w:eastAsia="zh-CN"/>
            </w:rPr>
            <w:t xml:space="preserve">  </w:t>
          </w:r>
          <w:r>
            <w:rPr>
              <w:rFonts w:hint="default" w:ascii="Times New Roman" w:hAnsi="Times New Roman" w:eastAsia="宋体" w:cs="Times New Roman"/>
              <w:szCs w:val="28"/>
              <w:highlight w:val="none"/>
            </w:rPr>
            <w:t>智能建造与运维</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_Toc31676 \h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99</w:t>
          </w:r>
          <w:r>
            <w:rPr>
              <w:rFonts w:hint="default" w:ascii="Times New Roman" w:hAnsi="Times New Roman" w:eastAsia="宋体" w:cs="Times New Roman"/>
              <w:highlight w:val="none"/>
            </w:rPr>
            <w:fldChar w:fldCharType="end"/>
          </w:r>
          <w:r>
            <w:rPr>
              <w:rFonts w:hint="default" w:ascii="Times New Roman" w:hAnsi="Times New Roman" w:eastAsia="宋体" w:cs="Times New Roman"/>
              <w:color w:val="auto"/>
              <w:szCs w:val="28"/>
              <w:highlight w:val="none"/>
            </w:rPr>
            <w:fldChar w:fldCharType="end"/>
          </w:r>
        </w:p>
        <w:p w14:paraId="06C7DD95">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_Toc2335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11.1</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一般规定</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_Toc2335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99</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7E3DAC0D">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_Toc16110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11.2</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建筑信息模型</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_Toc16110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99</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7684EEF4">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_Toc11464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11.3</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智能化生产和运输</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_Toc11464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100</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02F93613">
          <w:pPr>
            <w:pStyle w:val="20"/>
            <w:tabs>
              <w:tab w:val="right" w:leader="dot" w:pos="5919"/>
            </w:tabs>
            <w:rPr>
              <w:rFonts w:hint="default" w:ascii="Times New Roman" w:hAnsi="Times New Roman" w:eastAsia="宋体" w:cs="Times New Roman"/>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_Toc31193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11.4</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数字化施工</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_Toc31193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100</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7BDE217C">
          <w:pPr>
            <w:pStyle w:val="17"/>
            <w:tabs>
              <w:tab w:val="right" w:leader="dot" w:pos="5919"/>
              <w:tab w:val="clear" w:pos="1050"/>
              <w:tab w:val="clear" w:pos="13948"/>
            </w:tabs>
            <w:rPr>
              <w:rFonts w:hint="default" w:ascii="Times New Roman" w:hAnsi="Times New Roman" w:eastAsia="宋体" w:cs="Times New Roman"/>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szCs w:val="28"/>
              <w:highlight w:val="none"/>
            </w:rPr>
            <w:instrText xml:space="preserve"> HYPERLINK \l _Toc16767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highlight w:val="none"/>
            </w:rPr>
            <w:t>附录A</w:t>
          </w:r>
          <w:r>
            <w:rPr>
              <w:rFonts w:hint="eastAsia" w:ascii="Times New Roman" w:hAnsi="Times New Roman" w:eastAsia="宋体" w:cs="Times New Roman"/>
              <w:szCs w:val="28"/>
              <w:highlight w:val="none"/>
              <w:lang w:val="en-US" w:eastAsia="zh-CN"/>
            </w:rPr>
            <w:t xml:space="preserve">  </w:t>
          </w:r>
          <w:r>
            <w:rPr>
              <w:rFonts w:hint="default" w:ascii="Times New Roman" w:hAnsi="Times New Roman" w:eastAsia="宋体" w:cs="Times New Roman"/>
              <w:szCs w:val="28"/>
              <w:highlight w:val="none"/>
            </w:rPr>
            <w:t>模块单元装修质量检测报告</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_Toc16767 \h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102</w:t>
          </w:r>
          <w:r>
            <w:rPr>
              <w:rFonts w:hint="default" w:ascii="Times New Roman" w:hAnsi="Times New Roman" w:eastAsia="宋体" w:cs="Times New Roman"/>
              <w:highlight w:val="none"/>
            </w:rPr>
            <w:fldChar w:fldCharType="end"/>
          </w:r>
          <w:r>
            <w:rPr>
              <w:rFonts w:hint="default" w:ascii="Times New Roman" w:hAnsi="Times New Roman" w:eastAsia="宋体" w:cs="Times New Roman"/>
              <w:color w:val="auto"/>
              <w:szCs w:val="28"/>
              <w:highlight w:val="none"/>
            </w:rPr>
            <w:fldChar w:fldCharType="end"/>
          </w:r>
        </w:p>
        <w:p w14:paraId="0BC94678">
          <w:pPr>
            <w:pStyle w:val="17"/>
            <w:tabs>
              <w:tab w:val="right" w:leader="dot" w:pos="5919"/>
              <w:tab w:val="clear" w:pos="1050"/>
              <w:tab w:val="clear" w:pos="13948"/>
            </w:tabs>
            <w:rPr>
              <w:rFonts w:hint="default" w:ascii="Times New Roman" w:hAnsi="Times New Roman" w:eastAsia="宋体" w:cs="Times New Roman"/>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szCs w:val="28"/>
              <w:highlight w:val="none"/>
            </w:rPr>
            <w:instrText xml:space="preserve"> HYPERLINK \l _Toc17905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highlight w:val="none"/>
            </w:rPr>
            <w:t>附录</w:t>
          </w:r>
          <w:r>
            <w:rPr>
              <w:rFonts w:hint="default" w:ascii="Times New Roman" w:hAnsi="Times New Roman" w:eastAsia="宋体" w:cs="Times New Roman"/>
              <w:szCs w:val="28"/>
              <w:highlight w:val="none"/>
              <w:lang w:eastAsia="zh-CN"/>
            </w:rPr>
            <w:t>B</w:t>
          </w:r>
          <w:r>
            <w:rPr>
              <w:rFonts w:hint="eastAsia" w:ascii="Times New Roman" w:hAnsi="Times New Roman" w:eastAsia="宋体" w:cs="Times New Roman"/>
              <w:szCs w:val="28"/>
              <w:highlight w:val="none"/>
              <w:lang w:val="en-US" w:eastAsia="zh-CN"/>
            </w:rPr>
            <w:t xml:space="preserve">  </w:t>
          </w:r>
          <w:r>
            <w:rPr>
              <w:rFonts w:hint="default" w:ascii="Times New Roman" w:hAnsi="Times New Roman" w:eastAsia="宋体" w:cs="Times New Roman"/>
              <w:szCs w:val="28"/>
              <w:highlight w:val="none"/>
            </w:rPr>
            <w:t>模块单元吊装测试</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_Toc17905 \h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105</w:t>
          </w:r>
          <w:r>
            <w:rPr>
              <w:rFonts w:hint="default" w:ascii="Times New Roman" w:hAnsi="Times New Roman" w:eastAsia="宋体" w:cs="Times New Roman"/>
              <w:highlight w:val="none"/>
            </w:rPr>
            <w:fldChar w:fldCharType="end"/>
          </w:r>
          <w:r>
            <w:rPr>
              <w:rFonts w:hint="default" w:ascii="Times New Roman" w:hAnsi="Times New Roman" w:eastAsia="宋体" w:cs="Times New Roman"/>
              <w:color w:val="auto"/>
              <w:szCs w:val="28"/>
              <w:highlight w:val="none"/>
            </w:rPr>
            <w:fldChar w:fldCharType="end"/>
          </w:r>
        </w:p>
        <w:p w14:paraId="77C79CC2">
          <w:pPr>
            <w:pStyle w:val="17"/>
            <w:tabs>
              <w:tab w:val="right" w:leader="dot" w:pos="5919"/>
              <w:tab w:val="clear" w:pos="1050"/>
              <w:tab w:val="clear" w:pos="13948"/>
            </w:tabs>
            <w:rPr>
              <w:rFonts w:hint="default" w:ascii="Times New Roman" w:hAnsi="Times New Roman" w:eastAsia="宋体" w:cs="Times New Roman"/>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szCs w:val="28"/>
              <w:highlight w:val="none"/>
            </w:rPr>
            <w:instrText xml:space="preserve"> HYPERLINK \l _Toc11934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highlight w:val="none"/>
            </w:rPr>
            <w:t>附录</w:t>
          </w:r>
          <w:r>
            <w:rPr>
              <w:rFonts w:hint="default" w:ascii="Times New Roman" w:hAnsi="Times New Roman" w:eastAsia="宋体" w:cs="Times New Roman"/>
              <w:szCs w:val="28"/>
              <w:highlight w:val="none"/>
              <w:lang w:val="en-US" w:eastAsia="zh-CN"/>
            </w:rPr>
            <w:t>C</w:t>
          </w:r>
          <w:r>
            <w:rPr>
              <w:rFonts w:hint="eastAsia" w:ascii="Times New Roman" w:hAnsi="Times New Roman" w:eastAsia="宋体" w:cs="Times New Roman"/>
              <w:szCs w:val="28"/>
              <w:highlight w:val="none"/>
              <w:lang w:val="en-US" w:eastAsia="zh-CN"/>
            </w:rPr>
            <w:t xml:space="preserve">  </w:t>
          </w:r>
          <w:r>
            <w:rPr>
              <w:rFonts w:hint="default" w:ascii="Times New Roman" w:hAnsi="Times New Roman" w:eastAsia="宋体" w:cs="Times New Roman"/>
              <w:szCs w:val="28"/>
              <w:highlight w:val="none"/>
            </w:rPr>
            <w:t>模块单元出厂合格证</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_Toc11934 \h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107</w:t>
          </w:r>
          <w:r>
            <w:rPr>
              <w:rFonts w:hint="default" w:ascii="Times New Roman" w:hAnsi="Times New Roman" w:eastAsia="宋体" w:cs="Times New Roman"/>
              <w:highlight w:val="none"/>
            </w:rPr>
            <w:fldChar w:fldCharType="end"/>
          </w:r>
          <w:r>
            <w:rPr>
              <w:rFonts w:hint="default" w:ascii="Times New Roman" w:hAnsi="Times New Roman" w:eastAsia="宋体" w:cs="Times New Roman"/>
              <w:color w:val="auto"/>
              <w:szCs w:val="28"/>
              <w:highlight w:val="none"/>
            </w:rPr>
            <w:fldChar w:fldCharType="end"/>
          </w:r>
        </w:p>
        <w:p w14:paraId="0C6891EE">
          <w:pPr>
            <w:pStyle w:val="17"/>
            <w:tabs>
              <w:tab w:val="right" w:leader="dot" w:pos="5919"/>
              <w:tab w:val="clear" w:pos="1050"/>
              <w:tab w:val="clear" w:pos="13948"/>
            </w:tabs>
            <w:rPr>
              <w:rFonts w:hint="default" w:ascii="Times New Roman" w:hAnsi="Times New Roman" w:eastAsia="宋体" w:cs="Times New Roman"/>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szCs w:val="28"/>
              <w:highlight w:val="none"/>
            </w:rPr>
            <w:instrText xml:space="preserve"> HYPERLINK \l _Toc14846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highlight w:val="none"/>
              <w:lang w:eastAsia="zh-CN"/>
            </w:rPr>
            <w:t>本标准</w:t>
          </w:r>
          <w:r>
            <w:rPr>
              <w:rFonts w:hint="default" w:ascii="Times New Roman" w:hAnsi="Times New Roman" w:eastAsia="宋体" w:cs="Times New Roman"/>
              <w:szCs w:val="28"/>
              <w:highlight w:val="none"/>
            </w:rPr>
            <w:t>用词说明</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_Toc14846 \h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109</w:t>
          </w:r>
          <w:r>
            <w:rPr>
              <w:rFonts w:hint="default" w:ascii="Times New Roman" w:hAnsi="Times New Roman" w:eastAsia="宋体" w:cs="Times New Roman"/>
              <w:highlight w:val="none"/>
            </w:rPr>
            <w:fldChar w:fldCharType="end"/>
          </w:r>
          <w:r>
            <w:rPr>
              <w:rFonts w:hint="default" w:ascii="Times New Roman" w:hAnsi="Times New Roman" w:eastAsia="宋体" w:cs="Times New Roman"/>
              <w:color w:val="auto"/>
              <w:szCs w:val="28"/>
              <w:highlight w:val="none"/>
            </w:rPr>
            <w:fldChar w:fldCharType="end"/>
          </w:r>
        </w:p>
        <w:p w14:paraId="08363895">
          <w:pPr>
            <w:pStyle w:val="17"/>
            <w:tabs>
              <w:tab w:val="right" w:leader="dot" w:pos="5919"/>
              <w:tab w:val="clear" w:pos="1050"/>
              <w:tab w:val="clear" w:pos="13948"/>
            </w:tabs>
            <w:rPr>
              <w:rFonts w:hint="default" w:ascii="Times New Roman" w:hAnsi="Times New Roman" w:eastAsia="宋体" w:cs="Times New Roman"/>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szCs w:val="28"/>
              <w:highlight w:val="none"/>
            </w:rPr>
            <w:instrText xml:space="preserve"> HYPERLINK \l _Toc4442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bCs/>
              <w:kern w:val="44"/>
              <w:szCs w:val="28"/>
              <w:highlight w:val="none"/>
            </w:rPr>
            <w:t>引用标准名录</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_Toc4442 \h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110</w:t>
          </w:r>
          <w:r>
            <w:rPr>
              <w:rFonts w:hint="default" w:ascii="Times New Roman" w:hAnsi="Times New Roman" w:eastAsia="宋体" w:cs="Times New Roman"/>
              <w:highlight w:val="none"/>
            </w:rPr>
            <w:fldChar w:fldCharType="end"/>
          </w:r>
          <w:r>
            <w:rPr>
              <w:rFonts w:hint="default" w:ascii="Times New Roman" w:hAnsi="Times New Roman" w:eastAsia="宋体" w:cs="Times New Roman"/>
              <w:color w:val="auto"/>
              <w:szCs w:val="28"/>
              <w:highlight w:val="none"/>
            </w:rPr>
            <w:fldChar w:fldCharType="end"/>
          </w:r>
        </w:p>
        <w:p w14:paraId="4FB0C0F4">
          <w:pPr>
            <w:pStyle w:val="17"/>
            <w:tabs>
              <w:tab w:val="right" w:leader="dot" w:pos="5919"/>
              <w:tab w:val="clear" w:pos="1050"/>
              <w:tab w:val="clear" w:pos="13948"/>
            </w:tabs>
            <w:rPr>
              <w:rFonts w:eastAsia="仿宋"/>
              <w:color w:val="auto"/>
              <w:sz w:val="28"/>
              <w:szCs w:val="28"/>
              <w:highlight w:val="none"/>
            </w:rPr>
          </w:pP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szCs w:val="28"/>
              <w:highlight w:val="none"/>
            </w:rPr>
            <w:instrText xml:space="preserve"> HYPERLINK \l _Toc449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highlight w:val="none"/>
            </w:rPr>
            <w:t>条</w:t>
          </w:r>
          <w:r>
            <w:rPr>
              <w:rFonts w:hint="default" w:ascii="Times New Roman" w:hAnsi="Times New Roman" w:eastAsia="宋体" w:cs="Times New Roman"/>
              <w:highlight w:val="none"/>
              <w:lang w:val="en-US" w:eastAsia="zh-CN"/>
            </w:rPr>
            <w:t>文说明</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_Toc449 \h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114</w:t>
          </w:r>
          <w:r>
            <w:rPr>
              <w:rFonts w:hint="default" w:ascii="Times New Roman" w:hAnsi="Times New Roman" w:eastAsia="宋体" w:cs="Times New Roman"/>
              <w:highlight w:val="none"/>
            </w:rPr>
            <w:fldChar w:fldCharType="end"/>
          </w:r>
          <w:r>
            <w:rPr>
              <w:rFonts w:hint="default" w:ascii="Times New Roman" w:hAnsi="Times New Roman" w:eastAsia="宋体" w:cs="Times New Roman"/>
              <w:color w:val="auto"/>
              <w:szCs w:val="28"/>
              <w:highlight w:val="none"/>
            </w:rPr>
            <w:fldChar w:fldCharType="end"/>
          </w:r>
          <w:r>
            <w:rPr>
              <w:rFonts w:hint="default" w:ascii="Times New Roman" w:hAnsi="Times New Roman" w:eastAsia="宋体" w:cs="Times New Roman"/>
              <w:color w:val="auto"/>
              <w:szCs w:val="28"/>
              <w:highlight w:val="none"/>
            </w:rPr>
            <w:fldChar w:fldCharType="end"/>
          </w:r>
        </w:p>
      </w:sdtContent>
    </w:sdt>
    <w:bookmarkEnd w:id="19"/>
    <w:p w14:paraId="3D137657">
      <w:pPr>
        <w:spacing w:line="360" w:lineRule="exact"/>
        <w:rPr>
          <w:rFonts w:eastAsia="仿宋"/>
          <w:color w:val="auto"/>
          <w:sz w:val="28"/>
          <w:szCs w:val="28"/>
          <w:highlight w:val="none"/>
        </w:rPr>
      </w:pPr>
    </w:p>
    <w:p w14:paraId="0B97A809">
      <w:pPr>
        <w:spacing w:line="360" w:lineRule="exact"/>
        <w:rPr>
          <w:rFonts w:eastAsia="仿宋"/>
          <w:color w:val="auto"/>
          <w:sz w:val="28"/>
          <w:szCs w:val="28"/>
          <w:highlight w:val="none"/>
        </w:rPr>
      </w:pPr>
    </w:p>
    <w:p w14:paraId="6C580214">
      <w:pPr>
        <w:spacing w:line="360" w:lineRule="exact"/>
        <w:rPr>
          <w:rFonts w:eastAsia="仿宋"/>
          <w:color w:val="auto"/>
          <w:sz w:val="28"/>
          <w:szCs w:val="28"/>
          <w:highlight w:val="none"/>
        </w:rPr>
      </w:pPr>
    </w:p>
    <w:p w14:paraId="2813BA63">
      <w:pPr>
        <w:pStyle w:val="24"/>
        <w:ind w:firstLine="291"/>
        <w:rPr>
          <w:rFonts w:ascii="Times New Roman" w:hAnsi="Times New Roman" w:eastAsia="仿宋"/>
          <w:color w:val="auto"/>
          <w:sz w:val="28"/>
          <w:szCs w:val="28"/>
          <w:highlight w:val="none"/>
        </w:rPr>
      </w:pPr>
    </w:p>
    <w:p w14:paraId="360F2082">
      <w:pPr>
        <w:pStyle w:val="24"/>
        <w:ind w:firstLine="291"/>
        <w:rPr>
          <w:rFonts w:ascii="Times New Roman" w:hAnsi="Times New Roman" w:eastAsia="仿宋"/>
          <w:color w:val="auto"/>
          <w:sz w:val="28"/>
          <w:szCs w:val="28"/>
          <w:highlight w:val="none"/>
        </w:rPr>
      </w:pPr>
    </w:p>
    <w:p w14:paraId="65D70E90">
      <w:pPr>
        <w:pStyle w:val="24"/>
        <w:ind w:firstLine="291"/>
        <w:rPr>
          <w:rFonts w:ascii="Times New Roman" w:hAnsi="Times New Roman" w:eastAsia="仿宋"/>
          <w:color w:val="auto"/>
          <w:sz w:val="28"/>
          <w:szCs w:val="28"/>
          <w:highlight w:val="none"/>
        </w:rPr>
      </w:pPr>
    </w:p>
    <w:p w14:paraId="6A0A97B8">
      <w:pPr>
        <w:rPr>
          <w:rFonts w:eastAsia="仿宋"/>
          <w:color w:val="auto"/>
          <w:sz w:val="28"/>
          <w:szCs w:val="28"/>
          <w:highlight w:val="none"/>
        </w:rPr>
      </w:pPr>
    </w:p>
    <w:p w14:paraId="2246F5B2">
      <w:pPr>
        <w:pStyle w:val="24"/>
        <w:ind w:firstLine="211"/>
        <w:rPr>
          <w:rFonts w:hint="eastAsia" w:ascii="Times New Roman" w:hAnsi="Times New Roman"/>
          <w:color w:val="auto"/>
          <w:highlight w:val="none"/>
        </w:rPr>
      </w:pPr>
    </w:p>
    <w:p w14:paraId="4F38CCD4">
      <w:pPr>
        <w:pStyle w:val="39"/>
        <w:widowControl/>
        <w:spacing w:before="360" w:after="360" w:line="360" w:lineRule="exact"/>
        <w:jc w:val="center"/>
        <w:rPr>
          <w:rFonts w:eastAsia="仿宋"/>
          <w:b w:val="0"/>
          <w:bCs w:val="0"/>
          <w:color w:val="auto"/>
          <w:kern w:val="2"/>
          <w:sz w:val="28"/>
          <w:szCs w:val="28"/>
          <w:highlight w:val="none"/>
        </w:rPr>
      </w:pPr>
      <w:bookmarkStart w:id="20" w:name="_Toc22055"/>
      <w:bookmarkStart w:id="21" w:name="_Toc18098"/>
      <w:bookmarkStart w:id="22" w:name="_Toc18171"/>
      <w:bookmarkStart w:id="23" w:name="_Toc26736"/>
      <w:bookmarkStart w:id="24" w:name="_Toc17342"/>
      <w:bookmarkStart w:id="25" w:name="_Toc1093"/>
    </w:p>
    <w:bookmarkEnd w:id="20"/>
    <w:bookmarkEnd w:id="21"/>
    <w:bookmarkEnd w:id="22"/>
    <w:bookmarkEnd w:id="23"/>
    <w:bookmarkEnd w:id="24"/>
    <w:bookmarkEnd w:id="25"/>
    <w:p w14:paraId="009742BB">
      <w:pPr>
        <w:rPr>
          <w:color w:val="auto"/>
          <w:szCs w:val="21"/>
          <w:highlight w:val="none"/>
        </w:rPr>
      </w:pPr>
      <w:r>
        <w:rPr>
          <w:color w:val="auto"/>
          <w:szCs w:val="21"/>
          <w:highlight w:val="none"/>
        </w:rPr>
        <w:br w:type="page"/>
      </w:r>
    </w:p>
    <w:p w14:paraId="4FAF0ABD">
      <w:pPr>
        <w:spacing w:line="360" w:lineRule="exact"/>
        <w:jc w:val="center"/>
        <w:rPr>
          <w:b/>
          <w:bCs/>
          <w:color w:val="auto"/>
          <w:highlight w:val="none"/>
        </w:rPr>
      </w:pPr>
      <w:r>
        <w:rPr>
          <w:rFonts w:eastAsia="黑体"/>
          <w:b/>
          <w:bCs/>
          <w:color w:val="auto"/>
          <w:sz w:val="28"/>
          <w:szCs w:val="32"/>
          <w:highlight w:val="none"/>
        </w:rPr>
        <w:t>Content</w:t>
      </w:r>
    </w:p>
    <w:p w14:paraId="381AA3C3">
      <w:pPr>
        <w:pStyle w:val="17"/>
        <w:tabs>
          <w:tab w:val="right" w:leader="dot" w:pos="5919"/>
          <w:tab w:val="clear" w:pos="1050"/>
          <w:tab w:val="clear" w:pos="13948"/>
        </w:tabs>
        <w:rPr>
          <w:rFonts w:hint="default" w:ascii="Times New Roman" w:hAnsi="Times New Roman" w:cs="Times New Roman"/>
          <w:highlight w:val="none"/>
        </w:rPr>
      </w:pPr>
      <w:r>
        <w:rPr>
          <w:rFonts w:hint="default" w:ascii="Times New Roman" w:hAnsi="Times New Roman" w:cs="Times New Roman"/>
          <w:b w:val="0"/>
          <w:bCs w:val="0"/>
          <w:color w:val="auto"/>
          <w:szCs w:val="21"/>
          <w:highlight w:val="none"/>
        </w:rPr>
        <w:fldChar w:fldCharType="begin"/>
      </w:r>
      <w:r>
        <w:rPr>
          <w:rFonts w:hint="default" w:ascii="Times New Roman" w:hAnsi="Times New Roman" w:cs="Times New Roman"/>
          <w:b w:val="0"/>
          <w:bCs w:val="0"/>
          <w:color w:val="auto"/>
          <w:szCs w:val="21"/>
          <w:highlight w:val="none"/>
        </w:rPr>
        <w:instrText xml:space="preserve">TOC \o "1-3" \h \u </w:instrText>
      </w:r>
      <w:r>
        <w:rPr>
          <w:rFonts w:hint="default" w:ascii="Times New Roman" w:hAnsi="Times New Roman" w:cs="Times New Roman"/>
          <w:b w:val="0"/>
          <w:bCs w:val="0"/>
          <w:color w:val="auto"/>
          <w:szCs w:val="21"/>
          <w:highlight w:val="none"/>
        </w:rPr>
        <w:fldChar w:fldCharType="separate"/>
      </w:r>
      <w:r>
        <w:rPr>
          <w:rFonts w:hint="default" w:ascii="Times New Roman" w:hAnsi="Times New Roman" w:cs="Times New Roman"/>
          <w:bCs w:val="0"/>
          <w:color w:val="auto"/>
          <w:szCs w:val="21"/>
          <w:highlight w:val="none"/>
        </w:rPr>
        <w:fldChar w:fldCharType="begin"/>
      </w:r>
      <w:r>
        <w:rPr>
          <w:rFonts w:hint="default" w:ascii="Times New Roman" w:hAnsi="Times New Roman" w:cs="Times New Roman"/>
          <w:bCs w:val="0"/>
          <w:szCs w:val="21"/>
          <w:highlight w:val="none"/>
        </w:rPr>
        <w:instrText xml:space="preserve"> HYPERLINK \l _Toc31478 </w:instrText>
      </w:r>
      <w:r>
        <w:rPr>
          <w:rFonts w:hint="default" w:ascii="Times New Roman" w:hAnsi="Times New Roman" w:cs="Times New Roman"/>
          <w:bCs w:val="0"/>
          <w:szCs w:val="21"/>
          <w:highlight w:val="none"/>
        </w:rPr>
        <w:fldChar w:fldCharType="separate"/>
      </w:r>
      <w:r>
        <w:rPr>
          <w:rFonts w:hint="default" w:ascii="Times New Roman" w:hAnsi="Times New Roman" w:eastAsia="黑体" w:cs="Times New Roman"/>
          <w:szCs w:val="28"/>
          <w:highlight w:val="none"/>
        </w:rPr>
        <w:t>1</w:t>
      </w:r>
      <w:r>
        <w:rPr>
          <w:rFonts w:hint="default" w:ascii="Times New Roman" w:hAnsi="Times New Roman" w:eastAsia="黑体" w:cs="Times New Roman"/>
          <w:szCs w:val="28"/>
          <w:highlight w:val="none"/>
          <w:lang w:val="en-US" w:eastAsia="zh-CN"/>
        </w:rPr>
        <w:t xml:space="preserve">  </w:t>
      </w:r>
      <w:r>
        <w:rPr>
          <w:rFonts w:hint="default" w:ascii="Times New Roman" w:hAnsi="Times New Roman" w:eastAsia="黑体" w:cs="Times New Roman"/>
          <w:color w:val="auto"/>
          <w:szCs w:val="21"/>
          <w:highlight w:val="none"/>
        </w:rPr>
        <w:t>General Requirements</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_Toc31478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w:t>
      </w:r>
      <w:r>
        <w:rPr>
          <w:rFonts w:hint="default" w:ascii="Times New Roman" w:hAnsi="Times New Roman" w:cs="Times New Roman"/>
          <w:highlight w:val="none"/>
        </w:rPr>
        <w:fldChar w:fldCharType="end"/>
      </w:r>
      <w:r>
        <w:rPr>
          <w:rFonts w:hint="default" w:ascii="Times New Roman" w:hAnsi="Times New Roman" w:cs="Times New Roman"/>
          <w:bCs w:val="0"/>
          <w:color w:val="auto"/>
          <w:szCs w:val="21"/>
          <w:highlight w:val="none"/>
        </w:rPr>
        <w:fldChar w:fldCharType="end"/>
      </w:r>
    </w:p>
    <w:p w14:paraId="227A2847">
      <w:pPr>
        <w:pStyle w:val="17"/>
        <w:tabs>
          <w:tab w:val="right" w:leader="dot" w:pos="5919"/>
          <w:tab w:val="clear" w:pos="1050"/>
          <w:tab w:val="clear" w:pos="13948"/>
        </w:tabs>
        <w:rPr>
          <w:rFonts w:hint="default" w:ascii="Times New Roman" w:hAnsi="Times New Roman" w:cs="Times New Roman"/>
          <w:highlight w:val="none"/>
        </w:rPr>
      </w:pPr>
      <w:r>
        <w:rPr>
          <w:rFonts w:hint="default" w:ascii="Times New Roman" w:hAnsi="Times New Roman" w:cs="Times New Roman"/>
          <w:bCs w:val="0"/>
          <w:color w:val="auto"/>
          <w:szCs w:val="21"/>
          <w:highlight w:val="none"/>
        </w:rPr>
        <w:fldChar w:fldCharType="begin"/>
      </w:r>
      <w:r>
        <w:rPr>
          <w:rFonts w:hint="default" w:ascii="Times New Roman" w:hAnsi="Times New Roman" w:cs="Times New Roman"/>
          <w:bCs w:val="0"/>
          <w:szCs w:val="21"/>
          <w:highlight w:val="none"/>
        </w:rPr>
        <w:instrText xml:space="preserve"> HYPERLINK \l _Toc18867 </w:instrText>
      </w:r>
      <w:r>
        <w:rPr>
          <w:rFonts w:hint="default" w:ascii="Times New Roman" w:hAnsi="Times New Roman" w:cs="Times New Roman"/>
          <w:bCs w:val="0"/>
          <w:szCs w:val="21"/>
          <w:highlight w:val="none"/>
        </w:rPr>
        <w:fldChar w:fldCharType="separate"/>
      </w:r>
      <w:r>
        <w:rPr>
          <w:rFonts w:hint="default" w:ascii="Times New Roman" w:hAnsi="Times New Roman" w:eastAsia="黑体" w:cs="Times New Roman"/>
          <w:szCs w:val="28"/>
          <w:highlight w:val="none"/>
        </w:rPr>
        <w:t xml:space="preserve">2  </w:t>
      </w:r>
      <w:r>
        <w:rPr>
          <w:rFonts w:ascii="Times New Roman" w:hAnsi="Times New Roman" w:eastAsia="黑体" w:cs="Times New Roman"/>
          <w:color w:val="auto"/>
          <w:szCs w:val="21"/>
          <w:highlight w:val="none"/>
        </w:rPr>
        <w:t>Terms and Symbols</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_Toc18867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w:t>
      </w:r>
      <w:r>
        <w:rPr>
          <w:rFonts w:hint="default" w:ascii="Times New Roman" w:hAnsi="Times New Roman" w:cs="Times New Roman"/>
          <w:highlight w:val="none"/>
        </w:rPr>
        <w:fldChar w:fldCharType="end"/>
      </w:r>
      <w:r>
        <w:rPr>
          <w:rFonts w:hint="default" w:ascii="Times New Roman" w:hAnsi="Times New Roman" w:cs="Times New Roman"/>
          <w:bCs w:val="0"/>
          <w:color w:val="auto"/>
          <w:szCs w:val="21"/>
          <w:highlight w:val="none"/>
        </w:rPr>
        <w:fldChar w:fldCharType="end"/>
      </w:r>
    </w:p>
    <w:p w14:paraId="640090D2">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_Toc19724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2.1  Terms</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_Toc19724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2</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4072C095">
      <w:pPr>
        <w:pStyle w:val="20"/>
        <w:tabs>
          <w:tab w:val="right" w:leader="dot" w:pos="5919"/>
        </w:tabs>
        <w:rPr>
          <w:rFonts w:hint="default" w:ascii="Times New Roman" w:hAnsi="Times New Roman" w:cs="Times New Roman"/>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_Toc29441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2.2  Symbols</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_Toc29441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6</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22E34FED">
      <w:pPr>
        <w:pStyle w:val="17"/>
        <w:tabs>
          <w:tab w:val="right" w:leader="dot" w:pos="5919"/>
          <w:tab w:val="clear" w:pos="1050"/>
          <w:tab w:val="clear" w:pos="13948"/>
        </w:tabs>
        <w:rPr>
          <w:rFonts w:hint="default" w:ascii="Times New Roman" w:hAnsi="Times New Roman" w:cs="Times New Roman"/>
          <w:highlight w:val="none"/>
        </w:rPr>
      </w:pPr>
      <w:r>
        <w:rPr>
          <w:rFonts w:hint="default" w:ascii="Times New Roman" w:hAnsi="Times New Roman" w:cs="Times New Roman"/>
          <w:bCs w:val="0"/>
          <w:color w:val="auto"/>
          <w:szCs w:val="21"/>
          <w:highlight w:val="none"/>
        </w:rPr>
        <w:fldChar w:fldCharType="begin"/>
      </w:r>
      <w:r>
        <w:rPr>
          <w:rFonts w:hint="default" w:ascii="Times New Roman" w:hAnsi="Times New Roman" w:cs="Times New Roman"/>
          <w:bCs w:val="0"/>
          <w:szCs w:val="21"/>
          <w:highlight w:val="none"/>
        </w:rPr>
        <w:instrText xml:space="preserve"> HYPERLINK \l _Toc13586 </w:instrText>
      </w:r>
      <w:r>
        <w:rPr>
          <w:rFonts w:hint="default" w:ascii="Times New Roman" w:hAnsi="Times New Roman" w:cs="Times New Roman"/>
          <w:bCs w:val="0"/>
          <w:szCs w:val="21"/>
          <w:highlight w:val="none"/>
        </w:rPr>
        <w:fldChar w:fldCharType="separate"/>
      </w:r>
      <w:r>
        <w:rPr>
          <w:rFonts w:hint="default" w:ascii="Times New Roman" w:hAnsi="Times New Roman" w:eastAsia="黑体" w:cs="Times New Roman"/>
          <w:szCs w:val="28"/>
          <w:highlight w:val="none"/>
        </w:rPr>
        <w:t xml:space="preserve">3  </w:t>
      </w:r>
      <w:r>
        <w:rPr>
          <w:rFonts w:ascii="Times New Roman" w:hAnsi="Times New Roman" w:eastAsia="黑体" w:cs="Times New Roman"/>
          <w:color w:val="auto"/>
          <w:szCs w:val="21"/>
          <w:highlight w:val="none"/>
        </w:rPr>
        <w:t>Basic Requirements</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_Toc13586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8</w:t>
      </w:r>
      <w:r>
        <w:rPr>
          <w:rFonts w:hint="default" w:ascii="Times New Roman" w:hAnsi="Times New Roman" w:cs="Times New Roman"/>
          <w:highlight w:val="none"/>
        </w:rPr>
        <w:fldChar w:fldCharType="end"/>
      </w:r>
      <w:r>
        <w:rPr>
          <w:rFonts w:hint="default" w:ascii="Times New Roman" w:hAnsi="Times New Roman" w:cs="Times New Roman"/>
          <w:bCs w:val="0"/>
          <w:color w:val="auto"/>
          <w:szCs w:val="21"/>
          <w:highlight w:val="none"/>
        </w:rPr>
        <w:fldChar w:fldCharType="end"/>
      </w:r>
    </w:p>
    <w:p w14:paraId="4DAEC81E">
      <w:pPr>
        <w:pStyle w:val="17"/>
        <w:tabs>
          <w:tab w:val="right" w:leader="dot" w:pos="5919"/>
          <w:tab w:val="clear" w:pos="1050"/>
          <w:tab w:val="clear" w:pos="13948"/>
        </w:tabs>
        <w:rPr>
          <w:rFonts w:hint="default" w:ascii="Times New Roman" w:hAnsi="Times New Roman" w:cs="Times New Roman"/>
          <w:highlight w:val="none"/>
        </w:rPr>
      </w:pPr>
      <w:r>
        <w:rPr>
          <w:rFonts w:hint="default" w:ascii="Times New Roman" w:hAnsi="Times New Roman" w:cs="Times New Roman"/>
          <w:bCs w:val="0"/>
          <w:color w:val="auto"/>
          <w:szCs w:val="21"/>
          <w:highlight w:val="none"/>
        </w:rPr>
        <w:fldChar w:fldCharType="begin"/>
      </w:r>
      <w:r>
        <w:rPr>
          <w:rFonts w:hint="default" w:ascii="Times New Roman" w:hAnsi="Times New Roman" w:cs="Times New Roman"/>
          <w:bCs w:val="0"/>
          <w:szCs w:val="21"/>
          <w:highlight w:val="none"/>
        </w:rPr>
        <w:instrText xml:space="preserve"> HYPERLINK \l _Toc18241 </w:instrText>
      </w:r>
      <w:r>
        <w:rPr>
          <w:rFonts w:hint="default" w:ascii="Times New Roman" w:hAnsi="Times New Roman" w:cs="Times New Roman"/>
          <w:bCs w:val="0"/>
          <w:szCs w:val="21"/>
          <w:highlight w:val="none"/>
        </w:rPr>
        <w:fldChar w:fldCharType="separate"/>
      </w:r>
      <w:r>
        <w:rPr>
          <w:rFonts w:hint="default" w:ascii="Times New Roman" w:hAnsi="Times New Roman" w:eastAsia="黑体" w:cs="Times New Roman"/>
          <w:szCs w:val="28"/>
          <w:highlight w:val="none"/>
        </w:rPr>
        <w:t xml:space="preserve">4  </w:t>
      </w:r>
      <w:r>
        <w:rPr>
          <w:rFonts w:ascii="Times New Roman" w:hAnsi="Times New Roman" w:eastAsia="黑体" w:cs="Times New Roman"/>
          <w:color w:val="auto"/>
          <w:szCs w:val="21"/>
          <w:highlight w:val="none"/>
        </w:rPr>
        <w:t>Materials</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_Toc18241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10</w:t>
      </w:r>
      <w:r>
        <w:rPr>
          <w:rFonts w:hint="default" w:ascii="Times New Roman" w:hAnsi="Times New Roman" w:cs="Times New Roman"/>
          <w:highlight w:val="none"/>
        </w:rPr>
        <w:fldChar w:fldCharType="end"/>
      </w:r>
      <w:r>
        <w:rPr>
          <w:rFonts w:hint="default" w:ascii="Times New Roman" w:hAnsi="Times New Roman" w:cs="Times New Roman"/>
          <w:bCs w:val="0"/>
          <w:color w:val="auto"/>
          <w:szCs w:val="21"/>
          <w:highlight w:val="none"/>
        </w:rPr>
        <w:fldChar w:fldCharType="end"/>
      </w:r>
    </w:p>
    <w:p w14:paraId="73E33C8E">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_Toc27390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4.1  Structural Materials</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_Toc27390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10</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322813F2">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_Toc1689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4.2  Decoration Materials</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_Toc1689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14</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058450F9">
      <w:pPr>
        <w:pStyle w:val="20"/>
        <w:tabs>
          <w:tab w:val="right" w:leader="dot" w:pos="5919"/>
        </w:tabs>
        <w:rPr>
          <w:rFonts w:hint="default" w:ascii="Times New Roman" w:hAnsi="Times New Roman" w:cs="Times New Roman"/>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_Toc7743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4.3  Other Materials</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_Toc7743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15</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6123D7D3">
      <w:pPr>
        <w:pStyle w:val="17"/>
        <w:tabs>
          <w:tab w:val="right" w:leader="dot" w:pos="5919"/>
          <w:tab w:val="clear" w:pos="1050"/>
          <w:tab w:val="clear" w:pos="13948"/>
        </w:tabs>
        <w:rPr>
          <w:rFonts w:hint="default" w:ascii="Times New Roman" w:hAnsi="Times New Roman" w:cs="Times New Roman"/>
          <w:highlight w:val="none"/>
        </w:rPr>
      </w:pPr>
      <w:r>
        <w:rPr>
          <w:rFonts w:hint="default" w:ascii="Times New Roman" w:hAnsi="Times New Roman" w:cs="Times New Roman"/>
          <w:bCs w:val="0"/>
          <w:color w:val="auto"/>
          <w:szCs w:val="21"/>
          <w:highlight w:val="none"/>
        </w:rPr>
        <w:fldChar w:fldCharType="begin"/>
      </w:r>
      <w:r>
        <w:rPr>
          <w:rFonts w:hint="default" w:ascii="Times New Roman" w:hAnsi="Times New Roman" w:cs="Times New Roman"/>
          <w:bCs w:val="0"/>
          <w:szCs w:val="21"/>
          <w:highlight w:val="none"/>
        </w:rPr>
        <w:instrText xml:space="preserve"> HYPERLINK \l _Toc23322 </w:instrText>
      </w:r>
      <w:r>
        <w:rPr>
          <w:rFonts w:hint="default" w:ascii="Times New Roman" w:hAnsi="Times New Roman" w:cs="Times New Roman"/>
          <w:bCs w:val="0"/>
          <w:szCs w:val="21"/>
          <w:highlight w:val="none"/>
        </w:rPr>
        <w:fldChar w:fldCharType="separate"/>
      </w:r>
      <w:r>
        <w:rPr>
          <w:rFonts w:hint="default" w:ascii="Times New Roman" w:hAnsi="Times New Roman" w:eastAsia="黑体" w:cs="Times New Roman"/>
          <w:szCs w:val="28"/>
          <w:highlight w:val="none"/>
        </w:rPr>
        <w:t xml:space="preserve">5  </w:t>
      </w:r>
      <w:r>
        <w:rPr>
          <w:rFonts w:ascii="Times New Roman" w:hAnsi="Times New Roman" w:eastAsia="黑体" w:cs="Times New Roman"/>
          <w:color w:val="auto"/>
          <w:szCs w:val="21"/>
          <w:highlight w:val="none"/>
        </w:rPr>
        <w:t>Architectural Design</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_Toc23322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17</w:t>
      </w:r>
      <w:r>
        <w:rPr>
          <w:rFonts w:hint="default" w:ascii="Times New Roman" w:hAnsi="Times New Roman" w:cs="Times New Roman"/>
          <w:highlight w:val="none"/>
        </w:rPr>
        <w:fldChar w:fldCharType="end"/>
      </w:r>
      <w:r>
        <w:rPr>
          <w:rFonts w:hint="default" w:ascii="Times New Roman" w:hAnsi="Times New Roman" w:cs="Times New Roman"/>
          <w:bCs w:val="0"/>
          <w:color w:val="auto"/>
          <w:szCs w:val="21"/>
          <w:highlight w:val="none"/>
        </w:rPr>
        <w:fldChar w:fldCharType="end"/>
      </w:r>
    </w:p>
    <w:p w14:paraId="776AE133">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_Toc3993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5.1  General Requirements</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_Toc3993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17</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7B23934A">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_Toc3485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5.2  System Integration Design</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_Toc3485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18</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2B9DC8DE">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_Toc27387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5.3  Layout Design</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_Toc27387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20</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7E553BDD">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_Toc3793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5.4  Elevation Design</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_Toc3793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21</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1B9219E0">
      <w:pPr>
        <w:pStyle w:val="20"/>
        <w:tabs>
          <w:tab w:val="right" w:leader="dot" w:pos="5919"/>
        </w:tabs>
        <w:rPr>
          <w:rFonts w:hint="default" w:ascii="Times New Roman" w:hAnsi="Times New Roman" w:cs="Times New Roman"/>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_Toc26862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5.5  Building Construction</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_Toc26862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22</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74E62DD5">
      <w:pPr>
        <w:pStyle w:val="17"/>
        <w:tabs>
          <w:tab w:val="right" w:leader="dot" w:pos="5919"/>
          <w:tab w:val="clear" w:pos="1050"/>
          <w:tab w:val="clear" w:pos="13948"/>
        </w:tabs>
        <w:rPr>
          <w:rFonts w:hint="default" w:ascii="Times New Roman" w:hAnsi="Times New Roman" w:cs="Times New Roman"/>
          <w:highlight w:val="none"/>
        </w:rPr>
      </w:pPr>
      <w:r>
        <w:rPr>
          <w:rFonts w:hint="default" w:ascii="Times New Roman" w:hAnsi="Times New Roman" w:cs="Times New Roman"/>
          <w:bCs w:val="0"/>
          <w:color w:val="auto"/>
          <w:szCs w:val="21"/>
          <w:highlight w:val="none"/>
        </w:rPr>
        <w:fldChar w:fldCharType="begin"/>
      </w:r>
      <w:r>
        <w:rPr>
          <w:rFonts w:hint="default" w:ascii="Times New Roman" w:hAnsi="Times New Roman" w:cs="Times New Roman"/>
          <w:bCs w:val="0"/>
          <w:szCs w:val="21"/>
          <w:highlight w:val="none"/>
        </w:rPr>
        <w:instrText xml:space="preserve"> HYPERLINK \l _Toc23908 </w:instrText>
      </w:r>
      <w:r>
        <w:rPr>
          <w:rFonts w:hint="default" w:ascii="Times New Roman" w:hAnsi="Times New Roman" w:cs="Times New Roman"/>
          <w:bCs w:val="0"/>
          <w:szCs w:val="21"/>
          <w:highlight w:val="none"/>
        </w:rPr>
        <w:fldChar w:fldCharType="separate"/>
      </w:r>
      <w:r>
        <w:rPr>
          <w:rFonts w:hint="default" w:ascii="Times New Roman" w:hAnsi="Times New Roman" w:eastAsia="黑体" w:cs="Times New Roman"/>
          <w:szCs w:val="28"/>
          <w:highlight w:val="none"/>
        </w:rPr>
        <w:t xml:space="preserve">6  </w:t>
      </w:r>
      <w:r>
        <w:rPr>
          <w:rFonts w:ascii="Times New Roman" w:hAnsi="Times New Roman" w:eastAsia="Segoe UI" w:cs="Times New Roman"/>
          <w:color w:val="auto"/>
          <w:szCs w:val="21"/>
          <w:highlight w:val="none"/>
        </w:rPr>
        <w:t>Structural Design</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_Toc23908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27</w:t>
      </w:r>
      <w:r>
        <w:rPr>
          <w:rFonts w:hint="default" w:ascii="Times New Roman" w:hAnsi="Times New Roman" w:cs="Times New Roman"/>
          <w:highlight w:val="none"/>
        </w:rPr>
        <w:fldChar w:fldCharType="end"/>
      </w:r>
      <w:r>
        <w:rPr>
          <w:rFonts w:hint="default" w:ascii="Times New Roman" w:hAnsi="Times New Roman" w:cs="Times New Roman"/>
          <w:bCs w:val="0"/>
          <w:color w:val="auto"/>
          <w:szCs w:val="21"/>
          <w:highlight w:val="none"/>
        </w:rPr>
        <w:fldChar w:fldCharType="end"/>
      </w:r>
    </w:p>
    <w:p w14:paraId="039085AC">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_Toc15502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6.1  General Requirements</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_Toc15502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27</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7CFC7661">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_Toc23201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6.2  Structural Layout</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_Toc23201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31</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2B650B78">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_Toc14885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6.3  Structural Analysis</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_Toc14885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34</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5E1EFAEE">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_Toc17389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6.</w:t>
      </w:r>
      <w:r>
        <w:rPr>
          <w:rFonts w:hint="default" w:ascii="Times New Roman" w:hAnsi="Times New Roman" w:eastAsia="宋体" w:cs="Times New Roman"/>
          <w:color w:val="auto"/>
          <w:sz w:val="18"/>
          <w:szCs w:val="18"/>
          <w:highlight w:val="none"/>
          <w:lang w:val="en-US" w:eastAsia="zh-CN"/>
        </w:rPr>
        <w:t>4</w:t>
      </w:r>
      <w:r>
        <w:rPr>
          <w:rFonts w:hint="default" w:ascii="Times New Roman" w:hAnsi="Times New Roman" w:eastAsia="宋体" w:cs="Times New Roman"/>
          <w:color w:val="auto"/>
          <w:sz w:val="18"/>
          <w:szCs w:val="18"/>
          <w:highlight w:val="none"/>
        </w:rPr>
        <w:t xml:space="preserve">  Modular Unit Structural Design</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_Toc17389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38</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73E83105">
      <w:pPr>
        <w:pStyle w:val="20"/>
        <w:tabs>
          <w:tab w:val="right" w:leader="dot" w:pos="5919"/>
        </w:tabs>
        <w:rPr>
          <w:rFonts w:hint="default" w:ascii="Times New Roman" w:hAnsi="Times New Roman" w:cs="Times New Roman"/>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_Toc13690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6.</w:t>
      </w:r>
      <w:r>
        <w:rPr>
          <w:rFonts w:hint="default" w:ascii="Times New Roman" w:hAnsi="Times New Roman" w:eastAsia="宋体" w:cs="Times New Roman"/>
          <w:color w:val="auto"/>
          <w:sz w:val="18"/>
          <w:szCs w:val="18"/>
          <w:highlight w:val="none"/>
          <w:lang w:val="en-US" w:eastAsia="zh-CN"/>
        </w:rPr>
        <w:t>5</w:t>
      </w:r>
      <w:r>
        <w:rPr>
          <w:rFonts w:hint="default" w:ascii="Times New Roman" w:hAnsi="Times New Roman" w:eastAsia="宋体" w:cs="Times New Roman"/>
          <w:color w:val="auto"/>
          <w:sz w:val="18"/>
          <w:szCs w:val="18"/>
          <w:highlight w:val="none"/>
        </w:rPr>
        <w:t xml:space="preserve">  Module </w:t>
      </w:r>
      <w:r>
        <w:rPr>
          <w:rFonts w:hint="eastAsia" w:ascii="Times New Roman" w:hAnsi="Times New Roman" w:eastAsia="宋体" w:cs="Times New Roman"/>
          <w:color w:val="auto"/>
          <w:sz w:val="18"/>
          <w:szCs w:val="18"/>
          <w:highlight w:val="none"/>
        </w:rPr>
        <w:t>C</w:t>
      </w:r>
      <w:r>
        <w:rPr>
          <w:rFonts w:hint="default" w:ascii="Times New Roman" w:hAnsi="Times New Roman" w:eastAsia="宋体" w:cs="Times New Roman"/>
          <w:color w:val="auto"/>
          <w:sz w:val="18"/>
          <w:szCs w:val="18"/>
          <w:highlight w:val="none"/>
        </w:rPr>
        <w:t xml:space="preserve">omponents and </w:t>
      </w:r>
      <w:r>
        <w:rPr>
          <w:rFonts w:hint="eastAsia" w:ascii="Times New Roman" w:hAnsi="Times New Roman" w:eastAsia="宋体" w:cs="Times New Roman"/>
          <w:color w:val="auto"/>
          <w:sz w:val="18"/>
          <w:szCs w:val="18"/>
          <w:highlight w:val="none"/>
        </w:rPr>
        <w:t>C</w:t>
      </w:r>
      <w:r>
        <w:rPr>
          <w:rFonts w:hint="default" w:ascii="Times New Roman" w:hAnsi="Times New Roman" w:eastAsia="宋体" w:cs="Times New Roman"/>
          <w:color w:val="auto"/>
          <w:sz w:val="18"/>
          <w:szCs w:val="18"/>
          <w:highlight w:val="none"/>
        </w:rPr>
        <w:t xml:space="preserve">onnection </w:t>
      </w:r>
      <w:r>
        <w:rPr>
          <w:rFonts w:hint="eastAsia" w:ascii="Times New Roman" w:hAnsi="Times New Roman" w:eastAsia="宋体" w:cs="Times New Roman"/>
          <w:color w:val="auto"/>
          <w:sz w:val="18"/>
          <w:szCs w:val="18"/>
          <w:highlight w:val="none"/>
        </w:rPr>
        <w:t>D</w:t>
      </w:r>
      <w:r>
        <w:rPr>
          <w:rFonts w:hint="default" w:ascii="Times New Roman" w:hAnsi="Times New Roman" w:eastAsia="宋体" w:cs="Times New Roman"/>
          <w:color w:val="auto"/>
          <w:sz w:val="18"/>
          <w:szCs w:val="18"/>
          <w:highlight w:val="none"/>
        </w:rPr>
        <w:t>esign</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_Toc13690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46</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3FCA5F2C">
      <w:pPr>
        <w:pStyle w:val="17"/>
        <w:tabs>
          <w:tab w:val="right" w:leader="dot" w:pos="5919"/>
          <w:tab w:val="clear" w:pos="1050"/>
          <w:tab w:val="clear" w:pos="13948"/>
        </w:tabs>
        <w:rPr>
          <w:rFonts w:hint="default" w:ascii="Times New Roman" w:hAnsi="Times New Roman" w:cs="Times New Roman"/>
          <w:highlight w:val="none"/>
        </w:rPr>
      </w:pPr>
      <w:r>
        <w:rPr>
          <w:rFonts w:hint="default" w:ascii="Times New Roman" w:hAnsi="Times New Roman" w:cs="Times New Roman"/>
          <w:bCs w:val="0"/>
          <w:color w:val="auto"/>
          <w:szCs w:val="21"/>
          <w:highlight w:val="none"/>
        </w:rPr>
        <w:fldChar w:fldCharType="begin"/>
      </w:r>
      <w:r>
        <w:rPr>
          <w:rFonts w:hint="default" w:ascii="Times New Roman" w:hAnsi="Times New Roman" w:cs="Times New Roman"/>
          <w:bCs w:val="0"/>
          <w:szCs w:val="21"/>
          <w:highlight w:val="none"/>
        </w:rPr>
        <w:instrText xml:space="preserve"> HYPERLINK \l _Toc32083 </w:instrText>
      </w:r>
      <w:r>
        <w:rPr>
          <w:rFonts w:hint="default" w:ascii="Times New Roman" w:hAnsi="Times New Roman" w:cs="Times New Roman"/>
          <w:bCs w:val="0"/>
          <w:szCs w:val="21"/>
          <w:highlight w:val="none"/>
        </w:rPr>
        <w:fldChar w:fldCharType="separate"/>
      </w:r>
      <w:r>
        <w:rPr>
          <w:rFonts w:hint="default" w:ascii="Times New Roman" w:hAnsi="Times New Roman" w:eastAsia="黑体" w:cs="Times New Roman"/>
          <w:szCs w:val="28"/>
          <w:highlight w:val="none"/>
        </w:rPr>
        <w:t xml:space="preserve">7  </w:t>
      </w:r>
      <w:r>
        <w:rPr>
          <w:rFonts w:ascii="Times New Roman" w:hAnsi="Times New Roman" w:eastAsia="Segoe UI" w:cs="Times New Roman"/>
          <w:color w:val="auto"/>
          <w:szCs w:val="21"/>
          <w:highlight w:val="none"/>
        </w:rPr>
        <w:t>Equipment Pipeline and Interior System Design</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_Toc32083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51</w:t>
      </w:r>
      <w:r>
        <w:rPr>
          <w:rFonts w:hint="default" w:ascii="Times New Roman" w:hAnsi="Times New Roman" w:cs="Times New Roman"/>
          <w:highlight w:val="none"/>
        </w:rPr>
        <w:fldChar w:fldCharType="end"/>
      </w:r>
      <w:r>
        <w:rPr>
          <w:rFonts w:hint="default" w:ascii="Times New Roman" w:hAnsi="Times New Roman" w:cs="Times New Roman"/>
          <w:bCs w:val="0"/>
          <w:color w:val="auto"/>
          <w:szCs w:val="21"/>
          <w:highlight w:val="none"/>
        </w:rPr>
        <w:fldChar w:fldCharType="end"/>
      </w:r>
    </w:p>
    <w:p w14:paraId="6F6918B9">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_Toc12827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 xml:space="preserve">7.1 </w:t>
      </w:r>
      <w:r>
        <w:rPr>
          <w:rFonts w:hint="eastAsia" w:ascii="Times New Roman" w:hAnsi="Times New Roman" w:eastAsia="宋体"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General Requirements</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_Toc12827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51</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2044AA27">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_Toc18368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7.2  Water Supply and Drainage System</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_Toc18368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52</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76E40D0C">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_Toc13282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7.3  Ventilation, Air Conditioning and Gas Systems</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_Toc13282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53</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7E31AB97">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_Toc31038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7.4  Electrical System</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_Toc31038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54</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0BBF2F14">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_Toc6419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7.5  Internal System</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_Toc6419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56</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56203132">
      <w:pPr>
        <w:pStyle w:val="17"/>
        <w:tabs>
          <w:tab w:val="right" w:leader="dot" w:pos="5919"/>
          <w:tab w:val="clear" w:pos="1050"/>
          <w:tab w:val="clear" w:pos="13948"/>
        </w:tabs>
        <w:rPr>
          <w:rFonts w:hint="default" w:ascii="Times New Roman" w:hAnsi="Times New Roman" w:cs="Times New Roman"/>
          <w:highlight w:val="none"/>
        </w:rPr>
      </w:pPr>
      <w:r>
        <w:rPr>
          <w:rFonts w:hint="default" w:ascii="Times New Roman" w:hAnsi="Times New Roman" w:cs="Times New Roman"/>
          <w:bCs w:val="0"/>
          <w:color w:val="auto"/>
          <w:szCs w:val="21"/>
          <w:highlight w:val="none"/>
        </w:rPr>
        <w:fldChar w:fldCharType="begin"/>
      </w:r>
      <w:r>
        <w:rPr>
          <w:rFonts w:hint="default" w:ascii="Times New Roman" w:hAnsi="Times New Roman" w:cs="Times New Roman"/>
          <w:bCs w:val="0"/>
          <w:szCs w:val="21"/>
          <w:highlight w:val="none"/>
        </w:rPr>
        <w:instrText xml:space="preserve"> HYPERLINK \l _Toc579 </w:instrText>
      </w:r>
      <w:r>
        <w:rPr>
          <w:rFonts w:hint="default" w:ascii="Times New Roman" w:hAnsi="Times New Roman" w:cs="Times New Roman"/>
          <w:bCs w:val="0"/>
          <w:szCs w:val="21"/>
          <w:highlight w:val="none"/>
        </w:rPr>
        <w:fldChar w:fldCharType="separate"/>
      </w:r>
      <w:r>
        <w:rPr>
          <w:rFonts w:hint="default" w:ascii="Times New Roman" w:hAnsi="Times New Roman" w:eastAsia="黑体" w:cs="Times New Roman"/>
          <w:szCs w:val="28"/>
          <w:highlight w:val="none"/>
        </w:rPr>
        <w:t xml:space="preserve">8  </w:t>
      </w:r>
      <w:r>
        <w:rPr>
          <w:rFonts w:ascii="Times New Roman" w:hAnsi="Times New Roman" w:eastAsia="黑体" w:cs="Times New Roman"/>
          <w:color w:val="auto"/>
          <w:szCs w:val="21"/>
          <w:highlight w:val="none"/>
        </w:rPr>
        <w:t>Module Unit Production and Transportation</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_Toc579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60</w:t>
      </w:r>
      <w:r>
        <w:rPr>
          <w:rFonts w:hint="default" w:ascii="Times New Roman" w:hAnsi="Times New Roman" w:cs="Times New Roman"/>
          <w:highlight w:val="none"/>
        </w:rPr>
        <w:fldChar w:fldCharType="end"/>
      </w:r>
      <w:r>
        <w:rPr>
          <w:rFonts w:hint="default" w:ascii="Times New Roman" w:hAnsi="Times New Roman" w:cs="Times New Roman"/>
          <w:bCs w:val="0"/>
          <w:color w:val="auto"/>
          <w:szCs w:val="21"/>
          <w:highlight w:val="none"/>
        </w:rPr>
        <w:fldChar w:fldCharType="end"/>
      </w:r>
    </w:p>
    <w:p w14:paraId="648DDC4E">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_Toc25433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8.1  General Requirements</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_Toc25433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60</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2127B8C9">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_Toc17941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8.</w:t>
      </w:r>
      <w:r>
        <w:rPr>
          <w:rFonts w:hint="default" w:ascii="Times New Roman" w:hAnsi="Times New Roman" w:eastAsia="宋体" w:cs="Times New Roman"/>
          <w:color w:val="auto"/>
          <w:sz w:val="18"/>
          <w:szCs w:val="18"/>
          <w:highlight w:val="none"/>
          <w:lang w:val="en-US" w:eastAsia="zh-CN"/>
        </w:rPr>
        <w:t>2</w:t>
      </w:r>
      <w:r>
        <w:rPr>
          <w:rFonts w:hint="default" w:ascii="Times New Roman" w:hAnsi="Times New Roman" w:eastAsia="宋体" w:cs="Times New Roman"/>
          <w:color w:val="auto"/>
          <w:sz w:val="18"/>
          <w:szCs w:val="18"/>
          <w:highlight w:val="none"/>
        </w:rPr>
        <w:t xml:space="preserve">  Molds and Embedded Parts</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_Toc17941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61</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486C4144">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_Toc14362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8.</w:t>
      </w:r>
      <w:r>
        <w:rPr>
          <w:rFonts w:hint="default" w:ascii="Times New Roman" w:hAnsi="Times New Roman" w:eastAsia="宋体" w:cs="Times New Roman"/>
          <w:color w:val="auto"/>
          <w:sz w:val="18"/>
          <w:szCs w:val="18"/>
          <w:highlight w:val="none"/>
          <w:lang w:val="en-US" w:eastAsia="zh-CN"/>
        </w:rPr>
        <w:t>3</w:t>
      </w:r>
      <w:r>
        <w:rPr>
          <w:rFonts w:hint="default" w:ascii="Times New Roman" w:hAnsi="Times New Roman" w:eastAsia="宋体" w:cs="Times New Roman"/>
          <w:color w:val="auto"/>
          <w:sz w:val="18"/>
          <w:szCs w:val="18"/>
          <w:highlight w:val="none"/>
        </w:rPr>
        <w:t xml:space="preserve">  Reinforcement Processing and Installation</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_Toc14362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64</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7F76354A">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_Toc20178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8.</w:t>
      </w:r>
      <w:r>
        <w:rPr>
          <w:rFonts w:hint="default" w:ascii="Times New Roman" w:hAnsi="Times New Roman" w:eastAsia="宋体" w:cs="Times New Roman"/>
          <w:color w:val="auto"/>
          <w:sz w:val="18"/>
          <w:szCs w:val="18"/>
          <w:highlight w:val="none"/>
          <w:lang w:val="en-US" w:eastAsia="zh-CN"/>
        </w:rPr>
        <w:t>4</w:t>
      </w:r>
      <w:r>
        <w:rPr>
          <w:rFonts w:hint="default" w:ascii="Times New Roman" w:hAnsi="Times New Roman" w:eastAsia="宋体" w:cs="Times New Roman"/>
          <w:color w:val="auto"/>
          <w:sz w:val="18"/>
          <w:szCs w:val="18"/>
          <w:highlight w:val="none"/>
        </w:rPr>
        <w:t xml:space="preserve">  Forming, Curing, and Demolding</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_Toc20178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66</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788776C8">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_Toc20996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8.</w:t>
      </w:r>
      <w:r>
        <w:rPr>
          <w:rFonts w:hint="default" w:ascii="Times New Roman" w:hAnsi="Times New Roman" w:eastAsia="宋体" w:cs="Times New Roman"/>
          <w:color w:val="auto"/>
          <w:sz w:val="18"/>
          <w:szCs w:val="18"/>
          <w:highlight w:val="none"/>
          <w:lang w:val="en-US" w:eastAsia="zh-CN"/>
        </w:rPr>
        <w:t>5</w:t>
      </w:r>
      <w:r>
        <w:rPr>
          <w:rFonts w:hint="default" w:ascii="Times New Roman" w:hAnsi="Times New Roman" w:eastAsia="宋体" w:cs="Times New Roman"/>
          <w:color w:val="auto"/>
          <w:sz w:val="18"/>
          <w:szCs w:val="18"/>
          <w:highlight w:val="none"/>
        </w:rPr>
        <w:t xml:space="preserve">  Equipment/Pipeline Installation and Decoration</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_Toc20996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67</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2000E1CF">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_Toc2387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8.</w:t>
      </w:r>
      <w:r>
        <w:rPr>
          <w:rFonts w:hint="default" w:ascii="Times New Roman" w:hAnsi="Times New Roman" w:eastAsia="宋体" w:cs="Times New Roman"/>
          <w:color w:val="auto"/>
          <w:sz w:val="18"/>
          <w:szCs w:val="18"/>
          <w:highlight w:val="none"/>
          <w:lang w:val="en-US" w:eastAsia="zh-CN"/>
        </w:rPr>
        <w:t>6</w:t>
      </w:r>
      <w:r>
        <w:rPr>
          <w:rFonts w:hint="default" w:ascii="Times New Roman" w:hAnsi="Times New Roman" w:eastAsia="宋体" w:cs="Times New Roman"/>
          <w:color w:val="auto"/>
          <w:sz w:val="18"/>
          <w:szCs w:val="18"/>
          <w:highlight w:val="none"/>
        </w:rPr>
        <w:t xml:space="preserve">  Module Unit Inspection</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_Toc2387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69</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58D7096B">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_Toc7142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8.</w:t>
      </w:r>
      <w:r>
        <w:rPr>
          <w:rFonts w:hint="default" w:ascii="Times New Roman" w:hAnsi="Times New Roman" w:eastAsia="宋体" w:cs="Times New Roman"/>
          <w:color w:val="auto"/>
          <w:sz w:val="18"/>
          <w:szCs w:val="18"/>
          <w:highlight w:val="none"/>
          <w:lang w:val="en-US" w:eastAsia="zh-CN"/>
        </w:rPr>
        <w:t>7</w:t>
      </w:r>
      <w:r>
        <w:rPr>
          <w:rFonts w:hint="default" w:ascii="Times New Roman" w:hAnsi="Times New Roman" w:eastAsia="宋体" w:cs="Times New Roman"/>
          <w:color w:val="auto"/>
          <w:sz w:val="18"/>
          <w:szCs w:val="18"/>
          <w:highlight w:val="none"/>
        </w:rPr>
        <w:t xml:space="preserve">  Lifting, Storage, Protection, and Transportation</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_Toc7142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78</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6CE33327">
      <w:pPr>
        <w:pStyle w:val="20"/>
        <w:tabs>
          <w:tab w:val="right" w:leader="dot" w:pos="5919"/>
        </w:tabs>
        <w:rPr>
          <w:rFonts w:hint="default" w:ascii="Times New Roman" w:hAnsi="Times New Roman" w:eastAsia="宋体" w:cs="Times New Roman"/>
          <w:sz w:val="21"/>
          <w:szCs w:val="21"/>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_Toc2329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8.</w:t>
      </w:r>
      <w:r>
        <w:rPr>
          <w:rFonts w:hint="default" w:ascii="Times New Roman" w:hAnsi="Times New Roman" w:eastAsia="宋体" w:cs="Times New Roman"/>
          <w:color w:val="auto"/>
          <w:sz w:val="18"/>
          <w:szCs w:val="18"/>
          <w:highlight w:val="none"/>
          <w:lang w:val="en-US" w:eastAsia="zh-CN"/>
        </w:rPr>
        <w:t>8</w:t>
      </w:r>
      <w:r>
        <w:rPr>
          <w:rFonts w:hint="default" w:ascii="Times New Roman" w:hAnsi="Times New Roman" w:eastAsia="宋体" w:cs="Times New Roman"/>
          <w:color w:val="auto"/>
          <w:sz w:val="18"/>
          <w:szCs w:val="18"/>
          <w:highlight w:val="none"/>
        </w:rPr>
        <w:t xml:space="preserve">  Documentation and Delivery</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_Toc2329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80</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45C6E8A5">
      <w:pPr>
        <w:pStyle w:val="17"/>
        <w:tabs>
          <w:tab w:val="right" w:leader="dot" w:pos="5919"/>
          <w:tab w:val="clear" w:pos="1050"/>
          <w:tab w:val="clear" w:pos="13948"/>
        </w:tabs>
        <w:rPr>
          <w:rFonts w:hint="default" w:ascii="Times New Roman" w:hAnsi="Times New Roman" w:eastAsia="宋体" w:cs="Times New Roman"/>
          <w:highlight w:val="none"/>
        </w:rPr>
      </w:pPr>
      <w:r>
        <w:rPr>
          <w:rFonts w:hint="default" w:ascii="Times New Roman" w:hAnsi="Times New Roman" w:eastAsia="宋体" w:cs="Times New Roman"/>
          <w:bCs w:val="0"/>
          <w:color w:val="auto"/>
          <w:szCs w:val="21"/>
          <w:highlight w:val="none"/>
        </w:rPr>
        <w:fldChar w:fldCharType="begin"/>
      </w:r>
      <w:r>
        <w:rPr>
          <w:rFonts w:hint="default" w:ascii="Times New Roman" w:hAnsi="Times New Roman" w:eastAsia="宋体" w:cs="Times New Roman"/>
          <w:bCs w:val="0"/>
          <w:szCs w:val="21"/>
          <w:highlight w:val="none"/>
        </w:rPr>
        <w:instrText xml:space="preserve"> HYPERLINK \l _Toc10089 </w:instrText>
      </w:r>
      <w:r>
        <w:rPr>
          <w:rFonts w:hint="default" w:ascii="Times New Roman" w:hAnsi="Times New Roman" w:eastAsia="宋体" w:cs="Times New Roman"/>
          <w:bCs w:val="0"/>
          <w:szCs w:val="21"/>
          <w:highlight w:val="none"/>
        </w:rPr>
        <w:fldChar w:fldCharType="separate"/>
      </w:r>
      <w:r>
        <w:rPr>
          <w:rFonts w:hint="default" w:ascii="Times New Roman" w:hAnsi="Times New Roman" w:eastAsia="宋体" w:cs="Times New Roman"/>
          <w:szCs w:val="28"/>
          <w:highlight w:val="none"/>
        </w:rPr>
        <w:t xml:space="preserve">9  </w:t>
      </w:r>
      <w:r>
        <w:rPr>
          <w:rFonts w:ascii="Times New Roman" w:hAnsi="Times New Roman" w:eastAsia="黑体" w:cs="Times New Roman"/>
          <w:color w:val="auto"/>
          <w:szCs w:val="21"/>
          <w:highlight w:val="none"/>
        </w:rPr>
        <w:t>Construction and Installation</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_Toc10089 \h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82</w:t>
      </w:r>
      <w:r>
        <w:rPr>
          <w:rFonts w:hint="default" w:ascii="Times New Roman" w:hAnsi="Times New Roman" w:eastAsia="宋体" w:cs="Times New Roman"/>
          <w:highlight w:val="none"/>
        </w:rPr>
        <w:fldChar w:fldCharType="end"/>
      </w:r>
      <w:r>
        <w:rPr>
          <w:rFonts w:hint="default" w:ascii="Times New Roman" w:hAnsi="Times New Roman" w:eastAsia="宋体" w:cs="Times New Roman"/>
          <w:bCs w:val="0"/>
          <w:color w:val="auto"/>
          <w:szCs w:val="21"/>
          <w:highlight w:val="none"/>
        </w:rPr>
        <w:fldChar w:fldCharType="end"/>
      </w:r>
    </w:p>
    <w:p w14:paraId="7BE32F98">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_Toc23729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9.1  General Requirements</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_Toc23729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82</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42CD1966">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_Toc1631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9.2  Construction Preparation</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_Toc1631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83</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10A3D7D1">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_Toc32309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9.3  Modular Unit Installation</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_Toc32309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84</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601F5053">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_Toc964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9.4  Modular Unit Connection</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_Toc964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86</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29E95CF5">
      <w:pPr>
        <w:pStyle w:val="20"/>
        <w:tabs>
          <w:tab w:val="right" w:leader="dot" w:pos="5919"/>
        </w:tabs>
        <w:rPr>
          <w:rFonts w:hint="default" w:ascii="Times New Roman" w:hAnsi="Times New Roman" w:eastAsia="宋体" w:cs="Times New Roman"/>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_Toc2258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9.5  Construction Safety and Environmental Protection</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_Toc2258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87</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53A87137">
      <w:pPr>
        <w:pStyle w:val="17"/>
        <w:tabs>
          <w:tab w:val="right" w:leader="dot" w:pos="5919"/>
          <w:tab w:val="clear" w:pos="1050"/>
          <w:tab w:val="clear" w:pos="13948"/>
        </w:tabs>
        <w:rPr>
          <w:rFonts w:hint="default" w:ascii="Times New Roman" w:hAnsi="Times New Roman" w:eastAsia="宋体" w:cs="Times New Roman"/>
          <w:highlight w:val="none"/>
        </w:rPr>
      </w:pPr>
      <w:r>
        <w:rPr>
          <w:rFonts w:hint="default" w:ascii="Times New Roman" w:hAnsi="Times New Roman" w:eastAsia="宋体" w:cs="Times New Roman"/>
          <w:bCs w:val="0"/>
          <w:color w:val="auto"/>
          <w:szCs w:val="21"/>
          <w:highlight w:val="none"/>
        </w:rPr>
        <w:fldChar w:fldCharType="begin"/>
      </w:r>
      <w:r>
        <w:rPr>
          <w:rFonts w:hint="default" w:ascii="Times New Roman" w:hAnsi="Times New Roman" w:eastAsia="宋体" w:cs="Times New Roman"/>
          <w:bCs w:val="0"/>
          <w:szCs w:val="21"/>
          <w:highlight w:val="none"/>
        </w:rPr>
        <w:instrText xml:space="preserve"> HYPERLINK \l _Toc25005 </w:instrText>
      </w:r>
      <w:r>
        <w:rPr>
          <w:rFonts w:hint="default" w:ascii="Times New Roman" w:hAnsi="Times New Roman" w:eastAsia="宋体" w:cs="Times New Roman"/>
          <w:bCs w:val="0"/>
          <w:szCs w:val="21"/>
          <w:highlight w:val="none"/>
        </w:rPr>
        <w:fldChar w:fldCharType="separate"/>
      </w:r>
      <w:r>
        <w:rPr>
          <w:rFonts w:hint="default" w:ascii="Times New Roman" w:hAnsi="Times New Roman" w:eastAsia="宋体" w:cs="Times New Roman"/>
          <w:szCs w:val="28"/>
          <w:highlight w:val="none"/>
        </w:rPr>
        <w:t xml:space="preserve">10  </w:t>
      </w:r>
      <w:r>
        <w:rPr>
          <w:rFonts w:ascii="Times New Roman" w:hAnsi="Times New Roman" w:eastAsia="黑体" w:cs="Times New Roman"/>
          <w:color w:val="auto"/>
          <w:szCs w:val="21"/>
          <w:highlight w:val="none"/>
        </w:rPr>
        <w:t>Quality Acceptance</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_Toc25005 \h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90</w:t>
      </w:r>
      <w:r>
        <w:rPr>
          <w:rFonts w:hint="default" w:ascii="Times New Roman" w:hAnsi="Times New Roman" w:eastAsia="宋体" w:cs="Times New Roman"/>
          <w:highlight w:val="none"/>
        </w:rPr>
        <w:fldChar w:fldCharType="end"/>
      </w:r>
      <w:r>
        <w:rPr>
          <w:rFonts w:hint="default" w:ascii="Times New Roman" w:hAnsi="Times New Roman" w:eastAsia="宋体" w:cs="Times New Roman"/>
          <w:bCs w:val="0"/>
          <w:color w:val="auto"/>
          <w:szCs w:val="21"/>
          <w:highlight w:val="none"/>
        </w:rPr>
        <w:fldChar w:fldCharType="end"/>
      </w:r>
    </w:p>
    <w:p w14:paraId="7F5D8BD8">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_Toc25463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10.1  General Requirements</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_Toc25463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90</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2CDD451E">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_Toc11187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10.2  Modular Unit On-site Acceptance</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_Toc11187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93</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44A063D7">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_Toc21027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10.3  Module Unit Installation and Connection</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_Toc21027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94</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5703137C">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_Toc27030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10.4  Equipment Pipeline Installation</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_Toc27030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97</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0B881928">
      <w:pPr>
        <w:pStyle w:val="20"/>
        <w:tabs>
          <w:tab w:val="right" w:leader="dot" w:pos="5919"/>
        </w:tabs>
        <w:rPr>
          <w:rFonts w:hint="default" w:ascii="Times New Roman" w:hAnsi="Times New Roman" w:eastAsia="宋体" w:cs="Times New Roman"/>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_Toc10853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10.5  Physical Inspection</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_Toc10853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98</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34D74805">
      <w:pPr>
        <w:pStyle w:val="17"/>
        <w:tabs>
          <w:tab w:val="right" w:leader="dot" w:pos="5919"/>
          <w:tab w:val="clear" w:pos="1050"/>
          <w:tab w:val="clear" w:pos="13948"/>
        </w:tabs>
        <w:rPr>
          <w:rFonts w:hint="default" w:ascii="Times New Roman" w:hAnsi="Times New Roman" w:eastAsia="宋体" w:cs="Times New Roman"/>
          <w:highlight w:val="none"/>
        </w:rPr>
      </w:pPr>
      <w:r>
        <w:rPr>
          <w:rFonts w:hint="default" w:ascii="Times New Roman" w:hAnsi="Times New Roman" w:eastAsia="宋体" w:cs="Times New Roman"/>
          <w:bCs w:val="0"/>
          <w:color w:val="auto"/>
          <w:szCs w:val="21"/>
          <w:highlight w:val="none"/>
        </w:rPr>
        <w:fldChar w:fldCharType="begin"/>
      </w:r>
      <w:r>
        <w:rPr>
          <w:rFonts w:hint="default" w:ascii="Times New Roman" w:hAnsi="Times New Roman" w:eastAsia="宋体" w:cs="Times New Roman"/>
          <w:bCs w:val="0"/>
          <w:szCs w:val="21"/>
          <w:highlight w:val="none"/>
        </w:rPr>
        <w:instrText xml:space="preserve"> HYPERLINK \l _Toc7219 </w:instrText>
      </w:r>
      <w:r>
        <w:rPr>
          <w:rFonts w:hint="default" w:ascii="Times New Roman" w:hAnsi="Times New Roman" w:eastAsia="宋体" w:cs="Times New Roman"/>
          <w:bCs w:val="0"/>
          <w:szCs w:val="21"/>
          <w:highlight w:val="none"/>
        </w:rPr>
        <w:fldChar w:fldCharType="separate"/>
      </w:r>
      <w:r>
        <w:rPr>
          <w:rFonts w:hint="default" w:ascii="Times New Roman" w:hAnsi="Times New Roman" w:eastAsia="宋体" w:cs="Times New Roman"/>
          <w:szCs w:val="28"/>
          <w:highlight w:val="none"/>
        </w:rPr>
        <w:t xml:space="preserve">11  </w:t>
      </w:r>
      <w:r>
        <w:rPr>
          <w:rFonts w:ascii="Times New Roman" w:hAnsi="Times New Roman" w:eastAsia="Segoe UI" w:cs="Times New Roman"/>
          <w:color w:val="auto"/>
          <w:szCs w:val="21"/>
          <w:highlight w:val="none"/>
        </w:rPr>
        <w:t>Intelligent Construction and Operation</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_Toc7219 \h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99</w:t>
      </w:r>
      <w:r>
        <w:rPr>
          <w:rFonts w:hint="default" w:ascii="Times New Roman" w:hAnsi="Times New Roman" w:eastAsia="宋体" w:cs="Times New Roman"/>
          <w:highlight w:val="none"/>
        </w:rPr>
        <w:fldChar w:fldCharType="end"/>
      </w:r>
      <w:r>
        <w:rPr>
          <w:rFonts w:hint="default" w:ascii="Times New Roman" w:hAnsi="Times New Roman" w:eastAsia="宋体" w:cs="Times New Roman"/>
          <w:bCs w:val="0"/>
          <w:color w:val="auto"/>
          <w:szCs w:val="21"/>
          <w:highlight w:val="none"/>
        </w:rPr>
        <w:fldChar w:fldCharType="end"/>
      </w:r>
    </w:p>
    <w:p w14:paraId="42239A56">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_Toc3335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11.1  General Requirements</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_Toc3335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99</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03EF4AE4">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_Toc32519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11.2  Building Information Modeling</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_Toc32519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99</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0BA9C21A">
      <w:pPr>
        <w:pStyle w:val="20"/>
        <w:tabs>
          <w:tab w:val="right" w:leader="dot" w:pos="5919"/>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_Toc22018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11.3  Intelligent Production and Transportation</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_Toc22018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100</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471B3663">
      <w:pPr>
        <w:pStyle w:val="20"/>
        <w:tabs>
          <w:tab w:val="right" w:leader="dot" w:pos="5919"/>
        </w:tabs>
        <w:rPr>
          <w:rFonts w:hint="default" w:ascii="Times New Roman" w:hAnsi="Times New Roman" w:eastAsia="宋体" w:cs="Times New Roman"/>
          <w:highlight w:val="none"/>
        </w:rPr>
      </w:pP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HYPERLINK \l _Toc6859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11.4  Digital Construction</w:t>
      </w:r>
      <w:r>
        <w:rPr>
          <w:rFonts w:hint="default" w:ascii="Times New Roman" w:hAnsi="Times New Roman" w:eastAsia="宋体" w:cs="Times New Roman"/>
          <w:color w:val="auto"/>
          <w:sz w:val="18"/>
          <w:szCs w:val="18"/>
          <w:highlight w:val="none"/>
        </w:rPr>
        <w:tab/>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PAGEREF _Toc6859 \h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100</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fldChar w:fldCharType="end"/>
      </w:r>
    </w:p>
    <w:p w14:paraId="1181E263">
      <w:pPr>
        <w:pStyle w:val="17"/>
        <w:tabs>
          <w:tab w:val="right" w:leader="dot" w:pos="5919"/>
          <w:tab w:val="clear" w:pos="1050"/>
          <w:tab w:val="clear" w:pos="13948"/>
        </w:tabs>
        <w:rPr>
          <w:rFonts w:hint="default" w:ascii="Times New Roman" w:hAnsi="Times New Roman" w:eastAsia="宋体" w:cs="Times New Roman"/>
          <w:highlight w:val="none"/>
        </w:rPr>
      </w:pPr>
      <w:r>
        <w:rPr>
          <w:rFonts w:hint="default" w:ascii="Times New Roman" w:hAnsi="Times New Roman" w:eastAsia="宋体" w:cs="Times New Roman"/>
          <w:bCs w:val="0"/>
          <w:color w:val="auto"/>
          <w:szCs w:val="21"/>
          <w:highlight w:val="none"/>
        </w:rPr>
        <w:fldChar w:fldCharType="begin"/>
      </w:r>
      <w:r>
        <w:rPr>
          <w:rFonts w:hint="default" w:ascii="Times New Roman" w:hAnsi="Times New Roman" w:eastAsia="宋体" w:cs="Times New Roman"/>
          <w:bCs w:val="0"/>
          <w:szCs w:val="21"/>
          <w:highlight w:val="none"/>
        </w:rPr>
        <w:instrText xml:space="preserve"> HYPERLINK \l _Toc15665 </w:instrText>
      </w:r>
      <w:r>
        <w:rPr>
          <w:rFonts w:hint="default" w:ascii="Times New Roman" w:hAnsi="Times New Roman" w:eastAsia="宋体" w:cs="Times New Roman"/>
          <w:bCs w:val="0"/>
          <w:szCs w:val="21"/>
          <w:highlight w:val="none"/>
        </w:rPr>
        <w:fldChar w:fldCharType="separate"/>
      </w:r>
      <w:r>
        <w:rPr>
          <w:rFonts w:ascii="Times New Roman" w:hAnsi="Times New Roman" w:eastAsia="黑体" w:cs="Times New Roman"/>
          <w:color w:val="auto"/>
          <w:szCs w:val="21"/>
          <w:highlight w:val="none"/>
        </w:rPr>
        <w:t>Appendix</w:t>
      </w:r>
      <w:r>
        <w:rPr>
          <w:rFonts w:hint="eastAsia" w:ascii="Times New Roman" w:hAnsi="Times New Roman" w:eastAsia="黑体" w:cs="Times New Roman"/>
          <w:color w:val="auto"/>
          <w:szCs w:val="21"/>
          <w:highlight w:val="none"/>
          <w:lang w:val="en-US" w:eastAsia="zh-CN"/>
        </w:rPr>
        <w:t xml:space="preserve"> </w:t>
      </w:r>
      <w:r>
        <w:rPr>
          <w:rFonts w:ascii="Times New Roman" w:hAnsi="Times New Roman" w:eastAsia="黑体" w:cs="Times New Roman"/>
          <w:color w:val="auto"/>
          <w:szCs w:val="21"/>
          <w:highlight w:val="none"/>
        </w:rPr>
        <w:t xml:space="preserve">A </w:t>
      </w:r>
      <w:r>
        <w:rPr>
          <w:rFonts w:hint="eastAsia" w:ascii="Times New Roman" w:hAnsi="Times New Roman" w:eastAsia="黑体" w:cs="Times New Roman"/>
          <w:color w:val="auto"/>
          <w:szCs w:val="21"/>
          <w:highlight w:val="none"/>
          <w:lang w:val="en-US" w:eastAsia="zh-CN"/>
        </w:rPr>
        <w:t xml:space="preserve"> </w:t>
      </w:r>
      <w:r>
        <w:rPr>
          <w:rFonts w:ascii="Times New Roman" w:hAnsi="Times New Roman" w:eastAsia="Segoe UI" w:cs="Times New Roman"/>
          <w:color w:val="auto"/>
          <w:szCs w:val="21"/>
          <w:highlight w:val="none"/>
        </w:rPr>
        <w:t>Modular Unit Decoration Quality Inspection Repor</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_Toc15665 \h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102</w:t>
      </w:r>
      <w:r>
        <w:rPr>
          <w:rFonts w:hint="default" w:ascii="Times New Roman" w:hAnsi="Times New Roman" w:eastAsia="宋体" w:cs="Times New Roman"/>
          <w:highlight w:val="none"/>
        </w:rPr>
        <w:fldChar w:fldCharType="end"/>
      </w:r>
      <w:r>
        <w:rPr>
          <w:rFonts w:hint="default" w:ascii="Times New Roman" w:hAnsi="Times New Roman" w:eastAsia="宋体" w:cs="Times New Roman"/>
          <w:bCs w:val="0"/>
          <w:color w:val="auto"/>
          <w:szCs w:val="21"/>
          <w:highlight w:val="none"/>
        </w:rPr>
        <w:fldChar w:fldCharType="end"/>
      </w:r>
    </w:p>
    <w:p w14:paraId="4696C525">
      <w:pPr>
        <w:pStyle w:val="17"/>
        <w:tabs>
          <w:tab w:val="right" w:leader="dot" w:pos="5919"/>
          <w:tab w:val="clear" w:pos="1050"/>
          <w:tab w:val="clear" w:pos="13948"/>
        </w:tabs>
        <w:rPr>
          <w:rFonts w:hint="default" w:ascii="Times New Roman" w:hAnsi="Times New Roman" w:eastAsia="宋体" w:cs="Times New Roman"/>
          <w:bCs w:val="0"/>
          <w:color w:val="auto"/>
          <w:szCs w:val="21"/>
          <w:highlight w:val="none"/>
        </w:rPr>
      </w:pPr>
      <w:r>
        <w:rPr>
          <w:rFonts w:hint="default" w:ascii="Times New Roman" w:hAnsi="Times New Roman" w:eastAsia="宋体" w:cs="Times New Roman"/>
          <w:bCs w:val="0"/>
          <w:color w:val="auto"/>
          <w:szCs w:val="21"/>
          <w:highlight w:val="none"/>
        </w:rPr>
        <w:fldChar w:fldCharType="begin"/>
      </w:r>
      <w:r>
        <w:rPr>
          <w:rFonts w:hint="default" w:ascii="Times New Roman" w:hAnsi="Times New Roman" w:eastAsia="宋体" w:cs="Times New Roman"/>
          <w:bCs w:val="0"/>
          <w:szCs w:val="21"/>
          <w:highlight w:val="none"/>
        </w:rPr>
        <w:instrText xml:space="preserve"> HYPERLINK \l _Toc23024 </w:instrText>
      </w:r>
      <w:r>
        <w:rPr>
          <w:rFonts w:hint="default" w:ascii="Times New Roman" w:hAnsi="Times New Roman" w:eastAsia="宋体" w:cs="Times New Roman"/>
          <w:bCs w:val="0"/>
          <w:szCs w:val="21"/>
          <w:highlight w:val="none"/>
        </w:rPr>
        <w:fldChar w:fldCharType="separate"/>
      </w:r>
      <w:r>
        <w:rPr>
          <w:rFonts w:ascii="Times New Roman" w:hAnsi="Times New Roman" w:eastAsia="黑体" w:cs="Times New Roman"/>
          <w:color w:val="auto"/>
          <w:szCs w:val="21"/>
          <w:highlight w:val="none"/>
        </w:rPr>
        <w:t xml:space="preserve">Appendix B  </w:t>
      </w:r>
      <w:r>
        <w:rPr>
          <w:rFonts w:ascii="Times New Roman" w:hAnsi="Times New Roman" w:eastAsia="Segoe UI" w:cs="Times New Roman"/>
          <w:color w:val="auto"/>
          <w:szCs w:val="21"/>
          <w:highlight w:val="none"/>
        </w:rPr>
        <w:t>Modular Unit Hoisting Test</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_Toc23024 \h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107</w:t>
      </w:r>
      <w:r>
        <w:rPr>
          <w:rFonts w:hint="default" w:ascii="Times New Roman" w:hAnsi="Times New Roman" w:eastAsia="宋体" w:cs="Times New Roman"/>
          <w:highlight w:val="none"/>
        </w:rPr>
        <w:fldChar w:fldCharType="end"/>
      </w:r>
      <w:r>
        <w:rPr>
          <w:rFonts w:hint="default" w:ascii="Times New Roman" w:hAnsi="Times New Roman" w:eastAsia="宋体" w:cs="Times New Roman"/>
          <w:bCs w:val="0"/>
          <w:color w:val="auto"/>
          <w:szCs w:val="21"/>
          <w:highlight w:val="none"/>
        </w:rPr>
        <w:fldChar w:fldCharType="end"/>
      </w:r>
    </w:p>
    <w:p w14:paraId="1F790E76">
      <w:pPr>
        <w:pStyle w:val="17"/>
        <w:tabs>
          <w:tab w:val="right" w:leader="dot" w:pos="5919"/>
          <w:tab w:val="clear" w:pos="1050"/>
          <w:tab w:val="clear" w:pos="13948"/>
        </w:tabs>
        <w:rPr>
          <w:rFonts w:hint="default" w:eastAsia="宋体"/>
          <w:highlight w:val="none"/>
          <w:lang w:val="en-US" w:eastAsia="zh-CN"/>
        </w:rPr>
      </w:pPr>
      <w:r>
        <w:rPr>
          <w:rFonts w:hint="default" w:ascii="Times New Roman" w:hAnsi="Times New Roman" w:eastAsia="宋体" w:cs="Times New Roman"/>
          <w:bCs w:val="0"/>
          <w:color w:val="auto"/>
          <w:szCs w:val="21"/>
          <w:highlight w:val="none"/>
        </w:rPr>
        <w:fldChar w:fldCharType="begin"/>
      </w:r>
      <w:r>
        <w:rPr>
          <w:rFonts w:hint="default" w:ascii="Times New Roman" w:hAnsi="Times New Roman" w:eastAsia="宋体" w:cs="Times New Roman"/>
          <w:bCs w:val="0"/>
          <w:szCs w:val="21"/>
          <w:highlight w:val="none"/>
        </w:rPr>
        <w:instrText xml:space="preserve"> HYPERLINK \l _Toc13648 </w:instrText>
      </w:r>
      <w:r>
        <w:rPr>
          <w:rFonts w:hint="default" w:ascii="Times New Roman" w:hAnsi="Times New Roman" w:eastAsia="宋体" w:cs="Times New Roman"/>
          <w:bCs w:val="0"/>
          <w:szCs w:val="21"/>
          <w:highlight w:val="none"/>
        </w:rPr>
        <w:fldChar w:fldCharType="separate"/>
      </w:r>
      <w:r>
        <w:rPr>
          <w:rFonts w:ascii="Times New Roman" w:hAnsi="Times New Roman" w:eastAsia="黑体" w:cs="Times New Roman"/>
          <w:color w:val="auto"/>
          <w:szCs w:val="21"/>
          <w:highlight w:val="none"/>
        </w:rPr>
        <w:t xml:space="preserve">Appendix C  </w:t>
      </w:r>
      <w:r>
        <w:rPr>
          <w:rFonts w:ascii="Times New Roman" w:hAnsi="Times New Roman" w:eastAsia="Segoe UI" w:cs="Times New Roman"/>
          <w:color w:val="auto"/>
          <w:szCs w:val="21"/>
          <w:highlight w:val="none"/>
        </w:rPr>
        <w:t>Modular Unit Factory Certificate</w:t>
      </w:r>
      <w:r>
        <w:rPr>
          <w:rFonts w:hint="default" w:ascii="Times New Roman" w:hAnsi="Times New Roman" w:eastAsia="宋体" w:cs="Times New Roman"/>
          <w:highlight w:val="none"/>
        </w:rPr>
        <w:tab/>
      </w:r>
      <w:r>
        <w:rPr>
          <w:rFonts w:hint="eastAsia" w:ascii="Times New Roman" w:hAnsi="Times New Roman" w:eastAsia="宋体" w:cs="Times New Roman"/>
          <w:highlight w:val="none"/>
          <w:lang w:val="en-US" w:eastAsia="zh-CN"/>
        </w:rPr>
        <w:t>1</w:t>
      </w:r>
      <w:r>
        <w:rPr>
          <w:rFonts w:hint="default" w:ascii="Times New Roman" w:hAnsi="Times New Roman" w:eastAsia="宋体" w:cs="Times New Roman"/>
          <w:bCs w:val="0"/>
          <w:color w:val="auto"/>
          <w:szCs w:val="21"/>
          <w:highlight w:val="none"/>
        </w:rPr>
        <w:fldChar w:fldCharType="end"/>
      </w:r>
      <w:r>
        <w:rPr>
          <w:rFonts w:hint="eastAsia" w:ascii="Times New Roman" w:hAnsi="Times New Roman" w:eastAsia="宋体" w:cs="Times New Roman"/>
          <w:bCs w:val="0"/>
          <w:color w:val="auto"/>
          <w:szCs w:val="21"/>
          <w:highlight w:val="none"/>
          <w:lang w:val="en-US" w:eastAsia="zh-CN"/>
        </w:rPr>
        <w:t>07</w:t>
      </w:r>
    </w:p>
    <w:p w14:paraId="11DE8659">
      <w:pPr>
        <w:pStyle w:val="17"/>
        <w:tabs>
          <w:tab w:val="right" w:leader="dot" w:pos="5919"/>
          <w:tab w:val="clear" w:pos="1050"/>
          <w:tab w:val="clear" w:pos="13948"/>
        </w:tabs>
        <w:rPr>
          <w:rFonts w:hint="default" w:ascii="Times New Roman" w:hAnsi="Times New Roman" w:eastAsia="宋体" w:cs="Times New Roman"/>
          <w:highlight w:val="none"/>
        </w:rPr>
      </w:pPr>
      <w:r>
        <w:rPr>
          <w:rFonts w:hint="default" w:ascii="Times New Roman" w:hAnsi="Times New Roman" w:eastAsia="宋体" w:cs="Times New Roman"/>
          <w:bCs w:val="0"/>
          <w:color w:val="auto"/>
          <w:szCs w:val="21"/>
          <w:highlight w:val="none"/>
        </w:rPr>
        <w:fldChar w:fldCharType="begin"/>
      </w:r>
      <w:r>
        <w:rPr>
          <w:rFonts w:hint="default" w:ascii="Times New Roman" w:hAnsi="Times New Roman" w:eastAsia="宋体" w:cs="Times New Roman"/>
          <w:bCs w:val="0"/>
          <w:szCs w:val="21"/>
          <w:highlight w:val="none"/>
        </w:rPr>
        <w:instrText xml:space="preserve"> HYPERLINK \l _Toc5639 </w:instrText>
      </w:r>
      <w:r>
        <w:rPr>
          <w:rFonts w:hint="default" w:ascii="Times New Roman" w:hAnsi="Times New Roman" w:eastAsia="宋体" w:cs="Times New Roman"/>
          <w:bCs w:val="0"/>
          <w:szCs w:val="21"/>
          <w:highlight w:val="none"/>
        </w:rPr>
        <w:fldChar w:fldCharType="separate"/>
      </w:r>
      <w:r>
        <w:rPr>
          <w:rStyle w:val="28"/>
          <w:rFonts w:ascii="Times New Roman" w:hAnsi="Times New Roman" w:eastAsia="Segoe UI" w:cs="Times New Roman"/>
          <w:b w:val="0"/>
          <w:bCs w:val="0"/>
          <w:color w:val="auto"/>
          <w:szCs w:val="21"/>
          <w:highlight w:val="none"/>
        </w:rPr>
        <w:t>Explanatory Notes on Wording</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_Toc5639 \h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109</w:t>
      </w:r>
      <w:r>
        <w:rPr>
          <w:rFonts w:hint="default" w:ascii="Times New Roman" w:hAnsi="Times New Roman" w:eastAsia="宋体" w:cs="Times New Roman"/>
          <w:highlight w:val="none"/>
        </w:rPr>
        <w:fldChar w:fldCharType="end"/>
      </w:r>
      <w:r>
        <w:rPr>
          <w:rFonts w:hint="default" w:ascii="Times New Roman" w:hAnsi="Times New Roman" w:eastAsia="宋体" w:cs="Times New Roman"/>
          <w:bCs w:val="0"/>
          <w:color w:val="auto"/>
          <w:szCs w:val="21"/>
          <w:highlight w:val="none"/>
        </w:rPr>
        <w:fldChar w:fldCharType="end"/>
      </w:r>
    </w:p>
    <w:p w14:paraId="02A836E1">
      <w:pPr>
        <w:pStyle w:val="17"/>
        <w:tabs>
          <w:tab w:val="right" w:leader="dot" w:pos="5919"/>
          <w:tab w:val="clear" w:pos="1050"/>
          <w:tab w:val="clear" w:pos="13948"/>
        </w:tabs>
        <w:rPr>
          <w:rFonts w:hint="default" w:ascii="Times New Roman" w:hAnsi="Times New Roman" w:eastAsia="宋体" w:cs="Times New Roman"/>
          <w:highlight w:val="none"/>
        </w:rPr>
      </w:pPr>
      <w:r>
        <w:rPr>
          <w:rFonts w:hint="default" w:ascii="Times New Roman" w:hAnsi="Times New Roman" w:eastAsia="宋体" w:cs="Times New Roman"/>
          <w:bCs w:val="0"/>
          <w:color w:val="auto"/>
          <w:szCs w:val="21"/>
          <w:highlight w:val="none"/>
        </w:rPr>
        <w:fldChar w:fldCharType="begin"/>
      </w:r>
      <w:r>
        <w:rPr>
          <w:rFonts w:hint="default" w:ascii="Times New Roman" w:hAnsi="Times New Roman" w:eastAsia="宋体" w:cs="Times New Roman"/>
          <w:bCs w:val="0"/>
          <w:szCs w:val="21"/>
          <w:highlight w:val="none"/>
        </w:rPr>
        <w:instrText xml:space="preserve"> HYPERLINK \l _Toc17488 </w:instrText>
      </w:r>
      <w:r>
        <w:rPr>
          <w:rFonts w:hint="default" w:ascii="Times New Roman" w:hAnsi="Times New Roman" w:eastAsia="宋体" w:cs="Times New Roman"/>
          <w:bCs w:val="0"/>
          <w:szCs w:val="21"/>
          <w:highlight w:val="none"/>
        </w:rPr>
        <w:fldChar w:fldCharType="separate"/>
      </w:r>
      <w:r>
        <w:rPr>
          <w:rStyle w:val="28"/>
          <w:rFonts w:ascii="Times New Roman" w:hAnsi="Times New Roman" w:eastAsia="Segoe UI" w:cs="Times New Roman"/>
          <w:b w:val="0"/>
          <w:bCs w:val="0"/>
          <w:color w:val="auto"/>
          <w:szCs w:val="21"/>
          <w:highlight w:val="none"/>
        </w:rPr>
        <w:t>List of Referenced Standards</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_Toc17488 \h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110</w:t>
      </w:r>
      <w:r>
        <w:rPr>
          <w:rFonts w:hint="default" w:ascii="Times New Roman" w:hAnsi="Times New Roman" w:eastAsia="宋体" w:cs="Times New Roman"/>
          <w:highlight w:val="none"/>
        </w:rPr>
        <w:fldChar w:fldCharType="end"/>
      </w:r>
      <w:r>
        <w:rPr>
          <w:rFonts w:hint="default" w:ascii="Times New Roman" w:hAnsi="Times New Roman" w:eastAsia="宋体" w:cs="Times New Roman"/>
          <w:bCs w:val="0"/>
          <w:color w:val="auto"/>
          <w:szCs w:val="21"/>
          <w:highlight w:val="none"/>
        </w:rPr>
        <w:fldChar w:fldCharType="end"/>
      </w:r>
    </w:p>
    <w:p w14:paraId="7CCDBF5D">
      <w:pPr>
        <w:pStyle w:val="17"/>
        <w:tabs>
          <w:tab w:val="right" w:leader="dot" w:pos="5919"/>
          <w:tab w:val="clear" w:pos="1050"/>
          <w:tab w:val="clear" w:pos="13948"/>
        </w:tabs>
        <w:rPr>
          <w:rFonts w:hint="default" w:ascii="Times New Roman" w:hAnsi="Times New Roman" w:cs="Times New Roman"/>
          <w:highlight w:val="none"/>
        </w:rPr>
      </w:pPr>
      <w:r>
        <w:rPr>
          <w:rFonts w:hint="default" w:ascii="Times New Roman" w:hAnsi="Times New Roman" w:eastAsia="宋体" w:cs="Times New Roman"/>
          <w:bCs w:val="0"/>
          <w:color w:val="auto"/>
          <w:szCs w:val="21"/>
          <w:highlight w:val="none"/>
        </w:rPr>
        <w:fldChar w:fldCharType="begin"/>
      </w:r>
      <w:r>
        <w:rPr>
          <w:rFonts w:hint="default" w:ascii="Times New Roman" w:hAnsi="Times New Roman" w:eastAsia="宋体" w:cs="Times New Roman"/>
          <w:bCs w:val="0"/>
          <w:szCs w:val="21"/>
          <w:highlight w:val="none"/>
        </w:rPr>
        <w:instrText xml:space="preserve"> HYPERLINK \l _Toc3413 </w:instrText>
      </w:r>
      <w:r>
        <w:rPr>
          <w:rFonts w:hint="default" w:ascii="Times New Roman" w:hAnsi="Times New Roman" w:eastAsia="宋体" w:cs="Times New Roman"/>
          <w:bCs w:val="0"/>
          <w:szCs w:val="21"/>
          <w:highlight w:val="none"/>
        </w:rPr>
        <w:fldChar w:fldCharType="separate"/>
      </w:r>
      <w:r>
        <w:rPr>
          <w:rStyle w:val="28"/>
          <w:rFonts w:ascii="Times New Roman" w:hAnsi="Times New Roman" w:eastAsia="Segoe UI" w:cs="Times New Roman"/>
          <w:b w:val="0"/>
          <w:bCs w:val="0"/>
          <w:color w:val="auto"/>
          <w:szCs w:val="21"/>
          <w:highlight w:val="none"/>
        </w:rPr>
        <w:t>Technical Commentary</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_Toc3413 \h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114</w:t>
      </w:r>
      <w:r>
        <w:rPr>
          <w:rFonts w:hint="default" w:ascii="Times New Roman" w:hAnsi="Times New Roman" w:eastAsia="宋体" w:cs="Times New Roman"/>
          <w:highlight w:val="none"/>
        </w:rPr>
        <w:fldChar w:fldCharType="end"/>
      </w:r>
      <w:r>
        <w:rPr>
          <w:rFonts w:hint="default" w:ascii="Times New Roman" w:hAnsi="Times New Roman" w:eastAsia="宋体" w:cs="Times New Roman"/>
          <w:bCs w:val="0"/>
          <w:color w:val="auto"/>
          <w:szCs w:val="21"/>
          <w:highlight w:val="none"/>
        </w:rPr>
        <w:fldChar w:fldCharType="end"/>
      </w:r>
    </w:p>
    <w:p w14:paraId="7022C4DF">
      <w:pPr>
        <w:spacing w:line="360" w:lineRule="exact"/>
        <w:rPr>
          <w:color w:val="auto"/>
          <w:szCs w:val="21"/>
          <w:highlight w:val="none"/>
        </w:rPr>
        <w:sectPr>
          <w:pgSz w:w="7937" w:h="11509"/>
          <w:pgMar w:top="1083" w:right="1009" w:bottom="1083" w:left="1009" w:header="851" w:footer="992" w:gutter="0"/>
          <w:pgNumType w:fmt="decimal" w:start="1"/>
          <w:cols w:space="0" w:num="1"/>
          <w:docGrid w:type="linesAndChars" w:linePitch="333" w:charSpace="2165"/>
        </w:sectPr>
      </w:pPr>
      <w:r>
        <w:rPr>
          <w:rFonts w:hint="default" w:ascii="Times New Roman" w:hAnsi="Times New Roman" w:cs="Times New Roman"/>
          <w:bCs w:val="0"/>
          <w:color w:val="auto"/>
          <w:szCs w:val="21"/>
          <w:highlight w:val="none"/>
        </w:rPr>
        <w:fldChar w:fldCharType="end"/>
      </w:r>
    </w:p>
    <w:p w14:paraId="2127C93E">
      <w:pPr>
        <w:pStyle w:val="2"/>
        <w:spacing w:before="166" w:beforeLines="50" w:after="166" w:afterLines="50" w:line="360" w:lineRule="auto"/>
        <w:jc w:val="center"/>
        <w:rPr>
          <w:rFonts w:eastAsia="黑体"/>
          <w:color w:val="auto"/>
          <w:sz w:val="28"/>
          <w:szCs w:val="28"/>
          <w:highlight w:val="none"/>
        </w:rPr>
      </w:pPr>
      <w:bookmarkStart w:id="26" w:name="_Toc28144"/>
      <w:bookmarkStart w:id="27" w:name="_Toc10799"/>
      <w:bookmarkStart w:id="28" w:name="_Toc110952695"/>
      <w:bookmarkStart w:id="29" w:name="_Toc5350"/>
      <w:bookmarkStart w:id="30" w:name="_Toc32485"/>
      <w:bookmarkStart w:id="31" w:name="_Toc19501"/>
      <w:bookmarkStart w:id="32" w:name="_Toc15869"/>
      <w:bookmarkStart w:id="33" w:name="_Toc31478"/>
      <w:bookmarkStart w:id="34" w:name="_Toc219"/>
      <w:bookmarkStart w:id="35" w:name="_Toc5428"/>
      <w:bookmarkStart w:id="36" w:name="_Toc110958463"/>
      <w:bookmarkStart w:id="37" w:name="_Toc93999724"/>
      <w:bookmarkStart w:id="38" w:name="_Toc82523962"/>
      <w:bookmarkStart w:id="39" w:name="_Toc93998963"/>
      <w:r>
        <w:rPr>
          <w:rFonts w:eastAsia="黑体"/>
          <w:color w:val="auto"/>
          <w:sz w:val="28"/>
          <w:szCs w:val="28"/>
          <w:highlight w:val="none"/>
        </w:rPr>
        <w:t>1  总    则</w:t>
      </w:r>
      <w:bookmarkEnd w:id="26"/>
      <w:bookmarkEnd w:id="27"/>
      <w:bookmarkEnd w:id="28"/>
      <w:bookmarkEnd w:id="29"/>
      <w:bookmarkEnd w:id="30"/>
      <w:bookmarkEnd w:id="31"/>
      <w:bookmarkEnd w:id="32"/>
      <w:bookmarkEnd w:id="33"/>
      <w:bookmarkEnd w:id="34"/>
      <w:bookmarkEnd w:id="35"/>
      <w:bookmarkEnd w:id="36"/>
    </w:p>
    <w:p w14:paraId="2FF6506A">
      <w:pPr>
        <w:spacing w:line="360" w:lineRule="exact"/>
        <w:rPr>
          <w:color w:val="auto"/>
          <w:szCs w:val="21"/>
          <w:highlight w:val="none"/>
        </w:rPr>
      </w:pPr>
      <w:r>
        <w:rPr>
          <w:b/>
          <w:bCs/>
          <w:color w:val="auto"/>
          <w:szCs w:val="21"/>
          <w:highlight w:val="none"/>
        </w:rPr>
        <w:t xml:space="preserve">1.0.1  </w:t>
      </w:r>
      <w:r>
        <w:rPr>
          <w:color w:val="auto"/>
          <w:szCs w:val="21"/>
          <w:highlight w:val="none"/>
        </w:rPr>
        <w:t>为在工业与民用建筑中</w:t>
      </w:r>
      <w:r>
        <w:rPr>
          <w:rFonts w:hint="eastAsia"/>
          <w:color w:val="auto"/>
          <w:szCs w:val="21"/>
          <w:highlight w:val="none"/>
        </w:rPr>
        <w:t>合理应用</w:t>
      </w:r>
      <w:r>
        <w:rPr>
          <w:color w:val="auto"/>
          <w:szCs w:val="21"/>
          <w:highlight w:val="none"/>
        </w:rPr>
        <w:t>混凝土模块化建筑</w:t>
      </w:r>
      <w:r>
        <w:rPr>
          <w:rFonts w:hint="eastAsia"/>
          <w:color w:val="auto"/>
          <w:szCs w:val="21"/>
          <w:highlight w:val="none"/>
        </w:rPr>
        <w:t>技术</w:t>
      </w:r>
      <w:r>
        <w:rPr>
          <w:color w:val="auto"/>
          <w:szCs w:val="21"/>
          <w:highlight w:val="none"/>
        </w:rPr>
        <w:t>，推动建筑业新质生产力的发展，做到安全适用、技术先进、</w:t>
      </w:r>
      <w:r>
        <w:rPr>
          <w:rFonts w:hint="eastAsia"/>
          <w:color w:val="auto"/>
          <w:szCs w:val="21"/>
          <w:highlight w:val="none"/>
          <w:lang w:val="en-US" w:eastAsia="zh-CN"/>
        </w:rPr>
        <w:t>绿色智慧、</w:t>
      </w:r>
      <w:r>
        <w:rPr>
          <w:color w:val="auto"/>
          <w:szCs w:val="21"/>
          <w:highlight w:val="none"/>
        </w:rPr>
        <w:t>经济合理、施工方便、确保质量</w:t>
      </w:r>
      <w:r>
        <w:rPr>
          <w:rFonts w:hint="eastAsia"/>
          <w:color w:val="auto"/>
          <w:szCs w:val="21"/>
          <w:highlight w:val="none"/>
          <w:lang w:eastAsia="zh-CN"/>
        </w:rPr>
        <w:t>、</w:t>
      </w:r>
      <w:r>
        <w:rPr>
          <w:rFonts w:hint="eastAsia"/>
          <w:color w:val="auto"/>
          <w:szCs w:val="21"/>
          <w:highlight w:val="none"/>
        </w:rPr>
        <w:t>保护环境</w:t>
      </w:r>
      <w:r>
        <w:rPr>
          <w:rFonts w:hint="eastAsia"/>
          <w:color w:val="auto"/>
          <w:szCs w:val="21"/>
          <w:highlight w:val="none"/>
          <w:lang w:eastAsia="zh-CN"/>
        </w:rPr>
        <w:t>，</w:t>
      </w:r>
      <w:r>
        <w:rPr>
          <w:color w:val="auto"/>
          <w:szCs w:val="21"/>
          <w:highlight w:val="none"/>
        </w:rPr>
        <w:t>制定本标准。</w:t>
      </w:r>
    </w:p>
    <w:p w14:paraId="28C15547">
      <w:pPr>
        <w:spacing w:line="360" w:lineRule="exact"/>
        <w:rPr>
          <w:color w:val="auto"/>
          <w:szCs w:val="21"/>
          <w:highlight w:val="none"/>
        </w:rPr>
      </w:pPr>
      <w:r>
        <w:rPr>
          <w:b/>
          <w:bCs/>
          <w:color w:val="auto"/>
          <w:szCs w:val="21"/>
          <w:highlight w:val="none"/>
        </w:rPr>
        <w:t xml:space="preserve">1.0.2  </w:t>
      </w:r>
      <w:r>
        <w:rPr>
          <w:color w:val="auto"/>
          <w:szCs w:val="21"/>
          <w:highlight w:val="none"/>
        </w:rPr>
        <w:t>本标准适用于广东省混凝土模块化建筑的设计、生产、运输、施工安装、验收及运营维护。</w:t>
      </w:r>
    </w:p>
    <w:p w14:paraId="2A25486F">
      <w:pPr>
        <w:spacing w:line="360" w:lineRule="exact"/>
        <w:rPr>
          <w:color w:val="auto"/>
          <w:szCs w:val="21"/>
          <w:highlight w:val="none"/>
        </w:rPr>
      </w:pPr>
      <w:r>
        <w:rPr>
          <w:b/>
          <w:bCs/>
          <w:color w:val="auto"/>
          <w:szCs w:val="21"/>
          <w:highlight w:val="none"/>
        </w:rPr>
        <w:t>1.0.3</w:t>
      </w:r>
      <w:r>
        <w:rPr>
          <w:b/>
          <w:color w:val="auto"/>
          <w:szCs w:val="21"/>
          <w:highlight w:val="none"/>
        </w:rPr>
        <w:t xml:space="preserve"> </w:t>
      </w:r>
      <w:r>
        <w:rPr>
          <w:color w:val="auto"/>
          <w:szCs w:val="21"/>
          <w:highlight w:val="none"/>
        </w:rPr>
        <w:t xml:space="preserve"> 混凝土</w:t>
      </w:r>
      <w:bookmarkStart w:id="40" w:name="OLE_LINK45"/>
      <w:r>
        <w:rPr>
          <w:color w:val="auto"/>
          <w:szCs w:val="21"/>
          <w:highlight w:val="none"/>
        </w:rPr>
        <w:t>模块化建筑的</w:t>
      </w:r>
      <w:r>
        <w:rPr>
          <w:rFonts w:hint="eastAsia"/>
          <w:color w:val="auto"/>
          <w:szCs w:val="21"/>
          <w:highlight w:val="none"/>
        </w:rPr>
        <w:t>材料、</w:t>
      </w:r>
      <w:r>
        <w:rPr>
          <w:color w:val="auto"/>
          <w:szCs w:val="21"/>
          <w:highlight w:val="none"/>
        </w:rPr>
        <w:t>设计、生产、运输、施工安</w:t>
      </w:r>
      <w:bookmarkEnd w:id="40"/>
      <w:r>
        <w:rPr>
          <w:color w:val="auto"/>
          <w:szCs w:val="21"/>
          <w:highlight w:val="none"/>
        </w:rPr>
        <w:t>装、验收</w:t>
      </w:r>
      <w:bookmarkStart w:id="41" w:name="OLE_LINK46"/>
      <w:r>
        <w:rPr>
          <w:color w:val="auto"/>
          <w:szCs w:val="21"/>
          <w:highlight w:val="none"/>
        </w:rPr>
        <w:t>及运营维护，</w:t>
      </w:r>
      <w:bookmarkEnd w:id="41"/>
      <w:r>
        <w:rPr>
          <w:color w:val="auto"/>
          <w:szCs w:val="21"/>
          <w:highlight w:val="none"/>
        </w:rPr>
        <w:t>除应符合本</w:t>
      </w:r>
      <w:r>
        <w:rPr>
          <w:rFonts w:hint="eastAsia"/>
          <w:color w:val="auto"/>
          <w:szCs w:val="21"/>
          <w:highlight w:val="none"/>
        </w:rPr>
        <w:t>标准</w:t>
      </w:r>
      <w:r>
        <w:rPr>
          <w:color w:val="auto"/>
          <w:szCs w:val="21"/>
          <w:highlight w:val="none"/>
        </w:rPr>
        <w:t>外，尚应符合国家</w:t>
      </w:r>
      <w:r>
        <w:rPr>
          <w:rFonts w:hint="eastAsia"/>
          <w:color w:val="auto"/>
          <w:szCs w:val="21"/>
          <w:highlight w:val="none"/>
        </w:rPr>
        <w:t>及广东省</w:t>
      </w:r>
      <w:r>
        <w:rPr>
          <w:color w:val="auto"/>
          <w:szCs w:val="21"/>
          <w:highlight w:val="none"/>
        </w:rPr>
        <w:t>现行有关标准的规定。</w:t>
      </w:r>
    </w:p>
    <w:p w14:paraId="18754BD4">
      <w:pPr>
        <w:widowControl/>
        <w:spacing w:line="360" w:lineRule="exact"/>
        <w:jc w:val="left"/>
        <w:rPr>
          <w:color w:val="auto"/>
          <w:highlight w:val="none"/>
        </w:rPr>
      </w:pPr>
      <w:r>
        <w:rPr>
          <w:color w:val="auto"/>
          <w:highlight w:val="none"/>
        </w:rPr>
        <w:br w:type="page"/>
      </w:r>
    </w:p>
    <w:p w14:paraId="593C38C0">
      <w:pPr>
        <w:pStyle w:val="2"/>
        <w:spacing w:before="166" w:beforeLines="50" w:after="166" w:afterLines="50" w:line="360" w:lineRule="auto"/>
        <w:jc w:val="center"/>
        <w:rPr>
          <w:rFonts w:eastAsia="黑体"/>
          <w:color w:val="auto"/>
          <w:sz w:val="28"/>
          <w:szCs w:val="28"/>
          <w:highlight w:val="none"/>
        </w:rPr>
      </w:pPr>
      <w:bookmarkStart w:id="42" w:name="_Toc17912"/>
      <w:bookmarkStart w:id="43" w:name="_Toc10366"/>
      <w:bookmarkStart w:id="44" w:name="_Toc18867"/>
      <w:bookmarkStart w:id="45" w:name="_Toc22444"/>
      <w:bookmarkStart w:id="46" w:name="_Toc110958464"/>
      <w:bookmarkStart w:id="47" w:name="_Toc16504"/>
      <w:bookmarkStart w:id="48" w:name="_Toc31067"/>
      <w:bookmarkStart w:id="49" w:name="_Toc110952696"/>
      <w:bookmarkStart w:id="50" w:name="_Toc8919"/>
      <w:bookmarkStart w:id="51" w:name="_Toc16502"/>
      <w:bookmarkStart w:id="52" w:name="_Toc30018"/>
      <w:r>
        <w:rPr>
          <w:rFonts w:eastAsia="黑体"/>
          <w:color w:val="auto"/>
          <w:sz w:val="28"/>
          <w:szCs w:val="28"/>
          <w:highlight w:val="none"/>
        </w:rPr>
        <w:t>2  术语</w:t>
      </w:r>
      <w:bookmarkEnd w:id="37"/>
      <w:bookmarkEnd w:id="38"/>
      <w:bookmarkEnd w:id="39"/>
      <w:r>
        <w:rPr>
          <w:rFonts w:eastAsia="黑体"/>
          <w:color w:val="auto"/>
          <w:sz w:val="28"/>
          <w:szCs w:val="28"/>
          <w:highlight w:val="none"/>
        </w:rPr>
        <w:t>和符号</w:t>
      </w:r>
      <w:bookmarkEnd w:id="42"/>
      <w:bookmarkEnd w:id="43"/>
      <w:bookmarkEnd w:id="44"/>
      <w:bookmarkEnd w:id="45"/>
      <w:bookmarkEnd w:id="46"/>
      <w:bookmarkEnd w:id="47"/>
      <w:bookmarkEnd w:id="48"/>
      <w:bookmarkEnd w:id="49"/>
      <w:bookmarkEnd w:id="50"/>
      <w:bookmarkEnd w:id="51"/>
      <w:bookmarkEnd w:id="52"/>
    </w:p>
    <w:p w14:paraId="43C6313D">
      <w:pPr>
        <w:pStyle w:val="3"/>
        <w:spacing w:before="166" w:beforeLines="50" w:after="166" w:afterLines="50" w:line="360" w:lineRule="auto"/>
        <w:jc w:val="center"/>
        <w:rPr>
          <w:rFonts w:ascii="Times New Roman" w:hAnsi="Times New Roman" w:eastAsia="黑体" w:cs="Times New Roman"/>
          <w:color w:val="auto"/>
          <w:sz w:val="24"/>
          <w:szCs w:val="24"/>
          <w:highlight w:val="none"/>
        </w:rPr>
      </w:pPr>
      <w:bookmarkStart w:id="53" w:name="_Toc19724"/>
      <w:bookmarkStart w:id="54" w:name="_Toc21371"/>
      <w:bookmarkStart w:id="55" w:name="_Toc25353"/>
      <w:bookmarkStart w:id="56" w:name="_Toc110952697"/>
      <w:bookmarkStart w:id="57" w:name="_Toc22629"/>
      <w:bookmarkStart w:id="58" w:name="_Toc361"/>
      <w:bookmarkStart w:id="59" w:name="_Toc230"/>
      <w:bookmarkStart w:id="60" w:name="_Toc26905"/>
      <w:bookmarkStart w:id="61" w:name="_Toc2824"/>
      <w:bookmarkStart w:id="62" w:name="_Toc17075"/>
      <w:bookmarkStart w:id="63" w:name="_Toc110958465"/>
      <w:bookmarkStart w:id="64" w:name="OLE_LINK59"/>
      <w:r>
        <w:rPr>
          <w:rFonts w:ascii="Times New Roman" w:hAnsi="Times New Roman" w:eastAsia="黑体" w:cs="Times New Roman"/>
          <w:b/>
          <w:color w:val="auto"/>
          <w:sz w:val="24"/>
          <w:szCs w:val="24"/>
          <w:highlight w:val="none"/>
        </w:rPr>
        <w:t xml:space="preserve">2.1 </w:t>
      </w:r>
      <w:r>
        <w:rPr>
          <w:rFonts w:ascii="Times New Roman" w:hAnsi="Times New Roman" w:eastAsia="黑体" w:cs="Times New Roman"/>
          <w:color w:val="auto"/>
          <w:sz w:val="24"/>
          <w:szCs w:val="24"/>
          <w:highlight w:val="none"/>
        </w:rPr>
        <w:t xml:space="preserve"> 术    语</w:t>
      </w:r>
      <w:bookmarkEnd w:id="53"/>
      <w:bookmarkEnd w:id="54"/>
      <w:bookmarkEnd w:id="55"/>
      <w:bookmarkEnd w:id="56"/>
      <w:bookmarkEnd w:id="57"/>
      <w:bookmarkEnd w:id="58"/>
      <w:bookmarkEnd w:id="59"/>
      <w:bookmarkEnd w:id="60"/>
      <w:bookmarkEnd w:id="61"/>
      <w:bookmarkEnd w:id="62"/>
      <w:bookmarkEnd w:id="63"/>
    </w:p>
    <w:bookmarkEnd w:id="64"/>
    <w:p w14:paraId="710BEB57">
      <w:pPr>
        <w:spacing w:line="360" w:lineRule="exact"/>
        <w:rPr>
          <w:color w:val="auto"/>
          <w:szCs w:val="21"/>
          <w:highlight w:val="none"/>
        </w:rPr>
      </w:pPr>
      <w:r>
        <w:rPr>
          <w:b/>
          <w:color w:val="auto"/>
          <w:szCs w:val="21"/>
          <w:highlight w:val="none"/>
        </w:rPr>
        <w:t xml:space="preserve">2.1.1 </w:t>
      </w:r>
      <w:r>
        <w:rPr>
          <w:color w:val="auto"/>
          <w:szCs w:val="21"/>
          <w:highlight w:val="none"/>
        </w:rPr>
        <w:t xml:space="preserve"> 混凝土模块化建筑  concrete modular buildings</w:t>
      </w:r>
    </w:p>
    <w:p w14:paraId="0F34BD80">
      <w:pPr>
        <w:spacing w:line="360" w:lineRule="exact"/>
        <w:ind w:firstLine="420" w:firstLineChars="200"/>
        <w:rPr>
          <w:color w:val="auto"/>
          <w:szCs w:val="21"/>
          <w:highlight w:val="none"/>
        </w:rPr>
      </w:pPr>
      <w:r>
        <w:rPr>
          <w:rFonts w:hint="eastAsia"/>
          <w:color w:val="auto"/>
          <w:szCs w:val="21"/>
          <w:highlight w:val="none"/>
          <w:lang w:val="en-US" w:eastAsia="zh-CN"/>
        </w:rPr>
        <w:t>主要</w:t>
      </w:r>
      <w:r>
        <w:rPr>
          <w:color w:val="auto"/>
          <w:szCs w:val="21"/>
          <w:highlight w:val="none"/>
        </w:rPr>
        <w:t>由在工厂内制作完成的</w:t>
      </w:r>
      <w:r>
        <w:rPr>
          <w:rFonts w:hint="eastAsia"/>
          <w:color w:val="auto"/>
          <w:szCs w:val="21"/>
          <w:highlight w:val="none"/>
        </w:rPr>
        <w:t>含有建筑功能的</w:t>
      </w:r>
      <w:r>
        <w:rPr>
          <w:color w:val="auto"/>
          <w:szCs w:val="21"/>
          <w:highlight w:val="none"/>
        </w:rPr>
        <w:t>预制混凝土空间模块，通过现场装配连接而成的混凝土结构建筑，</w:t>
      </w:r>
      <w:bookmarkStart w:id="65" w:name="OLE_LINK107"/>
      <w:r>
        <w:rPr>
          <w:color w:val="auto"/>
          <w:szCs w:val="21"/>
          <w:highlight w:val="none"/>
        </w:rPr>
        <w:t>本</w:t>
      </w:r>
      <w:r>
        <w:rPr>
          <w:rFonts w:hint="eastAsia"/>
          <w:color w:val="auto"/>
          <w:szCs w:val="21"/>
          <w:highlight w:val="none"/>
        </w:rPr>
        <w:t>标准</w:t>
      </w:r>
      <w:r>
        <w:rPr>
          <w:color w:val="auto"/>
          <w:szCs w:val="21"/>
          <w:highlight w:val="none"/>
        </w:rPr>
        <w:t>简称为</w:t>
      </w:r>
      <w:r>
        <w:rPr>
          <w:rFonts w:hint="eastAsia"/>
          <w:color w:val="auto"/>
          <w:szCs w:val="21"/>
          <w:highlight w:val="none"/>
        </w:rPr>
        <w:t>“</w:t>
      </w:r>
      <w:r>
        <w:rPr>
          <w:color w:val="auto"/>
          <w:szCs w:val="21"/>
          <w:highlight w:val="none"/>
        </w:rPr>
        <w:t>模块化建筑</w:t>
      </w:r>
      <w:r>
        <w:rPr>
          <w:rFonts w:hint="eastAsia"/>
          <w:color w:val="auto"/>
          <w:szCs w:val="21"/>
          <w:highlight w:val="none"/>
          <w:lang w:val="en-US" w:eastAsia="zh-CN"/>
        </w:rPr>
        <w:t>或模块化结构</w:t>
      </w:r>
      <w:r>
        <w:rPr>
          <w:rFonts w:hint="eastAsia"/>
          <w:color w:val="auto"/>
          <w:szCs w:val="21"/>
          <w:highlight w:val="none"/>
        </w:rPr>
        <w:t>”</w:t>
      </w:r>
      <w:bookmarkEnd w:id="65"/>
      <w:r>
        <w:rPr>
          <w:color w:val="auto"/>
          <w:szCs w:val="21"/>
          <w:highlight w:val="none"/>
        </w:rPr>
        <w:t>。</w:t>
      </w:r>
    </w:p>
    <w:p w14:paraId="6C39EE45">
      <w:pPr>
        <w:spacing w:line="360" w:lineRule="exact"/>
        <w:rPr>
          <w:color w:val="auto"/>
          <w:szCs w:val="21"/>
          <w:highlight w:val="none"/>
        </w:rPr>
      </w:pPr>
      <w:r>
        <w:rPr>
          <w:b/>
          <w:color w:val="auto"/>
          <w:szCs w:val="21"/>
          <w:highlight w:val="none"/>
        </w:rPr>
        <w:t>2.1.</w:t>
      </w:r>
      <w:r>
        <w:rPr>
          <w:rFonts w:hint="eastAsia"/>
          <w:b/>
          <w:color w:val="auto"/>
          <w:szCs w:val="21"/>
          <w:highlight w:val="none"/>
          <w:lang w:val="en-US" w:eastAsia="zh-CN"/>
        </w:rPr>
        <w:t>2</w:t>
      </w:r>
      <w:r>
        <w:rPr>
          <w:b/>
          <w:color w:val="auto"/>
          <w:szCs w:val="21"/>
          <w:highlight w:val="none"/>
        </w:rPr>
        <w:t xml:space="preserve"> </w:t>
      </w:r>
      <w:bookmarkStart w:id="66" w:name="OLE_LINK36"/>
      <w:r>
        <w:rPr>
          <w:rFonts w:hint="eastAsia"/>
          <w:color w:val="auto"/>
          <w:highlight w:val="none"/>
          <w:lang w:val="en-US" w:eastAsia="zh-CN"/>
        </w:rPr>
        <w:t>全预制模块单元</w:t>
      </w:r>
      <w:bookmarkEnd w:id="66"/>
      <w:r>
        <w:rPr>
          <w:color w:val="auto"/>
          <w:szCs w:val="21"/>
          <w:highlight w:val="none"/>
        </w:rPr>
        <w:t xml:space="preserve"> </w:t>
      </w:r>
      <w:r>
        <w:rPr>
          <w:rFonts w:hint="eastAsia"/>
          <w:color w:val="auto"/>
          <w:szCs w:val="21"/>
          <w:highlight w:val="none"/>
          <w:lang w:val="en-US" w:eastAsia="zh-CN"/>
        </w:rPr>
        <w:t xml:space="preserve"> fully prefabricated</w:t>
      </w:r>
      <w:r>
        <w:rPr>
          <w:color w:val="auto"/>
          <w:szCs w:val="21"/>
          <w:highlight w:val="none"/>
        </w:rPr>
        <w:t xml:space="preserve"> modular unit </w:t>
      </w:r>
    </w:p>
    <w:p w14:paraId="649B9E0D">
      <w:pPr>
        <w:spacing w:line="360" w:lineRule="exact"/>
        <w:ind w:firstLine="420" w:firstLineChars="200"/>
        <w:rPr>
          <w:color w:val="auto"/>
          <w:szCs w:val="21"/>
          <w:highlight w:val="none"/>
        </w:rPr>
      </w:pPr>
      <w:r>
        <w:rPr>
          <w:color w:val="auto"/>
          <w:szCs w:val="21"/>
          <w:highlight w:val="none"/>
        </w:rPr>
        <w:t>在工厂预制完成，</w:t>
      </w:r>
      <w:r>
        <w:rPr>
          <w:rFonts w:hint="eastAsia"/>
          <w:color w:val="auto"/>
          <w:szCs w:val="21"/>
          <w:highlight w:val="none"/>
          <w:lang w:val="en-US" w:eastAsia="zh-CN"/>
        </w:rPr>
        <w:t>由</w:t>
      </w:r>
      <w:r>
        <w:rPr>
          <w:rFonts w:hint="eastAsia"/>
          <w:color w:val="auto"/>
          <w:szCs w:val="21"/>
          <w:highlight w:val="none"/>
        </w:rPr>
        <w:t>全预制剪力墙、预制围护墙和全预制楼板等</w:t>
      </w:r>
      <w:r>
        <w:rPr>
          <w:rFonts w:hint="eastAsia"/>
          <w:color w:val="auto"/>
          <w:szCs w:val="21"/>
          <w:highlight w:val="none"/>
          <w:lang w:val="en-US" w:eastAsia="zh-CN"/>
        </w:rPr>
        <w:t>构件</w:t>
      </w:r>
      <w:r>
        <w:rPr>
          <w:rFonts w:hint="eastAsia"/>
          <w:color w:val="auto"/>
          <w:szCs w:val="21"/>
          <w:highlight w:val="none"/>
        </w:rPr>
        <w:t>组成</w:t>
      </w:r>
      <w:r>
        <w:rPr>
          <w:rFonts w:hint="eastAsia"/>
          <w:color w:val="auto"/>
          <w:szCs w:val="21"/>
          <w:highlight w:val="none"/>
          <w:lang w:eastAsia="zh-CN"/>
        </w:rPr>
        <w:t>，</w:t>
      </w:r>
      <w:r>
        <w:rPr>
          <w:rFonts w:hint="eastAsia"/>
          <w:color w:val="auto"/>
          <w:szCs w:val="21"/>
          <w:highlight w:val="none"/>
          <w:lang w:val="en-US" w:eastAsia="zh-CN"/>
        </w:rPr>
        <w:t>并集成</w:t>
      </w:r>
      <w:r>
        <w:rPr>
          <w:rFonts w:hint="eastAsia"/>
          <w:color w:val="auto"/>
          <w:szCs w:val="21"/>
          <w:highlight w:val="none"/>
          <w:lang w:eastAsia="zh-CN"/>
        </w:rPr>
        <w:t>机电、装修</w:t>
      </w:r>
      <w:r>
        <w:rPr>
          <w:rFonts w:hint="eastAsia"/>
          <w:color w:val="auto"/>
          <w:szCs w:val="21"/>
          <w:highlight w:val="none"/>
          <w:lang w:val="en-US" w:eastAsia="zh-CN"/>
        </w:rPr>
        <w:t>和维护构件</w:t>
      </w:r>
      <w:r>
        <w:rPr>
          <w:rFonts w:hint="eastAsia"/>
          <w:color w:val="auto"/>
          <w:szCs w:val="21"/>
          <w:highlight w:val="none"/>
          <w:lang w:eastAsia="zh-CN"/>
        </w:rPr>
        <w:t>的建筑空间模块（</w:t>
      </w:r>
      <w:r>
        <w:rPr>
          <w:rFonts w:hint="eastAsia"/>
          <w:color w:val="auto"/>
          <w:szCs w:val="21"/>
          <w:highlight w:val="none"/>
          <w:lang w:val="en-US" w:eastAsia="zh-CN"/>
        </w:rPr>
        <w:t>图2.1.2）</w:t>
      </w:r>
      <w:r>
        <w:rPr>
          <w:color w:val="auto"/>
          <w:szCs w:val="21"/>
          <w:highlight w:val="none"/>
        </w:rPr>
        <w:t>。</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35"/>
      </w:tblGrid>
      <w:tr w14:paraId="4A910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0" w:hRule="atLeast"/>
        </w:trPr>
        <w:tc>
          <w:tcPr>
            <w:tcW w:w="6135" w:type="dxa"/>
          </w:tcPr>
          <w:p w14:paraId="7BE3E1D4">
            <w:pPr>
              <w:jc w:val="center"/>
              <w:rPr>
                <w:color w:val="auto"/>
                <w:highlight w:val="none"/>
              </w:rPr>
            </w:pPr>
            <w:r>
              <w:rPr>
                <w:color w:val="auto"/>
                <w:highlight w:val="none"/>
              </w:rPr>
              <w:drawing>
                <wp:inline distT="0" distB="0" distL="0" distR="0">
                  <wp:extent cx="3280410" cy="1764030"/>
                  <wp:effectExtent l="0" t="0" r="1524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3280410" cy="1764030"/>
                          </a:xfrm>
                          <a:prstGeom prst="rect">
                            <a:avLst/>
                          </a:prstGeom>
                        </pic:spPr>
                      </pic:pic>
                    </a:graphicData>
                  </a:graphic>
                </wp:inline>
              </w:drawing>
            </w:r>
          </w:p>
        </w:tc>
      </w:tr>
      <w:tr w14:paraId="38092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0" w:hRule="atLeast"/>
        </w:trPr>
        <w:tc>
          <w:tcPr>
            <w:tcW w:w="6135" w:type="dxa"/>
          </w:tcPr>
          <w:p w14:paraId="649FE58E">
            <w:pPr>
              <w:jc w:val="center"/>
              <w:rPr>
                <w:color w:val="auto"/>
                <w:highlight w:val="none"/>
              </w:rPr>
            </w:pPr>
            <w:r>
              <w:rPr>
                <w:color w:val="auto"/>
                <w:highlight w:val="none"/>
              </w:rPr>
              <w:drawing>
                <wp:inline distT="0" distB="0" distL="0" distR="0">
                  <wp:extent cx="3520440" cy="1743075"/>
                  <wp:effectExtent l="0" t="0" r="381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3520440" cy="1743075"/>
                          </a:xfrm>
                          <a:prstGeom prst="rect">
                            <a:avLst/>
                          </a:prstGeom>
                        </pic:spPr>
                      </pic:pic>
                    </a:graphicData>
                  </a:graphic>
                </wp:inline>
              </w:drawing>
            </w:r>
          </w:p>
        </w:tc>
      </w:tr>
      <w:tr w14:paraId="4717B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135" w:type="dxa"/>
          </w:tcPr>
          <w:p w14:paraId="733C42C5">
            <w:pPr>
              <w:jc w:val="center"/>
              <w:rPr>
                <w:rFonts w:hint="eastAsia" w:eastAsia="宋体"/>
                <w:color w:val="auto"/>
                <w:highlight w:val="none"/>
                <w:lang w:eastAsia="zh-CN"/>
              </w:rPr>
            </w:pPr>
            <w:r>
              <w:rPr>
                <w:rFonts w:hint="default" w:ascii="Times New Roman" w:hAnsi="Times New Roman" w:eastAsia="黑体" w:cs="Times New Roman"/>
                <w:color w:val="auto"/>
                <w:sz w:val="18"/>
                <w:szCs w:val="20"/>
                <w:highlight w:val="none"/>
              </w:rPr>
              <w:t>图2.1.2全预制混凝土</w:t>
            </w:r>
            <w:r>
              <w:rPr>
                <w:rFonts w:hint="default" w:ascii="Times New Roman" w:hAnsi="Times New Roman" w:eastAsia="黑体" w:cs="Times New Roman"/>
                <w:color w:val="auto"/>
                <w:sz w:val="18"/>
                <w:szCs w:val="20"/>
                <w:highlight w:val="none"/>
                <w:lang w:val="en-US" w:eastAsia="zh-CN"/>
              </w:rPr>
              <w:t>结构</w:t>
            </w:r>
            <w:r>
              <w:rPr>
                <w:rFonts w:hint="default" w:ascii="Times New Roman" w:hAnsi="Times New Roman" w:eastAsia="黑体" w:cs="Times New Roman"/>
                <w:color w:val="auto"/>
                <w:sz w:val="18"/>
                <w:szCs w:val="20"/>
                <w:highlight w:val="none"/>
              </w:rPr>
              <w:t>模块单元</w:t>
            </w:r>
          </w:p>
        </w:tc>
      </w:tr>
      <w:tr w14:paraId="32CA6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135" w:type="dxa"/>
          </w:tcPr>
          <w:p w14:paraId="4D5F65C4">
            <w:pPr>
              <w:jc w:val="center"/>
              <w:rPr>
                <w:rFonts w:hint="default" w:ascii="Times New Roman" w:hAnsi="Times New Roman" w:eastAsia="黑体" w:cs="Times New Roman"/>
                <w:color w:val="auto"/>
                <w:sz w:val="16"/>
                <w:szCs w:val="16"/>
                <w:highlight w:val="none"/>
              </w:rPr>
            </w:pPr>
            <w:r>
              <w:rPr>
                <w:rFonts w:hint="default" w:ascii="Times New Roman" w:hAnsi="Times New Roman" w:eastAsia="黑体" w:cs="Times New Roman"/>
                <w:color w:val="auto"/>
                <w:sz w:val="16"/>
                <w:szCs w:val="16"/>
                <w:highlight w:val="none"/>
              </w:rPr>
              <w:t>1—模块预制顶板；2—模块连接钢筋；3—模块</w:t>
            </w:r>
            <w:r>
              <w:rPr>
                <w:rFonts w:hint="default" w:ascii="Times New Roman" w:hAnsi="Times New Roman" w:eastAsia="黑体" w:cs="Times New Roman"/>
                <w:color w:val="auto"/>
                <w:sz w:val="16"/>
                <w:szCs w:val="16"/>
                <w:highlight w:val="none"/>
                <w:lang w:val="en-US" w:eastAsia="zh-CN"/>
              </w:rPr>
              <w:t>间连接节点</w:t>
            </w:r>
            <w:r>
              <w:rPr>
                <w:rFonts w:hint="default" w:ascii="Times New Roman" w:hAnsi="Times New Roman" w:eastAsia="黑体" w:cs="Times New Roman"/>
                <w:color w:val="auto"/>
                <w:sz w:val="16"/>
                <w:szCs w:val="16"/>
                <w:highlight w:val="none"/>
              </w:rPr>
              <w:t>；</w:t>
            </w:r>
          </w:p>
          <w:p w14:paraId="593FD83D">
            <w:pPr>
              <w:jc w:val="center"/>
              <w:rPr>
                <w:color w:val="auto"/>
                <w:sz w:val="18"/>
                <w:szCs w:val="20"/>
                <w:highlight w:val="none"/>
              </w:rPr>
            </w:pPr>
            <w:r>
              <w:rPr>
                <w:rFonts w:hint="default" w:ascii="Times New Roman" w:hAnsi="Times New Roman" w:eastAsia="黑体" w:cs="Times New Roman"/>
                <w:color w:val="auto"/>
                <w:sz w:val="16"/>
                <w:szCs w:val="16"/>
                <w:highlight w:val="none"/>
              </w:rPr>
              <w:t>4—预制围护外墙；5—全预制剪力墙</w:t>
            </w:r>
          </w:p>
        </w:tc>
      </w:tr>
    </w:tbl>
    <w:p w14:paraId="681B5878">
      <w:pPr>
        <w:spacing w:line="360" w:lineRule="exact"/>
        <w:rPr>
          <w:color w:val="auto"/>
          <w:szCs w:val="21"/>
          <w:highlight w:val="none"/>
        </w:rPr>
      </w:pPr>
      <w:bookmarkStart w:id="67" w:name="OLE_LINK53"/>
      <w:r>
        <w:rPr>
          <w:b/>
          <w:color w:val="auto"/>
          <w:szCs w:val="21"/>
          <w:highlight w:val="none"/>
        </w:rPr>
        <w:t>2.1.</w:t>
      </w:r>
      <w:r>
        <w:rPr>
          <w:rFonts w:hint="eastAsia"/>
          <w:b/>
          <w:color w:val="auto"/>
          <w:szCs w:val="21"/>
          <w:highlight w:val="none"/>
          <w:lang w:val="en-US" w:eastAsia="zh-CN"/>
        </w:rPr>
        <w:t>3</w:t>
      </w:r>
      <w:r>
        <w:rPr>
          <w:b/>
          <w:color w:val="auto"/>
          <w:szCs w:val="21"/>
          <w:highlight w:val="none"/>
        </w:rPr>
        <w:t xml:space="preserve"> </w:t>
      </w:r>
      <w:bookmarkStart w:id="68" w:name="OLE_LINK81"/>
      <w:r>
        <w:rPr>
          <w:rFonts w:hint="eastAsia"/>
          <w:color w:val="auto"/>
          <w:szCs w:val="21"/>
          <w:highlight w:val="none"/>
        </w:rPr>
        <w:t>叠合</w:t>
      </w:r>
      <w:r>
        <w:rPr>
          <w:color w:val="auto"/>
          <w:szCs w:val="21"/>
          <w:highlight w:val="none"/>
        </w:rPr>
        <w:t>模块单元</w:t>
      </w:r>
      <w:bookmarkEnd w:id="68"/>
      <w:r>
        <w:rPr>
          <w:color w:val="auto"/>
          <w:szCs w:val="21"/>
          <w:highlight w:val="none"/>
        </w:rPr>
        <w:t xml:space="preserve"> </w:t>
      </w:r>
      <w:r>
        <w:rPr>
          <w:rFonts w:hint="eastAsia"/>
          <w:color w:val="auto"/>
          <w:szCs w:val="21"/>
          <w:highlight w:val="none"/>
        </w:rPr>
        <w:t>i</w:t>
      </w:r>
      <w:r>
        <w:rPr>
          <w:color w:val="auto"/>
          <w:szCs w:val="21"/>
          <w:highlight w:val="none"/>
        </w:rPr>
        <w:t xml:space="preserve">ntegrated modular unit </w:t>
      </w:r>
    </w:p>
    <w:p w14:paraId="755C7C9D">
      <w:pPr>
        <w:spacing w:line="360" w:lineRule="exact"/>
        <w:ind w:firstLine="420" w:firstLineChars="200"/>
        <w:rPr>
          <w:color w:val="auto"/>
          <w:szCs w:val="21"/>
          <w:highlight w:val="none"/>
        </w:rPr>
      </w:pPr>
      <w:r>
        <w:rPr>
          <w:color w:val="auto"/>
          <w:szCs w:val="21"/>
          <w:highlight w:val="none"/>
        </w:rPr>
        <w:t>在工厂预制完成，由</w:t>
      </w:r>
      <w:r>
        <w:rPr>
          <w:rFonts w:hint="eastAsia"/>
          <w:color w:val="auto"/>
          <w:szCs w:val="21"/>
          <w:highlight w:val="none"/>
          <w:lang w:val="en-US" w:eastAsia="zh-CN"/>
        </w:rPr>
        <w:t>叠合墙、叠合</w:t>
      </w:r>
      <w:r>
        <w:rPr>
          <w:color w:val="auto"/>
          <w:szCs w:val="21"/>
          <w:highlight w:val="none"/>
        </w:rPr>
        <w:t>板、叠合梁</w:t>
      </w:r>
      <w:r>
        <w:rPr>
          <w:rFonts w:hint="eastAsia"/>
          <w:color w:val="auto"/>
          <w:szCs w:val="21"/>
          <w:highlight w:val="none"/>
          <w:lang w:val="en-US" w:eastAsia="zh-CN"/>
        </w:rPr>
        <w:t>和</w:t>
      </w:r>
      <w:r>
        <w:rPr>
          <w:color w:val="auto"/>
          <w:szCs w:val="21"/>
          <w:highlight w:val="none"/>
        </w:rPr>
        <w:t>预制底板（部分或全部底面）</w:t>
      </w:r>
      <w:r>
        <w:rPr>
          <w:rFonts w:hint="eastAsia"/>
          <w:color w:val="auto"/>
          <w:szCs w:val="21"/>
          <w:highlight w:val="none"/>
          <w:lang w:val="en-US" w:eastAsia="zh-CN"/>
        </w:rPr>
        <w:t>等构件组成，并集成</w:t>
      </w:r>
      <w:r>
        <w:rPr>
          <w:rFonts w:hint="eastAsia"/>
          <w:color w:val="auto"/>
          <w:szCs w:val="21"/>
          <w:highlight w:val="none"/>
        </w:rPr>
        <w:t>机电</w:t>
      </w:r>
      <w:r>
        <w:rPr>
          <w:rFonts w:hint="eastAsia"/>
          <w:color w:val="auto"/>
          <w:szCs w:val="21"/>
          <w:highlight w:val="none"/>
          <w:lang w:eastAsia="zh-CN"/>
        </w:rPr>
        <w:t>、</w:t>
      </w:r>
      <w:r>
        <w:rPr>
          <w:rFonts w:hint="eastAsia"/>
          <w:color w:val="auto"/>
          <w:szCs w:val="21"/>
          <w:highlight w:val="none"/>
        </w:rPr>
        <w:t>装修</w:t>
      </w:r>
      <w:r>
        <w:rPr>
          <w:rFonts w:hint="eastAsia"/>
          <w:color w:val="auto"/>
          <w:szCs w:val="21"/>
          <w:highlight w:val="none"/>
          <w:lang w:val="en-US" w:eastAsia="zh-CN"/>
        </w:rPr>
        <w:t>和维护构件</w:t>
      </w:r>
      <w:r>
        <w:rPr>
          <w:color w:val="auto"/>
          <w:szCs w:val="21"/>
          <w:highlight w:val="none"/>
        </w:rPr>
        <w:t>的建筑空间模块</w:t>
      </w:r>
      <w:r>
        <w:rPr>
          <w:rFonts w:hint="eastAsia"/>
          <w:color w:val="auto"/>
          <w:szCs w:val="21"/>
          <w:highlight w:val="none"/>
          <w:lang w:eastAsia="zh-CN"/>
        </w:rPr>
        <w:t>，</w:t>
      </w:r>
      <w:r>
        <w:rPr>
          <w:rFonts w:hint="eastAsia"/>
          <w:color w:val="auto"/>
          <w:szCs w:val="21"/>
          <w:highlight w:val="none"/>
          <w:lang w:val="en-US" w:eastAsia="zh-CN"/>
        </w:rPr>
        <w:t>其</w:t>
      </w:r>
      <w:r>
        <w:rPr>
          <w:rFonts w:hint="eastAsia"/>
          <w:color w:val="auto"/>
          <w:szCs w:val="21"/>
          <w:highlight w:val="none"/>
        </w:rPr>
        <w:t>叠合</w:t>
      </w:r>
      <w:r>
        <w:rPr>
          <w:rFonts w:hint="eastAsia"/>
          <w:color w:val="auto"/>
          <w:szCs w:val="21"/>
          <w:highlight w:val="none"/>
          <w:lang w:val="en-US" w:eastAsia="zh-CN"/>
        </w:rPr>
        <w:t>构件不仅参与结构受力也可</w:t>
      </w:r>
      <w:r>
        <w:rPr>
          <w:rFonts w:hint="eastAsia"/>
          <w:color w:val="auto"/>
          <w:szCs w:val="21"/>
          <w:highlight w:val="none"/>
        </w:rPr>
        <w:t>作为</w:t>
      </w:r>
      <w:r>
        <w:rPr>
          <w:color w:val="auto"/>
          <w:szCs w:val="21"/>
          <w:highlight w:val="none"/>
        </w:rPr>
        <w:t>现场浇筑混凝土</w:t>
      </w:r>
      <w:r>
        <w:rPr>
          <w:rFonts w:hint="eastAsia"/>
          <w:color w:val="auto"/>
          <w:szCs w:val="21"/>
          <w:highlight w:val="none"/>
        </w:rPr>
        <w:t>的</w:t>
      </w:r>
      <w:r>
        <w:rPr>
          <w:color w:val="auto"/>
          <w:szCs w:val="21"/>
          <w:highlight w:val="none"/>
        </w:rPr>
        <w:t>模板</w:t>
      </w:r>
      <w:r>
        <w:rPr>
          <w:rFonts w:hint="eastAsia"/>
          <w:color w:val="auto"/>
          <w:szCs w:val="21"/>
          <w:highlight w:val="none"/>
          <w:lang w:eastAsia="zh-CN"/>
        </w:rPr>
        <w:t>（</w:t>
      </w:r>
      <w:r>
        <w:rPr>
          <w:rFonts w:hint="eastAsia"/>
          <w:color w:val="auto"/>
          <w:szCs w:val="21"/>
          <w:highlight w:val="none"/>
          <w:lang w:val="en-US" w:eastAsia="zh-CN"/>
        </w:rPr>
        <w:t>图2.1.3</w:t>
      </w:r>
      <w:r>
        <w:rPr>
          <w:rFonts w:hint="eastAsia"/>
          <w:color w:val="auto"/>
          <w:szCs w:val="21"/>
          <w:highlight w:val="none"/>
          <w:lang w:eastAsia="zh-CN"/>
        </w:rPr>
        <w:t>）</w:t>
      </w:r>
      <w:r>
        <w:rPr>
          <w:color w:val="auto"/>
          <w:szCs w:val="21"/>
          <w:highlight w:val="none"/>
        </w:rPr>
        <w:t xml:space="preserve">。 </w:t>
      </w:r>
    </w:p>
    <w:bookmarkEnd w:id="67"/>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35"/>
      </w:tblGrid>
      <w:tr w14:paraId="2CF2A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6135" w:type="dxa"/>
          </w:tcPr>
          <w:p w14:paraId="3EF9E683">
            <w:pPr>
              <w:jc w:val="center"/>
              <w:rPr>
                <w:color w:val="auto"/>
                <w:highlight w:val="none"/>
              </w:rPr>
            </w:pPr>
            <w:r>
              <w:rPr>
                <w:color w:val="auto"/>
                <w:highlight w:val="none"/>
              </w:rPr>
              <w:drawing>
                <wp:inline distT="0" distB="0" distL="114300" distR="114300">
                  <wp:extent cx="2513965" cy="1673225"/>
                  <wp:effectExtent l="0" t="0" r="635" b="317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0"/>
                          <a:stretch>
                            <a:fillRect/>
                          </a:stretch>
                        </pic:blipFill>
                        <pic:spPr>
                          <a:xfrm>
                            <a:off x="0" y="0"/>
                            <a:ext cx="2513965" cy="1673225"/>
                          </a:xfrm>
                          <a:prstGeom prst="rect">
                            <a:avLst/>
                          </a:prstGeom>
                          <a:noFill/>
                          <a:ln>
                            <a:noFill/>
                          </a:ln>
                        </pic:spPr>
                      </pic:pic>
                    </a:graphicData>
                  </a:graphic>
                </wp:inline>
              </w:drawing>
            </w:r>
          </w:p>
        </w:tc>
      </w:tr>
      <w:tr w14:paraId="0B7B0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6135" w:type="dxa"/>
          </w:tcPr>
          <w:p w14:paraId="1C66FFF7">
            <w:pPr>
              <w:jc w:val="center"/>
              <w:rPr>
                <w:color w:val="auto"/>
                <w:highlight w:val="none"/>
              </w:rPr>
            </w:pPr>
            <w:r>
              <w:rPr>
                <w:color w:val="auto"/>
                <w:highlight w:val="none"/>
              </w:rPr>
              <w:drawing>
                <wp:inline distT="0" distB="0" distL="114300" distR="114300">
                  <wp:extent cx="2160270" cy="1664970"/>
                  <wp:effectExtent l="0" t="0" r="11430" b="11430"/>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21"/>
                          <a:stretch>
                            <a:fillRect/>
                          </a:stretch>
                        </pic:blipFill>
                        <pic:spPr>
                          <a:xfrm>
                            <a:off x="0" y="0"/>
                            <a:ext cx="2160270" cy="1664970"/>
                          </a:xfrm>
                          <a:prstGeom prst="rect">
                            <a:avLst/>
                          </a:prstGeom>
                          <a:noFill/>
                          <a:ln>
                            <a:noFill/>
                          </a:ln>
                        </pic:spPr>
                      </pic:pic>
                    </a:graphicData>
                  </a:graphic>
                </wp:inline>
              </w:drawing>
            </w:r>
          </w:p>
        </w:tc>
      </w:tr>
      <w:tr w14:paraId="57515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6135" w:type="dxa"/>
          </w:tcPr>
          <w:p w14:paraId="445A7034">
            <w:pPr>
              <w:jc w:val="center"/>
              <w:rPr>
                <w:color w:val="auto"/>
                <w:sz w:val="18"/>
                <w:szCs w:val="18"/>
                <w:highlight w:val="none"/>
              </w:rPr>
            </w:pPr>
            <w:r>
              <w:rPr>
                <w:rFonts w:hint="eastAsia" w:ascii="Times New Roman" w:hAnsi="Times New Roman" w:eastAsia="黑体" w:cs="Times New Roman"/>
                <w:color w:val="auto"/>
                <w:sz w:val="18"/>
                <w:szCs w:val="18"/>
                <w:highlight w:val="none"/>
              </w:rPr>
              <w:t>图</w:t>
            </w:r>
            <w:r>
              <w:rPr>
                <w:rFonts w:hint="eastAsia" w:ascii="Times New Roman" w:hAnsi="Times New Roman" w:eastAsia="黑体" w:cs="Times New Roman"/>
                <w:b/>
                <w:color w:val="auto"/>
                <w:sz w:val="18"/>
                <w:szCs w:val="18"/>
                <w:highlight w:val="none"/>
              </w:rPr>
              <w:t>2</w:t>
            </w:r>
            <w:r>
              <w:rPr>
                <w:rFonts w:hint="eastAsia" w:eastAsia="黑体"/>
                <w:b/>
                <w:color w:val="auto"/>
                <w:sz w:val="18"/>
                <w:szCs w:val="18"/>
                <w:highlight w:val="none"/>
              </w:rPr>
              <w:t>.1.3</w:t>
            </w:r>
            <w:r>
              <w:rPr>
                <w:rFonts w:hint="eastAsia" w:ascii="Times New Roman" w:hAnsi="Times New Roman" w:eastAsia="黑体" w:cs="Times New Roman"/>
                <w:b/>
                <w:color w:val="auto"/>
                <w:sz w:val="18"/>
                <w:szCs w:val="18"/>
                <w:highlight w:val="none"/>
              </w:rPr>
              <w:t xml:space="preserve"> </w:t>
            </w:r>
            <w:r>
              <w:rPr>
                <w:rFonts w:hint="eastAsia" w:eastAsia="黑体"/>
                <w:color w:val="auto"/>
                <w:sz w:val="18"/>
                <w:szCs w:val="18"/>
                <w:highlight w:val="none"/>
              </w:rPr>
              <w:t>叠合剪力墙</w:t>
            </w:r>
            <w:r>
              <w:rPr>
                <w:rFonts w:hint="eastAsia" w:ascii="Times New Roman" w:hAnsi="Times New Roman" w:eastAsia="黑体" w:cs="Times New Roman"/>
                <w:color w:val="auto"/>
                <w:sz w:val="18"/>
                <w:szCs w:val="18"/>
                <w:highlight w:val="none"/>
              </w:rPr>
              <w:t>模块单元示意图</w:t>
            </w:r>
          </w:p>
        </w:tc>
      </w:tr>
      <w:tr w14:paraId="2372B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135" w:type="dxa"/>
          </w:tcPr>
          <w:p w14:paraId="1FE9B09A">
            <w:pPr>
              <w:jc w:val="center"/>
              <w:rPr>
                <w:color w:val="auto"/>
                <w:sz w:val="18"/>
                <w:szCs w:val="18"/>
                <w:highlight w:val="none"/>
              </w:rPr>
            </w:pPr>
            <w:r>
              <w:rPr>
                <w:rFonts w:hint="eastAsia" w:ascii="Times New Roman" w:hAnsi="Times New Roman" w:eastAsia="黑体" w:cs="Times New Roman"/>
                <w:color w:val="auto"/>
                <w:sz w:val="18"/>
                <w:szCs w:val="18"/>
                <w:highlight w:val="none"/>
              </w:rPr>
              <w:t>1—开槽型模块预制顶板；</w:t>
            </w:r>
            <w:bookmarkStart w:id="69" w:name="OLE_LINK56"/>
            <w:r>
              <w:rPr>
                <w:rFonts w:hint="eastAsia" w:ascii="Times New Roman" w:hAnsi="Times New Roman" w:eastAsia="黑体" w:cs="Times New Roman"/>
                <w:color w:val="auto"/>
                <w:sz w:val="18"/>
                <w:szCs w:val="18"/>
                <w:highlight w:val="none"/>
              </w:rPr>
              <w:t>2—预制薄隔墙</w:t>
            </w:r>
            <w:bookmarkEnd w:id="69"/>
            <w:r>
              <w:rPr>
                <w:rFonts w:hint="eastAsia" w:ascii="Times New Roman" w:hAnsi="Times New Roman" w:eastAsia="黑体" w:cs="Times New Roman"/>
                <w:color w:val="auto"/>
                <w:sz w:val="18"/>
                <w:szCs w:val="18"/>
                <w:highlight w:val="none"/>
              </w:rPr>
              <w:t>；3—预制底板；4—预制围护外墙；5—预制叠合剪力墙；6—预制承重围护一体化外墙</w:t>
            </w:r>
          </w:p>
        </w:tc>
      </w:tr>
    </w:tbl>
    <w:p w14:paraId="537C28F7">
      <w:pPr>
        <w:spacing w:line="360" w:lineRule="exact"/>
        <w:rPr>
          <w:color w:val="auto"/>
          <w:szCs w:val="21"/>
          <w:highlight w:val="none"/>
        </w:rPr>
      </w:pPr>
      <w:bookmarkStart w:id="70" w:name="_Toc19563"/>
      <w:bookmarkStart w:id="71" w:name="_Toc22038"/>
      <w:bookmarkStart w:id="72" w:name="_Toc7254"/>
      <w:r>
        <w:rPr>
          <w:b/>
          <w:color w:val="auto"/>
          <w:szCs w:val="21"/>
          <w:highlight w:val="none"/>
        </w:rPr>
        <w:t>2.1.</w:t>
      </w:r>
      <w:r>
        <w:rPr>
          <w:rFonts w:hint="eastAsia"/>
          <w:b/>
          <w:color w:val="auto"/>
          <w:szCs w:val="21"/>
          <w:highlight w:val="none"/>
          <w:lang w:val="en-US" w:eastAsia="zh-CN"/>
        </w:rPr>
        <w:t>4</w:t>
      </w:r>
      <w:r>
        <w:rPr>
          <w:b/>
          <w:color w:val="auto"/>
          <w:szCs w:val="21"/>
          <w:highlight w:val="none"/>
        </w:rPr>
        <w:t xml:space="preserve"> </w:t>
      </w:r>
      <w:r>
        <w:rPr>
          <w:color w:val="auto"/>
          <w:szCs w:val="21"/>
          <w:highlight w:val="none"/>
        </w:rPr>
        <w:t xml:space="preserve">模块单元 </w:t>
      </w:r>
      <w:r>
        <w:rPr>
          <w:rFonts w:hint="eastAsia"/>
          <w:color w:val="auto"/>
          <w:szCs w:val="21"/>
          <w:highlight w:val="none"/>
          <w:lang w:val="en-US" w:eastAsia="zh-CN"/>
        </w:rPr>
        <w:t>m</w:t>
      </w:r>
      <w:r>
        <w:rPr>
          <w:color w:val="auto"/>
          <w:szCs w:val="21"/>
          <w:highlight w:val="none"/>
        </w:rPr>
        <w:t xml:space="preserve">odular </w:t>
      </w:r>
      <w:r>
        <w:rPr>
          <w:rFonts w:hint="eastAsia"/>
          <w:color w:val="auto"/>
          <w:szCs w:val="21"/>
          <w:highlight w:val="none"/>
          <w:lang w:val="en-US" w:eastAsia="zh-CN"/>
        </w:rPr>
        <w:t>u</w:t>
      </w:r>
      <w:r>
        <w:rPr>
          <w:color w:val="auto"/>
          <w:szCs w:val="21"/>
          <w:highlight w:val="none"/>
        </w:rPr>
        <w:t>nit</w:t>
      </w:r>
      <w:bookmarkEnd w:id="70"/>
      <w:bookmarkEnd w:id="71"/>
      <w:bookmarkEnd w:id="72"/>
      <w:r>
        <w:rPr>
          <w:color w:val="auto"/>
          <w:szCs w:val="21"/>
          <w:highlight w:val="none"/>
        </w:rPr>
        <w:t xml:space="preserve"> </w:t>
      </w:r>
    </w:p>
    <w:p w14:paraId="087B30FA">
      <w:pPr>
        <w:spacing w:line="360" w:lineRule="exact"/>
        <w:ind w:firstLine="420" w:firstLineChars="200"/>
        <w:rPr>
          <w:color w:val="auto"/>
          <w:szCs w:val="21"/>
          <w:highlight w:val="none"/>
        </w:rPr>
      </w:pPr>
      <w:r>
        <w:rPr>
          <w:rFonts w:hint="eastAsia"/>
          <w:color w:val="auto"/>
          <w:szCs w:val="21"/>
          <w:highlight w:val="none"/>
        </w:rPr>
        <w:t>全预制模块单元</w:t>
      </w:r>
      <w:r>
        <w:rPr>
          <w:rFonts w:hint="eastAsia"/>
          <w:color w:val="auto"/>
          <w:szCs w:val="21"/>
          <w:highlight w:val="none"/>
          <w:lang w:val="en-US" w:eastAsia="zh-CN"/>
        </w:rPr>
        <w:t>和</w:t>
      </w:r>
      <w:r>
        <w:rPr>
          <w:rFonts w:hint="eastAsia"/>
          <w:color w:val="auto"/>
          <w:szCs w:val="21"/>
          <w:highlight w:val="none"/>
        </w:rPr>
        <w:t>叠</w:t>
      </w:r>
      <w:bookmarkStart w:id="73" w:name="OLE_LINK57"/>
      <w:r>
        <w:rPr>
          <w:rFonts w:hint="eastAsia"/>
          <w:color w:val="auto"/>
          <w:szCs w:val="21"/>
          <w:highlight w:val="none"/>
        </w:rPr>
        <w:t>合模块单</w:t>
      </w:r>
      <w:bookmarkEnd w:id="73"/>
      <w:r>
        <w:rPr>
          <w:rFonts w:hint="eastAsia"/>
          <w:color w:val="auto"/>
          <w:szCs w:val="21"/>
          <w:highlight w:val="none"/>
        </w:rPr>
        <w:t>元的统称</w:t>
      </w:r>
      <w:r>
        <w:rPr>
          <w:color w:val="auto"/>
          <w:szCs w:val="21"/>
          <w:highlight w:val="none"/>
        </w:rPr>
        <w:t xml:space="preserve">，是混凝土模块化建筑的基本单元。 </w:t>
      </w:r>
    </w:p>
    <w:p w14:paraId="30869D91">
      <w:pPr>
        <w:spacing w:line="360" w:lineRule="exact"/>
        <w:rPr>
          <w:color w:val="auto"/>
          <w:szCs w:val="21"/>
          <w:highlight w:val="none"/>
        </w:rPr>
      </w:pPr>
      <w:r>
        <w:rPr>
          <w:rFonts w:hint="eastAsia"/>
          <w:b/>
          <w:color w:val="auto"/>
          <w:szCs w:val="21"/>
          <w:highlight w:val="none"/>
        </w:rPr>
        <w:t>2.1.</w:t>
      </w:r>
      <w:r>
        <w:rPr>
          <w:rFonts w:hint="eastAsia"/>
          <w:b/>
          <w:color w:val="auto"/>
          <w:szCs w:val="21"/>
          <w:highlight w:val="none"/>
          <w:lang w:val="en-US" w:eastAsia="zh-CN"/>
        </w:rPr>
        <w:t>5</w:t>
      </w:r>
      <w:r>
        <w:rPr>
          <w:rFonts w:hint="eastAsia"/>
          <w:b/>
          <w:color w:val="auto"/>
          <w:szCs w:val="21"/>
          <w:highlight w:val="none"/>
        </w:rPr>
        <w:t xml:space="preserve"> </w:t>
      </w:r>
      <w:r>
        <w:rPr>
          <w:rFonts w:hint="eastAsia"/>
          <w:color w:val="auto"/>
          <w:szCs w:val="21"/>
          <w:highlight w:val="none"/>
        </w:rPr>
        <w:t>模块化全预制剪力墙结构 m</w:t>
      </w:r>
      <w:r>
        <w:rPr>
          <w:color w:val="auto"/>
          <w:szCs w:val="21"/>
          <w:highlight w:val="none"/>
        </w:rPr>
        <w:t>odular fully prefabricated shear wall structure</w:t>
      </w:r>
    </w:p>
    <w:p w14:paraId="00B4DF13">
      <w:pPr>
        <w:spacing w:line="360" w:lineRule="exact"/>
        <w:ind w:firstLine="420" w:firstLineChars="200"/>
        <w:rPr>
          <w:color w:val="auto"/>
          <w:szCs w:val="21"/>
          <w:highlight w:val="none"/>
        </w:rPr>
      </w:pPr>
      <w:r>
        <w:rPr>
          <w:rFonts w:hint="eastAsia"/>
          <w:color w:val="auto"/>
          <w:szCs w:val="21"/>
          <w:highlight w:val="none"/>
          <w:lang w:val="en-US" w:eastAsia="zh-CN"/>
        </w:rPr>
        <w:t>全</w:t>
      </w:r>
      <w:r>
        <w:rPr>
          <w:rFonts w:hint="eastAsia"/>
          <w:color w:val="auto"/>
          <w:szCs w:val="21"/>
          <w:highlight w:val="none"/>
        </w:rPr>
        <w:t>预制</w:t>
      </w:r>
      <w:r>
        <w:rPr>
          <w:color w:val="auto"/>
          <w:szCs w:val="21"/>
          <w:highlight w:val="none"/>
        </w:rPr>
        <w:t>模块</w:t>
      </w:r>
      <w:r>
        <w:rPr>
          <w:rFonts w:hint="eastAsia"/>
          <w:color w:val="auto"/>
          <w:szCs w:val="21"/>
          <w:highlight w:val="none"/>
        </w:rPr>
        <w:t>单元</w:t>
      </w:r>
      <w:r>
        <w:rPr>
          <w:color w:val="auto"/>
          <w:szCs w:val="21"/>
          <w:highlight w:val="none"/>
        </w:rPr>
        <w:t>在施工现场通过</w:t>
      </w:r>
      <w:r>
        <w:rPr>
          <w:rFonts w:hint="eastAsia"/>
          <w:color w:val="auto"/>
          <w:szCs w:val="21"/>
          <w:highlight w:val="none"/>
        </w:rPr>
        <w:t>预制构件间连接节点形成的全预制</w:t>
      </w:r>
      <w:r>
        <w:rPr>
          <w:color w:val="auto"/>
          <w:szCs w:val="21"/>
          <w:highlight w:val="none"/>
        </w:rPr>
        <w:t>混凝土</w:t>
      </w:r>
      <w:r>
        <w:rPr>
          <w:rFonts w:hint="eastAsia"/>
          <w:color w:val="auto"/>
          <w:szCs w:val="21"/>
          <w:highlight w:val="none"/>
        </w:rPr>
        <w:t>剪力墙</w:t>
      </w:r>
      <w:r>
        <w:rPr>
          <w:color w:val="auto"/>
          <w:szCs w:val="21"/>
          <w:highlight w:val="none"/>
        </w:rPr>
        <w:t>结构。</w:t>
      </w:r>
    </w:p>
    <w:p w14:paraId="5B4F21D1">
      <w:pPr>
        <w:spacing w:line="360" w:lineRule="exact"/>
        <w:rPr>
          <w:color w:val="auto"/>
          <w:szCs w:val="21"/>
          <w:highlight w:val="none"/>
        </w:rPr>
      </w:pPr>
      <w:r>
        <w:rPr>
          <w:b/>
          <w:color w:val="auto"/>
          <w:szCs w:val="21"/>
          <w:highlight w:val="none"/>
        </w:rPr>
        <w:t>2.</w:t>
      </w:r>
      <w:r>
        <w:rPr>
          <w:rFonts w:hint="eastAsia"/>
          <w:b/>
          <w:color w:val="auto"/>
          <w:szCs w:val="21"/>
          <w:highlight w:val="none"/>
        </w:rPr>
        <w:t>1</w:t>
      </w:r>
      <w:r>
        <w:rPr>
          <w:b/>
          <w:color w:val="auto"/>
          <w:szCs w:val="21"/>
          <w:highlight w:val="none"/>
        </w:rPr>
        <w:t>.</w:t>
      </w:r>
      <w:r>
        <w:rPr>
          <w:rFonts w:hint="eastAsia"/>
          <w:b/>
          <w:color w:val="auto"/>
          <w:szCs w:val="21"/>
          <w:highlight w:val="none"/>
          <w:lang w:val="en-US" w:eastAsia="zh-CN"/>
        </w:rPr>
        <w:t>6</w:t>
      </w:r>
      <w:r>
        <w:rPr>
          <w:b/>
          <w:color w:val="auto"/>
          <w:szCs w:val="21"/>
          <w:highlight w:val="none"/>
        </w:rPr>
        <w:t xml:space="preserve"> </w:t>
      </w:r>
      <w:r>
        <w:rPr>
          <w:rFonts w:hint="eastAsia"/>
          <w:color w:val="auto"/>
          <w:szCs w:val="21"/>
          <w:highlight w:val="none"/>
        </w:rPr>
        <w:t>模块化</w:t>
      </w:r>
      <w:r>
        <w:rPr>
          <w:color w:val="auto"/>
          <w:szCs w:val="21"/>
          <w:highlight w:val="none"/>
        </w:rPr>
        <w:t>叠合剪力墙结构</w:t>
      </w:r>
      <w:r>
        <w:rPr>
          <w:rFonts w:hint="eastAsia"/>
          <w:color w:val="auto"/>
          <w:szCs w:val="21"/>
          <w:highlight w:val="none"/>
        </w:rPr>
        <w:t xml:space="preserve"> modular composite shear wall structure</w:t>
      </w:r>
    </w:p>
    <w:p w14:paraId="2AB5D0B8">
      <w:pPr>
        <w:spacing w:line="360" w:lineRule="exact"/>
        <w:ind w:firstLine="420" w:firstLineChars="200"/>
        <w:rPr>
          <w:color w:val="auto"/>
          <w:szCs w:val="21"/>
          <w:highlight w:val="none"/>
        </w:rPr>
      </w:pPr>
      <w:r>
        <w:rPr>
          <w:color w:val="auto"/>
          <w:szCs w:val="21"/>
          <w:highlight w:val="none"/>
        </w:rPr>
        <w:t>模块单元</w:t>
      </w:r>
      <w:r>
        <w:rPr>
          <w:rFonts w:hint="eastAsia"/>
          <w:color w:val="auto"/>
          <w:szCs w:val="21"/>
          <w:highlight w:val="none"/>
          <w:lang w:val="en-US" w:eastAsia="zh-CN"/>
        </w:rPr>
        <w:t>中剪力墙采用叠合剪力墙或预制空心剪力墙，并通过可靠连接与现场后浇混凝土形成整体受力的结构，简称模块化叠合剪力墙结构</w:t>
      </w:r>
      <w:r>
        <w:rPr>
          <w:color w:val="auto"/>
          <w:szCs w:val="21"/>
          <w:highlight w:val="none"/>
        </w:rPr>
        <w:t>。</w:t>
      </w:r>
    </w:p>
    <w:p w14:paraId="1827DFAD">
      <w:pPr>
        <w:rPr>
          <w:color w:val="auto"/>
          <w:szCs w:val="21"/>
          <w:highlight w:val="none"/>
        </w:rPr>
      </w:pPr>
      <w:r>
        <w:rPr>
          <w:b/>
          <w:color w:val="auto"/>
          <w:szCs w:val="21"/>
          <w:highlight w:val="none"/>
        </w:rPr>
        <w:t>2.1.</w:t>
      </w:r>
      <w:r>
        <w:rPr>
          <w:rFonts w:hint="eastAsia"/>
          <w:b/>
          <w:color w:val="auto"/>
          <w:szCs w:val="21"/>
          <w:highlight w:val="none"/>
          <w:lang w:val="en-US" w:eastAsia="zh-CN"/>
        </w:rPr>
        <w:t>7</w:t>
      </w:r>
      <w:r>
        <w:rPr>
          <w:b/>
          <w:color w:val="auto"/>
          <w:szCs w:val="21"/>
          <w:highlight w:val="none"/>
        </w:rPr>
        <w:t xml:space="preserve"> </w:t>
      </w:r>
      <w:r>
        <w:rPr>
          <w:color w:val="auto"/>
          <w:szCs w:val="21"/>
          <w:highlight w:val="none"/>
        </w:rPr>
        <w:t>预制空心剪力墙</w:t>
      </w:r>
      <w:r>
        <w:rPr>
          <w:rFonts w:hint="eastAsia"/>
          <w:color w:val="auto"/>
          <w:szCs w:val="21"/>
          <w:highlight w:val="none"/>
        </w:rPr>
        <w:t xml:space="preserve"> prefabricated hollow shear wall</w:t>
      </w:r>
    </w:p>
    <w:p w14:paraId="6E75E82C">
      <w:pPr>
        <w:spacing w:line="360" w:lineRule="exact"/>
        <w:ind w:firstLine="420" w:firstLineChars="200"/>
        <w:rPr>
          <w:color w:val="auto"/>
          <w:highlight w:val="none"/>
        </w:rPr>
      </w:pPr>
      <w:r>
        <w:rPr>
          <w:rFonts w:hint="eastAsia" w:ascii="宋体" w:hAnsi="宋体"/>
          <w:color w:val="auto"/>
          <w:szCs w:val="21"/>
          <w:highlight w:val="none"/>
        </w:rPr>
        <w:t>模</w:t>
      </w:r>
      <w:r>
        <w:rPr>
          <w:rFonts w:hint="default" w:ascii="Times New Roman" w:hAnsi="Times New Roman"/>
          <w:color w:val="auto"/>
          <w:szCs w:val="21"/>
          <w:highlight w:val="none"/>
        </w:rPr>
        <w:t>块预制墙体竖直方向</w:t>
      </w:r>
      <w:r>
        <w:rPr>
          <w:rFonts w:hint="default" w:ascii="Times New Roman" w:hAnsi="Times New Roman"/>
          <w:color w:val="auto"/>
          <w:szCs w:val="21"/>
          <w:highlight w:val="none"/>
          <w:lang w:val="en-US" w:eastAsia="zh-CN"/>
        </w:rPr>
        <w:t>均匀</w:t>
      </w:r>
      <w:r>
        <w:rPr>
          <w:rFonts w:hint="default" w:ascii="Times New Roman" w:hAnsi="Times New Roman"/>
          <w:color w:val="auto"/>
          <w:szCs w:val="21"/>
          <w:highlight w:val="none"/>
        </w:rPr>
        <w:t>预留通长孔洞</w:t>
      </w:r>
      <w:r>
        <w:rPr>
          <w:rFonts w:hint="default" w:ascii="Times New Roman" w:hAnsi="Times New Roman"/>
          <w:color w:val="auto"/>
          <w:szCs w:val="21"/>
          <w:highlight w:val="none"/>
          <w:lang w:eastAsia="zh-CN"/>
        </w:rPr>
        <w:t>，</w:t>
      </w:r>
      <w:r>
        <w:rPr>
          <w:rFonts w:hint="default" w:ascii="Times New Roman" w:hAnsi="Times New Roman"/>
          <w:color w:val="auto"/>
          <w:szCs w:val="21"/>
          <w:highlight w:val="none"/>
          <w:lang w:val="en-US" w:eastAsia="zh-CN"/>
        </w:rPr>
        <w:t>底部预留水平方向通槽</w:t>
      </w:r>
      <w:r>
        <w:rPr>
          <w:rFonts w:hint="default" w:ascii="Times New Roman" w:hAnsi="Times New Roman"/>
          <w:color w:val="auto"/>
          <w:szCs w:val="21"/>
          <w:highlight w:val="none"/>
        </w:rPr>
        <w:t>，墙身内部预置包含墙体竖向分布钢筋及拉筋的钢筋骨架，施工时兼作墙体模板并参与结构受力的预制混凝土空心墙板</w:t>
      </w:r>
      <w:r>
        <w:rPr>
          <w:rFonts w:hint="default" w:ascii="Times New Roman" w:hAnsi="Times New Roman"/>
          <w:color w:val="auto"/>
          <w:szCs w:val="21"/>
          <w:highlight w:val="none"/>
          <w:lang w:eastAsia="zh-CN"/>
        </w:rPr>
        <w:t>（</w:t>
      </w:r>
      <w:r>
        <w:rPr>
          <w:rFonts w:hint="default" w:ascii="Times New Roman" w:hAnsi="Times New Roman"/>
          <w:color w:val="auto"/>
          <w:szCs w:val="21"/>
          <w:highlight w:val="none"/>
          <w:lang w:val="en-US" w:eastAsia="zh-CN"/>
        </w:rPr>
        <w:t>图2.1.7</w:t>
      </w:r>
      <w:r>
        <w:rPr>
          <w:rFonts w:hint="default" w:ascii="Times New Roman" w:hAnsi="Times New Roman"/>
          <w:color w:val="auto"/>
          <w:szCs w:val="21"/>
          <w:highlight w:val="none"/>
          <w:lang w:eastAsia="zh-CN"/>
        </w:rPr>
        <w:t>）</w:t>
      </w:r>
      <w:r>
        <w:rPr>
          <w:color w:val="auto"/>
          <w:highlight w:val="none"/>
        </w:rPr>
        <w:t>。</w:t>
      </w:r>
    </w:p>
    <w:tbl>
      <w:tblPr>
        <w:tblStyle w:val="2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35"/>
      </w:tblGrid>
      <w:tr w14:paraId="2708E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623" w:hRule="atLeast"/>
          <w:jc w:val="center"/>
        </w:trPr>
        <w:tc>
          <w:tcPr>
            <w:tcW w:w="6135" w:type="dxa"/>
            <w:shd w:val="clear" w:color="auto" w:fill="auto"/>
            <w:vAlign w:val="center"/>
          </w:tcPr>
          <w:p w14:paraId="00BE88D8">
            <w:pPr>
              <w:jc w:val="center"/>
              <w:rPr>
                <w:rFonts w:hint="eastAsia" w:ascii="Times New Roman" w:hAnsi="Times New Roman" w:eastAsia="黑体" w:cs="Times New Roman"/>
                <w:color w:val="auto"/>
                <w:sz w:val="18"/>
                <w:szCs w:val="18"/>
                <w:highlight w:val="none"/>
              </w:rPr>
            </w:pPr>
            <w:r>
              <w:rPr>
                <w:color w:val="auto"/>
                <w:highlight w:val="none"/>
              </w:rPr>
              <w:drawing>
                <wp:inline distT="0" distB="0" distL="114300" distR="114300">
                  <wp:extent cx="1503045" cy="2432050"/>
                  <wp:effectExtent l="0" t="0" r="1905" b="6350"/>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22"/>
                          <a:stretch>
                            <a:fillRect/>
                          </a:stretch>
                        </pic:blipFill>
                        <pic:spPr>
                          <a:xfrm>
                            <a:off x="0" y="0"/>
                            <a:ext cx="1503045" cy="2432050"/>
                          </a:xfrm>
                          <a:prstGeom prst="rect">
                            <a:avLst/>
                          </a:prstGeom>
                          <a:noFill/>
                          <a:ln>
                            <a:noFill/>
                          </a:ln>
                        </pic:spPr>
                      </pic:pic>
                    </a:graphicData>
                  </a:graphic>
                </wp:inline>
              </w:drawing>
            </w:r>
          </w:p>
        </w:tc>
      </w:tr>
      <w:tr w14:paraId="5E42C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jc w:val="center"/>
        </w:trPr>
        <w:tc>
          <w:tcPr>
            <w:tcW w:w="6135" w:type="dxa"/>
            <w:shd w:val="clear" w:color="auto" w:fill="auto"/>
            <w:vAlign w:val="center"/>
          </w:tcPr>
          <w:p w14:paraId="29A76207">
            <w:pPr>
              <w:spacing w:before="83" w:beforeLines="25"/>
              <w:jc w:val="center"/>
              <w:rPr>
                <w:color w:val="auto"/>
                <w:sz w:val="18"/>
                <w:szCs w:val="18"/>
                <w:highlight w:val="none"/>
              </w:rPr>
            </w:pPr>
            <w:bookmarkStart w:id="74" w:name="OLE_LINK61" w:colFirst="0" w:colLast="0"/>
            <w:r>
              <w:rPr>
                <w:rFonts w:eastAsia="黑体"/>
                <w:color w:val="auto"/>
                <w:sz w:val="18"/>
                <w:szCs w:val="18"/>
                <w:highlight w:val="none"/>
              </w:rPr>
              <w:t>图</w:t>
            </w:r>
            <w:r>
              <w:rPr>
                <w:rFonts w:hint="eastAsia" w:eastAsia="黑体"/>
                <w:b/>
                <w:color w:val="auto"/>
                <w:sz w:val="18"/>
                <w:szCs w:val="18"/>
                <w:highlight w:val="none"/>
              </w:rPr>
              <w:t>2.1.</w:t>
            </w:r>
            <w:r>
              <w:rPr>
                <w:rFonts w:hint="eastAsia" w:eastAsia="黑体"/>
                <w:b/>
                <w:color w:val="auto"/>
                <w:sz w:val="18"/>
                <w:szCs w:val="18"/>
                <w:highlight w:val="none"/>
                <w:lang w:val="en-US" w:eastAsia="zh-CN"/>
              </w:rPr>
              <w:t>7</w:t>
            </w:r>
            <w:r>
              <w:rPr>
                <w:rFonts w:eastAsia="黑体"/>
                <w:b/>
                <w:color w:val="auto"/>
                <w:sz w:val="18"/>
                <w:szCs w:val="18"/>
                <w:highlight w:val="none"/>
              </w:rPr>
              <w:t xml:space="preserve"> </w:t>
            </w:r>
            <w:r>
              <w:rPr>
                <w:rFonts w:hint="eastAsia" w:eastAsia="黑体"/>
                <w:color w:val="auto"/>
                <w:sz w:val="18"/>
                <w:szCs w:val="18"/>
                <w:highlight w:val="none"/>
              </w:rPr>
              <w:t xml:space="preserve"> 预制</w:t>
            </w:r>
            <w:r>
              <w:rPr>
                <w:rFonts w:eastAsia="黑体"/>
                <w:color w:val="auto"/>
                <w:sz w:val="18"/>
                <w:szCs w:val="18"/>
                <w:highlight w:val="none"/>
              </w:rPr>
              <w:t>空心</w:t>
            </w:r>
            <w:r>
              <w:rPr>
                <w:rFonts w:hint="eastAsia" w:eastAsia="黑体"/>
                <w:color w:val="auto"/>
                <w:sz w:val="18"/>
                <w:szCs w:val="18"/>
                <w:highlight w:val="none"/>
              </w:rPr>
              <w:t>剪力</w:t>
            </w:r>
            <w:r>
              <w:rPr>
                <w:rFonts w:eastAsia="黑体"/>
                <w:color w:val="auto"/>
                <w:sz w:val="18"/>
                <w:szCs w:val="18"/>
                <w:highlight w:val="none"/>
              </w:rPr>
              <w:t>墙</w:t>
            </w:r>
            <w:r>
              <w:rPr>
                <w:rFonts w:hint="eastAsia" w:eastAsia="黑体"/>
                <w:color w:val="auto"/>
                <w:sz w:val="18"/>
                <w:szCs w:val="18"/>
                <w:highlight w:val="none"/>
                <w:lang w:val="en-US" w:eastAsia="zh-CN"/>
              </w:rPr>
              <w:t>构件</w:t>
            </w:r>
            <w:r>
              <w:rPr>
                <w:rFonts w:eastAsia="黑体"/>
                <w:color w:val="auto"/>
                <w:sz w:val="18"/>
                <w:szCs w:val="18"/>
                <w:highlight w:val="none"/>
              </w:rPr>
              <w:t>示意图</w:t>
            </w:r>
          </w:p>
        </w:tc>
      </w:tr>
      <w:tr w14:paraId="6E9B8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135" w:type="dxa"/>
            <w:shd w:val="clear" w:color="auto" w:fill="auto"/>
            <w:vAlign w:val="center"/>
          </w:tcPr>
          <w:p w14:paraId="6DD1289B">
            <w:pPr>
              <w:spacing w:before="83" w:beforeLines="25"/>
              <w:jc w:val="center"/>
              <w:rPr>
                <w:rFonts w:hint="default" w:eastAsia="黑体"/>
                <w:color w:val="auto"/>
                <w:sz w:val="18"/>
                <w:szCs w:val="18"/>
                <w:highlight w:val="none"/>
                <w:lang w:val="en-US" w:eastAsia="zh-CN"/>
              </w:rPr>
            </w:pPr>
            <w:r>
              <w:rPr>
                <w:rFonts w:hint="eastAsia" w:ascii="Times New Roman" w:hAnsi="Times New Roman" w:eastAsia="黑体" w:cs="Times New Roman"/>
                <w:color w:val="auto"/>
                <w:sz w:val="18"/>
                <w:szCs w:val="18"/>
                <w:highlight w:val="none"/>
              </w:rPr>
              <w:t>1—</w:t>
            </w:r>
            <w:r>
              <w:rPr>
                <w:rFonts w:hint="eastAsia" w:eastAsia="黑体"/>
                <w:color w:val="auto"/>
                <w:sz w:val="18"/>
                <w:szCs w:val="18"/>
                <w:highlight w:val="none"/>
              </w:rPr>
              <w:t>空心剪力墙</w:t>
            </w:r>
            <w:r>
              <w:rPr>
                <w:rFonts w:hint="eastAsia" w:eastAsia="黑体"/>
                <w:color w:val="auto"/>
                <w:sz w:val="18"/>
                <w:szCs w:val="18"/>
                <w:highlight w:val="none"/>
                <w:lang w:val="en-US" w:eastAsia="zh-CN"/>
              </w:rPr>
              <w:t>墙身</w:t>
            </w:r>
            <w:r>
              <w:rPr>
                <w:rFonts w:hint="eastAsia" w:ascii="Times New Roman" w:hAnsi="Times New Roman" w:eastAsia="黑体" w:cs="Times New Roman"/>
                <w:color w:val="auto"/>
                <w:sz w:val="18"/>
                <w:szCs w:val="18"/>
                <w:highlight w:val="none"/>
              </w:rPr>
              <w:t>；2—</w:t>
            </w:r>
            <w:r>
              <w:rPr>
                <w:rFonts w:hint="eastAsia" w:eastAsia="黑体" w:cs="Times New Roman"/>
                <w:color w:val="auto"/>
                <w:sz w:val="18"/>
                <w:szCs w:val="18"/>
                <w:highlight w:val="none"/>
                <w:lang w:val="en-US" w:eastAsia="zh-CN"/>
              </w:rPr>
              <w:t>竖向</w:t>
            </w:r>
            <w:r>
              <w:rPr>
                <w:rFonts w:hint="eastAsia" w:eastAsia="黑体"/>
                <w:color w:val="auto"/>
                <w:sz w:val="18"/>
                <w:szCs w:val="18"/>
                <w:highlight w:val="none"/>
              </w:rPr>
              <w:t>通长孔洞</w:t>
            </w:r>
            <w:r>
              <w:rPr>
                <w:rFonts w:hint="eastAsia" w:ascii="Times New Roman" w:hAnsi="Times New Roman" w:eastAsia="黑体" w:cs="Times New Roman"/>
                <w:color w:val="auto"/>
                <w:sz w:val="18"/>
                <w:szCs w:val="18"/>
                <w:highlight w:val="none"/>
              </w:rPr>
              <w:t>；3—</w:t>
            </w:r>
            <w:r>
              <w:rPr>
                <w:rFonts w:hint="eastAsia" w:eastAsia="黑体" w:cs="Times New Roman"/>
                <w:color w:val="auto"/>
                <w:sz w:val="18"/>
                <w:szCs w:val="18"/>
                <w:highlight w:val="none"/>
                <w:lang w:val="en-US" w:eastAsia="zh-CN"/>
              </w:rPr>
              <w:t>竖向通长槽口</w:t>
            </w:r>
          </w:p>
        </w:tc>
      </w:tr>
      <w:bookmarkEnd w:id="74"/>
    </w:tbl>
    <w:p w14:paraId="4E4C2F5C">
      <w:pPr>
        <w:spacing w:line="360" w:lineRule="exact"/>
        <w:rPr>
          <w:color w:val="auto"/>
          <w:szCs w:val="21"/>
          <w:highlight w:val="none"/>
        </w:rPr>
      </w:pPr>
      <w:r>
        <w:rPr>
          <w:rFonts w:hint="eastAsia"/>
          <w:b/>
          <w:color w:val="auto"/>
          <w:szCs w:val="21"/>
          <w:highlight w:val="none"/>
        </w:rPr>
        <w:t>2.1.</w:t>
      </w:r>
      <w:bookmarkStart w:id="75" w:name="OLE_LINK92"/>
      <w:r>
        <w:rPr>
          <w:rFonts w:hint="eastAsia"/>
          <w:b/>
          <w:color w:val="auto"/>
          <w:szCs w:val="21"/>
          <w:highlight w:val="none"/>
          <w:lang w:val="en-US" w:eastAsia="zh-CN"/>
        </w:rPr>
        <w:t xml:space="preserve">8 </w:t>
      </w:r>
      <w:bookmarkStart w:id="76" w:name="OLE_LINK89"/>
      <w:bookmarkStart w:id="77" w:name="OLE_LINK91"/>
      <w:r>
        <w:rPr>
          <w:rFonts w:hint="eastAsia"/>
          <w:color w:val="auto"/>
          <w:szCs w:val="21"/>
          <w:highlight w:val="none"/>
        </w:rPr>
        <w:t>双面叠合剪力墙</w:t>
      </w:r>
      <w:bookmarkEnd w:id="76"/>
      <w:r>
        <w:rPr>
          <w:rFonts w:hint="eastAsia"/>
          <w:color w:val="auto"/>
          <w:szCs w:val="21"/>
          <w:highlight w:val="none"/>
        </w:rPr>
        <w:t xml:space="preserve"> </w:t>
      </w:r>
      <w:r>
        <w:rPr>
          <w:rFonts w:hint="eastAsia"/>
          <w:color w:val="auto"/>
          <w:szCs w:val="21"/>
          <w:highlight w:val="none"/>
          <w:lang w:val="en-US" w:eastAsia="zh-CN"/>
        </w:rPr>
        <w:t>d</w:t>
      </w:r>
      <w:r>
        <w:rPr>
          <w:rFonts w:hint="eastAsia"/>
          <w:color w:val="auto"/>
          <w:szCs w:val="21"/>
          <w:highlight w:val="none"/>
        </w:rPr>
        <w:t xml:space="preserve">ouble-Side </w:t>
      </w:r>
      <w:r>
        <w:rPr>
          <w:rFonts w:hint="eastAsia"/>
          <w:color w:val="auto"/>
          <w:szCs w:val="21"/>
          <w:highlight w:val="none"/>
          <w:lang w:val="en-US" w:eastAsia="zh-CN"/>
        </w:rPr>
        <w:t>c</w:t>
      </w:r>
      <w:r>
        <w:rPr>
          <w:rFonts w:hint="eastAsia"/>
          <w:color w:val="auto"/>
          <w:szCs w:val="21"/>
          <w:highlight w:val="none"/>
        </w:rPr>
        <w:t xml:space="preserve">omposite </w:t>
      </w:r>
      <w:r>
        <w:rPr>
          <w:rFonts w:hint="eastAsia"/>
          <w:color w:val="auto"/>
          <w:szCs w:val="21"/>
          <w:highlight w:val="none"/>
          <w:lang w:val="en-US" w:eastAsia="zh-CN"/>
        </w:rPr>
        <w:t>w</w:t>
      </w:r>
      <w:r>
        <w:rPr>
          <w:rFonts w:hint="eastAsia"/>
          <w:color w:val="auto"/>
          <w:szCs w:val="21"/>
          <w:highlight w:val="none"/>
        </w:rPr>
        <w:t xml:space="preserve">all </w:t>
      </w:r>
      <w:r>
        <w:rPr>
          <w:rFonts w:hint="eastAsia"/>
          <w:color w:val="auto"/>
          <w:szCs w:val="21"/>
          <w:highlight w:val="none"/>
          <w:lang w:val="en-US" w:eastAsia="zh-CN"/>
        </w:rPr>
        <w:t>p</w:t>
      </w:r>
      <w:r>
        <w:rPr>
          <w:rFonts w:hint="eastAsia"/>
          <w:color w:val="auto"/>
          <w:szCs w:val="21"/>
          <w:highlight w:val="none"/>
        </w:rPr>
        <w:t xml:space="preserve">anel </w:t>
      </w:r>
    </w:p>
    <w:p w14:paraId="4DF8BC3F">
      <w:pPr>
        <w:spacing w:line="360" w:lineRule="exact"/>
        <w:ind w:firstLine="420" w:firstLineChars="200"/>
        <w:rPr>
          <w:color w:val="auto"/>
          <w:szCs w:val="21"/>
          <w:highlight w:val="none"/>
        </w:rPr>
      </w:pPr>
      <w:bookmarkStart w:id="78" w:name="OLE_LINK90"/>
      <w:r>
        <w:rPr>
          <w:rFonts w:hint="eastAsia"/>
          <w:color w:val="auto"/>
          <w:szCs w:val="21"/>
          <w:highlight w:val="none"/>
          <w:lang w:val="en-US" w:eastAsia="zh-CN"/>
        </w:rPr>
        <w:t>由</w:t>
      </w:r>
      <w:r>
        <w:rPr>
          <w:rFonts w:hint="eastAsia"/>
          <w:color w:val="auto"/>
          <w:szCs w:val="21"/>
          <w:highlight w:val="none"/>
        </w:rPr>
        <w:t>集成双面叠合墙板的模块在现场安装就位</w:t>
      </w:r>
      <w:bookmarkEnd w:id="77"/>
      <w:r>
        <w:rPr>
          <w:rFonts w:hint="eastAsia"/>
          <w:color w:val="auto"/>
          <w:szCs w:val="21"/>
          <w:highlight w:val="none"/>
        </w:rPr>
        <w:t>后，在两个叶板中部空腔内浇筑混凝土，形成共同受力的装配整体式钢筋混凝土墙体。</w:t>
      </w:r>
    </w:p>
    <w:bookmarkEnd w:id="75"/>
    <w:bookmarkEnd w:id="78"/>
    <w:p w14:paraId="7C414495">
      <w:pPr>
        <w:spacing w:line="360" w:lineRule="exact"/>
        <w:rPr>
          <w:color w:val="auto"/>
          <w:szCs w:val="21"/>
          <w:highlight w:val="none"/>
        </w:rPr>
      </w:pPr>
      <w:r>
        <w:rPr>
          <w:b/>
          <w:color w:val="auto"/>
          <w:szCs w:val="21"/>
          <w:highlight w:val="none"/>
        </w:rPr>
        <w:t>2.1.</w:t>
      </w:r>
      <w:r>
        <w:rPr>
          <w:rFonts w:hint="eastAsia"/>
          <w:b/>
          <w:color w:val="auto"/>
          <w:szCs w:val="21"/>
          <w:highlight w:val="none"/>
          <w:lang w:val="en-US" w:eastAsia="zh-CN"/>
        </w:rPr>
        <w:t>9</w:t>
      </w:r>
      <w:r>
        <w:rPr>
          <w:b/>
          <w:color w:val="auto"/>
          <w:szCs w:val="21"/>
          <w:highlight w:val="none"/>
        </w:rPr>
        <w:t xml:space="preserve"> </w:t>
      </w:r>
      <w:r>
        <w:rPr>
          <w:color w:val="auto"/>
          <w:szCs w:val="21"/>
          <w:highlight w:val="none"/>
        </w:rPr>
        <w:t xml:space="preserve">墙模 </w:t>
      </w:r>
      <w:r>
        <w:rPr>
          <w:rFonts w:hint="eastAsia"/>
          <w:color w:val="auto"/>
          <w:szCs w:val="21"/>
          <w:highlight w:val="none"/>
          <w:lang w:val="en-US" w:eastAsia="zh-CN"/>
        </w:rPr>
        <w:t>w</w:t>
      </w:r>
      <w:r>
        <w:rPr>
          <w:rFonts w:hint="eastAsia"/>
          <w:color w:val="auto"/>
          <w:szCs w:val="21"/>
          <w:highlight w:val="none"/>
        </w:rPr>
        <w:t xml:space="preserve">all </w:t>
      </w:r>
      <w:r>
        <w:rPr>
          <w:rFonts w:hint="eastAsia"/>
          <w:color w:val="auto"/>
          <w:szCs w:val="21"/>
          <w:highlight w:val="none"/>
          <w:lang w:val="en-US" w:eastAsia="zh-CN"/>
        </w:rPr>
        <w:t>f</w:t>
      </w:r>
      <w:r>
        <w:rPr>
          <w:color w:val="auto"/>
          <w:szCs w:val="21"/>
          <w:highlight w:val="none"/>
        </w:rPr>
        <w:t xml:space="preserve">ormwork </w:t>
      </w:r>
    </w:p>
    <w:p w14:paraId="20B498FF">
      <w:pPr>
        <w:spacing w:line="360" w:lineRule="exact"/>
        <w:ind w:firstLine="420" w:firstLineChars="200"/>
        <w:rPr>
          <w:color w:val="auto"/>
          <w:szCs w:val="21"/>
          <w:highlight w:val="none"/>
        </w:rPr>
      </w:pPr>
      <w:r>
        <w:rPr>
          <w:color w:val="auto"/>
          <w:szCs w:val="21"/>
          <w:highlight w:val="none"/>
        </w:rPr>
        <w:t xml:space="preserve">模块中用作现浇剪力墙模板的模壳板。 </w:t>
      </w:r>
    </w:p>
    <w:p w14:paraId="712AD75F">
      <w:pPr>
        <w:spacing w:line="360" w:lineRule="exact"/>
        <w:rPr>
          <w:color w:val="auto"/>
          <w:szCs w:val="21"/>
          <w:highlight w:val="none"/>
        </w:rPr>
      </w:pPr>
      <w:bookmarkStart w:id="79" w:name="_Toc16147"/>
      <w:bookmarkStart w:id="80" w:name="_Toc14375"/>
      <w:bookmarkStart w:id="81" w:name="_Toc9208"/>
      <w:r>
        <w:rPr>
          <w:b/>
          <w:color w:val="auto"/>
          <w:szCs w:val="21"/>
          <w:highlight w:val="none"/>
        </w:rPr>
        <w:t>2.1.</w:t>
      </w:r>
      <w:r>
        <w:rPr>
          <w:rFonts w:hint="eastAsia"/>
          <w:b/>
          <w:color w:val="auto"/>
          <w:szCs w:val="21"/>
          <w:highlight w:val="none"/>
          <w:lang w:val="en-US" w:eastAsia="zh-CN"/>
        </w:rPr>
        <w:t>10</w:t>
      </w:r>
      <w:r>
        <w:rPr>
          <w:b/>
          <w:color w:val="auto"/>
          <w:szCs w:val="21"/>
          <w:highlight w:val="none"/>
        </w:rPr>
        <w:t xml:space="preserve"> </w:t>
      </w:r>
      <w:r>
        <w:rPr>
          <w:color w:val="auto"/>
          <w:szCs w:val="21"/>
          <w:highlight w:val="none"/>
        </w:rPr>
        <w:t xml:space="preserve">梁模 </w:t>
      </w:r>
      <w:r>
        <w:rPr>
          <w:rFonts w:hint="eastAsia"/>
          <w:color w:val="auto"/>
          <w:szCs w:val="21"/>
          <w:highlight w:val="none"/>
          <w:lang w:val="en-US" w:eastAsia="zh-CN"/>
        </w:rPr>
        <w:t>b</w:t>
      </w:r>
      <w:r>
        <w:rPr>
          <w:color w:val="auto"/>
          <w:szCs w:val="21"/>
          <w:highlight w:val="none"/>
        </w:rPr>
        <w:t xml:space="preserve">eam </w:t>
      </w:r>
      <w:r>
        <w:rPr>
          <w:rFonts w:hint="eastAsia"/>
          <w:color w:val="auto"/>
          <w:szCs w:val="21"/>
          <w:highlight w:val="none"/>
          <w:lang w:val="en-US" w:eastAsia="zh-CN"/>
        </w:rPr>
        <w:t>f</w:t>
      </w:r>
      <w:r>
        <w:rPr>
          <w:color w:val="auto"/>
          <w:szCs w:val="21"/>
          <w:highlight w:val="none"/>
        </w:rPr>
        <w:t>ormwork</w:t>
      </w:r>
      <w:bookmarkEnd w:id="79"/>
      <w:bookmarkEnd w:id="80"/>
      <w:bookmarkEnd w:id="81"/>
      <w:r>
        <w:rPr>
          <w:color w:val="auto"/>
          <w:szCs w:val="21"/>
          <w:highlight w:val="none"/>
        </w:rPr>
        <w:t xml:space="preserve"> </w:t>
      </w:r>
    </w:p>
    <w:p w14:paraId="02465C00">
      <w:pPr>
        <w:spacing w:line="360" w:lineRule="exact"/>
        <w:ind w:firstLine="420" w:firstLineChars="200"/>
        <w:rPr>
          <w:color w:val="auto"/>
          <w:szCs w:val="21"/>
          <w:highlight w:val="none"/>
        </w:rPr>
      </w:pPr>
      <w:r>
        <w:rPr>
          <w:color w:val="auto"/>
          <w:szCs w:val="21"/>
          <w:highlight w:val="none"/>
        </w:rPr>
        <w:t xml:space="preserve">模块中用作现浇梁模板的模壳板。 </w:t>
      </w:r>
    </w:p>
    <w:p w14:paraId="6AABD455">
      <w:pPr>
        <w:spacing w:line="360" w:lineRule="exact"/>
        <w:rPr>
          <w:color w:val="auto"/>
          <w:szCs w:val="21"/>
          <w:highlight w:val="none"/>
        </w:rPr>
      </w:pPr>
      <w:bookmarkStart w:id="82" w:name="_Toc4889"/>
      <w:bookmarkStart w:id="83" w:name="_Toc21336"/>
      <w:bookmarkStart w:id="84" w:name="_Toc13592"/>
      <w:r>
        <w:rPr>
          <w:b/>
          <w:color w:val="auto"/>
          <w:szCs w:val="21"/>
          <w:highlight w:val="none"/>
        </w:rPr>
        <w:t>2.1.</w:t>
      </w:r>
      <w:r>
        <w:rPr>
          <w:rFonts w:hint="eastAsia"/>
          <w:b/>
          <w:color w:val="auto"/>
          <w:szCs w:val="21"/>
          <w:highlight w:val="none"/>
          <w:lang w:val="en-US" w:eastAsia="zh-CN"/>
        </w:rPr>
        <w:t>11</w:t>
      </w:r>
      <w:r>
        <w:rPr>
          <w:b/>
          <w:color w:val="auto"/>
          <w:szCs w:val="21"/>
          <w:highlight w:val="none"/>
        </w:rPr>
        <w:t xml:space="preserve"> </w:t>
      </w:r>
      <w:r>
        <w:rPr>
          <w:color w:val="auto"/>
          <w:szCs w:val="21"/>
          <w:highlight w:val="none"/>
        </w:rPr>
        <w:t xml:space="preserve">接口 </w:t>
      </w:r>
      <w:bookmarkEnd w:id="82"/>
      <w:bookmarkEnd w:id="83"/>
      <w:bookmarkEnd w:id="84"/>
      <w:r>
        <w:rPr>
          <w:rFonts w:hint="eastAsia"/>
          <w:color w:val="auto"/>
          <w:szCs w:val="21"/>
          <w:highlight w:val="none"/>
          <w:lang w:val="en-US" w:eastAsia="zh-CN"/>
        </w:rPr>
        <w:t>joint</w:t>
      </w:r>
      <w:r>
        <w:rPr>
          <w:color w:val="auto"/>
          <w:szCs w:val="21"/>
          <w:highlight w:val="none"/>
        </w:rPr>
        <w:t xml:space="preserve"> </w:t>
      </w:r>
    </w:p>
    <w:p w14:paraId="594F72F5">
      <w:pPr>
        <w:spacing w:line="360" w:lineRule="exact"/>
        <w:ind w:firstLine="420" w:firstLineChars="200"/>
        <w:rPr>
          <w:color w:val="auto"/>
          <w:szCs w:val="21"/>
          <w:highlight w:val="none"/>
        </w:rPr>
      </w:pPr>
      <w:r>
        <w:rPr>
          <w:color w:val="auto"/>
          <w:szCs w:val="21"/>
          <w:highlight w:val="none"/>
        </w:rPr>
        <w:t>混凝土模块化建筑中为安装预留的</w:t>
      </w:r>
      <w:r>
        <w:rPr>
          <w:rFonts w:hint="eastAsia"/>
          <w:color w:val="auto"/>
          <w:szCs w:val="21"/>
          <w:highlight w:val="none"/>
          <w:lang w:val="en-US" w:eastAsia="zh-CN"/>
        </w:rPr>
        <w:t>间</w:t>
      </w:r>
      <w:r>
        <w:rPr>
          <w:color w:val="auto"/>
          <w:szCs w:val="21"/>
          <w:highlight w:val="none"/>
        </w:rPr>
        <w:t>隙，包括模块单元之间，以及模块单元与外围护系统、内装系统、设备管线系统相关部品、部件的安装基准面之间预留</w:t>
      </w:r>
      <w:bookmarkStart w:id="85" w:name="OLE_LINK37"/>
      <w:r>
        <w:rPr>
          <w:rFonts w:hint="eastAsia"/>
          <w:color w:val="auto"/>
          <w:szCs w:val="21"/>
          <w:highlight w:val="none"/>
          <w:lang w:val="en-US" w:eastAsia="zh-CN"/>
        </w:rPr>
        <w:t>间</w:t>
      </w:r>
      <w:bookmarkEnd w:id="85"/>
      <w:r>
        <w:rPr>
          <w:color w:val="auto"/>
          <w:szCs w:val="21"/>
          <w:highlight w:val="none"/>
        </w:rPr>
        <w:t>隙的统称，用以容纳模块单元及各系统的制作和安装公差所预留的空间。</w:t>
      </w:r>
    </w:p>
    <w:p w14:paraId="11A423FC">
      <w:pPr>
        <w:pStyle w:val="3"/>
        <w:spacing w:before="166" w:beforeLines="50" w:after="166" w:afterLines="50" w:line="360" w:lineRule="auto"/>
        <w:jc w:val="center"/>
        <w:rPr>
          <w:rFonts w:ascii="Times New Roman" w:hAnsi="Times New Roman" w:eastAsia="黑体" w:cs="Times New Roman"/>
          <w:color w:val="auto"/>
          <w:sz w:val="24"/>
          <w:szCs w:val="24"/>
          <w:highlight w:val="none"/>
        </w:rPr>
      </w:pPr>
      <w:bookmarkStart w:id="86" w:name="_Toc110952698"/>
      <w:bookmarkStart w:id="87" w:name="_Toc22686"/>
      <w:bookmarkStart w:id="88" w:name="_Toc14550"/>
      <w:bookmarkStart w:id="89" w:name="_Toc17296"/>
      <w:bookmarkStart w:id="90" w:name="_Toc110958466"/>
      <w:bookmarkStart w:id="91" w:name="_Toc7365"/>
      <w:bookmarkStart w:id="92" w:name="_Toc27497"/>
      <w:bookmarkStart w:id="93" w:name="_Toc13503"/>
      <w:bookmarkStart w:id="94" w:name="_Toc26107"/>
      <w:bookmarkStart w:id="95" w:name="_Toc14248"/>
      <w:bookmarkStart w:id="96" w:name="_Toc29441"/>
      <w:r>
        <w:rPr>
          <w:rFonts w:ascii="Times New Roman" w:hAnsi="Times New Roman" w:eastAsia="黑体" w:cs="Times New Roman"/>
          <w:b/>
          <w:color w:val="auto"/>
          <w:sz w:val="24"/>
          <w:szCs w:val="24"/>
          <w:highlight w:val="none"/>
        </w:rPr>
        <w:t xml:space="preserve">2.2 </w:t>
      </w:r>
      <w:r>
        <w:rPr>
          <w:rFonts w:ascii="Times New Roman" w:hAnsi="Times New Roman" w:eastAsia="黑体" w:cs="Times New Roman"/>
          <w:color w:val="auto"/>
          <w:sz w:val="24"/>
          <w:szCs w:val="24"/>
          <w:highlight w:val="none"/>
        </w:rPr>
        <w:t xml:space="preserve"> 符    号</w:t>
      </w:r>
      <w:bookmarkEnd w:id="86"/>
      <w:bookmarkEnd w:id="87"/>
      <w:bookmarkEnd w:id="88"/>
      <w:bookmarkEnd w:id="89"/>
      <w:bookmarkEnd w:id="90"/>
      <w:bookmarkEnd w:id="91"/>
      <w:bookmarkEnd w:id="92"/>
      <w:bookmarkEnd w:id="93"/>
      <w:bookmarkEnd w:id="94"/>
      <w:bookmarkEnd w:id="95"/>
      <w:bookmarkEnd w:id="96"/>
    </w:p>
    <w:p w14:paraId="611D11B1">
      <w:pPr>
        <w:spacing w:line="360" w:lineRule="exact"/>
        <w:rPr>
          <w:color w:val="auto"/>
          <w:highlight w:val="none"/>
        </w:rPr>
      </w:pPr>
      <w:r>
        <w:rPr>
          <w:b/>
          <w:bCs/>
          <w:color w:val="auto"/>
          <w:highlight w:val="none"/>
        </w:rPr>
        <w:t>2.2.1</w:t>
      </w:r>
      <w:r>
        <w:rPr>
          <w:b/>
          <w:color w:val="auto"/>
          <w:highlight w:val="none"/>
        </w:rPr>
        <w:t xml:space="preserve"> </w:t>
      </w:r>
      <w:r>
        <w:rPr>
          <w:color w:val="auto"/>
          <w:highlight w:val="none"/>
        </w:rPr>
        <w:t xml:space="preserve"> 几何参数  </w:t>
      </w:r>
    </w:p>
    <w:tbl>
      <w:tblPr>
        <w:tblStyle w:val="26"/>
        <w:tblW w:w="0" w:type="auto"/>
        <w:tblInd w:w="4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57" w:type="dxa"/>
          <w:bottom w:w="0" w:type="dxa"/>
          <w:right w:w="0" w:type="dxa"/>
        </w:tblCellMar>
      </w:tblPr>
      <w:tblGrid>
        <w:gridCol w:w="736"/>
        <w:gridCol w:w="4798"/>
      </w:tblGrid>
      <w:tr w14:paraId="695BE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98" w:hRule="atLeast"/>
        </w:trPr>
        <w:tc>
          <w:tcPr>
            <w:tcW w:w="834" w:type="dxa"/>
          </w:tcPr>
          <w:p w14:paraId="44F9F503">
            <w:pPr>
              <w:keepNext/>
              <w:wordWrap w:val="0"/>
              <w:spacing w:line="360" w:lineRule="exact"/>
              <w:jc w:val="right"/>
              <w:rPr>
                <w:rFonts w:eastAsia="黑体"/>
                <w:bCs/>
                <w:color w:val="auto"/>
                <w:szCs w:val="21"/>
                <w:highlight w:val="none"/>
              </w:rPr>
            </w:pPr>
            <w:r>
              <w:rPr>
                <w:rFonts w:eastAsia="黑体"/>
                <w:bCs/>
                <w:i/>
                <w:iCs/>
                <w:color w:val="auto"/>
                <w:szCs w:val="21"/>
                <w:highlight w:val="none"/>
              </w:rPr>
              <w:t>X</w:t>
            </w:r>
            <w:r>
              <w:rPr>
                <w:rFonts w:eastAsia="黑体"/>
                <w:bCs/>
                <w:i/>
                <w:iCs/>
                <w:color w:val="auto"/>
                <w:szCs w:val="21"/>
                <w:highlight w:val="none"/>
                <w:vertAlign w:val="subscript"/>
              </w:rPr>
              <w:t>i</w:t>
            </w:r>
            <w:r>
              <w:rPr>
                <w:bCs/>
                <w:i/>
                <w:iCs/>
                <w:color w:val="auto"/>
                <w:szCs w:val="21"/>
                <w:highlight w:val="none"/>
              </w:rPr>
              <w:t>、</w:t>
            </w:r>
            <w:r>
              <w:rPr>
                <w:rFonts w:eastAsia="黑体"/>
                <w:bCs/>
                <w:i/>
                <w:iCs/>
                <w:color w:val="auto"/>
                <w:szCs w:val="21"/>
                <w:highlight w:val="none"/>
              </w:rPr>
              <w:t>Y</w:t>
            </w:r>
            <w:r>
              <w:rPr>
                <w:rFonts w:eastAsia="黑体"/>
                <w:bCs/>
                <w:i/>
                <w:iCs/>
                <w:color w:val="auto"/>
                <w:szCs w:val="21"/>
                <w:highlight w:val="none"/>
                <w:vertAlign w:val="subscript"/>
              </w:rPr>
              <w:t xml:space="preserve">i </w:t>
            </w:r>
          </w:p>
        </w:tc>
        <w:tc>
          <w:tcPr>
            <w:tcW w:w="5890" w:type="dxa"/>
          </w:tcPr>
          <w:p w14:paraId="50352965">
            <w:pPr>
              <w:keepNext/>
              <w:spacing w:line="360" w:lineRule="exact"/>
              <w:jc w:val="left"/>
              <w:rPr>
                <w:rFonts w:eastAsia="黑体"/>
                <w:bCs/>
                <w:color w:val="auto"/>
                <w:szCs w:val="21"/>
                <w:highlight w:val="none"/>
              </w:rPr>
            </w:pPr>
            <w:r>
              <w:rPr>
                <w:rFonts w:eastAsia="黑体"/>
                <w:bCs/>
                <w:color w:val="auto"/>
                <w:szCs w:val="21"/>
                <w:highlight w:val="none"/>
              </w:rPr>
              <w:t>——</w:t>
            </w:r>
            <w:r>
              <w:rPr>
                <w:bCs/>
                <w:color w:val="auto"/>
                <w:szCs w:val="21"/>
                <w:highlight w:val="none"/>
              </w:rPr>
              <w:t>吊点的坐标点；</w:t>
            </w:r>
          </w:p>
        </w:tc>
      </w:tr>
      <w:tr w14:paraId="27CE9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rPr>
          <w:trHeight w:val="198" w:hRule="atLeast"/>
        </w:trPr>
        <w:tc>
          <w:tcPr>
            <w:tcW w:w="834" w:type="dxa"/>
          </w:tcPr>
          <w:p w14:paraId="028259C6">
            <w:pPr>
              <w:keepNext/>
              <w:wordWrap w:val="0"/>
              <w:spacing w:line="360" w:lineRule="exact"/>
              <w:jc w:val="right"/>
              <w:rPr>
                <w:rFonts w:eastAsia="黑体"/>
                <w:bCs/>
                <w:color w:val="auto"/>
                <w:szCs w:val="21"/>
                <w:highlight w:val="none"/>
              </w:rPr>
            </w:pPr>
            <w:r>
              <w:rPr>
                <w:rFonts w:eastAsia="黑体"/>
                <w:bCs/>
                <w:i/>
                <w:iCs/>
                <w:color w:val="auto"/>
                <w:szCs w:val="21"/>
                <w:highlight w:val="none"/>
              </w:rPr>
              <w:t>X</w:t>
            </w:r>
            <w:r>
              <w:rPr>
                <w:rFonts w:eastAsia="黑体"/>
                <w:bCs/>
                <w:i/>
                <w:iCs/>
                <w:color w:val="auto"/>
                <w:szCs w:val="21"/>
                <w:highlight w:val="none"/>
                <w:vertAlign w:val="subscript"/>
              </w:rPr>
              <w:t>r</w:t>
            </w:r>
            <w:r>
              <w:rPr>
                <w:bCs/>
                <w:i/>
                <w:iCs/>
                <w:color w:val="auto"/>
                <w:szCs w:val="21"/>
                <w:highlight w:val="none"/>
              </w:rPr>
              <w:t>、</w:t>
            </w:r>
            <w:r>
              <w:rPr>
                <w:rFonts w:eastAsia="黑体"/>
                <w:bCs/>
                <w:i/>
                <w:iCs/>
                <w:color w:val="auto"/>
                <w:szCs w:val="21"/>
                <w:highlight w:val="none"/>
              </w:rPr>
              <w:t>Y</w:t>
            </w:r>
            <w:r>
              <w:rPr>
                <w:rFonts w:eastAsia="黑体"/>
                <w:bCs/>
                <w:i/>
                <w:iCs/>
                <w:color w:val="auto"/>
                <w:szCs w:val="21"/>
                <w:highlight w:val="none"/>
                <w:vertAlign w:val="subscript"/>
              </w:rPr>
              <w:t xml:space="preserve">r </w:t>
            </w:r>
          </w:p>
        </w:tc>
        <w:tc>
          <w:tcPr>
            <w:tcW w:w="5890" w:type="dxa"/>
          </w:tcPr>
          <w:p w14:paraId="50EE8EB1">
            <w:pPr>
              <w:keepNext/>
              <w:spacing w:line="360" w:lineRule="exact"/>
              <w:jc w:val="left"/>
              <w:rPr>
                <w:rFonts w:eastAsia="黑体"/>
                <w:bCs/>
                <w:color w:val="auto"/>
                <w:szCs w:val="21"/>
                <w:highlight w:val="none"/>
              </w:rPr>
            </w:pPr>
            <w:r>
              <w:rPr>
                <w:rFonts w:eastAsia="黑体"/>
                <w:bCs/>
                <w:color w:val="auto"/>
                <w:szCs w:val="21"/>
                <w:highlight w:val="none"/>
              </w:rPr>
              <w:t>——</w:t>
            </w:r>
            <w:r>
              <w:rPr>
                <w:bCs/>
                <w:color w:val="auto"/>
                <w:szCs w:val="21"/>
                <w:highlight w:val="none"/>
              </w:rPr>
              <w:t>吊点的中心坐标点；</w:t>
            </w:r>
          </w:p>
        </w:tc>
      </w:tr>
      <w:tr w14:paraId="61C4A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rPr>
          <w:trHeight w:val="240" w:hRule="atLeast"/>
        </w:trPr>
        <w:tc>
          <w:tcPr>
            <w:tcW w:w="834" w:type="dxa"/>
          </w:tcPr>
          <w:p w14:paraId="31EB8A07">
            <w:pPr>
              <w:keepNext/>
              <w:wordWrap w:val="0"/>
              <w:spacing w:line="360" w:lineRule="exact"/>
              <w:jc w:val="right"/>
              <w:rPr>
                <w:rFonts w:eastAsia="黑体"/>
                <w:bCs/>
                <w:color w:val="auto"/>
                <w:szCs w:val="21"/>
                <w:highlight w:val="none"/>
              </w:rPr>
            </w:pPr>
            <w:r>
              <w:rPr>
                <w:rFonts w:eastAsia="黑体"/>
                <w:bCs/>
                <w:i/>
                <w:iCs/>
                <w:color w:val="auto"/>
                <w:szCs w:val="21"/>
                <w:highlight w:val="none"/>
              </w:rPr>
              <w:t>X</w:t>
            </w:r>
            <w:r>
              <w:rPr>
                <w:rFonts w:eastAsia="黑体"/>
                <w:bCs/>
                <w:i/>
                <w:iCs/>
                <w:color w:val="auto"/>
                <w:szCs w:val="21"/>
                <w:highlight w:val="none"/>
                <w:vertAlign w:val="subscript"/>
              </w:rPr>
              <w:t>0</w:t>
            </w:r>
            <w:r>
              <w:rPr>
                <w:bCs/>
                <w:i/>
                <w:iCs/>
                <w:color w:val="auto"/>
                <w:szCs w:val="21"/>
                <w:highlight w:val="none"/>
              </w:rPr>
              <w:t>、</w:t>
            </w:r>
            <w:r>
              <w:rPr>
                <w:rFonts w:eastAsia="黑体"/>
                <w:bCs/>
                <w:i/>
                <w:iCs/>
                <w:color w:val="auto"/>
                <w:szCs w:val="21"/>
                <w:highlight w:val="none"/>
              </w:rPr>
              <w:t>Y</w:t>
            </w:r>
            <w:r>
              <w:rPr>
                <w:rFonts w:eastAsia="黑体"/>
                <w:bCs/>
                <w:i/>
                <w:iCs/>
                <w:color w:val="auto"/>
                <w:szCs w:val="21"/>
                <w:highlight w:val="none"/>
                <w:vertAlign w:val="subscript"/>
              </w:rPr>
              <w:t xml:space="preserve">0 </w:t>
            </w:r>
          </w:p>
        </w:tc>
        <w:tc>
          <w:tcPr>
            <w:tcW w:w="5890" w:type="dxa"/>
          </w:tcPr>
          <w:p w14:paraId="784B1E94">
            <w:pPr>
              <w:keepNext/>
              <w:spacing w:line="360" w:lineRule="exact"/>
              <w:jc w:val="left"/>
              <w:rPr>
                <w:rFonts w:eastAsia="黑体"/>
                <w:bCs/>
                <w:i/>
                <w:iCs/>
                <w:color w:val="auto"/>
                <w:szCs w:val="21"/>
                <w:highlight w:val="none"/>
              </w:rPr>
            </w:pPr>
            <w:r>
              <w:rPr>
                <w:rFonts w:eastAsia="黑体"/>
                <w:bCs/>
                <w:color w:val="auto"/>
                <w:szCs w:val="21"/>
                <w:highlight w:val="none"/>
              </w:rPr>
              <w:t>——</w:t>
            </w:r>
            <w:r>
              <w:rPr>
                <w:bCs/>
                <w:color w:val="auto"/>
                <w:szCs w:val="21"/>
                <w:highlight w:val="none"/>
              </w:rPr>
              <w:t>模块单元的重心坐标点；</w:t>
            </w:r>
          </w:p>
        </w:tc>
      </w:tr>
      <w:tr w14:paraId="5314F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rPr>
          <w:trHeight w:val="240" w:hRule="atLeast"/>
        </w:trPr>
        <w:tc>
          <w:tcPr>
            <w:tcW w:w="834" w:type="dxa"/>
          </w:tcPr>
          <w:p w14:paraId="1FF9D981">
            <w:pPr>
              <w:keepNext/>
              <w:wordWrap w:val="0"/>
              <w:spacing w:line="360" w:lineRule="exact"/>
              <w:jc w:val="right"/>
              <w:rPr>
                <w:rFonts w:eastAsia="黑体"/>
                <w:bCs/>
                <w:i/>
                <w:iCs/>
                <w:color w:val="auto"/>
                <w:szCs w:val="21"/>
                <w:highlight w:val="none"/>
              </w:rPr>
            </w:pPr>
            <w:r>
              <w:rPr>
                <w:rFonts w:eastAsia="黑体"/>
                <w:bCs/>
                <w:i/>
                <w:iCs/>
                <w:color w:val="auto"/>
                <w:szCs w:val="21"/>
                <w:highlight w:val="none"/>
              </w:rPr>
              <w:t>e</w:t>
            </w:r>
            <w:r>
              <w:rPr>
                <w:rFonts w:eastAsia="黑体"/>
                <w:bCs/>
                <w:i/>
                <w:iCs/>
                <w:color w:val="auto"/>
                <w:szCs w:val="21"/>
                <w:highlight w:val="none"/>
                <w:vertAlign w:val="subscript"/>
              </w:rPr>
              <w:t>x</w:t>
            </w:r>
            <w:r>
              <w:rPr>
                <w:bCs/>
                <w:i/>
                <w:iCs/>
                <w:color w:val="auto"/>
                <w:szCs w:val="21"/>
                <w:highlight w:val="none"/>
              </w:rPr>
              <w:t>、</w:t>
            </w:r>
            <w:r>
              <w:rPr>
                <w:rFonts w:eastAsia="黑体"/>
                <w:bCs/>
                <w:i/>
                <w:iCs/>
                <w:color w:val="auto"/>
                <w:szCs w:val="21"/>
                <w:highlight w:val="none"/>
              </w:rPr>
              <w:t>e</w:t>
            </w:r>
            <w:r>
              <w:rPr>
                <w:rFonts w:eastAsia="黑体"/>
                <w:bCs/>
                <w:i/>
                <w:iCs/>
                <w:color w:val="auto"/>
                <w:szCs w:val="21"/>
                <w:highlight w:val="none"/>
                <w:vertAlign w:val="subscript"/>
              </w:rPr>
              <w:t xml:space="preserve">y </w:t>
            </w:r>
          </w:p>
        </w:tc>
        <w:tc>
          <w:tcPr>
            <w:tcW w:w="5890" w:type="dxa"/>
          </w:tcPr>
          <w:p w14:paraId="719C25D3">
            <w:pPr>
              <w:keepNext/>
              <w:spacing w:line="360" w:lineRule="exact"/>
              <w:jc w:val="left"/>
              <w:rPr>
                <w:rFonts w:eastAsia="黑体"/>
                <w:bCs/>
                <w:color w:val="auto"/>
                <w:szCs w:val="21"/>
                <w:highlight w:val="none"/>
              </w:rPr>
            </w:pPr>
            <w:r>
              <w:rPr>
                <w:rFonts w:eastAsia="黑体"/>
                <w:bCs/>
                <w:color w:val="auto"/>
                <w:szCs w:val="21"/>
                <w:highlight w:val="none"/>
              </w:rPr>
              <w:t>——</w:t>
            </w:r>
            <w:r>
              <w:rPr>
                <w:bCs/>
                <w:color w:val="auto"/>
                <w:szCs w:val="21"/>
                <w:highlight w:val="none"/>
              </w:rPr>
              <w:t>吊点中心坐标点与模块重心坐标点的偏心距；</w:t>
            </w:r>
          </w:p>
        </w:tc>
      </w:tr>
      <w:tr w14:paraId="4B107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rPr>
          <w:trHeight w:val="198" w:hRule="atLeast"/>
        </w:trPr>
        <w:tc>
          <w:tcPr>
            <w:tcW w:w="834" w:type="dxa"/>
          </w:tcPr>
          <w:p w14:paraId="346C7130">
            <w:pPr>
              <w:keepNext/>
              <w:wordWrap w:val="0"/>
              <w:spacing w:line="360" w:lineRule="exact"/>
              <w:jc w:val="right"/>
              <w:rPr>
                <w:rFonts w:eastAsia="黑体"/>
                <w:bCs/>
                <w:i/>
                <w:iCs/>
                <w:color w:val="auto"/>
                <w:szCs w:val="21"/>
                <w:highlight w:val="none"/>
              </w:rPr>
            </w:pPr>
            <w:r>
              <w:rPr>
                <w:rFonts w:eastAsia="黑体"/>
                <w:bCs/>
                <w:i/>
                <w:iCs/>
                <w:color w:val="auto"/>
                <w:szCs w:val="21"/>
                <w:highlight w:val="none"/>
              </w:rPr>
              <w:t xml:space="preserve">H </w:t>
            </w:r>
          </w:p>
        </w:tc>
        <w:tc>
          <w:tcPr>
            <w:tcW w:w="5890" w:type="dxa"/>
          </w:tcPr>
          <w:p w14:paraId="6A19D20C">
            <w:pPr>
              <w:keepNext/>
              <w:spacing w:line="360" w:lineRule="exact"/>
              <w:jc w:val="left"/>
              <w:rPr>
                <w:rFonts w:eastAsia="黑体"/>
                <w:bCs/>
                <w:color w:val="auto"/>
                <w:szCs w:val="21"/>
                <w:highlight w:val="none"/>
              </w:rPr>
            </w:pPr>
            <w:r>
              <w:rPr>
                <w:rFonts w:eastAsia="黑体"/>
                <w:bCs/>
                <w:color w:val="auto"/>
                <w:szCs w:val="21"/>
                <w:highlight w:val="none"/>
              </w:rPr>
              <w:t>——</w:t>
            </w:r>
            <w:r>
              <w:rPr>
                <w:bCs/>
                <w:color w:val="auto"/>
                <w:szCs w:val="21"/>
                <w:highlight w:val="none"/>
              </w:rPr>
              <w:t>模块的高度；</w:t>
            </w:r>
          </w:p>
        </w:tc>
      </w:tr>
      <w:tr w14:paraId="67D22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rPr>
          <w:trHeight w:val="198" w:hRule="atLeast"/>
        </w:trPr>
        <w:tc>
          <w:tcPr>
            <w:tcW w:w="834" w:type="dxa"/>
          </w:tcPr>
          <w:p w14:paraId="515E883F">
            <w:pPr>
              <w:keepNext/>
              <w:wordWrap w:val="0"/>
              <w:spacing w:line="360" w:lineRule="exact"/>
              <w:jc w:val="right"/>
              <w:rPr>
                <w:rFonts w:eastAsia="黑体"/>
                <w:bCs/>
                <w:i/>
                <w:iCs/>
                <w:color w:val="auto"/>
                <w:szCs w:val="21"/>
                <w:highlight w:val="none"/>
              </w:rPr>
            </w:pPr>
            <w:r>
              <w:rPr>
                <w:rFonts w:eastAsia="黑体"/>
                <w:bCs/>
                <w:i/>
                <w:iCs/>
                <w:color w:val="auto"/>
                <w:szCs w:val="21"/>
                <w:highlight w:val="none"/>
              </w:rPr>
              <w:t xml:space="preserve">B </w:t>
            </w:r>
          </w:p>
        </w:tc>
        <w:tc>
          <w:tcPr>
            <w:tcW w:w="5890" w:type="dxa"/>
          </w:tcPr>
          <w:p w14:paraId="64265724">
            <w:pPr>
              <w:keepNext/>
              <w:spacing w:line="360" w:lineRule="exact"/>
              <w:jc w:val="left"/>
              <w:rPr>
                <w:rFonts w:eastAsia="黑体"/>
                <w:bCs/>
                <w:color w:val="auto"/>
                <w:szCs w:val="21"/>
                <w:highlight w:val="none"/>
              </w:rPr>
            </w:pPr>
            <w:r>
              <w:rPr>
                <w:rFonts w:eastAsia="黑体"/>
                <w:bCs/>
                <w:color w:val="auto"/>
                <w:szCs w:val="21"/>
                <w:highlight w:val="none"/>
              </w:rPr>
              <w:t>——</w:t>
            </w:r>
            <w:r>
              <w:rPr>
                <w:bCs/>
                <w:color w:val="auto"/>
                <w:szCs w:val="21"/>
                <w:highlight w:val="none"/>
              </w:rPr>
              <w:t>模块迎风面宽度；</w:t>
            </w:r>
          </w:p>
        </w:tc>
      </w:tr>
      <w:tr w14:paraId="596E1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rPr>
          <w:trHeight w:val="198" w:hRule="atLeast"/>
        </w:trPr>
        <w:tc>
          <w:tcPr>
            <w:tcW w:w="834" w:type="dxa"/>
          </w:tcPr>
          <w:p w14:paraId="69BF7951">
            <w:pPr>
              <w:keepNext/>
              <w:wordWrap w:val="0"/>
              <w:spacing w:line="360" w:lineRule="exact"/>
              <w:jc w:val="right"/>
              <w:rPr>
                <w:rFonts w:eastAsia="黑体"/>
                <w:bCs/>
                <w:i/>
                <w:iCs/>
                <w:color w:val="auto"/>
                <w:szCs w:val="21"/>
                <w:highlight w:val="none"/>
              </w:rPr>
            </w:pPr>
            <w:r>
              <w:rPr>
                <w:rFonts w:eastAsia="黑体"/>
                <w:bCs/>
                <w:i/>
                <w:iCs/>
                <w:color w:val="auto"/>
                <w:szCs w:val="21"/>
                <w:highlight w:val="none"/>
              </w:rPr>
              <w:t xml:space="preserve">L </w:t>
            </w:r>
          </w:p>
        </w:tc>
        <w:tc>
          <w:tcPr>
            <w:tcW w:w="5890" w:type="dxa"/>
          </w:tcPr>
          <w:p w14:paraId="0CDDFE49">
            <w:pPr>
              <w:keepNext/>
              <w:spacing w:line="360" w:lineRule="exact"/>
              <w:jc w:val="left"/>
              <w:rPr>
                <w:rFonts w:eastAsia="黑体"/>
                <w:bCs/>
                <w:color w:val="auto"/>
                <w:szCs w:val="21"/>
                <w:highlight w:val="none"/>
              </w:rPr>
            </w:pPr>
            <w:r>
              <w:rPr>
                <w:rFonts w:eastAsia="黑体"/>
                <w:bCs/>
                <w:color w:val="auto"/>
                <w:szCs w:val="21"/>
                <w:highlight w:val="none"/>
              </w:rPr>
              <w:t>——</w:t>
            </w:r>
            <w:r>
              <w:rPr>
                <w:bCs/>
                <w:color w:val="auto"/>
                <w:szCs w:val="21"/>
                <w:highlight w:val="none"/>
              </w:rPr>
              <w:t>模块重心点到倾覆支点的距离。</w:t>
            </w:r>
          </w:p>
        </w:tc>
      </w:tr>
    </w:tbl>
    <w:p w14:paraId="489AB670">
      <w:pPr>
        <w:spacing w:line="360" w:lineRule="exact"/>
        <w:rPr>
          <w:rFonts w:eastAsia="黑体"/>
          <w:b/>
          <w:bCs/>
          <w:color w:val="auto"/>
          <w:highlight w:val="none"/>
        </w:rPr>
      </w:pPr>
      <w:r>
        <w:rPr>
          <w:rFonts w:hint="eastAsia" w:eastAsia="黑体"/>
          <w:b/>
          <w:bCs/>
          <w:color w:val="auto"/>
          <w:highlight w:val="none"/>
        </w:rPr>
        <w:t xml:space="preserve">2.2.2  </w:t>
      </w:r>
      <w:r>
        <w:rPr>
          <w:rFonts w:hint="eastAsia" w:ascii="宋体" w:hAnsi="宋体" w:eastAsia="宋体" w:cs="宋体"/>
          <w:b w:val="0"/>
          <w:bCs w:val="0"/>
          <w:color w:val="auto"/>
          <w:highlight w:val="none"/>
        </w:rPr>
        <w:t>材料性能</w:t>
      </w:r>
    </w:p>
    <w:tbl>
      <w:tblPr>
        <w:tblStyle w:val="26"/>
        <w:tblW w:w="0" w:type="auto"/>
        <w:tblInd w:w="4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57" w:type="dxa"/>
          <w:bottom w:w="0" w:type="dxa"/>
          <w:right w:w="0" w:type="dxa"/>
        </w:tblCellMar>
      </w:tblPr>
      <w:tblGrid>
        <w:gridCol w:w="714"/>
        <w:gridCol w:w="4820"/>
      </w:tblGrid>
      <w:tr w14:paraId="1A24B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rPr>
          <w:trHeight w:val="334" w:hRule="atLeast"/>
        </w:trPr>
        <w:tc>
          <w:tcPr>
            <w:tcW w:w="714" w:type="dxa"/>
          </w:tcPr>
          <w:p w14:paraId="5664B720">
            <w:pPr>
              <w:keepNext/>
              <w:spacing w:line="360" w:lineRule="exact"/>
              <w:jc w:val="right"/>
              <w:rPr>
                <w:rFonts w:eastAsia="黑体"/>
                <w:bCs/>
                <w:i/>
                <w:iCs/>
                <w:color w:val="auto"/>
                <w:szCs w:val="21"/>
                <w:highlight w:val="none"/>
              </w:rPr>
            </w:pPr>
            <w:r>
              <w:rPr>
                <w:i/>
                <w:iCs/>
                <w:color w:val="auto"/>
                <w:szCs w:val="21"/>
                <w:highlight w:val="none"/>
              </w:rPr>
              <w:t>fy</w:t>
            </w:r>
          </w:p>
        </w:tc>
        <w:tc>
          <w:tcPr>
            <w:tcW w:w="4820" w:type="dxa"/>
          </w:tcPr>
          <w:p w14:paraId="4FC8AC84">
            <w:pPr>
              <w:keepNext/>
              <w:spacing w:line="360" w:lineRule="exact"/>
              <w:jc w:val="left"/>
              <w:rPr>
                <w:rFonts w:hint="eastAsia" w:eastAsia="宋体"/>
                <w:bCs/>
                <w:color w:val="auto"/>
                <w:szCs w:val="21"/>
                <w:highlight w:val="none"/>
                <w:lang w:eastAsia="zh-CN"/>
              </w:rPr>
            </w:pPr>
            <w:r>
              <w:rPr>
                <w:rFonts w:eastAsia="黑体"/>
                <w:bCs/>
                <w:color w:val="auto"/>
                <w:szCs w:val="21"/>
                <w:highlight w:val="none"/>
              </w:rPr>
              <w:t>——</w:t>
            </w:r>
            <w:r>
              <w:rPr>
                <w:color w:val="auto"/>
                <w:szCs w:val="21"/>
                <w:highlight w:val="none"/>
              </w:rPr>
              <w:t>竖向钢筋抗拉强度设计值</w:t>
            </w:r>
            <w:r>
              <w:rPr>
                <w:rFonts w:hint="eastAsia"/>
                <w:color w:val="auto"/>
                <w:szCs w:val="21"/>
                <w:highlight w:val="none"/>
                <w:lang w:eastAsia="zh-CN"/>
              </w:rPr>
              <w:t>；</w:t>
            </w:r>
          </w:p>
        </w:tc>
      </w:tr>
      <w:tr w14:paraId="0E90F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rPr>
          <w:trHeight w:val="334" w:hRule="atLeast"/>
        </w:trPr>
        <w:tc>
          <w:tcPr>
            <w:tcW w:w="714" w:type="dxa"/>
          </w:tcPr>
          <w:p w14:paraId="76951F62">
            <w:pPr>
              <w:keepNext/>
              <w:spacing w:line="360" w:lineRule="exact"/>
              <w:jc w:val="right"/>
              <w:rPr>
                <w:rFonts w:eastAsia="黑体"/>
                <w:bCs/>
                <w:i/>
                <w:iCs/>
                <w:color w:val="auto"/>
                <w:szCs w:val="21"/>
                <w:highlight w:val="none"/>
              </w:rPr>
            </w:pPr>
            <w:r>
              <w:rPr>
                <w:i/>
                <w:iCs/>
                <w:color w:val="auto"/>
                <w:szCs w:val="21"/>
                <w:highlight w:val="none"/>
              </w:rPr>
              <w:t>Asd</w:t>
            </w:r>
          </w:p>
        </w:tc>
        <w:tc>
          <w:tcPr>
            <w:tcW w:w="4820" w:type="dxa"/>
          </w:tcPr>
          <w:p w14:paraId="794CFA38">
            <w:pPr>
              <w:keepNext/>
              <w:spacing w:line="360" w:lineRule="exact"/>
              <w:ind w:left="420" w:hanging="420" w:hangingChars="200"/>
              <w:jc w:val="left"/>
              <w:rPr>
                <w:rFonts w:hint="eastAsia" w:eastAsia="宋体"/>
                <w:bCs/>
                <w:color w:val="auto"/>
                <w:szCs w:val="21"/>
                <w:highlight w:val="none"/>
                <w:lang w:eastAsia="zh-CN"/>
              </w:rPr>
            </w:pPr>
            <w:r>
              <w:rPr>
                <w:rFonts w:eastAsia="黑体"/>
                <w:bCs/>
                <w:color w:val="auto"/>
                <w:szCs w:val="21"/>
                <w:highlight w:val="none"/>
              </w:rPr>
              <w:t>——</w:t>
            </w:r>
            <w:r>
              <w:rPr>
                <w:color w:val="auto"/>
                <w:szCs w:val="21"/>
                <w:highlight w:val="none"/>
              </w:rPr>
              <w:t>叠合剪力墙水平接缝处竖向连接钢筋和边缘构件中的竖向钢筋总面积</w:t>
            </w:r>
            <w:r>
              <w:rPr>
                <w:rFonts w:hint="eastAsia"/>
                <w:color w:val="auto"/>
                <w:szCs w:val="21"/>
                <w:highlight w:val="none"/>
                <w:lang w:eastAsia="zh-CN"/>
              </w:rPr>
              <w:t>；</w:t>
            </w:r>
          </w:p>
        </w:tc>
      </w:tr>
      <w:tr w14:paraId="2F87A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rPr>
          <w:trHeight w:val="326" w:hRule="atLeast"/>
        </w:trPr>
        <w:tc>
          <w:tcPr>
            <w:tcW w:w="714" w:type="dxa"/>
          </w:tcPr>
          <w:p w14:paraId="273ABF2B">
            <w:pPr>
              <w:keepNext/>
              <w:spacing w:line="360" w:lineRule="exact"/>
              <w:jc w:val="right"/>
              <w:rPr>
                <w:rFonts w:hint="default" w:eastAsia="宋体"/>
                <w:bCs/>
                <w:i/>
                <w:iCs/>
                <w:color w:val="auto"/>
                <w:szCs w:val="21"/>
                <w:highlight w:val="none"/>
                <w:lang w:val="en-US" w:eastAsia="zh-CN"/>
              </w:rPr>
            </w:pPr>
            <w:r>
              <w:rPr>
                <w:rFonts w:hint="eastAsia" w:hAnsi="Cambria Math"/>
                <w:i/>
                <w:iCs/>
                <w:color w:val="auto"/>
                <w:szCs w:val="21"/>
                <w:highlight w:val="none"/>
                <w:lang w:val="en-US" w:eastAsia="zh-CN"/>
              </w:rPr>
              <w:t>f</w:t>
            </w:r>
            <w:r>
              <w:rPr>
                <w:rFonts w:hint="eastAsia" w:hAnsi="Cambria Math"/>
                <w:i/>
                <w:iCs/>
                <w:color w:val="auto"/>
                <w:sz w:val="20"/>
                <w:szCs w:val="20"/>
                <w:highlight w:val="none"/>
                <w:vertAlign w:val="subscript"/>
                <w:lang w:val="en-US" w:eastAsia="zh-CN"/>
              </w:rPr>
              <w:t>c</w:t>
            </w:r>
          </w:p>
        </w:tc>
        <w:tc>
          <w:tcPr>
            <w:tcW w:w="4820" w:type="dxa"/>
          </w:tcPr>
          <w:p w14:paraId="633DCE5D">
            <w:pPr>
              <w:keepNext/>
              <w:spacing w:line="360" w:lineRule="exact"/>
              <w:jc w:val="left"/>
              <w:rPr>
                <w:rFonts w:hint="eastAsia" w:eastAsia="宋体"/>
                <w:bCs/>
                <w:color w:val="auto"/>
                <w:szCs w:val="21"/>
                <w:highlight w:val="none"/>
                <w:lang w:eastAsia="zh-CN"/>
              </w:rPr>
            </w:pPr>
            <w:r>
              <w:rPr>
                <w:rFonts w:eastAsia="黑体"/>
                <w:bCs/>
                <w:color w:val="auto"/>
                <w:szCs w:val="21"/>
                <w:highlight w:val="none"/>
              </w:rPr>
              <w:t>——</w:t>
            </w:r>
            <w:r>
              <w:rPr>
                <w:color w:val="auto"/>
                <w:szCs w:val="21"/>
                <w:highlight w:val="none"/>
              </w:rPr>
              <w:t>预制构件混凝土轴心抗压强度设计值</w:t>
            </w:r>
            <w:r>
              <w:rPr>
                <w:rFonts w:hint="eastAsia"/>
                <w:color w:val="auto"/>
                <w:szCs w:val="21"/>
                <w:highlight w:val="none"/>
                <w:lang w:eastAsia="zh-CN"/>
              </w:rPr>
              <w:t>；</w:t>
            </w:r>
          </w:p>
        </w:tc>
      </w:tr>
      <w:tr w14:paraId="03808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rPr>
          <w:trHeight w:val="334" w:hRule="atLeast"/>
        </w:trPr>
        <w:tc>
          <w:tcPr>
            <w:tcW w:w="714" w:type="dxa"/>
          </w:tcPr>
          <w:p w14:paraId="5B40AE95">
            <w:pPr>
              <w:keepNext/>
              <w:spacing w:line="360" w:lineRule="exact"/>
              <w:jc w:val="right"/>
              <w:rPr>
                <w:rFonts w:eastAsia="黑体"/>
                <w:bCs/>
                <w:i/>
                <w:iCs/>
                <w:color w:val="auto"/>
                <w:szCs w:val="21"/>
                <w:highlight w:val="none"/>
              </w:rPr>
            </w:pPr>
            <w:r>
              <w:rPr>
                <w:rFonts w:hint="eastAsia" w:hAnsi="Cambria Math"/>
                <w:i/>
                <w:iCs/>
                <w:color w:val="auto"/>
                <w:szCs w:val="21"/>
                <w:highlight w:val="none"/>
                <w:lang w:val="en-US" w:eastAsia="zh-CN"/>
              </w:rPr>
              <w:t>A</w:t>
            </w:r>
            <w:r>
              <w:rPr>
                <w:rFonts w:hint="eastAsia" w:hAnsi="Cambria Math"/>
                <w:i/>
                <w:iCs/>
                <w:color w:val="auto"/>
                <w:sz w:val="21"/>
                <w:szCs w:val="21"/>
                <w:highlight w:val="none"/>
                <w:vertAlign w:val="subscript"/>
                <w:lang w:val="en-US" w:eastAsia="zh-CN"/>
              </w:rPr>
              <w:t>cl</w:t>
            </w:r>
          </w:p>
        </w:tc>
        <w:tc>
          <w:tcPr>
            <w:tcW w:w="4820" w:type="dxa"/>
          </w:tcPr>
          <w:p w14:paraId="158A51B7">
            <w:pPr>
              <w:keepNext/>
              <w:spacing w:line="360" w:lineRule="exact"/>
              <w:jc w:val="left"/>
              <w:rPr>
                <w:rFonts w:eastAsia="黑体"/>
                <w:bCs/>
                <w:color w:val="auto"/>
                <w:szCs w:val="21"/>
                <w:highlight w:val="none"/>
              </w:rPr>
            </w:pPr>
            <w:r>
              <w:rPr>
                <w:rFonts w:eastAsia="黑体"/>
                <w:bCs/>
                <w:color w:val="auto"/>
                <w:szCs w:val="21"/>
                <w:highlight w:val="none"/>
              </w:rPr>
              <w:t>——</w:t>
            </w:r>
            <w:r>
              <w:rPr>
                <w:color w:val="auto"/>
                <w:szCs w:val="21"/>
                <w:highlight w:val="none"/>
              </w:rPr>
              <w:t>叠合</w:t>
            </w:r>
            <w:r>
              <w:rPr>
                <w:rFonts w:hint="eastAsia"/>
                <w:color w:val="auto"/>
                <w:szCs w:val="21"/>
                <w:highlight w:val="none"/>
              </w:rPr>
              <w:t>墙</w:t>
            </w:r>
            <w:r>
              <w:rPr>
                <w:color w:val="auto"/>
                <w:szCs w:val="21"/>
                <w:highlight w:val="none"/>
              </w:rPr>
              <w:t>端截面后浇混凝土叠合层截面面积</w:t>
            </w:r>
          </w:p>
        </w:tc>
      </w:tr>
      <w:tr w14:paraId="213B5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rPr>
          <w:trHeight w:val="90" w:hRule="atLeast"/>
        </w:trPr>
        <w:tc>
          <w:tcPr>
            <w:tcW w:w="714" w:type="dxa"/>
          </w:tcPr>
          <w:p w14:paraId="50F8C655">
            <w:pPr>
              <w:keepNext/>
              <w:spacing w:line="360" w:lineRule="exact"/>
              <w:jc w:val="right"/>
              <w:rPr>
                <w:rFonts w:hint="default" w:eastAsia="宋体"/>
                <w:bCs/>
                <w:i/>
                <w:iCs/>
                <w:color w:val="auto"/>
                <w:szCs w:val="21"/>
                <w:highlight w:val="none"/>
                <w:lang w:val="en-US" w:eastAsia="zh-CN"/>
              </w:rPr>
            </w:pPr>
            <w:r>
              <w:rPr>
                <w:rFonts w:hint="eastAsia" w:hAnsi="Cambria Math"/>
                <w:i/>
                <w:iCs/>
                <w:color w:val="auto"/>
                <w:szCs w:val="21"/>
                <w:highlight w:val="none"/>
                <w:lang w:val="en-US" w:eastAsia="zh-CN"/>
              </w:rPr>
              <w:t>A</w:t>
            </w:r>
            <w:r>
              <w:rPr>
                <w:rFonts w:hint="eastAsia" w:hAnsi="Cambria Math"/>
                <w:i/>
                <w:iCs/>
                <w:color w:val="auto"/>
                <w:szCs w:val="21"/>
                <w:highlight w:val="none"/>
                <w:vertAlign w:val="subscript"/>
                <w:lang w:val="en-US" w:eastAsia="zh-CN"/>
              </w:rPr>
              <w:t>K</w:t>
            </w:r>
          </w:p>
        </w:tc>
        <w:tc>
          <w:tcPr>
            <w:tcW w:w="4820" w:type="dxa"/>
          </w:tcPr>
          <w:p w14:paraId="395DBF3C">
            <w:pPr>
              <w:keepNext/>
              <w:spacing w:line="360" w:lineRule="exact"/>
              <w:jc w:val="left"/>
              <w:rPr>
                <w:rFonts w:hint="eastAsia" w:eastAsia="宋体"/>
                <w:bCs/>
                <w:color w:val="auto"/>
                <w:szCs w:val="21"/>
                <w:highlight w:val="none"/>
                <w:lang w:eastAsia="zh-CN"/>
              </w:rPr>
            </w:pPr>
            <w:r>
              <w:rPr>
                <w:rFonts w:eastAsia="黑体"/>
                <w:bCs/>
                <w:color w:val="auto"/>
                <w:szCs w:val="21"/>
                <w:highlight w:val="none"/>
              </w:rPr>
              <w:t>——</w:t>
            </w:r>
            <w:r>
              <w:rPr>
                <w:color w:val="auto"/>
                <w:szCs w:val="21"/>
                <w:highlight w:val="none"/>
              </w:rPr>
              <w:t>键槽根部截面面积之和</w:t>
            </w:r>
            <w:r>
              <w:rPr>
                <w:rFonts w:hint="eastAsia"/>
                <w:color w:val="auto"/>
                <w:szCs w:val="21"/>
                <w:highlight w:val="none"/>
                <w:lang w:eastAsia="zh-CN"/>
              </w:rPr>
              <w:t>。</w:t>
            </w:r>
          </w:p>
        </w:tc>
      </w:tr>
    </w:tbl>
    <w:p w14:paraId="51D7C2DC">
      <w:pPr>
        <w:spacing w:line="360" w:lineRule="exact"/>
        <w:rPr>
          <w:color w:val="auto"/>
          <w:highlight w:val="none"/>
        </w:rPr>
      </w:pPr>
      <w:r>
        <w:rPr>
          <w:rFonts w:eastAsia="黑体"/>
          <w:b/>
          <w:bCs/>
          <w:color w:val="auto"/>
          <w:highlight w:val="none"/>
        </w:rPr>
        <w:t>2</w:t>
      </w:r>
      <w:r>
        <w:rPr>
          <w:b/>
          <w:bCs/>
          <w:color w:val="auto"/>
          <w:highlight w:val="none"/>
        </w:rPr>
        <w:t>.</w:t>
      </w:r>
      <w:r>
        <w:rPr>
          <w:rFonts w:eastAsia="黑体"/>
          <w:b/>
          <w:bCs/>
          <w:color w:val="auto"/>
          <w:highlight w:val="none"/>
        </w:rPr>
        <w:t>2</w:t>
      </w:r>
      <w:r>
        <w:rPr>
          <w:b/>
          <w:bCs/>
          <w:color w:val="auto"/>
          <w:highlight w:val="none"/>
        </w:rPr>
        <w:t>.</w:t>
      </w:r>
      <w:r>
        <w:rPr>
          <w:rFonts w:eastAsia="黑体"/>
          <w:b/>
          <w:bCs/>
          <w:color w:val="auto"/>
          <w:highlight w:val="none"/>
        </w:rPr>
        <w:t>2</w:t>
      </w:r>
      <w:r>
        <w:rPr>
          <w:rFonts w:eastAsia="黑体"/>
          <w:b/>
          <w:color w:val="auto"/>
          <w:highlight w:val="none"/>
        </w:rPr>
        <w:t xml:space="preserve"> </w:t>
      </w:r>
      <w:r>
        <w:rPr>
          <w:rFonts w:eastAsia="黑体"/>
          <w:color w:val="auto"/>
          <w:highlight w:val="none"/>
        </w:rPr>
        <w:t xml:space="preserve"> </w:t>
      </w:r>
      <w:r>
        <w:rPr>
          <w:color w:val="auto"/>
          <w:highlight w:val="none"/>
        </w:rPr>
        <w:t>作用及效应</w:t>
      </w:r>
      <w:r>
        <w:rPr>
          <w:rFonts w:eastAsia="黑体"/>
          <w:color w:val="auto"/>
          <w:highlight w:val="none"/>
        </w:rPr>
        <w:t xml:space="preserve">  </w:t>
      </w:r>
    </w:p>
    <w:tbl>
      <w:tblPr>
        <w:tblStyle w:val="2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57" w:type="dxa"/>
          <w:bottom w:w="0" w:type="dxa"/>
          <w:right w:w="0" w:type="dxa"/>
        </w:tblCellMar>
      </w:tblPr>
      <w:tblGrid>
        <w:gridCol w:w="718"/>
        <w:gridCol w:w="4816"/>
      </w:tblGrid>
      <w:tr w14:paraId="6B12F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rPr>
          <w:trHeight w:val="334" w:hRule="atLeast"/>
          <w:jc w:val="center"/>
        </w:trPr>
        <w:tc>
          <w:tcPr>
            <w:tcW w:w="718" w:type="dxa"/>
          </w:tcPr>
          <w:p w14:paraId="193EE066">
            <w:pPr>
              <w:keepNext/>
              <w:wordWrap w:val="0"/>
              <w:spacing w:line="360" w:lineRule="exact"/>
              <w:jc w:val="right"/>
              <w:rPr>
                <w:rFonts w:eastAsia="黑体"/>
                <w:bCs/>
                <w:color w:val="auto"/>
                <w:szCs w:val="21"/>
                <w:highlight w:val="none"/>
              </w:rPr>
            </w:pPr>
            <w:r>
              <w:rPr>
                <w:rFonts w:eastAsia="黑体"/>
                <w:bCs/>
                <w:i/>
                <w:iCs/>
                <w:color w:val="auto"/>
                <w:szCs w:val="21"/>
                <w:highlight w:val="none"/>
              </w:rPr>
              <w:t xml:space="preserve">G </w:t>
            </w:r>
          </w:p>
        </w:tc>
        <w:tc>
          <w:tcPr>
            <w:tcW w:w="4816" w:type="dxa"/>
          </w:tcPr>
          <w:p w14:paraId="7C5BFA8E">
            <w:pPr>
              <w:keepNext/>
              <w:spacing w:line="360" w:lineRule="exact"/>
              <w:jc w:val="left"/>
              <w:rPr>
                <w:rFonts w:eastAsia="黑体"/>
                <w:bCs/>
                <w:color w:val="auto"/>
                <w:szCs w:val="21"/>
                <w:highlight w:val="none"/>
              </w:rPr>
            </w:pPr>
            <w:r>
              <w:rPr>
                <w:rFonts w:eastAsia="黑体"/>
                <w:bCs/>
                <w:color w:val="auto"/>
                <w:szCs w:val="21"/>
                <w:highlight w:val="none"/>
              </w:rPr>
              <w:t>——</w:t>
            </w:r>
            <w:r>
              <w:rPr>
                <w:bCs/>
                <w:color w:val="auto"/>
                <w:szCs w:val="21"/>
                <w:highlight w:val="none"/>
              </w:rPr>
              <w:t>模块的重力荷载标准值；</w:t>
            </w:r>
          </w:p>
        </w:tc>
      </w:tr>
      <w:tr w14:paraId="4B5A8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rPr>
          <w:trHeight w:val="334" w:hRule="atLeast"/>
          <w:jc w:val="center"/>
        </w:trPr>
        <w:tc>
          <w:tcPr>
            <w:tcW w:w="718" w:type="dxa"/>
          </w:tcPr>
          <w:p w14:paraId="13CFEBD7">
            <w:pPr>
              <w:keepNext/>
              <w:wordWrap w:val="0"/>
              <w:spacing w:line="360" w:lineRule="exact"/>
              <w:jc w:val="right"/>
              <w:rPr>
                <w:rFonts w:eastAsia="黑体"/>
                <w:bCs/>
                <w:color w:val="auto"/>
                <w:szCs w:val="21"/>
                <w:highlight w:val="none"/>
              </w:rPr>
            </w:pPr>
            <w:r>
              <w:rPr>
                <w:rFonts w:eastAsia="黑体"/>
                <w:bCs/>
                <w:i/>
                <w:iCs/>
                <w:color w:val="auto"/>
                <w:szCs w:val="21"/>
                <w:highlight w:val="none"/>
              </w:rPr>
              <w:t xml:space="preserve">W </w:t>
            </w:r>
          </w:p>
        </w:tc>
        <w:tc>
          <w:tcPr>
            <w:tcW w:w="4816" w:type="dxa"/>
          </w:tcPr>
          <w:p w14:paraId="0D14047D">
            <w:pPr>
              <w:keepNext/>
              <w:spacing w:line="360" w:lineRule="exact"/>
              <w:jc w:val="left"/>
              <w:rPr>
                <w:rFonts w:eastAsia="黑体"/>
                <w:bCs/>
                <w:color w:val="auto"/>
                <w:szCs w:val="21"/>
                <w:highlight w:val="none"/>
              </w:rPr>
            </w:pPr>
            <w:r>
              <w:rPr>
                <w:rFonts w:eastAsia="黑体"/>
                <w:bCs/>
                <w:color w:val="auto"/>
                <w:szCs w:val="21"/>
                <w:highlight w:val="none"/>
              </w:rPr>
              <w:t>——</w:t>
            </w:r>
            <w:r>
              <w:rPr>
                <w:bCs/>
                <w:color w:val="auto"/>
                <w:szCs w:val="21"/>
                <w:highlight w:val="none"/>
              </w:rPr>
              <w:t>模块的墙面所受风荷载标准值；</w:t>
            </w:r>
          </w:p>
        </w:tc>
      </w:tr>
      <w:tr w14:paraId="22554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rPr>
          <w:trHeight w:val="326" w:hRule="atLeast"/>
          <w:jc w:val="center"/>
        </w:trPr>
        <w:tc>
          <w:tcPr>
            <w:tcW w:w="718" w:type="dxa"/>
          </w:tcPr>
          <w:p w14:paraId="7E90C6CB">
            <w:pPr>
              <w:keepNext/>
              <w:wordWrap w:val="0"/>
              <w:spacing w:line="360" w:lineRule="exact"/>
              <w:jc w:val="right"/>
              <w:rPr>
                <w:rFonts w:eastAsia="黑体"/>
                <w:bCs/>
                <w:color w:val="auto"/>
                <w:szCs w:val="21"/>
                <w:highlight w:val="none"/>
              </w:rPr>
            </w:pPr>
            <w:r>
              <w:rPr>
                <w:rFonts w:eastAsia="黑体"/>
                <w:bCs/>
                <w:i/>
                <w:iCs/>
                <w:color w:val="auto"/>
                <w:szCs w:val="21"/>
                <w:highlight w:val="none"/>
              </w:rPr>
              <w:t>F</w:t>
            </w:r>
            <w:r>
              <w:rPr>
                <w:rFonts w:eastAsia="黑体"/>
                <w:bCs/>
                <w:i/>
                <w:iCs/>
                <w:color w:val="auto"/>
                <w:szCs w:val="21"/>
                <w:highlight w:val="none"/>
                <w:vertAlign w:val="subscript"/>
              </w:rPr>
              <w:t xml:space="preserve">Ai </w:t>
            </w:r>
          </w:p>
        </w:tc>
        <w:tc>
          <w:tcPr>
            <w:tcW w:w="4816" w:type="dxa"/>
          </w:tcPr>
          <w:p w14:paraId="4494EE71">
            <w:pPr>
              <w:keepNext/>
              <w:spacing w:line="360" w:lineRule="exact"/>
              <w:jc w:val="left"/>
              <w:rPr>
                <w:rFonts w:eastAsia="黑体"/>
                <w:bCs/>
                <w:color w:val="auto"/>
                <w:szCs w:val="21"/>
                <w:highlight w:val="none"/>
              </w:rPr>
            </w:pPr>
            <w:r>
              <w:rPr>
                <w:rFonts w:eastAsia="黑体"/>
                <w:bCs/>
                <w:color w:val="auto"/>
                <w:szCs w:val="21"/>
                <w:highlight w:val="none"/>
              </w:rPr>
              <w:t>——</w:t>
            </w:r>
            <w:r>
              <w:rPr>
                <w:bCs/>
                <w:color w:val="auto"/>
                <w:szCs w:val="21"/>
                <w:highlight w:val="none"/>
              </w:rPr>
              <w:t>吊点</w:t>
            </w:r>
            <w:r>
              <w:rPr>
                <w:rFonts w:eastAsia="黑体"/>
                <w:bCs/>
                <w:i/>
                <w:iCs/>
                <w:color w:val="auto"/>
                <w:szCs w:val="21"/>
                <w:highlight w:val="none"/>
              </w:rPr>
              <w:t>A</w:t>
            </w:r>
            <w:r>
              <w:rPr>
                <w:rFonts w:eastAsia="黑体"/>
                <w:bCs/>
                <w:i/>
                <w:iCs/>
                <w:color w:val="auto"/>
                <w:szCs w:val="21"/>
                <w:highlight w:val="none"/>
                <w:vertAlign w:val="subscript"/>
              </w:rPr>
              <w:t>i</w:t>
            </w:r>
            <w:r>
              <w:rPr>
                <w:bCs/>
                <w:color w:val="auto"/>
                <w:szCs w:val="21"/>
                <w:highlight w:val="none"/>
              </w:rPr>
              <w:t>的吊点力；</w:t>
            </w:r>
          </w:p>
        </w:tc>
      </w:tr>
      <w:tr w14:paraId="14959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rPr>
          <w:trHeight w:val="334" w:hRule="atLeast"/>
          <w:jc w:val="center"/>
        </w:trPr>
        <w:tc>
          <w:tcPr>
            <w:tcW w:w="718" w:type="dxa"/>
          </w:tcPr>
          <w:p w14:paraId="08AECE50">
            <w:pPr>
              <w:keepNext/>
              <w:wordWrap w:val="0"/>
              <w:spacing w:line="360" w:lineRule="exact"/>
              <w:jc w:val="right"/>
              <w:rPr>
                <w:rFonts w:eastAsia="黑体"/>
                <w:bCs/>
                <w:i/>
                <w:iCs/>
                <w:color w:val="auto"/>
                <w:szCs w:val="21"/>
                <w:highlight w:val="none"/>
              </w:rPr>
            </w:pPr>
            <w:r>
              <w:rPr>
                <w:rFonts w:eastAsia="黑体"/>
                <w:bCs/>
                <w:i/>
                <w:iCs/>
                <w:color w:val="auto"/>
                <w:szCs w:val="21"/>
                <w:highlight w:val="none"/>
              </w:rPr>
              <w:t>M</w:t>
            </w:r>
            <w:r>
              <w:rPr>
                <w:rFonts w:eastAsia="黑体"/>
                <w:bCs/>
                <w:i/>
                <w:iCs/>
                <w:color w:val="auto"/>
                <w:szCs w:val="21"/>
                <w:highlight w:val="none"/>
                <w:vertAlign w:val="subscript"/>
              </w:rPr>
              <w:t xml:space="preserve">g </w:t>
            </w:r>
          </w:p>
        </w:tc>
        <w:tc>
          <w:tcPr>
            <w:tcW w:w="4816" w:type="dxa"/>
          </w:tcPr>
          <w:p w14:paraId="2ACE184A">
            <w:pPr>
              <w:keepNext/>
              <w:spacing w:line="360" w:lineRule="exact"/>
              <w:jc w:val="left"/>
              <w:rPr>
                <w:rFonts w:eastAsia="黑体"/>
                <w:bCs/>
                <w:color w:val="auto"/>
                <w:szCs w:val="21"/>
                <w:highlight w:val="none"/>
              </w:rPr>
            </w:pPr>
            <w:r>
              <w:rPr>
                <w:rFonts w:eastAsia="黑体"/>
                <w:bCs/>
                <w:color w:val="auto"/>
                <w:szCs w:val="21"/>
                <w:highlight w:val="none"/>
              </w:rPr>
              <w:t>——</w:t>
            </w:r>
            <w:r>
              <w:rPr>
                <w:color w:val="auto"/>
                <w:highlight w:val="none"/>
              </w:rPr>
              <w:t>模块自重标准值下的抗倾覆力矩</w:t>
            </w:r>
            <w:r>
              <w:rPr>
                <w:bCs/>
                <w:color w:val="auto"/>
                <w:szCs w:val="21"/>
                <w:highlight w:val="none"/>
              </w:rPr>
              <w:t>；</w:t>
            </w:r>
          </w:p>
        </w:tc>
      </w:tr>
      <w:tr w14:paraId="0258D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rPr>
          <w:trHeight w:val="90" w:hRule="atLeast"/>
          <w:jc w:val="center"/>
        </w:trPr>
        <w:tc>
          <w:tcPr>
            <w:tcW w:w="718" w:type="dxa"/>
          </w:tcPr>
          <w:p w14:paraId="7A17C38E">
            <w:pPr>
              <w:keepNext/>
              <w:wordWrap w:val="0"/>
              <w:spacing w:line="360" w:lineRule="exact"/>
              <w:jc w:val="right"/>
              <w:rPr>
                <w:rFonts w:eastAsia="黑体"/>
                <w:bCs/>
                <w:i/>
                <w:iCs/>
                <w:color w:val="auto"/>
                <w:szCs w:val="21"/>
                <w:highlight w:val="none"/>
              </w:rPr>
            </w:pPr>
            <w:r>
              <w:rPr>
                <w:rFonts w:eastAsia="黑体"/>
                <w:bCs/>
                <w:i/>
                <w:iCs/>
                <w:color w:val="auto"/>
                <w:szCs w:val="21"/>
                <w:highlight w:val="none"/>
              </w:rPr>
              <w:t>M</w:t>
            </w:r>
            <w:r>
              <w:rPr>
                <w:rFonts w:eastAsia="黑体"/>
                <w:bCs/>
                <w:i/>
                <w:iCs/>
                <w:color w:val="auto"/>
                <w:szCs w:val="21"/>
                <w:highlight w:val="none"/>
                <w:vertAlign w:val="subscript"/>
              </w:rPr>
              <w:t xml:space="preserve">w </w:t>
            </w:r>
          </w:p>
        </w:tc>
        <w:tc>
          <w:tcPr>
            <w:tcW w:w="4816" w:type="dxa"/>
          </w:tcPr>
          <w:p w14:paraId="1C52412A">
            <w:pPr>
              <w:keepNext/>
              <w:spacing w:line="360" w:lineRule="exact"/>
              <w:jc w:val="left"/>
              <w:rPr>
                <w:rFonts w:eastAsia="黑体"/>
                <w:bCs/>
                <w:color w:val="auto"/>
                <w:szCs w:val="21"/>
                <w:highlight w:val="none"/>
              </w:rPr>
            </w:pPr>
            <w:r>
              <w:rPr>
                <w:rFonts w:eastAsia="黑体"/>
                <w:bCs/>
                <w:color w:val="auto"/>
                <w:szCs w:val="21"/>
                <w:highlight w:val="none"/>
              </w:rPr>
              <w:t>——</w:t>
            </w:r>
            <w:r>
              <w:rPr>
                <w:bCs/>
                <w:color w:val="auto"/>
                <w:szCs w:val="21"/>
                <w:highlight w:val="none"/>
              </w:rPr>
              <w:t>风荷载标准值作用下的倾覆力矩；</w:t>
            </w:r>
          </w:p>
        </w:tc>
      </w:tr>
      <w:tr w14:paraId="07A97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rPr>
          <w:trHeight w:val="326" w:hRule="atLeast"/>
          <w:jc w:val="center"/>
        </w:trPr>
        <w:tc>
          <w:tcPr>
            <w:tcW w:w="718" w:type="dxa"/>
          </w:tcPr>
          <w:p w14:paraId="0D61C8C4">
            <w:pPr>
              <w:keepNext/>
              <w:wordWrap w:val="0"/>
              <w:spacing w:line="360" w:lineRule="exact"/>
              <w:jc w:val="right"/>
              <w:rPr>
                <w:rFonts w:eastAsia="黑体"/>
                <w:bCs/>
                <w:i/>
                <w:iCs/>
                <w:color w:val="auto"/>
                <w:szCs w:val="21"/>
                <w:highlight w:val="none"/>
              </w:rPr>
            </w:pPr>
            <w:r>
              <w:rPr>
                <w:rFonts w:eastAsia="黑体"/>
                <w:bCs/>
                <w:i/>
                <w:iCs/>
                <w:color w:val="auto"/>
                <w:szCs w:val="21"/>
                <w:highlight w:val="none"/>
              </w:rPr>
              <w:t>N</w:t>
            </w:r>
            <w:r>
              <w:rPr>
                <w:rFonts w:eastAsia="黑体"/>
                <w:bCs/>
                <w:i/>
                <w:iCs/>
                <w:color w:val="auto"/>
                <w:szCs w:val="21"/>
                <w:highlight w:val="none"/>
                <w:vertAlign w:val="subscript"/>
              </w:rPr>
              <w:t xml:space="preserve">w </w:t>
            </w:r>
          </w:p>
        </w:tc>
        <w:tc>
          <w:tcPr>
            <w:tcW w:w="4816" w:type="dxa"/>
          </w:tcPr>
          <w:p w14:paraId="64634D72">
            <w:pPr>
              <w:keepNext/>
              <w:spacing w:line="360" w:lineRule="exact"/>
              <w:jc w:val="left"/>
              <w:rPr>
                <w:rFonts w:hint="eastAsia" w:eastAsia="宋体"/>
                <w:bCs/>
                <w:color w:val="auto"/>
                <w:szCs w:val="21"/>
                <w:highlight w:val="none"/>
                <w:lang w:eastAsia="zh-CN"/>
              </w:rPr>
            </w:pPr>
            <w:r>
              <w:rPr>
                <w:rFonts w:eastAsia="黑体"/>
                <w:bCs/>
                <w:color w:val="auto"/>
                <w:szCs w:val="21"/>
                <w:highlight w:val="none"/>
              </w:rPr>
              <w:t>——</w:t>
            </w:r>
            <w:r>
              <w:rPr>
                <w:bCs/>
                <w:color w:val="auto"/>
                <w:szCs w:val="21"/>
                <w:highlight w:val="none"/>
              </w:rPr>
              <w:t>风荷载标准值作用下的水平力</w:t>
            </w:r>
            <w:r>
              <w:rPr>
                <w:rFonts w:hint="eastAsia"/>
                <w:bCs/>
                <w:color w:val="auto"/>
                <w:szCs w:val="21"/>
                <w:highlight w:val="none"/>
                <w:lang w:eastAsia="zh-CN"/>
              </w:rPr>
              <w:t>；</w:t>
            </w:r>
          </w:p>
        </w:tc>
      </w:tr>
      <w:tr w14:paraId="7A72B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rPr>
          <w:trHeight w:val="326" w:hRule="atLeast"/>
          <w:jc w:val="center"/>
        </w:trPr>
        <w:tc>
          <w:tcPr>
            <w:tcW w:w="718" w:type="dxa"/>
          </w:tcPr>
          <w:p w14:paraId="7D8DB62C">
            <w:pPr>
              <w:keepNext/>
              <w:wordWrap w:val="0"/>
              <w:spacing w:line="360" w:lineRule="exact"/>
              <w:jc w:val="right"/>
              <w:rPr>
                <w:rFonts w:eastAsia="黑体"/>
                <w:bCs/>
                <w:i/>
                <w:iCs/>
                <w:color w:val="auto"/>
                <w:szCs w:val="21"/>
                <w:highlight w:val="none"/>
              </w:rPr>
            </w:pPr>
            <w:r>
              <w:rPr>
                <w:i/>
                <w:iCs/>
                <w:color w:val="auto"/>
                <w:kern w:val="0"/>
                <w:szCs w:val="21"/>
                <w:highlight w:val="none"/>
                <w:lang w:bidi="ar"/>
              </w:rPr>
              <w:t>V</w:t>
            </w:r>
            <w:r>
              <w:rPr>
                <w:color w:val="auto"/>
                <w:kern w:val="0"/>
                <w:szCs w:val="21"/>
                <w:highlight w:val="none"/>
                <w:lang w:bidi="ar"/>
              </w:rPr>
              <w:t>uE</w:t>
            </w:r>
          </w:p>
        </w:tc>
        <w:tc>
          <w:tcPr>
            <w:tcW w:w="4816" w:type="dxa"/>
          </w:tcPr>
          <w:p w14:paraId="5DC01793">
            <w:pPr>
              <w:keepNext/>
              <w:spacing w:line="360" w:lineRule="exact"/>
              <w:jc w:val="left"/>
              <w:rPr>
                <w:rFonts w:hint="eastAsia" w:eastAsia="宋体"/>
                <w:bCs/>
                <w:color w:val="auto"/>
                <w:szCs w:val="21"/>
                <w:highlight w:val="none"/>
                <w:lang w:eastAsia="zh-CN"/>
              </w:rPr>
            </w:pPr>
            <w:r>
              <w:rPr>
                <w:rFonts w:eastAsia="黑体"/>
                <w:bCs/>
                <w:color w:val="auto"/>
                <w:szCs w:val="21"/>
                <w:highlight w:val="none"/>
              </w:rPr>
              <w:t>——</w:t>
            </w:r>
            <w:r>
              <w:rPr>
                <w:color w:val="auto"/>
                <w:szCs w:val="21"/>
                <w:highlight w:val="none"/>
              </w:rPr>
              <w:t>叠合剪力墙水平接缝处抗剪承载力设计值</w:t>
            </w:r>
            <w:r>
              <w:rPr>
                <w:rFonts w:hint="eastAsia"/>
                <w:color w:val="auto"/>
                <w:szCs w:val="21"/>
                <w:highlight w:val="none"/>
                <w:lang w:eastAsia="zh-CN"/>
              </w:rPr>
              <w:t>；</w:t>
            </w:r>
          </w:p>
        </w:tc>
      </w:tr>
      <w:tr w14:paraId="3BC6A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0" w:type="dxa"/>
          </w:tblCellMar>
        </w:tblPrEx>
        <w:trPr>
          <w:trHeight w:val="326" w:hRule="atLeast"/>
          <w:jc w:val="center"/>
        </w:trPr>
        <w:tc>
          <w:tcPr>
            <w:tcW w:w="718" w:type="dxa"/>
          </w:tcPr>
          <w:p w14:paraId="28E2062B">
            <w:pPr>
              <w:keepNext/>
              <w:wordWrap w:val="0"/>
              <w:spacing w:line="360" w:lineRule="exact"/>
              <w:jc w:val="center"/>
              <w:rPr>
                <w:rFonts w:eastAsia="黑体"/>
                <w:bCs/>
                <w:i/>
                <w:iCs/>
                <w:color w:val="auto"/>
                <w:szCs w:val="21"/>
                <w:highlight w:val="none"/>
              </w:rPr>
            </w:pPr>
            <w:r>
              <w:rPr>
                <w:rFonts w:hint="eastAsia"/>
                <w:i/>
                <w:iCs/>
                <w:color w:val="auto"/>
                <w:kern w:val="0"/>
                <w:szCs w:val="21"/>
                <w:highlight w:val="none"/>
                <w:lang w:val="en-US" w:eastAsia="zh-CN" w:bidi="ar"/>
              </w:rPr>
              <w:t xml:space="preserve">    </w:t>
            </w:r>
            <w:r>
              <w:rPr>
                <w:i/>
                <w:iCs/>
                <w:color w:val="auto"/>
                <w:kern w:val="0"/>
                <w:szCs w:val="21"/>
                <w:highlight w:val="none"/>
                <w:lang w:bidi="ar"/>
              </w:rPr>
              <w:t>N</w:t>
            </w:r>
          </w:p>
        </w:tc>
        <w:tc>
          <w:tcPr>
            <w:tcW w:w="4816" w:type="dxa"/>
          </w:tcPr>
          <w:p w14:paraId="6AF3CDF6">
            <w:pPr>
              <w:keepNext/>
              <w:spacing w:line="360" w:lineRule="exact"/>
              <w:ind w:left="420" w:hanging="420" w:hangingChars="200"/>
              <w:jc w:val="left"/>
              <w:rPr>
                <w:rFonts w:hint="eastAsia" w:eastAsia="宋体"/>
                <w:bCs/>
                <w:color w:val="auto"/>
                <w:szCs w:val="21"/>
                <w:highlight w:val="none"/>
                <w:lang w:eastAsia="zh-CN"/>
              </w:rPr>
            </w:pPr>
            <w:r>
              <w:rPr>
                <w:rFonts w:eastAsia="黑体"/>
                <w:bCs/>
                <w:color w:val="auto"/>
                <w:szCs w:val="21"/>
                <w:highlight w:val="none"/>
              </w:rPr>
              <w:t>——</w:t>
            </w:r>
            <w:r>
              <w:rPr>
                <w:color w:val="auto"/>
                <w:szCs w:val="21"/>
                <w:highlight w:val="none"/>
              </w:rPr>
              <w:t>与接缝处剪力设计值相对应的垂直于水平接缝的轴向力设计值</w:t>
            </w:r>
            <w:r>
              <w:rPr>
                <w:rFonts w:hint="eastAsia"/>
                <w:color w:val="auto"/>
                <w:szCs w:val="21"/>
                <w:highlight w:val="none"/>
                <w:lang w:eastAsia="zh-CN"/>
              </w:rPr>
              <w:t>。</w:t>
            </w:r>
          </w:p>
        </w:tc>
      </w:tr>
    </w:tbl>
    <w:p w14:paraId="34F0C6B9">
      <w:pPr>
        <w:spacing w:line="360" w:lineRule="exact"/>
        <w:rPr>
          <w:color w:val="auto"/>
          <w:szCs w:val="21"/>
          <w:highlight w:val="none"/>
        </w:rPr>
      </w:pPr>
    </w:p>
    <w:p w14:paraId="3D7B4414">
      <w:pPr>
        <w:rPr>
          <w:color w:val="auto"/>
          <w:highlight w:val="none"/>
        </w:rPr>
      </w:pPr>
      <w:bookmarkStart w:id="97" w:name="_Toc15745"/>
      <w:bookmarkStart w:id="98" w:name="_Toc110952699"/>
      <w:bookmarkStart w:id="99" w:name="_Toc14071"/>
      <w:bookmarkStart w:id="100" w:name="_Toc93998964"/>
      <w:bookmarkStart w:id="101" w:name="_Toc110958467"/>
      <w:bookmarkStart w:id="102" w:name="_Toc93999725"/>
    </w:p>
    <w:p w14:paraId="0865605B">
      <w:pPr>
        <w:rPr>
          <w:color w:val="auto"/>
          <w:highlight w:val="none"/>
        </w:rPr>
      </w:pPr>
    </w:p>
    <w:p w14:paraId="3E0DBD46">
      <w:pPr>
        <w:rPr>
          <w:color w:val="auto"/>
          <w:highlight w:val="none"/>
        </w:rPr>
      </w:pPr>
    </w:p>
    <w:p w14:paraId="202679D8">
      <w:pPr>
        <w:rPr>
          <w:color w:val="auto"/>
          <w:highlight w:val="none"/>
        </w:rPr>
      </w:pPr>
    </w:p>
    <w:p w14:paraId="398DEDC4">
      <w:pPr>
        <w:rPr>
          <w:color w:val="auto"/>
          <w:highlight w:val="none"/>
        </w:rPr>
      </w:pPr>
    </w:p>
    <w:p w14:paraId="12B9B2F8">
      <w:pPr>
        <w:rPr>
          <w:color w:val="auto"/>
          <w:highlight w:val="none"/>
        </w:rPr>
      </w:pPr>
    </w:p>
    <w:p w14:paraId="4D923D51">
      <w:pPr>
        <w:rPr>
          <w:color w:val="auto"/>
          <w:highlight w:val="none"/>
        </w:rPr>
      </w:pPr>
    </w:p>
    <w:p w14:paraId="4B868E33">
      <w:pPr>
        <w:rPr>
          <w:color w:val="auto"/>
          <w:highlight w:val="none"/>
        </w:rPr>
      </w:pPr>
    </w:p>
    <w:p w14:paraId="5780BF47">
      <w:pPr>
        <w:rPr>
          <w:color w:val="auto"/>
          <w:highlight w:val="none"/>
        </w:rPr>
      </w:pPr>
    </w:p>
    <w:p w14:paraId="22CBDBDC">
      <w:pPr>
        <w:rPr>
          <w:color w:val="auto"/>
          <w:highlight w:val="none"/>
        </w:rPr>
      </w:pPr>
    </w:p>
    <w:p w14:paraId="5E80FDDC">
      <w:pPr>
        <w:rPr>
          <w:color w:val="auto"/>
          <w:highlight w:val="none"/>
        </w:rPr>
      </w:pPr>
    </w:p>
    <w:p w14:paraId="22FDC6C9">
      <w:pPr>
        <w:rPr>
          <w:color w:val="auto"/>
          <w:highlight w:val="none"/>
        </w:rPr>
      </w:pPr>
    </w:p>
    <w:p w14:paraId="65D0A51F">
      <w:pPr>
        <w:rPr>
          <w:color w:val="auto"/>
          <w:highlight w:val="none"/>
        </w:rPr>
      </w:pPr>
    </w:p>
    <w:p w14:paraId="1A8082DA">
      <w:pPr>
        <w:rPr>
          <w:color w:val="auto"/>
          <w:highlight w:val="none"/>
        </w:rPr>
      </w:pPr>
    </w:p>
    <w:p w14:paraId="60CCECA6">
      <w:pPr>
        <w:pStyle w:val="2"/>
        <w:spacing w:before="166" w:beforeLines="50" w:after="166" w:afterLines="50" w:line="360" w:lineRule="auto"/>
        <w:jc w:val="center"/>
        <w:rPr>
          <w:rFonts w:eastAsia="黑体"/>
          <w:color w:val="auto"/>
          <w:sz w:val="28"/>
          <w:szCs w:val="28"/>
          <w:highlight w:val="none"/>
        </w:rPr>
      </w:pPr>
      <w:bookmarkStart w:id="103" w:name="_Toc23500"/>
      <w:bookmarkStart w:id="104" w:name="_Toc13586"/>
      <w:bookmarkStart w:id="105" w:name="_Toc21640"/>
      <w:bookmarkStart w:id="106" w:name="_Toc6380"/>
      <w:bookmarkStart w:id="107" w:name="_Toc3826"/>
      <w:bookmarkStart w:id="108" w:name="_Toc24863"/>
      <w:bookmarkStart w:id="109" w:name="_Toc5900"/>
      <w:r>
        <w:rPr>
          <w:rFonts w:eastAsia="黑体"/>
          <w:color w:val="auto"/>
          <w:sz w:val="28"/>
          <w:szCs w:val="28"/>
          <w:highlight w:val="none"/>
        </w:rPr>
        <w:t>3  基 本 规 定</w:t>
      </w:r>
      <w:bookmarkEnd w:id="97"/>
      <w:bookmarkEnd w:id="98"/>
      <w:bookmarkEnd w:id="99"/>
      <w:bookmarkEnd w:id="100"/>
      <w:bookmarkEnd w:id="101"/>
      <w:bookmarkEnd w:id="102"/>
      <w:bookmarkEnd w:id="103"/>
      <w:bookmarkEnd w:id="104"/>
      <w:bookmarkEnd w:id="105"/>
      <w:bookmarkEnd w:id="106"/>
      <w:bookmarkEnd w:id="107"/>
      <w:bookmarkEnd w:id="108"/>
      <w:bookmarkEnd w:id="109"/>
    </w:p>
    <w:p w14:paraId="097CF8C1">
      <w:pPr>
        <w:spacing w:line="360" w:lineRule="exact"/>
        <w:rPr>
          <w:color w:val="auto"/>
          <w:szCs w:val="21"/>
          <w:highlight w:val="none"/>
        </w:rPr>
      </w:pPr>
      <w:r>
        <w:rPr>
          <w:b/>
          <w:color w:val="auto"/>
          <w:szCs w:val="21"/>
          <w:highlight w:val="none"/>
        </w:rPr>
        <w:t xml:space="preserve">3.0.1 </w:t>
      </w:r>
      <w:r>
        <w:rPr>
          <w:color w:val="auto"/>
          <w:szCs w:val="21"/>
          <w:highlight w:val="none"/>
        </w:rPr>
        <w:t xml:space="preserve"> 混凝土模块化建筑应按照全寿命期可持续发展的原则，实现标准化设计、工厂化生产、装配化施工、一体化装修、信息化管理和智能化应用。</w:t>
      </w:r>
    </w:p>
    <w:p w14:paraId="262D3B09">
      <w:pPr>
        <w:spacing w:line="360" w:lineRule="exact"/>
        <w:rPr>
          <w:color w:val="auto"/>
          <w:szCs w:val="21"/>
          <w:highlight w:val="none"/>
        </w:rPr>
      </w:pPr>
      <w:r>
        <w:rPr>
          <w:b/>
          <w:color w:val="auto"/>
          <w:szCs w:val="21"/>
          <w:highlight w:val="none"/>
        </w:rPr>
        <w:t xml:space="preserve">3.0.2 </w:t>
      </w:r>
      <w:r>
        <w:rPr>
          <w:color w:val="auto"/>
          <w:szCs w:val="21"/>
          <w:highlight w:val="none"/>
        </w:rPr>
        <w:t xml:space="preserve"> 混凝土模块化建筑应采用面向制造和装配的设计方法，对模块化建筑的设计、生产、运输、</w:t>
      </w:r>
      <w:r>
        <w:rPr>
          <w:rFonts w:hint="eastAsia"/>
          <w:color w:val="auto"/>
          <w:szCs w:val="21"/>
          <w:highlight w:val="none"/>
          <w:lang w:val="en-US" w:eastAsia="zh-CN"/>
        </w:rPr>
        <w:t>施工</w:t>
      </w:r>
      <w:r>
        <w:rPr>
          <w:color w:val="auto"/>
          <w:szCs w:val="21"/>
          <w:highlight w:val="none"/>
        </w:rPr>
        <w:t>安装等各个环节进行统筹，实现</w:t>
      </w:r>
      <w:r>
        <w:rPr>
          <w:rFonts w:hint="eastAsia"/>
          <w:color w:val="auto"/>
          <w:szCs w:val="21"/>
          <w:highlight w:val="none"/>
          <w:lang w:val="en-US" w:eastAsia="zh-CN"/>
        </w:rPr>
        <w:t>模块化</w:t>
      </w:r>
      <w:r>
        <w:rPr>
          <w:color w:val="auto"/>
          <w:szCs w:val="21"/>
          <w:highlight w:val="none"/>
        </w:rPr>
        <w:t>建筑</w:t>
      </w:r>
      <w:r>
        <w:rPr>
          <w:rFonts w:hint="eastAsia"/>
          <w:color w:val="auto"/>
          <w:szCs w:val="21"/>
          <w:highlight w:val="none"/>
          <w:lang w:val="en-US" w:eastAsia="zh-CN"/>
        </w:rPr>
        <w:t>建造</w:t>
      </w:r>
      <w:r>
        <w:rPr>
          <w:color w:val="auto"/>
          <w:szCs w:val="21"/>
          <w:highlight w:val="none"/>
        </w:rPr>
        <w:t>的全过程协同工作。</w:t>
      </w:r>
    </w:p>
    <w:p w14:paraId="4CE0606E">
      <w:pPr>
        <w:spacing w:line="360" w:lineRule="exact"/>
        <w:rPr>
          <w:color w:val="auto"/>
          <w:szCs w:val="21"/>
          <w:highlight w:val="none"/>
        </w:rPr>
      </w:pPr>
      <w:r>
        <w:rPr>
          <w:b/>
          <w:color w:val="auto"/>
          <w:szCs w:val="21"/>
          <w:highlight w:val="none"/>
        </w:rPr>
        <w:t>3.0.</w:t>
      </w:r>
      <w:r>
        <w:rPr>
          <w:rFonts w:hint="eastAsia"/>
          <w:b/>
          <w:color w:val="auto"/>
          <w:szCs w:val="21"/>
          <w:highlight w:val="none"/>
        </w:rPr>
        <w:t>3</w:t>
      </w:r>
      <w:r>
        <w:rPr>
          <w:b/>
          <w:color w:val="auto"/>
          <w:szCs w:val="21"/>
          <w:highlight w:val="none"/>
        </w:rPr>
        <w:t xml:space="preserve"> </w:t>
      </w:r>
      <w:r>
        <w:rPr>
          <w:color w:val="auto"/>
          <w:szCs w:val="21"/>
          <w:highlight w:val="none"/>
        </w:rPr>
        <w:t xml:space="preserve"> 混凝土模块化建筑应按系统集成设计原则</w:t>
      </w:r>
      <w:r>
        <w:rPr>
          <w:rFonts w:hint="eastAsia"/>
          <w:color w:val="auto"/>
          <w:szCs w:val="21"/>
          <w:highlight w:val="none"/>
        </w:rPr>
        <w:t>，</w:t>
      </w:r>
      <w:r>
        <w:rPr>
          <w:color w:val="auto"/>
          <w:szCs w:val="21"/>
          <w:highlight w:val="none"/>
        </w:rPr>
        <w:t>对结构系统、外围护系统、设备与管线系统、内装系统等进行综合协调。混凝土模块化建筑设计应按一体化设计原则，实现给水、排水、通风、空调、燃气、电气、智能化、装饰等各个专业协同，确保模块建筑设计的系统性和完整性。模块单元设计应集成结构系统、围护系统、内装系统</w:t>
      </w:r>
      <w:r>
        <w:rPr>
          <w:rFonts w:hint="eastAsia"/>
          <w:color w:val="auto"/>
          <w:szCs w:val="21"/>
          <w:highlight w:val="none"/>
        </w:rPr>
        <w:t>和</w:t>
      </w:r>
      <w:r>
        <w:rPr>
          <w:color w:val="auto"/>
          <w:szCs w:val="21"/>
          <w:highlight w:val="none"/>
        </w:rPr>
        <w:t>设备管线系统。</w:t>
      </w:r>
    </w:p>
    <w:p w14:paraId="4971FDE6">
      <w:pPr>
        <w:spacing w:line="360" w:lineRule="exact"/>
        <w:rPr>
          <w:color w:val="auto"/>
          <w:szCs w:val="21"/>
          <w:highlight w:val="none"/>
        </w:rPr>
      </w:pPr>
      <w:r>
        <w:rPr>
          <w:b/>
          <w:color w:val="auto"/>
          <w:szCs w:val="21"/>
          <w:highlight w:val="none"/>
        </w:rPr>
        <w:t>3.0.</w:t>
      </w:r>
      <w:r>
        <w:rPr>
          <w:rFonts w:hint="eastAsia"/>
          <w:b/>
          <w:color w:val="auto"/>
          <w:szCs w:val="21"/>
          <w:highlight w:val="none"/>
        </w:rPr>
        <w:t>4</w:t>
      </w:r>
      <w:r>
        <w:rPr>
          <w:b/>
          <w:color w:val="auto"/>
          <w:szCs w:val="21"/>
          <w:highlight w:val="none"/>
        </w:rPr>
        <w:t xml:space="preserve"> </w:t>
      </w:r>
      <w:r>
        <w:rPr>
          <w:color w:val="auto"/>
          <w:szCs w:val="21"/>
          <w:highlight w:val="none"/>
        </w:rPr>
        <w:t xml:space="preserve"> 混凝土模块化建筑设计应在满足功能要求的基础上遵循模数协调和少规格、多组合的原则，实现模块单元</w:t>
      </w:r>
      <w:r>
        <w:rPr>
          <w:rFonts w:hint="eastAsia"/>
          <w:color w:val="auto"/>
          <w:szCs w:val="21"/>
          <w:highlight w:val="none"/>
          <w:lang w:val="en-US" w:eastAsia="zh-CN"/>
        </w:rPr>
        <w:t>尺寸</w:t>
      </w:r>
      <w:r>
        <w:rPr>
          <w:color w:val="auto"/>
          <w:szCs w:val="21"/>
          <w:highlight w:val="none"/>
        </w:rPr>
        <w:t>的模数化、系列化和通用化。</w:t>
      </w:r>
    </w:p>
    <w:p w14:paraId="5BF14681">
      <w:pPr>
        <w:widowControl/>
        <w:spacing w:line="360" w:lineRule="exact"/>
        <w:jc w:val="left"/>
        <w:rPr>
          <w:rFonts w:hint="eastAsia"/>
          <w:color w:val="auto"/>
          <w:sz w:val="18"/>
          <w:szCs w:val="28"/>
          <w:highlight w:val="none"/>
        </w:rPr>
      </w:pPr>
      <w:r>
        <w:rPr>
          <w:b/>
          <w:color w:val="auto"/>
          <w:szCs w:val="21"/>
          <w:highlight w:val="none"/>
        </w:rPr>
        <w:t>3.0.</w:t>
      </w:r>
      <w:r>
        <w:rPr>
          <w:rFonts w:hint="eastAsia"/>
          <w:b/>
          <w:color w:val="auto"/>
          <w:szCs w:val="21"/>
          <w:highlight w:val="none"/>
        </w:rPr>
        <w:t>5</w:t>
      </w:r>
      <w:r>
        <w:rPr>
          <w:b/>
          <w:color w:val="auto"/>
          <w:szCs w:val="21"/>
          <w:highlight w:val="none"/>
        </w:rPr>
        <w:t xml:space="preserve"> </w:t>
      </w:r>
      <w:r>
        <w:rPr>
          <w:color w:val="auto"/>
          <w:szCs w:val="21"/>
          <w:highlight w:val="none"/>
        </w:rPr>
        <w:t xml:space="preserve"> 混凝土模块化建筑的连接及接口应构造合理、安全可靠，</w:t>
      </w:r>
      <w:r>
        <w:rPr>
          <w:rFonts w:hint="eastAsia"/>
          <w:color w:val="auto"/>
          <w:szCs w:val="21"/>
          <w:highlight w:val="none"/>
          <w:lang w:val="en-US" w:eastAsia="zh-CN"/>
        </w:rPr>
        <w:t>模块单元的组成构件及其连接、接口应</w:t>
      </w:r>
      <w:r>
        <w:rPr>
          <w:color w:val="auto"/>
          <w:szCs w:val="21"/>
          <w:highlight w:val="none"/>
        </w:rPr>
        <w:t>实现标准化、通用化。</w:t>
      </w:r>
      <w:r>
        <w:rPr>
          <w:rFonts w:hint="eastAsia"/>
          <w:color w:val="auto"/>
          <w:sz w:val="18"/>
          <w:szCs w:val="28"/>
          <w:highlight w:val="none"/>
        </w:rPr>
        <w:t xml:space="preserve"> </w:t>
      </w:r>
    </w:p>
    <w:p w14:paraId="70298621">
      <w:pPr>
        <w:spacing w:line="360" w:lineRule="exact"/>
        <w:rPr>
          <w:color w:val="auto"/>
          <w:szCs w:val="21"/>
          <w:highlight w:val="none"/>
        </w:rPr>
      </w:pPr>
      <w:r>
        <w:rPr>
          <w:b/>
          <w:color w:val="auto"/>
          <w:szCs w:val="21"/>
          <w:highlight w:val="none"/>
        </w:rPr>
        <w:t>3.0.</w:t>
      </w:r>
      <w:r>
        <w:rPr>
          <w:rFonts w:hint="eastAsia"/>
          <w:b/>
          <w:color w:val="auto"/>
          <w:szCs w:val="21"/>
          <w:highlight w:val="none"/>
        </w:rPr>
        <w:t>6</w:t>
      </w:r>
      <w:r>
        <w:rPr>
          <w:b/>
          <w:color w:val="auto"/>
          <w:szCs w:val="21"/>
          <w:highlight w:val="none"/>
        </w:rPr>
        <w:t xml:space="preserve"> </w:t>
      </w:r>
      <w:r>
        <w:rPr>
          <w:color w:val="auto"/>
          <w:szCs w:val="21"/>
          <w:highlight w:val="none"/>
        </w:rPr>
        <w:t xml:space="preserve"> 混凝土模块化建筑公差系统包括制作公差和安装公差，应根据模块单元的安装部位、加工制作及施工精度等要求确定。</w:t>
      </w:r>
    </w:p>
    <w:p w14:paraId="6151F172">
      <w:pPr>
        <w:spacing w:line="360" w:lineRule="exact"/>
        <w:rPr>
          <w:color w:val="auto"/>
          <w:szCs w:val="21"/>
          <w:highlight w:val="none"/>
        </w:rPr>
      </w:pPr>
      <w:r>
        <w:rPr>
          <w:b/>
          <w:color w:val="auto"/>
          <w:szCs w:val="21"/>
          <w:highlight w:val="none"/>
        </w:rPr>
        <w:t>3.0.</w:t>
      </w:r>
      <w:r>
        <w:rPr>
          <w:rFonts w:hint="eastAsia"/>
          <w:b/>
          <w:color w:val="auto"/>
          <w:szCs w:val="21"/>
          <w:highlight w:val="none"/>
        </w:rPr>
        <w:t>7</w:t>
      </w:r>
      <w:r>
        <w:rPr>
          <w:b/>
          <w:color w:val="auto"/>
          <w:szCs w:val="21"/>
          <w:highlight w:val="none"/>
        </w:rPr>
        <w:t xml:space="preserve"> </w:t>
      </w:r>
      <w:r>
        <w:rPr>
          <w:rFonts w:hint="eastAsia"/>
          <w:b/>
          <w:color w:val="auto"/>
          <w:szCs w:val="21"/>
          <w:highlight w:val="none"/>
          <w:lang w:val="en-US" w:eastAsia="zh-CN"/>
        </w:rPr>
        <w:t xml:space="preserve"> </w:t>
      </w:r>
      <w:r>
        <w:rPr>
          <w:color w:val="auto"/>
          <w:szCs w:val="21"/>
          <w:highlight w:val="none"/>
        </w:rPr>
        <w:t>混凝土模块化建筑模块单元间连接方式应充分考虑</w:t>
      </w:r>
      <w:r>
        <w:rPr>
          <w:rFonts w:hint="eastAsia"/>
          <w:color w:val="auto"/>
          <w:szCs w:val="21"/>
          <w:highlight w:val="none"/>
          <w:lang w:val="en-US" w:eastAsia="zh-CN"/>
        </w:rPr>
        <w:t>整体性、</w:t>
      </w:r>
      <w:r>
        <w:rPr>
          <w:color w:val="auto"/>
          <w:szCs w:val="21"/>
          <w:highlight w:val="none"/>
        </w:rPr>
        <w:t>高效性、易建性要求，宜采用免</w:t>
      </w:r>
      <w:r>
        <w:rPr>
          <w:rFonts w:hint="eastAsia"/>
          <w:color w:val="auto"/>
          <w:szCs w:val="21"/>
          <w:highlight w:val="none"/>
        </w:rPr>
        <w:t>支</w:t>
      </w:r>
      <w:r>
        <w:rPr>
          <w:color w:val="auto"/>
          <w:szCs w:val="21"/>
          <w:highlight w:val="none"/>
        </w:rPr>
        <w:t>模</w:t>
      </w:r>
      <w:r>
        <w:rPr>
          <w:rFonts w:hint="eastAsia"/>
          <w:color w:val="auto"/>
          <w:szCs w:val="21"/>
          <w:highlight w:val="none"/>
        </w:rPr>
        <w:t>、免支</w:t>
      </w:r>
      <w:r>
        <w:rPr>
          <w:color w:val="auto"/>
          <w:szCs w:val="21"/>
          <w:highlight w:val="none"/>
        </w:rPr>
        <w:t>撑、少外架等建造工艺。</w:t>
      </w:r>
    </w:p>
    <w:p w14:paraId="12027EB6">
      <w:pPr>
        <w:spacing w:line="360" w:lineRule="exact"/>
        <w:rPr>
          <w:color w:val="auto"/>
          <w:szCs w:val="21"/>
          <w:highlight w:val="none"/>
        </w:rPr>
      </w:pPr>
      <w:r>
        <w:rPr>
          <w:rFonts w:hint="eastAsia"/>
          <w:b/>
          <w:color w:val="auto"/>
          <w:szCs w:val="21"/>
          <w:highlight w:val="none"/>
        </w:rPr>
        <w:t xml:space="preserve">3.0.8 </w:t>
      </w:r>
      <w:r>
        <w:rPr>
          <w:color w:val="auto"/>
          <w:szCs w:val="21"/>
          <w:highlight w:val="none"/>
        </w:rPr>
        <w:t xml:space="preserve"> 混凝土模块化建筑设计成果应能发挥高质量、高集成度、工厂化生产、装配化施工等模块化建筑优势，体现工业化建筑品质特点，并符合广东省岭南地区建筑人文及气候特点，设计指标应符合下列规定：</w:t>
      </w:r>
    </w:p>
    <w:p w14:paraId="3B565A97">
      <w:pPr>
        <w:spacing w:line="360" w:lineRule="exact"/>
        <w:ind w:firstLine="422" w:firstLineChars="200"/>
        <w:rPr>
          <w:rFonts w:hint="eastAsia" w:eastAsia="宋体"/>
          <w:color w:val="auto"/>
          <w:szCs w:val="21"/>
          <w:highlight w:val="none"/>
          <w:lang w:eastAsia="zh-CN"/>
        </w:rPr>
      </w:pPr>
      <w:r>
        <w:rPr>
          <w:b/>
          <w:bCs/>
          <w:color w:val="auto"/>
          <w:szCs w:val="21"/>
          <w:highlight w:val="none"/>
        </w:rPr>
        <w:t>1</w:t>
      </w:r>
      <w:r>
        <w:rPr>
          <w:color w:val="auto"/>
          <w:szCs w:val="21"/>
          <w:highlight w:val="none"/>
        </w:rPr>
        <w:t xml:space="preserve">  使用功能合理，建筑体形系数、窗墙比、热工性能等应符合节能要求</w:t>
      </w:r>
      <w:r>
        <w:rPr>
          <w:rFonts w:hint="eastAsia"/>
          <w:color w:val="auto"/>
          <w:szCs w:val="21"/>
          <w:highlight w:val="none"/>
          <w:lang w:eastAsia="zh-CN"/>
        </w:rPr>
        <w:t>；</w:t>
      </w:r>
    </w:p>
    <w:p w14:paraId="05CE4FB3">
      <w:pPr>
        <w:spacing w:line="360" w:lineRule="exact"/>
        <w:ind w:firstLine="422" w:firstLineChars="200"/>
        <w:rPr>
          <w:rFonts w:hint="eastAsia" w:eastAsia="宋体"/>
          <w:color w:val="auto"/>
          <w:szCs w:val="21"/>
          <w:highlight w:val="none"/>
          <w:lang w:eastAsia="zh-CN"/>
        </w:rPr>
      </w:pPr>
      <w:r>
        <w:rPr>
          <w:b/>
          <w:bCs/>
          <w:color w:val="auto"/>
          <w:szCs w:val="21"/>
          <w:highlight w:val="none"/>
        </w:rPr>
        <w:t>2</w:t>
      </w:r>
      <w:r>
        <w:rPr>
          <w:color w:val="auto"/>
          <w:szCs w:val="21"/>
          <w:highlight w:val="none"/>
        </w:rPr>
        <w:t xml:space="preserve">  采光、通风、隔声、保温、隔热、防水和卫生等</w:t>
      </w:r>
      <w:r>
        <w:rPr>
          <w:rFonts w:hint="eastAsia"/>
          <w:color w:val="auto"/>
          <w:szCs w:val="21"/>
          <w:highlight w:val="none"/>
        </w:rPr>
        <w:t>应符合现行</w:t>
      </w:r>
      <w:r>
        <w:rPr>
          <w:rFonts w:hint="eastAsia"/>
          <w:color w:val="auto"/>
          <w:szCs w:val="21"/>
          <w:highlight w:val="none"/>
          <w:lang w:val="en-US" w:eastAsia="zh-CN"/>
        </w:rPr>
        <w:t>有关</w:t>
      </w:r>
      <w:r>
        <w:rPr>
          <w:rFonts w:hint="eastAsia"/>
          <w:color w:val="auto"/>
          <w:szCs w:val="21"/>
          <w:highlight w:val="none"/>
        </w:rPr>
        <w:t>标准的</w:t>
      </w:r>
      <w:r>
        <w:rPr>
          <w:color w:val="auto"/>
          <w:szCs w:val="21"/>
          <w:highlight w:val="none"/>
        </w:rPr>
        <w:t>要求</w:t>
      </w:r>
      <w:r>
        <w:rPr>
          <w:rFonts w:hint="eastAsia"/>
          <w:color w:val="auto"/>
          <w:szCs w:val="21"/>
          <w:highlight w:val="none"/>
          <w:lang w:eastAsia="zh-CN"/>
        </w:rPr>
        <w:t>；</w:t>
      </w:r>
    </w:p>
    <w:p w14:paraId="7909C89D">
      <w:pPr>
        <w:spacing w:line="360" w:lineRule="exact"/>
        <w:ind w:firstLine="422" w:firstLineChars="200"/>
        <w:rPr>
          <w:color w:val="auto"/>
          <w:szCs w:val="21"/>
          <w:highlight w:val="none"/>
        </w:rPr>
      </w:pPr>
      <w:r>
        <w:rPr>
          <w:b/>
          <w:bCs/>
          <w:color w:val="auto"/>
          <w:szCs w:val="21"/>
          <w:highlight w:val="none"/>
        </w:rPr>
        <w:t>3</w:t>
      </w:r>
      <w:r>
        <w:rPr>
          <w:color w:val="auto"/>
          <w:szCs w:val="21"/>
          <w:highlight w:val="none"/>
        </w:rPr>
        <w:t xml:space="preserve">  防火、疏散、防护、抗震、抗风、防雷击等</w:t>
      </w:r>
      <w:r>
        <w:rPr>
          <w:rFonts w:hint="eastAsia"/>
          <w:color w:val="auto"/>
          <w:szCs w:val="21"/>
          <w:highlight w:val="none"/>
        </w:rPr>
        <w:t>应符合</w:t>
      </w:r>
      <w:r>
        <w:rPr>
          <w:color w:val="auto"/>
          <w:szCs w:val="21"/>
          <w:highlight w:val="none"/>
        </w:rPr>
        <w:t>防灾和安全性设计要求。</w:t>
      </w:r>
    </w:p>
    <w:p w14:paraId="12F19993">
      <w:pPr>
        <w:spacing w:line="360" w:lineRule="exact"/>
        <w:rPr>
          <w:color w:val="auto"/>
          <w:szCs w:val="21"/>
          <w:highlight w:val="none"/>
        </w:rPr>
      </w:pPr>
      <w:r>
        <w:rPr>
          <w:b/>
          <w:color w:val="auto"/>
          <w:szCs w:val="21"/>
          <w:highlight w:val="none"/>
        </w:rPr>
        <w:t>3.0.</w:t>
      </w:r>
      <w:r>
        <w:rPr>
          <w:rFonts w:hint="eastAsia"/>
          <w:b/>
          <w:color w:val="auto"/>
          <w:szCs w:val="21"/>
          <w:highlight w:val="none"/>
        </w:rPr>
        <w:t xml:space="preserve">9 </w:t>
      </w:r>
      <w:r>
        <w:rPr>
          <w:rFonts w:hint="eastAsia"/>
          <w:b/>
          <w:color w:val="auto"/>
          <w:szCs w:val="21"/>
          <w:highlight w:val="none"/>
          <w:lang w:val="en-US" w:eastAsia="zh-CN"/>
        </w:rPr>
        <w:t xml:space="preserve"> </w:t>
      </w:r>
      <w:r>
        <w:rPr>
          <w:rFonts w:hint="eastAsia"/>
          <w:color w:val="auto"/>
          <w:szCs w:val="21"/>
          <w:highlight w:val="none"/>
        </w:rPr>
        <w:t>生产混凝土模块单元的工厂应建立完善的生产质量管理体系，保障模块产品质量。</w:t>
      </w:r>
    </w:p>
    <w:p w14:paraId="46E4FC5B">
      <w:pPr>
        <w:spacing w:line="360" w:lineRule="exact"/>
        <w:rPr>
          <w:color w:val="auto"/>
          <w:szCs w:val="21"/>
          <w:highlight w:val="none"/>
        </w:rPr>
      </w:pPr>
      <w:r>
        <w:rPr>
          <w:b/>
          <w:color w:val="auto"/>
          <w:szCs w:val="21"/>
          <w:highlight w:val="none"/>
        </w:rPr>
        <w:t>3.0.</w:t>
      </w:r>
      <w:r>
        <w:rPr>
          <w:rFonts w:hint="eastAsia"/>
          <w:b/>
          <w:color w:val="auto"/>
          <w:szCs w:val="21"/>
          <w:highlight w:val="none"/>
        </w:rPr>
        <w:t xml:space="preserve">10 </w:t>
      </w:r>
      <w:r>
        <w:rPr>
          <w:rFonts w:hint="eastAsia"/>
          <w:b/>
          <w:color w:val="auto"/>
          <w:szCs w:val="21"/>
          <w:highlight w:val="none"/>
          <w:lang w:val="en-US" w:eastAsia="zh-CN"/>
        </w:rPr>
        <w:t xml:space="preserve"> </w:t>
      </w:r>
      <w:r>
        <w:rPr>
          <w:color w:val="auto"/>
          <w:szCs w:val="21"/>
          <w:highlight w:val="none"/>
        </w:rPr>
        <w:t>混凝土模块</w:t>
      </w:r>
      <w:r>
        <w:rPr>
          <w:rFonts w:hint="eastAsia"/>
          <w:color w:val="auto"/>
          <w:szCs w:val="21"/>
          <w:highlight w:val="none"/>
        </w:rPr>
        <w:t>化</w:t>
      </w:r>
      <w:r>
        <w:rPr>
          <w:color w:val="auto"/>
          <w:szCs w:val="21"/>
          <w:highlight w:val="none"/>
        </w:rPr>
        <w:t>建筑</w:t>
      </w:r>
      <w:r>
        <w:rPr>
          <w:rFonts w:hint="eastAsia"/>
          <w:color w:val="auto"/>
          <w:szCs w:val="21"/>
          <w:highlight w:val="none"/>
          <w:lang w:val="en-US" w:eastAsia="zh-CN"/>
        </w:rPr>
        <w:t>应</w:t>
      </w:r>
      <w:r>
        <w:rPr>
          <w:color w:val="auto"/>
          <w:szCs w:val="21"/>
          <w:highlight w:val="none"/>
        </w:rPr>
        <w:t>采用建筑信息模型（BIM）技术，实现设计、生产、施工</w:t>
      </w:r>
      <w:r>
        <w:rPr>
          <w:rFonts w:hint="eastAsia"/>
          <w:color w:val="auto"/>
          <w:szCs w:val="21"/>
          <w:highlight w:val="none"/>
          <w:lang w:val="en-US" w:eastAsia="zh-CN"/>
        </w:rPr>
        <w:t>安装</w:t>
      </w:r>
      <w:r>
        <w:rPr>
          <w:color w:val="auto"/>
          <w:szCs w:val="21"/>
          <w:highlight w:val="none"/>
        </w:rPr>
        <w:t>、质量验收</w:t>
      </w:r>
      <w:r>
        <w:rPr>
          <w:rFonts w:hint="eastAsia"/>
          <w:color w:val="auto"/>
          <w:szCs w:val="21"/>
          <w:highlight w:val="none"/>
        </w:rPr>
        <w:t>和运维</w:t>
      </w:r>
      <w:r>
        <w:rPr>
          <w:color w:val="auto"/>
          <w:szCs w:val="21"/>
          <w:highlight w:val="none"/>
        </w:rPr>
        <w:t>的信息交互和共享，实现建筑全过程一体化协同工作。</w:t>
      </w:r>
    </w:p>
    <w:p w14:paraId="559E2946">
      <w:pPr>
        <w:spacing w:line="360" w:lineRule="exact"/>
        <w:rPr>
          <w:color w:val="auto"/>
          <w:szCs w:val="21"/>
          <w:highlight w:val="none"/>
        </w:rPr>
      </w:pPr>
    </w:p>
    <w:p w14:paraId="414F9F3E">
      <w:pPr>
        <w:spacing w:line="360" w:lineRule="exact"/>
        <w:rPr>
          <w:color w:val="auto"/>
          <w:highlight w:val="none"/>
        </w:rPr>
      </w:pPr>
      <w:r>
        <w:rPr>
          <w:color w:val="auto"/>
          <w:highlight w:val="none"/>
        </w:rPr>
        <w:br w:type="page"/>
      </w:r>
    </w:p>
    <w:p w14:paraId="2F622D7B">
      <w:pPr>
        <w:pStyle w:val="2"/>
        <w:spacing w:before="166" w:beforeLines="50" w:after="166" w:afterLines="50" w:line="360" w:lineRule="auto"/>
        <w:jc w:val="center"/>
        <w:rPr>
          <w:rFonts w:eastAsia="黑体"/>
          <w:color w:val="auto"/>
          <w:sz w:val="28"/>
          <w:szCs w:val="28"/>
          <w:highlight w:val="none"/>
        </w:rPr>
      </w:pPr>
      <w:bookmarkStart w:id="110" w:name="_Toc4878"/>
      <w:bookmarkStart w:id="111" w:name="_Toc3151"/>
      <w:bookmarkStart w:id="112" w:name="_Toc9259"/>
      <w:bookmarkStart w:id="113" w:name="_Toc18241"/>
      <w:bookmarkStart w:id="114" w:name="_Toc4041"/>
      <w:bookmarkStart w:id="115" w:name="_Toc24859"/>
      <w:bookmarkStart w:id="116" w:name="_Toc17545"/>
      <w:bookmarkStart w:id="117" w:name="_Toc19864"/>
      <w:bookmarkStart w:id="118" w:name="_Toc15640"/>
      <w:r>
        <w:rPr>
          <w:rFonts w:eastAsia="黑体"/>
          <w:color w:val="auto"/>
          <w:sz w:val="28"/>
          <w:szCs w:val="28"/>
          <w:highlight w:val="none"/>
        </w:rPr>
        <w:t>4  材    料</w:t>
      </w:r>
      <w:bookmarkEnd w:id="110"/>
      <w:bookmarkEnd w:id="111"/>
      <w:bookmarkEnd w:id="112"/>
      <w:bookmarkEnd w:id="113"/>
      <w:bookmarkEnd w:id="114"/>
      <w:bookmarkEnd w:id="115"/>
      <w:bookmarkEnd w:id="116"/>
      <w:bookmarkEnd w:id="117"/>
      <w:bookmarkEnd w:id="118"/>
    </w:p>
    <w:p w14:paraId="54882A29">
      <w:pPr>
        <w:pStyle w:val="3"/>
        <w:spacing w:before="166" w:beforeLines="50" w:after="166" w:afterLines="50" w:line="360" w:lineRule="auto"/>
        <w:jc w:val="center"/>
        <w:rPr>
          <w:rFonts w:ascii="Times New Roman" w:hAnsi="Times New Roman" w:eastAsia="黑体" w:cs="Times New Roman"/>
          <w:color w:val="auto"/>
          <w:sz w:val="24"/>
          <w:szCs w:val="24"/>
          <w:highlight w:val="none"/>
        </w:rPr>
      </w:pPr>
      <w:bookmarkStart w:id="119" w:name="_Toc27160"/>
      <w:bookmarkStart w:id="120" w:name="_Toc20652"/>
      <w:bookmarkStart w:id="121" w:name="_Toc21199"/>
      <w:bookmarkStart w:id="122" w:name="_Toc10039"/>
      <w:bookmarkStart w:id="123" w:name="_Toc27390"/>
      <w:bookmarkStart w:id="124" w:name="_Toc25600"/>
      <w:bookmarkStart w:id="125" w:name="_Toc14382"/>
      <w:bookmarkStart w:id="126" w:name="_Toc12355"/>
      <w:bookmarkStart w:id="127" w:name="_Toc18750"/>
      <w:r>
        <w:rPr>
          <w:rFonts w:ascii="Times New Roman" w:hAnsi="Times New Roman" w:eastAsia="黑体" w:cs="Times New Roman"/>
          <w:b/>
          <w:color w:val="auto"/>
          <w:sz w:val="24"/>
          <w:szCs w:val="24"/>
          <w:highlight w:val="none"/>
        </w:rPr>
        <w:t xml:space="preserve">4.1 </w:t>
      </w:r>
      <w:r>
        <w:rPr>
          <w:rFonts w:ascii="Times New Roman" w:hAnsi="Times New Roman" w:eastAsia="黑体" w:cs="Times New Roman"/>
          <w:color w:val="auto"/>
          <w:sz w:val="24"/>
          <w:szCs w:val="24"/>
          <w:highlight w:val="none"/>
        </w:rPr>
        <w:t xml:space="preserve"> 结 构 材 料</w:t>
      </w:r>
      <w:bookmarkEnd w:id="119"/>
      <w:bookmarkEnd w:id="120"/>
      <w:bookmarkEnd w:id="121"/>
      <w:bookmarkEnd w:id="122"/>
      <w:bookmarkEnd w:id="123"/>
      <w:bookmarkEnd w:id="124"/>
      <w:bookmarkEnd w:id="125"/>
      <w:bookmarkEnd w:id="126"/>
      <w:bookmarkEnd w:id="127"/>
    </w:p>
    <w:p w14:paraId="43AAB705">
      <w:pPr>
        <w:spacing w:line="360" w:lineRule="exact"/>
        <w:rPr>
          <w:rFonts w:hint="default" w:eastAsia="宋体"/>
          <w:color w:val="auto"/>
          <w:szCs w:val="21"/>
          <w:highlight w:val="none"/>
          <w:lang w:val="en-US" w:eastAsia="zh-CN"/>
        </w:rPr>
      </w:pPr>
      <w:r>
        <w:rPr>
          <w:b/>
          <w:color w:val="auto"/>
          <w:szCs w:val="21"/>
          <w:highlight w:val="none"/>
        </w:rPr>
        <w:t xml:space="preserve">4.1.1 </w:t>
      </w:r>
      <w:r>
        <w:rPr>
          <w:color w:val="auto"/>
          <w:szCs w:val="21"/>
          <w:highlight w:val="none"/>
        </w:rPr>
        <w:t xml:space="preserve"> 模块化结构采用的混凝土、钢筋和钢筋机械连接接头应符合现行国家标准《混凝土结构通用规范》GB 55008</w:t>
      </w:r>
      <w:r>
        <w:rPr>
          <w:rFonts w:hint="eastAsia"/>
          <w:color w:val="auto"/>
          <w:szCs w:val="21"/>
          <w:highlight w:val="none"/>
        </w:rPr>
        <w:t>、《混凝土结构设计标准》GB/T 50010和现行行业标准《装配式混凝土结构技术规程》JGJ 1</w:t>
      </w:r>
      <w:r>
        <w:rPr>
          <w:color w:val="auto"/>
          <w:szCs w:val="21"/>
          <w:highlight w:val="none"/>
        </w:rPr>
        <w:t>的有关规定。</w:t>
      </w:r>
      <w:r>
        <w:rPr>
          <w:rFonts w:hint="eastAsia"/>
          <w:color w:val="auto"/>
          <w:szCs w:val="21"/>
          <w:highlight w:val="none"/>
          <w:lang w:val="en-US" w:eastAsia="zh-CN"/>
        </w:rPr>
        <w:t>对于本标准未做规定新材料，应进行论证并符合有关规范中关于性能的要求。</w:t>
      </w:r>
    </w:p>
    <w:p w14:paraId="5D09CFB7">
      <w:pPr>
        <w:spacing w:line="360" w:lineRule="exact"/>
        <w:rPr>
          <w:color w:val="auto"/>
          <w:szCs w:val="21"/>
          <w:highlight w:val="none"/>
        </w:rPr>
      </w:pPr>
      <w:r>
        <w:rPr>
          <w:b/>
          <w:color w:val="auto"/>
          <w:szCs w:val="21"/>
          <w:highlight w:val="none"/>
        </w:rPr>
        <w:t xml:space="preserve">4.1.2 </w:t>
      </w:r>
      <w:r>
        <w:rPr>
          <w:color w:val="auto"/>
          <w:szCs w:val="21"/>
          <w:highlight w:val="none"/>
        </w:rPr>
        <w:t xml:space="preserve"> 模块化结构中采用的钢材应符合现行国家标准《钢结构通用规范》GB 55006</w:t>
      </w:r>
      <w:r>
        <w:rPr>
          <w:rFonts w:hint="eastAsia"/>
          <w:color w:val="auto"/>
          <w:szCs w:val="21"/>
          <w:highlight w:val="none"/>
        </w:rPr>
        <w:t>和《钢结构设计标准》 GB 50017</w:t>
      </w:r>
      <w:r>
        <w:rPr>
          <w:color w:val="auto"/>
          <w:szCs w:val="21"/>
          <w:highlight w:val="none"/>
        </w:rPr>
        <w:t>的有关规定。</w:t>
      </w:r>
    </w:p>
    <w:p w14:paraId="67337B3A">
      <w:pPr>
        <w:spacing w:line="360" w:lineRule="exact"/>
        <w:rPr>
          <w:color w:val="auto"/>
          <w:szCs w:val="21"/>
          <w:highlight w:val="none"/>
        </w:rPr>
      </w:pPr>
      <w:r>
        <w:rPr>
          <w:b/>
          <w:color w:val="auto"/>
          <w:szCs w:val="21"/>
          <w:highlight w:val="none"/>
        </w:rPr>
        <w:t xml:space="preserve">4.1.3 </w:t>
      </w:r>
      <w:r>
        <w:rPr>
          <w:color w:val="auto"/>
          <w:szCs w:val="21"/>
          <w:highlight w:val="none"/>
        </w:rPr>
        <w:t xml:space="preserve"> 模块化结构中结构构件采用的混凝土的强度等级应符合</w:t>
      </w:r>
      <w:r>
        <w:rPr>
          <w:rFonts w:hint="eastAsia"/>
          <w:color w:val="auto"/>
          <w:szCs w:val="21"/>
          <w:highlight w:val="none"/>
        </w:rPr>
        <w:t>下列要求</w:t>
      </w:r>
      <w:r>
        <w:rPr>
          <w:rFonts w:hint="eastAsia"/>
          <w:color w:val="auto"/>
          <w:szCs w:val="21"/>
          <w:highlight w:val="none"/>
          <w:lang w:eastAsia="zh-CN"/>
        </w:rPr>
        <w:t>，</w:t>
      </w:r>
      <w:r>
        <w:rPr>
          <w:rFonts w:ascii="Times New Roman" w:hAnsi="Times New Roman"/>
          <w:color w:val="auto"/>
          <w:sz w:val="21"/>
          <w:szCs w:val="21"/>
          <w:highlight w:val="none"/>
        </w:rPr>
        <w:t>并应符合现行国家标准《混凝土结构设计标准》GB/T</w:t>
      </w:r>
      <w:r>
        <w:rPr>
          <w:rFonts w:hint="eastAsia"/>
          <w:color w:val="auto"/>
          <w:sz w:val="21"/>
          <w:szCs w:val="21"/>
          <w:highlight w:val="none"/>
          <w:lang w:eastAsia="zh-CN"/>
        </w:rPr>
        <w:t xml:space="preserve"> </w:t>
      </w:r>
      <w:r>
        <w:rPr>
          <w:rFonts w:ascii="Times New Roman" w:hAnsi="Times New Roman"/>
          <w:color w:val="auto"/>
          <w:sz w:val="21"/>
          <w:szCs w:val="21"/>
          <w:highlight w:val="none"/>
        </w:rPr>
        <w:t>50010的有关规定</w:t>
      </w:r>
      <w:r>
        <w:rPr>
          <w:rFonts w:hint="eastAsia"/>
          <w:color w:val="auto"/>
          <w:szCs w:val="21"/>
          <w:highlight w:val="none"/>
        </w:rPr>
        <w:t>：</w:t>
      </w:r>
    </w:p>
    <w:p w14:paraId="782E729A">
      <w:pPr>
        <w:spacing w:line="360" w:lineRule="exact"/>
        <w:ind w:firstLine="422" w:firstLineChars="200"/>
        <w:rPr>
          <w:rFonts w:hint="eastAsia" w:eastAsia="宋体"/>
          <w:color w:val="auto"/>
          <w:szCs w:val="21"/>
          <w:highlight w:val="none"/>
          <w:lang w:eastAsia="zh-CN"/>
        </w:rPr>
      </w:pPr>
      <w:bookmarkStart w:id="128" w:name="_Toc4995"/>
      <w:bookmarkStart w:id="129" w:name="_Toc10991"/>
      <w:r>
        <w:rPr>
          <w:b/>
          <w:bCs/>
          <w:color w:val="auto"/>
          <w:szCs w:val="21"/>
          <w:highlight w:val="none"/>
        </w:rPr>
        <w:t>1</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模块单元的混凝土强度等级不应低于C30</w:t>
      </w:r>
      <w:bookmarkEnd w:id="128"/>
      <w:bookmarkEnd w:id="129"/>
      <w:r>
        <w:rPr>
          <w:rFonts w:hint="eastAsia"/>
          <w:color w:val="auto"/>
          <w:szCs w:val="21"/>
          <w:highlight w:val="none"/>
          <w:lang w:eastAsia="zh-CN"/>
        </w:rPr>
        <w:t>；</w:t>
      </w:r>
    </w:p>
    <w:p w14:paraId="20EC8D41">
      <w:pPr>
        <w:spacing w:line="360" w:lineRule="exact"/>
        <w:ind w:firstLine="422" w:firstLineChars="200"/>
        <w:rPr>
          <w:rFonts w:hint="eastAsia" w:eastAsia="宋体"/>
          <w:color w:val="auto"/>
          <w:szCs w:val="21"/>
          <w:highlight w:val="none"/>
          <w:lang w:eastAsia="zh-CN"/>
        </w:rPr>
      </w:pPr>
      <w:bookmarkStart w:id="130" w:name="_Toc23075"/>
      <w:bookmarkStart w:id="131" w:name="_Toc11393"/>
      <w:r>
        <w:rPr>
          <w:b/>
          <w:bCs/>
          <w:color w:val="auto"/>
          <w:szCs w:val="21"/>
          <w:highlight w:val="none"/>
        </w:rPr>
        <w:t>2</w:t>
      </w:r>
      <w:r>
        <w:rPr>
          <w:rFonts w:hint="eastAsia"/>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模块单元间</w:t>
      </w:r>
      <w:r>
        <w:rPr>
          <w:rFonts w:hint="eastAsia"/>
          <w:color w:val="auto"/>
          <w:szCs w:val="21"/>
          <w:highlight w:val="none"/>
        </w:rPr>
        <w:t>竖向</w:t>
      </w:r>
      <w:r>
        <w:rPr>
          <w:color w:val="auto"/>
          <w:szCs w:val="21"/>
          <w:highlight w:val="none"/>
        </w:rPr>
        <w:t>现浇拼装接缝的混凝土设计强度等级不应低于模块单元的混凝土设计强度等级</w:t>
      </w:r>
      <w:r>
        <w:rPr>
          <w:rFonts w:hint="eastAsia"/>
          <w:color w:val="auto"/>
          <w:szCs w:val="21"/>
          <w:highlight w:val="none"/>
        </w:rPr>
        <w:t>，且不应低于C35</w:t>
      </w:r>
      <w:bookmarkEnd w:id="130"/>
      <w:bookmarkEnd w:id="131"/>
      <w:r>
        <w:rPr>
          <w:rFonts w:hint="eastAsia"/>
          <w:color w:val="auto"/>
          <w:szCs w:val="21"/>
          <w:highlight w:val="none"/>
          <w:lang w:eastAsia="zh-CN"/>
        </w:rPr>
        <w:t>；</w:t>
      </w:r>
    </w:p>
    <w:p w14:paraId="718D3627">
      <w:pPr>
        <w:spacing w:line="360" w:lineRule="exact"/>
        <w:ind w:firstLine="422" w:firstLineChars="200"/>
        <w:rPr>
          <w:rFonts w:hint="eastAsia"/>
          <w:color w:val="auto"/>
          <w:szCs w:val="21"/>
          <w:highlight w:val="none"/>
          <w:lang w:eastAsia="zh-CN"/>
        </w:rPr>
      </w:pPr>
      <w:bookmarkStart w:id="132" w:name="_Toc5383"/>
      <w:bookmarkStart w:id="133" w:name="_Toc24636"/>
      <w:r>
        <w:rPr>
          <w:b/>
          <w:bCs/>
          <w:color w:val="auto"/>
          <w:szCs w:val="21"/>
          <w:highlight w:val="none"/>
        </w:rPr>
        <w:t>3</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模块单元叠合板后浇层及底板后浇拼缝的混凝土设计强度等级不应低于模块单元混凝土设计强度等级</w:t>
      </w:r>
      <w:bookmarkEnd w:id="132"/>
      <w:bookmarkEnd w:id="133"/>
      <w:r>
        <w:rPr>
          <w:rFonts w:hint="eastAsia"/>
          <w:color w:val="auto"/>
          <w:szCs w:val="21"/>
          <w:highlight w:val="none"/>
          <w:lang w:eastAsia="zh-CN"/>
        </w:rPr>
        <w:t>；</w:t>
      </w:r>
    </w:p>
    <w:p w14:paraId="054651CD">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Times New Roman" w:hAnsi="Times New Roman" w:eastAsia="宋体"/>
          <w:color w:val="auto"/>
          <w:sz w:val="21"/>
          <w:szCs w:val="21"/>
          <w:highlight w:val="none"/>
          <w:lang w:val="en-US" w:eastAsia="zh-CN"/>
        </w:rPr>
      </w:pPr>
      <w:r>
        <w:rPr>
          <w:rFonts w:hint="eastAsia"/>
          <w:b/>
          <w:bCs/>
          <w:color w:val="auto"/>
          <w:szCs w:val="21"/>
          <w:highlight w:val="none"/>
          <w:lang w:val="en-US" w:eastAsia="zh-CN"/>
        </w:rPr>
        <w:t>4</w:t>
      </w:r>
      <w:r>
        <w:rPr>
          <w:rFonts w:hint="eastAsia"/>
          <w:color w:val="auto"/>
          <w:szCs w:val="21"/>
          <w:highlight w:val="none"/>
          <w:lang w:val="en-US" w:eastAsia="zh-CN"/>
        </w:rPr>
        <w:t xml:space="preserve">  模块单元中竖向空腔内后浇混凝土采用自密实混凝土时</w:t>
      </w:r>
      <w:r>
        <w:rPr>
          <w:rFonts w:ascii="Times New Roman" w:hAnsi="Times New Roman"/>
          <w:color w:val="auto"/>
          <w:sz w:val="21"/>
          <w:szCs w:val="21"/>
          <w:highlight w:val="none"/>
        </w:rPr>
        <w:t>混凝土性能应符合现行</w:t>
      </w:r>
      <w:r>
        <w:rPr>
          <w:rFonts w:hint="eastAsia" w:ascii="Times New Roman" w:hAnsi="Times New Roman"/>
          <w:color w:val="auto"/>
          <w:sz w:val="21"/>
          <w:szCs w:val="21"/>
          <w:highlight w:val="none"/>
          <w:lang w:val="en-US" w:eastAsia="zh-CN"/>
        </w:rPr>
        <w:t>行业</w:t>
      </w:r>
      <w:r>
        <w:rPr>
          <w:rFonts w:ascii="Times New Roman" w:hAnsi="Times New Roman"/>
          <w:color w:val="auto"/>
          <w:sz w:val="21"/>
          <w:szCs w:val="21"/>
          <w:highlight w:val="none"/>
        </w:rPr>
        <w:t>标准《自密实混凝土应用技术规程》</w:t>
      </w:r>
      <w:r>
        <w:rPr>
          <w:rFonts w:hint="eastAsia" w:ascii="Times New Roman" w:hAnsi="Times New Roman"/>
          <w:color w:val="auto"/>
          <w:sz w:val="21"/>
          <w:szCs w:val="21"/>
          <w:highlight w:val="none"/>
          <w:lang w:val="en-US" w:eastAsia="zh-CN"/>
        </w:rPr>
        <w:t>JGJ</w:t>
      </w:r>
      <w:r>
        <w:rPr>
          <w:rFonts w:ascii="Times New Roman" w:hAnsi="Times New Roman"/>
          <w:color w:val="auto"/>
          <w:sz w:val="21"/>
          <w:szCs w:val="21"/>
          <w:highlight w:val="none"/>
        </w:rPr>
        <w:t>/</w:t>
      </w:r>
      <w:r>
        <w:rPr>
          <w:rFonts w:hint="eastAsia" w:ascii="Times New Roman" w:hAnsi="Times New Roman"/>
          <w:color w:val="auto"/>
          <w:sz w:val="21"/>
          <w:szCs w:val="21"/>
          <w:highlight w:val="none"/>
          <w:lang w:val="en-US" w:eastAsia="zh-CN"/>
        </w:rPr>
        <w:t>T 283的有关</w:t>
      </w:r>
      <w:r>
        <w:rPr>
          <w:rFonts w:ascii="Times New Roman" w:hAnsi="Times New Roman"/>
          <w:color w:val="auto"/>
          <w:sz w:val="21"/>
          <w:szCs w:val="21"/>
          <w:highlight w:val="none"/>
        </w:rPr>
        <w:t>规定；当采用普通混凝土时，混凝土骨料粒径不应大于20mm，</w:t>
      </w:r>
      <w:r>
        <w:rPr>
          <w:rFonts w:hint="eastAsia" w:ascii="Times New Roman" w:hAnsi="Times New Roman"/>
          <w:color w:val="auto"/>
          <w:sz w:val="21"/>
          <w:szCs w:val="21"/>
          <w:highlight w:val="none"/>
          <w:lang w:val="en-US" w:eastAsia="zh-CN"/>
        </w:rPr>
        <w:t>流动度和</w:t>
      </w:r>
      <w:r>
        <w:rPr>
          <w:rFonts w:ascii="Times New Roman" w:hAnsi="Times New Roman"/>
          <w:color w:val="auto"/>
          <w:sz w:val="21"/>
          <w:szCs w:val="21"/>
          <w:highlight w:val="none"/>
        </w:rPr>
        <w:t>坍落度不应小于</w:t>
      </w:r>
      <w:r>
        <w:rPr>
          <w:rFonts w:hint="eastAsia" w:ascii="Times New Roman" w:hAnsi="Times New Roman"/>
          <w:color w:val="auto"/>
          <w:sz w:val="21"/>
          <w:szCs w:val="21"/>
          <w:highlight w:val="none"/>
          <w:lang w:val="en-US" w:eastAsia="zh-CN"/>
        </w:rPr>
        <w:t>18</w:t>
      </w:r>
      <w:r>
        <w:rPr>
          <w:rFonts w:ascii="Times New Roman" w:hAnsi="Times New Roman"/>
          <w:color w:val="auto"/>
          <w:sz w:val="21"/>
          <w:szCs w:val="21"/>
          <w:highlight w:val="none"/>
        </w:rPr>
        <w:t>0mm</w:t>
      </w:r>
      <w:r>
        <w:rPr>
          <w:rFonts w:hint="eastAsia"/>
          <w:color w:val="auto"/>
          <w:sz w:val="21"/>
          <w:szCs w:val="21"/>
          <w:highlight w:val="none"/>
          <w:lang w:eastAsia="zh-CN"/>
        </w:rPr>
        <w:t>。</w:t>
      </w:r>
    </w:p>
    <w:p w14:paraId="78031907">
      <w:pPr>
        <w:spacing w:line="360" w:lineRule="exact"/>
        <w:ind w:firstLine="422" w:firstLineChars="200"/>
        <w:rPr>
          <w:color w:val="auto"/>
          <w:szCs w:val="21"/>
          <w:highlight w:val="none"/>
        </w:rPr>
      </w:pPr>
      <w:bookmarkStart w:id="134" w:name="_Toc29621"/>
      <w:bookmarkStart w:id="135" w:name="_Toc12336"/>
      <w:r>
        <w:rPr>
          <w:rFonts w:hint="eastAsia"/>
          <w:b/>
          <w:bCs/>
          <w:color w:val="auto"/>
          <w:szCs w:val="21"/>
          <w:highlight w:val="none"/>
          <w:lang w:val="en-US" w:eastAsia="zh-CN"/>
        </w:rPr>
        <w:t>5</w:t>
      </w:r>
      <w:r>
        <w:rPr>
          <w:rFonts w:hint="eastAsia"/>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混凝土强度的检验评定应符合现行国家标准《混凝土强度检验评定标准》GB/T 50107的有关规定。</w:t>
      </w:r>
      <w:bookmarkEnd w:id="134"/>
      <w:bookmarkEnd w:id="135"/>
    </w:p>
    <w:p w14:paraId="61DBADE2">
      <w:pPr>
        <w:spacing w:line="360" w:lineRule="exact"/>
        <w:rPr>
          <w:color w:val="auto"/>
          <w:szCs w:val="21"/>
          <w:highlight w:val="none"/>
        </w:rPr>
      </w:pPr>
      <w:r>
        <w:rPr>
          <w:b/>
          <w:color w:val="auto"/>
          <w:szCs w:val="21"/>
          <w:highlight w:val="none"/>
        </w:rPr>
        <w:t>4.1.</w:t>
      </w:r>
      <w:r>
        <w:rPr>
          <w:rFonts w:hint="eastAsia"/>
          <w:b/>
          <w:color w:val="auto"/>
          <w:szCs w:val="21"/>
          <w:highlight w:val="none"/>
        </w:rPr>
        <w:t>4</w:t>
      </w:r>
      <w:r>
        <w:rPr>
          <w:b/>
          <w:color w:val="auto"/>
          <w:szCs w:val="21"/>
          <w:highlight w:val="none"/>
        </w:rPr>
        <w:t xml:space="preserve"> </w:t>
      </w:r>
      <w:r>
        <w:rPr>
          <w:color w:val="auto"/>
          <w:szCs w:val="21"/>
          <w:highlight w:val="none"/>
        </w:rPr>
        <w:t xml:space="preserve"> 模块化结构中连接用焊接材料，螺栓、锚栓和栓钉等紧固件的材料应符合国家现行标准《钢结构设计规范》GB50017、《钢结构焊接规范》GB50661和</w:t>
      </w:r>
      <w:r>
        <w:rPr>
          <w:rFonts w:hint="eastAsia"/>
          <w:color w:val="auto"/>
          <w:szCs w:val="21"/>
          <w:highlight w:val="none"/>
        </w:rPr>
        <w:t>现行行业标准</w:t>
      </w:r>
      <w:r>
        <w:rPr>
          <w:color w:val="auto"/>
          <w:szCs w:val="21"/>
          <w:highlight w:val="none"/>
        </w:rPr>
        <w:t>《钢筋焊接及验收规程》JGJ18等的</w:t>
      </w:r>
      <w:r>
        <w:rPr>
          <w:rFonts w:hint="eastAsia"/>
          <w:color w:val="auto"/>
          <w:szCs w:val="21"/>
          <w:highlight w:val="none"/>
          <w:lang w:val="en-US" w:eastAsia="zh-CN"/>
        </w:rPr>
        <w:t>有关</w:t>
      </w:r>
      <w:r>
        <w:rPr>
          <w:color w:val="auto"/>
          <w:szCs w:val="21"/>
          <w:highlight w:val="none"/>
        </w:rPr>
        <w:t>规定。</w:t>
      </w:r>
    </w:p>
    <w:p w14:paraId="2F3A5371">
      <w:pPr>
        <w:spacing w:line="360" w:lineRule="exact"/>
        <w:rPr>
          <w:color w:val="auto"/>
          <w:szCs w:val="21"/>
          <w:highlight w:val="none"/>
        </w:rPr>
      </w:pPr>
      <w:r>
        <w:rPr>
          <w:b/>
          <w:color w:val="auto"/>
          <w:szCs w:val="21"/>
          <w:highlight w:val="none"/>
        </w:rPr>
        <w:t>4.1.</w:t>
      </w:r>
      <w:r>
        <w:rPr>
          <w:rFonts w:hint="eastAsia"/>
          <w:b/>
          <w:color w:val="auto"/>
          <w:szCs w:val="21"/>
          <w:highlight w:val="none"/>
        </w:rPr>
        <w:t>5</w:t>
      </w:r>
      <w:r>
        <w:rPr>
          <w:b/>
          <w:color w:val="auto"/>
          <w:szCs w:val="21"/>
          <w:highlight w:val="none"/>
        </w:rPr>
        <w:t xml:space="preserve"> </w:t>
      </w:r>
      <w:r>
        <w:rPr>
          <w:rFonts w:hint="eastAsia"/>
          <w:b/>
          <w:color w:val="auto"/>
          <w:szCs w:val="21"/>
          <w:highlight w:val="none"/>
          <w:lang w:val="en-US" w:eastAsia="zh-CN"/>
        </w:rPr>
        <w:t xml:space="preserve"> </w:t>
      </w:r>
      <w:r>
        <w:rPr>
          <w:color w:val="auto"/>
          <w:szCs w:val="21"/>
          <w:highlight w:val="none"/>
        </w:rPr>
        <w:t>模块化结构中受力预埋件的锚板及锚筋材料应符合现行国家标准《</w:t>
      </w:r>
      <w:r>
        <w:rPr>
          <w:rFonts w:hint="eastAsia"/>
          <w:color w:val="auto"/>
          <w:szCs w:val="21"/>
          <w:highlight w:val="none"/>
          <w:lang w:eastAsia="zh-CN"/>
        </w:rPr>
        <w:t>混凝土结构设计标准</w:t>
      </w:r>
      <w:r>
        <w:rPr>
          <w:color w:val="auto"/>
          <w:szCs w:val="21"/>
          <w:highlight w:val="none"/>
        </w:rPr>
        <w:t>》GB</w:t>
      </w:r>
      <w:r>
        <w:rPr>
          <w:rFonts w:hint="eastAsia"/>
          <w:color w:val="auto"/>
          <w:szCs w:val="21"/>
          <w:highlight w:val="none"/>
          <w:lang w:val="en-US" w:eastAsia="zh-CN"/>
        </w:rPr>
        <w:t xml:space="preserve">/T </w:t>
      </w:r>
      <w:r>
        <w:rPr>
          <w:color w:val="auto"/>
          <w:szCs w:val="21"/>
          <w:highlight w:val="none"/>
        </w:rPr>
        <w:t>50010的有关规定。专用预埋件及连接件材料应符合国家</w:t>
      </w:r>
      <w:r>
        <w:rPr>
          <w:rFonts w:hint="eastAsia"/>
          <w:color w:val="auto"/>
          <w:szCs w:val="21"/>
          <w:highlight w:val="none"/>
        </w:rPr>
        <w:t>和行业</w:t>
      </w:r>
      <w:r>
        <w:rPr>
          <w:color w:val="auto"/>
          <w:szCs w:val="21"/>
          <w:highlight w:val="none"/>
        </w:rPr>
        <w:t xml:space="preserve">现行有关标准的规定。 </w:t>
      </w:r>
    </w:p>
    <w:p w14:paraId="332E02B6">
      <w:pPr>
        <w:spacing w:line="360" w:lineRule="exact"/>
        <w:rPr>
          <w:color w:val="auto"/>
          <w:szCs w:val="21"/>
          <w:highlight w:val="none"/>
        </w:rPr>
      </w:pPr>
      <w:r>
        <w:rPr>
          <w:b/>
          <w:color w:val="auto"/>
          <w:szCs w:val="21"/>
          <w:highlight w:val="none"/>
        </w:rPr>
        <w:t>4.1.</w:t>
      </w:r>
      <w:r>
        <w:rPr>
          <w:rFonts w:hint="eastAsia"/>
          <w:b/>
          <w:color w:val="auto"/>
          <w:szCs w:val="21"/>
          <w:highlight w:val="none"/>
        </w:rPr>
        <w:t>6</w:t>
      </w:r>
      <w:r>
        <w:rPr>
          <w:b/>
          <w:color w:val="auto"/>
          <w:szCs w:val="21"/>
          <w:highlight w:val="none"/>
        </w:rPr>
        <w:t xml:space="preserve"> </w:t>
      </w:r>
      <w:r>
        <w:rPr>
          <w:rFonts w:hint="eastAsia"/>
          <w:b/>
          <w:color w:val="auto"/>
          <w:szCs w:val="21"/>
          <w:highlight w:val="none"/>
          <w:lang w:val="en-US" w:eastAsia="zh-CN"/>
        </w:rPr>
        <w:t xml:space="preserve"> </w:t>
      </w:r>
      <w:r>
        <w:rPr>
          <w:color w:val="auto"/>
          <w:szCs w:val="21"/>
          <w:highlight w:val="none"/>
        </w:rPr>
        <w:t>模块化结构中钢筋锚固板的材料应符合现行行业标准《钢筋锚固板应用技术规程》JGJ256的</w:t>
      </w:r>
      <w:r>
        <w:rPr>
          <w:rFonts w:hint="eastAsia"/>
          <w:color w:val="auto"/>
          <w:szCs w:val="21"/>
          <w:highlight w:val="none"/>
          <w:lang w:val="en-US" w:eastAsia="zh-CN"/>
        </w:rPr>
        <w:t>有关</w:t>
      </w:r>
      <w:r>
        <w:rPr>
          <w:color w:val="auto"/>
          <w:szCs w:val="21"/>
          <w:highlight w:val="none"/>
        </w:rPr>
        <w:t xml:space="preserve">规定。 </w:t>
      </w:r>
    </w:p>
    <w:p w14:paraId="3666CBD7">
      <w:pPr>
        <w:spacing w:line="360" w:lineRule="exact"/>
        <w:rPr>
          <w:color w:val="auto"/>
          <w:szCs w:val="21"/>
          <w:highlight w:val="none"/>
        </w:rPr>
      </w:pPr>
      <w:r>
        <w:rPr>
          <w:b/>
          <w:color w:val="auto"/>
          <w:szCs w:val="21"/>
          <w:highlight w:val="none"/>
        </w:rPr>
        <w:t>4.1.</w:t>
      </w:r>
      <w:r>
        <w:rPr>
          <w:rFonts w:hint="eastAsia"/>
          <w:b/>
          <w:color w:val="auto"/>
          <w:szCs w:val="21"/>
          <w:highlight w:val="none"/>
          <w:lang w:val="en-US" w:eastAsia="zh-CN"/>
        </w:rPr>
        <w:t>7</w:t>
      </w:r>
      <w:r>
        <w:rPr>
          <w:rFonts w:hint="eastAsia"/>
          <w:b/>
          <w:color w:val="auto"/>
          <w:szCs w:val="21"/>
          <w:highlight w:val="none"/>
        </w:rPr>
        <w:t xml:space="preserve"> </w:t>
      </w:r>
      <w:r>
        <w:rPr>
          <w:rFonts w:hint="eastAsia"/>
          <w:color w:val="auto"/>
          <w:szCs w:val="21"/>
          <w:highlight w:val="none"/>
        </w:rPr>
        <w:t xml:space="preserve"> </w:t>
      </w:r>
      <w:r>
        <w:rPr>
          <w:color w:val="auto"/>
          <w:szCs w:val="21"/>
          <w:highlight w:val="none"/>
        </w:rPr>
        <w:t>模块化结构中采用的钢筋应满足设计要求，并应符合下列规定：</w:t>
      </w:r>
    </w:p>
    <w:p w14:paraId="6AADBAB8">
      <w:pPr>
        <w:spacing w:line="360" w:lineRule="exact"/>
        <w:ind w:firstLine="422" w:firstLineChars="200"/>
        <w:rPr>
          <w:rFonts w:hint="eastAsia" w:eastAsia="宋体"/>
          <w:color w:val="auto"/>
          <w:szCs w:val="21"/>
          <w:highlight w:val="none"/>
          <w:lang w:eastAsia="zh-CN"/>
        </w:rPr>
      </w:pPr>
      <w:bookmarkStart w:id="136" w:name="_Toc19254"/>
      <w:bookmarkStart w:id="137" w:name="_Toc10382"/>
      <w:bookmarkStart w:id="138" w:name="_Toc27886"/>
      <w:r>
        <w:rPr>
          <w:b/>
          <w:bCs/>
          <w:color w:val="auto"/>
          <w:szCs w:val="21"/>
          <w:highlight w:val="none"/>
        </w:rPr>
        <w:t>1</w:t>
      </w:r>
      <w:r>
        <w:rPr>
          <w:color w:val="auto"/>
          <w:szCs w:val="21"/>
          <w:highlight w:val="none"/>
        </w:rPr>
        <w:t xml:space="preserve">  纵向受力钢筋宜采用</w:t>
      </w:r>
      <w:r>
        <w:rPr>
          <w:rFonts w:hint="eastAsia"/>
          <w:color w:val="auto"/>
          <w:szCs w:val="21"/>
          <w:highlight w:val="none"/>
        </w:rPr>
        <w:t>400MPa</w:t>
      </w:r>
      <w:r>
        <w:rPr>
          <w:color w:val="auto"/>
          <w:szCs w:val="21"/>
          <w:highlight w:val="none"/>
        </w:rPr>
        <w:t>及以上等级钢筋</w:t>
      </w:r>
      <w:bookmarkEnd w:id="136"/>
      <w:bookmarkEnd w:id="137"/>
      <w:bookmarkEnd w:id="138"/>
      <w:r>
        <w:rPr>
          <w:rFonts w:hint="eastAsia"/>
          <w:color w:val="auto"/>
          <w:szCs w:val="21"/>
          <w:highlight w:val="none"/>
          <w:lang w:eastAsia="zh-CN"/>
        </w:rPr>
        <w:t>；</w:t>
      </w:r>
    </w:p>
    <w:p w14:paraId="74CC40C2">
      <w:pPr>
        <w:spacing w:line="360" w:lineRule="exact"/>
        <w:ind w:firstLine="422" w:firstLineChars="200"/>
        <w:rPr>
          <w:rFonts w:hint="eastAsia" w:eastAsia="宋体"/>
          <w:color w:val="auto"/>
          <w:szCs w:val="21"/>
          <w:highlight w:val="none"/>
          <w:lang w:eastAsia="zh-CN"/>
        </w:rPr>
      </w:pPr>
      <w:r>
        <w:rPr>
          <w:b/>
          <w:bCs/>
          <w:color w:val="auto"/>
          <w:szCs w:val="21"/>
          <w:highlight w:val="none"/>
        </w:rPr>
        <w:t>2</w:t>
      </w:r>
      <w:r>
        <w:rPr>
          <w:color w:val="auto"/>
          <w:szCs w:val="21"/>
          <w:highlight w:val="none"/>
        </w:rPr>
        <w:t xml:space="preserve">  箍筋宜采用HPB300、HRB400、HRBF400、HRB400E、HRBF400E、HRB500、HRBF500、HRB500E、HRBF500E级钢筋</w:t>
      </w:r>
      <w:r>
        <w:rPr>
          <w:rFonts w:hint="eastAsia"/>
          <w:color w:val="auto"/>
          <w:szCs w:val="21"/>
          <w:highlight w:val="none"/>
          <w:lang w:eastAsia="zh-CN"/>
        </w:rPr>
        <w:t>；</w:t>
      </w:r>
    </w:p>
    <w:p w14:paraId="0611C14D">
      <w:pPr>
        <w:spacing w:line="360" w:lineRule="exact"/>
        <w:ind w:firstLine="422" w:firstLineChars="200"/>
        <w:rPr>
          <w:rFonts w:hint="eastAsia" w:eastAsia="宋体"/>
          <w:color w:val="auto"/>
          <w:szCs w:val="21"/>
          <w:highlight w:val="none"/>
          <w:lang w:eastAsia="zh-CN"/>
        </w:rPr>
      </w:pPr>
      <w:r>
        <w:rPr>
          <w:b/>
          <w:bCs/>
          <w:color w:val="auto"/>
          <w:szCs w:val="21"/>
          <w:highlight w:val="none"/>
        </w:rPr>
        <w:t>3</w:t>
      </w:r>
      <w:r>
        <w:rPr>
          <w:color w:val="auto"/>
          <w:szCs w:val="21"/>
          <w:highlight w:val="none"/>
        </w:rPr>
        <w:t xml:space="preserve">  普通热轧带肋钢筋应符合现行国家标准《钢筋混凝土用钢 第2部分：热轧带肋钢筋》GB/T 149</w:t>
      </w:r>
      <w:r>
        <w:rPr>
          <w:rFonts w:hint="eastAsia"/>
          <w:color w:val="auto"/>
          <w:szCs w:val="21"/>
          <w:highlight w:val="none"/>
        </w:rPr>
        <w:t>7.</w:t>
      </w:r>
      <w:r>
        <w:rPr>
          <w:color w:val="auto"/>
          <w:szCs w:val="21"/>
          <w:highlight w:val="none"/>
        </w:rPr>
        <w:t>2的有关规定</w:t>
      </w:r>
      <w:r>
        <w:rPr>
          <w:rFonts w:hint="eastAsia"/>
          <w:color w:val="auto"/>
          <w:szCs w:val="21"/>
          <w:highlight w:val="none"/>
          <w:lang w:eastAsia="zh-CN"/>
        </w:rPr>
        <w:t>；</w:t>
      </w:r>
    </w:p>
    <w:p w14:paraId="0D1F992E">
      <w:pPr>
        <w:spacing w:line="360" w:lineRule="exact"/>
        <w:ind w:firstLine="422" w:firstLineChars="200"/>
        <w:rPr>
          <w:color w:val="auto"/>
          <w:szCs w:val="21"/>
          <w:highlight w:val="none"/>
        </w:rPr>
      </w:pPr>
      <w:r>
        <w:rPr>
          <w:b/>
          <w:bCs/>
          <w:color w:val="auto"/>
          <w:szCs w:val="21"/>
          <w:highlight w:val="none"/>
        </w:rPr>
        <w:t>4</w:t>
      </w:r>
      <w:r>
        <w:rPr>
          <w:color w:val="auto"/>
          <w:szCs w:val="21"/>
          <w:highlight w:val="none"/>
        </w:rPr>
        <w:t xml:space="preserve">  热轧光圆钢筋应符合现行国家标准《钢筋混凝土用钢 第1部分热轧光圆钢筋》GB/T 149</w:t>
      </w:r>
      <w:r>
        <w:rPr>
          <w:rFonts w:hint="eastAsia"/>
          <w:color w:val="auto"/>
          <w:szCs w:val="21"/>
          <w:highlight w:val="none"/>
        </w:rPr>
        <w:t>7.</w:t>
      </w:r>
      <w:r>
        <w:rPr>
          <w:color w:val="auto"/>
          <w:szCs w:val="21"/>
          <w:highlight w:val="none"/>
        </w:rPr>
        <w:t>1的有关规定。</w:t>
      </w:r>
    </w:p>
    <w:p w14:paraId="63FDB58F">
      <w:pPr>
        <w:spacing w:line="360" w:lineRule="exact"/>
        <w:rPr>
          <w:color w:val="auto"/>
          <w:szCs w:val="21"/>
          <w:highlight w:val="none"/>
        </w:rPr>
      </w:pPr>
      <w:r>
        <w:rPr>
          <w:b/>
          <w:color w:val="auto"/>
          <w:szCs w:val="21"/>
          <w:highlight w:val="none"/>
        </w:rPr>
        <w:t>4.1.</w:t>
      </w:r>
      <w:r>
        <w:rPr>
          <w:rFonts w:hint="eastAsia"/>
          <w:b/>
          <w:color w:val="auto"/>
          <w:szCs w:val="21"/>
          <w:highlight w:val="none"/>
          <w:lang w:val="en-US" w:eastAsia="zh-CN"/>
        </w:rPr>
        <w:t>8</w:t>
      </w:r>
      <w:r>
        <w:rPr>
          <w:b/>
          <w:color w:val="auto"/>
          <w:szCs w:val="21"/>
          <w:highlight w:val="none"/>
        </w:rPr>
        <w:t xml:space="preserve"> </w:t>
      </w:r>
      <w:r>
        <w:rPr>
          <w:rFonts w:hint="eastAsia"/>
          <w:b/>
          <w:color w:val="auto"/>
          <w:szCs w:val="21"/>
          <w:highlight w:val="none"/>
          <w:lang w:val="en-US" w:eastAsia="zh-CN"/>
        </w:rPr>
        <w:t xml:space="preserve"> </w:t>
      </w:r>
      <w:r>
        <w:rPr>
          <w:color w:val="auto"/>
          <w:szCs w:val="21"/>
          <w:highlight w:val="none"/>
        </w:rPr>
        <w:t>当采用钢筋焊接网片时，钢筋焊接网片应符合现行国家标准《钢筋混凝土用钢 第3部分：钢筋焊接网》GB/T 149</w:t>
      </w:r>
      <w:r>
        <w:rPr>
          <w:rFonts w:hint="eastAsia"/>
          <w:color w:val="auto"/>
          <w:szCs w:val="21"/>
          <w:highlight w:val="none"/>
        </w:rPr>
        <w:t>7.</w:t>
      </w:r>
      <w:r>
        <w:rPr>
          <w:color w:val="auto"/>
          <w:szCs w:val="21"/>
          <w:highlight w:val="none"/>
        </w:rPr>
        <w:t>3的有关规定。</w:t>
      </w:r>
    </w:p>
    <w:p w14:paraId="44A977A7">
      <w:pPr>
        <w:spacing w:line="360" w:lineRule="exact"/>
        <w:rPr>
          <w:rFonts w:hint="default" w:eastAsia="宋体"/>
          <w:strike/>
          <w:color w:val="auto"/>
          <w:szCs w:val="21"/>
          <w:highlight w:val="none"/>
          <w:lang w:val="en-US" w:eastAsia="zh-CN"/>
        </w:rPr>
      </w:pPr>
      <w:r>
        <w:rPr>
          <w:rFonts w:hint="eastAsia"/>
          <w:b/>
          <w:color w:val="auto"/>
          <w:szCs w:val="21"/>
          <w:highlight w:val="none"/>
          <w:lang w:val="en-US" w:eastAsia="zh-CN"/>
        </w:rPr>
        <w:t xml:space="preserve">4.1.9  </w:t>
      </w:r>
      <w:r>
        <w:rPr>
          <w:rFonts w:hint="eastAsia"/>
          <w:color w:val="auto"/>
          <w:szCs w:val="21"/>
          <w:highlight w:val="none"/>
          <w:lang w:val="en-US" w:eastAsia="zh-CN"/>
        </w:rPr>
        <w:t>模块化结构中钢筋金属波纹管浆锚搭接连接采用的金属波纹管应符合现行行业标准《预应力混凝土用金属波纹管》JG/T 225的有关规定。金属波纹管宜采用软钢带制作，性能应符合现行国家标准《碳素结构钢冷轧钢板及钢带》GB/T 11253的规定；当采用镀锌钢带时，其双面镀锌层重量不宜小于60g/m²，性能应符合现行国家标准《连续热镀锌和锌合金镀层钢板及钢带》GB/T 2518的规定。</w:t>
      </w:r>
    </w:p>
    <w:p w14:paraId="50373B48">
      <w:pPr>
        <w:spacing w:line="360" w:lineRule="exact"/>
        <w:rPr>
          <w:strike w:val="0"/>
          <w:color w:val="auto"/>
          <w:szCs w:val="21"/>
          <w:highlight w:val="none"/>
        </w:rPr>
      </w:pPr>
      <w:r>
        <w:rPr>
          <w:b/>
          <w:strike w:val="0"/>
          <w:color w:val="auto"/>
          <w:szCs w:val="21"/>
          <w:highlight w:val="none"/>
        </w:rPr>
        <w:t>4.1.</w:t>
      </w:r>
      <w:r>
        <w:rPr>
          <w:rFonts w:hint="eastAsia"/>
          <w:b/>
          <w:strike w:val="0"/>
          <w:color w:val="auto"/>
          <w:szCs w:val="21"/>
          <w:highlight w:val="none"/>
        </w:rPr>
        <w:t>10</w:t>
      </w:r>
      <w:r>
        <w:rPr>
          <w:b/>
          <w:strike w:val="0"/>
          <w:color w:val="auto"/>
          <w:szCs w:val="21"/>
          <w:highlight w:val="none"/>
        </w:rPr>
        <w:t xml:space="preserve"> </w:t>
      </w:r>
      <w:r>
        <w:rPr>
          <w:strike w:val="0"/>
          <w:color w:val="auto"/>
          <w:szCs w:val="21"/>
          <w:highlight w:val="none"/>
        </w:rPr>
        <w:t xml:space="preserve"> 模块化结构中水平接缝用灌浆料、插筋预留孔连接用灌浆料应采用成品干混料，其性能要求应符合表4.1.</w:t>
      </w:r>
      <w:r>
        <w:rPr>
          <w:rFonts w:hint="eastAsia"/>
          <w:strike w:val="0"/>
          <w:color w:val="auto"/>
          <w:szCs w:val="21"/>
          <w:highlight w:val="none"/>
          <w:lang w:val="en-US" w:eastAsia="zh-CN"/>
        </w:rPr>
        <w:t>10</w:t>
      </w:r>
      <w:r>
        <w:rPr>
          <w:strike w:val="0"/>
          <w:color w:val="auto"/>
          <w:szCs w:val="21"/>
          <w:highlight w:val="none"/>
        </w:rPr>
        <w:t>的规定。</w:t>
      </w:r>
    </w:p>
    <w:p w14:paraId="5D116548">
      <w:pPr>
        <w:jc w:val="center"/>
        <w:rPr>
          <w:rFonts w:eastAsia="黑体"/>
          <w:strike w:val="0"/>
          <w:color w:val="auto"/>
          <w:sz w:val="18"/>
          <w:szCs w:val="18"/>
          <w:highlight w:val="none"/>
        </w:rPr>
      </w:pPr>
      <w:r>
        <w:rPr>
          <w:rFonts w:eastAsia="黑体"/>
          <w:strike w:val="0"/>
          <w:color w:val="auto"/>
          <w:sz w:val="18"/>
          <w:szCs w:val="18"/>
          <w:highlight w:val="none"/>
        </w:rPr>
        <w:t>表</w:t>
      </w:r>
      <w:r>
        <w:rPr>
          <w:rFonts w:eastAsia="黑体"/>
          <w:b/>
          <w:strike w:val="0"/>
          <w:color w:val="auto"/>
          <w:sz w:val="18"/>
          <w:szCs w:val="18"/>
          <w:highlight w:val="none"/>
        </w:rPr>
        <w:t>4.1.1</w:t>
      </w:r>
      <w:r>
        <w:rPr>
          <w:rFonts w:hint="eastAsia" w:eastAsia="黑体"/>
          <w:b/>
          <w:strike w:val="0"/>
          <w:color w:val="auto"/>
          <w:sz w:val="18"/>
          <w:szCs w:val="18"/>
          <w:highlight w:val="none"/>
        </w:rPr>
        <w:t>0</w:t>
      </w:r>
      <w:r>
        <w:rPr>
          <w:rFonts w:eastAsia="黑体"/>
          <w:b/>
          <w:strike w:val="0"/>
          <w:color w:val="auto"/>
          <w:sz w:val="18"/>
          <w:szCs w:val="18"/>
          <w:highlight w:val="none"/>
        </w:rPr>
        <w:t xml:space="preserve"> </w:t>
      </w:r>
      <w:r>
        <w:rPr>
          <w:rFonts w:eastAsia="黑体"/>
          <w:strike w:val="0"/>
          <w:color w:val="auto"/>
          <w:sz w:val="18"/>
          <w:szCs w:val="18"/>
          <w:highlight w:val="none"/>
        </w:rPr>
        <w:t>水平接缝用灌浆料、插筋预留孔灌浆料性能要求</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99"/>
        <w:gridCol w:w="1161"/>
        <w:gridCol w:w="2641"/>
      </w:tblGrid>
      <w:tr w14:paraId="4ED96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8" w:type="dxa"/>
            <w:gridSpan w:val="2"/>
            <w:vAlign w:val="center"/>
          </w:tcPr>
          <w:p w14:paraId="092310D1">
            <w:pPr>
              <w:jc w:val="center"/>
              <w:rPr>
                <w:rFonts w:hint="eastAsia" w:ascii="宋体" w:hAnsi="宋体" w:eastAsia="宋体" w:cs="宋体"/>
                <w:color w:val="auto"/>
                <w:sz w:val="16"/>
                <w:szCs w:val="16"/>
                <w:highlight w:val="none"/>
                <w:vertAlign w:val="baseline"/>
                <w:lang w:val="en-US" w:eastAsia="zh-CN"/>
              </w:rPr>
            </w:pPr>
            <w:bookmarkStart w:id="139" w:name="OLE_LINK28"/>
            <w:r>
              <w:rPr>
                <w:rFonts w:hint="eastAsia" w:ascii="宋体" w:hAnsi="宋体" w:eastAsia="宋体" w:cs="宋体"/>
                <w:color w:val="auto"/>
                <w:sz w:val="16"/>
                <w:szCs w:val="16"/>
                <w:highlight w:val="none"/>
                <w:vertAlign w:val="baseline"/>
                <w:lang w:val="en-US" w:eastAsia="zh-CN"/>
              </w:rPr>
              <w:t>项目</w:t>
            </w:r>
          </w:p>
        </w:tc>
        <w:tc>
          <w:tcPr>
            <w:tcW w:w="969" w:type="dxa"/>
            <w:vAlign w:val="center"/>
          </w:tcPr>
          <w:p w14:paraId="57E02BA1">
            <w:pPr>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性能指标</w:t>
            </w:r>
          </w:p>
        </w:tc>
        <w:tc>
          <w:tcPr>
            <w:tcW w:w="2748" w:type="dxa"/>
            <w:vAlign w:val="center"/>
          </w:tcPr>
          <w:p w14:paraId="2EA86BAB">
            <w:pPr>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试验方法标准</w:t>
            </w:r>
          </w:p>
        </w:tc>
      </w:tr>
      <w:tr w14:paraId="1D335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8" w:type="dxa"/>
            <w:gridSpan w:val="2"/>
            <w:vAlign w:val="center"/>
          </w:tcPr>
          <w:p w14:paraId="10858098">
            <w:pPr>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泌水率</w:t>
            </w:r>
          </w:p>
        </w:tc>
        <w:tc>
          <w:tcPr>
            <w:tcW w:w="969" w:type="dxa"/>
            <w:vAlign w:val="center"/>
          </w:tcPr>
          <w:p w14:paraId="7D35B6BC">
            <w:pPr>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0</w:t>
            </w:r>
          </w:p>
        </w:tc>
        <w:tc>
          <w:tcPr>
            <w:tcW w:w="2748" w:type="dxa"/>
            <w:vAlign w:val="center"/>
          </w:tcPr>
          <w:p w14:paraId="36DC1A1E">
            <w:pPr>
              <w:jc w:val="center"/>
              <w:rPr>
                <w:rFonts w:hint="eastAsia" w:ascii="宋体" w:hAnsi="宋体" w:eastAsia="宋体" w:cs="宋体"/>
                <w:color w:val="auto"/>
                <w:sz w:val="16"/>
                <w:szCs w:val="16"/>
                <w:highlight w:val="none"/>
                <w:vertAlign w:val="baseline"/>
              </w:rPr>
            </w:pPr>
            <w:r>
              <w:rPr>
                <w:rFonts w:hint="eastAsia" w:ascii="宋体" w:hAnsi="宋体" w:eastAsia="宋体" w:cs="宋体"/>
                <w:color w:val="auto"/>
                <w:sz w:val="16"/>
                <w:szCs w:val="16"/>
                <w:highlight w:val="none"/>
              </w:rPr>
              <w:t>《普通混凝土拌合物性能试验方法标准》GB/T50080</w:t>
            </w:r>
          </w:p>
        </w:tc>
      </w:tr>
      <w:tr w14:paraId="1AAD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vMerge w:val="restart"/>
            <w:vAlign w:val="center"/>
          </w:tcPr>
          <w:p w14:paraId="7858C170">
            <w:pPr>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流动度</w:t>
            </w:r>
          </w:p>
        </w:tc>
        <w:tc>
          <w:tcPr>
            <w:tcW w:w="1235" w:type="dxa"/>
            <w:vAlign w:val="center"/>
          </w:tcPr>
          <w:p w14:paraId="76705BB3">
            <w:pPr>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初始值</w:t>
            </w:r>
          </w:p>
        </w:tc>
        <w:tc>
          <w:tcPr>
            <w:tcW w:w="969" w:type="dxa"/>
            <w:vAlign w:val="center"/>
          </w:tcPr>
          <w:p w14:paraId="65150C67">
            <w:pPr>
              <w:jc w:val="center"/>
              <w:rPr>
                <w:rFonts w:hint="default" w:ascii="宋体" w:hAnsi="宋体" w:eastAsia="宋体" w:cs="宋体"/>
                <w:color w:val="auto"/>
                <w:sz w:val="16"/>
                <w:szCs w:val="16"/>
                <w:highlight w:val="none"/>
                <w:vertAlign w:val="baseline"/>
                <w:lang w:val="en-US" w:eastAsia="zh-CN"/>
              </w:rPr>
            </w:pPr>
            <w:bookmarkStart w:id="140" w:name="OLE_LINK27"/>
            <w:bookmarkStart w:id="141" w:name="OLE_LINK5"/>
            <w:r>
              <w:rPr>
                <w:rFonts w:hint="eastAsia" w:ascii="宋体" w:hAnsi="宋体" w:eastAsia="宋体" w:cs="宋体"/>
                <w:color w:val="auto"/>
                <w:sz w:val="16"/>
                <w:szCs w:val="16"/>
                <w:highlight w:val="none"/>
                <w:vertAlign w:val="baseline"/>
                <w:lang w:val="en-US" w:eastAsia="zh-CN"/>
              </w:rPr>
              <w:t>≥</w:t>
            </w:r>
            <w:bookmarkEnd w:id="140"/>
            <w:r>
              <w:rPr>
                <w:rFonts w:hint="eastAsia" w:ascii="宋体" w:hAnsi="宋体" w:eastAsia="宋体" w:cs="宋体"/>
                <w:color w:val="auto"/>
                <w:sz w:val="16"/>
                <w:szCs w:val="16"/>
                <w:highlight w:val="none"/>
                <w:vertAlign w:val="baseline"/>
                <w:lang w:val="en-US" w:eastAsia="zh-CN"/>
              </w:rPr>
              <w:t>300</w:t>
            </w:r>
            <w:bookmarkEnd w:id="141"/>
            <w:r>
              <w:rPr>
                <w:rFonts w:hint="eastAsia" w:ascii="宋体" w:hAnsi="宋体" w:cs="宋体"/>
                <w:color w:val="auto"/>
                <w:sz w:val="16"/>
                <w:szCs w:val="16"/>
                <w:highlight w:val="none"/>
                <w:vertAlign w:val="baseline"/>
                <w:lang w:val="en-US" w:eastAsia="zh-CN"/>
              </w:rPr>
              <w:t>mm</w:t>
            </w:r>
          </w:p>
        </w:tc>
        <w:tc>
          <w:tcPr>
            <w:tcW w:w="2748" w:type="dxa"/>
            <w:vMerge w:val="restart"/>
            <w:vAlign w:val="center"/>
          </w:tcPr>
          <w:p w14:paraId="0C28A9A0">
            <w:pPr>
              <w:jc w:val="center"/>
              <w:rPr>
                <w:rFonts w:hint="eastAsia" w:ascii="宋体" w:hAnsi="宋体" w:eastAsia="宋体" w:cs="宋体"/>
                <w:color w:val="auto"/>
                <w:sz w:val="16"/>
                <w:szCs w:val="16"/>
                <w:highlight w:val="none"/>
                <w:vertAlign w:val="baseline"/>
              </w:rPr>
            </w:pPr>
            <w:r>
              <w:rPr>
                <w:rFonts w:hint="eastAsia" w:ascii="宋体" w:hAnsi="宋体" w:eastAsia="宋体" w:cs="宋体"/>
                <w:color w:val="auto"/>
                <w:sz w:val="16"/>
                <w:szCs w:val="16"/>
                <w:highlight w:val="none"/>
              </w:rPr>
              <w:t>《钢筋连接用套筒灌浆料》JG/T 408</w:t>
            </w:r>
          </w:p>
        </w:tc>
      </w:tr>
      <w:tr w14:paraId="5AB27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vMerge w:val="continue"/>
            <w:vAlign w:val="center"/>
          </w:tcPr>
          <w:p w14:paraId="16BE7AB9">
            <w:pPr>
              <w:jc w:val="center"/>
              <w:rPr>
                <w:rFonts w:hint="eastAsia" w:ascii="宋体" w:hAnsi="宋体" w:eastAsia="宋体" w:cs="宋体"/>
                <w:color w:val="auto"/>
                <w:sz w:val="16"/>
                <w:szCs w:val="16"/>
                <w:highlight w:val="none"/>
                <w:vertAlign w:val="baseline"/>
              </w:rPr>
            </w:pPr>
          </w:p>
        </w:tc>
        <w:tc>
          <w:tcPr>
            <w:tcW w:w="1235" w:type="dxa"/>
            <w:vAlign w:val="center"/>
          </w:tcPr>
          <w:p w14:paraId="30B5A71B">
            <w:pPr>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30min</w:t>
            </w:r>
          </w:p>
        </w:tc>
        <w:tc>
          <w:tcPr>
            <w:tcW w:w="969" w:type="dxa"/>
            <w:vAlign w:val="center"/>
          </w:tcPr>
          <w:p w14:paraId="3CE40179">
            <w:pPr>
              <w:jc w:val="center"/>
              <w:rPr>
                <w:rFonts w:hint="default" w:ascii="宋体" w:hAnsi="宋体" w:eastAsia="宋体" w:cs="宋体"/>
                <w:color w:val="auto"/>
                <w:sz w:val="16"/>
                <w:szCs w:val="16"/>
                <w:highlight w:val="none"/>
                <w:vertAlign w:val="baseline"/>
                <w:lang w:val="en-US"/>
              </w:rPr>
            </w:pPr>
            <w:r>
              <w:rPr>
                <w:rFonts w:hint="eastAsia" w:ascii="宋体" w:hAnsi="宋体" w:eastAsia="宋体" w:cs="宋体"/>
                <w:color w:val="auto"/>
                <w:sz w:val="16"/>
                <w:szCs w:val="16"/>
                <w:highlight w:val="none"/>
                <w:vertAlign w:val="baseline"/>
                <w:lang w:val="en-US" w:eastAsia="zh-CN"/>
              </w:rPr>
              <w:t>≥260</w:t>
            </w:r>
            <w:r>
              <w:rPr>
                <w:rFonts w:hint="eastAsia" w:ascii="宋体" w:hAnsi="宋体" w:cs="宋体"/>
                <w:color w:val="auto"/>
                <w:sz w:val="16"/>
                <w:szCs w:val="16"/>
                <w:highlight w:val="none"/>
                <w:vertAlign w:val="baseline"/>
                <w:lang w:val="en-US" w:eastAsia="zh-CN"/>
              </w:rPr>
              <w:t>mm</w:t>
            </w:r>
          </w:p>
        </w:tc>
        <w:tc>
          <w:tcPr>
            <w:tcW w:w="2748" w:type="dxa"/>
            <w:vMerge w:val="continue"/>
            <w:vAlign w:val="center"/>
          </w:tcPr>
          <w:p w14:paraId="18B270AE">
            <w:pPr>
              <w:jc w:val="center"/>
              <w:rPr>
                <w:rFonts w:hint="eastAsia" w:ascii="宋体" w:hAnsi="宋体" w:eastAsia="宋体" w:cs="宋体"/>
                <w:color w:val="auto"/>
                <w:sz w:val="16"/>
                <w:szCs w:val="16"/>
                <w:highlight w:val="none"/>
                <w:vertAlign w:val="baseline"/>
              </w:rPr>
            </w:pPr>
          </w:p>
        </w:tc>
      </w:tr>
      <w:tr w14:paraId="56DBB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vMerge w:val="restart"/>
            <w:vAlign w:val="center"/>
          </w:tcPr>
          <w:p w14:paraId="0A06BD95">
            <w:pPr>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竖向膨胀率</w:t>
            </w:r>
          </w:p>
        </w:tc>
        <w:tc>
          <w:tcPr>
            <w:tcW w:w="1235" w:type="dxa"/>
            <w:vAlign w:val="center"/>
          </w:tcPr>
          <w:p w14:paraId="2EFE4F02">
            <w:pPr>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3h</w:t>
            </w:r>
          </w:p>
        </w:tc>
        <w:tc>
          <w:tcPr>
            <w:tcW w:w="969" w:type="dxa"/>
            <w:vAlign w:val="center"/>
          </w:tcPr>
          <w:p w14:paraId="33FB0AC0">
            <w:pPr>
              <w:jc w:val="center"/>
              <w:rPr>
                <w:rFonts w:hint="default" w:ascii="宋体" w:hAnsi="宋体" w:eastAsia="宋体" w:cs="宋体"/>
                <w:color w:val="auto"/>
                <w:sz w:val="16"/>
                <w:szCs w:val="16"/>
                <w:highlight w:val="none"/>
                <w:vertAlign w:val="baseline"/>
                <w:lang w:val="en-US"/>
              </w:rPr>
            </w:pPr>
            <w:r>
              <w:rPr>
                <w:rFonts w:hint="eastAsia" w:ascii="宋体" w:hAnsi="宋体" w:eastAsia="宋体" w:cs="宋体"/>
                <w:color w:val="auto"/>
                <w:sz w:val="16"/>
                <w:szCs w:val="16"/>
                <w:highlight w:val="none"/>
                <w:vertAlign w:val="baseline"/>
                <w:lang w:val="en-US" w:eastAsia="zh-CN"/>
              </w:rPr>
              <w:t>≥0.02</w:t>
            </w:r>
            <w:r>
              <w:rPr>
                <w:rFonts w:hint="eastAsia" w:ascii="宋体" w:hAnsi="宋体" w:cs="宋体"/>
                <w:color w:val="auto"/>
                <w:sz w:val="16"/>
                <w:szCs w:val="16"/>
                <w:highlight w:val="none"/>
                <w:vertAlign w:val="baseline"/>
                <w:lang w:val="en-US" w:eastAsia="zh-CN"/>
              </w:rPr>
              <w:t>%</w:t>
            </w:r>
          </w:p>
        </w:tc>
        <w:tc>
          <w:tcPr>
            <w:tcW w:w="2748" w:type="dxa"/>
            <w:vMerge w:val="restart"/>
            <w:vAlign w:val="center"/>
          </w:tcPr>
          <w:p w14:paraId="51B85E50">
            <w:pPr>
              <w:jc w:val="center"/>
              <w:rPr>
                <w:rFonts w:hint="eastAsia" w:ascii="宋体" w:hAnsi="宋体" w:eastAsia="宋体" w:cs="宋体"/>
                <w:color w:val="auto"/>
                <w:sz w:val="16"/>
                <w:szCs w:val="16"/>
                <w:highlight w:val="none"/>
                <w:vertAlign w:val="baseline"/>
              </w:rPr>
            </w:pPr>
            <w:r>
              <w:rPr>
                <w:rFonts w:hint="eastAsia" w:ascii="宋体" w:hAnsi="宋体" w:eastAsia="宋体" w:cs="宋体"/>
                <w:color w:val="auto"/>
                <w:sz w:val="16"/>
                <w:szCs w:val="16"/>
                <w:highlight w:val="none"/>
              </w:rPr>
              <w:t>《钢筋连接用套筒灌浆料》JG/T 408</w:t>
            </w:r>
          </w:p>
        </w:tc>
      </w:tr>
      <w:tr w14:paraId="31F3F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vMerge w:val="continue"/>
            <w:vAlign w:val="center"/>
          </w:tcPr>
          <w:p w14:paraId="27AD774A">
            <w:pPr>
              <w:jc w:val="center"/>
              <w:rPr>
                <w:rFonts w:hint="eastAsia" w:ascii="宋体" w:hAnsi="宋体" w:eastAsia="宋体" w:cs="宋体"/>
                <w:color w:val="auto"/>
                <w:sz w:val="16"/>
                <w:szCs w:val="16"/>
                <w:highlight w:val="none"/>
                <w:vertAlign w:val="baseline"/>
              </w:rPr>
            </w:pPr>
          </w:p>
        </w:tc>
        <w:tc>
          <w:tcPr>
            <w:tcW w:w="1235" w:type="dxa"/>
            <w:vAlign w:val="center"/>
          </w:tcPr>
          <w:p w14:paraId="5F610588">
            <w:pPr>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24h与3h差值</w:t>
            </w:r>
          </w:p>
        </w:tc>
        <w:tc>
          <w:tcPr>
            <w:tcW w:w="969" w:type="dxa"/>
            <w:vAlign w:val="center"/>
          </w:tcPr>
          <w:p w14:paraId="6F6FA209">
            <w:pPr>
              <w:jc w:val="center"/>
              <w:rPr>
                <w:rFonts w:hint="default"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0.02</w:t>
            </w:r>
            <w:r>
              <w:rPr>
                <w:rFonts w:hint="eastAsia" w:ascii="宋体" w:hAnsi="宋体" w:cs="宋体"/>
                <w:color w:val="auto"/>
                <w:sz w:val="16"/>
                <w:szCs w:val="16"/>
                <w:highlight w:val="none"/>
                <w:vertAlign w:val="baseline"/>
                <w:lang w:val="en-US" w:eastAsia="zh-CN"/>
              </w:rPr>
              <w:t>%</w:t>
            </w:r>
            <w:r>
              <w:rPr>
                <w:rFonts w:hint="eastAsia" w:cs="Times New Roman"/>
                <w:i w:val="0"/>
                <w:iCs w:val="0"/>
                <w:color w:val="auto"/>
                <w:sz w:val="16"/>
                <w:szCs w:val="16"/>
                <w:highlight w:val="none"/>
                <w:u w:val="none"/>
                <w:vertAlign w:val="baseline"/>
                <w:lang w:val="en-US" w:eastAsia="zh-CN"/>
              </w:rPr>
              <w:t>~</w:t>
            </w:r>
            <w:r>
              <w:rPr>
                <w:rFonts w:hint="eastAsia" w:ascii="宋体" w:hAnsi="宋体" w:eastAsia="宋体" w:cs="宋体"/>
                <w:color w:val="auto"/>
                <w:sz w:val="16"/>
                <w:szCs w:val="16"/>
                <w:highlight w:val="none"/>
                <w:vertAlign w:val="baseline"/>
                <w:lang w:val="en-US" w:eastAsia="zh-CN"/>
              </w:rPr>
              <w:t>0.05</w:t>
            </w:r>
            <w:r>
              <w:rPr>
                <w:rFonts w:hint="eastAsia" w:ascii="宋体" w:hAnsi="宋体" w:cs="宋体"/>
                <w:color w:val="auto"/>
                <w:sz w:val="16"/>
                <w:szCs w:val="16"/>
                <w:highlight w:val="none"/>
                <w:vertAlign w:val="baseline"/>
                <w:lang w:val="en-US" w:eastAsia="zh-CN"/>
              </w:rPr>
              <w:t>%</w:t>
            </w:r>
          </w:p>
        </w:tc>
        <w:tc>
          <w:tcPr>
            <w:tcW w:w="2748" w:type="dxa"/>
            <w:vMerge w:val="continue"/>
            <w:vAlign w:val="center"/>
          </w:tcPr>
          <w:p w14:paraId="542F37AA">
            <w:pPr>
              <w:jc w:val="center"/>
              <w:rPr>
                <w:rFonts w:hint="eastAsia" w:ascii="宋体" w:hAnsi="宋体" w:eastAsia="宋体" w:cs="宋体"/>
                <w:color w:val="auto"/>
                <w:sz w:val="16"/>
                <w:szCs w:val="16"/>
                <w:highlight w:val="none"/>
                <w:vertAlign w:val="baseline"/>
              </w:rPr>
            </w:pPr>
          </w:p>
        </w:tc>
      </w:tr>
      <w:tr w14:paraId="571D7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vMerge w:val="restart"/>
            <w:vAlign w:val="center"/>
          </w:tcPr>
          <w:p w14:paraId="27755046">
            <w:pPr>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抗压强度</w:t>
            </w:r>
          </w:p>
        </w:tc>
        <w:tc>
          <w:tcPr>
            <w:tcW w:w="1235" w:type="dxa"/>
            <w:vAlign w:val="center"/>
          </w:tcPr>
          <w:p w14:paraId="70D4767F">
            <w:pPr>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1d</w:t>
            </w:r>
          </w:p>
        </w:tc>
        <w:tc>
          <w:tcPr>
            <w:tcW w:w="969" w:type="dxa"/>
            <w:vAlign w:val="center"/>
          </w:tcPr>
          <w:p w14:paraId="37A27986">
            <w:pPr>
              <w:jc w:val="center"/>
              <w:rPr>
                <w:rFonts w:hint="eastAsia" w:ascii="宋体" w:hAnsi="宋体" w:eastAsia="宋体" w:cs="宋体"/>
                <w:color w:val="auto"/>
                <w:sz w:val="16"/>
                <w:szCs w:val="16"/>
                <w:highlight w:val="none"/>
                <w:vertAlign w:val="baseline"/>
                <w:lang w:val="en-US"/>
              </w:rPr>
            </w:pPr>
            <w:r>
              <w:rPr>
                <w:rFonts w:hint="eastAsia" w:ascii="宋体" w:hAnsi="宋体" w:eastAsia="宋体" w:cs="宋体"/>
                <w:color w:val="auto"/>
                <w:sz w:val="16"/>
                <w:szCs w:val="16"/>
                <w:highlight w:val="none"/>
                <w:vertAlign w:val="baseline"/>
                <w:lang w:val="en-US" w:eastAsia="zh-CN"/>
              </w:rPr>
              <w:t>≥20MPa</w:t>
            </w:r>
          </w:p>
        </w:tc>
        <w:tc>
          <w:tcPr>
            <w:tcW w:w="2748" w:type="dxa"/>
            <w:vMerge w:val="restart"/>
            <w:vAlign w:val="center"/>
          </w:tcPr>
          <w:p w14:paraId="71F1A9FB">
            <w:pPr>
              <w:jc w:val="center"/>
              <w:rPr>
                <w:rFonts w:hint="eastAsia" w:ascii="宋体" w:hAnsi="宋体" w:eastAsia="宋体" w:cs="宋体"/>
                <w:color w:val="auto"/>
                <w:sz w:val="16"/>
                <w:szCs w:val="16"/>
                <w:highlight w:val="none"/>
                <w:vertAlign w:val="baseline"/>
                <w:lang w:eastAsia="zh-CN"/>
              </w:rPr>
            </w:pPr>
            <w:r>
              <w:rPr>
                <w:rFonts w:hint="eastAsia" w:ascii="宋体" w:hAnsi="宋体" w:eastAsia="宋体" w:cs="宋体"/>
                <w:color w:val="auto"/>
                <w:sz w:val="16"/>
                <w:szCs w:val="16"/>
                <w:highlight w:val="none"/>
              </w:rPr>
              <w:t>《水泥基灌聚材料应用技术规程</w:t>
            </w:r>
            <w:r>
              <w:rPr>
                <w:rFonts w:hint="eastAsia" w:ascii="宋体" w:hAnsi="宋体" w:eastAsia="宋体" w:cs="宋体"/>
                <w:color w:val="auto"/>
                <w:sz w:val="16"/>
                <w:szCs w:val="16"/>
                <w:highlight w:val="none"/>
                <w:lang w:eastAsia="zh-CN"/>
              </w:rPr>
              <w:t>》</w:t>
            </w:r>
            <w:r>
              <w:rPr>
                <w:rFonts w:hint="eastAsia" w:ascii="宋体" w:hAnsi="宋体" w:eastAsia="宋体" w:cs="宋体"/>
                <w:color w:val="auto"/>
                <w:sz w:val="16"/>
                <w:szCs w:val="16"/>
                <w:highlight w:val="none"/>
              </w:rPr>
              <w:t>GB/T 50448</w:t>
            </w:r>
          </w:p>
        </w:tc>
      </w:tr>
      <w:tr w14:paraId="517A4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vMerge w:val="continue"/>
            <w:vAlign w:val="center"/>
          </w:tcPr>
          <w:p w14:paraId="6B55A9CE">
            <w:pPr>
              <w:jc w:val="center"/>
              <w:rPr>
                <w:rFonts w:hint="eastAsia" w:ascii="宋体" w:hAnsi="宋体" w:eastAsia="宋体" w:cs="宋体"/>
                <w:color w:val="auto"/>
                <w:sz w:val="16"/>
                <w:szCs w:val="16"/>
                <w:highlight w:val="none"/>
                <w:vertAlign w:val="baseline"/>
              </w:rPr>
            </w:pPr>
          </w:p>
        </w:tc>
        <w:tc>
          <w:tcPr>
            <w:tcW w:w="1235" w:type="dxa"/>
            <w:vAlign w:val="center"/>
          </w:tcPr>
          <w:p w14:paraId="0826879C">
            <w:pPr>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3d</w:t>
            </w:r>
          </w:p>
        </w:tc>
        <w:tc>
          <w:tcPr>
            <w:tcW w:w="969" w:type="dxa"/>
            <w:vAlign w:val="center"/>
          </w:tcPr>
          <w:p w14:paraId="06E5AA63">
            <w:pPr>
              <w:jc w:val="center"/>
              <w:rPr>
                <w:rFonts w:hint="eastAsia" w:ascii="宋体" w:hAnsi="宋体" w:eastAsia="宋体" w:cs="宋体"/>
                <w:color w:val="auto"/>
                <w:sz w:val="16"/>
                <w:szCs w:val="16"/>
                <w:highlight w:val="none"/>
                <w:vertAlign w:val="baseline"/>
                <w:lang w:val="en-US"/>
              </w:rPr>
            </w:pPr>
            <w:r>
              <w:rPr>
                <w:rFonts w:hint="eastAsia" w:ascii="宋体" w:hAnsi="宋体" w:eastAsia="宋体" w:cs="宋体"/>
                <w:color w:val="auto"/>
                <w:sz w:val="16"/>
                <w:szCs w:val="16"/>
                <w:highlight w:val="none"/>
                <w:vertAlign w:val="baseline"/>
                <w:lang w:val="en-US" w:eastAsia="zh-CN"/>
              </w:rPr>
              <w:t>≥40MPa</w:t>
            </w:r>
          </w:p>
        </w:tc>
        <w:tc>
          <w:tcPr>
            <w:tcW w:w="2748" w:type="dxa"/>
            <w:vMerge w:val="continue"/>
            <w:vAlign w:val="center"/>
          </w:tcPr>
          <w:p w14:paraId="7B2307FE">
            <w:pPr>
              <w:jc w:val="center"/>
              <w:rPr>
                <w:rFonts w:hint="eastAsia" w:ascii="宋体" w:hAnsi="宋体" w:eastAsia="宋体" w:cs="宋体"/>
                <w:color w:val="auto"/>
                <w:sz w:val="16"/>
                <w:szCs w:val="16"/>
                <w:highlight w:val="none"/>
                <w:vertAlign w:val="baseline"/>
              </w:rPr>
            </w:pPr>
          </w:p>
        </w:tc>
      </w:tr>
      <w:tr w14:paraId="10E01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vMerge w:val="continue"/>
            <w:vAlign w:val="center"/>
          </w:tcPr>
          <w:p w14:paraId="3D912858">
            <w:pPr>
              <w:jc w:val="center"/>
              <w:rPr>
                <w:rFonts w:hint="eastAsia" w:ascii="宋体" w:hAnsi="宋体" w:eastAsia="宋体" w:cs="宋体"/>
                <w:color w:val="auto"/>
                <w:sz w:val="16"/>
                <w:szCs w:val="16"/>
                <w:highlight w:val="none"/>
                <w:vertAlign w:val="baseline"/>
              </w:rPr>
            </w:pPr>
          </w:p>
        </w:tc>
        <w:tc>
          <w:tcPr>
            <w:tcW w:w="1235" w:type="dxa"/>
            <w:vAlign w:val="center"/>
          </w:tcPr>
          <w:p w14:paraId="2C2FA9F5">
            <w:pPr>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28d</w:t>
            </w:r>
          </w:p>
        </w:tc>
        <w:tc>
          <w:tcPr>
            <w:tcW w:w="969" w:type="dxa"/>
            <w:vAlign w:val="center"/>
          </w:tcPr>
          <w:p w14:paraId="338C8F3A">
            <w:pPr>
              <w:jc w:val="center"/>
              <w:rPr>
                <w:rFonts w:hint="eastAsia" w:ascii="宋体" w:hAnsi="宋体" w:eastAsia="宋体" w:cs="宋体"/>
                <w:color w:val="auto"/>
                <w:sz w:val="16"/>
                <w:szCs w:val="16"/>
                <w:highlight w:val="none"/>
                <w:vertAlign w:val="baseline"/>
                <w:lang w:val="en-US"/>
              </w:rPr>
            </w:pPr>
            <w:r>
              <w:rPr>
                <w:rFonts w:hint="eastAsia" w:ascii="宋体" w:hAnsi="宋体" w:eastAsia="宋体" w:cs="宋体"/>
                <w:color w:val="auto"/>
                <w:sz w:val="16"/>
                <w:szCs w:val="16"/>
                <w:highlight w:val="none"/>
                <w:vertAlign w:val="baseline"/>
                <w:lang w:val="en-US" w:eastAsia="zh-CN"/>
              </w:rPr>
              <w:t>≥60MPa</w:t>
            </w:r>
          </w:p>
        </w:tc>
        <w:tc>
          <w:tcPr>
            <w:tcW w:w="2748" w:type="dxa"/>
            <w:vMerge w:val="continue"/>
            <w:vAlign w:val="center"/>
          </w:tcPr>
          <w:p w14:paraId="370F8F89">
            <w:pPr>
              <w:jc w:val="center"/>
              <w:rPr>
                <w:rFonts w:hint="eastAsia" w:ascii="宋体" w:hAnsi="宋体" w:eastAsia="宋体" w:cs="宋体"/>
                <w:color w:val="auto"/>
                <w:sz w:val="16"/>
                <w:szCs w:val="16"/>
                <w:highlight w:val="none"/>
                <w:vertAlign w:val="baseline"/>
              </w:rPr>
            </w:pPr>
          </w:p>
        </w:tc>
      </w:tr>
      <w:tr w14:paraId="2CF73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8" w:type="dxa"/>
            <w:gridSpan w:val="2"/>
            <w:vAlign w:val="center"/>
          </w:tcPr>
          <w:p w14:paraId="56DE1E22">
            <w:pPr>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水溶性氯离子含量</w:t>
            </w:r>
          </w:p>
        </w:tc>
        <w:tc>
          <w:tcPr>
            <w:tcW w:w="969" w:type="dxa"/>
            <w:vAlign w:val="center"/>
          </w:tcPr>
          <w:p w14:paraId="64DA3802">
            <w:pPr>
              <w:jc w:val="center"/>
              <w:rPr>
                <w:rFonts w:hint="default"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≤0.03</w:t>
            </w:r>
            <w:r>
              <w:rPr>
                <w:rFonts w:hint="eastAsia" w:ascii="宋体" w:hAnsi="宋体" w:cs="宋体"/>
                <w:color w:val="auto"/>
                <w:sz w:val="16"/>
                <w:szCs w:val="16"/>
                <w:highlight w:val="none"/>
                <w:vertAlign w:val="baseline"/>
                <w:lang w:val="en-US" w:eastAsia="zh-CN"/>
              </w:rPr>
              <w:t>%</w:t>
            </w:r>
          </w:p>
        </w:tc>
        <w:tc>
          <w:tcPr>
            <w:tcW w:w="2748" w:type="dxa"/>
            <w:vAlign w:val="center"/>
          </w:tcPr>
          <w:p w14:paraId="50EC3EA4">
            <w:pPr>
              <w:jc w:val="center"/>
              <w:rPr>
                <w:rFonts w:hint="eastAsia" w:ascii="宋体" w:hAnsi="宋体" w:eastAsia="宋体" w:cs="宋体"/>
                <w:color w:val="auto"/>
                <w:sz w:val="16"/>
                <w:szCs w:val="16"/>
                <w:highlight w:val="none"/>
                <w:vertAlign w:val="baseline"/>
              </w:rPr>
            </w:pPr>
            <w:r>
              <w:rPr>
                <w:rFonts w:hint="eastAsia" w:ascii="宋体" w:hAnsi="宋体" w:eastAsia="宋体" w:cs="宋体"/>
                <w:color w:val="auto"/>
                <w:sz w:val="16"/>
                <w:szCs w:val="16"/>
                <w:highlight w:val="none"/>
              </w:rPr>
              <w:t>《混凝土外加剂匀质性试验方法》GB/T8077</w:t>
            </w:r>
          </w:p>
        </w:tc>
      </w:tr>
      <w:bookmarkEnd w:id="139"/>
    </w:tbl>
    <w:p w14:paraId="134869E1">
      <w:pPr>
        <w:spacing w:line="360" w:lineRule="exact"/>
        <w:jc w:val="left"/>
        <w:rPr>
          <w:rFonts w:eastAsia="黑体"/>
          <w:color w:val="auto"/>
          <w:sz w:val="18"/>
          <w:szCs w:val="18"/>
          <w:highlight w:val="none"/>
        </w:rPr>
      </w:pPr>
      <w:r>
        <w:rPr>
          <w:b/>
          <w:color w:val="auto"/>
          <w:szCs w:val="21"/>
          <w:highlight w:val="none"/>
        </w:rPr>
        <w:t>4.1.1</w:t>
      </w:r>
      <w:r>
        <w:rPr>
          <w:rFonts w:hint="eastAsia"/>
          <w:b/>
          <w:color w:val="auto"/>
          <w:szCs w:val="21"/>
          <w:highlight w:val="none"/>
        </w:rPr>
        <w:t>1</w:t>
      </w:r>
      <w:r>
        <w:rPr>
          <w:b/>
          <w:color w:val="auto"/>
          <w:szCs w:val="21"/>
          <w:highlight w:val="none"/>
        </w:rPr>
        <w:t xml:space="preserve"> </w:t>
      </w:r>
      <w:r>
        <w:rPr>
          <w:rFonts w:hint="eastAsia"/>
          <w:b/>
          <w:color w:val="auto"/>
          <w:szCs w:val="21"/>
          <w:highlight w:val="none"/>
          <w:lang w:val="en-US" w:eastAsia="zh-CN"/>
        </w:rPr>
        <w:t xml:space="preserve"> </w:t>
      </w:r>
      <w:r>
        <w:rPr>
          <w:color w:val="auto"/>
          <w:szCs w:val="21"/>
          <w:highlight w:val="none"/>
        </w:rPr>
        <w:t>用于连接上下模块单元的座浆料性能应满足表4.</w:t>
      </w:r>
      <w:r>
        <w:rPr>
          <w:rFonts w:hint="eastAsia"/>
          <w:color w:val="auto"/>
          <w:szCs w:val="21"/>
          <w:highlight w:val="none"/>
        </w:rPr>
        <w:t>1</w:t>
      </w:r>
      <w:r>
        <w:rPr>
          <w:color w:val="auto"/>
          <w:szCs w:val="21"/>
          <w:highlight w:val="none"/>
        </w:rPr>
        <w:t>.</w:t>
      </w:r>
      <w:r>
        <w:rPr>
          <w:rFonts w:hint="eastAsia"/>
          <w:color w:val="auto"/>
          <w:szCs w:val="21"/>
          <w:highlight w:val="none"/>
        </w:rPr>
        <w:t>11</w:t>
      </w:r>
      <w:r>
        <w:rPr>
          <w:color w:val="auto"/>
          <w:szCs w:val="21"/>
          <w:highlight w:val="none"/>
        </w:rPr>
        <w:t>的要求。</w:t>
      </w:r>
    </w:p>
    <w:p w14:paraId="7DED7B22">
      <w:pPr>
        <w:spacing w:line="360" w:lineRule="exact"/>
        <w:jc w:val="center"/>
        <w:rPr>
          <w:rFonts w:hint="default" w:eastAsia="黑体"/>
          <w:color w:val="auto"/>
          <w:highlight w:val="none"/>
        </w:rPr>
      </w:pPr>
      <w:r>
        <w:rPr>
          <w:rFonts w:hint="default" w:eastAsia="黑体"/>
          <w:color w:val="auto"/>
          <w:sz w:val="18"/>
          <w:szCs w:val="18"/>
          <w:highlight w:val="none"/>
        </w:rPr>
        <w:t>表</w:t>
      </w:r>
      <w:r>
        <w:rPr>
          <w:rFonts w:hint="default" w:eastAsia="黑体"/>
          <w:b/>
          <w:bCs/>
          <w:color w:val="auto"/>
          <w:sz w:val="18"/>
          <w:szCs w:val="18"/>
          <w:highlight w:val="none"/>
        </w:rPr>
        <w:t>4.1.11</w:t>
      </w:r>
      <w:r>
        <w:rPr>
          <w:rFonts w:hint="default" w:eastAsia="黑体"/>
          <w:color w:val="auto"/>
          <w:sz w:val="18"/>
          <w:szCs w:val="18"/>
          <w:highlight w:val="none"/>
        </w:rPr>
        <w:t xml:space="preserve"> </w:t>
      </w:r>
      <w:bookmarkStart w:id="142" w:name="OLE_LINK15"/>
      <w:r>
        <w:rPr>
          <w:rFonts w:hint="default" w:eastAsia="黑体"/>
          <w:color w:val="auto"/>
          <w:sz w:val="18"/>
          <w:szCs w:val="18"/>
          <w:highlight w:val="none"/>
        </w:rPr>
        <w:t>座浆料</w:t>
      </w:r>
      <w:bookmarkEnd w:id="142"/>
      <w:r>
        <w:rPr>
          <w:rFonts w:hint="default" w:eastAsia="黑体"/>
          <w:color w:val="auto"/>
          <w:sz w:val="18"/>
          <w:szCs w:val="18"/>
          <w:highlight w:val="none"/>
        </w:rPr>
        <w:t>性能要求</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7"/>
        <w:gridCol w:w="1016"/>
        <w:gridCol w:w="2722"/>
      </w:tblGrid>
      <w:tr w14:paraId="4858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7" w:type="dxa"/>
            <w:vAlign w:val="center"/>
          </w:tcPr>
          <w:p w14:paraId="1FB58FFC">
            <w:pPr>
              <w:spacing w:line="240" w:lineRule="auto"/>
              <w:jc w:val="center"/>
              <w:rPr>
                <w:rFonts w:hint="eastAsia" w:ascii="宋体" w:hAnsi="宋体" w:eastAsia="宋体" w:cs="宋体"/>
                <w:color w:val="auto"/>
                <w:sz w:val="16"/>
                <w:szCs w:val="16"/>
                <w:highlight w:val="none"/>
                <w:vertAlign w:val="baseline"/>
                <w:lang w:val="en-US" w:eastAsia="zh-CN"/>
              </w:rPr>
            </w:pPr>
            <w:bookmarkStart w:id="143" w:name="OLE_LINK33"/>
            <w:r>
              <w:rPr>
                <w:rFonts w:hint="eastAsia" w:ascii="宋体" w:hAnsi="宋体" w:eastAsia="宋体" w:cs="宋体"/>
                <w:color w:val="auto"/>
                <w:sz w:val="16"/>
                <w:szCs w:val="16"/>
                <w:highlight w:val="none"/>
                <w:vertAlign w:val="baseline"/>
                <w:lang w:val="en-US" w:eastAsia="zh-CN"/>
              </w:rPr>
              <w:t>项目</w:t>
            </w:r>
          </w:p>
        </w:tc>
        <w:tc>
          <w:tcPr>
            <w:tcW w:w="1016" w:type="dxa"/>
            <w:vAlign w:val="center"/>
          </w:tcPr>
          <w:p w14:paraId="3C861D18">
            <w:pPr>
              <w:spacing w:line="240" w:lineRule="auto"/>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性能指标</w:t>
            </w:r>
          </w:p>
        </w:tc>
        <w:tc>
          <w:tcPr>
            <w:tcW w:w="2722" w:type="dxa"/>
            <w:vAlign w:val="center"/>
          </w:tcPr>
          <w:p w14:paraId="33984842">
            <w:pPr>
              <w:spacing w:line="240" w:lineRule="auto"/>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试验方法标准</w:t>
            </w:r>
          </w:p>
        </w:tc>
      </w:tr>
      <w:tr w14:paraId="0FE60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7" w:type="dxa"/>
            <w:vAlign w:val="center"/>
          </w:tcPr>
          <w:p w14:paraId="57307B75">
            <w:pPr>
              <w:spacing w:line="240" w:lineRule="auto"/>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保水率</w:t>
            </w:r>
          </w:p>
        </w:tc>
        <w:tc>
          <w:tcPr>
            <w:tcW w:w="1016" w:type="dxa"/>
            <w:vAlign w:val="center"/>
          </w:tcPr>
          <w:p w14:paraId="264E5E24">
            <w:pPr>
              <w:spacing w:line="240" w:lineRule="auto"/>
              <w:jc w:val="center"/>
              <w:rPr>
                <w:rFonts w:hint="default"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≥88</w:t>
            </w:r>
            <w:r>
              <w:rPr>
                <w:rFonts w:hint="eastAsia" w:ascii="宋体" w:hAnsi="宋体" w:cs="宋体"/>
                <w:color w:val="auto"/>
                <w:sz w:val="16"/>
                <w:szCs w:val="16"/>
                <w:highlight w:val="none"/>
                <w:vertAlign w:val="baseline"/>
                <w:lang w:val="en-US" w:eastAsia="zh-CN"/>
              </w:rPr>
              <w:t>%</w:t>
            </w:r>
          </w:p>
        </w:tc>
        <w:tc>
          <w:tcPr>
            <w:tcW w:w="2722" w:type="dxa"/>
            <w:vAlign w:val="center"/>
          </w:tcPr>
          <w:p w14:paraId="51E941E8">
            <w:pPr>
              <w:spacing w:line="240" w:lineRule="auto"/>
              <w:jc w:val="center"/>
              <w:rPr>
                <w:rFonts w:hint="eastAsia" w:ascii="宋体" w:hAnsi="宋体" w:eastAsia="宋体" w:cs="宋体"/>
                <w:color w:val="auto"/>
                <w:sz w:val="16"/>
                <w:szCs w:val="16"/>
                <w:highlight w:val="none"/>
                <w:vertAlign w:val="baseline"/>
              </w:rPr>
            </w:pPr>
            <w:r>
              <w:rPr>
                <w:rFonts w:hint="eastAsia" w:ascii="宋体" w:hAnsi="宋体" w:eastAsia="宋体" w:cs="宋体"/>
                <w:color w:val="auto"/>
                <w:sz w:val="16"/>
                <w:szCs w:val="16"/>
                <w:highlight w:val="none"/>
              </w:rPr>
              <w:t>《普通混凝土拌合物性能试验方法标准》GB/T50080</w:t>
            </w:r>
          </w:p>
        </w:tc>
      </w:tr>
      <w:tr w14:paraId="3F450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7" w:type="dxa"/>
            <w:vAlign w:val="center"/>
          </w:tcPr>
          <w:p w14:paraId="47B7F3CC">
            <w:pPr>
              <w:spacing w:line="240" w:lineRule="auto"/>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2h砂浆稠度损失率</w:t>
            </w:r>
          </w:p>
        </w:tc>
        <w:tc>
          <w:tcPr>
            <w:tcW w:w="1016" w:type="dxa"/>
            <w:vAlign w:val="center"/>
          </w:tcPr>
          <w:p w14:paraId="01A17400">
            <w:pPr>
              <w:spacing w:line="240" w:lineRule="auto"/>
              <w:jc w:val="center"/>
              <w:rPr>
                <w:rFonts w:hint="default"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≤20</w:t>
            </w:r>
            <w:r>
              <w:rPr>
                <w:rFonts w:hint="eastAsia" w:ascii="宋体" w:hAnsi="宋体" w:cs="宋体"/>
                <w:color w:val="auto"/>
                <w:sz w:val="16"/>
                <w:szCs w:val="16"/>
                <w:highlight w:val="none"/>
                <w:vertAlign w:val="baseline"/>
                <w:lang w:val="en-US" w:eastAsia="zh-CN"/>
              </w:rPr>
              <w:t>%</w:t>
            </w:r>
          </w:p>
        </w:tc>
        <w:tc>
          <w:tcPr>
            <w:tcW w:w="2722" w:type="dxa"/>
            <w:vAlign w:val="center"/>
          </w:tcPr>
          <w:p w14:paraId="058E4AA2">
            <w:pPr>
              <w:spacing w:line="240" w:lineRule="auto"/>
              <w:jc w:val="center"/>
              <w:rPr>
                <w:rFonts w:hint="eastAsia" w:ascii="宋体" w:hAnsi="宋体" w:eastAsia="宋体" w:cs="宋体"/>
                <w:color w:val="auto"/>
                <w:sz w:val="16"/>
                <w:szCs w:val="16"/>
                <w:highlight w:val="none"/>
                <w:vertAlign w:val="baseline"/>
              </w:rPr>
            </w:pPr>
            <w:bookmarkStart w:id="144" w:name="OLE_LINK32"/>
            <w:r>
              <w:rPr>
                <w:rFonts w:hint="eastAsia" w:ascii="宋体" w:hAnsi="宋体" w:eastAsia="宋体" w:cs="宋体"/>
                <w:color w:val="auto"/>
                <w:sz w:val="16"/>
                <w:szCs w:val="16"/>
                <w:highlight w:val="none"/>
              </w:rPr>
              <w:t>《水泥基灌聚材料应用技术规程</w:t>
            </w:r>
            <w:r>
              <w:rPr>
                <w:rFonts w:hint="eastAsia" w:ascii="宋体" w:hAnsi="宋体" w:eastAsia="宋体" w:cs="宋体"/>
                <w:color w:val="auto"/>
                <w:sz w:val="16"/>
                <w:szCs w:val="16"/>
                <w:highlight w:val="none"/>
                <w:lang w:eastAsia="zh-CN"/>
              </w:rPr>
              <w:t>》</w:t>
            </w:r>
            <w:r>
              <w:rPr>
                <w:rFonts w:hint="eastAsia" w:ascii="宋体" w:hAnsi="宋体" w:eastAsia="宋体" w:cs="宋体"/>
                <w:color w:val="auto"/>
                <w:sz w:val="16"/>
                <w:szCs w:val="16"/>
                <w:highlight w:val="none"/>
              </w:rPr>
              <w:t>GB/T 50448</w:t>
            </w:r>
            <w:bookmarkEnd w:id="144"/>
          </w:p>
        </w:tc>
      </w:tr>
      <w:bookmarkEnd w:id="143"/>
    </w:tbl>
    <w:p w14:paraId="6AD18E54">
      <w:pPr>
        <w:spacing w:line="360" w:lineRule="exact"/>
        <w:jc w:val="center"/>
        <w:rPr>
          <w:rFonts w:hint="default" w:eastAsia="黑体"/>
          <w:b w:val="0"/>
          <w:color w:val="auto"/>
          <w:sz w:val="18"/>
          <w:szCs w:val="18"/>
          <w:highlight w:val="none"/>
          <w:lang w:val="en-US" w:eastAsia="zh-CN"/>
        </w:rPr>
      </w:pPr>
      <w:r>
        <w:rPr>
          <w:rFonts w:hint="default" w:eastAsia="黑体"/>
          <w:b w:val="0"/>
          <w:color w:val="auto"/>
          <w:sz w:val="18"/>
          <w:szCs w:val="18"/>
          <w:highlight w:val="none"/>
          <w:lang w:val="en-US" w:eastAsia="zh-CN"/>
        </w:rPr>
        <w:t xml:space="preserve">续表4.1.11 </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2"/>
        <w:gridCol w:w="1197"/>
        <w:gridCol w:w="1161"/>
        <w:gridCol w:w="2635"/>
      </w:tblGrid>
      <w:tr w14:paraId="75660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Merge w:val="restart"/>
            <w:vAlign w:val="center"/>
          </w:tcPr>
          <w:p w14:paraId="0EA145F5">
            <w:pPr>
              <w:rPr>
                <w:highlight w:val="none"/>
              </w:rPr>
            </w:pPr>
            <w:r>
              <w:rPr>
                <w:rFonts w:hint="eastAsia" w:ascii="宋体" w:hAnsi="宋体" w:eastAsia="宋体" w:cs="宋体"/>
                <w:color w:val="auto"/>
                <w:sz w:val="16"/>
                <w:szCs w:val="16"/>
                <w:highlight w:val="none"/>
                <w:vertAlign w:val="baseline"/>
                <w:lang w:val="en-US" w:eastAsia="zh-CN"/>
              </w:rPr>
              <w:t>截锥流动度</w:t>
            </w:r>
          </w:p>
          <w:p w14:paraId="031EA89F">
            <w:pPr>
              <w:spacing w:line="240" w:lineRule="auto"/>
              <w:jc w:val="center"/>
              <w:rPr>
                <w:rFonts w:hint="eastAsia" w:ascii="宋体" w:hAnsi="宋体" w:eastAsia="宋体" w:cs="宋体"/>
                <w:color w:val="auto"/>
                <w:sz w:val="16"/>
                <w:szCs w:val="16"/>
                <w:highlight w:val="none"/>
                <w:vertAlign w:val="baseline"/>
                <w:lang w:val="en-US" w:eastAsia="zh-CN"/>
              </w:rPr>
            </w:pPr>
          </w:p>
        </w:tc>
        <w:tc>
          <w:tcPr>
            <w:tcW w:w="1221" w:type="dxa"/>
            <w:vAlign w:val="center"/>
          </w:tcPr>
          <w:p w14:paraId="20AA8EBA">
            <w:pPr>
              <w:spacing w:line="240" w:lineRule="auto"/>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初始值</w:t>
            </w:r>
          </w:p>
        </w:tc>
        <w:tc>
          <w:tcPr>
            <w:tcW w:w="1016" w:type="dxa"/>
            <w:vAlign w:val="center"/>
          </w:tcPr>
          <w:p w14:paraId="32D0B160">
            <w:pPr>
              <w:spacing w:line="240" w:lineRule="auto"/>
              <w:jc w:val="center"/>
              <w:rPr>
                <w:rFonts w:hint="default"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≥340</w:t>
            </w:r>
            <w:r>
              <w:rPr>
                <w:rFonts w:hint="eastAsia" w:ascii="宋体" w:hAnsi="宋体" w:cs="宋体"/>
                <w:color w:val="auto"/>
                <w:sz w:val="16"/>
                <w:szCs w:val="16"/>
                <w:highlight w:val="none"/>
                <w:vertAlign w:val="baseline"/>
                <w:lang w:val="en-US" w:eastAsia="zh-CN"/>
              </w:rPr>
              <w:t>mm</w:t>
            </w:r>
          </w:p>
        </w:tc>
        <w:tc>
          <w:tcPr>
            <w:tcW w:w="2722" w:type="dxa"/>
            <w:vMerge w:val="restart"/>
            <w:vAlign w:val="center"/>
          </w:tcPr>
          <w:p w14:paraId="4275D912">
            <w:pPr>
              <w:spacing w:line="240" w:lineRule="auto"/>
              <w:jc w:val="center"/>
              <w:rPr>
                <w:rFonts w:hint="eastAsia" w:ascii="宋体" w:hAnsi="宋体" w:eastAsia="宋体" w:cs="宋体"/>
                <w:color w:val="auto"/>
                <w:sz w:val="16"/>
                <w:szCs w:val="16"/>
                <w:highlight w:val="none"/>
              </w:rPr>
            </w:pPr>
            <w:r>
              <w:rPr>
                <w:rFonts w:hint="eastAsia" w:ascii="宋体" w:hAnsi="宋体" w:eastAsia="宋体" w:cs="宋体"/>
                <w:color w:val="auto"/>
                <w:sz w:val="16"/>
                <w:szCs w:val="16"/>
                <w:highlight w:val="none"/>
              </w:rPr>
              <w:t>《水泥基灌聚材料应用技术规程</w:t>
            </w:r>
            <w:r>
              <w:rPr>
                <w:rFonts w:hint="eastAsia" w:ascii="宋体" w:hAnsi="宋体" w:eastAsia="宋体" w:cs="宋体"/>
                <w:color w:val="auto"/>
                <w:sz w:val="16"/>
                <w:szCs w:val="16"/>
                <w:highlight w:val="none"/>
                <w:lang w:eastAsia="zh-CN"/>
              </w:rPr>
              <w:t>》</w:t>
            </w:r>
            <w:r>
              <w:rPr>
                <w:rFonts w:hint="eastAsia" w:ascii="宋体" w:hAnsi="宋体" w:eastAsia="宋体" w:cs="宋体"/>
                <w:color w:val="auto"/>
                <w:sz w:val="16"/>
                <w:szCs w:val="16"/>
                <w:highlight w:val="none"/>
              </w:rPr>
              <w:t>GB/T 50448</w:t>
            </w:r>
          </w:p>
        </w:tc>
      </w:tr>
      <w:tr w14:paraId="73B29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Merge w:val="continue"/>
            <w:vAlign w:val="center"/>
          </w:tcPr>
          <w:p w14:paraId="2D56FA80">
            <w:pPr>
              <w:spacing w:line="240" w:lineRule="auto"/>
              <w:jc w:val="center"/>
              <w:rPr>
                <w:rFonts w:hint="eastAsia" w:ascii="宋体" w:hAnsi="宋体" w:eastAsia="宋体" w:cs="宋体"/>
                <w:color w:val="auto"/>
                <w:sz w:val="16"/>
                <w:szCs w:val="16"/>
                <w:highlight w:val="none"/>
                <w:vertAlign w:val="baseline"/>
                <w:lang w:val="en-US" w:eastAsia="zh-CN"/>
              </w:rPr>
            </w:pPr>
          </w:p>
        </w:tc>
        <w:tc>
          <w:tcPr>
            <w:tcW w:w="1221" w:type="dxa"/>
            <w:vAlign w:val="center"/>
          </w:tcPr>
          <w:p w14:paraId="2127BA37">
            <w:pPr>
              <w:spacing w:line="240" w:lineRule="auto"/>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30min</w:t>
            </w:r>
          </w:p>
        </w:tc>
        <w:tc>
          <w:tcPr>
            <w:tcW w:w="1016" w:type="dxa"/>
            <w:vAlign w:val="center"/>
          </w:tcPr>
          <w:p w14:paraId="7715345D">
            <w:pPr>
              <w:spacing w:line="240" w:lineRule="auto"/>
              <w:jc w:val="center"/>
              <w:rPr>
                <w:rFonts w:hint="default"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≥310</w:t>
            </w:r>
            <w:r>
              <w:rPr>
                <w:rFonts w:hint="eastAsia" w:ascii="宋体" w:hAnsi="宋体" w:cs="宋体"/>
                <w:color w:val="auto"/>
                <w:sz w:val="16"/>
                <w:szCs w:val="16"/>
                <w:highlight w:val="none"/>
                <w:vertAlign w:val="baseline"/>
                <w:lang w:val="en-US" w:eastAsia="zh-CN"/>
              </w:rPr>
              <w:t>mm</w:t>
            </w:r>
          </w:p>
        </w:tc>
        <w:tc>
          <w:tcPr>
            <w:tcW w:w="2722" w:type="dxa"/>
            <w:vMerge w:val="continue"/>
            <w:vAlign w:val="center"/>
          </w:tcPr>
          <w:p w14:paraId="2A3630A4">
            <w:pPr>
              <w:spacing w:line="240" w:lineRule="auto"/>
              <w:jc w:val="center"/>
              <w:rPr>
                <w:rFonts w:hint="eastAsia" w:ascii="宋体" w:hAnsi="宋体" w:eastAsia="宋体" w:cs="宋体"/>
                <w:color w:val="auto"/>
                <w:sz w:val="16"/>
                <w:szCs w:val="16"/>
                <w:highlight w:val="none"/>
              </w:rPr>
            </w:pPr>
          </w:p>
        </w:tc>
      </w:tr>
      <w:tr w14:paraId="64D09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13EB1134">
            <w:pPr>
              <w:rPr>
                <w:highlight w:val="none"/>
              </w:rPr>
            </w:pPr>
            <w:r>
              <w:rPr>
                <w:rFonts w:hint="eastAsia" w:ascii="宋体" w:hAnsi="宋体" w:eastAsia="宋体" w:cs="宋体"/>
                <w:color w:val="auto"/>
                <w:sz w:val="16"/>
                <w:szCs w:val="16"/>
                <w:highlight w:val="none"/>
                <w:vertAlign w:val="baseline"/>
                <w:lang w:val="en-US" w:eastAsia="zh-CN"/>
              </w:rPr>
              <w:t>竖向膨胀率</w:t>
            </w:r>
          </w:p>
          <w:p w14:paraId="561CDE9C">
            <w:pPr>
              <w:spacing w:line="240" w:lineRule="auto"/>
              <w:jc w:val="center"/>
              <w:rPr>
                <w:rFonts w:hint="eastAsia" w:ascii="宋体" w:hAnsi="宋体" w:eastAsia="宋体" w:cs="宋体"/>
                <w:color w:val="auto"/>
                <w:sz w:val="16"/>
                <w:szCs w:val="16"/>
                <w:highlight w:val="none"/>
                <w:vertAlign w:val="baseline"/>
                <w:lang w:val="en-US" w:eastAsia="zh-CN"/>
              </w:rPr>
            </w:pPr>
          </w:p>
        </w:tc>
        <w:tc>
          <w:tcPr>
            <w:tcW w:w="1221" w:type="dxa"/>
            <w:vAlign w:val="center"/>
          </w:tcPr>
          <w:p w14:paraId="1F72C6B9">
            <w:pPr>
              <w:spacing w:line="240" w:lineRule="auto"/>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1d</w:t>
            </w:r>
          </w:p>
        </w:tc>
        <w:tc>
          <w:tcPr>
            <w:tcW w:w="1016" w:type="dxa"/>
            <w:vAlign w:val="center"/>
          </w:tcPr>
          <w:p w14:paraId="58EFDCC0">
            <w:pPr>
              <w:spacing w:line="240" w:lineRule="auto"/>
              <w:jc w:val="center"/>
              <w:rPr>
                <w:rFonts w:hint="default" w:ascii="宋体" w:hAnsi="宋体" w:eastAsia="宋体" w:cs="宋体"/>
                <w:color w:val="auto"/>
                <w:sz w:val="16"/>
                <w:szCs w:val="16"/>
                <w:highlight w:val="none"/>
                <w:vertAlign w:val="baseline"/>
                <w:lang w:val="en-US"/>
              </w:rPr>
            </w:pPr>
            <w:r>
              <w:rPr>
                <w:rFonts w:hint="eastAsia" w:ascii="宋体" w:hAnsi="宋体" w:eastAsia="宋体" w:cs="宋体"/>
                <w:color w:val="auto"/>
                <w:sz w:val="16"/>
                <w:szCs w:val="16"/>
                <w:highlight w:val="none"/>
                <w:vertAlign w:val="baseline"/>
                <w:lang w:val="en-US" w:eastAsia="zh-CN"/>
              </w:rPr>
              <w:t>0.02</w:t>
            </w:r>
            <w:r>
              <w:rPr>
                <w:rFonts w:hint="eastAsia" w:ascii="宋体" w:hAnsi="宋体" w:cs="宋体"/>
                <w:color w:val="auto"/>
                <w:sz w:val="16"/>
                <w:szCs w:val="16"/>
                <w:highlight w:val="none"/>
                <w:vertAlign w:val="baseline"/>
                <w:lang w:val="en-US" w:eastAsia="zh-CN"/>
              </w:rPr>
              <w:t>%</w:t>
            </w:r>
            <w:r>
              <w:rPr>
                <w:rFonts w:hint="eastAsia" w:cs="Times New Roman"/>
                <w:i w:val="0"/>
                <w:iCs w:val="0"/>
                <w:color w:val="auto"/>
                <w:sz w:val="16"/>
                <w:szCs w:val="16"/>
                <w:highlight w:val="none"/>
                <w:u w:val="none"/>
                <w:vertAlign w:val="baseline"/>
                <w:lang w:val="en-US" w:eastAsia="zh-CN"/>
              </w:rPr>
              <w:t>~</w:t>
            </w:r>
            <w:r>
              <w:rPr>
                <w:rFonts w:hint="eastAsia" w:ascii="宋体" w:hAnsi="宋体" w:eastAsia="宋体" w:cs="宋体"/>
                <w:color w:val="auto"/>
                <w:sz w:val="16"/>
                <w:szCs w:val="16"/>
                <w:highlight w:val="none"/>
                <w:vertAlign w:val="baseline"/>
                <w:lang w:val="en-US" w:eastAsia="zh-CN"/>
              </w:rPr>
              <w:t>0.10</w:t>
            </w:r>
            <w:r>
              <w:rPr>
                <w:rFonts w:hint="eastAsia" w:ascii="宋体" w:hAnsi="宋体" w:cs="宋体"/>
                <w:color w:val="auto"/>
                <w:sz w:val="16"/>
                <w:szCs w:val="16"/>
                <w:highlight w:val="none"/>
                <w:vertAlign w:val="baseline"/>
                <w:lang w:val="en-US" w:eastAsia="zh-CN"/>
              </w:rPr>
              <w:t>%</w:t>
            </w:r>
          </w:p>
        </w:tc>
        <w:tc>
          <w:tcPr>
            <w:tcW w:w="2722" w:type="dxa"/>
            <w:vAlign w:val="center"/>
          </w:tcPr>
          <w:p w14:paraId="682A98D1">
            <w:pPr>
              <w:spacing w:line="240" w:lineRule="auto"/>
              <w:jc w:val="center"/>
              <w:rPr>
                <w:rFonts w:hint="eastAsia" w:ascii="宋体" w:hAnsi="宋体" w:eastAsia="宋体" w:cs="宋体"/>
                <w:color w:val="auto"/>
                <w:sz w:val="16"/>
                <w:szCs w:val="16"/>
                <w:highlight w:val="none"/>
                <w:vertAlign w:val="baseline"/>
              </w:rPr>
            </w:pPr>
            <w:r>
              <w:rPr>
                <w:rFonts w:hint="eastAsia" w:ascii="宋体" w:hAnsi="宋体" w:eastAsia="宋体" w:cs="宋体"/>
                <w:color w:val="auto"/>
                <w:sz w:val="16"/>
                <w:szCs w:val="16"/>
                <w:highlight w:val="none"/>
              </w:rPr>
              <w:t>《水泥基灌聚材料应用技术规程</w:t>
            </w:r>
            <w:r>
              <w:rPr>
                <w:rFonts w:hint="eastAsia" w:ascii="宋体" w:hAnsi="宋体" w:eastAsia="宋体" w:cs="宋体"/>
                <w:color w:val="auto"/>
                <w:sz w:val="16"/>
                <w:szCs w:val="16"/>
                <w:highlight w:val="none"/>
                <w:lang w:eastAsia="zh-CN"/>
              </w:rPr>
              <w:t>》</w:t>
            </w:r>
            <w:r>
              <w:rPr>
                <w:rFonts w:hint="eastAsia" w:ascii="宋体" w:hAnsi="宋体" w:eastAsia="宋体" w:cs="宋体"/>
                <w:color w:val="auto"/>
                <w:sz w:val="16"/>
                <w:szCs w:val="16"/>
                <w:highlight w:val="none"/>
              </w:rPr>
              <w:t>GB/T 50448</w:t>
            </w:r>
          </w:p>
        </w:tc>
      </w:tr>
      <w:tr w14:paraId="63D92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Merge w:val="restart"/>
            <w:vAlign w:val="center"/>
          </w:tcPr>
          <w:p w14:paraId="41B7B652">
            <w:pPr>
              <w:rPr>
                <w:highlight w:val="none"/>
              </w:rPr>
            </w:pPr>
            <w:r>
              <w:rPr>
                <w:rFonts w:hint="eastAsia" w:ascii="宋体" w:hAnsi="宋体" w:eastAsia="宋体" w:cs="宋体"/>
                <w:color w:val="auto"/>
                <w:sz w:val="16"/>
                <w:szCs w:val="16"/>
                <w:highlight w:val="none"/>
                <w:vertAlign w:val="baseline"/>
                <w:lang w:val="en-US" w:eastAsia="zh-CN"/>
              </w:rPr>
              <w:t>抗压强度</w:t>
            </w:r>
          </w:p>
          <w:p w14:paraId="0DE7F747">
            <w:pPr>
              <w:spacing w:line="240" w:lineRule="auto"/>
              <w:jc w:val="center"/>
              <w:rPr>
                <w:rFonts w:hint="eastAsia" w:ascii="宋体" w:hAnsi="宋体" w:eastAsia="宋体" w:cs="宋体"/>
                <w:color w:val="auto"/>
                <w:sz w:val="16"/>
                <w:szCs w:val="16"/>
                <w:highlight w:val="none"/>
                <w:vertAlign w:val="baseline"/>
                <w:lang w:val="en-US" w:eastAsia="zh-CN"/>
              </w:rPr>
            </w:pPr>
          </w:p>
        </w:tc>
        <w:tc>
          <w:tcPr>
            <w:tcW w:w="1221" w:type="dxa"/>
            <w:vAlign w:val="center"/>
          </w:tcPr>
          <w:p w14:paraId="6FFF7C8F">
            <w:pPr>
              <w:spacing w:line="240" w:lineRule="auto"/>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1d</w:t>
            </w:r>
          </w:p>
        </w:tc>
        <w:tc>
          <w:tcPr>
            <w:tcW w:w="1016" w:type="dxa"/>
            <w:vAlign w:val="center"/>
          </w:tcPr>
          <w:p w14:paraId="3A06E726">
            <w:pPr>
              <w:spacing w:line="240" w:lineRule="auto"/>
              <w:jc w:val="center"/>
              <w:rPr>
                <w:rFonts w:hint="eastAsia" w:ascii="宋体" w:hAnsi="宋体" w:eastAsia="宋体" w:cs="宋体"/>
                <w:color w:val="auto"/>
                <w:sz w:val="16"/>
                <w:szCs w:val="16"/>
                <w:highlight w:val="none"/>
                <w:vertAlign w:val="baseline"/>
                <w:lang w:val="en-US"/>
              </w:rPr>
            </w:pPr>
            <w:r>
              <w:rPr>
                <w:rFonts w:hint="eastAsia" w:ascii="宋体" w:hAnsi="宋体" w:eastAsia="宋体" w:cs="宋体"/>
                <w:color w:val="auto"/>
                <w:sz w:val="16"/>
                <w:szCs w:val="16"/>
                <w:highlight w:val="none"/>
                <w:vertAlign w:val="baseline"/>
                <w:lang w:val="en-US" w:eastAsia="zh-CN"/>
              </w:rPr>
              <w:t>≥20MPa</w:t>
            </w:r>
          </w:p>
        </w:tc>
        <w:tc>
          <w:tcPr>
            <w:tcW w:w="2722" w:type="dxa"/>
            <w:vMerge w:val="restart"/>
            <w:vAlign w:val="center"/>
          </w:tcPr>
          <w:p w14:paraId="3DA93601">
            <w:pPr>
              <w:spacing w:line="240" w:lineRule="auto"/>
              <w:jc w:val="center"/>
              <w:rPr>
                <w:rFonts w:hint="eastAsia" w:ascii="宋体" w:hAnsi="宋体" w:eastAsia="宋体" w:cs="宋体"/>
                <w:color w:val="auto"/>
                <w:sz w:val="16"/>
                <w:szCs w:val="16"/>
                <w:highlight w:val="none"/>
                <w:lang w:eastAsia="zh-CN"/>
              </w:rPr>
            </w:pPr>
            <w:r>
              <w:rPr>
                <w:rFonts w:hint="eastAsia" w:ascii="宋体" w:hAnsi="宋体" w:eastAsia="宋体" w:cs="宋体"/>
                <w:color w:val="auto"/>
                <w:sz w:val="16"/>
                <w:szCs w:val="16"/>
                <w:highlight w:val="none"/>
              </w:rPr>
              <w:t>《</w:t>
            </w:r>
            <w:r>
              <w:rPr>
                <w:rFonts w:hint="eastAsia" w:ascii="宋体" w:hAnsi="宋体" w:eastAsia="宋体" w:cs="宋体"/>
                <w:color w:val="auto"/>
                <w:sz w:val="16"/>
                <w:szCs w:val="16"/>
                <w:highlight w:val="none"/>
                <w:lang w:val="en-US" w:eastAsia="zh-CN"/>
              </w:rPr>
              <w:t>水泥胶砂强度检测方法</w:t>
            </w:r>
            <w:r>
              <w:rPr>
                <w:rFonts w:hint="eastAsia" w:ascii="宋体" w:hAnsi="宋体" w:eastAsia="宋体" w:cs="宋体"/>
                <w:color w:val="auto"/>
                <w:sz w:val="16"/>
                <w:szCs w:val="16"/>
                <w:highlight w:val="none"/>
                <w:lang w:eastAsia="zh-CN"/>
              </w:rPr>
              <w:t>》</w:t>
            </w:r>
          </w:p>
          <w:p w14:paraId="1DD26E29">
            <w:pPr>
              <w:spacing w:line="240" w:lineRule="auto"/>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rPr>
              <w:t xml:space="preserve">GB/T </w:t>
            </w:r>
            <w:r>
              <w:rPr>
                <w:rFonts w:hint="eastAsia" w:ascii="宋体" w:hAnsi="宋体" w:eastAsia="宋体" w:cs="宋体"/>
                <w:color w:val="auto"/>
                <w:sz w:val="16"/>
                <w:szCs w:val="16"/>
                <w:highlight w:val="none"/>
                <w:lang w:val="en-US" w:eastAsia="zh-CN"/>
              </w:rPr>
              <w:t>17671</w:t>
            </w:r>
          </w:p>
        </w:tc>
      </w:tr>
      <w:tr w14:paraId="117FB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Merge w:val="continue"/>
            <w:vAlign w:val="center"/>
          </w:tcPr>
          <w:p w14:paraId="67D998BE">
            <w:pPr>
              <w:spacing w:line="240" w:lineRule="auto"/>
              <w:jc w:val="center"/>
              <w:rPr>
                <w:rFonts w:hint="eastAsia" w:ascii="宋体" w:hAnsi="宋体" w:eastAsia="宋体" w:cs="宋体"/>
                <w:color w:val="auto"/>
                <w:sz w:val="16"/>
                <w:szCs w:val="16"/>
                <w:highlight w:val="none"/>
                <w:vertAlign w:val="baseline"/>
              </w:rPr>
            </w:pPr>
          </w:p>
        </w:tc>
        <w:tc>
          <w:tcPr>
            <w:tcW w:w="1221" w:type="dxa"/>
            <w:vAlign w:val="center"/>
          </w:tcPr>
          <w:p w14:paraId="5AE0824E">
            <w:pPr>
              <w:spacing w:line="240" w:lineRule="auto"/>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3d</w:t>
            </w:r>
          </w:p>
        </w:tc>
        <w:tc>
          <w:tcPr>
            <w:tcW w:w="1016" w:type="dxa"/>
            <w:vAlign w:val="center"/>
          </w:tcPr>
          <w:p w14:paraId="346AAF31">
            <w:pPr>
              <w:spacing w:line="240" w:lineRule="auto"/>
              <w:jc w:val="center"/>
              <w:rPr>
                <w:rFonts w:hint="eastAsia" w:ascii="宋体" w:hAnsi="宋体" w:eastAsia="宋体" w:cs="宋体"/>
                <w:color w:val="auto"/>
                <w:sz w:val="16"/>
                <w:szCs w:val="16"/>
                <w:highlight w:val="none"/>
                <w:vertAlign w:val="baseline"/>
                <w:lang w:val="en-US"/>
              </w:rPr>
            </w:pPr>
            <w:r>
              <w:rPr>
                <w:rFonts w:hint="eastAsia" w:ascii="宋体" w:hAnsi="宋体" w:eastAsia="宋体" w:cs="宋体"/>
                <w:color w:val="auto"/>
                <w:sz w:val="16"/>
                <w:szCs w:val="16"/>
                <w:highlight w:val="none"/>
                <w:vertAlign w:val="baseline"/>
                <w:lang w:val="en-US" w:eastAsia="zh-CN"/>
              </w:rPr>
              <w:t>≥35MPa</w:t>
            </w:r>
          </w:p>
        </w:tc>
        <w:tc>
          <w:tcPr>
            <w:tcW w:w="2722" w:type="dxa"/>
            <w:vMerge w:val="continue"/>
            <w:vAlign w:val="center"/>
          </w:tcPr>
          <w:p w14:paraId="6AD21D58">
            <w:pPr>
              <w:spacing w:line="240" w:lineRule="auto"/>
              <w:jc w:val="center"/>
              <w:rPr>
                <w:rFonts w:hint="eastAsia" w:ascii="宋体" w:hAnsi="宋体" w:eastAsia="宋体" w:cs="宋体"/>
                <w:color w:val="auto"/>
                <w:sz w:val="16"/>
                <w:szCs w:val="16"/>
                <w:highlight w:val="none"/>
                <w:vertAlign w:val="baseline"/>
              </w:rPr>
            </w:pPr>
          </w:p>
        </w:tc>
      </w:tr>
      <w:tr w14:paraId="5D9B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Merge w:val="continue"/>
            <w:vAlign w:val="center"/>
          </w:tcPr>
          <w:p w14:paraId="54D60C27">
            <w:pPr>
              <w:spacing w:line="240" w:lineRule="auto"/>
              <w:jc w:val="center"/>
              <w:rPr>
                <w:rFonts w:hint="eastAsia" w:ascii="宋体" w:hAnsi="宋体" w:eastAsia="宋体" w:cs="宋体"/>
                <w:color w:val="auto"/>
                <w:sz w:val="16"/>
                <w:szCs w:val="16"/>
                <w:highlight w:val="none"/>
                <w:vertAlign w:val="baseline"/>
              </w:rPr>
            </w:pPr>
          </w:p>
        </w:tc>
        <w:tc>
          <w:tcPr>
            <w:tcW w:w="1221" w:type="dxa"/>
            <w:vAlign w:val="center"/>
          </w:tcPr>
          <w:p w14:paraId="2B17B11D">
            <w:pPr>
              <w:spacing w:line="240" w:lineRule="auto"/>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28d</w:t>
            </w:r>
          </w:p>
        </w:tc>
        <w:tc>
          <w:tcPr>
            <w:tcW w:w="1016" w:type="dxa"/>
            <w:vAlign w:val="center"/>
          </w:tcPr>
          <w:p w14:paraId="07204838">
            <w:pPr>
              <w:spacing w:line="240" w:lineRule="auto"/>
              <w:jc w:val="center"/>
              <w:rPr>
                <w:rFonts w:hint="eastAsia" w:ascii="宋体" w:hAnsi="宋体" w:eastAsia="宋体" w:cs="宋体"/>
                <w:color w:val="auto"/>
                <w:sz w:val="16"/>
                <w:szCs w:val="16"/>
                <w:highlight w:val="none"/>
                <w:vertAlign w:val="baseline"/>
                <w:lang w:val="en-US"/>
              </w:rPr>
            </w:pPr>
            <w:r>
              <w:rPr>
                <w:rFonts w:hint="eastAsia" w:ascii="宋体" w:hAnsi="宋体" w:eastAsia="宋体" w:cs="宋体"/>
                <w:color w:val="auto"/>
                <w:sz w:val="16"/>
                <w:szCs w:val="16"/>
                <w:highlight w:val="none"/>
                <w:vertAlign w:val="baseline"/>
                <w:lang w:val="en-US" w:eastAsia="zh-CN"/>
              </w:rPr>
              <w:t>≥60MPa</w:t>
            </w:r>
          </w:p>
        </w:tc>
        <w:tc>
          <w:tcPr>
            <w:tcW w:w="2722" w:type="dxa"/>
            <w:vMerge w:val="continue"/>
            <w:vAlign w:val="center"/>
          </w:tcPr>
          <w:p w14:paraId="087216CA">
            <w:pPr>
              <w:spacing w:line="240" w:lineRule="auto"/>
              <w:jc w:val="center"/>
              <w:rPr>
                <w:rFonts w:hint="eastAsia" w:ascii="宋体" w:hAnsi="宋体" w:eastAsia="宋体" w:cs="宋体"/>
                <w:color w:val="auto"/>
                <w:sz w:val="16"/>
                <w:szCs w:val="16"/>
                <w:highlight w:val="none"/>
                <w:vertAlign w:val="baseline"/>
              </w:rPr>
            </w:pPr>
          </w:p>
        </w:tc>
      </w:tr>
      <w:tr w14:paraId="6BCF4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7" w:type="dxa"/>
            <w:gridSpan w:val="2"/>
            <w:vAlign w:val="center"/>
          </w:tcPr>
          <w:p w14:paraId="7BBA8D5C">
            <w:pPr>
              <w:spacing w:line="240" w:lineRule="auto"/>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水溶性氯离子含量</w:t>
            </w:r>
          </w:p>
        </w:tc>
        <w:tc>
          <w:tcPr>
            <w:tcW w:w="1016" w:type="dxa"/>
            <w:vAlign w:val="center"/>
          </w:tcPr>
          <w:p w14:paraId="2195D5E1">
            <w:pPr>
              <w:spacing w:line="240" w:lineRule="auto"/>
              <w:jc w:val="center"/>
              <w:rPr>
                <w:rFonts w:hint="default"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≤0.03</w:t>
            </w:r>
            <w:r>
              <w:rPr>
                <w:rFonts w:hint="eastAsia" w:ascii="宋体" w:hAnsi="宋体" w:cs="宋体"/>
                <w:color w:val="auto"/>
                <w:sz w:val="16"/>
                <w:szCs w:val="16"/>
                <w:highlight w:val="none"/>
                <w:vertAlign w:val="baseline"/>
                <w:lang w:val="en-US" w:eastAsia="zh-CN"/>
              </w:rPr>
              <w:t>%</w:t>
            </w:r>
          </w:p>
        </w:tc>
        <w:tc>
          <w:tcPr>
            <w:tcW w:w="2722" w:type="dxa"/>
            <w:vAlign w:val="center"/>
          </w:tcPr>
          <w:p w14:paraId="25C5987E">
            <w:pPr>
              <w:spacing w:line="240" w:lineRule="auto"/>
              <w:jc w:val="center"/>
              <w:rPr>
                <w:rFonts w:hint="eastAsia" w:ascii="宋体" w:hAnsi="宋体" w:eastAsia="宋体" w:cs="宋体"/>
                <w:color w:val="auto"/>
                <w:sz w:val="16"/>
                <w:szCs w:val="16"/>
                <w:highlight w:val="none"/>
                <w:vertAlign w:val="baseline"/>
              </w:rPr>
            </w:pPr>
            <w:r>
              <w:rPr>
                <w:rFonts w:hint="eastAsia" w:ascii="宋体" w:hAnsi="宋体" w:eastAsia="宋体" w:cs="宋体"/>
                <w:color w:val="auto"/>
                <w:sz w:val="16"/>
                <w:szCs w:val="16"/>
                <w:highlight w:val="none"/>
              </w:rPr>
              <w:t>《混凝土外加剂匀质性试验方法》GB/T</w:t>
            </w:r>
            <w:r>
              <w:rPr>
                <w:rFonts w:hint="eastAsia" w:ascii="宋体" w:hAnsi="宋体" w:eastAsia="宋体" w:cs="宋体"/>
                <w:color w:val="auto"/>
                <w:sz w:val="16"/>
                <w:szCs w:val="16"/>
                <w:highlight w:val="none"/>
                <w:lang w:val="en-US" w:eastAsia="zh-CN"/>
              </w:rPr>
              <w:t xml:space="preserve"> </w:t>
            </w:r>
            <w:r>
              <w:rPr>
                <w:rFonts w:hint="eastAsia" w:ascii="宋体" w:hAnsi="宋体" w:eastAsia="宋体" w:cs="宋体"/>
                <w:color w:val="auto"/>
                <w:sz w:val="16"/>
                <w:szCs w:val="16"/>
                <w:highlight w:val="none"/>
              </w:rPr>
              <w:t>8077</w:t>
            </w:r>
          </w:p>
        </w:tc>
      </w:tr>
    </w:tbl>
    <w:p w14:paraId="26ABE93E">
      <w:pPr>
        <w:spacing w:line="360" w:lineRule="exact"/>
        <w:rPr>
          <w:color w:val="auto"/>
          <w:szCs w:val="21"/>
          <w:highlight w:val="none"/>
        </w:rPr>
      </w:pPr>
      <w:r>
        <w:rPr>
          <w:b/>
          <w:color w:val="auto"/>
          <w:szCs w:val="21"/>
          <w:highlight w:val="none"/>
        </w:rPr>
        <w:t>4.1.1</w:t>
      </w:r>
      <w:r>
        <w:rPr>
          <w:rFonts w:hint="eastAsia"/>
          <w:b/>
          <w:color w:val="auto"/>
          <w:szCs w:val="21"/>
          <w:highlight w:val="none"/>
        </w:rPr>
        <w:t>2</w:t>
      </w:r>
      <w:r>
        <w:rPr>
          <w:b/>
          <w:color w:val="auto"/>
          <w:szCs w:val="21"/>
          <w:highlight w:val="none"/>
        </w:rPr>
        <w:t xml:space="preserve"> </w:t>
      </w:r>
      <w:r>
        <w:rPr>
          <w:rFonts w:hint="eastAsia"/>
          <w:b/>
          <w:color w:val="auto"/>
          <w:szCs w:val="21"/>
          <w:highlight w:val="none"/>
          <w:lang w:val="en-US" w:eastAsia="zh-CN"/>
        </w:rPr>
        <w:t xml:space="preserve"> </w:t>
      </w:r>
      <w:r>
        <w:rPr>
          <w:color w:val="auto"/>
          <w:szCs w:val="21"/>
          <w:highlight w:val="none"/>
        </w:rPr>
        <w:t>用于连接上下模块单元的专用封浆料性能应满足表4.</w:t>
      </w:r>
      <w:r>
        <w:rPr>
          <w:rFonts w:hint="eastAsia"/>
          <w:color w:val="auto"/>
          <w:szCs w:val="21"/>
          <w:highlight w:val="none"/>
        </w:rPr>
        <w:t>1</w:t>
      </w:r>
      <w:r>
        <w:rPr>
          <w:color w:val="auto"/>
          <w:szCs w:val="21"/>
          <w:highlight w:val="none"/>
        </w:rPr>
        <w:t>.</w:t>
      </w:r>
      <w:r>
        <w:rPr>
          <w:rFonts w:hint="eastAsia"/>
          <w:color w:val="auto"/>
          <w:szCs w:val="21"/>
          <w:highlight w:val="none"/>
        </w:rPr>
        <w:t>12</w:t>
      </w:r>
      <w:r>
        <w:rPr>
          <w:color w:val="auto"/>
          <w:szCs w:val="21"/>
          <w:highlight w:val="none"/>
        </w:rPr>
        <w:t>的要求。</w:t>
      </w:r>
    </w:p>
    <w:p w14:paraId="233CC02C">
      <w:pPr>
        <w:jc w:val="center"/>
        <w:rPr>
          <w:rFonts w:eastAsia="黑体"/>
          <w:color w:val="auto"/>
          <w:sz w:val="18"/>
          <w:szCs w:val="18"/>
          <w:highlight w:val="none"/>
        </w:rPr>
      </w:pPr>
      <w:r>
        <w:rPr>
          <w:rFonts w:eastAsia="黑体"/>
          <w:color w:val="auto"/>
          <w:sz w:val="18"/>
          <w:szCs w:val="18"/>
          <w:highlight w:val="none"/>
        </w:rPr>
        <w:t>表</w:t>
      </w:r>
      <w:r>
        <w:rPr>
          <w:rFonts w:eastAsia="黑体"/>
          <w:b/>
          <w:color w:val="auto"/>
          <w:sz w:val="18"/>
          <w:szCs w:val="18"/>
          <w:highlight w:val="none"/>
        </w:rPr>
        <w:t>4.1.</w:t>
      </w:r>
      <w:r>
        <w:rPr>
          <w:rFonts w:hint="eastAsia" w:eastAsia="黑体"/>
          <w:b/>
          <w:color w:val="auto"/>
          <w:sz w:val="18"/>
          <w:szCs w:val="18"/>
          <w:highlight w:val="none"/>
        </w:rPr>
        <w:t>12</w:t>
      </w:r>
      <w:r>
        <w:rPr>
          <w:rFonts w:eastAsia="黑体"/>
          <w:b/>
          <w:color w:val="auto"/>
          <w:sz w:val="18"/>
          <w:szCs w:val="18"/>
          <w:highlight w:val="none"/>
        </w:rPr>
        <w:t xml:space="preserve"> </w:t>
      </w:r>
      <w:r>
        <w:rPr>
          <w:rFonts w:hint="eastAsia" w:eastAsia="黑体"/>
          <w:color w:val="auto"/>
          <w:sz w:val="18"/>
          <w:szCs w:val="18"/>
          <w:highlight w:val="none"/>
        </w:rPr>
        <w:t>封</w:t>
      </w:r>
      <w:r>
        <w:rPr>
          <w:rFonts w:eastAsia="黑体"/>
          <w:color w:val="auto"/>
          <w:sz w:val="18"/>
          <w:szCs w:val="18"/>
          <w:highlight w:val="none"/>
        </w:rPr>
        <w:t>浆料性能要求</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1190"/>
        <w:gridCol w:w="1161"/>
        <w:gridCol w:w="2638"/>
      </w:tblGrid>
      <w:tr w14:paraId="1BE5B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8" w:type="dxa"/>
            <w:gridSpan w:val="2"/>
            <w:vAlign w:val="center"/>
          </w:tcPr>
          <w:p w14:paraId="50C87491">
            <w:pPr>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项目</w:t>
            </w:r>
          </w:p>
        </w:tc>
        <w:tc>
          <w:tcPr>
            <w:tcW w:w="969" w:type="dxa"/>
            <w:vAlign w:val="center"/>
          </w:tcPr>
          <w:p w14:paraId="186213A5">
            <w:pPr>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性能指标</w:t>
            </w:r>
          </w:p>
        </w:tc>
        <w:tc>
          <w:tcPr>
            <w:tcW w:w="2748" w:type="dxa"/>
            <w:vAlign w:val="center"/>
          </w:tcPr>
          <w:p w14:paraId="1D53624C">
            <w:pPr>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试验方法标准</w:t>
            </w:r>
          </w:p>
        </w:tc>
      </w:tr>
      <w:tr w14:paraId="1AC65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8" w:type="dxa"/>
            <w:gridSpan w:val="2"/>
            <w:vAlign w:val="center"/>
          </w:tcPr>
          <w:p w14:paraId="04AC9569">
            <w:pPr>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初始流动度</w:t>
            </w:r>
          </w:p>
        </w:tc>
        <w:tc>
          <w:tcPr>
            <w:tcW w:w="969" w:type="dxa"/>
            <w:vAlign w:val="center"/>
          </w:tcPr>
          <w:p w14:paraId="71247C38">
            <w:pPr>
              <w:jc w:val="center"/>
              <w:rPr>
                <w:rFonts w:hint="default"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130</w:t>
            </w:r>
            <w:r>
              <w:rPr>
                <w:rFonts w:hint="eastAsia" w:ascii="宋体" w:hAnsi="宋体" w:cs="宋体"/>
                <w:color w:val="auto"/>
                <w:sz w:val="16"/>
                <w:szCs w:val="16"/>
                <w:highlight w:val="none"/>
                <w:vertAlign w:val="baseline"/>
                <w:lang w:val="en-US" w:eastAsia="zh-CN"/>
              </w:rPr>
              <w:t>mm</w:t>
            </w:r>
            <w:r>
              <w:rPr>
                <w:rFonts w:hint="eastAsia" w:cs="Times New Roman"/>
                <w:i w:val="0"/>
                <w:iCs w:val="0"/>
                <w:color w:val="auto"/>
                <w:sz w:val="16"/>
                <w:szCs w:val="16"/>
                <w:highlight w:val="none"/>
                <w:u w:val="none"/>
                <w:vertAlign w:val="baseline"/>
                <w:lang w:val="en-US" w:eastAsia="zh-CN"/>
              </w:rPr>
              <w:t>~</w:t>
            </w:r>
            <w:r>
              <w:rPr>
                <w:rFonts w:hint="eastAsia" w:ascii="宋体" w:hAnsi="宋体" w:eastAsia="宋体" w:cs="宋体"/>
                <w:color w:val="auto"/>
                <w:sz w:val="16"/>
                <w:szCs w:val="16"/>
                <w:highlight w:val="none"/>
                <w:vertAlign w:val="baseline"/>
                <w:lang w:val="en-US" w:eastAsia="zh-CN"/>
              </w:rPr>
              <w:t>170</w:t>
            </w:r>
            <w:r>
              <w:rPr>
                <w:rFonts w:hint="eastAsia" w:ascii="宋体" w:hAnsi="宋体" w:cs="宋体"/>
                <w:color w:val="auto"/>
                <w:sz w:val="16"/>
                <w:szCs w:val="16"/>
                <w:highlight w:val="none"/>
                <w:vertAlign w:val="baseline"/>
                <w:lang w:val="en-US" w:eastAsia="zh-CN"/>
              </w:rPr>
              <w:t>mm</w:t>
            </w:r>
          </w:p>
        </w:tc>
        <w:tc>
          <w:tcPr>
            <w:tcW w:w="2748" w:type="dxa"/>
            <w:vAlign w:val="center"/>
          </w:tcPr>
          <w:p w14:paraId="7ACEF4E4">
            <w:pPr>
              <w:jc w:val="center"/>
              <w:rPr>
                <w:rFonts w:hint="eastAsia" w:ascii="宋体" w:hAnsi="宋体" w:eastAsia="宋体" w:cs="宋体"/>
                <w:color w:val="auto"/>
                <w:sz w:val="16"/>
                <w:szCs w:val="16"/>
                <w:highlight w:val="none"/>
                <w:lang w:eastAsia="zh-CN"/>
              </w:rPr>
            </w:pPr>
            <w:r>
              <w:rPr>
                <w:rFonts w:hint="eastAsia" w:ascii="宋体" w:hAnsi="宋体" w:eastAsia="宋体" w:cs="宋体"/>
                <w:color w:val="auto"/>
                <w:sz w:val="16"/>
                <w:szCs w:val="16"/>
                <w:highlight w:val="none"/>
              </w:rPr>
              <w:t>《</w:t>
            </w:r>
            <w:r>
              <w:rPr>
                <w:rFonts w:hint="eastAsia" w:ascii="宋体" w:hAnsi="宋体" w:eastAsia="宋体" w:cs="宋体"/>
                <w:color w:val="auto"/>
                <w:sz w:val="16"/>
                <w:szCs w:val="16"/>
                <w:highlight w:val="none"/>
                <w:lang w:val="en-US" w:eastAsia="zh-CN"/>
              </w:rPr>
              <w:t>水泥胶砂流动度检测方法</w:t>
            </w:r>
            <w:r>
              <w:rPr>
                <w:rFonts w:hint="eastAsia" w:ascii="宋体" w:hAnsi="宋体" w:eastAsia="宋体" w:cs="宋体"/>
                <w:color w:val="auto"/>
                <w:sz w:val="16"/>
                <w:szCs w:val="16"/>
                <w:highlight w:val="none"/>
                <w:lang w:eastAsia="zh-CN"/>
              </w:rPr>
              <w:t>》</w:t>
            </w:r>
          </w:p>
          <w:p w14:paraId="2194E303">
            <w:pPr>
              <w:jc w:val="center"/>
              <w:rPr>
                <w:rFonts w:hint="eastAsia" w:ascii="宋体" w:hAnsi="宋体" w:eastAsia="宋体" w:cs="宋体"/>
                <w:color w:val="auto"/>
                <w:sz w:val="16"/>
                <w:szCs w:val="16"/>
                <w:highlight w:val="none"/>
                <w:lang w:val="en-US"/>
              </w:rPr>
            </w:pPr>
            <w:r>
              <w:rPr>
                <w:rFonts w:hint="eastAsia" w:ascii="宋体" w:hAnsi="宋体" w:eastAsia="宋体" w:cs="宋体"/>
                <w:color w:val="auto"/>
                <w:sz w:val="16"/>
                <w:szCs w:val="16"/>
                <w:highlight w:val="none"/>
              </w:rPr>
              <w:t xml:space="preserve">GB/T </w:t>
            </w:r>
            <w:r>
              <w:rPr>
                <w:rFonts w:hint="eastAsia" w:ascii="宋体" w:hAnsi="宋体" w:eastAsia="宋体" w:cs="宋体"/>
                <w:color w:val="auto"/>
                <w:sz w:val="16"/>
                <w:szCs w:val="16"/>
                <w:highlight w:val="none"/>
                <w:lang w:val="en-US" w:eastAsia="zh-CN"/>
              </w:rPr>
              <w:t>2419</w:t>
            </w:r>
          </w:p>
        </w:tc>
      </w:tr>
      <w:tr w14:paraId="4F3A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Merge w:val="restart"/>
            <w:vAlign w:val="center"/>
          </w:tcPr>
          <w:p w14:paraId="25147FDE">
            <w:pPr>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抗压强度</w:t>
            </w:r>
          </w:p>
        </w:tc>
        <w:tc>
          <w:tcPr>
            <w:tcW w:w="1230" w:type="dxa"/>
            <w:vAlign w:val="center"/>
          </w:tcPr>
          <w:p w14:paraId="746B39F2">
            <w:pPr>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1d</w:t>
            </w:r>
          </w:p>
        </w:tc>
        <w:tc>
          <w:tcPr>
            <w:tcW w:w="969" w:type="dxa"/>
            <w:vAlign w:val="center"/>
          </w:tcPr>
          <w:p w14:paraId="074B344A">
            <w:pPr>
              <w:jc w:val="center"/>
              <w:rPr>
                <w:rFonts w:hint="eastAsia" w:ascii="宋体" w:hAnsi="宋体" w:eastAsia="宋体" w:cs="宋体"/>
                <w:color w:val="auto"/>
                <w:sz w:val="16"/>
                <w:szCs w:val="16"/>
                <w:highlight w:val="none"/>
                <w:vertAlign w:val="baseline"/>
                <w:lang w:val="en-US"/>
              </w:rPr>
            </w:pPr>
            <w:r>
              <w:rPr>
                <w:rFonts w:hint="eastAsia" w:ascii="宋体" w:hAnsi="宋体" w:eastAsia="宋体" w:cs="宋体"/>
                <w:color w:val="auto"/>
                <w:sz w:val="16"/>
                <w:szCs w:val="16"/>
                <w:highlight w:val="none"/>
                <w:vertAlign w:val="baseline"/>
                <w:lang w:val="en-US" w:eastAsia="zh-CN"/>
              </w:rPr>
              <w:t>≥30MPa</w:t>
            </w:r>
          </w:p>
        </w:tc>
        <w:tc>
          <w:tcPr>
            <w:tcW w:w="2748" w:type="dxa"/>
            <w:vMerge w:val="restart"/>
            <w:vAlign w:val="center"/>
          </w:tcPr>
          <w:p w14:paraId="4B545F81">
            <w:pPr>
              <w:jc w:val="center"/>
              <w:rPr>
                <w:rFonts w:hint="eastAsia" w:ascii="宋体" w:hAnsi="宋体" w:eastAsia="宋体" w:cs="宋体"/>
                <w:color w:val="auto"/>
                <w:sz w:val="16"/>
                <w:szCs w:val="16"/>
                <w:highlight w:val="none"/>
                <w:lang w:eastAsia="zh-CN"/>
              </w:rPr>
            </w:pPr>
            <w:bookmarkStart w:id="145" w:name="OLE_LINK34"/>
            <w:r>
              <w:rPr>
                <w:rFonts w:hint="eastAsia" w:ascii="宋体" w:hAnsi="宋体" w:eastAsia="宋体" w:cs="宋体"/>
                <w:color w:val="auto"/>
                <w:sz w:val="16"/>
                <w:szCs w:val="16"/>
                <w:highlight w:val="none"/>
              </w:rPr>
              <w:t>《</w:t>
            </w:r>
            <w:r>
              <w:rPr>
                <w:rFonts w:hint="eastAsia" w:ascii="宋体" w:hAnsi="宋体" w:eastAsia="宋体" w:cs="宋体"/>
                <w:color w:val="auto"/>
                <w:sz w:val="16"/>
                <w:szCs w:val="16"/>
                <w:highlight w:val="none"/>
                <w:lang w:val="en-US" w:eastAsia="zh-CN"/>
              </w:rPr>
              <w:t>水泥胶砂强度检测方法</w:t>
            </w:r>
            <w:r>
              <w:rPr>
                <w:rFonts w:hint="eastAsia" w:ascii="宋体" w:hAnsi="宋体" w:eastAsia="宋体" w:cs="宋体"/>
                <w:color w:val="auto"/>
                <w:sz w:val="16"/>
                <w:szCs w:val="16"/>
                <w:highlight w:val="none"/>
                <w:lang w:eastAsia="zh-CN"/>
              </w:rPr>
              <w:t>》</w:t>
            </w:r>
          </w:p>
          <w:p w14:paraId="7F767B70">
            <w:pPr>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rPr>
              <w:t xml:space="preserve">GB/T </w:t>
            </w:r>
            <w:r>
              <w:rPr>
                <w:rFonts w:hint="eastAsia" w:ascii="宋体" w:hAnsi="宋体" w:eastAsia="宋体" w:cs="宋体"/>
                <w:color w:val="auto"/>
                <w:sz w:val="16"/>
                <w:szCs w:val="16"/>
                <w:highlight w:val="none"/>
                <w:lang w:val="en-US" w:eastAsia="zh-CN"/>
              </w:rPr>
              <w:t>17671</w:t>
            </w:r>
            <w:bookmarkEnd w:id="145"/>
          </w:p>
        </w:tc>
      </w:tr>
      <w:tr w14:paraId="65141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Merge w:val="continue"/>
            <w:vAlign w:val="center"/>
          </w:tcPr>
          <w:p w14:paraId="6E2CDB75">
            <w:pPr>
              <w:jc w:val="center"/>
              <w:rPr>
                <w:rFonts w:eastAsia="黑体"/>
                <w:color w:val="auto"/>
                <w:sz w:val="16"/>
                <w:szCs w:val="16"/>
                <w:highlight w:val="none"/>
                <w:vertAlign w:val="baseline"/>
              </w:rPr>
            </w:pPr>
          </w:p>
        </w:tc>
        <w:tc>
          <w:tcPr>
            <w:tcW w:w="1230" w:type="dxa"/>
            <w:vAlign w:val="center"/>
          </w:tcPr>
          <w:p w14:paraId="60DBC890">
            <w:pPr>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3d</w:t>
            </w:r>
          </w:p>
        </w:tc>
        <w:tc>
          <w:tcPr>
            <w:tcW w:w="969" w:type="dxa"/>
            <w:vAlign w:val="center"/>
          </w:tcPr>
          <w:p w14:paraId="46B26378">
            <w:pPr>
              <w:jc w:val="center"/>
              <w:rPr>
                <w:rFonts w:hint="eastAsia" w:ascii="宋体" w:hAnsi="宋体" w:eastAsia="宋体" w:cs="宋体"/>
                <w:color w:val="auto"/>
                <w:sz w:val="16"/>
                <w:szCs w:val="16"/>
                <w:highlight w:val="none"/>
                <w:vertAlign w:val="baseline"/>
                <w:lang w:val="en-US"/>
              </w:rPr>
            </w:pPr>
            <w:r>
              <w:rPr>
                <w:rFonts w:hint="eastAsia" w:ascii="宋体" w:hAnsi="宋体" w:eastAsia="宋体" w:cs="宋体"/>
                <w:color w:val="auto"/>
                <w:sz w:val="16"/>
                <w:szCs w:val="16"/>
                <w:highlight w:val="none"/>
                <w:vertAlign w:val="baseline"/>
                <w:lang w:val="en-US" w:eastAsia="zh-CN"/>
              </w:rPr>
              <w:t>≥45MPa</w:t>
            </w:r>
          </w:p>
        </w:tc>
        <w:tc>
          <w:tcPr>
            <w:tcW w:w="2748" w:type="dxa"/>
            <w:vMerge w:val="continue"/>
            <w:vAlign w:val="center"/>
          </w:tcPr>
          <w:p w14:paraId="26A683F9">
            <w:pPr>
              <w:jc w:val="center"/>
              <w:rPr>
                <w:rFonts w:eastAsia="黑体"/>
                <w:color w:val="auto"/>
                <w:sz w:val="16"/>
                <w:szCs w:val="16"/>
                <w:highlight w:val="none"/>
                <w:vertAlign w:val="baseline"/>
              </w:rPr>
            </w:pPr>
          </w:p>
        </w:tc>
      </w:tr>
      <w:tr w14:paraId="549FF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Merge w:val="continue"/>
            <w:vAlign w:val="center"/>
          </w:tcPr>
          <w:p w14:paraId="305D1ABF">
            <w:pPr>
              <w:jc w:val="center"/>
              <w:rPr>
                <w:rFonts w:eastAsia="黑体"/>
                <w:color w:val="auto"/>
                <w:sz w:val="16"/>
                <w:szCs w:val="16"/>
                <w:highlight w:val="none"/>
                <w:vertAlign w:val="baseline"/>
              </w:rPr>
            </w:pPr>
          </w:p>
        </w:tc>
        <w:tc>
          <w:tcPr>
            <w:tcW w:w="1230" w:type="dxa"/>
            <w:vAlign w:val="center"/>
          </w:tcPr>
          <w:p w14:paraId="51C2779C">
            <w:pPr>
              <w:jc w:val="center"/>
              <w:rPr>
                <w:rFonts w:hint="eastAsia" w:ascii="宋体" w:hAnsi="宋体" w:eastAsia="宋体" w:cs="宋体"/>
                <w:color w:val="auto"/>
                <w:sz w:val="16"/>
                <w:szCs w:val="16"/>
                <w:highlight w:val="none"/>
                <w:vertAlign w:val="baseline"/>
                <w:lang w:val="en-US" w:eastAsia="zh-CN"/>
              </w:rPr>
            </w:pPr>
            <w:r>
              <w:rPr>
                <w:rFonts w:hint="eastAsia" w:ascii="宋体" w:hAnsi="宋体" w:eastAsia="宋体" w:cs="宋体"/>
                <w:color w:val="auto"/>
                <w:sz w:val="16"/>
                <w:szCs w:val="16"/>
                <w:highlight w:val="none"/>
                <w:vertAlign w:val="baseline"/>
                <w:lang w:val="en-US" w:eastAsia="zh-CN"/>
              </w:rPr>
              <w:t>28d</w:t>
            </w:r>
          </w:p>
        </w:tc>
        <w:tc>
          <w:tcPr>
            <w:tcW w:w="969" w:type="dxa"/>
            <w:vAlign w:val="center"/>
          </w:tcPr>
          <w:p w14:paraId="1FAE8141">
            <w:pPr>
              <w:jc w:val="center"/>
              <w:rPr>
                <w:rFonts w:hint="eastAsia" w:ascii="宋体" w:hAnsi="宋体" w:eastAsia="宋体" w:cs="宋体"/>
                <w:color w:val="auto"/>
                <w:sz w:val="16"/>
                <w:szCs w:val="16"/>
                <w:highlight w:val="none"/>
                <w:vertAlign w:val="baseline"/>
                <w:lang w:val="en-US"/>
              </w:rPr>
            </w:pPr>
            <w:r>
              <w:rPr>
                <w:rFonts w:hint="eastAsia" w:ascii="宋体" w:hAnsi="宋体" w:eastAsia="宋体" w:cs="宋体"/>
                <w:color w:val="auto"/>
                <w:sz w:val="16"/>
                <w:szCs w:val="16"/>
                <w:highlight w:val="none"/>
                <w:vertAlign w:val="baseline"/>
                <w:lang w:val="en-US" w:eastAsia="zh-CN"/>
              </w:rPr>
              <w:t>≥55MPa</w:t>
            </w:r>
          </w:p>
        </w:tc>
        <w:tc>
          <w:tcPr>
            <w:tcW w:w="2748" w:type="dxa"/>
            <w:vMerge w:val="continue"/>
            <w:vAlign w:val="center"/>
          </w:tcPr>
          <w:p w14:paraId="7F7CD655">
            <w:pPr>
              <w:jc w:val="center"/>
              <w:rPr>
                <w:rFonts w:eastAsia="黑体"/>
                <w:color w:val="auto"/>
                <w:sz w:val="16"/>
                <w:szCs w:val="16"/>
                <w:highlight w:val="none"/>
                <w:vertAlign w:val="baseline"/>
              </w:rPr>
            </w:pPr>
          </w:p>
        </w:tc>
      </w:tr>
    </w:tbl>
    <w:p w14:paraId="3DC8EF5F">
      <w:pPr>
        <w:jc w:val="left"/>
        <w:rPr>
          <w:color w:val="auto"/>
          <w:highlight w:val="none"/>
        </w:rPr>
      </w:pPr>
      <w:r>
        <w:rPr>
          <w:b/>
          <w:color w:val="auto"/>
          <w:highlight w:val="none"/>
        </w:rPr>
        <w:t>4.1.1</w:t>
      </w:r>
      <w:r>
        <w:rPr>
          <w:rFonts w:hint="eastAsia"/>
          <w:b/>
          <w:color w:val="auto"/>
          <w:highlight w:val="none"/>
        </w:rPr>
        <w:t>3</w:t>
      </w:r>
      <w:r>
        <w:rPr>
          <w:b/>
          <w:color w:val="auto"/>
          <w:highlight w:val="none"/>
        </w:rPr>
        <w:t xml:space="preserve"> </w:t>
      </w:r>
      <w:r>
        <w:rPr>
          <w:rFonts w:hint="eastAsia"/>
          <w:b/>
          <w:color w:val="auto"/>
          <w:highlight w:val="none"/>
          <w:lang w:val="en-US" w:eastAsia="zh-CN"/>
        </w:rPr>
        <w:t xml:space="preserve"> </w:t>
      </w:r>
      <w:r>
        <w:rPr>
          <w:color w:val="auto"/>
          <w:highlight w:val="none"/>
        </w:rPr>
        <w:t>自密实混凝土拌合物除应满足普通混凝土拌合物对凝结时间、凝聚性和保水性等的要求外，自密实性能还应满足表4.</w:t>
      </w:r>
      <w:r>
        <w:rPr>
          <w:rFonts w:hint="eastAsia"/>
          <w:color w:val="auto"/>
          <w:highlight w:val="none"/>
        </w:rPr>
        <w:t>1</w:t>
      </w:r>
      <w:r>
        <w:rPr>
          <w:color w:val="auto"/>
          <w:highlight w:val="none"/>
        </w:rPr>
        <w:t>.</w:t>
      </w:r>
      <w:r>
        <w:rPr>
          <w:rFonts w:hint="eastAsia"/>
          <w:color w:val="auto"/>
          <w:highlight w:val="none"/>
        </w:rPr>
        <w:t>13</w:t>
      </w:r>
      <w:r>
        <w:rPr>
          <w:color w:val="auto"/>
          <w:highlight w:val="none"/>
        </w:rPr>
        <w:t>的要求。</w:t>
      </w:r>
    </w:p>
    <w:p w14:paraId="6FD4CC04">
      <w:pPr>
        <w:spacing w:line="360" w:lineRule="exact"/>
        <w:jc w:val="center"/>
        <w:rPr>
          <w:rFonts w:eastAsia="黑体"/>
          <w:color w:val="auto"/>
          <w:sz w:val="18"/>
          <w:szCs w:val="18"/>
          <w:highlight w:val="none"/>
        </w:rPr>
      </w:pPr>
      <w:r>
        <w:rPr>
          <w:rFonts w:eastAsia="黑体"/>
          <w:color w:val="auto"/>
          <w:sz w:val="18"/>
          <w:szCs w:val="18"/>
          <w:highlight w:val="none"/>
        </w:rPr>
        <w:t>表</w:t>
      </w:r>
      <w:r>
        <w:rPr>
          <w:rFonts w:eastAsia="黑体"/>
          <w:b/>
          <w:color w:val="auto"/>
          <w:sz w:val="18"/>
          <w:szCs w:val="18"/>
          <w:highlight w:val="none"/>
        </w:rPr>
        <w:t>4.1.1</w:t>
      </w:r>
      <w:r>
        <w:rPr>
          <w:rFonts w:hint="eastAsia" w:eastAsia="黑体"/>
          <w:b/>
          <w:color w:val="auto"/>
          <w:sz w:val="18"/>
          <w:szCs w:val="18"/>
          <w:highlight w:val="none"/>
        </w:rPr>
        <w:t>3</w:t>
      </w:r>
      <w:r>
        <w:rPr>
          <w:rFonts w:eastAsia="黑体"/>
          <w:b/>
          <w:color w:val="auto"/>
          <w:sz w:val="18"/>
          <w:szCs w:val="18"/>
          <w:highlight w:val="none"/>
        </w:rPr>
        <w:t xml:space="preserve"> </w:t>
      </w:r>
      <w:r>
        <w:rPr>
          <w:rFonts w:hint="eastAsia" w:eastAsia="黑体"/>
          <w:color w:val="auto"/>
          <w:sz w:val="18"/>
          <w:szCs w:val="18"/>
          <w:highlight w:val="none"/>
        </w:rPr>
        <w:t>自密实混凝土拌合物的自密实性能及</w:t>
      </w:r>
      <w:r>
        <w:rPr>
          <w:rFonts w:eastAsia="黑体"/>
          <w:color w:val="auto"/>
          <w:sz w:val="18"/>
          <w:szCs w:val="18"/>
          <w:highlight w:val="none"/>
        </w:rPr>
        <w:t>要求</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1246"/>
        <w:gridCol w:w="1349"/>
        <w:gridCol w:w="1172"/>
        <w:gridCol w:w="1465"/>
      </w:tblGrid>
      <w:tr w14:paraId="08D75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Align w:val="center"/>
          </w:tcPr>
          <w:p w14:paraId="63264298">
            <w:pPr>
              <w:spacing w:line="240" w:lineRule="auto"/>
              <w:jc w:val="center"/>
              <w:rPr>
                <w:rFonts w:hint="default" w:ascii="Times New Roman" w:hAnsi="Times New Roman" w:eastAsia="宋体" w:cs="Times New Roman"/>
                <w:i w:val="0"/>
                <w:iCs w:val="0"/>
                <w:color w:val="auto"/>
                <w:sz w:val="16"/>
                <w:szCs w:val="16"/>
                <w:highlight w:val="none"/>
                <w:u w:val="none"/>
                <w:vertAlign w:val="baseline"/>
                <w:lang w:val="en-US" w:eastAsia="zh-CN"/>
              </w:rPr>
            </w:pPr>
            <w:r>
              <w:rPr>
                <w:rFonts w:hint="eastAsia" w:ascii="Times New Roman" w:hAnsi="Times New Roman" w:eastAsia="宋体" w:cs="Times New Roman"/>
                <w:i w:val="0"/>
                <w:iCs w:val="0"/>
                <w:color w:val="auto"/>
                <w:sz w:val="16"/>
                <w:szCs w:val="16"/>
                <w:highlight w:val="none"/>
                <w:u w:val="none"/>
                <w:vertAlign w:val="baseline"/>
                <w:lang w:val="en-US" w:eastAsia="zh-CN"/>
              </w:rPr>
              <w:t>检测性能</w:t>
            </w:r>
          </w:p>
        </w:tc>
        <w:tc>
          <w:tcPr>
            <w:tcW w:w="1246" w:type="dxa"/>
            <w:vAlign w:val="center"/>
          </w:tcPr>
          <w:p w14:paraId="0D7898F5">
            <w:pPr>
              <w:spacing w:line="240" w:lineRule="auto"/>
              <w:jc w:val="center"/>
              <w:rPr>
                <w:rFonts w:hint="default" w:ascii="Times New Roman" w:hAnsi="Times New Roman" w:eastAsia="宋体" w:cs="Times New Roman"/>
                <w:i w:val="0"/>
                <w:iCs w:val="0"/>
                <w:color w:val="auto"/>
                <w:sz w:val="16"/>
                <w:szCs w:val="16"/>
                <w:highlight w:val="none"/>
                <w:u w:val="none"/>
                <w:vertAlign w:val="baseline"/>
                <w:lang w:val="en-US" w:eastAsia="zh-CN"/>
              </w:rPr>
            </w:pPr>
            <w:r>
              <w:rPr>
                <w:rFonts w:hint="eastAsia" w:ascii="Times New Roman" w:hAnsi="Times New Roman" w:eastAsia="宋体" w:cs="Times New Roman"/>
                <w:i w:val="0"/>
                <w:iCs w:val="0"/>
                <w:color w:val="auto"/>
                <w:sz w:val="16"/>
                <w:szCs w:val="16"/>
                <w:highlight w:val="none"/>
                <w:u w:val="none"/>
                <w:vertAlign w:val="baseline"/>
                <w:lang w:val="en-US" w:eastAsia="zh-CN"/>
              </w:rPr>
              <w:t>性能指标测试方法</w:t>
            </w:r>
          </w:p>
        </w:tc>
        <w:tc>
          <w:tcPr>
            <w:tcW w:w="1349" w:type="dxa"/>
            <w:vAlign w:val="center"/>
          </w:tcPr>
          <w:p w14:paraId="294EC865">
            <w:pPr>
              <w:spacing w:line="240" w:lineRule="auto"/>
              <w:jc w:val="center"/>
              <w:rPr>
                <w:rFonts w:hint="default" w:ascii="Times New Roman" w:hAnsi="Times New Roman" w:eastAsia="宋体" w:cs="Times New Roman"/>
                <w:i w:val="0"/>
                <w:iCs w:val="0"/>
                <w:color w:val="auto"/>
                <w:sz w:val="16"/>
                <w:szCs w:val="16"/>
                <w:highlight w:val="none"/>
                <w:u w:val="none"/>
                <w:vertAlign w:val="baseline"/>
                <w:lang w:val="en-US" w:eastAsia="zh-CN"/>
              </w:rPr>
            </w:pPr>
            <w:r>
              <w:rPr>
                <w:rFonts w:hint="eastAsia" w:ascii="Times New Roman" w:hAnsi="Times New Roman" w:eastAsia="宋体" w:cs="Times New Roman"/>
                <w:i w:val="0"/>
                <w:iCs w:val="0"/>
                <w:color w:val="auto"/>
                <w:sz w:val="16"/>
                <w:szCs w:val="16"/>
                <w:highlight w:val="none"/>
                <w:u w:val="none"/>
                <w:vertAlign w:val="baseline"/>
                <w:lang w:val="en-US" w:eastAsia="zh-CN"/>
              </w:rPr>
              <w:t>性能指标</w:t>
            </w:r>
          </w:p>
        </w:tc>
        <w:tc>
          <w:tcPr>
            <w:tcW w:w="1172" w:type="dxa"/>
            <w:vAlign w:val="center"/>
          </w:tcPr>
          <w:p w14:paraId="361E8BDF">
            <w:pPr>
              <w:spacing w:line="240" w:lineRule="auto"/>
              <w:jc w:val="center"/>
              <w:rPr>
                <w:rFonts w:hint="default" w:ascii="Times New Roman" w:hAnsi="Times New Roman" w:eastAsia="宋体" w:cs="Times New Roman"/>
                <w:i w:val="0"/>
                <w:iCs w:val="0"/>
                <w:color w:val="auto"/>
                <w:sz w:val="16"/>
                <w:szCs w:val="16"/>
                <w:highlight w:val="none"/>
                <w:u w:val="none"/>
                <w:vertAlign w:val="baseline"/>
                <w:lang w:val="en-US" w:eastAsia="zh-CN"/>
              </w:rPr>
            </w:pPr>
            <w:r>
              <w:rPr>
                <w:rFonts w:hint="eastAsia" w:ascii="Times New Roman" w:hAnsi="Times New Roman" w:eastAsia="宋体" w:cs="Times New Roman"/>
                <w:i w:val="0"/>
                <w:iCs w:val="0"/>
                <w:color w:val="auto"/>
                <w:sz w:val="16"/>
                <w:szCs w:val="16"/>
                <w:highlight w:val="none"/>
                <w:u w:val="none"/>
                <w:vertAlign w:val="baseline"/>
                <w:lang w:val="en-US" w:eastAsia="zh-CN"/>
              </w:rPr>
              <w:t>性能等级</w:t>
            </w:r>
          </w:p>
        </w:tc>
        <w:tc>
          <w:tcPr>
            <w:tcW w:w="1465" w:type="dxa"/>
            <w:vAlign w:val="center"/>
          </w:tcPr>
          <w:p w14:paraId="2ABD4F52">
            <w:pPr>
              <w:spacing w:line="240" w:lineRule="auto"/>
              <w:jc w:val="center"/>
              <w:rPr>
                <w:rFonts w:hint="default" w:ascii="Times New Roman" w:hAnsi="Times New Roman" w:eastAsia="宋体" w:cs="Times New Roman"/>
                <w:i w:val="0"/>
                <w:iCs w:val="0"/>
                <w:color w:val="auto"/>
                <w:sz w:val="16"/>
                <w:szCs w:val="16"/>
                <w:highlight w:val="none"/>
                <w:u w:val="none"/>
                <w:vertAlign w:val="baseline"/>
                <w:lang w:val="en-US" w:eastAsia="zh-CN"/>
              </w:rPr>
            </w:pPr>
            <w:r>
              <w:rPr>
                <w:rFonts w:hint="default" w:ascii="Times New Roman" w:hAnsi="Times New Roman" w:eastAsia="宋体" w:cs="Times New Roman"/>
                <w:i w:val="0"/>
                <w:iCs w:val="0"/>
                <w:color w:val="auto"/>
                <w:sz w:val="16"/>
                <w:szCs w:val="16"/>
                <w:highlight w:val="none"/>
                <w:u w:val="none"/>
                <w:vertAlign w:val="baseline"/>
                <w:lang w:val="en-US" w:eastAsia="zh-CN"/>
              </w:rPr>
              <w:t>技术要求</w:t>
            </w:r>
          </w:p>
        </w:tc>
      </w:tr>
      <w:tr w14:paraId="585A8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Align w:val="center"/>
          </w:tcPr>
          <w:p w14:paraId="3A8FC494">
            <w:pPr>
              <w:spacing w:line="240" w:lineRule="auto"/>
              <w:jc w:val="center"/>
              <w:rPr>
                <w:rFonts w:hint="eastAsia" w:ascii="Times New Roman" w:hAnsi="Times New Roman" w:eastAsia="宋体" w:cs="Times New Roman"/>
                <w:i w:val="0"/>
                <w:iCs w:val="0"/>
                <w:color w:val="auto"/>
                <w:sz w:val="16"/>
                <w:szCs w:val="16"/>
                <w:highlight w:val="none"/>
                <w:u w:val="none"/>
                <w:vertAlign w:val="baseline"/>
                <w:lang w:val="en-US" w:eastAsia="zh-CN"/>
              </w:rPr>
            </w:pPr>
            <w:r>
              <w:rPr>
                <w:rFonts w:hint="eastAsia" w:ascii="Times New Roman" w:hAnsi="Times New Roman" w:eastAsia="宋体" w:cs="Times New Roman"/>
                <w:i w:val="0"/>
                <w:iCs w:val="0"/>
                <w:color w:val="auto"/>
                <w:sz w:val="16"/>
                <w:szCs w:val="16"/>
                <w:highlight w:val="none"/>
                <w:u w:val="none"/>
                <w:vertAlign w:val="baseline"/>
                <w:lang w:val="en-US" w:eastAsia="zh-CN"/>
              </w:rPr>
              <w:t>填充性</w:t>
            </w:r>
          </w:p>
        </w:tc>
        <w:tc>
          <w:tcPr>
            <w:tcW w:w="1246" w:type="dxa"/>
            <w:vAlign w:val="center"/>
          </w:tcPr>
          <w:p w14:paraId="31C891D2">
            <w:pPr>
              <w:spacing w:line="240" w:lineRule="auto"/>
              <w:jc w:val="center"/>
              <w:rPr>
                <w:rFonts w:hint="default" w:ascii="Times New Roman" w:hAnsi="Times New Roman" w:eastAsia="宋体" w:cs="Times New Roman"/>
                <w:i w:val="0"/>
                <w:iCs w:val="0"/>
                <w:color w:val="auto"/>
                <w:sz w:val="16"/>
                <w:szCs w:val="16"/>
                <w:highlight w:val="none"/>
                <w:u w:val="none"/>
                <w:vertAlign w:val="baseline"/>
              </w:rPr>
            </w:pPr>
            <w:r>
              <w:rPr>
                <w:rFonts w:hint="eastAsia" w:ascii="Times New Roman" w:hAnsi="Times New Roman" w:eastAsia="宋体" w:cs="Times New Roman"/>
                <w:i w:val="0"/>
                <w:iCs w:val="0"/>
                <w:color w:val="auto"/>
                <w:sz w:val="16"/>
                <w:szCs w:val="16"/>
                <w:highlight w:val="none"/>
                <w:u w:val="none"/>
                <w:vertAlign w:val="baseline"/>
                <w:lang w:val="en-US" w:eastAsia="zh-CN"/>
              </w:rPr>
              <w:t>坍落扩展度</w:t>
            </w:r>
          </w:p>
        </w:tc>
        <w:tc>
          <w:tcPr>
            <w:tcW w:w="1349" w:type="dxa"/>
            <w:vAlign w:val="center"/>
          </w:tcPr>
          <w:p w14:paraId="3638EB87">
            <w:pPr>
              <w:spacing w:line="240" w:lineRule="auto"/>
              <w:jc w:val="center"/>
              <w:rPr>
                <w:rFonts w:hint="default" w:ascii="Times New Roman" w:hAnsi="Times New Roman" w:eastAsia="宋体" w:cs="Times New Roman"/>
                <w:i w:val="0"/>
                <w:iCs w:val="0"/>
                <w:color w:val="auto"/>
                <w:sz w:val="16"/>
                <w:szCs w:val="16"/>
                <w:highlight w:val="none"/>
                <w:u w:val="none"/>
                <w:vertAlign w:val="baseline"/>
                <w:lang w:val="en-US" w:eastAsia="zh-CN"/>
              </w:rPr>
            </w:pPr>
            <w:bookmarkStart w:id="146" w:name="OLE_LINK26"/>
            <w:r>
              <w:rPr>
                <w:rFonts w:hint="eastAsia" w:ascii="Times New Roman" w:hAnsi="Times New Roman" w:eastAsia="宋体" w:cs="Times New Roman"/>
                <w:i w:val="0"/>
                <w:iCs w:val="0"/>
                <w:color w:val="auto"/>
                <w:sz w:val="16"/>
                <w:szCs w:val="16"/>
                <w:highlight w:val="none"/>
                <w:u w:val="none"/>
                <w:vertAlign w:val="baseline"/>
                <w:lang w:val="en-US" w:eastAsia="zh-CN"/>
              </w:rPr>
              <w:t>坍落扩展度</w:t>
            </w:r>
            <w:bookmarkEnd w:id="146"/>
          </w:p>
        </w:tc>
        <w:tc>
          <w:tcPr>
            <w:tcW w:w="1172" w:type="dxa"/>
            <w:vAlign w:val="center"/>
          </w:tcPr>
          <w:p w14:paraId="2F74F24E">
            <w:pPr>
              <w:spacing w:line="240" w:lineRule="auto"/>
              <w:jc w:val="center"/>
              <w:rPr>
                <w:rFonts w:hint="default" w:ascii="Times New Roman" w:hAnsi="Times New Roman" w:eastAsia="宋体" w:cs="Times New Roman"/>
                <w:i/>
                <w:iCs/>
                <w:color w:val="auto"/>
                <w:sz w:val="16"/>
                <w:szCs w:val="16"/>
                <w:highlight w:val="none"/>
                <w:u w:val="none"/>
                <w:vertAlign w:val="baseline"/>
                <w:lang w:val="en-US" w:eastAsia="zh-CN"/>
              </w:rPr>
            </w:pPr>
            <w:bookmarkStart w:id="147" w:name="OLE_LINK21"/>
            <w:r>
              <w:rPr>
                <w:rFonts w:hint="default" w:ascii="Times New Roman" w:hAnsi="Times New Roman" w:eastAsia="宋体" w:cs="Times New Roman"/>
                <w:i/>
                <w:iCs/>
                <w:color w:val="auto"/>
                <w:sz w:val="16"/>
                <w:szCs w:val="16"/>
                <w:highlight w:val="none"/>
                <w:u w:val="none"/>
                <w:vertAlign w:val="baseline"/>
                <w:lang w:val="en-US" w:eastAsia="zh-CN"/>
              </w:rPr>
              <w:t>SF1</w:t>
            </w:r>
            <w:bookmarkEnd w:id="147"/>
          </w:p>
        </w:tc>
        <w:tc>
          <w:tcPr>
            <w:tcW w:w="1465" w:type="dxa"/>
            <w:vAlign w:val="center"/>
          </w:tcPr>
          <w:p w14:paraId="39126116">
            <w:pPr>
              <w:spacing w:line="240" w:lineRule="auto"/>
              <w:jc w:val="center"/>
              <w:rPr>
                <w:rFonts w:hint="default" w:ascii="Times New Roman" w:hAnsi="Times New Roman" w:eastAsia="宋体" w:cs="Times New Roman"/>
                <w:i w:val="0"/>
                <w:iCs w:val="0"/>
                <w:color w:val="auto"/>
                <w:sz w:val="16"/>
                <w:szCs w:val="16"/>
                <w:highlight w:val="none"/>
                <w:u w:val="none"/>
                <w:vertAlign w:val="baseline"/>
                <w:lang w:val="en-US" w:eastAsia="zh-CN"/>
              </w:rPr>
            </w:pPr>
            <w:r>
              <w:rPr>
                <w:rFonts w:hint="default" w:ascii="Times New Roman" w:hAnsi="Times New Roman" w:eastAsia="宋体" w:cs="Times New Roman"/>
                <w:i w:val="0"/>
                <w:iCs w:val="0"/>
                <w:color w:val="auto"/>
                <w:sz w:val="16"/>
                <w:szCs w:val="16"/>
                <w:highlight w:val="none"/>
                <w:u w:val="none"/>
                <w:vertAlign w:val="baseline"/>
                <w:lang w:val="en-US" w:eastAsia="zh-CN"/>
              </w:rPr>
              <w:t>550</w:t>
            </w:r>
            <w:r>
              <w:rPr>
                <w:rFonts w:hint="eastAsia" w:cs="Times New Roman"/>
                <w:i w:val="0"/>
                <w:iCs w:val="0"/>
                <w:color w:val="auto"/>
                <w:sz w:val="16"/>
                <w:szCs w:val="16"/>
                <w:highlight w:val="none"/>
                <w:u w:val="none"/>
                <w:vertAlign w:val="baseline"/>
                <w:lang w:val="en-US" w:eastAsia="zh-CN"/>
              </w:rPr>
              <w:t>mm~</w:t>
            </w:r>
            <w:r>
              <w:rPr>
                <w:rFonts w:hint="default" w:ascii="Times New Roman" w:hAnsi="Times New Roman" w:eastAsia="宋体" w:cs="Times New Roman"/>
                <w:i w:val="0"/>
                <w:iCs w:val="0"/>
                <w:color w:val="auto"/>
                <w:sz w:val="16"/>
                <w:szCs w:val="16"/>
                <w:highlight w:val="none"/>
                <w:u w:val="none"/>
                <w:vertAlign w:val="baseline"/>
                <w:lang w:val="en-US" w:eastAsia="zh-CN"/>
              </w:rPr>
              <w:t>650</w:t>
            </w:r>
            <w:r>
              <w:rPr>
                <w:rFonts w:hint="eastAsia" w:cs="Times New Roman"/>
                <w:i w:val="0"/>
                <w:iCs w:val="0"/>
                <w:color w:val="auto"/>
                <w:sz w:val="16"/>
                <w:szCs w:val="16"/>
                <w:highlight w:val="none"/>
                <w:u w:val="none"/>
                <w:vertAlign w:val="baseline"/>
                <w:lang w:val="en-US" w:eastAsia="zh-CN"/>
              </w:rPr>
              <w:t>mm</w:t>
            </w:r>
          </w:p>
        </w:tc>
      </w:tr>
    </w:tbl>
    <w:p w14:paraId="0080EA8D">
      <w:pPr>
        <w:spacing w:line="360" w:lineRule="exact"/>
        <w:jc w:val="center"/>
        <w:rPr>
          <w:rFonts w:hint="eastAsia" w:eastAsia="黑体"/>
          <w:b w:val="0"/>
          <w:color w:val="auto"/>
          <w:sz w:val="18"/>
          <w:szCs w:val="18"/>
          <w:highlight w:val="none"/>
          <w:lang w:val="en-US" w:eastAsia="zh-CN"/>
        </w:rPr>
      </w:pPr>
      <w:r>
        <w:rPr>
          <w:rFonts w:hint="eastAsia" w:eastAsia="黑体"/>
          <w:b w:val="0"/>
          <w:color w:val="auto"/>
          <w:sz w:val="18"/>
          <w:szCs w:val="18"/>
          <w:highlight w:val="none"/>
          <w:lang w:val="en-US" w:eastAsia="zh-CN"/>
        </w:rPr>
        <w:t>续表4.1.13</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1226"/>
        <w:gridCol w:w="1327"/>
        <w:gridCol w:w="1157"/>
        <w:gridCol w:w="1534"/>
      </w:tblGrid>
      <w:tr w14:paraId="05005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restart"/>
            <w:vAlign w:val="center"/>
          </w:tcPr>
          <w:p w14:paraId="45590C21">
            <w:pPr>
              <w:spacing w:line="240" w:lineRule="auto"/>
              <w:jc w:val="center"/>
              <w:rPr>
                <w:rFonts w:hint="default" w:ascii="Times New Roman" w:hAnsi="Times New Roman" w:eastAsia="宋体" w:cs="Times New Roman"/>
                <w:i w:val="0"/>
                <w:iCs w:val="0"/>
                <w:color w:val="auto"/>
                <w:sz w:val="16"/>
                <w:szCs w:val="16"/>
                <w:highlight w:val="none"/>
                <w:u w:val="none"/>
                <w:vertAlign w:val="baseline"/>
              </w:rPr>
            </w:pPr>
            <w:r>
              <w:rPr>
                <w:rFonts w:hint="eastAsia" w:ascii="Times New Roman" w:hAnsi="Times New Roman" w:eastAsia="宋体" w:cs="Times New Roman"/>
                <w:i w:val="0"/>
                <w:iCs w:val="0"/>
                <w:color w:val="auto"/>
                <w:sz w:val="16"/>
                <w:szCs w:val="16"/>
                <w:highlight w:val="none"/>
                <w:u w:val="none"/>
                <w:vertAlign w:val="baseline"/>
                <w:lang w:val="en-US" w:eastAsia="zh-CN"/>
              </w:rPr>
              <w:t>填充性</w:t>
            </w:r>
          </w:p>
        </w:tc>
        <w:tc>
          <w:tcPr>
            <w:tcW w:w="1245" w:type="dxa"/>
            <w:vMerge w:val="restart"/>
            <w:vAlign w:val="center"/>
          </w:tcPr>
          <w:p w14:paraId="06832DDE">
            <w:pPr>
              <w:spacing w:line="240" w:lineRule="auto"/>
              <w:jc w:val="center"/>
              <w:rPr>
                <w:rFonts w:hint="default" w:ascii="Times New Roman" w:hAnsi="Times New Roman" w:eastAsia="宋体" w:cs="Times New Roman"/>
                <w:i w:val="0"/>
                <w:iCs w:val="0"/>
                <w:color w:val="auto"/>
                <w:sz w:val="16"/>
                <w:szCs w:val="16"/>
                <w:highlight w:val="none"/>
                <w:u w:val="none"/>
                <w:vertAlign w:val="baseline"/>
              </w:rPr>
            </w:pPr>
            <w:r>
              <w:rPr>
                <w:rFonts w:hint="eastAsia" w:ascii="Times New Roman" w:hAnsi="Times New Roman" w:eastAsia="宋体" w:cs="Times New Roman"/>
                <w:i w:val="0"/>
                <w:iCs w:val="0"/>
                <w:color w:val="auto"/>
                <w:sz w:val="16"/>
                <w:szCs w:val="16"/>
                <w:highlight w:val="none"/>
                <w:u w:val="none"/>
                <w:vertAlign w:val="baseline"/>
                <w:lang w:val="en-US" w:eastAsia="zh-CN"/>
              </w:rPr>
              <w:t>坍落扩展度</w:t>
            </w:r>
          </w:p>
        </w:tc>
        <w:tc>
          <w:tcPr>
            <w:tcW w:w="1349" w:type="dxa"/>
            <w:vMerge w:val="restart"/>
            <w:vAlign w:val="center"/>
          </w:tcPr>
          <w:p w14:paraId="67333EAA">
            <w:pPr>
              <w:spacing w:line="240" w:lineRule="auto"/>
              <w:jc w:val="center"/>
              <w:rPr>
                <w:rFonts w:hint="default" w:ascii="Times New Roman" w:hAnsi="Times New Roman" w:eastAsia="宋体" w:cs="Times New Roman"/>
                <w:i w:val="0"/>
                <w:iCs w:val="0"/>
                <w:color w:val="auto"/>
                <w:sz w:val="16"/>
                <w:szCs w:val="16"/>
                <w:highlight w:val="none"/>
                <w:u w:val="none"/>
                <w:vertAlign w:val="baseline"/>
                <w:lang w:val="en-US" w:eastAsia="zh-CN"/>
              </w:rPr>
            </w:pPr>
            <w:r>
              <w:rPr>
                <w:rFonts w:hint="eastAsia" w:ascii="Times New Roman" w:hAnsi="Times New Roman" w:eastAsia="宋体" w:cs="Times New Roman"/>
                <w:i w:val="0"/>
                <w:iCs w:val="0"/>
                <w:color w:val="auto"/>
                <w:sz w:val="16"/>
                <w:szCs w:val="16"/>
                <w:highlight w:val="none"/>
                <w:u w:val="none"/>
                <w:vertAlign w:val="baseline"/>
                <w:lang w:val="en-US" w:eastAsia="zh-CN"/>
              </w:rPr>
              <w:t>坍落扩展度</w:t>
            </w:r>
          </w:p>
        </w:tc>
        <w:tc>
          <w:tcPr>
            <w:tcW w:w="1173" w:type="dxa"/>
            <w:vAlign w:val="center"/>
          </w:tcPr>
          <w:p w14:paraId="7E8D8F6E">
            <w:pPr>
              <w:spacing w:line="240" w:lineRule="auto"/>
              <w:jc w:val="center"/>
              <w:rPr>
                <w:rFonts w:hint="default" w:ascii="Times New Roman" w:hAnsi="Times New Roman" w:eastAsia="宋体" w:cs="Times New Roman"/>
                <w:i/>
                <w:iCs/>
                <w:color w:val="auto"/>
                <w:sz w:val="16"/>
                <w:szCs w:val="16"/>
                <w:highlight w:val="none"/>
                <w:u w:val="none"/>
                <w:vertAlign w:val="baseline"/>
              </w:rPr>
            </w:pPr>
            <w:r>
              <w:rPr>
                <w:rFonts w:hint="default" w:ascii="Times New Roman" w:hAnsi="Times New Roman" w:eastAsia="宋体" w:cs="Times New Roman"/>
                <w:i/>
                <w:iCs/>
                <w:color w:val="auto"/>
                <w:sz w:val="16"/>
                <w:szCs w:val="16"/>
                <w:highlight w:val="none"/>
                <w:u w:val="none"/>
                <w:vertAlign w:val="baseline"/>
                <w:lang w:val="en-US" w:eastAsia="zh-CN"/>
              </w:rPr>
              <w:t>SF</w:t>
            </w:r>
            <w:r>
              <w:rPr>
                <w:rFonts w:hint="default" w:ascii="Times New Roman" w:hAnsi="Times New Roman" w:cs="Times New Roman"/>
                <w:i/>
                <w:iCs/>
                <w:color w:val="auto"/>
                <w:sz w:val="16"/>
                <w:szCs w:val="16"/>
                <w:highlight w:val="none"/>
                <w:u w:val="none"/>
                <w:vertAlign w:val="baseline"/>
                <w:lang w:val="en-US" w:eastAsia="zh-CN"/>
              </w:rPr>
              <w:t>2</w:t>
            </w:r>
          </w:p>
        </w:tc>
        <w:tc>
          <w:tcPr>
            <w:tcW w:w="1465" w:type="dxa"/>
            <w:vAlign w:val="center"/>
          </w:tcPr>
          <w:p w14:paraId="4DEF1857">
            <w:pPr>
              <w:spacing w:line="240" w:lineRule="auto"/>
              <w:jc w:val="center"/>
              <w:rPr>
                <w:rFonts w:hint="default" w:ascii="Times New Roman" w:hAnsi="Times New Roman" w:eastAsia="宋体" w:cs="Times New Roman"/>
                <w:i w:val="0"/>
                <w:iCs w:val="0"/>
                <w:color w:val="auto"/>
                <w:sz w:val="16"/>
                <w:szCs w:val="16"/>
                <w:highlight w:val="none"/>
                <w:u w:val="none"/>
                <w:vertAlign w:val="baseline"/>
                <w:lang w:val="en-US" w:eastAsia="zh-CN"/>
              </w:rPr>
            </w:pPr>
            <w:r>
              <w:rPr>
                <w:rFonts w:hint="default" w:ascii="Times New Roman" w:hAnsi="Times New Roman" w:eastAsia="宋体" w:cs="Times New Roman"/>
                <w:i w:val="0"/>
                <w:iCs w:val="0"/>
                <w:color w:val="auto"/>
                <w:sz w:val="16"/>
                <w:szCs w:val="16"/>
                <w:highlight w:val="none"/>
                <w:u w:val="none"/>
                <w:vertAlign w:val="baseline"/>
                <w:lang w:val="en-US" w:eastAsia="zh-CN"/>
              </w:rPr>
              <w:t>660</w:t>
            </w:r>
            <w:r>
              <w:rPr>
                <w:rFonts w:hint="eastAsia" w:cs="Times New Roman"/>
                <w:i w:val="0"/>
                <w:iCs w:val="0"/>
                <w:color w:val="auto"/>
                <w:sz w:val="16"/>
                <w:szCs w:val="16"/>
                <w:highlight w:val="none"/>
                <w:u w:val="none"/>
                <w:vertAlign w:val="baseline"/>
                <w:lang w:val="en-US" w:eastAsia="zh-CN"/>
              </w:rPr>
              <w:t>mm</w:t>
            </w:r>
            <w:r>
              <w:rPr>
                <w:rFonts w:hint="default" w:ascii="Times New Roman" w:hAnsi="Times New Roman" w:eastAsia="宋体" w:cs="Times New Roman"/>
                <w:i w:val="0"/>
                <w:iCs w:val="0"/>
                <w:color w:val="auto"/>
                <w:sz w:val="16"/>
                <w:szCs w:val="16"/>
                <w:highlight w:val="none"/>
                <w:u w:val="none"/>
                <w:vertAlign w:val="baseline"/>
                <w:lang w:val="en-US" w:eastAsia="zh-CN"/>
              </w:rPr>
              <w:t>~750</w:t>
            </w:r>
            <w:r>
              <w:rPr>
                <w:rFonts w:hint="eastAsia" w:cs="Times New Roman"/>
                <w:i w:val="0"/>
                <w:iCs w:val="0"/>
                <w:color w:val="auto"/>
                <w:sz w:val="16"/>
                <w:szCs w:val="16"/>
                <w:highlight w:val="none"/>
                <w:u w:val="none"/>
                <w:vertAlign w:val="baseline"/>
                <w:lang w:val="en-US" w:eastAsia="zh-CN"/>
              </w:rPr>
              <w:t>mm</w:t>
            </w:r>
          </w:p>
        </w:tc>
      </w:tr>
      <w:tr w14:paraId="3DD5A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vAlign w:val="center"/>
          </w:tcPr>
          <w:p w14:paraId="681493F5">
            <w:pPr>
              <w:spacing w:line="240" w:lineRule="auto"/>
              <w:jc w:val="center"/>
              <w:rPr>
                <w:rFonts w:hint="default" w:ascii="Times New Roman" w:hAnsi="Times New Roman" w:eastAsia="宋体" w:cs="Times New Roman"/>
                <w:i w:val="0"/>
                <w:iCs w:val="0"/>
                <w:color w:val="auto"/>
                <w:sz w:val="16"/>
                <w:szCs w:val="16"/>
                <w:highlight w:val="none"/>
                <w:u w:val="none"/>
                <w:vertAlign w:val="baseline"/>
              </w:rPr>
            </w:pPr>
          </w:p>
        </w:tc>
        <w:tc>
          <w:tcPr>
            <w:tcW w:w="1245" w:type="dxa"/>
            <w:vMerge w:val="continue"/>
            <w:vAlign w:val="center"/>
          </w:tcPr>
          <w:p w14:paraId="46E94321">
            <w:pPr>
              <w:spacing w:line="240" w:lineRule="auto"/>
              <w:jc w:val="center"/>
              <w:rPr>
                <w:rFonts w:hint="default" w:ascii="Times New Roman" w:hAnsi="Times New Roman" w:eastAsia="宋体" w:cs="Times New Roman"/>
                <w:i w:val="0"/>
                <w:iCs w:val="0"/>
                <w:color w:val="auto"/>
                <w:sz w:val="16"/>
                <w:szCs w:val="16"/>
                <w:highlight w:val="none"/>
                <w:u w:val="none"/>
                <w:vertAlign w:val="baseline"/>
              </w:rPr>
            </w:pPr>
          </w:p>
        </w:tc>
        <w:tc>
          <w:tcPr>
            <w:tcW w:w="1349" w:type="dxa"/>
            <w:vMerge w:val="continue"/>
            <w:vAlign w:val="center"/>
          </w:tcPr>
          <w:p w14:paraId="7CD874DC">
            <w:pPr>
              <w:spacing w:line="240" w:lineRule="auto"/>
              <w:jc w:val="center"/>
              <w:rPr>
                <w:rFonts w:hint="default" w:ascii="Times New Roman" w:hAnsi="Times New Roman" w:eastAsia="宋体" w:cs="Times New Roman"/>
                <w:i w:val="0"/>
                <w:iCs w:val="0"/>
                <w:color w:val="auto"/>
                <w:sz w:val="16"/>
                <w:szCs w:val="16"/>
                <w:highlight w:val="none"/>
                <w:u w:val="none"/>
                <w:vertAlign w:val="baseline"/>
              </w:rPr>
            </w:pPr>
          </w:p>
        </w:tc>
        <w:tc>
          <w:tcPr>
            <w:tcW w:w="1173" w:type="dxa"/>
            <w:vAlign w:val="center"/>
          </w:tcPr>
          <w:p w14:paraId="756F8911">
            <w:pPr>
              <w:spacing w:line="240" w:lineRule="auto"/>
              <w:jc w:val="center"/>
              <w:rPr>
                <w:rFonts w:hint="default" w:ascii="Times New Roman" w:hAnsi="Times New Roman" w:eastAsia="宋体" w:cs="Times New Roman"/>
                <w:i/>
                <w:iCs/>
                <w:color w:val="auto"/>
                <w:sz w:val="16"/>
                <w:szCs w:val="16"/>
                <w:highlight w:val="none"/>
                <w:u w:val="none"/>
                <w:vertAlign w:val="baseline"/>
                <w:lang w:val="en-US"/>
              </w:rPr>
            </w:pPr>
            <w:r>
              <w:rPr>
                <w:rFonts w:hint="default" w:ascii="Times New Roman" w:hAnsi="Times New Roman" w:eastAsia="宋体" w:cs="Times New Roman"/>
                <w:i/>
                <w:iCs/>
                <w:color w:val="auto"/>
                <w:sz w:val="16"/>
                <w:szCs w:val="16"/>
                <w:highlight w:val="none"/>
                <w:u w:val="none"/>
                <w:vertAlign w:val="baseline"/>
                <w:lang w:val="en-US" w:eastAsia="zh-CN"/>
              </w:rPr>
              <w:t>SF</w:t>
            </w:r>
            <w:r>
              <w:rPr>
                <w:rFonts w:hint="default" w:ascii="Times New Roman" w:hAnsi="Times New Roman" w:cs="Times New Roman"/>
                <w:i/>
                <w:iCs/>
                <w:color w:val="auto"/>
                <w:sz w:val="16"/>
                <w:szCs w:val="16"/>
                <w:highlight w:val="none"/>
                <w:u w:val="none"/>
                <w:vertAlign w:val="baseline"/>
                <w:lang w:val="en-US" w:eastAsia="zh-CN"/>
              </w:rPr>
              <w:t>3</w:t>
            </w:r>
          </w:p>
        </w:tc>
        <w:tc>
          <w:tcPr>
            <w:tcW w:w="1465" w:type="dxa"/>
            <w:vAlign w:val="center"/>
          </w:tcPr>
          <w:p w14:paraId="548C28CA">
            <w:pPr>
              <w:spacing w:line="240" w:lineRule="auto"/>
              <w:jc w:val="center"/>
              <w:rPr>
                <w:rFonts w:hint="default" w:ascii="Times New Roman" w:hAnsi="Times New Roman" w:eastAsia="宋体" w:cs="Times New Roman"/>
                <w:i w:val="0"/>
                <w:iCs w:val="0"/>
                <w:color w:val="auto"/>
                <w:sz w:val="16"/>
                <w:szCs w:val="16"/>
                <w:highlight w:val="none"/>
                <w:u w:val="none"/>
                <w:vertAlign w:val="baseline"/>
                <w:lang w:val="en-US" w:eastAsia="zh-CN"/>
              </w:rPr>
            </w:pPr>
            <w:r>
              <w:rPr>
                <w:rFonts w:hint="default" w:ascii="Times New Roman" w:hAnsi="Times New Roman" w:eastAsia="宋体" w:cs="Times New Roman"/>
                <w:i w:val="0"/>
                <w:iCs w:val="0"/>
                <w:color w:val="auto"/>
                <w:sz w:val="16"/>
                <w:szCs w:val="16"/>
                <w:highlight w:val="none"/>
                <w:u w:val="none"/>
                <w:vertAlign w:val="baseline"/>
                <w:lang w:val="en-US" w:eastAsia="zh-CN"/>
              </w:rPr>
              <w:t>760</w:t>
            </w:r>
            <w:r>
              <w:rPr>
                <w:rFonts w:hint="eastAsia" w:cs="Times New Roman"/>
                <w:i w:val="0"/>
                <w:iCs w:val="0"/>
                <w:color w:val="auto"/>
                <w:sz w:val="16"/>
                <w:szCs w:val="16"/>
                <w:highlight w:val="none"/>
                <w:u w:val="none"/>
                <w:vertAlign w:val="baseline"/>
                <w:lang w:val="en-US" w:eastAsia="zh-CN"/>
              </w:rPr>
              <w:t>mm</w:t>
            </w:r>
            <w:r>
              <w:rPr>
                <w:rFonts w:hint="default" w:ascii="Times New Roman" w:hAnsi="Times New Roman" w:eastAsia="宋体" w:cs="Times New Roman"/>
                <w:i w:val="0"/>
                <w:iCs w:val="0"/>
                <w:color w:val="auto"/>
                <w:sz w:val="16"/>
                <w:szCs w:val="16"/>
                <w:highlight w:val="none"/>
                <w:u w:val="none"/>
                <w:vertAlign w:val="baseline"/>
                <w:lang w:val="en-US" w:eastAsia="zh-CN"/>
              </w:rPr>
              <w:t>~850</w:t>
            </w:r>
            <w:r>
              <w:rPr>
                <w:rFonts w:hint="eastAsia" w:cs="Times New Roman"/>
                <w:i w:val="0"/>
                <w:iCs w:val="0"/>
                <w:color w:val="auto"/>
                <w:sz w:val="16"/>
                <w:szCs w:val="16"/>
                <w:highlight w:val="none"/>
                <w:u w:val="none"/>
                <w:vertAlign w:val="baseline"/>
                <w:lang w:val="en-US" w:eastAsia="zh-CN"/>
              </w:rPr>
              <w:t>mm</w:t>
            </w:r>
          </w:p>
        </w:tc>
      </w:tr>
      <w:tr w14:paraId="5FF07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vAlign w:val="center"/>
          </w:tcPr>
          <w:p w14:paraId="17B6DDE6">
            <w:pPr>
              <w:spacing w:line="240" w:lineRule="auto"/>
              <w:jc w:val="center"/>
              <w:rPr>
                <w:rFonts w:hint="default" w:ascii="Times New Roman" w:hAnsi="Times New Roman" w:eastAsia="宋体" w:cs="Times New Roman"/>
                <w:i w:val="0"/>
                <w:iCs w:val="0"/>
                <w:color w:val="auto"/>
                <w:sz w:val="16"/>
                <w:szCs w:val="16"/>
                <w:highlight w:val="none"/>
                <w:u w:val="none"/>
                <w:vertAlign w:val="baseline"/>
              </w:rPr>
            </w:pPr>
          </w:p>
        </w:tc>
        <w:tc>
          <w:tcPr>
            <w:tcW w:w="1245" w:type="dxa"/>
            <w:vAlign w:val="center"/>
          </w:tcPr>
          <w:p w14:paraId="224C9022">
            <w:pPr>
              <w:spacing w:line="240" w:lineRule="auto"/>
              <w:jc w:val="center"/>
              <w:rPr>
                <w:rFonts w:hint="default" w:ascii="Times New Roman" w:hAnsi="Times New Roman" w:eastAsia="宋体" w:cs="Times New Roman"/>
                <w:i w:val="0"/>
                <w:iCs w:val="0"/>
                <w:color w:val="auto"/>
                <w:sz w:val="16"/>
                <w:szCs w:val="16"/>
                <w:highlight w:val="none"/>
                <w:u w:val="none"/>
                <w:vertAlign w:val="baseline"/>
              </w:rPr>
            </w:pPr>
            <w:r>
              <w:rPr>
                <w:rFonts w:hint="default" w:ascii="Times New Roman" w:hAnsi="Times New Roman" w:eastAsia="宋体" w:cs="Times New Roman"/>
                <w:i/>
                <w:iCs/>
                <w:color w:val="auto"/>
                <w:sz w:val="16"/>
                <w:szCs w:val="16"/>
                <w:highlight w:val="none"/>
                <w:u w:val="none"/>
                <w:vertAlign w:val="baseline"/>
                <w:lang w:val="en-US" w:eastAsia="zh-CN"/>
              </w:rPr>
              <w:t>T</w:t>
            </w:r>
            <w:r>
              <w:rPr>
                <w:rFonts w:hint="default" w:ascii="Times New Roman" w:hAnsi="Times New Roman" w:eastAsia="宋体" w:cs="Times New Roman"/>
                <w:i/>
                <w:iCs/>
                <w:color w:val="auto"/>
                <w:sz w:val="16"/>
                <w:szCs w:val="16"/>
                <w:highlight w:val="none"/>
                <w:u w:val="none"/>
                <w:vertAlign w:val="subscript"/>
                <w:lang w:val="en-US" w:eastAsia="zh-CN"/>
              </w:rPr>
              <w:t>50</w:t>
            </w:r>
          </w:p>
        </w:tc>
        <w:tc>
          <w:tcPr>
            <w:tcW w:w="1349" w:type="dxa"/>
            <w:vAlign w:val="center"/>
          </w:tcPr>
          <w:p w14:paraId="5519E926">
            <w:pPr>
              <w:spacing w:line="240" w:lineRule="auto"/>
              <w:jc w:val="center"/>
              <w:rPr>
                <w:rFonts w:hint="default" w:ascii="Times New Roman" w:hAnsi="Times New Roman" w:eastAsia="宋体" w:cs="Times New Roman"/>
                <w:i w:val="0"/>
                <w:iCs w:val="0"/>
                <w:color w:val="auto"/>
                <w:sz w:val="16"/>
                <w:szCs w:val="16"/>
                <w:highlight w:val="none"/>
                <w:u w:val="none"/>
                <w:vertAlign w:val="baseline"/>
              </w:rPr>
            </w:pPr>
            <w:r>
              <w:rPr>
                <w:rFonts w:hint="eastAsia" w:ascii="Times New Roman" w:hAnsi="Times New Roman" w:eastAsia="宋体" w:cs="Times New Roman"/>
                <w:i w:val="0"/>
                <w:iCs w:val="0"/>
                <w:color w:val="auto"/>
                <w:sz w:val="16"/>
                <w:szCs w:val="16"/>
                <w:highlight w:val="none"/>
                <w:u w:val="none"/>
                <w:vertAlign w:val="baseline"/>
                <w:lang w:val="en-US" w:eastAsia="zh-CN"/>
              </w:rPr>
              <w:t>扩展时间</w:t>
            </w:r>
          </w:p>
        </w:tc>
        <w:tc>
          <w:tcPr>
            <w:tcW w:w="1173" w:type="dxa"/>
            <w:vAlign w:val="center"/>
          </w:tcPr>
          <w:p w14:paraId="11C1AFB2">
            <w:pPr>
              <w:spacing w:line="240" w:lineRule="auto"/>
              <w:jc w:val="center"/>
              <w:rPr>
                <w:rFonts w:hint="default" w:ascii="Times New Roman" w:hAnsi="Times New Roman" w:eastAsia="宋体" w:cs="Times New Roman"/>
                <w:i/>
                <w:iCs/>
                <w:color w:val="auto"/>
                <w:sz w:val="16"/>
                <w:szCs w:val="16"/>
                <w:highlight w:val="none"/>
                <w:u w:val="none"/>
                <w:vertAlign w:val="baseline"/>
                <w:lang w:val="en-US" w:eastAsia="zh-CN"/>
              </w:rPr>
            </w:pPr>
            <w:r>
              <w:rPr>
                <w:rFonts w:hint="default" w:ascii="Times New Roman" w:hAnsi="Times New Roman" w:eastAsia="宋体" w:cs="Times New Roman"/>
                <w:i/>
                <w:iCs/>
                <w:color w:val="auto"/>
                <w:sz w:val="16"/>
                <w:szCs w:val="16"/>
                <w:highlight w:val="none"/>
                <w:u w:val="none"/>
                <w:vertAlign w:val="baseline"/>
                <w:lang w:val="en-US" w:eastAsia="zh-CN"/>
              </w:rPr>
              <w:t>VS</w:t>
            </w:r>
          </w:p>
        </w:tc>
        <w:tc>
          <w:tcPr>
            <w:tcW w:w="1465" w:type="dxa"/>
            <w:vAlign w:val="center"/>
          </w:tcPr>
          <w:p w14:paraId="7FBE3D2E">
            <w:pPr>
              <w:spacing w:line="240" w:lineRule="auto"/>
              <w:jc w:val="center"/>
              <w:rPr>
                <w:rFonts w:hint="default" w:ascii="Times New Roman" w:hAnsi="Times New Roman" w:eastAsia="宋体" w:cs="Times New Roman"/>
                <w:i w:val="0"/>
                <w:iCs w:val="0"/>
                <w:color w:val="auto"/>
                <w:sz w:val="16"/>
                <w:szCs w:val="16"/>
                <w:highlight w:val="none"/>
                <w:u w:val="none"/>
                <w:vertAlign w:val="baseline"/>
                <w:lang w:val="en-US" w:eastAsia="zh-CN"/>
              </w:rPr>
            </w:pPr>
            <w:r>
              <w:rPr>
                <w:rFonts w:hint="default" w:ascii="Times New Roman" w:hAnsi="Times New Roman" w:cs="Times New Roman"/>
                <w:i w:val="0"/>
                <w:iCs w:val="0"/>
                <w:color w:val="auto"/>
                <w:sz w:val="16"/>
                <w:szCs w:val="16"/>
                <w:highlight w:val="none"/>
                <w:u w:val="none"/>
                <w:vertAlign w:val="baseline"/>
                <w:lang w:val="en-US" w:eastAsia="zh-CN"/>
              </w:rPr>
              <w:t>2</w:t>
            </w:r>
            <w:r>
              <w:rPr>
                <w:rFonts w:hint="eastAsia" w:cs="Times New Roman"/>
                <w:i w:val="0"/>
                <w:iCs w:val="0"/>
                <w:color w:val="auto"/>
                <w:sz w:val="16"/>
                <w:szCs w:val="16"/>
                <w:highlight w:val="none"/>
                <w:u w:val="none"/>
                <w:vertAlign w:val="baseline"/>
                <w:lang w:val="en-US" w:eastAsia="zh-CN"/>
              </w:rPr>
              <w:t>s</w:t>
            </w:r>
            <w:r>
              <w:rPr>
                <w:rFonts w:hint="default" w:ascii="Times New Roman" w:hAnsi="Times New Roman" w:eastAsia="宋体" w:cs="Times New Roman"/>
                <w:i w:val="0"/>
                <w:iCs w:val="0"/>
                <w:color w:val="auto"/>
                <w:sz w:val="16"/>
                <w:szCs w:val="16"/>
                <w:highlight w:val="none"/>
                <w:u w:val="none"/>
                <w:vertAlign w:val="baseline"/>
                <w:lang w:val="en-US" w:eastAsia="zh-CN"/>
              </w:rPr>
              <w:t>≤</w:t>
            </w:r>
            <w:r>
              <w:rPr>
                <w:rFonts w:hint="default" w:ascii="Times New Roman" w:hAnsi="Times New Roman" w:eastAsia="宋体" w:cs="Times New Roman"/>
                <w:i/>
                <w:iCs/>
                <w:color w:val="auto"/>
                <w:sz w:val="16"/>
                <w:szCs w:val="16"/>
                <w:highlight w:val="none"/>
                <w:u w:val="none"/>
                <w:vertAlign w:val="baseline"/>
                <w:lang w:val="en-US" w:eastAsia="zh-CN"/>
              </w:rPr>
              <w:t>T</w:t>
            </w:r>
            <w:r>
              <w:rPr>
                <w:rFonts w:hint="default" w:ascii="Times New Roman" w:hAnsi="Times New Roman" w:eastAsia="宋体" w:cs="Times New Roman"/>
                <w:i/>
                <w:iCs/>
                <w:color w:val="auto"/>
                <w:sz w:val="16"/>
                <w:szCs w:val="16"/>
                <w:highlight w:val="none"/>
                <w:u w:val="none"/>
                <w:vertAlign w:val="subscript"/>
                <w:lang w:val="en-US" w:eastAsia="zh-CN"/>
              </w:rPr>
              <w:t>50</w:t>
            </w:r>
            <w:r>
              <w:rPr>
                <w:rFonts w:hint="default" w:ascii="Times New Roman" w:hAnsi="Times New Roman" w:eastAsia="宋体" w:cs="Times New Roman"/>
                <w:i w:val="0"/>
                <w:iCs w:val="0"/>
                <w:color w:val="auto"/>
                <w:sz w:val="16"/>
                <w:szCs w:val="16"/>
                <w:highlight w:val="none"/>
                <w:u w:val="none"/>
                <w:vertAlign w:val="baseline"/>
                <w:lang w:val="en-US" w:eastAsia="zh-CN"/>
              </w:rPr>
              <w:t>≤5</w:t>
            </w:r>
            <w:r>
              <w:rPr>
                <w:rFonts w:hint="eastAsia" w:cs="Times New Roman"/>
                <w:i w:val="0"/>
                <w:iCs w:val="0"/>
                <w:color w:val="auto"/>
                <w:sz w:val="16"/>
                <w:szCs w:val="16"/>
                <w:highlight w:val="none"/>
                <w:u w:val="none"/>
                <w:vertAlign w:val="baseline"/>
                <w:lang w:val="en-US" w:eastAsia="zh-CN"/>
              </w:rPr>
              <w:t>s</w:t>
            </w:r>
          </w:p>
        </w:tc>
      </w:tr>
      <w:tr w14:paraId="1BBF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restart"/>
            <w:vAlign w:val="center"/>
          </w:tcPr>
          <w:p w14:paraId="552A8895">
            <w:pPr>
              <w:spacing w:line="240" w:lineRule="auto"/>
              <w:jc w:val="center"/>
              <w:rPr>
                <w:rFonts w:hint="default" w:ascii="Times New Roman" w:hAnsi="Times New Roman" w:eastAsia="宋体" w:cs="Times New Roman"/>
                <w:i w:val="0"/>
                <w:iCs w:val="0"/>
                <w:color w:val="auto"/>
                <w:sz w:val="16"/>
                <w:szCs w:val="16"/>
                <w:highlight w:val="none"/>
                <w:u w:val="none"/>
                <w:vertAlign w:val="baseline"/>
                <w:lang w:val="en-US" w:eastAsia="zh-CN"/>
              </w:rPr>
            </w:pPr>
            <w:r>
              <w:rPr>
                <w:rFonts w:hint="eastAsia" w:ascii="Times New Roman" w:hAnsi="Times New Roman" w:eastAsia="宋体" w:cs="Times New Roman"/>
                <w:i w:val="0"/>
                <w:iCs w:val="0"/>
                <w:color w:val="auto"/>
                <w:sz w:val="16"/>
                <w:szCs w:val="16"/>
                <w:highlight w:val="none"/>
                <w:u w:val="none"/>
                <w:vertAlign w:val="baseline"/>
                <w:lang w:val="en-US" w:eastAsia="zh-CN"/>
              </w:rPr>
              <w:t>间隙通过性</w:t>
            </w:r>
          </w:p>
        </w:tc>
        <w:tc>
          <w:tcPr>
            <w:tcW w:w="1245" w:type="dxa"/>
            <w:vMerge w:val="restart"/>
            <w:vAlign w:val="center"/>
          </w:tcPr>
          <w:p w14:paraId="0FDF28C1">
            <w:pPr>
              <w:spacing w:line="240" w:lineRule="auto"/>
              <w:jc w:val="center"/>
              <w:rPr>
                <w:rFonts w:hint="default" w:ascii="Times New Roman" w:hAnsi="Times New Roman" w:eastAsia="宋体" w:cs="Times New Roman"/>
                <w:i w:val="0"/>
                <w:iCs w:val="0"/>
                <w:color w:val="auto"/>
                <w:sz w:val="16"/>
                <w:szCs w:val="16"/>
                <w:highlight w:val="none"/>
                <w:u w:val="none"/>
                <w:vertAlign w:val="baseline"/>
                <w:lang w:val="en-US" w:eastAsia="zh-CN"/>
              </w:rPr>
            </w:pPr>
            <w:r>
              <w:rPr>
                <w:rFonts w:hint="eastAsia" w:ascii="Times New Roman" w:hAnsi="Times New Roman" w:eastAsia="宋体" w:cs="Times New Roman"/>
                <w:i w:val="0"/>
                <w:iCs w:val="0"/>
                <w:color w:val="auto"/>
                <w:sz w:val="16"/>
                <w:szCs w:val="16"/>
                <w:highlight w:val="none"/>
                <w:u w:val="none"/>
                <w:vertAlign w:val="baseline"/>
                <w:lang w:val="en-US" w:eastAsia="zh-CN"/>
              </w:rPr>
              <w:t>J环扩展度</w:t>
            </w:r>
          </w:p>
        </w:tc>
        <w:tc>
          <w:tcPr>
            <w:tcW w:w="1349" w:type="dxa"/>
            <w:vMerge w:val="restart"/>
            <w:vAlign w:val="center"/>
          </w:tcPr>
          <w:p w14:paraId="797E0FA0">
            <w:pPr>
              <w:spacing w:line="240" w:lineRule="auto"/>
              <w:jc w:val="center"/>
              <w:rPr>
                <w:rFonts w:hint="default" w:ascii="Times New Roman" w:hAnsi="Times New Roman" w:eastAsia="宋体" w:cs="Times New Roman"/>
                <w:i w:val="0"/>
                <w:iCs w:val="0"/>
                <w:color w:val="auto"/>
                <w:sz w:val="16"/>
                <w:szCs w:val="16"/>
                <w:highlight w:val="none"/>
                <w:u w:val="none"/>
                <w:vertAlign w:val="baseline"/>
                <w:lang w:val="en-US" w:eastAsia="zh-CN"/>
              </w:rPr>
            </w:pPr>
            <w:r>
              <w:rPr>
                <w:rFonts w:hint="eastAsia" w:ascii="Times New Roman" w:hAnsi="Times New Roman" w:eastAsia="宋体" w:cs="Times New Roman"/>
                <w:i w:val="0"/>
                <w:iCs w:val="0"/>
                <w:color w:val="auto"/>
                <w:sz w:val="16"/>
                <w:szCs w:val="16"/>
                <w:highlight w:val="none"/>
                <w:u w:val="none"/>
                <w:vertAlign w:val="baseline"/>
                <w:lang w:val="en-US" w:eastAsia="zh-CN"/>
              </w:rPr>
              <w:t>坍落扩展度与有利条件下的环扩展度差值</w:t>
            </w:r>
          </w:p>
        </w:tc>
        <w:tc>
          <w:tcPr>
            <w:tcW w:w="1173" w:type="dxa"/>
            <w:vAlign w:val="center"/>
          </w:tcPr>
          <w:p w14:paraId="2E03DF58">
            <w:pPr>
              <w:spacing w:line="240" w:lineRule="auto"/>
              <w:jc w:val="center"/>
              <w:rPr>
                <w:rFonts w:hint="default" w:ascii="Times New Roman" w:hAnsi="Times New Roman" w:eastAsia="宋体" w:cs="Times New Roman"/>
                <w:i/>
                <w:iCs/>
                <w:color w:val="auto"/>
                <w:sz w:val="16"/>
                <w:szCs w:val="16"/>
                <w:highlight w:val="none"/>
                <w:u w:val="none"/>
                <w:vertAlign w:val="baseline"/>
              </w:rPr>
            </w:pPr>
            <w:r>
              <w:rPr>
                <w:rFonts w:hint="default" w:ascii="Times New Roman" w:hAnsi="Times New Roman" w:cs="Times New Roman"/>
                <w:i/>
                <w:iCs/>
                <w:color w:val="auto"/>
                <w:sz w:val="16"/>
                <w:szCs w:val="16"/>
                <w:highlight w:val="none"/>
                <w:u w:val="none"/>
                <w:vertAlign w:val="baseline"/>
                <w:lang w:val="en-US" w:eastAsia="zh-CN"/>
              </w:rPr>
              <w:t>PA1</w:t>
            </w:r>
          </w:p>
        </w:tc>
        <w:tc>
          <w:tcPr>
            <w:tcW w:w="1465" w:type="dxa"/>
            <w:vAlign w:val="center"/>
          </w:tcPr>
          <w:p w14:paraId="4375A5A9">
            <w:pPr>
              <w:spacing w:line="240" w:lineRule="auto"/>
              <w:jc w:val="center"/>
              <w:rPr>
                <w:rFonts w:hint="default" w:ascii="Times New Roman" w:hAnsi="Times New Roman" w:eastAsia="宋体" w:cs="Times New Roman"/>
                <w:i w:val="0"/>
                <w:iCs w:val="0"/>
                <w:color w:val="auto"/>
                <w:sz w:val="16"/>
                <w:szCs w:val="16"/>
                <w:highlight w:val="none"/>
                <w:u w:val="none"/>
                <w:vertAlign w:val="baseline"/>
                <w:lang w:val="en-US"/>
              </w:rPr>
            </w:pPr>
            <w:r>
              <w:rPr>
                <w:rFonts w:hint="default" w:ascii="Times New Roman" w:hAnsi="Times New Roman" w:cs="Times New Roman"/>
                <w:i w:val="0"/>
                <w:iCs w:val="0"/>
                <w:color w:val="auto"/>
                <w:sz w:val="16"/>
                <w:szCs w:val="16"/>
                <w:highlight w:val="none"/>
                <w:u w:val="none"/>
                <w:vertAlign w:val="baseline"/>
                <w:lang w:val="en-US" w:eastAsia="zh-CN"/>
              </w:rPr>
              <w:t>25</w:t>
            </w:r>
            <w:r>
              <w:rPr>
                <w:rFonts w:hint="eastAsia" w:cs="Times New Roman"/>
                <w:i w:val="0"/>
                <w:iCs w:val="0"/>
                <w:color w:val="auto"/>
                <w:sz w:val="16"/>
                <w:szCs w:val="16"/>
                <w:highlight w:val="none"/>
                <w:u w:val="none"/>
                <w:vertAlign w:val="baseline"/>
                <w:lang w:val="en-US" w:eastAsia="zh-CN"/>
              </w:rPr>
              <w:t>mm</w:t>
            </w:r>
            <w:r>
              <w:rPr>
                <w:rFonts w:hint="default" w:ascii="Times New Roman" w:hAnsi="Times New Roman" w:eastAsia="宋体" w:cs="Times New Roman"/>
                <w:i w:val="0"/>
                <w:iCs w:val="0"/>
                <w:color w:val="auto"/>
                <w:sz w:val="16"/>
                <w:szCs w:val="16"/>
                <w:highlight w:val="none"/>
                <w:u w:val="none"/>
                <w:vertAlign w:val="baseline"/>
                <w:lang w:val="en-US" w:eastAsia="zh-CN"/>
              </w:rPr>
              <w:t>≤</w:t>
            </w:r>
            <w:r>
              <w:rPr>
                <w:rFonts w:hint="default" w:ascii="Times New Roman" w:hAnsi="Times New Roman" w:cs="Times New Roman"/>
                <w:i/>
                <w:iCs/>
                <w:color w:val="auto"/>
                <w:sz w:val="16"/>
                <w:szCs w:val="16"/>
                <w:highlight w:val="none"/>
                <w:u w:val="none"/>
                <w:vertAlign w:val="baseline"/>
                <w:lang w:val="en-US" w:eastAsia="zh-CN"/>
              </w:rPr>
              <w:t>PA1</w:t>
            </w:r>
            <w:r>
              <w:rPr>
                <w:rFonts w:hint="default" w:ascii="Times New Roman" w:hAnsi="Times New Roman" w:eastAsia="宋体" w:cs="Times New Roman"/>
                <w:i w:val="0"/>
                <w:iCs w:val="0"/>
                <w:color w:val="auto"/>
                <w:sz w:val="16"/>
                <w:szCs w:val="16"/>
                <w:highlight w:val="none"/>
                <w:u w:val="none"/>
                <w:vertAlign w:val="baseline"/>
                <w:lang w:val="en-US" w:eastAsia="zh-CN"/>
              </w:rPr>
              <w:t>≤</w:t>
            </w:r>
            <w:r>
              <w:rPr>
                <w:rFonts w:hint="default" w:ascii="Times New Roman" w:hAnsi="Times New Roman" w:cs="Times New Roman"/>
                <w:i w:val="0"/>
                <w:iCs w:val="0"/>
                <w:color w:val="auto"/>
                <w:sz w:val="16"/>
                <w:szCs w:val="16"/>
                <w:highlight w:val="none"/>
                <w:u w:val="none"/>
                <w:vertAlign w:val="baseline"/>
                <w:lang w:val="en-US" w:eastAsia="zh-CN"/>
              </w:rPr>
              <w:t>50</w:t>
            </w:r>
            <w:r>
              <w:rPr>
                <w:rFonts w:hint="eastAsia" w:cs="Times New Roman"/>
                <w:i w:val="0"/>
                <w:iCs w:val="0"/>
                <w:color w:val="auto"/>
                <w:sz w:val="16"/>
                <w:szCs w:val="16"/>
                <w:highlight w:val="none"/>
                <w:u w:val="none"/>
                <w:vertAlign w:val="baseline"/>
                <w:lang w:val="en-US" w:eastAsia="zh-CN"/>
              </w:rPr>
              <w:t>mm</w:t>
            </w:r>
          </w:p>
        </w:tc>
      </w:tr>
      <w:tr w14:paraId="2AA1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vAlign w:val="center"/>
          </w:tcPr>
          <w:p w14:paraId="7CF23E70">
            <w:pPr>
              <w:spacing w:line="240" w:lineRule="auto"/>
              <w:jc w:val="center"/>
              <w:rPr>
                <w:rFonts w:hint="default" w:ascii="Times New Roman" w:hAnsi="Times New Roman" w:eastAsia="宋体" w:cs="Times New Roman"/>
                <w:i w:val="0"/>
                <w:iCs w:val="0"/>
                <w:color w:val="auto"/>
                <w:sz w:val="16"/>
                <w:szCs w:val="16"/>
                <w:highlight w:val="none"/>
                <w:u w:val="none"/>
                <w:vertAlign w:val="baseline"/>
              </w:rPr>
            </w:pPr>
          </w:p>
        </w:tc>
        <w:tc>
          <w:tcPr>
            <w:tcW w:w="1245" w:type="dxa"/>
            <w:vMerge w:val="continue"/>
            <w:vAlign w:val="center"/>
          </w:tcPr>
          <w:p w14:paraId="77FA39B0">
            <w:pPr>
              <w:spacing w:line="240" w:lineRule="auto"/>
              <w:jc w:val="center"/>
              <w:rPr>
                <w:rFonts w:hint="default" w:ascii="Times New Roman" w:hAnsi="Times New Roman" w:eastAsia="宋体" w:cs="Times New Roman"/>
                <w:i w:val="0"/>
                <w:iCs w:val="0"/>
                <w:color w:val="auto"/>
                <w:sz w:val="16"/>
                <w:szCs w:val="16"/>
                <w:highlight w:val="none"/>
                <w:u w:val="none"/>
                <w:vertAlign w:val="baseline"/>
              </w:rPr>
            </w:pPr>
          </w:p>
        </w:tc>
        <w:tc>
          <w:tcPr>
            <w:tcW w:w="1349" w:type="dxa"/>
            <w:vMerge w:val="continue"/>
            <w:vAlign w:val="center"/>
          </w:tcPr>
          <w:p w14:paraId="4EB8F23E">
            <w:pPr>
              <w:spacing w:line="240" w:lineRule="auto"/>
              <w:jc w:val="center"/>
              <w:rPr>
                <w:rFonts w:hint="default" w:ascii="Times New Roman" w:hAnsi="Times New Roman" w:eastAsia="宋体" w:cs="Times New Roman"/>
                <w:i w:val="0"/>
                <w:iCs w:val="0"/>
                <w:color w:val="auto"/>
                <w:sz w:val="16"/>
                <w:szCs w:val="16"/>
                <w:highlight w:val="none"/>
                <w:u w:val="none"/>
                <w:vertAlign w:val="baseline"/>
              </w:rPr>
            </w:pPr>
          </w:p>
        </w:tc>
        <w:tc>
          <w:tcPr>
            <w:tcW w:w="1173" w:type="dxa"/>
            <w:vAlign w:val="center"/>
          </w:tcPr>
          <w:p w14:paraId="73B40423">
            <w:pPr>
              <w:spacing w:line="240" w:lineRule="auto"/>
              <w:jc w:val="center"/>
              <w:rPr>
                <w:rFonts w:hint="default" w:ascii="Times New Roman" w:hAnsi="Times New Roman" w:eastAsia="宋体" w:cs="Times New Roman"/>
                <w:i/>
                <w:iCs/>
                <w:color w:val="auto"/>
                <w:sz w:val="16"/>
                <w:szCs w:val="16"/>
                <w:highlight w:val="none"/>
                <w:u w:val="none"/>
                <w:vertAlign w:val="baseline"/>
              </w:rPr>
            </w:pPr>
            <w:r>
              <w:rPr>
                <w:rFonts w:hint="default" w:ascii="Times New Roman" w:hAnsi="Times New Roman" w:cs="Times New Roman"/>
                <w:i/>
                <w:iCs/>
                <w:color w:val="auto"/>
                <w:sz w:val="16"/>
                <w:szCs w:val="16"/>
                <w:highlight w:val="none"/>
                <w:u w:val="none"/>
                <w:vertAlign w:val="baseline"/>
                <w:lang w:val="en-US" w:eastAsia="zh-CN"/>
              </w:rPr>
              <w:t>PA2</w:t>
            </w:r>
          </w:p>
        </w:tc>
        <w:tc>
          <w:tcPr>
            <w:tcW w:w="1465" w:type="dxa"/>
            <w:vAlign w:val="center"/>
          </w:tcPr>
          <w:p w14:paraId="249E5940">
            <w:pPr>
              <w:spacing w:line="240" w:lineRule="auto"/>
              <w:jc w:val="center"/>
              <w:rPr>
                <w:rFonts w:hint="default" w:ascii="Times New Roman" w:hAnsi="Times New Roman" w:eastAsia="宋体" w:cs="Times New Roman"/>
                <w:i w:val="0"/>
                <w:iCs w:val="0"/>
                <w:color w:val="auto"/>
                <w:sz w:val="16"/>
                <w:szCs w:val="16"/>
                <w:highlight w:val="none"/>
                <w:u w:val="none"/>
                <w:vertAlign w:val="baseline"/>
                <w:lang w:val="en-US"/>
              </w:rPr>
            </w:pPr>
            <w:r>
              <w:rPr>
                <w:rFonts w:hint="default" w:ascii="Times New Roman" w:hAnsi="Times New Roman" w:cs="Times New Roman"/>
                <w:i w:val="0"/>
                <w:iCs w:val="0"/>
                <w:color w:val="auto"/>
                <w:sz w:val="16"/>
                <w:szCs w:val="16"/>
                <w:highlight w:val="none"/>
                <w:u w:val="none"/>
                <w:vertAlign w:val="baseline"/>
                <w:lang w:val="en-US" w:eastAsia="zh-CN"/>
              </w:rPr>
              <w:t>0</w:t>
            </w:r>
            <w:r>
              <w:rPr>
                <w:rFonts w:hint="eastAsia" w:cs="Times New Roman"/>
                <w:i w:val="0"/>
                <w:iCs w:val="0"/>
                <w:color w:val="auto"/>
                <w:sz w:val="16"/>
                <w:szCs w:val="16"/>
                <w:highlight w:val="none"/>
                <w:u w:val="none"/>
                <w:vertAlign w:val="baseline"/>
                <w:lang w:val="en-US" w:eastAsia="zh-CN"/>
              </w:rPr>
              <w:t>mm</w:t>
            </w:r>
            <w:r>
              <w:rPr>
                <w:rFonts w:hint="default" w:ascii="Times New Roman" w:hAnsi="Times New Roman" w:eastAsia="宋体" w:cs="Times New Roman"/>
                <w:i w:val="0"/>
                <w:iCs w:val="0"/>
                <w:color w:val="auto"/>
                <w:sz w:val="16"/>
                <w:szCs w:val="16"/>
                <w:highlight w:val="none"/>
                <w:u w:val="none"/>
                <w:vertAlign w:val="baseline"/>
                <w:lang w:val="en-US" w:eastAsia="zh-CN"/>
              </w:rPr>
              <w:t>≤</w:t>
            </w:r>
            <w:r>
              <w:rPr>
                <w:rFonts w:hint="default" w:ascii="Times New Roman" w:hAnsi="Times New Roman" w:cs="Times New Roman"/>
                <w:i/>
                <w:iCs/>
                <w:color w:val="auto"/>
                <w:sz w:val="16"/>
                <w:szCs w:val="16"/>
                <w:highlight w:val="none"/>
                <w:u w:val="none"/>
                <w:vertAlign w:val="baseline"/>
                <w:lang w:val="en-US" w:eastAsia="zh-CN"/>
              </w:rPr>
              <w:t>PA2</w:t>
            </w:r>
            <w:r>
              <w:rPr>
                <w:rFonts w:hint="default" w:ascii="Times New Roman" w:hAnsi="Times New Roman" w:eastAsia="宋体" w:cs="Times New Roman"/>
                <w:i w:val="0"/>
                <w:iCs w:val="0"/>
                <w:color w:val="auto"/>
                <w:sz w:val="16"/>
                <w:szCs w:val="16"/>
                <w:highlight w:val="none"/>
                <w:u w:val="none"/>
                <w:vertAlign w:val="baseline"/>
                <w:lang w:val="en-US" w:eastAsia="zh-CN"/>
              </w:rPr>
              <w:t>≤</w:t>
            </w:r>
            <w:r>
              <w:rPr>
                <w:rFonts w:hint="default" w:ascii="Times New Roman" w:hAnsi="Times New Roman" w:cs="Times New Roman"/>
                <w:i w:val="0"/>
                <w:iCs w:val="0"/>
                <w:color w:val="auto"/>
                <w:sz w:val="16"/>
                <w:szCs w:val="16"/>
                <w:highlight w:val="none"/>
                <w:u w:val="none"/>
                <w:vertAlign w:val="baseline"/>
                <w:lang w:val="en-US" w:eastAsia="zh-CN"/>
              </w:rPr>
              <w:t>25</w:t>
            </w:r>
            <w:r>
              <w:rPr>
                <w:rFonts w:hint="eastAsia" w:cs="Times New Roman"/>
                <w:i w:val="0"/>
                <w:iCs w:val="0"/>
                <w:color w:val="auto"/>
                <w:sz w:val="16"/>
                <w:szCs w:val="16"/>
                <w:highlight w:val="none"/>
                <w:u w:val="none"/>
                <w:vertAlign w:val="baseline"/>
                <w:lang w:val="en-US" w:eastAsia="zh-CN"/>
              </w:rPr>
              <w:t>mm</w:t>
            </w:r>
          </w:p>
        </w:tc>
      </w:tr>
      <w:tr w14:paraId="6149A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903" w:type="dxa"/>
            <w:vMerge w:val="restart"/>
            <w:vAlign w:val="center"/>
          </w:tcPr>
          <w:p w14:paraId="0945E778">
            <w:pPr>
              <w:spacing w:line="240" w:lineRule="auto"/>
              <w:jc w:val="center"/>
              <w:rPr>
                <w:rFonts w:hint="default" w:ascii="Times New Roman" w:hAnsi="Times New Roman" w:eastAsia="宋体" w:cs="Times New Roman"/>
                <w:i w:val="0"/>
                <w:iCs w:val="0"/>
                <w:color w:val="auto"/>
                <w:sz w:val="16"/>
                <w:szCs w:val="16"/>
                <w:highlight w:val="none"/>
                <w:u w:val="none"/>
                <w:vertAlign w:val="baseline"/>
                <w:lang w:val="en-US" w:eastAsia="zh-CN"/>
              </w:rPr>
            </w:pPr>
            <w:r>
              <w:rPr>
                <w:rFonts w:hint="eastAsia" w:ascii="Times New Roman" w:hAnsi="Times New Roman" w:eastAsia="宋体" w:cs="Times New Roman"/>
                <w:i w:val="0"/>
                <w:iCs w:val="0"/>
                <w:color w:val="auto"/>
                <w:sz w:val="16"/>
                <w:szCs w:val="16"/>
                <w:highlight w:val="none"/>
                <w:u w:val="none"/>
                <w:vertAlign w:val="baseline"/>
                <w:lang w:val="en-US" w:eastAsia="zh-CN"/>
              </w:rPr>
              <w:t>抗离析性</w:t>
            </w:r>
          </w:p>
        </w:tc>
        <w:tc>
          <w:tcPr>
            <w:tcW w:w="1245" w:type="dxa"/>
            <w:vMerge w:val="restart"/>
            <w:vAlign w:val="center"/>
          </w:tcPr>
          <w:p w14:paraId="47D7337D">
            <w:pPr>
              <w:spacing w:line="240" w:lineRule="auto"/>
              <w:jc w:val="center"/>
              <w:rPr>
                <w:rFonts w:hint="eastAsia" w:ascii="Times New Roman" w:hAnsi="Times New Roman" w:eastAsia="宋体" w:cs="Times New Roman"/>
                <w:i w:val="0"/>
                <w:iCs w:val="0"/>
                <w:color w:val="auto"/>
                <w:sz w:val="16"/>
                <w:szCs w:val="16"/>
                <w:highlight w:val="none"/>
                <w:u w:val="none"/>
                <w:vertAlign w:val="baseline"/>
                <w:lang w:val="en-US" w:eastAsia="zh-CN"/>
              </w:rPr>
            </w:pPr>
            <w:r>
              <w:rPr>
                <w:rFonts w:hint="eastAsia" w:ascii="Times New Roman" w:hAnsi="Times New Roman" w:eastAsia="宋体" w:cs="Times New Roman"/>
                <w:i w:val="0"/>
                <w:iCs w:val="0"/>
                <w:color w:val="auto"/>
                <w:sz w:val="16"/>
                <w:szCs w:val="16"/>
                <w:highlight w:val="none"/>
                <w:u w:val="none"/>
                <w:vertAlign w:val="baseline"/>
                <w:lang w:val="en-US" w:eastAsia="zh-CN"/>
              </w:rPr>
              <w:t>筛析法</w:t>
            </w:r>
          </w:p>
        </w:tc>
        <w:tc>
          <w:tcPr>
            <w:tcW w:w="1349" w:type="dxa"/>
            <w:vMerge w:val="restart"/>
            <w:vAlign w:val="center"/>
          </w:tcPr>
          <w:p w14:paraId="391D44CF">
            <w:pPr>
              <w:spacing w:line="240" w:lineRule="auto"/>
              <w:jc w:val="center"/>
              <w:rPr>
                <w:rFonts w:hint="default" w:ascii="Times New Roman" w:hAnsi="Times New Roman" w:eastAsia="宋体" w:cs="Times New Roman"/>
                <w:i w:val="0"/>
                <w:iCs w:val="0"/>
                <w:color w:val="auto"/>
                <w:sz w:val="16"/>
                <w:szCs w:val="16"/>
                <w:highlight w:val="none"/>
                <w:u w:val="none"/>
                <w:vertAlign w:val="baseline"/>
                <w:lang w:val="en-US" w:eastAsia="zh-CN"/>
              </w:rPr>
            </w:pPr>
            <w:r>
              <w:rPr>
                <w:rFonts w:hint="eastAsia" w:ascii="Times New Roman" w:hAnsi="Times New Roman" w:eastAsia="宋体" w:cs="Times New Roman"/>
                <w:i w:val="0"/>
                <w:iCs w:val="0"/>
                <w:color w:val="auto"/>
                <w:sz w:val="16"/>
                <w:szCs w:val="16"/>
                <w:highlight w:val="none"/>
                <w:u w:val="none"/>
                <w:vertAlign w:val="baseline"/>
                <w:lang w:val="en-US" w:eastAsia="zh-CN"/>
              </w:rPr>
              <w:t>浮浆百分比</w:t>
            </w:r>
          </w:p>
        </w:tc>
        <w:tc>
          <w:tcPr>
            <w:tcW w:w="1173" w:type="dxa"/>
            <w:vAlign w:val="center"/>
          </w:tcPr>
          <w:p w14:paraId="1F13869E">
            <w:pPr>
              <w:spacing w:line="240" w:lineRule="auto"/>
              <w:jc w:val="center"/>
              <w:rPr>
                <w:rFonts w:hint="default" w:ascii="Times New Roman" w:hAnsi="Times New Roman" w:eastAsia="宋体" w:cs="Times New Roman"/>
                <w:i/>
                <w:iCs/>
                <w:color w:val="auto"/>
                <w:sz w:val="16"/>
                <w:szCs w:val="16"/>
                <w:highlight w:val="none"/>
                <w:u w:val="none"/>
                <w:vertAlign w:val="baseline"/>
                <w:lang w:val="en-US" w:eastAsia="zh-CN"/>
              </w:rPr>
            </w:pPr>
            <w:r>
              <w:rPr>
                <w:rFonts w:hint="default" w:ascii="Times New Roman" w:hAnsi="Times New Roman" w:eastAsia="宋体" w:cs="Times New Roman"/>
                <w:i/>
                <w:iCs/>
                <w:color w:val="auto"/>
                <w:sz w:val="16"/>
                <w:szCs w:val="16"/>
                <w:highlight w:val="none"/>
                <w:u w:val="none"/>
                <w:vertAlign w:val="baseline"/>
                <w:lang w:val="en-US" w:eastAsia="zh-CN"/>
              </w:rPr>
              <w:t>SR1</w:t>
            </w:r>
          </w:p>
        </w:tc>
        <w:tc>
          <w:tcPr>
            <w:tcW w:w="1465" w:type="dxa"/>
            <w:vAlign w:val="center"/>
          </w:tcPr>
          <w:p w14:paraId="234F6A88">
            <w:pPr>
              <w:spacing w:line="240" w:lineRule="auto"/>
              <w:jc w:val="center"/>
              <w:rPr>
                <w:rFonts w:hint="default" w:ascii="Times New Roman" w:hAnsi="Times New Roman" w:eastAsia="宋体" w:cs="Times New Roman"/>
                <w:i w:val="0"/>
                <w:iCs w:val="0"/>
                <w:color w:val="auto"/>
                <w:sz w:val="16"/>
                <w:szCs w:val="16"/>
                <w:highlight w:val="none"/>
                <w:u w:val="none"/>
                <w:vertAlign w:val="baseline"/>
                <w:lang w:val="en-US"/>
              </w:rPr>
            </w:pPr>
            <w:r>
              <w:rPr>
                <w:rFonts w:hint="default" w:ascii="Times New Roman" w:hAnsi="Times New Roman" w:eastAsia="宋体" w:cs="Times New Roman"/>
                <w:i w:val="0"/>
                <w:iCs w:val="0"/>
                <w:color w:val="auto"/>
                <w:sz w:val="16"/>
                <w:szCs w:val="16"/>
                <w:highlight w:val="none"/>
                <w:u w:val="none"/>
                <w:vertAlign w:val="baseline"/>
                <w:lang w:val="en-US" w:eastAsia="zh-CN"/>
              </w:rPr>
              <w:t>≤</w:t>
            </w:r>
            <w:r>
              <w:rPr>
                <w:rFonts w:hint="default" w:ascii="Times New Roman" w:hAnsi="Times New Roman" w:cs="Times New Roman"/>
                <w:i w:val="0"/>
                <w:iCs w:val="0"/>
                <w:color w:val="auto"/>
                <w:sz w:val="16"/>
                <w:szCs w:val="16"/>
                <w:highlight w:val="none"/>
                <w:u w:val="none"/>
                <w:vertAlign w:val="baseline"/>
                <w:lang w:val="en-US" w:eastAsia="zh-CN"/>
              </w:rPr>
              <w:t>20</w:t>
            </w:r>
            <w:r>
              <w:rPr>
                <w:rFonts w:hint="eastAsia" w:cs="Times New Roman"/>
                <w:i w:val="0"/>
                <w:iCs w:val="0"/>
                <w:color w:val="auto"/>
                <w:sz w:val="16"/>
                <w:szCs w:val="16"/>
                <w:highlight w:val="none"/>
                <w:u w:val="none"/>
                <w:vertAlign w:val="baseline"/>
                <w:lang w:val="en-US" w:eastAsia="zh-CN"/>
              </w:rPr>
              <w:t>%</w:t>
            </w:r>
          </w:p>
        </w:tc>
      </w:tr>
      <w:tr w14:paraId="12A7C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vAlign w:val="center"/>
          </w:tcPr>
          <w:p w14:paraId="340C17D4">
            <w:pPr>
              <w:spacing w:line="240" w:lineRule="auto"/>
              <w:jc w:val="center"/>
              <w:rPr>
                <w:rFonts w:hint="default" w:ascii="Times New Roman" w:hAnsi="Times New Roman" w:eastAsia="宋体" w:cs="Times New Roman"/>
                <w:i w:val="0"/>
                <w:iCs w:val="0"/>
                <w:color w:val="auto"/>
                <w:sz w:val="16"/>
                <w:szCs w:val="16"/>
                <w:highlight w:val="none"/>
                <w:u w:val="none"/>
                <w:vertAlign w:val="baseline"/>
              </w:rPr>
            </w:pPr>
          </w:p>
        </w:tc>
        <w:tc>
          <w:tcPr>
            <w:tcW w:w="1245" w:type="dxa"/>
            <w:vMerge w:val="continue"/>
            <w:vAlign w:val="center"/>
          </w:tcPr>
          <w:p w14:paraId="6F43995E">
            <w:pPr>
              <w:spacing w:line="240" w:lineRule="auto"/>
              <w:jc w:val="center"/>
              <w:rPr>
                <w:rFonts w:hint="default" w:ascii="Times New Roman" w:hAnsi="Times New Roman" w:eastAsia="宋体" w:cs="Times New Roman"/>
                <w:i w:val="0"/>
                <w:iCs w:val="0"/>
                <w:color w:val="auto"/>
                <w:sz w:val="16"/>
                <w:szCs w:val="16"/>
                <w:highlight w:val="none"/>
                <w:u w:val="none"/>
                <w:vertAlign w:val="baseline"/>
              </w:rPr>
            </w:pPr>
          </w:p>
        </w:tc>
        <w:tc>
          <w:tcPr>
            <w:tcW w:w="1349" w:type="dxa"/>
            <w:vMerge w:val="continue"/>
            <w:vAlign w:val="center"/>
          </w:tcPr>
          <w:p w14:paraId="082658C9">
            <w:pPr>
              <w:spacing w:line="240" w:lineRule="auto"/>
              <w:jc w:val="center"/>
              <w:rPr>
                <w:rFonts w:hint="default" w:ascii="Times New Roman" w:hAnsi="Times New Roman" w:eastAsia="宋体" w:cs="Times New Roman"/>
                <w:i w:val="0"/>
                <w:iCs w:val="0"/>
                <w:color w:val="auto"/>
                <w:sz w:val="16"/>
                <w:szCs w:val="16"/>
                <w:highlight w:val="none"/>
                <w:u w:val="none"/>
                <w:vertAlign w:val="baseline"/>
              </w:rPr>
            </w:pPr>
          </w:p>
        </w:tc>
        <w:tc>
          <w:tcPr>
            <w:tcW w:w="1173" w:type="dxa"/>
            <w:vAlign w:val="center"/>
          </w:tcPr>
          <w:p w14:paraId="6308B010">
            <w:pPr>
              <w:spacing w:line="240" w:lineRule="auto"/>
              <w:jc w:val="center"/>
              <w:rPr>
                <w:rFonts w:hint="default" w:ascii="Times New Roman" w:hAnsi="Times New Roman" w:eastAsia="宋体" w:cs="Times New Roman"/>
                <w:i/>
                <w:iCs/>
                <w:color w:val="auto"/>
                <w:sz w:val="16"/>
                <w:szCs w:val="16"/>
                <w:highlight w:val="none"/>
                <w:u w:val="none"/>
                <w:vertAlign w:val="baseline"/>
                <w:lang w:val="en-US" w:eastAsia="zh-CN"/>
              </w:rPr>
            </w:pPr>
            <w:r>
              <w:rPr>
                <w:rFonts w:hint="default" w:ascii="Times New Roman" w:hAnsi="Times New Roman" w:eastAsia="宋体" w:cs="Times New Roman"/>
                <w:i/>
                <w:iCs/>
                <w:color w:val="auto"/>
                <w:sz w:val="16"/>
                <w:szCs w:val="16"/>
                <w:highlight w:val="none"/>
                <w:u w:val="none"/>
                <w:vertAlign w:val="baseline"/>
                <w:lang w:val="en-US" w:eastAsia="zh-CN"/>
              </w:rPr>
              <w:t>SR2</w:t>
            </w:r>
          </w:p>
        </w:tc>
        <w:tc>
          <w:tcPr>
            <w:tcW w:w="1465" w:type="dxa"/>
            <w:vAlign w:val="center"/>
          </w:tcPr>
          <w:p w14:paraId="320166E1">
            <w:pPr>
              <w:spacing w:line="240" w:lineRule="auto"/>
              <w:jc w:val="center"/>
              <w:rPr>
                <w:rFonts w:hint="default" w:ascii="Times New Roman" w:hAnsi="Times New Roman" w:eastAsia="宋体" w:cs="Times New Roman"/>
                <w:i w:val="0"/>
                <w:iCs w:val="0"/>
                <w:color w:val="auto"/>
                <w:sz w:val="16"/>
                <w:szCs w:val="16"/>
                <w:highlight w:val="none"/>
                <w:u w:val="none"/>
                <w:vertAlign w:val="baseline"/>
                <w:lang w:val="en-US" w:eastAsia="zh-CN"/>
              </w:rPr>
            </w:pPr>
            <w:r>
              <w:rPr>
                <w:rFonts w:hint="default" w:ascii="Times New Roman" w:hAnsi="Times New Roman" w:eastAsia="宋体" w:cs="Times New Roman"/>
                <w:i w:val="0"/>
                <w:iCs w:val="0"/>
                <w:color w:val="auto"/>
                <w:sz w:val="16"/>
                <w:szCs w:val="16"/>
                <w:highlight w:val="none"/>
                <w:u w:val="none"/>
                <w:vertAlign w:val="baseline"/>
                <w:lang w:val="en-US" w:eastAsia="zh-CN"/>
              </w:rPr>
              <w:t>≤</w:t>
            </w:r>
            <w:r>
              <w:rPr>
                <w:rFonts w:hint="default" w:ascii="Times New Roman" w:hAnsi="Times New Roman" w:cs="Times New Roman"/>
                <w:i w:val="0"/>
                <w:iCs w:val="0"/>
                <w:color w:val="auto"/>
                <w:sz w:val="16"/>
                <w:szCs w:val="16"/>
                <w:highlight w:val="none"/>
                <w:u w:val="none"/>
                <w:vertAlign w:val="baseline"/>
                <w:lang w:val="en-US" w:eastAsia="zh-CN"/>
              </w:rPr>
              <w:t>15</w:t>
            </w:r>
            <w:r>
              <w:rPr>
                <w:rFonts w:hint="eastAsia" w:cs="Times New Roman"/>
                <w:i w:val="0"/>
                <w:iCs w:val="0"/>
                <w:color w:val="auto"/>
                <w:sz w:val="16"/>
                <w:szCs w:val="16"/>
                <w:highlight w:val="none"/>
                <w:u w:val="none"/>
                <w:vertAlign w:val="baseline"/>
                <w:lang w:val="en-US" w:eastAsia="zh-CN"/>
              </w:rPr>
              <w:t>%</w:t>
            </w:r>
          </w:p>
        </w:tc>
      </w:tr>
      <w:tr w14:paraId="4C861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vAlign w:val="center"/>
          </w:tcPr>
          <w:p w14:paraId="2C19E89C">
            <w:pPr>
              <w:spacing w:line="240" w:lineRule="auto"/>
              <w:jc w:val="center"/>
              <w:rPr>
                <w:rFonts w:hint="default" w:ascii="Times New Roman" w:hAnsi="Times New Roman" w:eastAsia="宋体" w:cs="Times New Roman"/>
                <w:i w:val="0"/>
                <w:iCs w:val="0"/>
                <w:color w:val="auto"/>
                <w:sz w:val="16"/>
                <w:szCs w:val="16"/>
                <w:highlight w:val="none"/>
                <w:u w:val="none"/>
                <w:vertAlign w:val="baseline"/>
              </w:rPr>
            </w:pPr>
          </w:p>
        </w:tc>
        <w:tc>
          <w:tcPr>
            <w:tcW w:w="1245" w:type="dxa"/>
            <w:vAlign w:val="center"/>
          </w:tcPr>
          <w:p w14:paraId="1881F90B">
            <w:pPr>
              <w:spacing w:line="240" w:lineRule="auto"/>
              <w:jc w:val="center"/>
              <w:rPr>
                <w:rFonts w:hint="default" w:ascii="Times New Roman" w:hAnsi="Times New Roman" w:eastAsia="宋体" w:cs="Times New Roman"/>
                <w:i w:val="0"/>
                <w:iCs w:val="0"/>
                <w:color w:val="auto"/>
                <w:sz w:val="16"/>
                <w:szCs w:val="16"/>
                <w:highlight w:val="none"/>
                <w:u w:val="none"/>
                <w:vertAlign w:val="baseline"/>
                <w:lang w:val="en-US" w:eastAsia="zh-CN"/>
              </w:rPr>
            </w:pPr>
            <w:r>
              <w:rPr>
                <w:rFonts w:hint="eastAsia" w:ascii="Times New Roman" w:hAnsi="Times New Roman" w:eastAsia="宋体" w:cs="Times New Roman"/>
                <w:i w:val="0"/>
                <w:iCs w:val="0"/>
                <w:color w:val="auto"/>
                <w:sz w:val="16"/>
                <w:szCs w:val="16"/>
                <w:highlight w:val="none"/>
                <w:u w:val="none"/>
                <w:vertAlign w:val="baseline"/>
                <w:lang w:val="en-US" w:eastAsia="zh-CN"/>
              </w:rPr>
              <w:t>跳桌法</w:t>
            </w:r>
          </w:p>
        </w:tc>
        <w:tc>
          <w:tcPr>
            <w:tcW w:w="1349" w:type="dxa"/>
            <w:vAlign w:val="center"/>
          </w:tcPr>
          <w:p w14:paraId="27480FEB">
            <w:pPr>
              <w:spacing w:line="240" w:lineRule="auto"/>
              <w:jc w:val="center"/>
              <w:rPr>
                <w:rFonts w:hint="eastAsia" w:ascii="Times New Roman" w:hAnsi="Times New Roman" w:eastAsia="宋体" w:cs="Times New Roman"/>
                <w:i w:val="0"/>
                <w:iCs w:val="0"/>
                <w:color w:val="auto"/>
                <w:sz w:val="16"/>
                <w:szCs w:val="16"/>
                <w:highlight w:val="none"/>
                <w:u w:val="none"/>
                <w:vertAlign w:val="baseline"/>
                <w:lang w:val="en-US" w:eastAsia="zh-CN"/>
              </w:rPr>
            </w:pPr>
            <w:r>
              <w:rPr>
                <w:rFonts w:hint="eastAsia" w:ascii="Times New Roman" w:hAnsi="Times New Roman" w:eastAsia="宋体" w:cs="Times New Roman"/>
                <w:i w:val="0"/>
                <w:iCs w:val="0"/>
                <w:color w:val="auto"/>
                <w:sz w:val="16"/>
                <w:szCs w:val="16"/>
                <w:highlight w:val="none"/>
                <w:u w:val="none"/>
                <w:vertAlign w:val="baseline"/>
                <w:lang w:val="en-US" w:eastAsia="zh-CN"/>
              </w:rPr>
              <w:t>离析率</w:t>
            </w:r>
          </w:p>
        </w:tc>
        <w:tc>
          <w:tcPr>
            <w:tcW w:w="1173" w:type="dxa"/>
            <w:vAlign w:val="center"/>
          </w:tcPr>
          <w:p w14:paraId="28D73E5C">
            <w:pPr>
              <w:spacing w:line="240" w:lineRule="auto"/>
              <w:jc w:val="center"/>
              <w:rPr>
                <w:rFonts w:hint="default" w:ascii="Times New Roman" w:hAnsi="Times New Roman" w:eastAsia="宋体" w:cs="Times New Roman"/>
                <w:i/>
                <w:iCs/>
                <w:color w:val="auto"/>
                <w:sz w:val="16"/>
                <w:szCs w:val="16"/>
                <w:highlight w:val="none"/>
                <w:u w:val="none"/>
                <w:vertAlign w:val="baseline"/>
                <w:lang w:val="en-US" w:eastAsia="zh-CN"/>
              </w:rPr>
            </w:pPr>
            <w:r>
              <w:rPr>
                <w:rFonts w:hint="default" w:ascii="Times New Roman" w:hAnsi="Times New Roman" w:eastAsia="宋体" w:cs="Times New Roman"/>
                <w:i/>
                <w:iCs/>
                <w:color w:val="auto"/>
                <w:sz w:val="16"/>
                <w:szCs w:val="16"/>
                <w:highlight w:val="none"/>
                <w:u w:val="none"/>
                <w:vertAlign w:val="baseline"/>
                <w:lang w:val="en-US" w:eastAsia="zh-CN"/>
              </w:rPr>
              <w:t>f</w:t>
            </w:r>
            <w:r>
              <w:rPr>
                <w:rFonts w:hint="default" w:ascii="Times New Roman" w:hAnsi="Times New Roman" w:eastAsia="宋体" w:cs="Times New Roman"/>
                <w:i/>
                <w:iCs/>
                <w:color w:val="auto"/>
                <w:sz w:val="16"/>
                <w:szCs w:val="16"/>
                <w:highlight w:val="none"/>
                <w:u w:val="none"/>
                <w:vertAlign w:val="subscript"/>
                <w:lang w:val="en-US" w:eastAsia="zh-CN"/>
              </w:rPr>
              <w:t>m</w:t>
            </w:r>
          </w:p>
        </w:tc>
        <w:tc>
          <w:tcPr>
            <w:tcW w:w="1465" w:type="dxa"/>
            <w:vAlign w:val="center"/>
          </w:tcPr>
          <w:p w14:paraId="473643F2">
            <w:pPr>
              <w:spacing w:line="240" w:lineRule="auto"/>
              <w:jc w:val="center"/>
              <w:rPr>
                <w:rFonts w:hint="default" w:ascii="Times New Roman" w:hAnsi="Times New Roman" w:eastAsia="宋体" w:cs="Times New Roman"/>
                <w:i w:val="0"/>
                <w:iCs w:val="0"/>
                <w:color w:val="auto"/>
                <w:sz w:val="16"/>
                <w:szCs w:val="16"/>
                <w:highlight w:val="none"/>
                <w:u w:val="none"/>
                <w:vertAlign w:val="baseline"/>
                <w:lang w:val="en-US" w:eastAsia="zh-CN"/>
              </w:rPr>
            </w:pPr>
            <w:r>
              <w:rPr>
                <w:rFonts w:hint="default" w:ascii="Times New Roman" w:hAnsi="Times New Roman" w:eastAsia="宋体" w:cs="Times New Roman"/>
                <w:i w:val="0"/>
                <w:iCs w:val="0"/>
                <w:color w:val="auto"/>
                <w:sz w:val="16"/>
                <w:szCs w:val="16"/>
                <w:highlight w:val="none"/>
                <w:u w:val="none"/>
                <w:vertAlign w:val="baseline"/>
                <w:lang w:val="en-US" w:eastAsia="zh-CN"/>
              </w:rPr>
              <w:t>≤</w:t>
            </w:r>
            <w:r>
              <w:rPr>
                <w:rFonts w:hint="default" w:ascii="Times New Roman" w:hAnsi="Times New Roman" w:cs="Times New Roman"/>
                <w:i w:val="0"/>
                <w:iCs w:val="0"/>
                <w:color w:val="auto"/>
                <w:sz w:val="16"/>
                <w:szCs w:val="16"/>
                <w:highlight w:val="none"/>
                <w:u w:val="none"/>
                <w:vertAlign w:val="baseline"/>
                <w:lang w:val="en-US" w:eastAsia="zh-CN"/>
              </w:rPr>
              <w:t>10</w:t>
            </w:r>
            <w:r>
              <w:rPr>
                <w:rFonts w:hint="eastAsia" w:cs="Times New Roman"/>
                <w:i w:val="0"/>
                <w:iCs w:val="0"/>
                <w:color w:val="auto"/>
                <w:sz w:val="16"/>
                <w:szCs w:val="16"/>
                <w:highlight w:val="none"/>
                <w:u w:val="none"/>
                <w:vertAlign w:val="baseline"/>
                <w:lang w:val="en-US" w:eastAsia="zh-CN"/>
              </w:rPr>
              <w:t>%</w:t>
            </w:r>
          </w:p>
        </w:tc>
      </w:tr>
    </w:tbl>
    <w:p w14:paraId="4AC568EB">
      <w:pPr>
        <w:rPr>
          <w:color w:val="auto"/>
          <w:highlight w:val="none"/>
        </w:rPr>
      </w:pPr>
      <w:r>
        <w:rPr>
          <w:b/>
          <w:color w:val="auto"/>
          <w:highlight w:val="none"/>
        </w:rPr>
        <w:t>4.1.1</w:t>
      </w:r>
      <w:r>
        <w:rPr>
          <w:rFonts w:hint="eastAsia"/>
          <w:b/>
          <w:color w:val="auto"/>
          <w:highlight w:val="none"/>
        </w:rPr>
        <w:t>4</w:t>
      </w:r>
      <w:r>
        <w:rPr>
          <w:b/>
          <w:color w:val="auto"/>
          <w:highlight w:val="none"/>
        </w:rPr>
        <w:t xml:space="preserve"> </w:t>
      </w:r>
      <w:r>
        <w:rPr>
          <w:rFonts w:hint="eastAsia"/>
          <w:b/>
          <w:color w:val="auto"/>
          <w:highlight w:val="none"/>
          <w:lang w:val="en-US" w:eastAsia="zh-CN"/>
        </w:rPr>
        <w:t xml:space="preserve"> </w:t>
      </w:r>
      <w:r>
        <w:rPr>
          <w:color w:val="auto"/>
          <w:highlight w:val="none"/>
        </w:rPr>
        <w:t>预埋件的锚板宜采用Q235、Q355级钢，并应符合现行国家标准《碳素结构钢》GB/T 700</w:t>
      </w:r>
      <w:r>
        <w:rPr>
          <w:rFonts w:hint="eastAsia"/>
          <w:color w:val="auto"/>
          <w:highlight w:val="none"/>
        </w:rPr>
        <w:t>和《低合金高强度结构钢》GB</w:t>
      </w:r>
      <w:r>
        <w:rPr>
          <w:rFonts w:hint="eastAsia"/>
          <w:color w:val="auto"/>
          <w:highlight w:val="none"/>
          <w:lang w:val="en-US" w:eastAsia="zh-CN"/>
        </w:rPr>
        <w:t>/</w:t>
      </w:r>
      <w:r>
        <w:rPr>
          <w:rFonts w:hint="eastAsia"/>
          <w:color w:val="auto"/>
          <w:highlight w:val="none"/>
        </w:rPr>
        <w:t>T 1591</w:t>
      </w:r>
      <w:r>
        <w:rPr>
          <w:color w:val="auto"/>
          <w:highlight w:val="none"/>
        </w:rPr>
        <w:t>的有关规定；预埋件的锚筋应采用HRB400或HPB300钢筋，且不应采用冷加工钢筋。</w:t>
      </w:r>
    </w:p>
    <w:p w14:paraId="00824298">
      <w:pPr>
        <w:spacing w:line="360" w:lineRule="exact"/>
        <w:rPr>
          <w:color w:val="auto"/>
          <w:szCs w:val="21"/>
          <w:highlight w:val="none"/>
        </w:rPr>
      </w:pPr>
      <w:r>
        <w:rPr>
          <w:b/>
          <w:color w:val="auto"/>
          <w:szCs w:val="21"/>
          <w:highlight w:val="none"/>
        </w:rPr>
        <w:t>4.</w:t>
      </w:r>
      <w:r>
        <w:rPr>
          <w:rFonts w:hint="eastAsia"/>
          <w:b/>
          <w:color w:val="auto"/>
          <w:szCs w:val="21"/>
          <w:highlight w:val="none"/>
          <w:lang w:val="en-US" w:eastAsia="zh-CN"/>
        </w:rPr>
        <w:t>1</w:t>
      </w:r>
      <w:r>
        <w:rPr>
          <w:b/>
          <w:color w:val="auto"/>
          <w:szCs w:val="21"/>
          <w:highlight w:val="none"/>
        </w:rPr>
        <w:t>.</w:t>
      </w:r>
      <w:r>
        <w:rPr>
          <w:rFonts w:hint="eastAsia"/>
          <w:b/>
          <w:color w:val="auto"/>
          <w:szCs w:val="21"/>
          <w:highlight w:val="none"/>
          <w:lang w:val="en-US" w:eastAsia="zh-CN"/>
        </w:rPr>
        <w:t>15</w:t>
      </w:r>
      <w:r>
        <w:rPr>
          <w:b/>
          <w:color w:val="auto"/>
          <w:szCs w:val="21"/>
          <w:highlight w:val="none"/>
        </w:rPr>
        <w:t xml:space="preserve"> </w:t>
      </w:r>
      <w:r>
        <w:rPr>
          <w:rFonts w:hint="eastAsia"/>
          <w:b/>
          <w:color w:val="auto"/>
          <w:szCs w:val="21"/>
          <w:highlight w:val="none"/>
          <w:lang w:val="en-US" w:eastAsia="zh-CN"/>
        </w:rPr>
        <w:t xml:space="preserve"> </w:t>
      </w:r>
      <w:r>
        <w:rPr>
          <w:color w:val="auto"/>
          <w:szCs w:val="21"/>
          <w:highlight w:val="none"/>
        </w:rPr>
        <w:t>模块的吊环应采用</w:t>
      </w:r>
      <w:r>
        <w:rPr>
          <w:rFonts w:hint="eastAsia"/>
          <w:color w:val="auto"/>
          <w:szCs w:val="21"/>
          <w:highlight w:val="none"/>
        </w:rPr>
        <w:t>不低于</w:t>
      </w:r>
      <w:r>
        <w:rPr>
          <w:color w:val="auto"/>
          <w:szCs w:val="21"/>
          <w:highlight w:val="none"/>
        </w:rPr>
        <w:t xml:space="preserve"> HPB300钢筋或</w:t>
      </w:r>
      <w:r>
        <w:rPr>
          <w:rFonts w:hint="eastAsia"/>
          <w:color w:val="auto"/>
          <w:szCs w:val="21"/>
          <w:highlight w:val="none"/>
        </w:rPr>
        <w:t>Q</w:t>
      </w:r>
      <w:r>
        <w:rPr>
          <w:color w:val="auto"/>
          <w:szCs w:val="21"/>
          <w:highlight w:val="none"/>
        </w:rPr>
        <w:t>235B圆钢。预埋吊件的材料应符合国家现行相关标准的</w:t>
      </w:r>
      <w:r>
        <w:rPr>
          <w:rFonts w:hint="eastAsia"/>
          <w:color w:val="auto"/>
          <w:szCs w:val="21"/>
          <w:highlight w:val="none"/>
          <w:lang w:val="en-US" w:eastAsia="zh-CN"/>
        </w:rPr>
        <w:t>规定</w:t>
      </w:r>
      <w:r>
        <w:rPr>
          <w:color w:val="auto"/>
          <w:szCs w:val="21"/>
          <w:highlight w:val="none"/>
        </w:rPr>
        <w:t>。</w:t>
      </w:r>
    </w:p>
    <w:p w14:paraId="68871403">
      <w:pPr>
        <w:rPr>
          <w:color w:val="auto"/>
          <w:highlight w:val="none"/>
        </w:rPr>
      </w:pPr>
    </w:p>
    <w:p w14:paraId="64CB4A1B">
      <w:pPr>
        <w:pStyle w:val="3"/>
        <w:spacing w:before="166" w:beforeLines="50" w:after="166" w:afterLines="50" w:line="360" w:lineRule="auto"/>
        <w:jc w:val="center"/>
        <w:rPr>
          <w:rFonts w:ascii="Times New Roman" w:hAnsi="Times New Roman" w:eastAsia="黑体" w:cs="Times New Roman"/>
          <w:color w:val="auto"/>
          <w:sz w:val="24"/>
          <w:szCs w:val="24"/>
          <w:highlight w:val="none"/>
        </w:rPr>
      </w:pPr>
      <w:bookmarkStart w:id="148" w:name="_Toc12411"/>
      <w:bookmarkStart w:id="149" w:name="_Toc19187"/>
      <w:bookmarkStart w:id="150" w:name="_Toc14219"/>
      <w:bookmarkStart w:id="151" w:name="_Toc27737"/>
      <w:bookmarkStart w:id="152" w:name="_Toc1689"/>
      <w:bookmarkStart w:id="153" w:name="_Toc13461"/>
      <w:bookmarkStart w:id="154" w:name="_Toc9380"/>
      <w:bookmarkStart w:id="155" w:name="_Toc10759"/>
      <w:bookmarkStart w:id="156" w:name="_Toc31309"/>
      <w:r>
        <w:rPr>
          <w:rFonts w:ascii="Times New Roman" w:hAnsi="Times New Roman" w:eastAsia="黑体" w:cs="Times New Roman"/>
          <w:b/>
          <w:color w:val="auto"/>
          <w:sz w:val="24"/>
          <w:szCs w:val="24"/>
          <w:highlight w:val="none"/>
        </w:rPr>
        <w:t xml:space="preserve">4.2 </w:t>
      </w:r>
      <w:r>
        <w:rPr>
          <w:rFonts w:ascii="Times New Roman" w:hAnsi="Times New Roman" w:eastAsia="黑体" w:cs="Times New Roman"/>
          <w:color w:val="auto"/>
          <w:sz w:val="24"/>
          <w:szCs w:val="24"/>
          <w:highlight w:val="none"/>
        </w:rPr>
        <w:t xml:space="preserve"> 装饰装修材料</w:t>
      </w:r>
      <w:bookmarkEnd w:id="148"/>
      <w:bookmarkEnd w:id="149"/>
      <w:bookmarkEnd w:id="150"/>
      <w:bookmarkEnd w:id="151"/>
      <w:bookmarkEnd w:id="152"/>
      <w:bookmarkEnd w:id="153"/>
      <w:bookmarkEnd w:id="154"/>
      <w:bookmarkEnd w:id="155"/>
      <w:bookmarkEnd w:id="156"/>
    </w:p>
    <w:p w14:paraId="2141E2CD">
      <w:pPr>
        <w:spacing w:line="360" w:lineRule="exact"/>
        <w:rPr>
          <w:color w:val="auto"/>
          <w:szCs w:val="21"/>
          <w:highlight w:val="none"/>
        </w:rPr>
      </w:pPr>
      <w:r>
        <w:rPr>
          <w:b/>
          <w:color w:val="auto"/>
          <w:szCs w:val="21"/>
          <w:highlight w:val="none"/>
        </w:rPr>
        <w:t xml:space="preserve">4.2.1 </w:t>
      </w:r>
      <w:r>
        <w:rPr>
          <w:rFonts w:hint="eastAsia"/>
          <w:color w:val="auto"/>
          <w:szCs w:val="21"/>
          <w:highlight w:val="none"/>
          <w:lang w:val="en-US" w:eastAsia="zh-CN"/>
        </w:rPr>
        <w:t xml:space="preserve"> </w:t>
      </w:r>
      <w:r>
        <w:rPr>
          <w:color w:val="auto"/>
          <w:szCs w:val="21"/>
          <w:highlight w:val="none"/>
        </w:rPr>
        <w:t>混凝土模块化建筑装饰装修工程</w:t>
      </w:r>
      <w:r>
        <w:rPr>
          <w:rFonts w:hint="eastAsia"/>
          <w:color w:val="auto"/>
          <w:szCs w:val="21"/>
          <w:highlight w:val="none"/>
        </w:rPr>
        <w:t>应</w:t>
      </w:r>
      <w:r>
        <w:rPr>
          <w:color w:val="auto"/>
          <w:szCs w:val="21"/>
          <w:highlight w:val="none"/>
        </w:rPr>
        <w:t>采用节能绿色环保材料，所用材料的品种、规格和质量应符合设计要求，</w:t>
      </w:r>
      <w:r>
        <w:rPr>
          <w:rFonts w:hint="eastAsia"/>
          <w:color w:val="auto"/>
          <w:szCs w:val="21"/>
          <w:highlight w:val="none"/>
          <w:lang w:val="en-US" w:eastAsia="zh-CN"/>
        </w:rPr>
        <w:t>选用符合产业发展方向的新技术、新工艺和新材料，</w:t>
      </w:r>
      <w:r>
        <w:rPr>
          <w:color w:val="auto"/>
          <w:szCs w:val="21"/>
          <w:highlight w:val="none"/>
        </w:rPr>
        <w:t>符合现行国家标准</w:t>
      </w:r>
      <w:r>
        <w:rPr>
          <w:rFonts w:hint="eastAsia"/>
          <w:color w:val="auto"/>
          <w:szCs w:val="21"/>
          <w:highlight w:val="none"/>
        </w:rPr>
        <w:t>《民用建筑工程室内环境污染控制标准》GB 50325</w:t>
      </w:r>
      <w:r>
        <w:rPr>
          <w:rFonts w:hint="eastAsia"/>
          <w:color w:val="auto"/>
          <w:szCs w:val="21"/>
          <w:highlight w:val="none"/>
          <w:lang w:eastAsia="zh-CN"/>
        </w:rPr>
        <w:t>、</w:t>
      </w:r>
      <w:r>
        <w:rPr>
          <w:rFonts w:hint="eastAsia"/>
          <w:color w:val="auto"/>
          <w:szCs w:val="21"/>
          <w:highlight w:val="none"/>
        </w:rPr>
        <w:t>《建筑内部装修设计防火规范》GB50222</w:t>
      </w:r>
      <w:r>
        <w:rPr>
          <w:rFonts w:hint="eastAsia"/>
          <w:color w:val="auto"/>
          <w:szCs w:val="21"/>
          <w:highlight w:val="none"/>
          <w:lang w:eastAsia="zh-CN"/>
        </w:rPr>
        <w:t>、</w:t>
      </w:r>
      <w:r>
        <w:rPr>
          <w:color w:val="auto"/>
          <w:szCs w:val="21"/>
          <w:highlight w:val="none"/>
        </w:rPr>
        <w:t>《建筑环境通用规范》GB 55016</w:t>
      </w:r>
      <w:r>
        <w:rPr>
          <w:rFonts w:hint="eastAsia"/>
          <w:color w:val="auto"/>
          <w:szCs w:val="21"/>
          <w:highlight w:val="none"/>
          <w:lang w:val="en-US" w:eastAsia="zh-CN"/>
        </w:rPr>
        <w:t>和</w:t>
      </w:r>
      <w:r>
        <w:rPr>
          <w:color w:val="auto"/>
          <w:szCs w:val="21"/>
          <w:highlight w:val="none"/>
        </w:rPr>
        <w:t>《住宅装饰装修工程施工规范》GB 50327</w:t>
      </w:r>
      <w:r>
        <w:rPr>
          <w:rFonts w:hint="eastAsia"/>
          <w:color w:val="auto"/>
          <w:szCs w:val="21"/>
          <w:highlight w:val="none"/>
          <w:lang w:val="en-US" w:eastAsia="zh-CN"/>
        </w:rPr>
        <w:t>等</w:t>
      </w:r>
      <w:r>
        <w:rPr>
          <w:color w:val="auto"/>
          <w:szCs w:val="21"/>
          <w:highlight w:val="none"/>
        </w:rPr>
        <w:t>的有关规定。</w:t>
      </w:r>
    </w:p>
    <w:p w14:paraId="4BC193D6">
      <w:pPr>
        <w:spacing w:line="360" w:lineRule="exact"/>
        <w:rPr>
          <w:color w:val="auto"/>
          <w:szCs w:val="21"/>
          <w:highlight w:val="none"/>
        </w:rPr>
      </w:pPr>
      <w:r>
        <w:rPr>
          <w:b/>
          <w:color w:val="auto"/>
          <w:szCs w:val="21"/>
          <w:highlight w:val="none"/>
        </w:rPr>
        <w:t>4.2.</w:t>
      </w:r>
      <w:r>
        <w:rPr>
          <w:rFonts w:hint="eastAsia"/>
          <w:b/>
          <w:color w:val="auto"/>
          <w:szCs w:val="21"/>
          <w:highlight w:val="none"/>
          <w:lang w:val="en-US" w:eastAsia="zh-CN"/>
        </w:rPr>
        <w:t>2</w:t>
      </w:r>
      <w:r>
        <w:rPr>
          <w:b/>
          <w:color w:val="auto"/>
          <w:szCs w:val="21"/>
          <w:highlight w:val="none"/>
        </w:rPr>
        <w:t xml:space="preserve"> </w:t>
      </w:r>
      <w:r>
        <w:rPr>
          <w:color w:val="auto"/>
          <w:szCs w:val="21"/>
          <w:highlight w:val="none"/>
        </w:rPr>
        <w:t xml:space="preserve"> 混凝土模块化建筑装饰装修材料有害物质限量应符合现行国家标准《民用建筑工程室内环境污染控制标准》GB 50325、《室内空气质量标准》GB/T 18883</w:t>
      </w:r>
      <w:r>
        <w:rPr>
          <w:rFonts w:hint="eastAsia"/>
          <w:color w:val="auto"/>
          <w:szCs w:val="21"/>
          <w:highlight w:val="none"/>
        </w:rPr>
        <w:t>和</w:t>
      </w:r>
      <w:r>
        <w:rPr>
          <w:color w:val="auto"/>
          <w:szCs w:val="21"/>
          <w:highlight w:val="none"/>
        </w:rPr>
        <w:t>《建筑材料放射性核素限量》GB 6566的有关规定。</w:t>
      </w:r>
    </w:p>
    <w:p w14:paraId="0638ADF5">
      <w:pPr>
        <w:spacing w:line="360" w:lineRule="exact"/>
        <w:rPr>
          <w:color w:val="auto"/>
          <w:szCs w:val="21"/>
          <w:highlight w:val="none"/>
        </w:rPr>
      </w:pPr>
      <w:r>
        <w:rPr>
          <w:b/>
          <w:color w:val="auto"/>
          <w:szCs w:val="21"/>
          <w:highlight w:val="none"/>
        </w:rPr>
        <w:t>4.2.</w:t>
      </w:r>
      <w:r>
        <w:rPr>
          <w:rFonts w:hint="eastAsia"/>
          <w:b/>
          <w:color w:val="auto"/>
          <w:szCs w:val="21"/>
          <w:highlight w:val="none"/>
          <w:lang w:val="en-US" w:eastAsia="zh-CN"/>
        </w:rPr>
        <w:t>3</w:t>
      </w:r>
      <w:r>
        <w:rPr>
          <w:b/>
          <w:color w:val="auto"/>
          <w:szCs w:val="21"/>
          <w:highlight w:val="none"/>
        </w:rPr>
        <w:t xml:space="preserve"> </w:t>
      </w:r>
      <w:r>
        <w:rPr>
          <w:color w:val="auto"/>
          <w:szCs w:val="21"/>
          <w:highlight w:val="none"/>
        </w:rPr>
        <w:t xml:space="preserve"> 混凝土模块化建筑装饰装修材料的节能应符合现行国家标准《建筑节能与可再生能源利用通用规范》GB 55015和《建筑节能工程施工质量验收标准》GB 50411的有关规定。</w:t>
      </w:r>
    </w:p>
    <w:p w14:paraId="34BED9CD">
      <w:pPr>
        <w:pStyle w:val="3"/>
        <w:spacing w:before="166" w:beforeLines="50" w:after="166" w:afterLines="50" w:line="360" w:lineRule="auto"/>
        <w:jc w:val="center"/>
        <w:rPr>
          <w:rFonts w:ascii="Times New Roman" w:hAnsi="Times New Roman" w:eastAsia="黑体" w:cs="Times New Roman"/>
          <w:color w:val="auto"/>
          <w:sz w:val="24"/>
          <w:szCs w:val="24"/>
          <w:highlight w:val="none"/>
        </w:rPr>
      </w:pPr>
      <w:bookmarkStart w:id="157" w:name="_Toc5209"/>
      <w:bookmarkStart w:id="158" w:name="_Toc19605"/>
      <w:bookmarkStart w:id="159" w:name="_Toc4128"/>
      <w:bookmarkStart w:id="160" w:name="_Toc32350"/>
      <w:bookmarkStart w:id="161" w:name="_Toc25646"/>
      <w:bookmarkStart w:id="162" w:name="_Toc329"/>
      <w:bookmarkStart w:id="163" w:name="_Toc12854"/>
      <w:bookmarkStart w:id="164" w:name="_Toc2386"/>
      <w:bookmarkStart w:id="165" w:name="_Toc7743"/>
      <w:r>
        <w:rPr>
          <w:rFonts w:ascii="Times New Roman" w:hAnsi="Times New Roman" w:eastAsia="黑体" w:cs="Times New Roman"/>
          <w:b/>
          <w:color w:val="auto"/>
          <w:sz w:val="24"/>
          <w:szCs w:val="24"/>
          <w:highlight w:val="none"/>
        </w:rPr>
        <w:t xml:space="preserve">4.3 </w:t>
      </w:r>
      <w:r>
        <w:rPr>
          <w:rFonts w:ascii="Times New Roman" w:hAnsi="Times New Roman" w:eastAsia="黑体" w:cs="Times New Roman"/>
          <w:color w:val="auto"/>
          <w:sz w:val="24"/>
          <w:szCs w:val="24"/>
          <w:highlight w:val="none"/>
        </w:rPr>
        <w:t xml:space="preserve"> 其 他 材 料</w:t>
      </w:r>
      <w:bookmarkEnd w:id="157"/>
      <w:bookmarkEnd w:id="158"/>
      <w:bookmarkEnd w:id="159"/>
      <w:bookmarkEnd w:id="160"/>
      <w:bookmarkEnd w:id="161"/>
      <w:bookmarkEnd w:id="162"/>
      <w:bookmarkEnd w:id="163"/>
      <w:bookmarkEnd w:id="164"/>
      <w:bookmarkEnd w:id="165"/>
    </w:p>
    <w:p w14:paraId="182D8025">
      <w:pPr>
        <w:spacing w:line="360" w:lineRule="exact"/>
        <w:rPr>
          <w:color w:val="auto"/>
          <w:szCs w:val="21"/>
          <w:highlight w:val="none"/>
        </w:rPr>
      </w:pPr>
      <w:r>
        <w:rPr>
          <w:b/>
          <w:color w:val="auto"/>
          <w:szCs w:val="21"/>
          <w:highlight w:val="none"/>
        </w:rPr>
        <w:t>4.</w:t>
      </w:r>
      <w:r>
        <w:rPr>
          <w:rFonts w:hint="eastAsia"/>
          <w:b/>
          <w:color w:val="auto"/>
          <w:szCs w:val="21"/>
          <w:highlight w:val="none"/>
          <w:lang w:val="en-US" w:eastAsia="zh-CN"/>
        </w:rPr>
        <w:t>3</w:t>
      </w:r>
      <w:r>
        <w:rPr>
          <w:b/>
          <w:color w:val="auto"/>
          <w:szCs w:val="21"/>
          <w:highlight w:val="none"/>
        </w:rPr>
        <w:t>.</w:t>
      </w:r>
      <w:r>
        <w:rPr>
          <w:rFonts w:hint="eastAsia"/>
          <w:b/>
          <w:color w:val="auto"/>
          <w:szCs w:val="21"/>
          <w:highlight w:val="none"/>
          <w:lang w:val="en-US" w:eastAsia="zh-CN"/>
        </w:rPr>
        <w:t>1</w:t>
      </w:r>
      <w:r>
        <w:rPr>
          <w:b/>
          <w:color w:val="auto"/>
          <w:szCs w:val="21"/>
          <w:highlight w:val="none"/>
        </w:rPr>
        <w:t xml:space="preserve"> </w:t>
      </w:r>
      <w:r>
        <w:rPr>
          <w:color w:val="auto"/>
          <w:szCs w:val="21"/>
          <w:highlight w:val="none"/>
        </w:rPr>
        <w:t xml:space="preserve"> 模块单元中隔墙板采用轻骨料混凝土时，应符合现行行业标准《轻骨料混凝土应用技术标准》JGJ/T 12的有关规定，强度等级不宜</w:t>
      </w:r>
      <w:r>
        <w:rPr>
          <w:rFonts w:hint="eastAsia"/>
          <w:color w:val="auto"/>
          <w:szCs w:val="21"/>
          <w:highlight w:val="none"/>
          <w:lang w:val="en-US" w:eastAsia="zh-CN"/>
        </w:rPr>
        <w:t>低</w:t>
      </w:r>
      <w:r>
        <w:rPr>
          <w:color w:val="auto"/>
          <w:szCs w:val="21"/>
          <w:highlight w:val="none"/>
        </w:rPr>
        <w:t>于LC20。</w:t>
      </w:r>
    </w:p>
    <w:p w14:paraId="5C859A73">
      <w:pPr>
        <w:rPr>
          <w:color w:val="auto"/>
          <w:highlight w:val="none"/>
        </w:rPr>
      </w:pPr>
      <w:r>
        <w:rPr>
          <w:rFonts w:hint="eastAsia"/>
          <w:b/>
          <w:color w:val="auto"/>
          <w:highlight w:val="none"/>
        </w:rPr>
        <w:t>4</w:t>
      </w:r>
      <w:r>
        <w:rPr>
          <w:rFonts w:hint="eastAsia"/>
          <w:b/>
          <w:color w:val="auto"/>
          <w:highlight w:val="none"/>
          <w:lang w:val="en-US" w:eastAsia="zh-CN"/>
        </w:rPr>
        <w:t>.3</w:t>
      </w:r>
      <w:r>
        <w:rPr>
          <w:rFonts w:hint="eastAsia"/>
          <w:b/>
          <w:color w:val="auto"/>
          <w:highlight w:val="none"/>
        </w:rPr>
        <w:t>.</w:t>
      </w:r>
      <w:r>
        <w:rPr>
          <w:rFonts w:hint="eastAsia"/>
          <w:b/>
          <w:color w:val="auto"/>
          <w:highlight w:val="none"/>
          <w:lang w:val="en-US" w:eastAsia="zh-CN"/>
        </w:rPr>
        <w:t>2</w:t>
      </w:r>
      <w:r>
        <w:rPr>
          <w:rFonts w:hint="eastAsia"/>
          <w:b/>
          <w:color w:val="auto"/>
          <w:highlight w:val="none"/>
        </w:rPr>
        <w:t xml:space="preserve"> </w:t>
      </w:r>
      <w:r>
        <w:rPr>
          <w:rFonts w:hint="eastAsia"/>
          <w:b/>
          <w:color w:val="auto"/>
          <w:highlight w:val="none"/>
          <w:lang w:val="en-US" w:eastAsia="zh-CN"/>
        </w:rPr>
        <w:t xml:space="preserve"> </w:t>
      </w:r>
      <w:r>
        <w:rPr>
          <w:color w:val="auto"/>
          <w:highlight w:val="none"/>
        </w:rPr>
        <w:t>轻质隔墙板应符合现行行业标准《建筑轻质条板隔墙技术规程》JGJ/T157 和《蒸压加气混凝土制品应用技术标准》JGJ/T17的有关规定。</w:t>
      </w:r>
    </w:p>
    <w:p w14:paraId="2BC1124C">
      <w:pPr>
        <w:spacing w:line="360" w:lineRule="exact"/>
        <w:rPr>
          <w:color w:val="auto"/>
          <w:szCs w:val="21"/>
          <w:highlight w:val="none"/>
        </w:rPr>
      </w:pPr>
      <w:r>
        <w:rPr>
          <w:b/>
          <w:color w:val="auto"/>
          <w:szCs w:val="21"/>
          <w:highlight w:val="none"/>
        </w:rPr>
        <w:t>4.3.</w:t>
      </w:r>
      <w:r>
        <w:rPr>
          <w:rFonts w:hint="eastAsia"/>
          <w:b/>
          <w:color w:val="auto"/>
          <w:szCs w:val="21"/>
          <w:highlight w:val="none"/>
          <w:lang w:val="en-US" w:eastAsia="zh-CN"/>
        </w:rPr>
        <w:t xml:space="preserve">3  </w:t>
      </w:r>
      <w:r>
        <w:rPr>
          <w:color w:val="auto"/>
          <w:szCs w:val="21"/>
          <w:highlight w:val="none"/>
        </w:rPr>
        <w:t>混凝土模块化建筑外墙用保温材料应符合现行行业标准《外墙外保温工程技术标准》JGJ 144和《外墙内保温工程技术标准》JGJ/T 261的有关规定。</w:t>
      </w:r>
    </w:p>
    <w:p w14:paraId="674ACAE6">
      <w:pPr>
        <w:spacing w:line="360" w:lineRule="exact"/>
        <w:rPr>
          <w:color w:val="auto"/>
          <w:szCs w:val="21"/>
          <w:highlight w:val="none"/>
        </w:rPr>
      </w:pPr>
      <w:r>
        <w:rPr>
          <w:b/>
          <w:color w:val="auto"/>
          <w:szCs w:val="21"/>
          <w:highlight w:val="none"/>
        </w:rPr>
        <w:t>4.3.</w:t>
      </w:r>
      <w:r>
        <w:rPr>
          <w:rFonts w:hint="eastAsia"/>
          <w:b/>
          <w:color w:val="auto"/>
          <w:szCs w:val="21"/>
          <w:highlight w:val="none"/>
          <w:lang w:val="en-US" w:eastAsia="zh-CN"/>
        </w:rPr>
        <w:t xml:space="preserve">4  </w:t>
      </w:r>
      <w:r>
        <w:rPr>
          <w:color w:val="auto"/>
          <w:szCs w:val="21"/>
          <w:highlight w:val="none"/>
        </w:rPr>
        <w:t>混凝土模块化建筑外围护墙体间的接缝用防水材料</w:t>
      </w:r>
      <w:r>
        <w:rPr>
          <w:rFonts w:hint="eastAsia"/>
          <w:color w:val="auto"/>
          <w:szCs w:val="21"/>
          <w:highlight w:val="none"/>
          <w:lang w:val="en-US" w:eastAsia="zh-CN"/>
        </w:rPr>
        <w:t>做法</w:t>
      </w:r>
      <w:r>
        <w:rPr>
          <w:color w:val="auto"/>
          <w:szCs w:val="21"/>
          <w:highlight w:val="none"/>
        </w:rPr>
        <w:t>应符合</w:t>
      </w:r>
      <w:r>
        <w:rPr>
          <w:rFonts w:hint="eastAsia"/>
          <w:color w:val="auto"/>
          <w:szCs w:val="21"/>
          <w:highlight w:val="none"/>
        </w:rPr>
        <w:t>现行国家标准</w:t>
      </w:r>
      <w:r>
        <w:rPr>
          <w:color w:val="auto"/>
          <w:szCs w:val="21"/>
          <w:highlight w:val="none"/>
        </w:rPr>
        <w:t>《建筑与市政工程防水通用规范》GB 55030</w:t>
      </w:r>
      <w:r>
        <w:rPr>
          <w:rFonts w:hint="eastAsia"/>
          <w:color w:val="auto"/>
          <w:szCs w:val="21"/>
          <w:highlight w:val="none"/>
        </w:rPr>
        <w:t>和</w:t>
      </w:r>
      <w:r>
        <w:rPr>
          <w:color w:val="auto"/>
          <w:szCs w:val="21"/>
          <w:highlight w:val="none"/>
        </w:rPr>
        <w:t>现行广东省标准《建筑防水工程技术规程》DBJ/T 15-19的有关规定。</w:t>
      </w:r>
    </w:p>
    <w:p w14:paraId="07276F21">
      <w:pPr>
        <w:spacing w:line="360" w:lineRule="exact"/>
        <w:rPr>
          <w:color w:val="auto"/>
          <w:szCs w:val="21"/>
          <w:highlight w:val="none"/>
        </w:rPr>
      </w:pPr>
      <w:r>
        <w:rPr>
          <w:b/>
          <w:color w:val="auto"/>
          <w:szCs w:val="21"/>
          <w:highlight w:val="none"/>
        </w:rPr>
        <w:t>4.3.</w:t>
      </w:r>
      <w:r>
        <w:rPr>
          <w:rFonts w:hint="eastAsia"/>
          <w:b/>
          <w:color w:val="auto"/>
          <w:szCs w:val="21"/>
          <w:highlight w:val="none"/>
          <w:lang w:val="en-US" w:eastAsia="zh-CN"/>
        </w:rPr>
        <w:t xml:space="preserve">5  </w:t>
      </w:r>
      <w:r>
        <w:rPr>
          <w:color w:val="auto"/>
          <w:szCs w:val="21"/>
          <w:highlight w:val="none"/>
        </w:rPr>
        <w:t xml:space="preserve">混凝土模块化建筑内部隔墙间接缝所用的密封材料应符合下列规定： </w:t>
      </w:r>
    </w:p>
    <w:p w14:paraId="0866B8E2">
      <w:pPr>
        <w:spacing w:line="360" w:lineRule="exact"/>
        <w:ind w:firstLine="422" w:firstLineChars="200"/>
        <w:rPr>
          <w:color w:val="auto"/>
          <w:szCs w:val="21"/>
          <w:highlight w:val="none"/>
        </w:rPr>
      </w:pPr>
      <w:bookmarkStart w:id="166" w:name="_Toc22528"/>
      <w:bookmarkStart w:id="167" w:name="_Toc507"/>
      <w:r>
        <w:rPr>
          <w:b/>
          <w:bCs/>
          <w:color w:val="auto"/>
          <w:szCs w:val="21"/>
          <w:highlight w:val="none"/>
        </w:rPr>
        <w:t>1</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密封胶应与混凝土具有相容性以及规定的抗剪切和伸缩变形能力；尚应具有防霉、防水</w:t>
      </w:r>
      <w:r>
        <w:rPr>
          <w:rFonts w:hint="eastAsia"/>
          <w:color w:val="auto"/>
          <w:szCs w:val="21"/>
          <w:highlight w:val="none"/>
        </w:rPr>
        <w:t>、</w:t>
      </w:r>
      <w:r>
        <w:rPr>
          <w:color w:val="auto"/>
          <w:szCs w:val="21"/>
          <w:highlight w:val="none"/>
        </w:rPr>
        <w:t>耐候</w:t>
      </w:r>
      <w:r>
        <w:rPr>
          <w:rFonts w:hint="eastAsia"/>
          <w:color w:val="auto"/>
          <w:szCs w:val="21"/>
          <w:highlight w:val="none"/>
        </w:rPr>
        <w:t>、环保和可涂装</w:t>
      </w:r>
      <w:r>
        <w:rPr>
          <w:color w:val="auto"/>
          <w:szCs w:val="21"/>
          <w:highlight w:val="none"/>
        </w:rPr>
        <w:t>等性能</w:t>
      </w:r>
      <w:bookmarkEnd w:id="166"/>
      <w:bookmarkEnd w:id="167"/>
      <w:r>
        <w:rPr>
          <w:rFonts w:hint="eastAsia"/>
          <w:color w:val="auto"/>
          <w:szCs w:val="21"/>
          <w:highlight w:val="none"/>
          <w:lang w:eastAsia="zh-CN"/>
        </w:rPr>
        <w:t>；</w:t>
      </w:r>
      <w:r>
        <w:rPr>
          <w:color w:val="auto"/>
          <w:szCs w:val="21"/>
          <w:highlight w:val="none"/>
        </w:rPr>
        <w:t xml:space="preserve"> </w:t>
      </w:r>
    </w:p>
    <w:p w14:paraId="3A9B5811">
      <w:pPr>
        <w:spacing w:line="360" w:lineRule="exact"/>
        <w:ind w:firstLine="422" w:firstLineChars="200"/>
        <w:rPr>
          <w:color w:val="auto"/>
          <w:sz w:val="18"/>
          <w:szCs w:val="28"/>
          <w:highlight w:val="none"/>
        </w:rPr>
      </w:pPr>
      <w:bookmarkStart w:id="168" w:name="_Toc18167"/>
      <w:bookmarkStart w:id="169" w:name="_Toc5651"/>
      <w:r>
        <w:rPr>
          <w:b/>
          <w:bCs/>
          <w:color w:val="auto"/>
          <w:szCs w:val="21"/>
          <w:highlight w:val="none"/>
        </w:rPr>
        <w:t>2</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外墙板拼缝填充用保温材料的燃烧性能应满足现行国家标准《建筑材料及制品燃烧性能分级》GB 8624中A级的要求。</w:t>
      </w:r>
      <w:bookmarkEnd w:id="168"/>
      <w:bookmarkEnd w:id="169"/>
    </w:p>
    <w:p w14:paraId="2AF5E6BF">
      <w:pPr>
        <w:spacing w:line="360" w:lineRule="exact"/>
        <w:rPr>
          <w:color w:val="auto"/>
          <w:szCs w:val="21"/>
          <w:highlight w:val="none"/>
        </w:rPr>
      </w:pPr>
      <w:r>
        <w:rPr>
          <w:b/>
          <w:color w:val="auto"/>
          <w:szCs w:val="21"/>
          <w:highlight w:val="none"/>
        </w:rPr>
        <w:t>4.3.</w:t>
      </w:r>
      <w:r>
        <w:rPr>
          <w:rFonts w:hint="eastAsia"/>
          <w:b/>
          <w:color w:val="auto"/>
          <w:szCs w:val="21"/>
          <w:highlight w:val="none"/>
          <w:lang w:val="en-US" w:eastAsia="zh-CN"/>
        </w:rPr>
        <w:t>6</w:t>
      </w:r>
      <w:r>
        <w:rPr>
          <w:b/>
          <w:color w:val="auto"/>
          <w:szCs w:val="21"/>
          <w:highlight w:val="none"/>
        </w:rPr>
        <w:t xml:space="preserve"> </w:t>
      </w:r>
      <w:r>
        <w:rPr>
          <w:rFonts w:hint="eastAsia"/>
          <w:b/>
          <w:color w:val="auto"/>
          <w:szCs w:val="21"/>
          <w:highlight w:val="none"/>
          <w:lang w:val="en-US" w:eastAsia="zh-CN"/>
        </w:rPr>
        <w:t xml:space="preserve"> </w:t>
      </w:r>
      <w:r>
        <w:rPr>
          <w:color w:val="auto"/>
          <w:szCs w:val="21"/>
          <w:highlight w:val="none"/>
        </w:rPr>
        <w:t>模块单元中</w:t>
      </w:r>
      <w:r>
        <w:rPr>
          <w:rFonts w:hint="eastAsia"/>
          <w:color w:val="auto"/>
          <w:szCs w:val="21"/>
          <w:highlight w:val="none"/>
          <w:lang w:val="en-US" w:eastAsia="zh-CN"/>
        </w:rPr>
        <w:t>预埋</w:t>
      </w:r>
      <w:r>
        <w:rPr>
          <w:color w:val="auto"/>
          <w:szCs w:val="21"/>
          <w:highlight w:val="none"/>
        </w:rPr>
        <w:t>钢连接件的防火涂料应符合现行国家标准《钢结构防火涂料》GB 14907的有关规定。</w:t>
      </w:r>
    </w:p>
    <w:p w14:paraId="196BFA76">
      <w:pPr>
        <w:spacing w:line="360" w:lineRule="exact"/>
        <w:rPr>
          <w:color w:val="auto"/>
          <w:szCs w:val="21"/>
          <w:highlight w:val="none"/>
        </w:rPr>
      </w:pPr>
      <w:r>
        <w:rPr>
          <w:b/>
          <w:color w:val="auto"/>
          <w:szCs w:val="21"/>
          <w:highlight w:val="none"/>
        </w:rPr>
        <w:t>4.</w:t>
      </w:r>
      <w:r>
        <w:rPr>
          <w:rFonts w:hint="eastAsia"/>
          <w:b/>
          <w:color w:val="auto"/>
          <w:szCs w:val="21"/>
          <w:highlight w:val="none"/>
        </w:rPr>
        <w:t>3</w:t>
      </w:r>
      <w:r>
        <w:rPr>
          <w:b/>
          <w:color w:val="auto"/>
          <w:szCs w:val="21"/>
          <w:highlight w:val="none"/>
        </w:rPr>
        <w:t>.</w:t>
      </w:r>
      <w:r>
        <w:rPr>
          <w:rFonts w:hint="eastAsia"/>
          <w:b/>
          <w:color w:val="auto"/>
          <w:szCs w:val="21"/>
          <w:highlight w:val="none"/>
          <w:lang w:val="en-US" w:eastAsia="zh-CN"/>
        </w:rPr>
        <w:t>7</w:t>
      </w:r>
      <w:r>
        <w:rPr>
          <w:b/>
          <w:color w:val="auto"/>
          <w:szCs w:val="21"/>
          <w:highlight w:val="none"/>
        </w:rPr>
        <w:t xml:space="preserve"> </w:t>
      </w:r>
      <w:r>
        <w:rPr>
          <w:rFonts w:hint="eastAsia"/>
          <w:b/>
          <w:color w:val="auto"/>
          <w:szCs w:val="21"/>
          <w:highlight w:val="none"/>
          <w:lang w:val="en-US" w:eastAsia="zh-CN"/>
        </w:rPr>
        <w:t xml:space="preserve"> </w:t>
      </w:r>
      <w:r>
        <w:rPr>
          <w:color w:val="auto"/>
          <w:szCs w:val="21"/>
          <w:highlight w:val="none"/>
        </w:rPr>
        <w:t xml:space="preserve">预制构件接缝处采用聚合物改性水泥砂浆填缝时，聚合物改性水泥砂浆的质量应符合现行行业标准《聚合物水泥防水砂浆》JC/T 984 的有关规定。 </w:t>
      </w:r>
    </w:p>
    <w:p w14:paraId="7CEC7037">
      <w:pPr>
        <w:widowControl/>
        <w:spacing w:line="360" w:lineRule="exact"/>
        <w:jc w:val="left"/>
        <w:rPr>
          <w:rFonts w:hint="default" w:eastAsia="宋体"/>
          <w:color w:val="auto"/>
          <w:highlight w:val="none"/>
          <w:lang w:val="en-US" w:eastAsia="zh-CN"/>
        </w:rPr>
      </w:pPr>
      <w:r>
        <w:rPr>
          <w:rFonts w:hint="eastAsia"/>
          <w:b/>
          <w:color w:val="auto"/>
          <w:highlight w:val="none"/>
          <w:lang w:val="en-US" w:eastAsia="zh-CN"/>
        </w:rPr>
        <w:t xml:space="preserve">4.3.8  </w:t>
      </w:r>
      <w:r>
        <w:rPr>
          <w:rFonts w:hint="eastAsia"/>
          <w:color w:val="auto"/>
          <w:highlight w:val="none"/>
          <w:lang w:val="en-US" w:eastAsia="zh-CN"/>
        </w:rPr>
        <w:t>模块单元中的</w:t>
      </w:r>
      <w:r>
        <w:rPr>
          <w:rFonts w:hint="eastAsia"/>
          <w:color w:val="auto"/>
          <w:highlight w:val="none"/>
        </w:rPr>
        <w:t>机电管线材料应选用耐腐蚀、寿命长、降噪性能好、易于安装和更换的管材和管件，以及高性能的部件设备</w:t>
      </w:r>
      <w:r>
        <w:rPr>
          <w:rFonts w:hint="eastAsia"/>
          <w:color w:val="auto"/>
          <w:highlight w:val="none"/>
          <w:lang w:eastAsia="zh-CN"/>
        </w:rPr>
        <w:t>，</w:t>
      </w:r>
      <w:r>
        <w:rPr>
          <w:rFonts w:hint="eastAsia"/>
          <w:color w:val="auto"/>
          <w:highlight w:val="none"/>
          <w:lang w:val="en-US" w:eastAsia="zh-CN"/>
        </w:rPr>
        <w:t>并满足现行国家标准《建筑给水排水设计标准》GB50015、《自动喷水灭火系统施工及验收规范》GB50261、《 建筑电气与智能化通用规范》GB55024、《民用跟建筑电气设计标准》GB51348和《通风与空调工程施工质量验收规范》GB 50243等的有关规定。</w:t>
      </w:r>
    </w:p>
    <w:p w14:paraId="70202C31">
      <w:pPr>
        <w:widowControl/>
        <w:spacing w:line="360" w:lineRule="exact"/>
        <w:jc w:val="left"/>
        <w:rPr>
          <w:rFonts w:eastAsia="黑体"/>
          <w:color w:val="auto"/>
          <w:sz w:val="30"/>
          <w:szCs w:val="30"/>
          <w:highlight w:val="none"/>
        </w:rPr>
      </w:pPr>
      <w:r>
        <w:rPr>
          <w:rFonts w:eastAsia="黑体"/>
          <w:color w:val="auto"/>
          <w:sz w:val="30"/>
          <w:szCs w:val="30"/>
          <w:highlight w:val="none"/>
        </w:rPr>
        <w:br w:type="page"/>
      </w:r>
    </w:p>
    <w:p w14:paraId="60273D4F">
      <w:pPr>
        <w:pStyle w:val="2"/>
        <w:spacing w:before="166" w:beforeLines="50" w:after="166" w:afterLines="50" w:line="360" w:lineRule="auto"/>
        <w:jc w:val="center"/>
        <w:rPr>
          <w:rFonts w:eastAsia="黑体"/>
          <w:color w:val="auto"/>
          <w:sz w:val="28"/>
          <w:szCs w:val="28"/>
          <w:highlight w:val="none"/>
        </w:rPr>
      </w:pPr>
      <w:bookmarkStart w:id="170" w:name="_Toc27666"/>
      <w:bookmarkStart w:id="171" w:name="_Toc727"/>
      <w:bookmarkStart w:id="172" w:name="_Toc9129"/>
      <w:bookmarkStart w:id="173" w:name="_Toc18289"/>
      <w:bookmarkStart w:id="174" w:name="_Toc31129"/>
      <w:bookmarkStart w:id="175" w:name="_Toc25597"/>
      <w:bookmarkStart w:id="176" w:name="_Toc22028"/>
      <w:bookmarkStart w:id="177" w:name="_Toc22003"/>
      <w:bookmarkStart w:id="178" w:name="_Toc23322"/>
      <w:r>
        <w:rPr>
          <w:rFonts w:eastAsia="黑体"/>
          <w:color w:val="auto"/>
          <w:sz w:val="28"/>
          <w:szCs w:val="28"/>
          <w:highlight w:val="none"/>
        </w:rPr>
        <w:t>5  建 筑 设 计</w:t>
      </w:r>
      <w:bookmarkEnd w:id="170"/>
      <w:bookmarkEnd w:id="171"/>
      <w:bookmarkEnd w:id="172"/>
      <w:bookmarkEnd w:id="173"/>
      <w:bookmarkEnd w:id="174"/>
      <w:bookmarkEnd w:id="175"/>
      <w:bookmarkEnd w:id="176"/>
      <w:bookmarkEnd w:id="177"/>
      <w:bookmarkEnd w:id="178"/>
    </w:p>
    <w:p w14:paraId="29497AAB">
      <w:pPr>
        <w:pStyle w:val="3"/>
        <w:spacing w:before="166" w:beforeLines="50" w:after="166" w:afterLines="50" w:line="360" w:lineRule="auto"/>
        <w:jc w:val="center"/>
        <w:rPr>
          <w:rFonts w:ascii="Times New Roman" w:hAnsi="Times New Roman" w:eastAsia="黑体" w:cs="Times New Roman"/>
          <w:color w:val="auto"/>
          <w:sz w:val="24"/>
          <w:szCs w:val="24"/>
          <w:highlight w:val="none"/>
        </w:rPr>
      </w:pPr>
      <w:bookmarkStart w:id="179" w:name="_Toc7771"/>
      <w:bookmarkStart w:id="180" w:name="_Toc12812"/>
      <w:bookmarkStart w:id="181" w:name="_Toc23858"/>
      <w:bookmarkStart w:id="182" w:name="_Toc3993"/>
      <w:bookmarkStart w:id="183" w:name="_Toc20112"/>
      <w:bookmarkStart w:id="184" w:name="_Toc12265"/>
      <w:bookmarkStart w:id="185" w:name="_Toc8144"/>
      <w:bookmarkStart w:id="186" w:name="_Toc6615"/>
      <w:bookmarkStart w:id="187" w:name="_Toc15827"/>
      <w:r>
        <w:rPr>
          <w:rFonts w:ascii="Times New Roman" w:hAnsi="Times New Roman" w:eastAsia="黑体" w:cs="Times New Roman"/>
          <w:b/>
          <w:color w:val="auto"/>
          <w:sz w:val="24"/>
          <w:szCs w:val="24"/>
          <w:highlight w:val="none"/>
        </w:rPr>
        <w:t xml:space="preserve">5.1 </w:t>
      </w:r>
      <w:r>
        <w:rPr>
          <w:rFonts w:ascii="Times New Roman" w:hAnsi="Times New Roman" w:eastAsia="黑体" w:cs="Times New Roman"/>
          <w:color w:val="auto"/>
          <w:sz w:val="24"/>
          <w:szCs w:val="24"/>
          <w:highlight w:val="none"/>
        </w:rPr>
        <w:t xml:space="preserve"> 一 般 规 定</w:t>
      </w:r>
      <w:bookmarkEnd w:id="179"/>
      <w:bookmarkEnd w:id="180"/>
      <w:bookmarkEnd w:id="181"/>
      <w:bookmarkEnd w:id="182"/>
      <w:bookmarkEnd w:id="183"/>
      <w:bookmarkEnd w:id="184"/>
      <w:bookmarkEnd w:id="185"/>
      <w:bookmarkEnd w:id="186"/>
      <w:bookmarkEnd w:id="187"/>
    </w:p>
    <w:p w14:paraId="1FC89C6F">
      <w:pPr>
        <w:spacing w:line="360" w:lineRule="exact"/>
        <w:rPr>
          <w:color w:val="auto"/>
          <w:szCs w:val="21"/>
          <w:highlight w:val="none"/>
        </w:rPr>
      </w:pPr>
      <w:r>
        <w:rPr>
          <w:rFonts w:hint="eastAsia"/>
          <w:b/>
          <w:color w:val="auto"/>
          <w:szCs w:val="21"/>
          <w:highlight w:val="none"/>
        </w:rPr>
        <w:t>5.1.1</w:t>
      </w:r>
      <w:r>
        <w:rPr>
          <w:b/>
          <w:color w:val="auto"/>
          <w:szCs w:val="21"/>
          <w:highlight w:val="none"/>
        </w:rPr>
        <w:t xml:space="preserve"> </w:t>
      </w:r>
      <w:r>
        <w:rPr>
          <w:color w:val="auto"/>
          <w:szCs w:val="21"/>
          <w:highlight w:val="none"/>
        </w:rPr>
        <w:t xml:space="preserve"> 混凝土模块化建筑应满足建筑的适用性能、环境性能、安全性能、耐久性能等要求。</w:t>
      </w:r>
    </w:p>
    <w:p w14:paraId="56AA32EA">
      <w:pPr>
        <w:spacing w:line="360" w:lineRule="exact"/>
        <w:rPr>
          <w:color w:val="auto"/>
          <w:szCs w:val="21"/>
          <w:highlight w:val="none"/>
        </w:rPr>
      </w:pPr>
      <w:r>
        <w:rPr>
          <w:b/>
          <w:color w:val="auto"/>
          <w:szCs w:val="21"/>
          <w:highlight w:val="none"/>
        </w:rPr>
        <w:t>5.1.</w:t>
      </w:r>
      <w:r>
        <w:rPr>
          <w:rFonts w:hint="eastAsia"/>
          <w:b/>
          <w:color w:val="auto"/>
          <w:szCs w:val="21"/>
          <w:highlight w:val="none"/>
        </w:rPr>
        <w:t>2</w:t>
      </w:r>
      <w:r>
        <w:rPr>
          <w:b/>
          <w:color w:val="auto"/>
          <w:szCs w:val="21"/>
          <w:highlight w:val="none"/>
        </w:rPr>
        <w:t xml:space="preserve"> </w:t>
      </w:r>
      <w:r>
        <w:rPr>
          <w:rFonts w:hint="eastAsia"/>
          <w:b/>
          <w:color w:val="auto"/>
          <w:szCs w:val="21"/>
          <w:highlight w:val="none"/>
          <w:lang w:val="en-US" w:eastAsia="zh-CN"/>
        </w:rPr>
        <w:t xml:space="preserve"> </w:t>
      </w:r>
      <w:r>
        <w:rPr>
          <w:color w:val="auto"/>
          <w:szCs w:val="21"/>
          <w:highlight w:val="none"/>
        </w:rPr>
        <w:t>混凝土模块化建筑设计应符合现行国家标准《民用建筑设计统一标准》GB 50352、《建筑设计防火规范》GB 50016、《建筑节能与可再生能源利用通用规范》GB55015、《民用建筑热工设计规范》GB 50176、《夏热冬暖地区居住建筑节能设计标准》JGJ 75、《民用建筑隔声设计规范》GB 50118及国家现行有关标准的规定；同时应符合现行广东省标准《建筑防水工程技术规程》DBJ/T 15-19及广东省现行有关标准</w:t>
      </w:r>
      <w:r>
        <w:rPr>
          <w:rFonts w:hint="eastAsia"/>
          <w:color w:val="auto"/>
          <w:szCs w:val="21"/>
          <w:highlight w:val="none"/>
          <w:lang w:val="en-US" w:eastAsia="zh-CN"/>
        </w:rPr>
        <w:t>规范</w:t>
      </w:r>
      <w:r>
        <w:rPr>
          <w:color w:val="auto"/>
          <w:szCs w:val="21"/>
          <w:highlight w:val="none"/>
        </w:rPr>
        <w:t>的规定。</w:t>
      </w:r>
    </w:p>
    <w:p w14:paraId="127D63B7">
      <w:pPr>
        <w:spacing w:line="360" w:lineRule="exact"/>
        <w:rPr>
          <w:color w:val="auto"/>
          <w:szCs w:val="21"/>
          <w:highlight w:val="none"/>
        </w:rPr>
      </w:pPr>
      <w:r>
        <w:rPr>
          <w:b/>
          <w:color w:val="auto"/>
          <w:szCs w:val="21"/>
          <w:highlight w:val="none"/>
        </w:rPr>
        <w:t>5.1.</w:t>
      </w:r>
      <w:r>
        <w:rPr>
          <w:rFonts w:hint="eastAsia"/>
          <w:b/>
          <w:color w:val="auto"/>
          <w:szCs w:val="21"/>
          <w:highlight w:val="none"/>
        </w:rPr>
        <w:t>3</w:t>
      </w:r>
      <w:r>
        <w:rPr>
          <w:b/>
          <w:color w:val="auto"/>
          <w:szCs w:val="21"/>
          <w:highlight w:val="none"/>
        </w:rPr>
        <w:t xml:space="preserve"> </w:t>
      </w:r>
      <w:r>
        <w:rPr>
          <w:rFonts w:hint="eastAsia"/>
          <w:color w:val="auto"/>
          <w:szCs w:val="21"/>
          <w:highlight w:val="none"/>
        </w:rPr>
        <w:t xml:space="preserve"> </w:t>
      </w:r>
      <w:r>
        <w:rPr>
          <w:color w:val="auto"/>
          <w:szCs w:val="21"/>
          <w:highlight w:val="none"/>
        </w:rPr>
        <w:t>混凝土模块化建筑设计应采用名义轴网，建筑层高</w:t>
      </w:r>
      <w:r>
        <w:rPr>
          <w:rFonts w:hint="eastAsia"/>
          <w:color w:val="auto"/>
          <w:szCs w:val="21"/>
          <w:highlight w:val="none"/>
          <w:lang w:eastAsia="zh-CN"/>
        </w:rPr>
        <w:t>（</w:t>
      </w:r>
      <w:r>
        <w:rPr>
          <w:rFonts w:hint="eastAsia"/>
          <w:color w:val="auto"/>
          <w:szCs w:val="21"/>
          <w:highlight w:val="none"/>
          <w:lang w:val="en-US" w:eastAsia="zh-CN"/>
        </w:rPr>
        <w:t>图5.1.3</w:t>
      </w:r>
      <w:r>
        <w:rPr>
          <w:rFonts w:hint="eastAsia"/>
          <w:color w:val="auto"/>
          <w:szCs w:val="21"/>
          <w:highlight w:val="none"/>
          <w:lang w:eastAsia="zh-CN"/>
        </w:rPr>
        <w:t>）</w:t>
      </w:r>
      <w:r>
        <w:rPr>
          <w:color w:val="auto"/>
          <w:szCs w:val="21"/>
          <w:highlight w:val="none"/>
        </w:rPr>
        <w:t>宜取模块单元高度与模块化单元间间隙之和，其中模数协调应满足下列</w:t>
      </w:r>
      <w:r>
        <w:rPr>
          <w:rFonts w:hint="eastAsia"/>
          <w:color w:val="auto"/>
          <w:szCs w:val="21"/>
          <w:highlight w:val="none"/>
          <w:lang w:val="en-US" w:eastAsia="zh-CN"/>
        </w:rPr>
        <w:t>规定</w:t>
      </w:r>
      <w:r>
        <w:rPr>
          <w:color w:val="auto"/>
          <w:szCs w:val="21"/>
          <w:highlight w:val="none"/>
        </w:rPr>
        <w:t>：</w:t>
      </w:r>
    </w:p>
    <w:p w14:paraId="7F437921">
      <w:pPr>
        <w:spacing w:line="360" w:lineRule="exact"/>
        <w:ind w:firstLine="422" w:firstLineChars="200"/>
        <w:rPr>
          <w:rFonts w:hint="eastAsia" w:eastAsia="宋体"/>
          <w:color w:val="auto"/>
          <w:szCs w:val="21"/>
          <w:highlight w:val="none"/>
          <w:lang w:eastAsia="zh-CN"/>
        </w:rPr>
      </w:pPr>
      <w:bookmarkStart w:id="188" w:name="_Toc8405"/>
      <w:bookmarkStart w:id="189" w:name="_Toc3420"/>
      <w:r>
        <w:rPr>
          <w:b/>
          <w:bCs/>
          <w:color w:val="auto"/>
          <w:szCs w:val="21"/>
          <w:highlight w:val="none"/>
        </w:rPr>
        <w:t>1</w:t>
      </w:r>
      <w:r>
        <w:rPr>
          <w:color w:val="auto"/>
          <w:szCs w:val="21"/>
          <w:highlight w:val="none"/>
        </w:rPr>
        <w:t xml:space="preserve">  设计、生产和安装中的模数数列应根据功能性和经济性原则确定，模块单元的尺寸应根据模块化建筑的建筑功能、生产设备、交通运输条件、吊装设备、现场施工安装条件等因素综合确定</w:t>
      </w:r>
      <w:bookmarkEnd w:id="188"/>
      <w:bookmarkEnd w:id="189"/>
      <w:r>
        <w:rPr>
          <w:rFonts w:hint="eastAsia"/>
          <w:color w:val="auto"/>
          <w:szCs w:val="21"/>
          <w:highlight w:val="none"/>
          <w:lang w:val="en-US" w:eastAsia="zh-CN"/>
        </w:rPr>
        <w:t>；</w:t>
      </w:r>
    </w:p>
    <w:p w14:paraId="118C2726">
      <w:pPr>
        <w:spacing w:line="360" w:lineRule="exact"/>
        <w:ind w:firstLine="422" w:firstLineChars="200"/>
        <w:rPr>
          <w:color w:val="auto"/>
          <w:szCs w:val="21"/>
          <w:highlight w:val="none"/>
        </w:rPr>
      </w:pPr>
      <w:bookmarkStart w:id="190" w:name="_Toc11964"/>
      <w:bookmarkStart w:id="191" w:name="_Toc15425"/>
      <w:r>
        <w:rPr>
          <w:b/>
          <w:bCs/>
          <w:color w:val="auto"/>
          <w:szCs w:val="21"/>
          <w:highlight w:val="none"/>
        </w:rPr>
        <w:t>2</w:t>
      </w:r>
      <w:r>
        <w:rPr>
          <w:color w:val="auto"/>
          <w:szCs w:val="21"/>
          <w:highlight w:val="none"/>
        </w:rPr>
        <w:t xml:space="preserve">  应统筹考虑模数要求与原材料基材的规格选用标准化、系列化尺寸，提高材料利用率，减少材料损耗。</w:t>
      </w:r>
      <w:bookmarkEnd w:id="190"/>
      <w:bookmarkEnd w:id="191"/>
      <w:r>
        <w:rPr>
          <w:color w:val="auto"/>
          <w:szCs w:val="21"/>
          <w:highlight w:val="none"/>
        </w:rPr>
        <w:t xml:space="preserve"> </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35"/>
      </w:tblGrid>
      <w:tr w14:paraId="1E5ED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0" w:hRule="atLeast"/>
        </w:trPr>
        <w:tc>
          <w:tcPr>
            <w:tcW w:w="6135" w:type="dxa"/>
          </w:tcPr>
          <w:p w14:paraId="62D7DF44">
            <w:pPr>
              <w:jc w:val="center"/>
              <w:rPr>
                <w:color w:val="auto"/>
                <w:szCs w:val="21"/>
                <w:highlight w:val="none"/>
                <w:vertAlign w:val="baseline"/>
              </w:rPr>
            </w:pPr>
            <w:r>
              <w:rPr>
                <w:color w:val="auto"/>
                <w:highlight w:val="none"/>
              </w:rPr>
              <w:drawing>
                <wp:inline distT="0" distB="0" distL="114300" distR="114300">
                  <wp:extent cx="3065145" cy="2583180"/>
                  <wp:effectExtent l="0" t="0" r="1905" b="762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23"/>
                          <a:stretch>
                            <a:fillRect/>
                          </a:stretch>
                        </pic:blipFill>
                        <pic:spPr>
                          <a:xfrm>
                            <a:off x="0" y="0"/>
                            <a:ext cx="3065145" cy="2583180"/>
                          </a:xfrm>
                          <a:prstGeom prst="rect">
                            <a:avLst/>
                          </a:prstGeom>
                          <a:noFill/>
                          <a:ln>
                            <a:noFill/>
                          </a:ln>
                        </pic:spPr>
                      </pic:pic>
                    </a:graphicData>
                  </a:graphic>
                </wp:inline>
              </w:drawing>
            </w:r>
          </w:p>
        </w:tc>
      </w:tr>
      <w:tr w14:paraId="7660F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6135" w:type="dxa"/>
          </w:tcPr>
          <w:p w14:paraId="5A575615">
            <w:pPr>
              <w:spacing w:line="360" w:lineRule="exact"/>
              <w:jc w:val="center"/>
              <w:rPr>
                <w:rFonts w:hint="default" w:eastAsia="黑体"/>
                <w:color w:val="auto"/>
                <w:sz w:val="18"/>
                <w:szCs w:val="18"/>
                <w:highlight w:val="none"/>
                <w:vertAlign w:val="baseline"/>
                <w:lang w:val="en-US" w:eastAsia="zh-CN"/>
              </w:rPr>
            </w:pPr>
            <w:r>
              <w:rPr>
                <w:rFonts w:hint="eastAsia"/>
                <w:color w:val="auto"/>
                <w:sz w:val="18"/>
                <w:szCs w:val="18"/>
                <w:highlight w:val="none"/>
                <w:vertAlign w:val="baseline"/>
                <w:lang w:val="en-US" w:eastAsia="zh-CN"/>
              </w:rPr>
              <w:t>图</w:t>
            </w:r>
            <w:r>
              <w:rPr>
                <w:rFonts w:hint="eastAsia"/>
                <w:b/>
                <w:color w:val="auto"/>
                <w:sz w:val="18"/>
                <w:szCs w:val="18"/>
                <w:highlight w:val="none"/>
                <w:vertAlign w:val="baseline"/>
                <w:lang w:val="en-US" w:eastAsia="zh-CN"/>
              </w:rPr>
              <w:t xml:space="preserve">5.1.3 </w:t>
            </w:r>
            <w:r>
              <w:rPr>
                <w:rFonts w:eastAsia="黑体"/>
                <w:color w:val="auto"/>
                <w:kern w:val="0"/>
                <w:sz w:val="18"/>
                <w:szCs w:val="18"/>
                <w:highlight w:val="none"/>
              </w:rPr>
              <w:t>混凝土模块化建筑</w:t>
            </w:r>
            <w:r>
              <w:rPr>
                <w:rFonts w:hint="eastAsia" w:eastAsia="黑体"/>
                <w:color w:val="auto"/>
                <w:kern w:val="0"/>
                <w:sz w:val="18"/>
                <w:szCs w:val="18"/>
                <w:highlight w:val="none"/>
                <w:lang w:val="en-US" w:eastAsia="zh-CN"/>
              </w:rPr>
              <w:t>层高示意图</w:t>
            </w:r>
          </w:p>
        </w:tc>
      </w:tr>
      <w:tr w14:paraId="34F93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135" w:type="dxa"/>
          </w:tcPr>
          <w:p w14:paraId="2FE9BD11">
            <w:pPr>
              <w:numPr>
                <w:ilvl w:val="0"/>
                <w:numId w:val="2"/>
              </w:numPr>
              <w:spacing w:line="360" w:lineRule="exact"/>
              <w:jc w:val="center"/>
              <w:rPr>
                <w:rFonts w:hint="default" w:ascii="Times New Roman" w:hAnsi="Times New Roman" w:eastAsia="黑体" w:cs="Times New Roman"/>
                <w:b w:val="0"/>
                <w:bCs w:val="0"/>
                <w:color w:val="auto"/>
                <w:sz w:val="18"/>
                <w:szCs w:val="18"/>
                <w:highlight w:val="none"/>
                <w:vertAlign w:val="baseline"/>
                <w:lang w:val="en-US" w:eastAsia="zh-CN"/>
              </w:rPr>
            </w:pPr>
            <w:r>
              <w:rPr>
                <w:rFonts w:hint="default" w:ascii="Times New Roman" w:hAnsi="Times New Roman" w:eastAsia="黑体" w:cs="Times New Roman"/>
                <w:b w:val="0"/>
                <w:bCs w:val="0"/>
                <w:color w:val="auto"/>
                <w:sz w:val="18"/>
                <w:szCs w:val="18"/>
                <w:highlight w:val="none"/>
                <w:vertAlign w:val="baseline"/>
                <w:lang w:val="en-US" w:eastAsia="zh-CN"/>
              </w:rPr>
              <w:t>建筑层高；h-模块高度；h’-模块净高；</w:t>
            </w:r>
          </w:p>
          <w:p w14:paraId="075A4030">
            <w:pPr>
              <w:numPr>
                <w:ilvl w:val="0"/>
                <w:numId w:val="0"/>
              </w:numPr>
              <w:spacing w:line="360" w:lineRule="exact"/>
              <w:jc w:val="center"/>
              <w:rPr>
                <w:rFonts w:hint="default"/>
                <w:color w:val="auto"/>
                <w:sz w:val="18"/>
                <w:szCs w:val="18"/>
                <w:highlight w:val="none"/>
                <w:vertAlign w:val="baseline"/>
                <w:lang w:val="en-US" w:eastAsia="zh-CN"/>
              </w:rPr>
            </w:pPr>
            <w:r>
              <w:rPr>
                <w:rFonts w:hint="default" w:ascii="Times New Roman" w:hAnsi="Times New Roman" w:eastAsia="黑体" w:cs="Times New Roman"/>
                <w:b w:val="0"/>
                <w:bCs w:val="0"/>
                <w:color w:val="auto"/>
                <w:sz w:val="18"/>
                <w:szCs w:val="18"/>
                <w:highlight w:val="none"/>
                <w:vertAlign w:val="baseline"/>
                <w:lang w:val="en-US" w:eastAsia="zh-CN"/>
              </w:rPr>
              <w:t>b-座浆层厚度；t-现浇面层厚度</w:t>
            </w:r>
          </w:p>
        </w:tc>
      </w:tr>
    </w:tbl>
    <w:p w14:paraId="0CC82C6D">
      <w:pPr>
        <w:spacing w:line="360" w:lineRule="exact"/>
        <w:ind w:firstLine="0" w:firstLineChars="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5.1.4</w:t>
      </w:r>
      <w:r>
        <w:rPr>
          <w:rFonts w:hint="eastAsia" w:ascii="Times New Roman" w:hAnsi="Times New Roman" w:eastAsia="宋体" w:cs="Times New Roman"/>
          <w:b/>
          <w:color w:val="auto"/>
          <w:szCs w:val="21"/>
          <w:highlight w:val="none"/>
          <w:lang w:val="en-US" w:eastAsia="zh-CN"/>
        </w:rPr>
        <w:t xml:space="preserve"> </w:t>
      </w:r>
      <w:r>
        <w:rPr>
          <w:rFonts w:hint="eastAsia" w:cs="Times New Roman"/>
          <w:b/>
          <w:color w:val="auto"/>
          <w:szCs w:val="21"/>
          <w:highlight w:val="none"/>
          <w:lang w:val="en-US" w:eastAsia="zh-CN"/>
        </w:rPr>
        <w:t xml:space="preserve"> </w:t>
      </w:r>
      <w:r>
        <w:rPr>
          <w:rFonts w:hint="eastAsia" w:ascii="Times New Roman" w:hAnsi="Times New Roman" w:eastAsia="宋体" w:cs="Times New Roman"/>
          <w:color w:val="auto"/>
          <w:szCs w:val="21"/>
          <w:highlight w:val="none"/>
          <w:lang w:val="en-US" w:eastAsia="zh-CN"/>
        </w:rPr>
        <w:t>模块化建筑中厨房、卫生间和阳台等有水区域应采用高集成设计，在工厂完成基层、防水、饰面和机电等系统。</w:t>
      </w:r>
    </w:p>
    <w:p w14:paraId="1D3C316B">
      <w:pPr>
        <w:pStyle w:val="3"/>
        <w:spacing w:before="166" w:beforeLines="50" w:after="166" w:afterLines="50" w:line="360" w:lineRule="auto"/>
        <w:jc w:val="center"/>
        <w:rPr>
          <w:rFonts w:ascii="Times New Roman" w:hAnsi="Times New Roman" w:eastAsia="黑体" w:cs="Times New Roman"/>
          <w:color w:val="auto"/>
          <w:sz w:val="24"/>
          <w:szCs w:val="24"/>
          <w:highlight w:val="none"/>
        </w:rPr>
      </w:pPr>
      <w:bookmarkStart w:id="192" w:name="_Toc3685"/>
      <w:bookmarkStart w:id="193" w:name="_Toc21144"/>
      <w:bookmarkStart w:id="194" w:name="_Toc26235"/>
      <w:bookmarkStart w:id="195" w:name="_Toc1463"/>
      <w:bookmarkStart w:id="196" w:name="_Toc13162"/>
      <w:bookmarkStart w:id="197" w:name="_Toc19634"/>
      <w:bookmarkStart w:id="198" w:name="_Toc3485"/>
      <w:bookmarkStart w:id="199" w:name="_Toc5467"/>
      <w:r>
        <w:rPr>
          <w:rFonts w:ascii="Times New Roman" w:hAnsi="Times New Roman" w:eastAsia="黑体" w:cs="Times New Roman"/>
          <w:b/>
          <w:color w:val="auto"/>
          <w:sz w:val="24"/>
          <w:szCs w:val="24"/>
          <w:highlight w:val="none"/>
        </w:rPr>
        <w:t xml:space="preserve">5.2 </w:t>
      </w:r>
      <w:r>
        <w:rPr>
          <w:rFonts w:ascii="Times New Roman" w:hAnsi="Times New Roman" w:eastAsia="黑体" w:cs="Times New Roman"/>
          <w:color w:val="auto"/>
          <w:sz w:val="24"/>
          <w:szCs w:val="24"/>
          <w:highlight w:val="none"/>
        </w:rPr>
        <w:t xml:space="preserve"> 系统集成设计</w:t>
      </w:r>
      <w:bookmarkEnd w:id="192"/>
      <w:bookmarkEnd w:id="193"/>
      <w:bookmarkEnd w:id="194"/>
      <w:bookmarkEnd w:id="195"/>
      <w:bookmarkEnd w:id="196"/>
      <w:bookmarkEnd w:id="197"/>
      <w:bookmarkEnd w:id="198"/>
      <w:bookmarkEnd w:id="199"/>
    </w:p>
    <w:p w14:paraId="4A6D5842">
      <w:pPr>
        <w:spacing w:line="360" w:lineRule="exact"/>
        <w:rPr>
          <w:color w:val="auto"/>
          <w:szCs w:val="21"/>
          <w:highlight w:val="none"/>
        </w:rPr>
      </w:pPr>
      <w:r>
        <w:rPr>
          <w:b/>
          <w:color w:val="auto"/>
          <w:szCs w:val="21"/>
          <w:highlight w:val="none"/>
        </w:rPr>
        <w:t>5.2.</w:t>
      </w:r>
      <w:r>
        <w:rPr>
          <w:rFonts w:hint="eastAsia"/>
          <w:b/>
          <w:color w:val="auto"/>
          <w:szCs w:val="21"/>
          <w:highlight w:val="none"/>
        </w:rPr>
        <w:t>1</w:t>
      </w:r>
      <w:r>
        <w:rPr>
          <w:b/>
          <w:color w:val="auto"/>
          <w:szCs w:val="21"/>
          <w:highlight w:val="none"/>
        </w:rPr>
        <w:t xml:space="preserve"> </w:t>
      </w:r>
      <w:r>
        <w:rPr>
          <w:rFonts w:hint="eastAsia"/>
          <w:b/>
          <w:color w:val="auto"/>
          <w:szCs w:val="21"/>
          <w:highlight w:val="none"/>
          <w:lang w:val="en-US" w:eastAsia="zh-CN"/>
        </w:rPr>
        <w:t xml:space="preserve"> </w:t>
      </w:r>
      <w:r>
        <w:rPr>
          <w:color w:val="auto"/>
          <w:szCs w:val="21"/>
          <w:highlight w:val="none"/>
        </w:rPr>
        <w:t>混凝土模块化建筑设计应根据模数协调的原则进行协同设计，并应符合下列规定：</w:t>
      </w:r>
    </w:p>
    <w:p w14:paraId="48C52BF5">
      <w:pPr>
        <w:spacing w:line="360" w:lineRule="exact"/>
        <w:ind w:firstLine="422" w:firstLineChars="200"/>
        <w:rPr>
          <w:color w:val="auto"/>
          <w:szCs w:val="21"/>
          <w:highlight w:val="none"/>
        </w:rPr>
      </w:pPr>
      <w:bookmarkStart w:id="200" w:name="_Toc4003"/>
      <w:bookmarkStart w:id="201" w:name="_Toc3882"/>
      <w:r>
        <w:rPr>
          <w:b/>
          <w:bCs/>
          <w:color w:val="auto"/>
          <w:szCs w:val="21"/>
          <w:highlight w:val="none"/>
        </w:rPr>
        <w:t>1</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模数协调宜采用模数网格建立正交的三维空间模数参考系统，基本模数宜采用1M，模块单元及其内装部品在空间模数参考系统中确定模数协调的安装基准面时，宜以此为依据；</w:t>
      </w:r>
      <w:bookmarkEnd w:id="200"/>
      <w:bookmarkEnd w:id="201"/>
    </w:p>
    <w:p w14:paraId="24E4910E">
      <w:pPr>
        <w:spacing w:line="360" w:lineRule="exact"/>
        <w:ind w:firstLine="422" w:firstLineChars="200"/>
        <w:rPr>
          <w:rFonts w:hint="eastAsia" w:eastAsia="宋体"/>
          <w:color w:val="auto"/>
          <w:szCs w:val="21"/>
          <w:highlight w:val="none"/>
          <w:lang w:eastAsia="zh-CN"/>
        </w:rPr>
      </w:pPr>
      <w:bookmarkStart w:id="202" w:name="_Toc18517"/>
      <w:bookmarkStart w:id="203" w:name="_Toc18279"/>
      <w:r>
        <w:rPr>
          <w:b/>
          <w:bCs/>
          <w:color w:val="auto"/>
          <w:szCs w:val="21"/>
          <w:highlight w:val="none"/>
        </w:rPr>
        <w:t>2</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空间模数参考系统中模数网格的扩大模数宜采用2M、3M的扩大模数数列；</w:t>
      </w:r>
      <w:bookmarkEnd w:id="202"/>
      <w:bookmarkEnd w:id="203"/>
    </w:p>
    <w:p w14:paraId="392C7B2F">
      <w:pPr>
        <w:spacing w:line="360" w:lineRule="exact"/>
        <w:ind w:firstLine="422" w:firstLineChars="200"/>
        <w:rPr>
          <w:rFonts w:hint="eastAsia" w:eastAsia="宋体"/>
          <w:color w:val="auto"/>
          <w:szCs w:val="21"/>
          <w:highlight w:val="none"/>
          <w:lang w:eastAsia="zh-CN"/>
        </w:rPr>
      </w:pPr>
      <w:bookmarkStart w:id="204" w:name="_Toc26309"/>
      <w:bookmarkStart w:id="205" w:name="_Toc29405"/>
      <w:r>
        <w:rPr>
          <w:b/>
          <w:bCs/>
          <w:color w:val="auto"/>
          <w:szCs w:val="21"/>
          <w:highlight w:val="none"/>
        </w:rPr>
        <w:t>3</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模数协调时应采用模块单元的标志尺寸作为协调尺寸，标志尺寸宜选用本标准规定的优先扩大模数</w:t>
      </w:r>
      <w:bookmarkEnd w:id="204"/>
      <w:bookmarkEnd w:id="205"/>
      <w:r>
        <w:rPr>
          <w:rFonts w:hint="eastAsia"/>
          <w:color w:val="auto"/>
          <w:szCs w:val="21"/>
          <w:highlight w:val="none"/>
          <w:lang w:eastAsia="zh-CN"/>
        </w:rPr>
        <w:t>；</w:t>
      </w:r>
    </w:p>
    <w:p w14:paraId="4DFA8EF7">
      <w:pPr>
        <w:spacing w:line="360" w:lineRule="exact"/>
        <w:ind w:firstLine="422" w:firstLineChars="200"/>
        <w:rPr>
          <w:rFonts w:hint="eastAsia" w:eastAsia="宋体"/>
          <w:color w:val="auto"/>
          <w:szCs w:val="21"/>
          <w:highlight w:val="none"/>
          <w:lang w:eastAsia="zh-CN"/>
        </w:rPr>
      </w:pPr>
      <w:bookmarkStart w:id="206" w:name="_Toc7005"/>
      <w:bookmarkStart w:id="207" w:name="_Toc25119"/>
      <w:r>
        <w:rPr>
          <w:b/>
          <w:bCs/>
          <w:color w:val="auto"/>
          <w:szCs w:val="21"/>
          <w:highlight w:val="none"/>
        </w:rPr>
        <w:t>4</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应明确模块单元的标志尺寸、加工尺寸、允许尺寸偏差等关键数据，应根据模块单元间接口性能、形式要求优先选择标准化接口尺寸</w:t>
      </w:r>
      <w:bookmarkEnd w:id="206"/>
      <w:bookmarkEnd w:id="207"/>
      <w:r>
        <w:rPr>
          <w:rFonts w:hint="eastAsia"/>
          <w:color w:val="auto"/>
          <w:szCs w:val="21"/>
          <w:highlight w:val="none"/>
          <w:lang w:eastAsia="zh-CN"/>
        </w:rPr>
        <w:t>；</w:t>
      </w:r>
    </w:p>
    <w:p w14:paraId="603193A7">
      <w:pPr>
        <w:spacing w:line="360" w:lineRule="exact"/>
        <w:ind w:firstLine="422" w:firstLineChars="200"/>
        <w:rPr>
          <w:color w:val="auto"/>
          <w:szCs w:val="21"/>
          <w:highlight w:val="none"/>
        </w:rPr>
      </w:pPr>
      <w:bookmarkStart w:id="208" w:name="_Toc13565"/>
      <w:bookmarkStart w:id="209" w:name="_Toc20847"/>
      <w:r>
        <w:rPr>
          <w:b/>
          <w:bCs/>
          <w:color w:val="auto"/>
          <w:szCs w:val="21"/>
          <w:highlight w:val="none"/>
        </w:rPr>
        <w:t>5</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每个模块单元及其内装部品的安装基准面宜在空间模数参考系统中确定，模块单元之间、模块单元与内装系统之间以及各个内装系统之间的模数协调与尺寸协调关系宜通过标准化接口和公差系统确立。</w:t>
      </w:r>
      <w:bookmarkEnd w:id="208"/>
      <w:bookmarkEnd w:id="209"/>
    </w:p>
    <w:p w14:paraId="0396217D">
      <w:pPr>
        <w:spacing w:line="360" w:lineRule="exact"/>
        <w:rPr>
          <w:color w:val="auto"/>
          <w:szCs w:val="21"/>
          <w:highlight w:val="none"/>
        </w:rPr>
      </w:pPr>
      <w:r>
        <w:rPr>
          <w:b/>
          <w:color w:val="auto"/>
          <w:szCs w:val="21"/>
          <w:highlight w:val="none"/>
        </w:rPr>
        <w:t>5.2.</w:t>
      </w:r>
      <w:r>
        <w:rPr>
          <w:rFonts w:hint="eastAsia"/>
          <w:b/>
          <w:color w:val="auto"/>
          <w:szCs w:val="21"/>
          <w:highlight w:val="none"/>
        </w:rPr>
        <w:t>2</w:t>
      </w:r>
      <w:r>
        <w:rPr>
          <w:b/>
          <w:color w:val="auto"/>
          <w:szCs w:val="21"/>
          <w:highlight w:val="none"/>
        </w:rPr>
        <w:t xml:space="preserve"> </w:t>
      </w:r>
      <w:r>
        <w:rPr>
          <w:color w:val="auto"/>
          <w:szCs w:val="21"/>
          <w:highlight w:val="none"/>
        </w:rPr>
        <w:t>混凝土模块化建筑的连接与接口设计应采用标准化接口，并应符合下列规定：</w:t>
      </w:r>
    </w:p>
    <w:p w14:paraId="51F03B3C">
      <w:pPr>
        <w:spacing w:line="360" w:lineRule="exact"/>
        <w:ind w:firstLine="422" w:firstLineChars="200"/>
        <w:rPr>
          <w:rFonts w:hint="eastAsia" w:eastAsia="宋体"/>
          <w:color w:val="auto"/>
          <w:szCs w:val="21"/>
          <w:highlight w:val="none"/>
          <w:lang w:eastAsia="zh-CN"/>
        </w:rPr>
      </w:pPr>
      <w:bookmarkStart w:id="210" w:name="_Toc11176"/>
      <w:bookmarkStart w:id="211" w:name="_Toc21224"/>
      <w:bookmarkStart w:id="212" w:name="_Toc7428"/>
      <w:bookmarkStart w:id="213" w:name="_Toc20444"/>
      <w:bookmarkStart w:id="214" w:name="_Toc9966"/>
      <w:r>
        <w:rPr>
          <w:b/>
          <w:bCs/>
          <w:color w:val="auto"/>
          <w:szCs w:val="21"/>
          <w:highlight w:val="none"/>
        </w:rPr>
        <w:t>1</w:t>
      </w:r>
      <w:r>
        <w:rPr>
          <w:color w:val="auto"/>
          <w:szCs w:val="21"/>
          <w:highlight w:val="none"/>
        </w:rPr>
        <w:t xml:space="preserve">  连接与接口设计应明确工厂加工与现场施工的交界面</w:t>
      </w:r>
      <w:bookmarkEnd w:id="210"/>
      <w:bookmarkEnd w:id="211"/>
      <w:bookmarkEnd w:id="212"/>
      <w:bookmarkEnd w:id="213"/>
      <w:bookmarkEnd w:id="214"/>
      <w:r>
        <w:rPr>
          <w:rFonts w:hint="eastAsia"/>
          <w:color w:val="auto"/>
          <w:szCs w:val="21"/>
          <w:highlight w:val="none"/>
          <w:lang w:eastAsia="zh-CN"/>
        </w:rPr>
        <w:t>；</w:t>
      </w:r>
    </w:p>
    <w:p w14:paraId="094AD225">
      <w:pPr>
        <w:spacing w:line="360" w:lineRule="exact"/>
        <w:ind w:firstLine="422" w:firstLineChars="200"/>
        <w:rPr>
          <w:rFonts w:hint="eastAsia" w:eastAsia="宋体"/>
          <w:color w:val="auto"/>
          <w:szCs w:val="21"/>
          <w:highlight w:val="none"/>
          <w:lang w:eastAsia="zh-CN"/>
        </w:rPr>
      </w:pPr>
      <w:bookmarkStart w:id="215" w:name="_Toc3140"/>
      <w:bookmarkStart w:id="216" w:name="_Toc24088"/>
      <w:r>
        <w:rPr>
          <w:b/>
          <w:bCs/>
          <w:color w:val="auto"/>
          <w:szCs w:val="21"/>
          <w:highlight w:val="none"/>
        </w:rPr>
        <w:t>2</w:t>
      </w:r>
      <w:r>
        <w:rPr>
          <w:color w:val="auto"/>
          <w:szCs w:val="21"/>
          <w:highlight w:val="none"/>
        </w:rPr>
        <w:t xml:space="preserve">  连接与接口尺寸应考虑模块单元的制作公差、安装顺序和安装公差的影响，应具备容差的能力</w:t>
      </w:r>
      <w:bookmarkEnd w:id="215"/>
      <w:bookmarkEnd w:id="216"/>
      <w:r>
        <w:rPr>
          <w:rFonts w:hint="eastAsia"/>
          <w:color w:val="auto"/>
          <w:szCs w:val="21"/>
          <w:highlight w:val="none"/>
          <w:lang w:eastAsia="zh-CN"/>
        </w:rPr>
        <w:t>；</w:t>
      </w:r>
    </w:p>
    <w:p w14:paraId="461B44B3">
      <w:pPr>
        <w:spacing w:line="360" w:lineRule="exact"/>
        <w:ind w:firstLine="422" w:firstLineChars="200"/>
        <w:rPr>
          <w:rFonts w:hint="eastAsia" w:eastAsia="宋体"/>
          <w:color w:val="auto"/>
          <w:szCs w:val="21"/>
          <w:highlight w:val="none"/>
          <w:lang w:eastAsia="zh-CN"/>
        </w:rPr>
      </w:pPr>
      <w:bookmarkStart w:id="217" w:name="_Toc25285"/>
      <w:bookmarkStart w:id="218" w:name="_Toc5258"/>
      <w:r>
        <w:rPr>
          <w:b/>
          <w:bCs/>
          <w:color w:val="auto"/>
          <w:szCs w:val="21"/>
          <w:highlight w:val="none"/>
        </w:rPr>
        <w:t>3</w:t>
      </w:r>
      <w:r>
        <w:rPr>
          <w:color w:val="auto"/>
          <w:szCs w:val="21"/>
          <w:highlight w:val="none"/>
        </w:rPr>
        <w:t xml:space="preserve">  连接与接口设计应为现场施工安装提供足够的施工及安全保护空间</w:t>
      </w:r>
      <w:bookmarkEnd w:id="217"/>
      <w:bookmarkEnd w:id="218"/>
      <w:r>
        <w:rPr>
          <w:rFonts w:hint="eastAsia"/>
          <w:color w:val="auto"/>
          <w:szCs w:val="21"/>
          <w:highlight w:val="none"/>
          <w:lang w:eastAsia="zh-CN"/>
        </w:rPr>
        <w:t>；</w:t>
      </w:r>
    </w:p>
    <w:p w14:paraId="0C11F4D1">
      <w:pPr>
        <w:spacing w:line="360" w:lineRule="exact"/>
        <w:ind w:firstLine="422" w:firstLineChars="200"/>
        <w:rPr>
          <w:color w:val="auto"/>
          <w:szCs w:val="21"/>
          <w:highlight w:val="none"/>
        </w:rPr>
      </w:pPr>
      <w:bookmarkStart w:id="219" w:name="_Toc15812"/>
      <w:bookmarkStart w:id="220" w:name="_Toc25523"/>
      <w:bookmarkStart w:id="221" w:name="_Toc5301"/>
      <w:bookmarkStart w:id="222" w:name="_Toc19186"/>
      <w:bookmarkStart w:id="223" w:name="_Toc8285"/>
      <w:r>
        <w:rPr>
          <w:b/>
          <w:bCs/>
          <w:color w:val="auto"/>
          <w:szCs w:val="21"/>
          <w:highlight w:val="none"/>
        </w:rPr>
        <w:t>4</w:t>
      </w:r>
      <w:r>
        <w:rPr>
          <w:color w:val="auto"/>
          <w:szCs w:val="21"/>
          <w:highlight w:val="none"/>
        </w:rPr>
        <w:t xml:space="preserve">  </w:t>
      </w:r>
      <w:r>
        <w:rPr>
          <w:rFonts w:hint="eastAsia"/>
          <w:color w:val="auto"/>
          <w:szCs w:val="21"/>
          <w:highlight w:val="none"/>
          <w:lang w:val="en-US" w:eastAsia="zh-CN"/>
        </w:rPr>
        <w:t>机电管线的</w:t>
      </w:r>
      <w:r>
        <w:rPr>
          <w:color w:val="auto"/>
          <w:szCs w:val="21"/>
          <w:highlight w:val="none"/>
        </w:rPr>
        <w:t>连接与接口设计</w:t>
      </w:r>
      <w:r>
        <w:rPr>
          <w:rFonts w:hint="eastAsia"/>
          <w:color w:val="auto"/>
          <w:szCs w:val="21"/>
          <w:highlight w:val="none"/>
          <w:lang w:val="en-US" w:eastAsia="zh-CN"/>
        </w:rPr>
        <w:t>宜</w:t>
      </w:r>
      <w:r>
        <w:rPr>
          <w:color w:val="auto"/>
          <w:szCs w:val="21"/>
          <w:highlight w:val="none"/>
        </w:rPr>
        <w:t>留有检修口，方便后期的维护及检修。</w:t>
      </w:r>
      <w:bookmarkEnd w:id="219"/>
      <w:bookmarkEnd w:id="220"/>
      <w:bookmarkEnd w:id="221"/>
      <w:bookmarkEnd w:id="222"/>
      <w:bookmarkEnd w:id="223"/>
    </w:p>
    <w:p w14:paraId="245EF06B">
      <w:pPr>
        <w:spacing w:line="360" w:lineRule="exact"/>
        <w:rPr>
          <w:color w:val="auto"/>
          <w:szCs w:val="21"/>
          <w:highlight w:val="none"/>
        </w:rPr>
      </w:pPr>
      <w:r>
        <w:rPr>
          <w:b/>
          <w:color w:val="auto"/>
          <w:szCs w:val="21"/>
          <w:highlight w:val="none"/>
        </w:rPr>
        <w:t>5.2.</w:t>
      </w:r>
      <w:r>
        <w:rPr>
          <w:rFonts w:hint="eastAsia"/>
          <w:b/>
          <w:color w:val="auto"/>
          <w:szCs w:val="21"/>
          <w:highlight w:val="none"/>
        </w:rPr>
        <w:t>3</w:t>
      </w:r>
      <w:r>
        <w:rPr>
          <w:b/>
          <w:color w:val="auto"/>
          <w:szCs w:val="21"/>
          <w:highlight w:val="none"/>
        </w:rPr>
        <w:t xml:space="preserve"> </w:t>
      </w:r>
      <w:r>
        <w:rPr>
          <w:color w:val="auto"/>
          <w:szCs w:val="21"/>
          <w:highlight w:val="none"/>
        </w:rPr>
        <w:t>模块单元沿水平方向定位的标志尺寸应符合下列规定：</w:t>
      </w:r>
    </w:p>
    <w:p w14:paraId="7A55FE21">
      <w:pPr>
        <w:spacing w:line="360" w:lineRule="exact"/>
        <w:ind w:firstLine="422" w:firstLineChars="200"/>
        <w:rPr>
          <w:rFonts w:hint="eastAsia" w:eastAsia="宋体"/>
          <w:color w:val="auto"/>
          <w:szCs w:val="21"/>
          <w:highlight w:val="none"/>
          <w:lang w:eastAsia="zh-CN"/>
        </w:rPr>
      </w:pPr>
      <w:bookmarkStart w:id="224" w:name="_Toc28425"/>
      <w:bookmarkStart w:id="225" w:name="_Toc5344"/>
      <w:r>
        <w:rPr>
          <w:b/>
          <w:bCs/>
          <w:color w:val="auto"/>
          <w:szCs w:val="21"/>
          <w:highlight w:val="none"/>
        </w:rPr>
        <w:t>1</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模块单元沿水平方向的定位基准面宜采用中心线定位法与界面定位法结合的方法，中心线应定位于模块单元间接口的中间位置，界面宜定位于模块单元的两侧内表面（图5.2.</w:t>
      </w:r>
      <w:r>
        <w:rPr>
          <w:rFonts w:hint="eastAsia"/>
          <w:color w:val="auto"/>
          <w:szCs w:val="21"/>
          <w:highlight w:val="none"/>
        </w:rPr>
        <w:t>3</w:t>
      </w:r>
      <w:r>
        <w:rPr>
          <w:color w:val="auto"/>
          <w:szCs w:val="21"/>
          <w:highlight w:val="none"/>
        </w:rPr>
        <w:t>）</w:t>
      </w:r>
      <w:bookmarkEnd w:id="224"/>
      <w:bookmarkEnd w:id="225"/>
      <w:r>
        <w:rPr>
          <w:rFonts w:hint="eastAsia"/>
          <w:color w:val="auto"/>
          <w:szCs w:val="21"/>
          <w:highlight w:val="none"/>
          <w:lang w:eastAsia="zh-CN"/>
        </w:rPr>
        <w:t>；</w:t>
      </w:r>
    </w:p>
    <w:p w14:paraId="45519F9F">
      <w:pPr>
        <w:spacing w:line="360" w:lineRule="exact"/>
        <w:ind w:firstLine="422" w:firstLineChars="200"/>
        <w:rPr>
          <w:rFonts w:hint="eastAsia" w:eastAsia="宋体"/>
          <w:color w:val="auto"/>
          <w:szCs w:val="21"/>
          <w:highlight w:val="none"/>
          <w:lang w:eastAsia="zh-CN"/>
        </w:rPr>
      </w:pPr>
      <w:bookmarkStart w:id="226" w:name="_Toc4296"/>
      <w:bookmarkStart w:id="227" w:name="_Toc4183"/>
      <w:r>
        <w:rPr>
          <w:b/>
          <w:bCs/>
          <w:color w:val="auto"/>
          <w:szCs w:val="21"/>
          <w:highlight w:val="none"/>
        </w:rPr>
        <w:t>2</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混凝土模块化建筑平面中相邻中心线间距尺寸应等于模块单元内部净尺寸、模块两侧墙体厚度与模块之间接口尺寸之和</w:t>
      </w:r>
      <w:bookmarkEnd w:id="226"/>
      <w:bookmarkEnd w:id="227"/>
      <w:r>
        <w:rPr>
          <w:rFonts w:hint="eastAsia"/>
          <w:color w:val="auto"/>
          <w:szCs w:val="21"/>
          <w:highlight w:val="none"/>
          <w:lang w:eastAsia="zh-CN"/>
        </w:rPr>
        <w:t>；</w:t>
      </w:r>
    </w:p>
    <w:p w14:paraId="40E08DF3">
      <w:pPr>
        <w:spacing w:line="360" w:lineRule="exact"/>
        <w:ind w:firstLine="422" w:firstLineChars="200"/>
        <w:rPr>
          <w:rFonts w:hint="eastAsia" w:eastAsia="宋体"/>
          <w:color w:val="auto"/>
          <w:szCs w:val="21"/>
          <w:highlight w:val="none"/>
          <w:lang w:eastAsia="zh-CN"/>
        </w:rPr>
      </w:pPr>
      <w:bookmarkStart w:id="228" w:name="_Toc22890"/>
      <w:bookmarkStart w:id="229" w:name="_Toc27781"/>
      <w:r>
        <w:rPr>
          <w:b/>
          <w:bCs/>
          <w:color w:val="auto"/>
          <w:szCs w:val="21"/>
          <w:highlight w:val="none"/>
        </w:rPr>
        <w:t>3</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混凝土模块化建筑平面中相邻模块单元之间的接口尺寸宜取20mm</w:t>
      </w:r>
      <w:bookmarkEnd w:id="228"/>
      <w:bookmarkEnd w:id="229"/>
      <w:r>
        <w:rPr>
          <w:rFonts w:hint="eastAsia"/>
          <w:color w:val="auto"/>
          <w:szCs w:val="21"/>
          <w:highlight w:val="none"/>
          <w:lang w:eastAsia="zh-CN"/>
        </w:rPr>
        <w:t>；</w:t>
      </w:r>
    </w:p>
    <w:p w14:paraId="4A7D6183">
      <w:pPr>
        <w:spacing w:line="360" w:lineRule="exact"/>
        <w:ind w:firstLine="422" w:firstLineChars="200"/>
        <w:rPr>
          <w:color w:val="auto"/>
          <w:szCs w:val="21"/>
          <w:highlight w:val="none"/>
        </w:rPr>
      </w:pPr>
      <w:bookmarkStart w:id="230" w:name="_Toc23778"/>
      <w:bookmarkStart w:id="231" w:name="_Toc21099"/>
      <w:r>
        <w:rPr>
          <w:b/>
          <w:bCs/>
          <w:color w:val="auto"/>
          <w:szCs w:val="21"/>
          <w:highlight w:val="none"/>
        </w:rPr>
        <w:t>4</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混凝土模块化建筑平面中宜优先满足净尺寸模数，再满足标志尺寸模数。</w:t>
      </w:r>
      <w:bookmarkEnd w:id="230"/>
      <w:bookmarkEnd w:id="231"/>
    </w:p>
    <w:p w14:paraId="72B2BA6F">
      <w:pPr>
        <w:snapToGrid w:val="0"/>
        <w:jc w:val="center"/>
        <w:rPr>
          <w:color w:val="auto"/>
          <w:highlight w:val="none"/>
        </w:rPr>
      </w:pPr>
      <w:r>
        <w:rPr>
          <w:color w:val="auto"/>
          <w:highlight w:val="none"/>
        </w:rPr>
        <w:object>
          <v:shape id="_x0000_i1025" o:spt="75" type="#_x0000_t75" style="height:138.85pt;width:255.1pt;" o:ole="t" filled="f" o:preferrelative="t" stroked="f" coordsize="21600,21600">
            <v:path/>
            <v:fill on="f" focussize="0,0"/>
            <v:stroke on="f" joinstyle="miter"/>
            <v:imagedata r:id="rId24" o:title=""/>
            <o:lock v:ext="edit" aspectratio="t"/>
            <w10:wrap type="none"/>
            <w10:anchorlock/>
          </v:shape>
          <o:OLEObject Type="Embed" ProgID="Visio.Drawing.15" ShapeID="_x0000_i1025" DrawAspect="Content" ObjectID="_1468075725">
            <o:LockedField>false</o:LockedField>
          </o:OLEObject>
        </w:object>
      </w:r>
    </w:p>
    <w:p w14:paraId="3B1C59A2">
      <w:pPr>
        <w:ind w:left="-6"/>
        <w:jc w:val="center"/>
        <w:rPr>
          <w:rFonts w:eastAsia="黑体"/>
          <w:color w:val="auto"/>
          <w:kern w:val="0"/>
          <w:sz w:val="18"/>
          <w:szCs w:val="18"/>
          <w:highlight w:val="none"/>
        </w:rPr>
      </w:pPr>
      <w:r>
        <w:rPr>
          <w:rFonts w:eastAsia="黑体"/>
          <w:color w:val="auto"/>
          <w:sz w:val="18"/>
          <w:szCs w:val="18"/>
          <w:highlight w:val="none"/>
        </w:rPr>
        <w:t>图</w:t>
      </w:r>
      <w:r>
        <w:rPr>
          <w:b/>
          <w:color w:val="auto"/>
          <w:sz w:val="18"/>
          <w:szCs w:val="18"/>
          <w:highlight w:val="none"/>
        </w:rPr>
        <w:t>5.2.</w:t>
      </w:r>
      <w:r>
        <w:rPr>
          <w:rFonts w:hint="eastAsia"/>
          <w:b/>
          <w:color w:val="auto"/>
          <w:sz w:val="18"/>
          <w:szCs w:val="18"/>
          <w:highlight w:val="none"/>
        </w:rPr>
        <w:t>3</w:t>
      </w:r>
      <w:r>
        <w:rPr>
          <w:b/>
          <w:color w:val="auto"/>
          <w:sz w:val="18"/>
          <w:szCs w:val="18"/>
          <w:highlight w:val="none"/>
        </w:rPr>
        <w:t xml:space="preserve"> </w:t>
      </w:r>
      <w:r>
        <w:rPr>
          <w:color w:val="auto"/>
          <w:sz w:val="18"/>
          <w:szCs w:val="18"/>
          <w:highlight w:val="none"/>
        </w:rPr>
        <w:t xml:space="preserve"> </w:t>
      </w:r>
      <w:r>
        <w:rPr>
          <w:rFonts w:eastAsia="黑体"/>
          <w:color w:val="auto"/>
          <w:kern w:val="0"/>
          <w:sz w:val="18"/>
          <w:szCs w:val="18"/>
          <w:highlight w:val="none"/>
        </w:rPr>
        <w:t>混凝土模块化建筑中模块单元的定位轴线示意图</w:t>
      </w:r>
    </w:p>
    <w:p w14:paraId="26C29101">
      <w:pPr>
        <w:ind w:left="-6"/>
        <w:jc w:val="center"/>
        <w:rPr>
          <w:rFonts w:eastAsia="黑体"/>
          <w:bCs/>
          <w:color w:val="auto"/>
          <w:sz w:val="18"/>
          <w:szCs w:val="18"/>
          <w:highlight w:val="none"/>
        </w:rPr>
      </w:pPr>
      <w:bookmarkStart w:id="232" w:name="OLE_LINK40"/>
      <w:r>
        <w:rPr>
          <w:rFonts w:eastAsia="黑体"/>
          <w:bCs/>
          <w:i/>
          <w:color w:val="auto"/>
          <w:sz w:val="18"/>
          <w:szCs w:val="18"/>
          <w:highlight w:val="none"/>
        </w:rPr>
        <w:t>L</w:t>
      </w:r>
      <w:r>
        <w:rPr>
          <w:rFonts w:eastAsia="黑体"/>
          <w:bCs/>
          <w:color w:val="auto"/>
          <w:sz w:val="18"/>
          <w:szCs w:val="18"/>
          <w:highlight w:val="none"/>
        </w:rPr>
        <w:t>—竖向中心</w:t>
      </w:r>
      <w:r>
        <w:rPr>
          <w:rFonts w:eastAsia="黑体"/>
          <w:color w:val="auto"/>
          <w:kern w:val="0"/>
          <w:sz w:val="18"/>
          <w:szCs w:val="18"/>
          <w:highlight w:val="none"/>
        </w:rPr>
        <w:t>线间距</w:t>
      </w:r>
      <w:r>
        <w:rPr>
          <w:rFonts w:eastAsia="黑体"/>
          <w:bCs/>
          <w:color w:val="auto"/>
          <w:sz w:val="18"/>
          <w:szCs w:val="18"/>
          <w:highlight w:val="none"/>
        </w:rPr>
        <w:t>；</w:t>
      </w:r>
      <w:bookmarkEnd w:id="232"/>
      <w:r>
        <w:rPr>
          <w:rFonts w:eastAsia="黑体"/>
          <w:bCs/>
          <w:i/>
          <w:color w:val="auto"/>
          <w:sz w:val="18"/>
          <w:szCs w:val="18"/>
          <w:highlight w:val="none"/>
        </w:rPr>
        <w:t>W</w:t>
      </w:r>
      <w:r>
        <w:rPr>
          <w:rFonts w:eastAsia="黑体"/>
          <w:bCs/>
          <w:color w:val="auto"/>
          <w:sz w:val="18"/>
          <w:szCs w:val="18"/>
          <w:highlight w:val="none"/>
        </w:rPr>
        <w:t>—横向中心线间距；</w:t>
      </w:r>
      <w:r>
        <w:rPr>
          <w:rFonts w:eastAsia="黑体"/>
          <w:bCs/>
          <w:i/>
          <w:color w:val="auto"/>
          <w:sz w:val="18"/>
          <w:szCs w:val="18"/>
          <w:highlight w:val="none"/>
        </w:rPr>
        <w:t>L</w:t>
      </w:r>
      <w:r>
        <w:rPr>
          <w:rFonts w:eastAsia="黑体"/>
          <w:bCs/>
          <w:color w:val="auto"/>
          <w:sz w:val="18"/>
          <w:szCs w:val="18"/>
          <w:highlight w:val="none"/>
        </w:rPr>
        <w:t>a—模块单元内部净长度；</w:t>
      </w:r>
    </w:p>
    <w:p w14:paraId="7EDFC2BF">
      <w:pPr>
        <w:ind w:left="-6"/>
        <w:jc w:val="center"/>
        <w:rPr>
          <w:rFonts w:hint="eastAsia" w:eastAsia="黑体"/>
          <w:bCs/>
          <w:color w:val="auto"/>
          <w:sz w:val="16"/>
          <w:szCs w:val="16"/>
          <w:highlight w:val="none"/>
          <w:lang w:eastAsia="zh-CN"/>
        </w:rPr>
      </w:pPr>
      <w:r>
        <w:rPr>
          <w:rFonts w:eastAsia="黑体"/>
          <w:bCs/>
          <w:i/>
          <w:color w:val="auto"/>
          <w:sz w:val="18"/>
          <w:szCs w:val="18"/>
          <w:highlight w:val="none"/>
        </w:rPr>
        <w:t>W</w:t>
      </w:r>
      <w:r>
        <w:rPr>
          <w:rFonts w:eastAsia="黑体"/>
          <w:bCs/>
          <w:color w:val="auto"/>
          <w:sz w:val="18"/>
          <w:szCs w:val="18"/>
          <w:highlight w:val="none"/>
        </w:rPr>
        <w:t>a—模块单元内部净宽度；1—模块单元</w:t>
      </w:r>
    </w:p>
    <w:p w14:paraId="6C41137C">
      <w:pPr>
        <w:spacing w:line="360" w:lineRule="exact"/>
        <w:rPr>
          <w:color w:val="auto"/>
          <w:szCs w:val="21"/>
          <w:highlight w:val="none"/>
        </w:rPr>
      </w:pPr>
      <w:bookmarkStart w:id="233" w:name="_Toc6445"/>
      <w:bookmarkStart w:id="234" w:name="_Toc7052"/>
      <w:bookmarkStart w:id="235" w:name="_Toc27454"/>
      <w:r>
        <w:rPr>
          <w:b/>
          <w:color w:val="auto"/>
          <w:szCs w:val="21"/>
          <w:highlight w:val="none"/>
        </w:rPr>
        <w:t>5.2.</w:t>
      </w:r>
      <w:r>
        <w:rPr>
          <w:rFonts w:hint="eastAsia"/>
          <w:b/>
          <w:color w:val="auto"/>
          <w:szCs w:val="21"/>
          <w:highlight w:val="none"/>
        </w:rPr>
        <w:t>4</w:t>
      </w:r>
      <w:r>
        <w:rPr>
          <w:b/>
          <w:color w:val="auto"/>
          <w:szCs w:val="21"/>
          <w:highlight w:val="none"/>
        </w:rPr>
        <w:t xml:space="preserve"> </w:t>
      </w:r>
      <w:r>
        <w:rPr>
          <w:color w:val="auto"/>
          <w:szCs w:val="21"/>
          <w:highlight w:val="none"/>
        </w:rPr>
        <w:t xml:space="preserve"> 模块单元的尺寸应符合下列规定：</w:t>
      </w:r>
      <w:bookmarkEnd w:id="233"/>
      <w:bookmarkEnd w:id="234"/>
      <w:bookmarkEnd w:id="235"/>
    </w:p>
    <w:p w14:paraId="6C5F287B">
      <w:pPr>
        <w:spacing w:line="360" w:lineRule="exact"/>
        <w:ind w:firstLine="422" w:firstLineChars="200"/>
        <w:rPr>
          <w:rFonts w:hint="default" w:eastAsia="宋体"/>
          <w:color w:val="auto"/>
          <w:szCs w:val="21"/>
          <w:highlight w:val="none"/>
          <w:lang w:val="en-US" w:eastAsia="zh-CN"/>
        </w:rPr>
      </w:pPr>
      <w:bookmarkStart w:id="236" w:name="_Toc30531"/>
      <w:bookmarkStart w:id="237" w:name="_Toc5778"/>
      <w:bookmarkStart w:id="238" w:name="_Toc32185"/>
      <w:r>
        <w:rPr>
          <w:rFonts w:hint="eastAsia"/>
          <w:b/>
          <w:bCs/>
          <w:color w:val="auto"/>
          <w:szCs w:val="21"/>
          <w:highlight w:val="none"/>
          <w:lang w:val="en-US" w:eastAsia="zh-CN"/>
        </w:rPr>
        <w:t>1</w:t>
      </w:r>
      <w:r>
        <w:rPr>
          <w:rFonts w:hint="eastAsia"/>
          <w:color w:val="auto"/>
          <w:szCs w:val="21"/>
          <w:highlight w:val="none"/>
          <w:lang w:val="en-US" w:eastAsia="zh-CN"/>
        </w:rPr>
        <w:t xml:space="preserve">  模块单元的尺寸应满足现行国家标准《住宅项目设计规范》GB50096和《住宅建筑规范》GB 50368等的有关规定；</w:t>
      </w:r>
    </w:p>
    <w:p w14:paraId="3DE223B4">
      <w:pPr>
        <w:spacing w:line="360" w:lineRule="exact"/>
        <w:ind w:firstLine="422" w:firstLineChars="200"/>
        <w:rPr>
          <w:color w:val="auto"/>
          <w:szCs w:val="21"/>
          <w:highlight w:val="none"/>
        </w:rPr>
      </w:pPr>
      <w:r>
        <w:rPr>
          <w:rFonts w:hint="eastAsia"/>
          <w:b/>
          <w:bCs/>
          <w:color w:val="auto"/>
          <w:szCs w:val="21"/>
          <w:highlight w:val="none"/>
          <w:lang w:val="en-US" w:eastAsia="zh-CN"/>
        </w:rPr>
        <w:t>2</w:t>
      </w:r>
      <w:r>
        <w:rPr>
          <w:color w:val="auto"/>
          <w:szCs w:val="21"/>
          <w:highlight w:val="none"/>
        </w:rPr>
        <w:t xml:space="preserve">  模块单元的</w:t>
      </w:r>
      <w:r>
        <w:rPr>
          <w:rFonts w:hint="eastAsia"/>
          <w:color w:val="auto"/>
          <w:szCs w:val="21"/>
          <w:highlight w:val="none"/>
          <w:lang w:val="en-US" w:eastAsia="zh-CN"/>
        </w:rPr>
        <w:t>尺寸</w:t>
      </w:r>
      <w:r>
        <w:rPr>
          <w:color w:val="auto"/>
          <w:szCs w:val="21"/>
          <w:highlight w:val="none"/>
        </w:rPr>
        <w:t>尚应考虑道</w:t>
      </w:r>
      <w:r>
        <w:rPr>
          <w:rFonts w:hint="eastAsia"/>
          <w:color w:val="auto"/>
          <w:szCs w:val="21"/>
          <w:highlight w:val="none"/>
        </w:rPr>
        <w:t>路</w:t>
      </w:r>
      <w:r>
        <w:rPr>
          <w:color w:val="auto"/>
          <w:szCs w:val="21"/>
          <w:highlight w:val="none"/>
        </w:rPr>
        <w:t>运输条件和现场吊装条件的限制。</w:t>
      </w:r>
      <w:bookmarkEnd w:id="236"/>
      <w:bookmarkEnd w:id="237"/>
      <w:bookmarkEnd w:id="238"/>
    </w:p>
    <w:p w14:paraId="1A646AA0">
      <w:pPr>
        <w:spacing w:line="360" w:lineRule="exact"/>
        <w:ind w:firstLine="0" w:firstLineChars="0"/>
        <w:rPr>
          <w:rFonts w:hint="default"/>
          <w:color w:val="auto"/>
          <w:sz w:val="18"/>
          <w:szCs w:val="28"/>
          <w:highlight w:val="none"/>
          <w:lang w:eastAsia="zh-CN"/>
        </w:rPr>
      </w:pPr>
    </w:p>
    <w:p w14:paraId="65864BB5">
      <w:pPr>
        <w:pStyle w:val="3"/>
        <w:spacing w:before="166" w:beforeLines="50" w:after="166" w:afterLines="50" w:line="360" w:lineRule="auto"/>
        <w:jc w:val="center"/>
        <w:rPr>
          <w:rFonts w:ascii="Times New Roman" w:hAnsi="Times New Roman" w:eastAsia="黑体" w:cs="Times New Roman"/>
          <w:color w:val="auto"/>
          <w:sz w:val="24"/>
          <w:szCs w:val="24"/>
          <w:highlight w:val="none"/>
        </w:rPr>
      </w:pPr>
      <w:bookmarkStart w:id="239" w:name="_Toc365"/>
      <w:bookmarkStart w:id="240" w:name="_Toc27387"/>
      <w:bookmarkStart w:id="241" w:name="_Toc9192"/>
      <w:bookmarkStart w:id="242" w:name="_Toc8391"/>
      <w:bookmarkStart w:id="243" w:name="_Toc10865"/>
      <w:bookmarkStart w:id="244" w:name="_Toc11380"/>
      <w:bookmarkStart w:id="245" w:name="_Toc8868"/>
      <w:bookmarkStart w:id="246" w:name="_Toc32578"/>
      <w:r>
        <w:rPr>
          <w:rFonts w:ascii="Times New Roman" w:hAnsi="Times New Roman" w:eastAsia="黑体" w:cs="Times New Roman"/>
          <w:b/>
          <w:color w:val="auto"/>
          <w:sz w:val="24"/>
          <w:szCs w:val="24"/>
          <w:highlight w:val="none"/>
        </w:rPr>
        <w:t xml:space="preserve">5.3 </w:t>
      </w:r>
      <w:r>
        <w:rPr>
          <w:rFonts w:ascii="Times New Roman" w:hAnsi="Times New Roman" w:eastAsia="黑体" w:cs="Times New Roman"/>
          <w:color w:val="auto"/>
          <w:sz w:val="24"/>
          <w:szCs w:val="24"/>
          <w:highlight w:val="none"/>
        </w:rPr>
        <w:t xml:space="preserve"> 平</w:t>
      </w:r>
      <w:r>
        <w:rPr>
          <w:rFonts w:hint="eastAsia" w:ascii="Times New Roman" w:hAnsi="Times New Roman" w:eastAsia="黑体" w:cs="Times New Roman"/>
          <w:color w:val="auto"/>
          <w:sz w:val="24"/>
          <w:szCs w:val="24"/>
          <w:highlight w:val="none"/>
          <w:lang w:val="en-US" w:eastAsia="zh-CN"/>
        </w:rPr>
        <w:t xml:space="preserve"> </w:t>
      </w:r>
      <w:r>
        <w:rPr>
          <w:rFonts w:ascii="Times New Roman" w:hAnsi="Times New Roman" w:eastAsia="黑体" w:cs="Times New Roman"/>
          <w:color w:val="auto"/>
          <w:sz w:val="24"/>
          <w:szCs w:val="24"/>
          <w:highlight w:val="none"/>
        </w:rPr>
        <w:t>面</w:t>
      </w:r>
      <w:r>
        <w:rPr>
          <w:rFonts w:hint="eastAsia" w:ascii="Times New Roman" w:hAnsi="Times New Roman" w:eastAsia="黑体" w:cs="Times New Roman"/>
          <w:color w:val="auto"/>
          <w:sz w:val="24"/>
          <w:szCs w:val="24"/>
          <w:highlight w:val="none"/>
          <w:lang w:val="en-US" w:eastAsia="zh-CN"/>
        </w:rPr>
        <w:t xml:space="preserve"> </w:t>
      </w:r>
      <w:r>
        <w:rPr>
          <w:rFonts w:ascii="Times New Roman" w:hAnsi="Times New Roman" w:eastAsia="黑体" w:cs="Times New Roman"/>
          <w:color w:val="auto"/>
          <w:sz w:val="24"/>
          <w:szCs w:val="24"/>
          <w:highlight w:val="none"/>
        </w:rPr>
        <w:t>设</w:t>
      </w:r>
      <w:r>
        <w:rPr>
          <w:rFonts w:hint="eastAsia" w:ascii="Times New Roman" w:hAnsi="Times New Roman" w:eastAsia="黑体" w:cs="Times New Roman"/>
          <w:color w:val="auto"/>
          <w:sz w:val="24"/>
          <w:szCs w:val="24"/>
          <w:highlight w:val="none"/>
          <w:lang w:val="en-US" w:eastAsia="zh-CN"/>
        </w:rPr>
        <w:t xml:space="preserve"> </w:t>
      </w:r>
      <w:r>
        <w:rPr>
          <w:rFonts w:ascii="Times New Roman" w:hAnsi="Times New Roman" w:eastAsia="黑体" w:cs="Times New Roman"/>
          <w:color w:val="auto"/>
          <w:sz w:val="24"/>
          <w:szCs w:val="24"/>
          <w:highlight w:val="none"/>
        </w:rPr>
        <w:t>计</w:t>
      </w:r>
      <w:bookmarkEnd w:id="239"/>
      <w:bookmarkEnd w:id="240"/>
      <w:bookmarkEnd w:id="241"/>
      <w:bookmarkEnd w:id="242"/>
      <w:bookmarkEnd w:id="243"/>
      <w:bookmarkEnd w:id="244"/>
      <w:bookmarkEnd w:id="245"/>
      <w:bookmarkEnd w:id="246"/>
    </w:p>
    <w:p w14:paraId="107BFFC7">
      <w:pPr>
        <w:spacing w:line="360" w:lineRule="exact"/>
        <w:rPr>
          <w:color w:val="auto"/>
          <w:szCs w:val="21"/>
          <w:highlight w:val="none"/>
        </w:rPr>
      </w:pPr>
      <w:bookmarkStart w:id="247" w:name="_Toc3354"/>
      <w:bookmarkStart w:id="248" w:name="_Toc17268"/>
      <w:bookmarkStart w:id="249" w:name="_Toc26501"/>
      <w:bookmarkStart w:id="250" w:name="_Toc14775"/>
      <w:r>
        <w:rPr>
          <w:b/>
          <w:color w:val="auto"/>
          <w:szCs w:val="21"/>
          <w:highlight w:val="none"/>
        </w:rPr>
        <w:t xml:space="preserve">5.3.1 </w:t>
      </w:r>
      <w:r>
        <w:rPr>
          <w:color w:val="auto"/>
          <w:szCs w:val="21"/>
          <w:highlight w:val="none"/>
        </w:rPr>
        <w:t xml:space="preserve"> 混凝土模块化建筑的平面设计应符合下列规定：</w:t>
      </w:r>
      <w:bookmarkEnd w:id="247"/>
      <w:bookmarkEnd w:id="248"/>
      <w:bookmarkEnd w:id="249"/>
      <w:bookmarkEnd w:id="250"/>
    </w:p>
    <w:p w14:paraId="4116B770">
      <w:pPr>
        <w:spacing w:line="360" w:lineRule="exact"/>
        <w:ind w:firstLine="422" w:firstLineChars="200"/>
        <w:rPr>
          <w:rFonts w:hint="eastAsia" w:eastAsia="宋体"/>
          <w:color w:val="auto"/>
          <w:szCs w:val="21"/>
          <w:highlight w:val="none"/>
          <w:lang w:eastAsia="zh-CN"/>
        </w:rPr>
      </w:pPr>
      <w:bookmarkStart w:id="251" w:name="_Toc6679"/>
      <w:bookmarkStart w:id="252" w:name="_Toc13279"/>
      <w:r>
        <w:rPr>
          <w:b/>
          <w:bCs/>
          <w:color w:val="auto"/>
          <w:szCs w:val="21"/>
          <w:highlight w:val="none"/>
        </w:rPr>
        <w:t>1</w:t>
      </w:r>
      <w:r>
        <w:rPr>
          <w:color w:val="auto"/>
          <w:szCs w:val="21"/>
          <w:highlight w:val="none"/>
        </w:rPr>
        <w:t xml:space="preserve">  平面的功能区应通过标准模块的尺寸组合进行布置，其布置宜简洁、规则、对称</w:t>
      </w:r>
      <w:bookmarkEnd w:id="251"/>
      <w:bookmarkEnd w:id="252"/>
      <w:r>
        <w:rPr>
          <w:rFonts w:hint="eastAsia"/>
          <w:color w:val="auto"/>
          <w:szCs w:val="21"/>
          <w:highlight w:val="none"/>
          <w:lang w:eastAsia="zh-CN"/>
        </w:rPr>
        <w:t>。</w:t>
      </w:r>
    </w:p>
    <w:p w14:paraId="4ACBC40F">
      <w:pPr>
        <w:spacing w:line="360" w:lineRule="exact"/>
        <w:ind w:firstLine="422" w:firstLineChars="200"/>
        <w:rPr>
          <w:rFonts w:hint="eastAsia" w:eastAsia="宋体"/>
          <w:color w:val="auto"/>
          <w:szCs w:val="21"/>
          <w:highlight w:val="none"/>
          <w:lang w:eastAsia="zh-CN"/>
        </w:rPr>
      </w:pPr>
      <w:bookmarkStart w:id="253" w:name="_Toc30661"/>
      <w:bookmarkStart w:id="254" w:name="_Toc15792"/>
      <w:r>
        <w:rPr>
          <w:b/>
          <w:bCs/>
          <w:color w:val="auto"/>
          <w:szCs w:val="21"/>
          <w:highlight w:val="none"/>
        </w:rPr>
        <w:t>2</w:t>
      </w:r>
      <w:r>
        <w:rPr>
          <w:color w:val="auto"/>
          <w:szCs w:val="21"/>
          <w:highlight w:val="none"/>
        </w:rPr>
        <w:t xml:space="preserve">  </w:t>
      </w:r>
      <w:r>
        <w:rPr>
          <w:rFonts w:hint="eastAsia"/>
          <w:color w:val="auto"/>
          <w:szCs w:val="21"/>
          <w:highlight w:val="none"/>
          <w:lang w:val="en-US" w:eastAsia="zh-CN"/>
        </w:rPr>
        <w:t>平面中</w:t>
      </w:r>
      <w:r>
        <w:rPr>
          <w:color w:val="auto"/>
          <w:szCs w:val="21"/>
          <w:highlight w:val="none"/>
        </w:rPr>
        <w:t>模块数量应尽量少，减少拼缝；同一功能区由多个模块组成时，功能区内的设备、门窗、固定收纳等不宜跨模块布置</w:t>
      </w:r>
      <w:bookmarkEnd w:id="253"/>
      <w:bookmarkEnd w:id="254"/>
      <w:r>
        <w:rPr>
          <w:rFonts w:hint="eastAsia"/>
          <w:color w:val="auto"/>
          <w:szCs w:val="21"/>
          <w:highlight w:val="none"/>
          <w:lang w:eastAsia="zh-CN"/>
        </w:rPr>
        <w:t>。</w:t>
      </w:r>
    </w:p>
    <w:p w14:paraId="6105A0DD">
      <w:pPr>
        <w:spacing w:line="360" w:lineRule="exact"/>
        <w:ind w:firstLine="422" w:firstLineChars="200"/>
        <w:rPr>
          <w:rFonts w:hint="eastAsia" w:eastAsia="宋体"/>
          <w:color w:val="auto"/>
          <w:szCs w:val="21"/>
          <w:highlight w:val="none"/>
          <w:lang w:eastAsia="zh-CN"/>
        </w:rPr>
      </w:pPr>
      <w:bookmarkStart w:id="255" w:name="_Toc26604"/>
      <w:bookmarkStart w:id="256" w:name="_Toc22051"/>
      <w:r>
        <w:rPr>
          <w:b/>
          <w:bCs/>
          <w:color w:val="auto"/>
          <w:szCs w:val="21"/>
          <w:highlight w:val="none"/>
        </w:rPr>
        <w:t>3</w:t>
      </w:r>
      <w:r>
        <w:rPr>
          <w:color w:val="auto"/>
          <w:szCs w:val="21"/>
          <w:highlight w:val="none"/>
        </w:rPr>
        <w:t xml:space="preserve">  楼梯间、电梯间、卫生间、厨房等具有特定功能且管线密集区域，宜采用独立模块单元</w:t>
      </w:r>
      <w:bookmarkEnd w:id="255"/>
      <w:bookmarkEnd w:id="256"/>
      <w:r>
        <w:rPr>
          <w:rFonts w:hint="eastAsia"/>
          <w:color w:val="auto"/>
          <w:szCs w:val="21"/>
          <w:highlight w:val="none"/>
          <w:lang w:val="en-US" w:eastAsia="zh-CN"/>
        </w:rPr>
        <w:t>或作为独立模块单元一部分</w:t>
      </w:r>
      <w:r>
        <w:rPr>
          <w:rFonts w:hint="eastAsia"/>
          <w:color w:val="auto"/>
          <w:szCs w:val="21"/>
          <w:highlight w:val="none"/>
          <w:lang w:eastAsia="zh-CN"/>
        </w:rPr>
        <w:t>。</w:t>
      </w:r>
    </w:p>
    <w:p w14:paraId="1896811F">
      <w:pPr>
        <w:spacing w:line="360" w:lineRule="exact"/>
        <w:ind w:firstLine="422" w:firstLineChars="200"/>
        <w:rPr>
          <w:rFonts w:hint="eastAsia" w:eastAsia="宋体"/>
          <w:color w:val="auto"/>
          <w:szCs w:val="21"/>
          <w:highlight w:val="none"/>
          <w:lang w:eastAsia="zh-CN"/>
        </w:rPr>
      </w:pPr>
      <w:bookmarkStart w:id="257" w:name="_Toc1222"/>
      <w:bookmarkStart w:id="258" w:name="_Toc15632"/>
      <w:r>
        <w:rPr>
          <w:b/>
          <w:bCs/>
          <w:color w:val="auto"/>
          <w:szCs w:val="21"/>
          <w:highlight w:val="none"/>
        </w:rPr>
        <w:t xml:space="preserve">4 </w:t>
      </w:r>
      <w:r>
        <w:rPr>
          <w:color w:val="auto"/>
          <w:szCs w:val="21"/>
          <w:highlight w:val="none"/>
        </w:rPr>
        <w:t xml:space="preserve"> 模块布置应考虑与结构支撑、剪力墙等布置的协调，当模块单元的布置方案上下层无法完全一致时，</w:t>
      </w:r>
      <w:r>
        <w:rPr>
          <w:rFonts w:hint="eastAsia"/>
          <w:color w:val="auto"/>
          <w:szCs w:val="21"/>
          <w:highlight w:val="none"/>
          <w:lang w:val="en-US" w:eastAsia="zh-CN"/>
        </w:rPr>
        <w:t>宜</w:t>
      </w:r>
      <w:r>
        <w:rPr>
          <w:color w:val="auto"/>
          <w:szCs w:val="21"/>
          <w:highlight w:val="none"/>
        </w:rPr>
        <w:t>满足结构竖向构件连续性的要求</w:t>
      </w:r>
      <w:bookmarkEnd w:id="257"/>
      <w:bookmarkEnd w:id="258"/>
      <w:r>
        <w:rPr>
          <w:rFonts w:hint="eastAsia"/>
          <w:color w:val="auto"/>
          <w:szCs w:val="21"/>
          <w:highlight w:val="none"/>
          <w:lang w:eastAsia="zh-CN"/>
        </w:rPr>
        <w:t>。</w:t>
      </w:r>
    </w:p>
    <w:p w14:paraId="7D92670A">
      <w:pPr>
        <w:spacing w:line="360" w:lineRule="exact"/>
        <w:ind w:firstLine="422" w:firstLineChars="200"/>
        <w:rPr>
          <w:color w:val="auto"/>
          <w:szCs w:val="21"/>
          <w:highlight w:val="none"/>
        </w:rPr>
      </w:pPr>
      <w:bookmarkStart w:id="259" w:name="_Toc984"/>
      <w:bookmarkStart w:id="260" w:name="_Toc18765"/>
      <w:r>
        <w:rPr>
          <w:b/>
          <w:bCs/>
          <w:color w:val="auto"/>
          <w:szCs w:val="21"/>
          <w:highlight w:val="none"/>
        </w:rPr>
        <w:t xml:space="preserve">5 </w:t>
      </w:r>
      <w:r>
        <w:rPr>
          <w:color w:val="auto"/>
          <w:szCs w:val="21"/>
          <w:highlight w:val="none"/>
        </w:rPr>
        <w:t xml:space="preserve"> 建筑平面设计时应考虑相邻模块单元的连接关系；模块间管线接口应集中设置，并进行管线综合设计。</w:t>
      </w:r>
      <w:bookmarkEnd w:id="259"/>
      <w:bookmarkEnd w:id="260"/>
    </w:p>
    <w:p w14:paraId="5CEAAC41">
      <w:pPr>
        <w:spacing w:line="360" w:lineRule="exact"/>
        <w:rPr>
          <w:color w:val="auto"/>
          <w:szCs w:val="21"/>
          <w:highlight w:val="none"/>
        </w:rPr>
      </w:pPr>
      <w:r>
        <w:rPr>
          <w:b/>
          <w:color w:val="auto"/>
          <w:szCs w:val="21"/>
          <w:highlight w:val="none"/>
        </w:rPr>
        <w:t xml:space="preserve">5.3.2 </w:t>
      </w:r>
      <w:r>
        <w:rPr>
          <w:color w:val="auto"/>
          <w:szCs w:val="21"/>
          <w:highlight w:val="none"/>
        </w:rPr>
        <w:t xml:space="preserve"> 混凝土模块化建筑平面设计中，楼梯间、电梯间、设备管井等公共区域应符合人流、物流通行以及安全疏散等要求，并应结合剪力墙构件进行综合布置。</w:t>
      </w:r>
    </w:p>
    <w:p w14:paraId="2BF56A15">
      <w:pPr>
        <w:pStyle w:val="3"/>
        <w:spacing w:before="166" w:beforeLines="50" w:after="166" w:afterLines="50" w:line="360" w:lineRule="auto"/>
        <w:jc w:val="center"/>
        <w:rPr>
          <w:rFonts w:ascii="Times New Roman" w:hAnsi="Times New Roman" w:eastAsia="黑体" w:cs="Times New Roman"/>
          <w:color w:val="auto"/>
          <w:sz w:val="24"/>
          <w:szCs w:val="24"/>
          <w:highlight w:val="none"/>
        </w:rPr>
      </w:pPr>
      <w:bookmarkStart w:id="261" w:name="_Toc31668"/>
      <w:bookmarkStart w:id="262" w:name="_Toc27936"/>
      <w:bookmarkStart w:id="263" w:name="_Toc911"/>
      <w:bookmarkStart w:id="264" w:name="_Toc32586"/>
      <w:bookmarkStart w:id="265" w:name="_Toc31634"/>
      <w:bookmarkStart w:id="266" w:name="_Toc31358"/>
      <w:bookmarkStart w:id="267" w:name="_Toc3793"/>
      <w:bookmarkStart w:id="268" w:name="_Toc11279"/>
      <w:r>
        <w:rPr>
          <w:rFonts w:ascii="Times New Roman" w:hAnsi="Times New Roman" w:eastAsia="黑体" w:cs="Times New Roman"/>
          <w:b/>
          <w:color w:val="auto"/>
          <w:sz w:val="24"/>
          <w:szCs w:val="24"/>
          <w:highlight w:val="none"/>
        </w:rPr>
        <w:t xml:space="preserve">5.4 </w:t>
      </w:r>
      <w:r>
        <w:rPr>
          <w:rFonts w:ascii="Times New Roman" w:hAnsi="Times New Roman" w:eastAsia="黑体" w:cs="Times New Roman"/>
          <w:color w:val="auto"/>
          <w:sz w:val="24"/>
          <w:szCs w:val="24"/>
          <w:highlight w:val="none"/>
        </w:rPr>
        <w:t xml:space="preserve"> 立</w:t>
      </w:r>
      <w:r>
        <w:rPr>
          <w:rFonts w:hint="eastAsia" w:ascii="Times New Roman" w:hAnsi="Times New Roman" w:eastAsia="黑体" w:cs="Times New Roman"/>
          <w:color w:val="auto"/>
          <w:sz w:val="24"/>
          <w:szCs w:val="24"/>
          <w:highlight w:val="none"/>
          <w:lang w:val="en-US" w:eastAsia="zh-CN"/>
        </w:rPr>
        <w:t xml:space="preserve"> </w:t>
      </w:r>
      <w:r>
        <w:rPr>
          <w:rFonts w:ascii="Times New Roman" w:hAnsi="Times New Roman" w:eastAsia="黑体" w:cs="Times New Roman"/>
          <w:color w:val="auto"/>
          <w:sz w:val="24"/>
          <w:szCs w:val="24"/>
          <w:highlight w:val="none"/>
        </w:rPr>
        <w:t>面</w:t>
      </w:r>
      <w:r>
        <w:rPr>
          <w:rFonts w:hint="eastAsia" w:ascii="Times New Roman" w:hAnsi="Times New Roman" w:eastAsia="黑体" w:cs="Times New Roman"/>
          <w:color w:val="auto"/>
          <w:sz w:val="24"/>
          <w:szCs w:val="24"/>
          <w:highlight w:val="none"/>
          <w:lang w:val="en-US" w:eastAsia="zh-CN"/>
        </w:rPr>
        <w:t xml:space="preserve"> </w:t>
      </w:r>
      <w:r>
        <w:rPr>
          <w:rFonts w:ascii="Times New Roman" w:hAnsi="Times New Roman" w:eastAsia="黑体" w:cs="Times New Roman"/>
          <w:color w:val="auto"/>
          <w:sz w:val="24"/>
          <w:szCs w:val="24"/>
          <w:highlight w:val="none"/>
        </w:rPr>
        <w:t>设</w:t>
      </w:r>
      <w:r>
        <w:rPr>
          <w:rFonts w:hint="eastAsia" w:ascii="Times New Roman" w:hAnsi="Times New Roman" w:eastAsia="黑体" w:cs="Times New Roman"/>
          <w:color w:val="auto"/>
          <w:sz w:val="24"/>
          <w:szCs w:val="24"/>
          <w:highlight w:val="none"/>
          <w:lang w:val="en-US" w:eastAsia="zh-CN"/>
        </w:rPr>
        <w:t xml:space="preserve"> </w:t>
      </w:r>
      <w:r>
        <w:rPr>
          <w:rFonts w:ascii="Times New Roman" w:hAnsi="Times New Roman" w:eastAsia="黑体" w:cs="Times New Roman"/>
          <w:color w:val="auto"/>
          <w:sz w:val="24"/>
          <w:szCs w:val="24"/>
          <w:highlight w:val="none"/>
        </w:rPr>
        <w:t>计</w:t>
      </w:r>
      <w:bookmarkEnd w:id="261"/>
      <w:bookmarkEnd w:id="262"/>
      <w:bookmarkEnd w:id="263"/>
      <w:bookmarkEnd w:id="264"/>
      <w:bookmarkEnd w:id="265"/>
      <w:bookmarkEnd w:id="266"/>
      <w:bookmarkEnd w:id="267"/>
      <w:bookmarkEnd w:id="268"/>
    </w:p>
    <w:p w14:paraId="241389B9">
      <w:pPr>
        <w:spacing w:line="360" w:lineRule="exact"/>
        <w:rPr>
          <w:color w:val="auto"/>
          <w:szCs w:val="21"/>
          <w:highlight w:val="none"/>
        </w:rPr>
      </w:pPr>
      <w:bookmarkStart w:id="269" w:name="_Toc22714"/>
      <w:bookmarkStart w:id="270" w:name="_Toc17576"/>
      <w:bookmarkStart w:id="271" w:name="_Toc11791"/>
      <w:r>
        <w:rPr>
          <w:b/>
          <w:color w:val="auto"/>
          <w:szCs w:val="21"/>
          <w:highlight w:val="none"/>
        </w:rPr>
        <w:t xml:space="preserve">5.4.1 </w:t>
      </w:r>
      <w:r>
        <w:rPr>
          <w:color w:val="auto"/>
          <w:szCs w:val="21"/>
          <w:highlight w:val="none"/>
        </w:rPr>
        <w:t xml:space="preserve"> 混凝土模块化建筑立面设计应符合下列规定：</w:t>
      </w:r>
      <w:bookmarkEnd w:id="269"/>
      <w:bookmarkEnd w:id="270"/>
      <w:bookmarkEnd w:id="271"/>
    </w:p>
    <w:p w14:paraId="225F6F40">
      <w:pPr>
        <w:spacing w:line="360" w:lineRule="exact"/>
        <w:ind w:firstLine="422" w:firstLineChars="200"/>
        <w:rPr>
          <w:color w:val="auto"/>
          <w:szCs w:val="21"/>
          <w:highlight w:val="none"/>
        </w:rPr>
      </w:pPr>
      <w:bookmarkStart w:id="272" w:name="_Toc6967"/>
      <w:bookmarkStart w:id="273" w:name="_Toc10025"/>
      <w:r>
        <w:rPr>
          <w:b/>
          <w:bCs/>
          <w:color w:val="auto"/>
          <w:szCs w:val="21"/>
          <w:highlight w:val="none"/>
        </w:rPr>
        <w:t>1</w:t>
      </w:r>
      <w:r>
        <w:rPr>
          <w:color w:val="auto"/>
          <w:szCs w:val="21"/>
          <w:highlight w:val="none"/>
        </w:rPr>
        <w:t xml:space="preserve">  立面设计应符合规划要求，外形应结合建设地区的环境特点确定。</w:t>
      </w:r>
      <w:bookmarkEnd w:id="272"/>
      <w:bookmarkEnd w:id="273"/>
    </w:p>
    <w:p w14:paraId="352331BF">
      <w:pPr>
        <w:spacing w:line="360" w:lineRule="exact"/>
        <w:ind w:firstLine="422" w:firstLineChars="200"/>
        <w:rPr>
          <w:color w:val="auto"/>
          <w:szCs w:val="21"/>
          <w:highlight w:val="none"/>
        </w:rPr>
      </w:pPr>
      <w:bookmarkStart w:id="274" w:name="_Toc11156"/>
      <w:bookmarkStart w:id="275" w:name="_Toc1208"/>
      <w:r>
        <w:rPr>
          <w:b/>
          <w:bCs/>
          <w:color w:val="auto"/>
          <w:szCs w:val="21"/>
          <w:highlight w:val="none"/>
        </w:rPr>
        <w:t>2</w:t>
      </w:r>
      <w:r>
        <w:rPr>
          <w:color w:val="auto"/>
          <w:szCs w:val="21"/>
          <w:highlight w:val="none"/>
        </w:rPr>
        <w:t xml:space="preserve">  外立面分割尺寸合理，并应与模块拼缝位置相协调</w:t>
      </w:r>
      <w:r>
        <w:rPr>
          <w:rFonts w:hint="eastAsia"/>
          <w:color w:val="auto"/>
          <w:szCs w:val="21"/>
          <w:highlight w:val="none"/>
          <w:lang w:eastAsia="zh-CN"/>
        </w:rPr>
        <w:t>、</w:t>
      </w:r>
      <w:r>
        <w:rPr>
          <w:rFonts w:hint="eastAsia"/>
          <w:color w:val="auto"/>
          <w:szCs w:val="21"/>
          <w:highlight w:val="none"/>
          <w:lang w:val="en-US" w:eastAsia="zh-CN"/>
        </w:rPr>
        <w:t>造型</w:t>
      </w:r>
      <w:r>
        <w:rPr>
          <w:color w:val="auto"/>
          <w:szCs w:val="21"/>
          <w:highlight w:val="none"/>
        </w:rPr>
        <w:t>简洁。</w:t>
      </w:r>
      <w:bookmarkEnd w:id="274"/>
      <w:bookmarkEnd w:id="275"/>
    </w:p>
    <w:p w14:paraId="180D2AB5">
      <w:pPr>
        <w:spacing w:line="360" w:lineRule="exact"/>
        <w:ind w:firstLine="422" w:firstLineChars="200"/>
        <w:rPr>
          <w:color w:val="auto"/>
          <w:szCs w:val="21"/>
          <w:highlight w:val="none"/>
        </w:rPr>
      </w:pPr>
      <w:bookmarkStart w:id="276" w:name="_Toc32486"/>
      <w:bookmarkStart w:id="277" w:name="_Toc9136"/>
      <w:r>
        <w:rPr>
          <w:b/>
          <w:bCs/>
          <w:color w:val="auto"/>
          <w:szCs w:val="21"/>
          <w:highlight w:val="none"/>
        </w:rPr>
        <w:t xml:space="preserve">3 </w:t>
      </w:r>
      <w:r>
        <w:rPr>
          <w:color w:val="auto"/>
          <w:szCs w:val="21"/>
          <w:highlight w:val="none"/>
        </w:rPr>
        <w:t xml:space="preserve"> 立面设计应充分考虑模块单元间接口公差，</w:t>
      </w:r>
      <w:r>
        <w:rPr>
          <w:rFonts w:hint="eastAsia"/>
          <w:color w:val="auto"/>
          <w:szCs w:val="21"/>
          <w:highlight w:val="none"/>
          <w:lang w:val="en-US" w:eastAsia="zh-CN"/>
        </w:rPr>
        <w:t>方案设计时宜考虑好拼缝的遮蔽（图5.4.1）</w:t>
      </w:r>
      <w:r>
        <w:rPr>
          <w:color w:val="auto"/>
          <w:szCs w:val="21"/>
          <w:highlight w:val="none"/>
        </w:rPr>
        <w:t>。</w:t>
      </w:r>
      <w:bookmarkEnd w:id="276"/>
      <w:bookmarkEnd w:id="277"/>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35"/>
      </w:tblGrid>
      <w:tr w14:paraId="165E6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135" w:type="dxa"/>
          </w:tcPr>
          <w:p w14:paraId="59A33336">
            <w:pPr>
              <w:jc w:val="center"/>
              <w:rPr>
                <w:color w:val="auto"/>
                <w:highlight w:val="none"/>
              </w:rPr>
            </w:pPr>
            <w:r>
              <w:rPr>
                <w:color w:val="auto"/>
                <w:highlight w:val="none"/>
              </w:rPr>
              <w:drawing>
                <wp:inline distT="0" distB="0" distL="114300" distR="114300">
                  <wp:extent cx="1259840" cy="1176655"/>
                  <wp:effectExtent l="0" t="0" r="16510" b="44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5"/>
                          <a:stretch>
                            <a:fillRect/>
                          </a:stretch>
                        </pic:blipFill>
                        <pic:spPr>
                          <a:xfrm>
                            <a:off x="0" y="0"/>
                            <a:ext cx="1259840" cy="1176655"/>
                          </a:xfrm>
                          <a:prstGeom prst="rect">
                            <a:avLst/>
                          </a:prstGeom>
                          <a:noFill/>
                          <a:ln>
                            <a:noFill/>
                          </a:ln>
                        </pic:spPr>
                      </pic:pic>
                    </a:graphicData>
                  </a:graphic>
                </wp:inline>
              </w:drawing>
            </w:r>
          </w:p>
        </w:tc>
      </w:tr>
      <w:tr w14:paraId="17C70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135" w:type="dxa"/>
          </w:tcPr>
          <w:p w14:paraId="46E6F6B0">
            <w:pPr>
              <w:spacing w:line="360" w:lineRule="exact"/>
              <w:jc w:val="center"/>
              <w:rPr>
                <w:rFonts w:hint="default" w:eastAsia="宋体"/>
                <w:color w:val="auto"/>
                <w:sz w:val="18"/>
                <w:szCs w:val="18"/>
                <w:highlight w:val="none"/>
                <w:vertAlign w:val="baseline"/>
                <w:lang w:val="en-US" w:eastAsia="zh-CN"/>
              </w:rPr>
            </w:pPr>
            <w:r>
              <w:rPr>
                <w:rFonts w:hint="default" w:eastAsia="黑体"/>
                <w:color w:val="auto"/>
                <w:kern w:val="0"/>
                <w:sz w:val="18"/>
                <w:szCs w:val="18"/>
                <w:highlight w:val="none"/>
                <w:vertAlign w:val="baseline"/>
                <w:lang w:val="en-US" w:eastAsia="zh-CN"/>
              </w:rPr>
              <w:t>图</w:t>
            </w:r>
            <w:r>
              <w:rPr>
                <w:rFonts w:hint="default" w:eastAsia="黑体"/>
                <w:b/>
                <w:color w:val="auto"/>
                <w:kern w:val="0"/>
                <w:sz w:val="18"/>
                <w:szCs w:val="18"/>
                <w:highlight w:val="none"/>
                <w:vertAlign w:val="baseline"/>
                <w:lang w:val="en-US" w:eastAsia="zh-CN"/>
              </w:rPr>
              <w:t xml:space="preserve">5.4.1 </w:t>
            </w:r>
            <w:r>
              <w:rPr>
                <w:rFonts w:hint="default" w:eastAsia="黑体"/>
                <w:color w:val="auto"/>
                <w:kern w:val="0"/>
                <w:sz w:val="18"/>
                <w:szCs w:val="18"/>
                <w:highlight w:val="none"/>
                <w:vertAlign w:val="baseline"/>
                <w:lang w:val="en-US" w:eastAsia="zh-CN"/>
              </w:rPr>
              <w:t>模块化建筑立面拼缝遮蔽方案示意</w:t>
            </w:r>
          </w:p>
        </w:tc>
      </w:tr>
      <w:tr w14:paraId="28524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135" w:type="dxa"/>
          </w:tcPr>
          <w:p w14:paraId="238F52AC">
            <w:pPr>
              <w:spacing w:line="360" w:lineRule="exact"/>
              <w:jc w:val="center"/>
              <w:rPr>
                <w:rFonts w:hint="default" w:eastAsia="黑体"/>
                <w:color w:val="auto"/>
                <w:sz w:val="18"/>
                <w:szCs w:val="18"/>
                <w:highlight w:val="none"/>
                <w:vertAlign w:val="baseline"/>
                <w:lang w:val="en-US" w:eastAsia="zh-CN"/>
              </w:rPr>
            </w:pPr>
            <w:bookmarkStart w:id="278" w:name="OLE_LINK48"/>
            <w:r>
              <w:rPr>
                <w:rFonts w:hint="eastAsia" w:eastAsia="黑体"/>
                <w:bCs/>
                <w:i w:val="0"/>
                <w:iCs/>
                <w:color w:val="auto"/>
                <w:sz w:val="18"/>
                <w:szCs w:val="18"/>
                <w:highlight w:val="none"/>
                <w:lang w:val="en-US" w:eastAsia="zh-CN"/>
              </w:rPr>
              <w:t>1</w:t>
            </w:r>
            <w:r>
              <w:rPr>
                <w:rFonts w:eastAsia="黑体"/>
                <w:bCs/>
                <w:color w:val="auto"/>
                <w:sz w:val="18"/>
                <w:szCs w:val="18"/>
                <w:highlight w:val="none"/>
              </w:rPr>
              <w:t>—</w:t>
            </w:r>
            <w:r>
              <w:rPr>
                <w:rFonts w:hint="eastAsia" w:eastAsia="黑体"/>
                <w:bCs/>
                <w:color w:val="auto"/>
                <w:sz w:val="18"/>
                <w:szCs w:val="18"/>
                <w:highlight w:val="none"/>
                <w:lang w:val="en-US" w:eastAsia="zh-CN"/>
              </w:rPr>
              <w:t>上层模块</w:t>
            </w:r>
            <w:r>
              <w:rPr>
                <w:rFonts w:eastAsia="黑体"/>
                <w:bCs/>
                <w:color w:val="auto"/>
                <w:sz w:val="18"/>
                <w:szCs w:val="18"/>
                <w:highlight w:val="none"/>
              </w:rPr>
              <w:t>；</w:t>
            </w:r>
            <w:bookmarkEnd w:id="278"/>
            <w:r>
              <w:rPr>
                <w:rFonts w:hint="eastAsia" w:eastAsia="黑体"/>
                <w:bCs/>
                <w:color w:val="auto"/>
                <w:sz w:val="18"/>
                <w:szCs w:val="18"/>
                <w:highlight w:val="none"/>
                <w:lang w:val="en-US" w:eastAsia="zh-CN"/>
              </w:rPr>
              <w:t>2—拼缝遮蔽线脚；3—下层模块；4—座浆层</w:t>
            </w:r>
          </w:p>
        </w:tc>
      </w:tr>
    </w:tbl>
    <w:p w14:paraId="0117B373">
      <w:pPr>
        <w:spacing w:line="360" w:lineRule="exact"/>
        <w:rPr>
          <w:color w:val="auto"/>
          <w:szCs w:val="21"/>
          <w:highlight w:val="none"/>
        </w:rPr>
      </w:pPr>
      <w:bookmarkStart w:id="279" w:name="_Toc28083"/>
      <w:bookmarkStart w:id="280" w:name="_Toc20349"/>
      <w:r>
        <w:rPr>
          <w:b/>
          <w:color w:val="auto"/>
          <w:szCs w:val="21"/>
          <w:highlight w:val="none"/>
        </w:rPr>
        <w:t xml:space="preserve">5.4.2 </w:t>
      </w:r>
      <w:r>
        <w:rPr>
          <w:color w:val="auto"/>
          <w:szCs w:val="21"/>
          <w:highlight w:val="none"/>
        </w:rPr>
        <w:t xml:space="preserve"> 混凝土模块化建筑立面设计宜采用标准化模块单元的不同组合形式来实现多样化的建筑造型及使用功能。</w:t>
      </w:r>
      <w:bookmarkEnd w:id="279"/>
      <w:bookmarkEnd w:id="280"/>
    </w:p>
    <w:p w14:paraId="6D309A1B">
      <w:pPr>
        <w:spacing w:line="360" w:lineRule="exact"/>
        <w:rPr>
          <w:color w:val="auto"/>
          <w:szCs w:val="21"/>
          <w:highlight w:val="none"/>
        </w:rPr>
      </w:pPr>
      <w:bookmarkStart w:id="281" w:name="_Toc31042"/>
      <w:bookmarkStart w:id="282" w:name="_Toc11987"/>
      <w:bookmarkStart w:id="283" w:name="_Toc25495"/>
      <w:r>
        <w:rPr>
          <w:b/>
          <w:color w:val="auto"/>
          <w:szCs w:val="21"/>
          <w:highlight w:val="none"/>
        </w:rPr>
        <w:t xml:space="preserve">5.4.3 </w:t>
      </w:r>
      <w:r>
        <w:rPr>
          <w:color w:val="auto"/>
          <w:szCs w:val="21"/>
          <w:highlight w:val="none"/>
        </w:rPr>
        <w:t xml:space="preserve"> 混凝土模块化建筑立面设计应符合下列规定：</w:t>
      </w:r>
      <w:bookmarkEnd w:id="281"/>
      <w:bookmarkEnd w:id="282"/>
      <w:bookmarkEnd w:id="283"/>
    </w:p>
    <w:p w14:paraId="31C649F3">
      <w:pPr>
        <w:spacing w:line="360" w:lineRule="exact"/>
        <w:ind w:firstLine="422" w:firstLineChars="200"/>
        <w:rPr>
          <w:rFonts w:hint="eastAsia" w:eastAsia="宋体"/>
          <w:color w:val="auto"/>
          <w:szCs w:val="21"/>
          <w:highlight w:val="none"/>
          <w:lang w:eastAsia="zh-CN"/>
        </w:rPr>
      </w:pPr>
      <w:bookmarkStart w:id="284" w:name="_Toc11115"/>
      <w:bookmarkStart w:id="285" w:name="_Toc24192"/>
      <w:r>
        <w:rPr>
          <w:b/>
          <w:bCs/>
          <w:color w:val="auto"/>
          <w:szCs w:val="21"/>
          <w:highlight w:val="none"/>
        </w:rPr>
        <w:t>1</w:t>
      </w:r>
      <w:r>
        <w:rPr>
          <w:rFonts w:hint="eastAsia"/>
          <w:b/>
          <w:bCs/>
          <w:color w:val="auto"/>
          <w:szCs w:val="21"/>
          <w:highlight w:val="none"/>
          <w:lang w:val="en-US" w:eastAsia="zh-CN"/>
        </w:rPr>
        <w:t xml:space="preserve">  </w:t>
      </w:r>
      <w:r>
        <w:rPr>
          <w:color w:val="auto"/>
          <w:szCs w:val="21"/>
          <w:highlight w:val="none"/>
        </w:rPr>
        <w:t>外墙、阳台板、空调板、外窗、遮阳设施及装饰等部品部件宜进行标准化设计</w:t>
      </w:r>
      <w:bookmarkEnd w:id="284"/>
      <w:bookmarkEnd w:id="285"/>
      <w:r>
        <w:rPr>
          <w:rFonts w:hint="eastAsia"/>
          <w:color w:val="auto"/>
          <w:szCs w:val="21"/>
          <w:highlight w:val="none"/>
          <w:lang w:eastAsia="zh-CN"/>
        </w:rPr>
        <w:t>。</w:t>
      </w:r>
    </w:p>
    <w:p w14:paraId="4EF60570">
      <w:pPr>
        <w:spacing w:line="360" w:lineRule="exact"/>
        <w:ind w:firstLine="422" w:firstLineChars="200"/>
        <w:rPr>
          <w:rFonts w:hint="eastAsia" w:eastAsia="宋体"/>
          <w:color w:val="auto"/>
          <w:szCs w:val="21"/>
          <w:highlight w:val="none"/>
          <w:lang w:eastAsia="zh-CN"/>
        </w:rPr>
      </w:pPr>
      <w:bookmarkStart w:id="286" w:name="_Toc23920"/>
      <w:bookmarkStart w:id="287" w:name="_Toc10127"/>
      <w:r>
        <w:rPr>
          <w:b/>
          <w:bCs/>
          <w:color w:val="auto"/>
          <w:szCs w:val="21"/>
          <w:highlight w:val="none"/>
        </w:rPr>
        <w:t>2</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外墙装饰面层宜采用清水混凝土、装饰混凝土和免抹灰涂料等耐久性强的建筑材料</w:t>
      </w:r>
      <w:bookmarkEnd w:id="286"/>
      <w:bookmarkEnd w:id="287"/>
      <w:r>
        <w:rPr>
          <w:rFonts w:hint="eastAsia"/>
          <w:color w:val="auto"/>
          <w:szCs w:val="21"/>
          <w:highlight w:val="none"/>
          <w:lang w:eastAsia="zh-CN"/>
        </w:rPr>
        <w:t>。</w:t>
      </w:r>
    </w:p>
    <w:p w14:paraId="69F4BC6A">
      <w:pPr>
        <w:spacing w:line="360" w:lineRule="exact"/>
        <w:ind w:firstLine="422" w:firstLineChars="200"/>
        <w:rPr>
          <w:color w:val="auto"/>
          <w:szCs w:val="21"/>
          <w:highlight w:val="none"/>
        </w:rPr>
      </w:pPr>
      <w:bookmarkStart w:id="288" w:name="_Toc16572"/>
      <w:bookmarkStart w:id="289" w:name="_Toc22761"/>
      <w:r>
        <w:rPr>
          <w:b/>
          <w:bCs/>
          <w:color w:val="auto"/>
          <w:szCs w:val="21"/>
          <w:highlight w:val="none"/>
        </w:rPr>
        <w:t>3</w:t>
      </w:r>
      <w:r>
        <w:rPr>
          <w:rFonts w:hint="eastAsia"/>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应保证模块垂直和水平接缝的防水处理满足使用功能、美观和规范的要求，还应保证具有施工的安全性、操作的简便性。</w:t>
      </w:r>
      <w:bookmarkEnd w:id="288"/>
      <w:bookmarkEnd w:id="289"/>
    </w:p>
    <w:p w14:paraId="6B35C806">
      <w:pPr>
        <w:pStyle w:val="3"/>
        <w:spacing w:before="166" w:beforeLines="50" w:after="166" w:afterLines="50" w:line="360" w:lineRule="auto"/>
        <w:jc w:val="center"/>
        <w:rPr>
          <w:rFonts w:ascii="Times New Roman" w:hAnsi="Times New Roman" w:eastAsia="黑体" w:cs="Times New Roman"/>
          <w:color w:val="auto"/>
          <w:sz w:val="24"/>
          <w:szCs w:val="24"/>
          <w:highlight w:val="none"/>
        </w:rPr>
      </w:pPr>
      <w:bookmarkStart w:id="290" w:name="_Toc26867"/>
      <w:bookmarkStart w:id="291" w:name="_Toc30780"/>
      <w:bookmarkStart w:id="292" w:name="_Toc26862"/>
      <w:bookmarkStart w:id="293" w:name="_Toc30221"/>
      <w:bookmarkStart w:id="294" w:name="_Toc13301"/>
      <w:bookmarkStart w:id="295" w:name="_Toc15388"/>
      <w:bookmarkStart w:id="296" w:name="_Toc15641"/>
      <w:bookmarkStart w:id="297" w:name="_Toc22294"/>
      <w:r>
        <w:rPr>
          <w:rFonts w:ascii="Times New Roman" w:hAnsi="Times New Roman" w:eastAsia="黑体" w:cs="Times New Roman"/>
          <w:b/>
          <w:color w:val="auto"/>
          <w:sz w:val="24"/>
          <w:szCs w:val="24"/>
          <w:highlight w:val="none"/>
        </w:rPr>
        <w:t xml:space="preserve">5.5 </w:t>
      </w:r>
      <w:r>
        <w:rPr>
          <w:rFonts w:ascii="Times New Roman" w:hAnsi="Times New Roman" w:eastAsia="黑体" w:cs="Times New Roman"/>
          <w:color w:val="auto"/>
          <w:sz w:val="24"/>
          <w:szCs w:val="24"/>
          <w:highlight w:val="none"/>
        </w:rPr>
        <w:t xml:space="preserve"> 建</w:t>
      </w:r>
      <w:r>
        <w:rPr>
          <w:rFonts w:hint="eastAsia" w:ascii="Times New Roman" w:hAnsi="Times New Roman" w:eastAsia="黑体" w:cs="Times New Roman"/>
          <w:color w:val="auto"/>
          <w:sz w:val="24"/>
          <w:szCs w:val="24"/>
          <w:highlight w:val="none"/>
          <w:lang w:val="en-US" w:eastAsia="zh-CN"/>
        </w:rPr>
        <w:t xml:space="preserve"> </w:t>
      </w:r>
      <w:r>
        <w:rPr>
          <w:rFonts w:ascii="Times New Roman" w:hAnsi="Times New Roman" w:eastAsia="黑体" w:cs="Times New Roman"/>
          <w:color w:val="auto"/>
          <w:sz w:val="24"/>
          <w:szCs w:val="24"/>
          <w:highlight w:val="none"/>
        </w:rPr>
        <w:t>筑</w:t>
      </w:r>
      <w:r>
        <w:rPr>
          <w:rFonts w:hint="eastAsia" w:ascii="Times New Roman" w:hAnsi="Times New Roman" w:eastAsia="黑体" w:cs="Times New Roman"/>
          <w:color w:val="auto"/>
          <w:sz w:val="24"/>
          <w:szCs w:val="24"/>
          <w:highlight w:val="none"/>
          <w:lang w:val="en-US" w:eastAsia="zh-CN"/>
        </w:rPr>
        <w:t xml:space="preserve"> </w:t>
      </w:r>
      <w:r>
        <w:rPr>
          <w:rFonts w:ascii="Times New Roman" w:hAnsi="Times New Roman" w:eastAsia="黑体" w:cs="Times New Roman"/>
          <w:color w:val="auto"/>
          <w:sz w:val="24"/>
          <w:szCs w:val="24"/>
          <w:highlight w:val="none"/>
        </w:rPr>
        <w:t>构</w:t>
      </w:r>
      <w:r>
        <w:rPr>
          <w:rFonts w:hint="eastAsia" w:ascii="Times New Roman" w:hAnsi="Times New Roman" w:eastAsia="黑体" w:cs="Times New Roman"/>
          <w:color w:val="auto"/>
          <w:sz w:val="24"/>
          <w:szCs w:val="24"/>
          <w:highlight w:val="none"/>
          <w:lang w:val="en-US" w:eastAsia="zh-CN"/>
        </w:rPr>
        <w:t xml:space="preserve"> </w:t>
      </w:r>
      <w:r>
        <w:rPr>
          <w:rFonts w:ascii="Times New Roman" w:hAnsi="Times New Roman" w:eastAsia="黑体" w:cs="Times New Roman"/>
          <w:color w:val="auto"/>
          <w:sz w:val="24"/>
          <w:szCs w:val="24"/>
          <w:highlight w:val="none"/>
        </w:rPr>
        <w:t>造</w:t>
      </w:r>
      <w:bookmarkEnd w:id="290"/>
      <w:bookmarkEnd w:id="291"/>
      <w:bookmarkEnd w:id="292"/>
      <w:bookmarkEnd w:id="293"/>
      <w:bookmarkEnd w:id="294"/>
      <w:bookmarkEnd w:id="295"/>
      <w:bookmarkEnd w:id="296"/>
      <w:bookmarkEnd w:id="297"/>
    </w:p>
    <w:p w14:paraId="6C7D0277">
      <w:pPr>
        <w:spacing w:line="360" w:lineRule="exact"/>
        <w:rPr>
          <w:color w:val="auto"/>
          <w:szCs w:val="21"/>
          <w:highlight w:val="none"/>
        </w:rPr>
      </w:pPr>
      <w:r>
        <w:rPr>
          <w:b/>
          <w:bCs/>
          <w:color w:val="auto"/>
          <w:szCs w:val="21"/>
          <w:highlight w:val="none"/>
        </w:rPr>
        <w:t>5.5.1</w:t>
      </w:r>
      <w:r>
        <w:rPr>
          <w:b/>
          <w:color w:val="auto"/>
          <w:szCs w:val="21"/>
          <w:highlight w:val="none"/>
        </w:rPr>
        <w:t xml:space="preserve"> </w:t>
      </w:r>
      <w:r>
        <w:rPr>
          <w:color w:val="auto"/>
          <w:szCs w:val="21"/>
          <w:highlight w:val="none"/>
        </w:rPr>
        <w:t xml:space="preserve"> 混凝土模块化建筑的外围护系统应符合国家、广东省及各地区建筑节能、绿色建筑等设计标准的规定。外围护系统的抗风、抗震、耐撞击、防火、水密、气密、隔声、热工和耐久性能应根据气候条件、使用功能等综合确定。屋面系统尚应满足结构性能要求。</w:t>
      </w:r>
    </w:p>
    <w:p w14:paraId="5B1CAD11">
      <w:pPr>
        <w:spacing w:line="360" w:lineRule="exact"/>
        <w:rPr>
          <w:color w:val="auto"/>
          <w:szCs w:val="21"/>
          <w:highlight w:val="none"/>
        </w:rPr>
      </w:pPr>
      <w:r>
        <w:rPr>
          <w:b/>
          <w:bCs/>
          <w:color w:val="auto"/>
          <w:szCs w:val="21"/>
          <w:highlight w:val="none"/>
        </w:rPr>
        <w:t>5.5.2</w:t>
      </w:r>
      <w:r>
        <w:rPr>
          <w:b/>
          <w:color w:val="auto"/>
          <w:szCs w:val="21"/>
          <w:highlight w:val="none"/>
        </w:rPr>
        <w:t xml:space="preserve"> </w:t>
      </w:r>
      <w:r>
        <w:rPr>
          <w:color w:val="auto"/>
          <w:szCs w:val="21"/>
          <w:highlight w:val="none"/>
        </w:rPr>
        <w:t xml:space="preserve"> 混凝土模块化建筑</w:t>
      </w:r>
      <w:r>
        <w:rPr>
          <w:rFonts w:hint="eastAsia"/>
          <w:color w:val="auto"/>
          <w:szCs w:val="21"/>
          <w:highlight w:val="none"/>
          <w:lang w:val="en-US" w:eastAsia="zh-CN"/>
        </w:rPr>
        <w:t>的</w:t>
      </w:r>
      <w:r>
        <w:rPr>
          <w:color w:val="auto"/>
          <w:szCs w:val="21"/>
          <w:highlight w:val="none"/>
        </w:rPr>
        <w:t xml:space="preserve">屋面构造应满足建筑节能、防火和防水的要求，并应符合下列规定： </w:t>
      </w:r>
    </w:p>
    <w:p w14:paraId="69EEF360">
      <w:pPr>
        <w:spacing w:line="360" w:lineRule="exact"/>
        <w:ind w:firstLine="422" w:firstLineChars="200"/>
        <w:rPr>
          <w:rFonts w:hint="eastAsia" w:eastAsia="宋体"/>
          <w:color w:val="auto"/>
          <w:szCs w:val="21"/>
          <w:highlight w:val="none"/>
          <w:lang w:eastAsia="zh-CN"/>
        </w:rPr>
      </w:pPr>
      <w:bookmarkStart w:id="298" w:name="_Toc18806"/>
      <w:bookmarkStart w:id="299" w:name="_Toc21459"/>
      <w:bookmarkStart w:id="300" w:name="_Toc23345"/>
      <w:r>
        <w:rPr>
          <w:b/>
          <w:bCs/>
          <w:color w:val="auto"/>
          <w:szCs w:val="21"/>
          <w:highlight w:val="none"/>
        </w:rPr>
        <w:t xml:space="preserve">1 </w:t>
      </w:r>
      <w:r>
        <w:rPr>
          <w:rFonts w:hint="eastAsia"/>
          <w:color w:val="auto"/>
          <w:szCs w:val="21"/>
          <w:highlight w:val="none"/>
          <w:lang w:val="en-US" w:eastAsia="zh-CN"/>
        </w:rPr>
        <w:t xml:space="preserve"> </w:t>
      </w:r>
      <w:r>
        <w:rPr>
          <w:color w:val="auto"/>
          <w:szCs w:val="21"/>
          <w:highlight w:val="none"/>
        </w:rPr>
        <w:t>建筑屋面宜采用平屋面</w:t>
      </w:r>
      <w:bookmarkEnd w:id="298"/>
      <w:bookmarkEnd w:id="299"/>
      <w:bookmarkEnd w:id="300"/>
      <w:r>
        <w:rPr>
          <w:rFonts w:hint="eastAsia"/>
          <w:color w:val="auto"/>
          <w:szCs w:val="21"/>
          <w:highlight w:val="none"/>
          <w:lang w:eastAsia="zh-CN"/>
        </w:rPr>
        <w:t>。</w:t>
      </w:r>
    </w:p>
    <w:p w14:paraId="240E68BD">
      <w:pPr>
        <w:spacing w:line="360" w:lineRule="exact"/>
        <w:ind w:firstLine="422" w:firstLineChars="200"/>
        <w:rPr>
          <w:rFonts w:hint="eastAsia" w:eastAsia="宋体"/>
          <w:color w:val="auto"/>
          <w:szCs w:val="21"/>
          <w:highlight w:val="none"/>
          <w:lang w:eastAsia="zh-CN"/>
        </w:rPr>
      </w:pPr>
      <w:bookmarkStart w:id="301" w:name="_Toc8613"/>
      <w:bookmarkStart w:id="302" w:name="_Toc26217"/>
      <w:r>
        <w:rPr>
          <w:b/>
          <w:bCs/>
          <w:color w:val="auto"/>
          <w:szCs w:val="21"/>
          <w:highlight w:val="none"/>
        </w:rPr>
        <w:t>2</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屋面建筑面层防火、防水和保温隔热应符合现行国家标准《屋面工程技术规范》GB 50345</w:t>
      </w:r>
      <w:r>
        <w:rPr>
          <w:rFonts w:hint="eastAsia"/>
          <w:color w:val="auto"/>
          <w:szCs w:val="21"/>
          <w:highlight w:val="none"/>
          <w:lang w:val="en-US" w:eastAsia="zh-CN"/>
        </w:rPr>
        <w:t>和</w:t>
      </w:r>
      <w:r>
        <w:rPr>
          <w:color w:val="auto"/>
          <w:szCs w:val="21"/>
          <w:highlight w:val="none"/>
        </w:rPr>
        <w:t>《建筑设计防火规范》GB 50016的有关规定</w:t>
      </w:r>
      <w:bookmarkEnd w:id="301"/>
      <w:bookmarkEnd w:id="302"/>
      <w:r>
        <w:rPr>
          <w:rFonts w:hint="eastAsia"/>
          <w:color w:val="auto"/>
          <w:szCs w:val="21"/>
          <w:highlight w:val="none"/>
          <w:lang w:eastAsia="zh-CN"/>
        </w:rPr>
        <w:t>。</w:t>
      </w:r>
    </w:p>
    <w:p w14:paraId="4E195988">
      <w:pPr>
        <w:spacing w:line="360" w:lineRule="exact"/>
        <w:ind w:firstLine="422" w:firstLineChars="200"/>
        <w:rPr>
          <w:rFonts w:hint="eastAsia" w:eastAsia="宋体"/>
          <w:color w:val="auto"/>
          <w:szCs w:val="21"/>
          <w:highlight w:val="none"/>
          <w:lang w:eastAsia="zh-CN"/>
        </w:rPr>
      </w:pPr>
      <w:bookmarkStart w:id="303" w:name="_Toc10735"/>
      <w:bookmarkStart w:id="304" w:name="_Toc14239"/>
      <w:bookmarkStart w:id="305" w:name="_Toc13882"/>
      <w:r>
        <w:rPr>
          <w:b/>
          <w:bCs/>
          <w:color w:val="auto"/>
          <w:szCs w:val="21"/>
          <w:highlight w:val="none"/>
        </w:rPr>
        <w:t>3</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当采用的屋面保温材料亲水性较弱时，应采用倒置屋面做法</w:t>
      </w:r>
      <w:bookmarkEnd w:id="303"/>
      <w:bookmarkEnd w:id="304"/>
      <w:bookmarkEnd w:id="305"/>
      <w:r>
        <w:rPr>
          <w:rFonts w:hint="eastAsia"/>
          <w:color w:val="auto"/>
          <w:szCs w:val="21"/>
          <w:highlight w:val="none"/>
          <w:lang w:eastAsia="zh-CN"/>
        </w:rPr>
        <w:t>。</w:t>
      </w:r>
    </w:p>
    <w:p w14:paraId="09F9532A">
      <w:pPr>
        <w:spacing w:line="360" w:lineRule="exact"/>
        <w:ind w:firstLine="422" w:firstLineChars="200"/>
        <w:rPr>
          <w:rFonts w:hint="eastAsia" w:eastAsia="宋体"/>
          <w:color w:val="auto"/>
          <w:szCs w:val="21"/>
          <w:highlight w:val="none"/>
          <w:lang w:eastAsia="zh-CN"/>
        </w:rPr>
      </w:pPr>
      <w:bookmarkStart w:id="306" w:name="_Toc16983"/>
      <w:bookmarkStart w:id="307" w:name="_Toc12726"/>
      <w:r>
        <w:rPr>
          <w:b/>
          <w:bCs/>
          <w:color w:val="auto"/>
          <w:szCs w:val="21"/>
          <w:highlight w:val="none"/>
        </w:rPr>
        <w:t>4</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屋面系统应确保保温材料、隔汽层的连续性、密闭性和整体性</w:t>
      </w:r>
      <w:bookmarkEnd w:id="306"/>
      <w:bookmarkEnd w:id="307"/>
      <w:r>
        <w:rPr>
          <w:rFonts w:hint="eastAsia"/>
          <w:color w:val="auto"/>
          <w:szCs w:val="21"/>
          <w:highlight w:val="none"/>
          <w:lang w:eastAsia="zh-CN"/>
        </w:rPr>
        <w:t>。</w:t>
      </w:r>
    </w:p>
    <w:p w14:paraId="01D6BAD6">
      <w:pPr>
        <w:spacing w:line="360" w:lineRule="exact"/>
        <w:ind w:firstLine="422" w:firstLineChars="200"/>
        <w:rPr>
          <w:rFonts w:hint="eastAsia"/>
          <w:color w:val="auto"/>
          <w:szCs w:val="21"/>
          <w:highlight w:val="none"/>
          <w:lang w:eastAsia="zh-CN"/>
        </w:rPr>
      </w:pPr>
      <w:bookmarkStart w:id="308" w:name="_Toc289"/>
      <w:bookmarkStart w:id="309" w:name="_Toc22716"/>
      <w:r>
        <w:rPr>
          <w:b/>
          <w:bCs/>
          <w:color w:val="auto"/>
          <w:szCs w:val="21"/>
          <w:highlight w:val="none"/>
        </w:rPr>
        <w:t>5</w:t>
      </w:r>
      <w:r>
        <w:rPr>
          <w:color w:val="auto"/>
          <w:szCs w:val="21"/>
          <w:highlight w:val="none"/>
        </w:rPr>
        <w:t xml:space="preserve"> </w:t>
      </w:r>
      <w:r>
        <w:rPr>
          <w:rFonts w:hint="eastAsia"/>
          <w:color w:val="auto"/>
          <w:szCs w:val="21"/>
          <w:highlight w:val="none"/>
          <w:lang w:val="en-US" w:eastAsia="zh-CN"/>
        </w:rPr>
        <w:t xml:space="preserve"> 当</w:t>
      </w:r>
      <w:r>
        <w:rPr>
          <w:color w:val="auto"/>
          <w:szCs w:val="21"/>
          <w:highlight w:val="none"/>
        </w:rPr>
        <w:t>屋面</w:t>
      </w:r>
      <w:r>
        <w:rPr>
          <w:rFonts w:hint="eastAsia"/>
          <w:color w:val="auto"/>
          <w:szCs w:val="21"/>
          <w:highlight w:val="none"/>
          <w:lang w:val="en-US" w:eastAsia="zh-CN"/>
        </w:rPr>
        <w:t>楼板采用全预制楼板时，楼板</w:t>
      </w:r>
      <w:r>
        <w:rPr>
          <w:color w:val="auto"/>
          <w:szCs w:val="21"/>
          <w:highlight w:val="none"/>
        </w:rPr>
        <w:t>接缝处</w:t>
      </w:r>
      <w:r>
        <w:rPr>
          <w:rFonts w:hint="eastAsia"/>
          <w:color w:val="auto"/>
          <w:szCs w:val="21"/>
          <w:highlight w:val="none"/>
          <w:lang w:eastAsia="zh-CN"/>
        </w:rPr>
        <w:t>（</w:t>
      </w:r>
      <w:r>
        <w:rPr>
          <w:rFonts w:hint="eastAsia"/>
          <w:color w:val="auto"/>
          <w:szCs w:val="21"/>
          <w:highlight w:val="none"/>
          <w:lang w:val="en-US" w:eastAsia="zh-CN"/>
        </w:rPr>
        <w:t>图5.5.2</w:t>
      </w:r>
      <w:r>
        <w:rPr>
          <w:rFonts w:hint="eastAsia"/>
          <w:color w:val="auto"/>
          <w:szCs w:val="21"/>
          <w:highlight w:val="none"/>
          <w:lang w:eastAsia="zh-CN"/>
        </w:rPr>
        <w:t>）</w:t>
      </w:r>
      <w:r>
        <w:rPr>
          <w:color w:val="auto"/>
          <w:szCs w:val="21"/>
          <w:highlight w:val="none"/>
        </w:rPr>
        <w:t>混凝土应留后浇带，后浇混凝土厚度不</w:t>
      </w:r>
      <w:r>
        <w:rPr>
          <w:rFonts w:hint="eastAsia"/>
          <w:color w:val="auto"/>
          <w:szCs w:val="21"/>
          <w:highlight w:val="none"/>
        </w:rPr>
        <w:t>应</w:t>
      </w:r>
      <w:r>
        <w:rPr>
          <w:color w:val="auto"/>
          <w:szCs w:val="21"/>
          <w:highlight w:val="none"/>
        </w:rPr>
        <w:t>小于100mm</w:t>
      </w:r>
      <w:bookmarkEnd w:id="308"/>
      <w:bookmarkEnd w:id="309"/>
      <w:r>
        <w:rPr>
          <w:rFonts w:hint="eastAsia"/>
          <w:color w:val="auto"/>
          <w:szCs w:val="21"/>
          <w:highlight w:val="none"/>
          <w:lang w:eastAsia="zh-CN"/>
        </w:rPr>
        <w:t>。</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35"/>
      </w:tblGrid>
      <w:tr w14:paraId="275C1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3" w:hRule="atLeast"/>
        </w:trPr>
        <w:tc>
          <w:tcPr>
            <w:tcW w:w="6135" w:type="dxa"/>
          </w:tcPr>
          <w:p w14:paraId="773F03D2">
            <w:pPr>
              <w:jc w:val="center"/>
              <w:rPr>
                <w:rFonts w:hint="eastAsia"/>
                <w:color w:val="auto"/>
                <w:highlight w:val="none"/>
                <w:lang w:eastAsia="zh-CN"/>
              </w:rPr>
            </w:pPr>
            <w:r>
              <w:rPr>
                <w:color w:val="auto"/>
                <w:highlight w:val="none"/>
              </w:rPr>
              <w:drawing>
                <wp:inline distT="0" distB="0" distL="114300" distR="114300">
                  <wp:extent cx="1619885" cy="1583690"/>
                  <wp:effectExtent l="0" t="0" r="18415" b="1651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6"/>
                          <a:stretch>
                            <a:fillRect/>
                          </a:stretch>
                        </pic:blipFill>
                        <pic:spPr>
                          <a:xfrm>
                            <a:off x="0" y="0"/>
                            <a:ext cx="1619885" cy="1583690"/>
                          </a:xfrm>
                          <a:prstGeom prst="rect">
                            <a:avLst/>
                          </a:prstGeom>
                          <a:noFill/>
                          <a:ln>
                            <a:noFill/>
                          </a:ln>
                        </pic:spPr>
                      </pic:pic>
                    </a:graphicData>
                  </a:graphic>
                </wp:inline>
              </w:drawing>
            </w:r>
          </w:p>
        </w:tc>
      </w:tr>
      <w:tr w14:paraId="519EF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135" w:type="dxa"/>
          </w:tcPr>
          <w:p w14:paraId="62D78D75">
            <w:pPr>
              <w:spacing w:line="360" w:lineRule="exact"/>
              <w:jc w:val="center"/>
              <w:rPr>
                <w:rFonts w:hint="default"/>
                <w:color w:val="auto"/>
                <w:sz w:val="18"/>
                <w:szCs w:val="18"/>
                <w:highlight w:val="none"/>
                <w:vertAlign w:val="baseline"/>
                <w:lang w:val="en-US" w:eastAsia="zh-CN"/>
              </w:rPr>
            </w:pPr>
            <w:r>
              <w:rPr>
                <w:rFonts w:hint="eastAsia" w:eastAsia="黑体"/>
                <w:bCs/>
                <w:iCs/>
                <w:color w:val="auto"/>
                <w:sz w:val="18"/>
                <w:szCs w:val="18"/>
                <w:highlight w:val="none"/>
                <w:vertAlign w:val="baseline"/>
                <w:lang w:val="en-US" w:eastAsia="zh-CN"/>
              </w:rPr>
              <w:t>图</w:t>
            </w:r>
            <w:r>
              <w:rPr>
                <w:rFonts w:hint="eastAsia" w:eastAsia="黑体"/>
                <w:b/>
                <w:bCs/>
                <w:iCs/>
                <w:color w:val="auto"/>
                <w:sz w:val="18"/>
                <w:szCs w:val="18"/>
                <w:highlight w:val="none"/>
                <w:vertAlign w:val="baseline"/>
                <w:lang w:val="en-US" w:eastAsia="zh-CN"/>
              </w:rPr>
              <w:t xml:space="preserve">5.5.2 </w:t>
            </w:r>
            <w:r>
              <w:rPr>
                <w:rFonts w:hint="eastAsia" w:eastAsia="黑体"/>
                <w:bCs/>
                <w:iCs/>
                <w:color w:val="auto"/>
                <w:sz w:val="18"/>
                <w:szCs w:val="18"/>
                <w:highlight w:val="none"/>
                <w:vertAlign w:val="baseline"/>
                <w:lang w:val="en-US" w:eastAsia="zh-CN"/>
              </w:rPr>
              <w:t>屋面模块间楼板接缝节点构造示意图</w:t>
            </w:r>
          </w:p>
        </w:tc>
      </w:tr>
      <w:tr w14:paraId="657DA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135" w:type="dxa"/>
          </w:tcPr>
          <w:p w14:paraId="116978CD">
            <w:pPr>
              <w:spacing w:line="360" w:lineRule="exact"/>
              <w:jc w:val="center"/>
              <w:rPr>
                <w:rFonts w:hint="default" w:eastAsia="黑体"/>
                <w:color w:val="auto"/>
                <w:sz w:val="18"/>
                <w:szCs w:val="18"/>
                <w:highlight w:val="none"/>
                <w:vertAlign w:val="baseline"/>
                <w:lang w:val="en-US" w:eastAsia="zh-CN"/>
              </w:rPr>
            </w:pPr>
            <w:bookmarkStart w:id="310" w:name="OLE_LINK52"/>
            <w:bookmarkStart w:id="311" w:name="_Toc4486"/>
            <w:bookmarkStart w:id="312" w:name="_Toc23651"/>
            <w:r>
              <w:rPr>
                <w:rFonts w:hint="eastAsia" w:eastAsia="黑体"/>
                <w:bCs/>
                <w:i w:val="0"/>
                <w:iCs/>
                <w:color w:val="auto"/>
                <w:sz w:val="18"/>
                <w:szCs w:val="18"/>
                <w:highlight w:val="none"/>
                <w:lang w:val="en-US" w:eastAsia="zh-CN"/>
              </w:rPr>
              <w:t>1</w:t>
            </w:r>
            <w:r>
              <w:rPr>
                <w:rFonts w:eastAsia="黑体"/>
                <w:bCs/>
                <w:color w:val="auto"/>
                <w:sz w:val="18"/>
                <w:szCs w:val="18"/>
                <w:highlight w:val="none"/>
              </w:rPr>
              <w:t>—</w:t>
            </w:r>
            <w:bookmarkEnd w:id="310"/>
            <w:r>
              <w:rPr>
                <w:rFonts w:hint="eastAsia" w:eastAsia="黑体"/>
                <w:bCs/>
                <w:color w:val="auto"/>
                <w:sz w:val="18"/>
                <w:szCs w:val="18"/>
                <w:highlight w:val="none"/>
                <w:lang w:val="en-US" w:eastAsia="zh-CN"/>
              </w:rPr>
              <w:t>左侧模块</w:t>
            </w:r>
            <w:r>
              <w:rPr>
                <w:rFonts w:eastAsia="黑体"/>
                <w:bCs/>
                <w:color w:val="auto"/>
                <w:sz w:val="18"/>
                <w:szCs w:val="18"/>
                <w:highlight w:val="none"/>
              </w:rPr>
              <w:t>；</w:t>
            </w:r>
            <w:r>
              <w:rPr>
                <w:rFonts w:hint="eastAsia" w:eastAsia="黑体"/>
                <w:bCs/>
                <w:color w:val="auto"/>
                <w:sz w:val="18"/>
                <w:szCs w:val="18"/>
                <w:highlight w:val="none"/>
                <w:lang w:val="en-US" w:eastAsia="zh-CN"/>
              </w:rPr>
              <w:t>2</w:t>
            </w:r>
            <w:r>
              <w:rPr>
                <w:rFonts w:eastAsia="黑体"/>
                <w:bCs/>
                <w:color w:val="auto"/>
                <w:sz w:val="18"/>
                <w:szCs w:val="18"/>
                <w:highlight w:val="none"/>
              </w:rPr>
              <w:t>—</w:t>
            </w:r>
            <w:r>
              <w:rPr>
                <w:rFonts w:hint="eastAsia" w:eastAsia="黑体"/>
                <w:bCs/>
                <w:color w:val="auto"/>
                <w:sz w:val="18"/>
                <w:szCs w:val="18"/>
                <w:highlight w:val="none"/>
                <w:lang w:val="en-US" w:eastAsia="zh-CN"/>
              </w:rPr>
              <w:t>右侧模块</w:t>
            </w:r>
            <w:bookmarkStart w:id="313" w:name="OLE_LINK58"/>
            <w:r>
              <w:rPr>
                <w:rFonts w:hint="eastAsia" w:eastAsia="黑体"/>
                <w:bCs/>
                <w:color w:val="auto"/>
                <w:sz w:val="18"/>
                <w:szCs w:val="18"/>
                <w:highlight w:val="none"/>
                <w:lang w:val="en-US" w:eastAsia="zh-CN"/>
              </w:rPr>
              <w:t>；3—左侧模块预制楼板</w:t>
            </w:r>
            <w:bookmarkEnd w:id="313"/>
            <w:r>
              <w:rPr>
                <w:rFonts w:hint="eastAsia" w:eastAsia="黑体"/>
                <w:bCs/>
                <w:color w:val="auto"/>
                <w:sz w:val="18"/>
                <w:szCs w:val="18"/>
                <w:highlight w:val="none"/>
                <w:lang w:val="en-US" w:eastAsia="zh-CN"/>
              </w:rPr>
              <w:t>；4</w:t>
            </w:r>
            <w:r>
              <w:rPr>
                <w:rFonts w:eastAsia="黑体"/>
                <w:bCs/>
                <w:color w:val="auto"/>
                <w:sz w:val="18"/>
                <w:szCs w:val="18"/>
                <w:highlight w:val="none"/>
              </w:rPr>
              <w:t>—</w:t>
            </w:r>
            <w:r>
              <w:rPr>
                <w:rFonts w:hint="eastAsia" w:eastAsia="黑体"/>
                <w:bCs/>
                <w:color w:val="auto"/>
                <w:sz w:val="18"/>
                <w:szCs w:val="18"/>
                <w:highlight w:val="none"/>
                <w:lang w:val="en-US" w:eastAsia="zh-CN"/>
              </w:rPr>
              <w:t>板拼缝后浇带；5—拼缝搭接钢筋；6—左侧模块预制楼板</w:t>
            </w:r>
          </w:p>
        </w:tc>
      </w:tr>
    </w:tbl>
    <w:p w14:paraId="59CE5522">
      <w:pPr>
        <w:spacing w:line="360" w:lineRule="exact"/>
        <w:ind w:firstLine="422" w:firstLineChars="200"/>
        <w:rPr>
          <w:color w:val="auto"/>
          <w:szCs w:val="21"/>
          <w:highlight w:val="none"/>
        </w:rPr>
      </w:pPr>
      <w:r>
        <w:rPr>
          <w:b/>
          <w:bCs/>
          <w:color w:val="auto"/>
          <w:szCs w:val="21"/>
          <w:highlight w:val="none"/>
        </w:rPr>
        <w:t>6</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天窗、天沟、檐沟、檐口、水落管、泛水、变形缝和伸出屋面管道等处应采取与工程特点相适应的防水加强措施。</w:t>
      </w:r>
      <w:bookmarkEnd w:id="311"/>
      <w:bookmarkEnd w:id="312"/>
    </w:p>
    <w:p w14:paraId="7A8233D7">
      <w:pPr>
        <w:spacing w:line="360" w:lineRule="exact"/>
        <w:rPr>
          <w:color w:val="auto"/>
          <w:szCs w:val="21"/>
          <w:highlight w:val="none"/>
        </w:rPr>
      </w:pPr>
      <w:r>
        <w:rPr>
          <w:b/>
          <w:bCs/>
          <w:color w:val="auto"/>
          <w:szCs w:val="21"/>
          <w:highlight w:val="none"/>
        </w:rPr>
        <w:t>5.5.3</w:t>
      </w:r>
      <w:r>
        <w:rPr>
          <w:b/>
          <w:color w:val="auto"/>
          <w:szCs w:val="21"/>
          <w:highlight w:val="none"/>
        </w:rPr>
        <w:t xml:space="preserve"> </w:t>
      </w:r>
      <w:r>
        <w:rPr>
          <w:color w:val="auto"/>
          <w:szCs w:val="21"/>
          <w:highlight w:val="none"/>
        </w:rPr>
        <w:t xml:space="preserve"> 建筑外墙应进行整体防水设计，应采用构造防水和材料防水相结合的方式，并应符合下列规定：</w:t>
      </w:r>
    </w:p>
    <w:p w14:paraId="2454A27B">
      <w:pPr>
        <w:spacing w:line="360" w:lineRule="exact"/>
        <w:ind w:firstLine="422" w:firstLineChars="200"/>
        <w:rPr>
          <w:rFonts w:hint="eastAsia" w:eastAsia="宋体"/>
          <w:color w:val="auto"/>
          <w:szCs w:val="21"/>
          <w:highlight w:val="none"/>
          <w:lang w:eastAsia="zh-CN"/>
        </w:rPr>
      </w:pPr>
      <w:bookmarkStart w:id="314" w:name="_Toc3034"/>
      <w:bookmarkStart w:id="315" w:name="_Toc23993"/>
      <w:r>
        <w:rPr>
          <w:b/>
          <w:bCs/>
          <w:color w:val="auto"/>
          <w:szCs w:val="21"/>
          <w:highlight w:val="none"/>
        </w:rPr>
        <w:t>1</w:t>
      </w:r>
      <w:r>
        <w:rPr>
          <w:color w:val="auto"/>
          <w:szCs w:val="21"/>
          <w:highlight w:val="none"/>
        </w:rPr>
        <w:t xml:space="preserve">  防水设计应包括外墙防水工程的构造、防水层材料的选择和节点的密封防水构造</w:t>
      </w:r>
      <w:bookmarkEnd w:id="314"/>
      <w:bookmarkEnd w:id="315"/>
      <w:r>
        <w:rPr>
          <w:rFonts w:hint="eastAsia"/>
          <w:color w:val="auto"/>
          <w:szCs w:val="21"/>
          <w:highlight w:val="none"/>
          <w:lang w:eastAsia="zh-CN"/>
        </w:rPr>
        <w:t>。</w:t>
      </w:r>
    </w:p>
    <w:p w14:paraId="20066D68">
      <w:pPr>
        <w:spacing w:line="360" w:lineRule="exact"/>
        <w:ind w:firstLine="422" w:firstLineChars="200"/>
        <w:rPr>
          <w:rFonts w:hint="eastAsia" w:eastAsia="宋体"/>
          <w:color w:val="auto"/>
          <w:szCs w:val="21"/>
          <w:highlight w:val="none"/>
          <w:lang w:eastAsia="zh-CN"/>
        </w:rPr>
      </w:pPr>
      <w:bookmarkStart w:id="316" w:name="_Toc24931"/>
      <w:bookmarkStart w:id="317" w:name="_Toc9001"/>
      <w:r>
        <w:rPr>
          <w:b/>
          <w:bCs/>
          <w:color w:val="auto"/>
          <w:szCs w:val="21"/>
          <w:highlight w:val="none"/>
        </w:rPr>
        <w:t>2</w:t>
      </w:r>
      <w:r>
        <w:rPr>
          <w:color w:val="auto"/>
          <w:szCs w:val="21"/>
          <w:highlight w:val="none"/>
        </w:rPr>
        <w:t xml:space="preserve">  节点的防水设计应包括门窗洞口、雨篷、阳台、变形缝、伸出外墙管道、女儿墙压顶、外墙预埋件、模块单元等交接部位的防水构造</w:t>
      </w:r>
      <w:bookmarkEnd w:id="316"/>
      <w:bookmarkEnd w:id="317"/>
      <w:r>
        <w:rPr>
          <w:rFonts w:hint="eastAsia"/>
          <w:color w:val="auto"/>
          <w:szCs w:val="21"/>
          <w:highlight w:val="none"/>
          <w:lang w:eastAsia="zh-CN"/>
        </w:rPr>
        <w:t>。</w:t>
      </w:r>
    </w:p>
    <w:p w14:paraId="19E700FF">
      <w:pPr>
        <w:spacing w:line="360" w:lineRule="exact"/>
        <w:ind w:firstLine="422" w:firstLineChars="200"/>
        <w:rPr>
          <w:color w:val="auto"/>
          <w:szCs w:val="21"/>
          <w:highlight w:val="none"/>
        </w:rPr>
      </w:pPr>
      <w:bookmarkStart w:id="318" w:name="_Toc11824"/>
      <w:bookmarkStart w:id="319" w:name="_Toc15210"/>
      <w:r>
        <w:rPr>
          <w:b/>
          <w:bCs/>
          <w:color w:val="auto"/>
          <w:szCs w:val="21"/>
          <w:highlight w:val="none"/>
        </w:rPr>
        <w:t>3</w:t>
      </w:r>
      <w:r>
        <w:rPr>
          <w:color w:val="auto"/>
          <w:szCs w:val="21"/>
          <w:highlight w:val="none"/>
        </w:rPr>
        <w:t xml:space="preserve">  模块单元间及模块单元与非模块结构间的拼接水平缝及竖向缝应进行防水设计。</w:t>
      </w:r>
      <w:bookmarkEnd w:id="318"/>
      <w:bookmarkEnd w:id="319"/>
    </w:p>
    <w:p w14:paraId="6D9C7CAD">
      <w:pPr>
        <w:spacing w:line="360" w:lineRule="exact"/>
        <w:ind w:firstLine="422" w:firstLineChars="200"/>
        <w:rPr>
          <w:rFonts w:hint="eastAsia"/>
          <w:color w:val="auto"/>
          <w:szCs w:val="21"/>
          <w:highlight w:val="none"/>
          <w:lang w:eastAsia="zh-CN"/>
        </w:rPr>
      </w:pPr>
      <w:bookmarkStart w:id="320" w:name="_Toc18972"/>
      <w:bookmarkStart w:id="321" w:name="_Toc11968"/>
      <w:r>
        <w:rPr>
          <w:b/>
          <w:bCs/>
          <w:color w:val="auto"/>
          <w:szCs w:val="21"/>
          <w:highlight w:val="none"/>
        </w:rPr>
        <w:t>4</w:t>
      </w:r>
      <w:r>
        <w:rPr>
          <w:color w:val="auto"/>
          <w:szCs w:val="21"/>
          <w:highlight w:val="none"/>
        </w:rPr>
        <w:t xml:space="preserve">  预制和现浇混凝土的结合位置应采取有效的防渗措施，并宜结合建筑外立面设置分隔线条</w:t>
      </w:r>
      <w:bookmarkEnd w:id="320"/>
      <w:bookmarkEnd w:id="321"/>
      <w:bookmarkStart w:id="322" w:name="_Toc27922"/>
      <w:bookmarkStart w:id="323" w:name="_Toc421"/>
      <w:r>
        <w:rPr>
          <w:rFonts w:hint="eastAsia"/>
          <w:color w:val="auto"/>
          <w:szCs w:val="21"/>
          <w:highlight w:val="none"/>
          <w:lang w:eastAsia="zh-CN"/>
        </w:rPr>
        <w:t>。</w:t>
      </w:r>
    </w:p>
    <w:p w14:paraId="1EB4A90C">
      <w:pPr>
        <w:spacing w:line="360" w:lineRule="exact"/>
        <w:ind w:firstLine="422" w:firstLineChars="200"/>
        <w:rPr>
          <w:color w:val="auto"/>
          <w:szCs w:val="21"/>
          <w:highlight w:val="none"/>
        </w:rPr>
      </w:pPr>
      <w:r>
        <w:rPr>
          <w:b/>
          <w:bCs/>
          <w:color w:val="auto"/>
          <w:szCs w:val="21"/>
          <w:highlight w:val="none"/>
        </w:rPr>
        <w:t>5</w:t>
      </w:r>
      <w:r>
        <w:rPr>
          <w:color w:val="auto"/>
          <w:szCs w:val="21"/>
          <w:highlight w:val="none"/>
        </w:rPr>
        <w:t xml:space="preserve">  外墙构造应满足外保温材料的粘、锚等要求，外保温材料锚固节点应采取防水措施。</w:t>
      </w:r>
      <w:bookmarkEnd w:id="322"/>
      <w:bookmarkEnd w:id="323"/>
    </w:p>
    <w:p w14:paraId="6D035917">
      <w:pPr>
        <w:spacing w:line="360" w:lineRule="exact"/>
        <w:rPr>
          <w:color w:val="auto"/>
          <w:szCs w:val="21"/>
          <w:highlight w:val="none"/>
        </w:rPr>
      </w:pPr>
      <w:r>
        <w:rPr>
          <w:b/>
          <w:bCs/>
          <w:color w:val="auto"/>
          <w:szCs w:val="21"/>
          <w:highlight w:val="none"/>
        </w:rPr>
        <w:t>5.5.4</w:t>
      </w:r>
      <w:r>
        <w:rPr>
          <w:b/>
          <w:color w:val="auto"/>
          <w:szCs w:val="21"/>
          <w:highlight w:val="none"/>
        </w:rPr>
        <w:t xml:space="preserve"> </w:t>
      </w:r>
      <w:r>
        <w:rPr>
          <w:color w:val="auto"/>
          <w:szCs w:val="21"/>
          <w:highlight w:val="none"/>
        </w:rPr>
        <w:t xml:space="preserve"> 门窗洞边、屋面、檐口、勒脚等部位应采用加强防水做法，防水材料宜选用弹性材料，并应避免建筑模块单元运输及安装过程中对防水材料产生破坏。</w:t>
      </w:r>
    </w:p>
    <w:p w14:paraId="538A61A1">
      <w:pPr>
        <w:spacing w:line="360" w:lineRule="exact"/>
        <w:rPr>
          <w:color w:val="auto"/>
          <w:szCs w:val="21"/>
          <w:highlight w:val="none"/>
        </w:rPr>
      </w:pPr>
      <w:bookmarkStart w:id="324" w:name="_Toc16989"/>
      <w:bookmarkStart w:id="325" w:name="_Toc7972"/>
      <w:bookmarkStart w:id="326" w:name="_Toc17221"/>
      <w:bookmarkStart w:id="327" w:name="_Toc11173"/>
      <w:bookmarkStart w:id="328" w:name="_Toc12444"/>
      <w:r>
        <w:rPr>
          <w:b/>
          <w:bCs/>
          <w:color w:val="auto"/>
          <w:szCs w:val="21"/>
          <w:highlight w:val="none"/>
        </w:rPr>
        <w:t>5.</w:t>
      </w:r>
      <w:r>
        <w:rPr>
          <w:rFonts w:hint="eastAsia"/>
          <w:b/>
          <w:bCs/>
          <w:color w:val="auto"/>
          <w:szCs w:val="21"/>
          <w:highlight w:val="none"/>
        </w:rPr>
        <w:t>5</w:t>
      </w:r>
      <w:r>
        <w:rPr>
          <w:b/>
          <w:bCs/>
          <w:color w:val="auto"/>
          <w:szCs w:val="21"/>
          <w:highlight w:val="none"/>
        </w:rPr>
        <w:t>.5</w:t>
      </w:r>
      <w:r>
        <w:rPr>
          <w:rFonts w:hint="eastAsia"/>
          <w:b/>
          <w:bCs/>
          <w:color w:val="auto"/>
          <w:szCs w:val="21"/>
          <w:highlight w:val="none"/>
          <w:lang w:val="en-US" w:eastAsia="zh-CN"/>
        </w:rPr>
        <w:t xml:space="preserve">  </w:t>
      </w:r>
      <w:r>
        <w:rPr>
          <w:color w:val="auto"/>
          <w:szCs w:val="21"/>
          <w:highlight w:val="none"/>
        </w:rPr>
        <w:t>混凝土模块化建筑采用幕墙时应符合下列规定：</w:t>
      </w:r>
      <w:bookmarkEnd w:id="324"/>
      <w:bookmarkEnd w:id="325"/>
      <w:bookmarkEnd w:id="326"/>
      <w:bookmarkEnd w:id="327"/>
      <w:bookmarkEnd w:id="328"/>
    </w:p>
    <w:p w14:paraId="3AE2FD04">
      <w:pPr>
        <w:spacing w:line="360" w:lineRule="exact"/>
        <w:ind w:firstLine="422" w:firstLineChars="200"/>
        <w:rPr>
          <w:rFonts w:hint="eastAsia" w:eastAsia="宋体"/>
          <w:color w:val="auto"/>
          <w:szCs w:val="21"/>
          <w:highlight w:val="none"/>
          <w:lang w:eastAsia="zh-CN"/>
        </w:rPr>
      </w:pPr>
      <w:bookmarkStart w:id="329" w:name="_Toc22949"/>
      <w:bookmarkStart w:id="330" w:name="_Toc21418"/>
      <w:r>
        <w:rPr>
          <w:b/>
          <w:bCs/>
          <w:color w:val="auto"/>
          <w:szCs w:val="21"/>
          <w:highlight w:val="none"/>
        </w:rPr>
        <w:t>1</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幕墙形式应根据建筑物的使用要求和外立面效果进行选择，宜采用单元式幕墙</w:t>
      </w:r>
      <w:bookmarkEnd w:id="329"/>
      <w:bookmarkEnd w:id="330"/>
      <w:r>
        <w:rPr>
          <w:rFonts w:hint="eastAsia"/>
          <w:color w:val="auto"/>
          <w:szCs w:val="21"/>
          <w:highlight w:val="none"/>
          <w:lang w:eastAsia="zh-CN"/>
        </w:rPr>
        <w:t>。</w:t>
      </w:r>
    </w:p>
    <w:p w14:paraId="3DC4850B">
      <w:pPr>
        <w:spacing w:line="360" w:lineRule="exact"/>
        <w:ind w:firstLine="422" w:firstLineChars="200"/>
        <w:rPr>
          <w:rFonts w:hint="eastAsia" w:eastAsia="宋体"/>
          <w:color w:val="auto"/>
          <w:szCs w:val="21"/>
          <w:highlight w:val="none"/>
          <w:lang w:eastAsia="zh-CN"/>
        </w:rPr>
      </w:pPr>
      <w:bookmarkStart w:id="331" w:name="_Toc9807"/>
      <w:bookmarkStart w:id="332" w:name="_Toc18708"/>
      <w:r>
        <w:rPr>
          <w:b/>
          <w:bCs/>
          <w:color w:val="auto"/>
          <w:szCs w:val="21"/>
          <w:highlight w:val="none"/>
        </w:rPr>
        <w:t>2</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幕墙可采用玻璃幕墙、金属幕墙、石材幕墙、人造板材幕墙等；设计应符合现行</w:t>
      </w:r>
      <w:r>
        <w:rPr>
          <w:rFonts w:hint="eastAsia"/>
          <w:color w:val="auto"/>
          <w:szCs w:val="21"/>
          <w:highlight w:val="none"/>
          <w:lang w:val="en-US" w:eastAsia="zh-CN"/>
        </w:rPr>
        <w:t>行业</w:t>
      </w:r>
      <w:r>
        <w:rPr>
          <w:color w:val="auto"/>
          <w:szCs w:val="21"/>
          <w:highlight w:val="none"/>
        </w:rPr>
        <w:t>标准《金属与石材幕墙工程技术规范》JGJ 133、《人造板材幕墙工程技术规范》JGJ 336的相关规定</w:t>
      </w:r>
      <w:bookmarkEnd w:id="331"/>
      <w:bookmarkEnd w:id="332"/>
      <w:bookmarkStart w:id="333" w:name="_Toc6410"/>
      <w:bookmarkStart w:id="334" w:name="_Toc9945"/>
      <w:bookmarkStart w:id="335" w:name="_Toc7933"/>
      <w:r>
        <w:rPr>
          <w:rFonts w:hint="eastAsia"/>
          <w:color w:val="auto"/>
          <w:szCs w:val="21"/>
          <w:highlight w:val="none"/>
          <w:lang w:eastAsia="zh-CN"/>
        </w:rPr>
        <w:t>。</w:t>
      </w:r>
    </w:p>
    <w:p w14:paraId="129EBFFA">
      <w:pPr>
        <w:spacing w:line="360" w:lineRule="exact"/>
        <w:ind w:firstLine="422" w:firstLineChars="200"/>
        <w:rPr>
          <w:color w:val="auto"/>
          <w:szCs w:val="21"/>
          <w:highlight w:val="none"/>
        </w:rPr>
      </w:pPr>
      <w:bookmarkStart w:id="336" w:name="_Toc16852"/>
      <w:bookmarkStart w:id="337" w:name="_Toc16609"/>
      <w:r>
        <w:rPr>
          <w:b/>
          <w:bCs/>
          <w:color w:val="auto"/>
          <w:szCs w:val="21"/>
          <w:highlight w:val="none"/>
        </w:rPr>
        <w:t>3</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幕墙应与主体结构可靠连接。</w:t>
      </w:r>
      <w:bookmarkEnd w:id="333"/>
      <w:bookmarkEnd w:id="334"/>
      <w:bookmarkEnd w:id="335"/>
      <w:bookmarkEnd w:id="336"/>
      <w:bookmarkEnd w:id="337"/>
    </w:p>
    <w:p w14:paraId="664117E6">
      <w:pPr>
        <w:spacing w:line="360" w:lineRule="exact"/>
        <w:rPr>
          <w:color w:val="auto"/>
          <w:szCs w:val="21"/>
          <w:highlight w:val="none"/>
        </w:rPr>
      </w:pPr>
      <w:r>
        <w:rPr>
          <w:b/>
          <w:bCs/>
          <w:color w:val="auto"/>
          <w:szCs w:val="21"/>
          <w:highlight w:val="none"/>
        </w:rPr>
        <w:t>5.</w:t>
      </w:r>
      <w:r>
        <w:rPr>
          <w:rFonts w:hint="eastAsia"/>
          <w:b/>
          <w:bCs/>
          <w:color w:val="auto"/>
          <w:szCs w:val="21"/>
          <w:highlight w:val="none"/>
        </w:rPr>
        <w:t>5</w:t>
      </w:r>
      <w:r>
        <w:rPr>
          <w:b/>
          <w:bCs/>
          <w:color w:val="auto"/>
          <w:szCs w:val="21"/>
          <w:highlight w:val="none"/>
        </w:rPr>
        <w:t>.6</w:t>
      </w:r>
      <w:r>
        <w:rPr>
          <w:b/>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混凝土模块化建筑中的外装修、外围护系统宜进行一体化设计并宜在工厂内完成一体化生产。</w:t>
      </w:r>
    </w:p>
    <w:p w14:paraId="37E4E097">
      <w:pPr>
        <w:spacing w:line="360" w:lineRule="exact"/>
        <w:rPr>
          <w:color w:val="auto"/>
          <w:szCs w:val="21"/>
          <w:highlight w:val="none"/>
        </w:rPr>
      </w:pPr>
      <w:r>
        <w:rPr>
          <w:b/>
          <w:bCs/>
          <w:color w:val="auto"/>
          <w:szCs w:val="21"/>
          <w:highlight w:val="none"/>
        </w:rPr>
        <w:t>5.</w:t>
      </w:r>
      <w:r>
        <w:rPr>
          <w:rFonts w:hint="eastAsia"/>
          <w:b/>
          <w:bCs/>
          <w:color w:val="auto"/>
          <w:szCs w:val="21"/>
          <w:highlight w:val="none"/>
        </w:rPr>
        <w:t>5</w:t>
      </w:r>
      <w:r>
        <w:rPr>
          <w:b/>
          <w:bCs/>
          <w:color w:val="auto"/>
          <w:szCs w:val="21"/>
          <w:highlight w:val="none"/>
        </w:rPr>
        <w:t>.7</w:t>
      </w:r>
      <w:r>
        <w:rPr>
          <w:b/>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模块单元与基础之间，模块单元之间以及模块单元与内部功能单元之间接口的设计，应满足建筑的防火、防水、防潮、隔声等各项要求。模块单元的接缝处理应符合下列规定：</w:t>
      </w:r>
    </w:p>
    <w:p w14:paraId="78677F9B">
      <w:pPr>
        <w:spacing w:line="360" w:lineRule="exact"/>
        <w:ind w:firstLine="422" w:firstLineChars="200"/>
        <w:rPr>
          <w:rFonts w:hint="eastAsia" w:eastAsia="宋体"/>
          <w:color w:val="auto"/>
          <w:szCs w:val="21"/>
          <w:highlight w:val="none"/>
          <w:lang w:eastAsia="zh-CN"/>
        </w:rPr>
      </w:pPr>
      <w:bookmarkStart w:id="338" w:name="_Toc8111"/>
      <w:bookmarkStart w:id="339" w:name="_Toc7782"/>
      <w:bookmarkStart w:id="340" w:name="_Toc3529"/>
      <w:bookmarkStart w:id="341" w:name="_Toc5018"/>
      <w:bookmarkStart w:id="342" w:name="_Toc9054"/>
      <w:r>
        <w:rPr>
          <w:b/>
          <w:bCs/>
          <w:color w:val="auto"/>
          <w:szCs w:val="21"/>
          <w:highlight w:val="none"/>
        </w:rPr>
        <w:t>1</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模块单元间接缝宜采用材料防水和构造防水相结合的做法</w:t>
      </w:r>
      <w:bookmarkEnd w:id="338"/>
      <w:bookmarkEnd w:id="339"/>
      <w:bookmarkEnd w:id="340"/>
      <w:bookmarkEnd w:id="341"/>
      <w:bookmarkEnd w:id="342"/>
      <w:r>
        <w:rPr>
          <w:rFonts w:hint="eastAsia"/>
          <w:color w:val="auto"/>
          <w:szCs w:val="21"/>
          <w:highlight w:val="none"/>
          <w:lang w:eastAsia="zh-CN"/>
        </w:rPr>
        <w:t>。</w:t>
      </w:r>
    </w:p>
    <w:p w14:paraId="76671B76">
      <w:pPr>
        <w:spacing w:line="360" w:lineRule="exact"/>
        <w:ind w:firstLine="422" w:firstLineChars="200"/>
        <w:rPr>
          <w:rFonts w:hint="eastAsia" w:eastAsia="宋体"/>
          <w:color w:val="auto"/>
          <w:szCs w:val="21"/>
          <w:highlight w:val="none"/>
          <w:lang w:eastAsia="zh-CN"/>
        </w:rPr>
      </w:pPr>
      <w:bookmarkStart w:id="343" w:name="_Toc958"/>
      <w:bookmarkStart w:id="344" w:name="_Toc10021"/>
      <w:r>
        <w:rPr>
          <w:b/>
          <w:bCs/>
          <w:color w:val="auto"/>
          <w:szCs w:val="21"/>
          <w:highlight w:val="none"/>
        </w:rPr>
        <w:t>2</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模块单元宜在接缝处设置聚乙烯棒，并宜在外侧填补防水密封胶</w:t>
      </w:r>
      <w:bookmarkEnd w:id="343"/>
      <w:bookmarkEnd w:id="344"/>
      <w:r>
        <w:rPr>
          <w:rFonts w:hint="eastAsia"/>
          <w:color w:val="auto"/>
          <w:szCs w:val="21"/>
          <w:highlight w:val="none"/>
          <w:lang w:eastAsia="zh-CN"/>
        </w:rPr>
        <w:t>。</w:t>
      </w:r>
    </w:p>
    <w:p w14:paraId="27281631">
      <w:pPr>
        <w:spacing w:line="360" w:lineRule="exact"/>
        <w:ind w:firstLine="422" w:firstLineChars="200"/>
        <w:rPr>
          <w:rFonts w:hint="eastAsia" w:eastAsia="宋体"/>
          <w:color w:val="auto"/>
          <w:szCs w:val="21"/>
          <w:highlight w:val="none"/>
          <w:lang w:eastAsia="zh-CN"/>
        </w:rPr>
      </w:pPr>
      <w:bookmarkStart w:id="345" w:name="_Toc2284"/>
      <w:bookmarkStart w:id="346" w:name="_Toc26587"/>
      <w:bookmarkStart w:id="347" w:name="_Toc12536"/>
      <w:bookmarkStart w:id="348" w:name="_Toc22225"/>
      <w:bookmarkStart w:id="349" w:name="_Toc24342"/>
      <w:r>
        <w:rPr>
          <w:b/>
          <w:bCs/>
          <w:color w:val="auto"/>
          <w:szCs w:val="21"/>
          <w:highlight w:val="none"/>
        </w:rPr>
        <w:t>3</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模块单元间接缝处的防水构造应满足使用期间的排水要求</w:t>
      </w:r>
      <w:bookmarkEnd w:id="345"/>
      <w:bookmarkEnd w:id="346"/>
      <w:bookmarkEnd w:id="347"/>
      <w:bookmarkEnd w:id="348"/>
      <w:bookmarkEnd w:id="349"/>
      <w:r>
        <w:rPr>
          <w:rFonts w:hint="eastAsia"/>
          <w:color w:val="auto"/>
          <w:szCs w:val="21"/>
          <w:highlight w:val="none"/>
          <w:lang w:eastAsia="zh-CN"/>
        </w:rPr>
        <w:t>。</w:t>
      </w:r>
    </w:p>
    <w:p w14:paraId="377452B5">
      <w:pPr>
        <w:spacing w:line="360" w:lineRule="exact"/>
        <w:ind w:firstLine="422" w:firstLineChars="200"/>
        <w:rPr>
          <w:color w:val="auto"/>
          <w:szCs w:val="21"/>
          <w:highlight w:val="none"/>
        </w:rPr>
      </w:pPr>
      <w:bookmarkStart w:id="350" w:name="_Toc8338"/>
      <w:bookmarkStart w:id="351" w:name="_Toc30040"/>
      <w:r>
        <w:rPr>
          <w:b/>
          <w:bCs/>
          <w:color w:val="auto"/>
          <w:szCs w:val="21"/>
          <w:highlight w:val="none"/>
        </w:rPr>
        <w:t>4</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模块单元接缝处的构造应采用填补混凝土或其他方式防止动植物滋生繁殖。</w:t>
      </w:r>
      <w:bookmarkEnd w:id="350"/>
      <w:bookmarkEnd w:id="351"/>
    </w:p>
    <w:p w14:paraId="21B1E851">
      <w:pPr>
        <w:spacing w:line="360" w:lineRule="exact"/>
        <w:rPr>
          <w:color w:val="auto"/>
          <w:szCs w:val="21"/>
          <w:highlight w:val="none"/>
        </w:rPr>
      </w:pPr>
      <w:bookmarkStart w:id="352" w:name="_Toc5729"/>
      <w:bookmarkStart w:id="353" w:name="_Toc9936"/>
      <w:bookmarkStart w:id="354" w:name="_Toc29332"/>
      <w:bookmarkStart w:id="355" w:name="_Toc30766"/>
      <w:bookmarkStart w:id="356" w:name="_Toc23011"/>
      <w:r>
        <w:rPr>
          <w:b/>
          <w:bCs/>
          <w:color w:val="auto"/>
          <w:szCs w:val="21"/>
          <w:highlight w:val="none"/>
        </w:rPr>
        <w:t>5.</w:t>
      </w:r>
      <w:r>
        <w:rPr>
          <w:rFonts w:hint="eastAsia"/>
          <w:b/>
          <w:bCs/>
          <w:color w:val="auto"/>
          <w:szCs w:val="21"/>
          <w:highlight w:val="none"/>
        </w:rPr>
        <w:t>5</w:t>
      </w:r>
      <w:r>
        <w:rPr>
          <w:b/>
          <w:bCs/>
          <w:color w:val="auto"/>
          <w:szCs w:val="21"/>
          <w:highlight w:val="none"/>
        </w:rPr>
        <w:t>.8</w:t>
      </w:r>
      <w:r>
        <w:rPr>
          <w:b/>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模块单元间拼缝的防火封堵设计应符合下列规定：</w:t>
      </w:r>
      <w:bookmarkEnd w:id="352"/>
      <w:bookmarkEnd w:id="353"/>
      <w:bookmarkEnd w:id="354"/>
      <w:bookmarkEnd w:id="355"/>
      <w:bookmarkEnd w:id="356"/>
    </w:p>
    <w:p w14:paraId="268EC391">
      <w:pPr>
        <w:spacing w:line="360" w:lineRule="exact"/>
        <w:ind w:firstLine="422" w:firstLineChars="200"/>
        <w:rPr>
          <w:rFonts w:hint="eastAsia" w:eastAsia="宋体"/>
          <w:color w:val="auto"/>
          <w:szCs w:val="21"/>
          <w:highlight w:val="none"/>
          <w:lang w:eastAsia="zh-CN"/>
        </w:rPr>
      </w:pPr>
      <w:bookmarkStart w:id="357" w:name="_Toc5567"/>
      <w:bookmarkStart w:id="358" w:name="_Toc21808"/>
      <w:r>
        <w:rPr>
          <w:b/>
          <w:bCs/>
          <w:color w:val="auto"/>
          <w:szCs w:val="21"/>
          <w:highlight w:val="none"/>
        </w:rPr>
        <w:t>1</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模块间拼缝宜采用无机材料进行防火封堵</w:t>
      </w:r>
      <w:bookmarkEnd w:id="357"/>
      <w:bookmarkEnd w:id="358"/>
      <w:r>
        <w:rPr>
          <w:rFonts w:hint="eastAsia"/>
          <w:color w:val="auto"/>
          <w:szCs w:val="21"/>
          <w:highlight w:val="none"/>
          <w:lang w:eastAsia="zh-CN"/>
        </w:rPr>
        <w:t>。</w:t>
      </w:r>
    </w:p>
    <w:p w14:paraId="7BD39300">
      <w:pPr>
        <w:spacing w:line="360" w:lineRule="exact"/>
        <w:ind w:firstLine="422" w:firstLineChars="200"/>
        <w:rPr>
          <w:rFonts w:hint="eastAsia" w:eastAsia="宋体"/>
          <w:color w:val="auto"/>
          <w:szCs w:val="21"/>
          <w:highlight w:val="none"/>
          <w:lang w:eastAsia="zh-CN"/>
        </w:rPr>
      </w:pPr>
      <w:bookmarkStart w:id="359" w:name="_Toc18278"/>
      <w:bookmarkStart w:id="360" w:name="_Toc19288"/>
      <w:r>
        <w:rPr>
          <w:b/>
          <w:bCs/>
          <w:color w:val="auto"/>
          <w:szCs w:val="21"/>
          <w:highlight w:val="none"/>
        </w:rPr>
        <w:t>2</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模块单元间外围护侧拼缝宜采用无机保温材料进行防火封堵</w:t>
      </w:r>
      <w:bookmarkEnd w:id="359"/>
      <w:bookmarkEnd w:id="360"/>
      <w:r>
        <w:rPr>
          <w:rFonts w:hint="eastAsia"/>
          <w:color w:val="auto"/>
          <w:szCs w:val="21"/>
          <w:highlight w:val="none"/>
          <w:lang w:eastAsia="zh-CN"/>
        </w:rPr>
        <w:t>。</w:t>
      </w:r>
    </w:p>
    <w:p w14:paraId="017E2F23">
      <w:pPr>
        <w:spacing w:line="360" w:lineRule="exact"/>
        <w:ind w:firstLine="422" w:firstLineChars="200"/>
        <w:rPr>
          <w:color w:val="auto"/>
          <w:szCs w:val="21"/>
          <w:highlight w:val="none"/>
        </w:rPr>
      </w:pPr>
      <w:bookmarkStart w:id="361" w:name="_Toc23987"/>
      <w:bookmarkStart w:id="362" w:name="_Toc22345"/>
      <w:r>
        <w:rPr>
          <w:b/>
          <w:bCs/>
          <w:color w:val="auto"/>
          <w:szCs w:val="21"/>
          <w:highlight w:val="none"/>
        </w:rPr>
        <w:t>3</w:t>
      </w:r>
      <w:r>
        <w:rPr>
          <w:rFonts w:hint="eastAsia"/>
          <w:color w:val="auto"/>
          <w:szCs w:val="21"/>
          <w:highlight w:val="none"/>
          <w:lang w:val="en-US" w:eastAsia="zh-CN"/>
        </w:rPr>
        <w:t xml:space="preserve"> </w:t>
      </w:r>
      <w:r>
        <w:rPr>
          <w:color w:val="auto"/>
          <w:szCs w:val="21"/>
          <w:highlight w:val="none"/>
        </w:rPr>
        <w:t xml:space="preserve"> 当模块内墙均单独满足建筑外围护的防火要求时，此类墙体间形成的封闭空腔靠外墙一侧的缝隙可不进行防火封堵。</w:t>
      </w:r>
      <w:bookmarkEnd w:id="361"/>
      <w:bookmarkEnd w:id="362"/>
    </w:p>
    <w:p w14:paraId="311B8813">
      <w:pPr>
        <w:spacing w:line="360" w:lineRule="exact"/>
        <w:rPr>
          <w:color w:val="auto"/>
          <w:szCs w:val="21"/>
          <w:highlight w:val="none"/>
        </w:rPr>
      </w:pPr>
      <w:r>
        <w:rPr>
          <w:b/>
          <w:bCs/>
          <w:color w:val="auto"/>
          <w:szCs w:val="21"/>
          <w:highlight w:val="none"/>
        </w:rPr>
        <w:t>5.</w:t>
      </w:r>
      <w:r>
        <w:rPr>
          <w:rFonts w:hint="eastAsia"/>
          <w:b/>
          <w:bCs/>
          <w:color w:val="auto"/>
          <w:szCs w:val="21"/>
          <w:highlight w:val="none"/>
        </w:rPr>
        <w:t>5</w:t>
      </w:r>
      <w:r>
        <w:rPr>
          <w:b/>
          <w:bCs/>
          <w:color w:val="auto"/>
          <w:szCs w:val="21"/>
          <w:highlight w:val="none"/>
        </w:rPr>
        <w:t>.9</w:t>
      </w:r>
      <w:r>
        <w:rPr>
          <w:b/>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模块单元中的门窗制品与门窗洞口之间的尺寸协调应符合下列规定：</w:t>
      </w:r>
    </w:p>
    <w:p w14:paraId="17850090">
      <w:pPr>
        <w:spacing w:line="360" w:lineRule="exact"/>
        <w:ind w:firstLine="422" w:firstLineChars="200"/>
        <w:rPr>
          <w:rFonts w:hint="eastAsia" w:eastAsia="宋体"/>
          <w:color w:val="auto"/>
          <w:szCs w:val="21"/>
          <w:highlight w:val="none"/>
          <w:lang w:eastAsia="zh-CN"/>
        </w:rPr>
      </w:pPr>
      <w:bookmarkStart w:id="363" w:name="_Toc18485"/>
      <w:bookmarkStart w:id="364" w:name="_Toc26215"/>
      <w:r>
        <w:rPr>
          <w:b/>
          <w:bCs/>
          <w:color w:val="auto"/>
          <w:szCs w:val="21"/>
          <w:highlight w:val="none"/>
        </w:rPr>
        <w:t>1</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门窗制品、门窗洞口制作尺寸及偏差应符合现行国家标准《建筑门窗洞口尺寸系列》GB/T 5824的有关规定</w:t>
      </w:r>
      <w:bookmarkEnd w:id="363"/>
      <w:bookmarkEnd w:id="364"/>
      <w:r>
        <w:rPr>
          <w:rFonts w:hint="eastAsia"/>
          <w:color w:val="auto"/>
          <w:szCs w:val="21"/>
          <w:highlight w:val="none"/>
          <w:lang w:eastAsia="zh-CN"/>
        </w:rPr>
        <w:t>。</w:t>
      </w:r>
    </w:p>
    <w:p w14:paraId="215F4163">
      <w:pPr>
        <w:spacing w:line="360" w:lineRule="exact"/>
        <w:ind w:firstLine="422" w:firstLineChars="200"/>
        <w:rPr>
          <w:color w:val="auto"/>
          <w:szCs w:val="21"/>
          <w:highlight w:val="none"/>
        </w:rPr>
      </w:pPr>
      <w:bookmarkStart w:id="365" w:name="_Toc26021"/>
      <w:bookmarkStart w:id="366" w:name="_Toc24614"/>
      <w:bookmarkStart w:id="367" w:name="_Toc12560"/>
      <w:bookmarkStart w:id="368" w:name="_Toc17610"/>
      <w:bookmarkStart w:id="369" w:name="_Toc13025"/>
      <w:r>
        <w:rPr>
          <w:b/>
          <w:bCs/>
          <w:color w:val="auto"/>
          <w:szCs w:val="21"/>
          <w:highlight w:val="none"/>
        </w:rPr>
        <w:t xml:space="preserve">2 </w:t>
      </w:r>
      <w:r>
        <w:rPr>
          <w:color w:val="auto"/>
          <w:szCs w:val="21"/>
          <w:highlight w:val="none"/>
        </w:rPr>
        <w:t xml:space="preserve"> 门窗制品宜采用预埋</w:t>
      </w:r>
      <w:r>
        <w:rPr>
          <w:rFonts w:hint="eastAsia"/>
          <w:color w:val="auto"/>
          <w:szCs w:val="21"/>
          <w:highlight w:val="none"/>
        </w:rPr>
        <w:t>窗框</w:t>
      </w:r>
      <w:r>
        <w:rPr>
          <w:color w:val="auto"/>
          <w:szCs w:val="21"/>
          <w:highlight w:val="none"/>
        </w:rPr>
        <w:t>式连接（图5.</w:t>
      </w:r>
      <w:r>
        <w:rPr>
          <w:rFonts w:hint="eastAsia"/>
          <w:color w:val="auto"/>
          <w:szCs w:val="21"/>
          <w:highlight w:val="none"/>
        </w:rPr>
        <w:t>5</w:t>
      </w:r>
      <w:r>
        <w:rPr>
          <w:color w:val="auto"/>
          <w:szCs w:val="21"/>
          <w:highlight w:val="none"/>
        </w:rPr>
        <w:t>.</w:t>
      </w:r>
      <w:r>
        <w:rPr>
          <w:rFonts w:hint="eastAsia"/>
          <w:color w:val="auto"/>
          <w:szCs w:val="21"/>
          <w:highlight w:val="none"/>
        </w:rPr>
        <w:t>9</w:t>
      </w:r>
      <w:r>
        <w:rPr>
          <w:color w:val="auto"/>
          <w:szCs w:val="21"/>
          <w:highlight w:val="none"/>
        </w:rPr>
        <w:t>）。</w:t>
      </w:r>
      <w:bookmarkEnd w:id="365"/>
      <w:bookmarkEnd w:id="366"/>
      <w:bookmarkEnd w:id="367"/>
      <w:bookmarkEnd w:id="368"/>
      <w:bookmarkEnd w:id="369"/>
    </w:p>
    <w:p w14:paraId="12D971F2">
      <w:pPr>
        <w:snapToGrid w:val="0"/>
        <w:jc w:val="center"/>
        <w:rPr>
          <w:color w:val="auto"/>
          <w:highlight w:val="none"/>
        </w:rPr>
      </w:pPr>
    </w:p>
    <w:p w14:paraId="6EE98D0E">
      <w:pPr>
        <w:snapToGrid w:val="0"/>
        <w:jc w:val="center"/>
        <w:rPr>
          <w:color w:val="auto"/>
          <w:highlight w:val="none"/>
        </w:rPr>
      </w:pPr>
    </w:p>
    <w:p w14:paraId="537D9B77">
      <w:pPr>
        <w:snapToGrid w:val="0"/>
        <w:jc w:val="center"/>
        <w:rPr>
          <w:color w:val="auto"/>
          <w:highlight w:val="none"/>
        </w:rPr>
      </w:pPr>
    </w:p>
    <w:p w14:paraId="3734274E">
      <w:pPr>
        <w:snapToGrid w:val="0"/>
        <w:jc w:val="center"/>
        <w:rPr>
          <w:rFonts w:eastAsia="黑体"/>
          <w:color w:val="auto"/>
          <w:highlight w:val="none"/>
        </w:rPr>
      </w:pPr>
      <w:r>
        <w:rPr>
          <w:color w:val="auto"/>
          <w:highlight w:val="none"/>
        </w:rPr>
        <w:drawing>
          <wp:inline distT="0" distB="0" distL="114300" distR="114300">
            <wp:extent cx="2844165" cy="890905"/>
            <wp:effectExtent l="0" t="0" r="13335" b="44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7"/>
                    <a:stretch>
                      <a:fillRect/>
                    </a:stretch>
                  </pic:blipFill>
                  <pic:spPr>
                    <a:xfrm>
                      <a:off x="0" y="0"/>
                      <a:ext cx="2844165" cy="890905"/>
                    </a:xfrm>
                    <a:prstGeom prst="rect">
                      <a:avLst/>
                    </a:prstGeom>
                    <a:noFill/>
                    <a:ln>
                      <a:noFill/>
                    </a:ln>
                  </pic:spPr>
                </pic:pic>
              </a:graphicData>
            </a:graphic>
          </wp:inline>
        </w:drawing>
      </w:r>
    </w:p>
    <w:p w14:paraId="0696261F">
      <w:pPr>
        <w:autoSpaceDE w:val="0"/>
        <w:autoSpaceDN w:val="0"/>
        <w:adjustRightInd w:val="0"/>
        <w:jc w:val="center"/>
        <w:rPr>
          <w:rFonts w:eastAsia="黑体"/>
          <w:color w:val="auto"/>
          <w:kern w:val="0"/>
          <w:sz w:val="18"/>
          <w:szCs w:val="21"/>
          <w:highlight w:val="none"/>
        </w:rPr>
      </w:pPr>
      <w:r>
        <w:rPr>
          <w:rFonts w:eastAsia="黑体"/>
          <w:color w:val="auto"/>
          <w:kern w:val="0"/>
          <w:sz w:val="18"/>
          <w:szCs w:val="21"/>
          <w:highlight w:val="none"/>
        </w:rPr>
        <w:t>图</w:t>
      </w:r>
      <w:r>
        <w:rPr>
          <w:rFonts w:eastAsia="黑体"/>
          <w:b/>
          <w:color w:val="auto"/>
          <w:kern w:val="0"/>
          <w:sz w:val="18"/>
          <w:szCs w:val="21"/>
          <w:highlight w:val="none"/>
        </w:rPr>
        <w:t>5.</w:t>
      </w:r>
      <w:r>
        <w:rPr>
          <w:rFonts w:hint="eastAsia" w:eastAsia="黑体"/>
          <w:b/>
          <w:color w:val="auto"/>
          <w:kern w:val="0"/>
          <w:sz w:val="18"/>
          <w:szCs w:val="21"/>
          <w:highlight w:val="none"/>
        </w:rPr>
        <w:t>5</w:t>
      </w:r>
      <w:r>
        <w:rPr>
          <w:rFonts w:eastAsia="黑体"/>
          <w:b/>
          <w:color w:val="auto"/>
          <w:kern w:val="0"/>
          <w:sz w:val="18"/>
          <w:szCs w:val="21"/>
          <w:highlight w:val="none"/>
        </w:rPr>
        <w:t>.</w:t>
      </w:r>
      <w:r>
        <w:rPr>
          <w:rFonts w:hint="eastAsia" w:eastAsia="黑体"/>
          <w:b/>
          <w:color w:val="auto"/>
          <w:kern w:val="0"/>
          <w:sz w:val="18"/>
          <w:szCs w:val="21"/>
          <w:highlight w:val="none"/>
        </w:rPr>
        <w:t>9</w:t>
      </w:r>
      <w:r>
        <w:rPr>
          <w:rFonts w:eastAsia="黑体"/>
          <w:b/>
          <w:color w:val="auto"/>
          <w:kern w:val="0"/>
          <w:sz w:val="18"/>
          <w:szCs w:val="21"/>
          <w:highlight w:val="none"/>
        </w:rPr>
        <w:t xml:space="preserve"> </w:t>
      </w:r>
      <w:r>
        <w:rPr>
          <w:rFonts w:eastAsia="黑体"/>
          <w:color w:val="auto"/>
          <w:kern w:val="0"/>
          <w:sz w:val="18"/>
          <w:szCs w:val="21"/>
          <w:highlight w:val="none"/>
        </w:rPr>
        <w:t xml:space="preserve"> 门窗制品</w:t>
      </w:r>
      <w:r>
        <w:rPr>
          <w:rFonts w:hint="eastAsia" w:eastAsia="黑体"/>
          <w:color w:val="auto"/>
          <w:kern w:val="0"/>
          <w:sz w:val="18"/>
          <w:szCs w:val="21"/>
          <w:highlight w:val="none"/>
        </w:rPr>
        <w:t>与</w:t>
      </w:r>
      <w:r>
        <w:rPr>
          <w:rFonts w:eastAsia="黑体"/>
          <w:color w:val="auto"/>
          <w:kern w:val="0"/>
          <w:sz w:val="18"/>
          <w:szCs w:val="21"/>
          <w:highlight w:val="none"/>
        </w:rPr>
        <w:t>主体结构连接示意</w:t>
      </w:r>
    </w:p>
    <w:p w14:paraId="41BE6ABE">
      <w:pPr>
        <w:autoSpaceDE w:val="0"/>
        <w:autoSpaceDN w:val="0"/>
        <w:adjustRightInd w:val="0"/>
        <w:jc w:val="center"/>
        <w:rPr>
          <w:rFonts w:eastAsia="黑体"/>
          <w:color w:val="auto"/>
          <w:kern w:val="0"/>
          <w:sz w:val="18"/>
          <w:szCs w:val="21"/>
          <w:highlight w:val="none"/>
        </w:rPr>
      </w:pPr>
      <w:r>
        <w:rPr>
          <w:rFonts w:eastAsia="黑体"/>
          <w:color w:val="auto"/>
          <w:kern w:val="0"/>
          <w:sz w:val="18"/>
          <w:szCs w:val="21"/>
          <w:highlight w:val="none"/>
        </w:rPr>
        <w:t>1—建筑主体；2—预埋件；3—门窗框</w:t>
      </w:r>
    </w:p>
    <w:p w14:paraId="602C21D8">
      <w:pPr>
        <w:spacing w:line="360" w:lineRule="exact"/>
        <w:rPr>
          <w:color w:val="auto"/>
          <w:szCs w:val="21"/>
          <w:highlight w:val="none"/>
        </w:rPr>
      </w:pPr>
      <w:r>
        <w:rPr>
          <w:b/>
          <w:bCs/>
          <w:color w:val="auto"/>
          <w:szCs w:val="21"/>
          <w:highlight w:val="none"/>
        </w:rPr>
        <w:t>5.</w:t>
      </w:r>
      <w:r>
        <w:rPr>
          <w:rFonts w:hint="eastAsia"/>
          <w:b/>
          <w:bCs/>
          <w:color w:val="auto"/>
          <w:szCs w:val="21"/>
          <w:highlight w:val="none"/>
        </w:rPr>
        <w:t>5</w:t>
      </w:r>
      <w:r>
        <w:rPr>
          <w:b/>
          <w:bCs/>
          <w:color w:val="auto"/>
          <w:szCs w:val="21"/>
          <w:highlight w:val="none"/>
        </w:rPr>
        <w:t xml:space="preserve">.10 </w:t>
      </w:r>
      <w:r>
        <w:rPr>
          <w:rFonts w:hint="eastAsia"/>
          <w:b/>
          <w:bCs/>
          <w:color w:val="auto"/>
          <w:szCs w:val="21"/>
          <w:highlight w:val="none"/>
          <w:lang w:val="en-US" w:eastAsia="zh-CN"/>
        </w:rPr>
        <w:t xml:space="preserve"> </w:t>
      </w:r>
      <w:r>
        <w:rPr>
          <w:color w:val="auto"/>
          <w:szCs w:val="21"/>
          <w:highlight w:val="none"/>
        </w:rPr>
        <w:t>模块单元间管线的衔接不应减弱墙体或楼板的耐火性能，当建筑塑料排水管穿越楼层、防火墙、管道井井壁时，应根据建筑物性质、管径、设置条件以及穿越部位的防火等级要求设置阻火装置。</w:t>
      </w:r>
    </w:p>
    <w:p w14:paraId="568F0E0B">
      <w:pPr>
        <w:spacing w:line="360" w:lineRule="exact"/>
        <w:rPr>
          <w:color w:val="auto"/>
          <w:szCs w:val="21"/>
          <w:highlight w:val="none"/>
        </w:rPr>
      </w:pPr>
      <w:bookmarkStart w:id="370" w:name="_Toc20947"/>
      <w:bookmarkStart w:id="371" w:name="_Toc14586"/>
      <w:bookmarkStart w:id="372" w:name="_Toc7414"/>
      <w:r>
        <w:rPr>
          <w:b/>
          <w:bCs/>
          <w:color w:val="auto"/>
          <w:szCs w:val="21"/>
          <w:highlight w:val="none"/>
        </w:rPr>
        <w:t>5.</w:t>
      </w:r>
      <w:r>
        <w:rPr>
          <w:rFonts w:hint="eastAsia"/>
          <w:b/>
          <w:bCs/>
          <w:color w:val="auto"/>
          <w:szCs w:val="21"/>
          <w:highlight w:val="none"/>
        </w:rPr>
        <w:t>5</w:t>
      </w:r>
      <w:r>
        <w:rPr>
          <w:b/>
          <w:bCs/>
          <w:color w:val="auto"/>
          <w:szCs w:val="21"/>
          <w:highlight w:val="none"/>
        </w:rPr>
        <w:t>.11</w:t>
      </w:r>
      <w:r>
        <w:rPr>
          <w:b/>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混凝土模块化建筑的内隔墙应符合下列规定：</w:t>
      </w:r>
      <w:bookmarkEnd w:id="370"/>
      <w:bookmarkEnd w:id="371"/>
      <w:bookmarkEnd w:id="372"/>
      <w:r>
        <w:rPr>
          <w:color w:val="auto"/>
          <w:szCs w:val="21"/>
          <w:highlight w:val="none"/>
        </w:rPr>
        <w:t xml:space="preserve"> </w:t>
      </w:r>
    </w:p>
    <w:p w14:paraId="2949C6AB">
      <w:pPr>
        <w:spacing w:line="360" w:lineRule="exact"/>
        <w:ind w:firstLine="422" w:firstLineChars="200"/>
        <w:rPr>
          <w:rFonts w:hint="eastAsia" w:eastAsia="宋体"/>
          <w:color w:val="auto"/>
          <w:szCs w:val="21"/>
          <w:highlight w:val="none"/>
          <w:lang w:eastAsia="zh-CN"/>
        </w:rPr>
      </w:pPr>
      <w:bookmarkStart w:id="373" w:name="_Toc9820"/>
      <w:bookmarkStart w:id="374" w:name="_Toc24458"/>
      <w:bookmarkStart w:id="375" w:name="_Toc10665"/>
      <w:bookmarkStart w:id="376" w:name="_Toc16516"/>
      <w:r>
        <w:rPr>
          <w:b/>
          <w:bCs/>
          <w:color w:val="auto"/>
          <w:szCs w:val="21"/>
          <w:highlight w:val="none"/>
        </w:rPr>
        <w:t>1</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内隔墙应有良好的隔声、防火、气密和保温性能</w:t>
      </w:r>
      <w:bookmarkEnd w:id="373"/>
      <w:bookmarkEnd w:id="374"/>
      <w:bookmarkEnd w:id="375"/>
      <w:bookmarkEnd w:id="376"/>
      <w:r>
        <w:rPr>
          <w:rFonts w:hint="eastAsia"/>
          <w:color w:val="auto"/>
          <w:szCs w:val="21"/>
          <w:highlight w:val="none"/>
          <w:lang w:eastAsia="zh-CN"/>
        </w:rPr>
        <w:t>；</w:t>
      </w:r>
    </w:p>
    <w:p w14:paraId="6EF1ECAD">
      <w:pPr>
        <w:spacing w:line="360" w:lineRule="exact"/>
        <w:ind w:firstLine="422" w:firstLineChars="200"/>
        <w:rPr>
          <w:rFonts w:hint="eastAsia" w:eastAsia="宋体"/>
          <w:color w:val="auto"/>
          <w:szCs w:val="21"/>
          <w:highlight w:val="none"/>
          <w:lang w:eastAsia="zh-CN"/>
        </w:rPr>
      </w:pPr>
      <w:bookmarkStart w:id="377" w:name="_Toc8552"/>
      <w:bookmarkStart w:id="378" w:name="_Toc18420"/>
      <w:bookmarkStart w:id="379" w:name="_Toc16764"/>
      <w:r>
        <w:rPr>
          <w:b/>
          <w:bCs/>
          <w:color w:val="auto"/>
          <w:szCs w:val="21"/>
          <w:highlight w:val="none"/>
        </w:rPr>
        <w:t>2</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内隔墙应满足吊挂要求，厨房、卫生间的隔墙应满足防水要求或有防水措施</w:t>
      </w:r>
      <w:bookmarkEnd w:id="377"/>
      <w:bookmarkEnd w:id="378"/>
      <w:bookmarkEnd w:id="379"/>
      <w:r>
        <w:rPr>
          <w:rFonts w:hint="eastAsia"/>
          <w:color w:val="auto"/>
          <w:szCs w:val="21"/>
          <w:highlight w:val="none"/>
          <w:lang w:eastAsia="zh-CN"/>
        </w:rPr>
        <w:t>；</w:t>
      </w:r>
    </w:p>
    <w:p w14:paraId="39E5CB36">
      <w:pPr>
        <w:spacing w:line="360" w:lineRule="exact"/>
        <w:ind w:firstLine="422" w:firstLineChars="200"/>
        <w:rPr>
          <w:rFonts w:hint="eastAsia" w:eastAsia="宋体"/>
          <w:color w:val="auto"/>
          <w:szCs w:val="21"/>
          <w:highlight w:val="none"/>
          <w:lang w:eastAsia="zh-CN"/>
        </w:rPr>
      </w:pPr>
      <w:bookmarkStart w:id="380" w:name="_Toc22711"/>
      <w:bookmarkStart w:id="381" w:name="_Toc12169"/>
      <w:bookmarkStart w:id="382" w:name="_Toc24568"/>
      <w:r>
        <w:rPr>
          <w:b/>
          <w:bCs/>
          <w:color w:val="auto"/>
          <w:szCs w:val="21"/>
          <w:highlight w:val="none"/>
        </w:rPr>
        <w:t>3</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当建筑隔墙为模块单元侧壁双层组合而成时，模块间</w:t>
      </w:r>
      <w:r>
        <w:rPr>
          <w:rFonts w:hint="eastAsia"/>
          <w:color w:val="auto"/>
          <w:szCs w:val="21"/>
          <w:highlight w:val="none"/>
        </w:rPr>
        <w:t>宜</w:t>
      </w:r>
      <w:r>
        <w:rPr>
          <w:color w:val="auto"/>
          <w:szCs w:val="21"/>
          <w:highlight w:val="none"/>
        </w:rPr>
        <w:t>做填充处理</w:t>
      </w:r>
      <w:bookmarkEnd w:id="380"/>
      <w:bookmarkEnd w:id="381"/>
      <w:bookmarkEnd w:id="382"/>
      <w:r>
        <w:rPr>
          <w:rFonts w:hint="eastAsia"/>
          <w:color w:val="auto"/>
          <w:szCs w:val="21"/>
          <w:highlight w:val="none"/>
          <w:lang w:eastAsia="zh-CN"/>
        </w:rPr>
        <w:t>；</w:t>
      </w:r>
    </w:p>
    <w:p w14:paraId="6EBF452C">
      <w:pPr>
        <w:spacing w:line="360" w:lineRule="exact"/>
        <w:ind w:firstLine="422" w:firstLineChars="200"/>
        <w:rPr>
          <w:color w:val="auto"/>
          <w:szCs w:val="21"/>
          <w:highlight w:val="none"/>
        </w:rPr>
      </w:pPr>
      <w:bookmarkStart w:id="383" w:name="_Toc21962"/>
      <w:bookmarkStart w:id="384" w:name="_Toc2313"/>
      <w:bookmarkStart w:id="385" w:name="_Toc3137"/>
      <w:bookmarkStart w:id="386" w:name="_Toc29916"/>
      <w:r>
        <w:rPr>
          <w:b/>
          <w:bCs/>
          <w:color w:val="auto"/>
          <w:szCs w:val="21"/>
          <w:highlight w:val="none"/>
        </w:rPr>
        <w:t xml:space="preserve">4 </w:t>
      </w:r>
      <w:r>
        <w:rPr>
          <w:rFonts w:hint="eastAsia"/>
          <w:color w:val="auto"/>
          <w:szCs w:val="21"/>
          <w:highlight w:val="none"/>
          <w:lang w:val="en-US" w:eastAsia="zh-CN"/>
        </w:rPr>
        <w:t xml:space="preserve"> </w:t>
      </w:r>
      <w:r>
        <w:rPr>
          <w:color w:val="auto"/>
          <w:szCs w:val="21"/>
          <w:highlight w:val="none"/>
        </w:rPr>
        <w:t>内隔墙两侧均需设置电器开关或插座时，两者应错位设置。</w:t>
      </w:r>
    </w:p>
    <w:bookmarkEnd w:id="383"/>
    <w:bookmarkEnd w:id="384"/>
    <w:bookmarkEnd w:id="385"/>
    <w:bookmarkEnd w:id="386"/>
    <w:p w14:paraId="42C88F10">
      <w:pPr>
        <w:widowControl/>
        <w:spacing w:line="360" w:lineRule="exact"/>
        <w:jc w:val="left"/>
        <w:rPr>
          <w:color w:val="auto"/>
          <w:highlight w:val="none"/>
        </w:rPr>
      </w:pPr>
      <w:r>
        <w:rPr>
          <w:color w:val="auto"/>
          <w:highlight w:val="none"/>
        </w:rPr>
        <w:br w:type="page"/>
      </w:r>
    </w:p>
    <w:p w14:paraId="6D8B1D17">
      <w:pPr>
        <w:pStyle w:val="2"/>
        <w:spacing w:before="166" w:beforeLines="50" w:after="166" w:afterLines="50" w:line="360" w:lineRule="auto"/>
        <w:jc w:val="center"/>
        <w:rPr>
          <w:rFonts w:eastAsia="黑体"/>
          <w:color w:val="auto"/>
          <w:sz w:val="28"/>
          <w:szCs w:val="28"/>
          <w:highlight w:val="none"/>
        </w:rPr>
      </w:pPr>
      <w:bookmarkStart w:id="387" w:name="_Toc28094"/>
      <w:bookmarkStart w:id="388" w:name="_Toc3767"/>
      <w:bookmarkStart w:id="389" w:name="_Toc26359"/>
      <w:bookmarkStart w:id="390" w:name="_Toc19338"/>
      <w:bookmarkStart w:id="391" w:name="_Toc23908"/>
      <w:bookmarkStart w:id="392" w:name="_Toc13472"/>
      <w:bookmarkStart w:id="393" w:name="_Toc12977"/>
      <w:bookmarkStart w:id="394" w:name="_Toc25957"/>
      <w:bookmarkStart w:id="395" w:name="_Toc17085"/>
      <w:r>
        <w:rPr>
          <w:rFonts w:eastAsia="黑体"/>
          <w:color w:val="auto"/>
          <w:sz w:val="28"/>
          <w:szCs w:val="28"/>
          <w:highlight w:val="none"/>
        </w:rPr>
        <w:t>6  结 构 设 计</w:t>
      </w:r>
      <w:bookmarkEnd w:id="387"/>
      <w:bookmarkEnd w:id="388"/>
      <w:bookmarkEnd w:id="389"/>
      <w:bookmarkEnd w:id="390"/>
      <w:bookmarkEnd w:id="391"/>
      <w:bookmarkEnd w:id="392"/>
      <w:bookmarkEnd w:id="393"/>
      <w:bookmarkEnd w:id="394"/>
      <w:bookmarkEnd w:id="395"/>
    </w:p>
    <w:p w14:paraId="01A113AA">
      <w:pPr>
        <w:pStyle w:val="3"/>
        <w:spacing w:before="166" w:beforeLines="50" w:after="166" w:afterLines="50" w:line="360" w:lineRule="auto"/>
        <w:jc w:val="center"/>
        <w:rPr>
          <w:rFonts w:ascii="Times New Roman" w:hAnsi="Times New Roman" w:eastAsia="黑体" w:cs="Times New Roman"/>
          <w:color w:val="auto"/>
          <w:sz w:val="24"/>
          <w:szCs w:val="24"/>
          <w:highlight w:val="none"/>
        </w:rPr>
      </w:pPr>
      <w:bookmarkStart w:id="396" w:name="_Toc3657"/>
      <w:bookmarkStart w:id="397" w:name="_Toc25435"/>
      <w:bookmarkStart w:id="398" w:name="_Toc15876"/>
      <w:bookmarkStart w:id="399" w:name="_Toc15502"/>
      <w:bookmarkStart w:id="400" w:name="_Toc695"/>
      <w:bookmarkStart w:id="401" w:name="_Toc32588"/>
      <w:bookmarkStart w:id="402" w:name="_Toc3890"/>
      <w:bookmarkStart w:id="403" w:name="_Toc11680"/>
      <w:bookmarkStart w:id="404" w:name="_Toc9854"/>
      <w:r>
        <w:rPr>
          <w:rFonts w:ascii="Times New Roman" w:hAnsi="Times New Roman" w:eastAsia="黑体" w:cs="Times New Roman"/>
          <w:b/>
          <w:color w:val="auto"/>
          <w:sz w:val="24"/>
          <w:szCs w:val="24"/>
          <w:highlight w:val="none"/>
        </w:rPr>
        <w:t xml:space="preserve">6.1 </w:t>
      </w:r>
      <w:r>
        <w:rPr>
          <w:rFonts w:ascii="Times New Roman" w:hAnsi="Times New Roman" w:eastAsia="黑体" w:cs="Times New Roman"/>
          <w:color w:val="auto"/>
          <w:sz w:val="24"/>
          <w:szCs w:val="24"/>
          <w:highlight w:val="none"/>
        </w:rPr>
        <w:t xml:space="preserve"> 一</w:t>
      </w:r>
      <w:r>
        <w:rPr>
          <w:rFonts w:hint="eastAsia" w:ascii="Times New Roman" w:hAnsi="Times New Roman" w:eastAsia="黑体" w:cs="Times New Roman"/>
          <w:color w:val="auto"/>
          <w:sz w:val="24"/>
          <w:szCs w:val="24"/>
          <w:highlight w:val="none"/>
          <w:lang w:val="en-US" w:eastAsia="zh-CN"/>
        </w:rPr>
        <w:t xml:space="preserve"> </w:t>
      </w:r>
      <w:r>
        <w:rPr>
          <w:rFonts w:ascii="Times New Roman" w:hAnsi="Times New Roman" w:eastAsia="黑体" w:cs="Times New Roman"/>
          <w:color w:val="auto"/>
          <w:sz w:val="24"/>
          <w:szCs w:val="24"/>
          <w:highlight w:val="none"/>
        </w:rPr>
        <w:t>般</w:t>
      </w:r>
      <w:r>
        <w:rPr>
          <w:rFonts w:hint="eastAsia" w:ascii="Times New Roman" w:hAnsi="Times New Roman" w:eastAsia="黑体" w:cs="Times New Roman"/>
          <w:color w:val="auto"/>
          <w:sz w:val="24"/>
          <w:szCs w:val="24"/>
          <w:highlight w:val="none"/>
          <w:lang w:val="en-US" w:eastAsia="zh-CN"/>
        </w:rPr>
        <w:t xml:space="preserve"> </w:t>
      </w:r>
      <w:r>
        <w:rPr>
          <w:rFonts w:ascii="Times New Roman" w:hAnsi="Times New Roman" w:eastAsia="黑体" w:cs="Times New Roman"/>
          <w:color w:val="auto"/>
          <w:sz w:val="24"/>
          <w:szCs w:val="24"/>
          <w:highlight w:val="none"/>
        </w:rPr>
        <w:t>规</w:t>
      </w:r>
      <w:r>
        <w:rPr>
          <w:rFonts w:hint="eastAsia" w:ascii="Times New Roman" w:hAnsi="Times New Roman" w:eastAsia="黑体" w:cs="Times New Roman"/>
          <w:color w:val="auto"/>
          <w:sz w:val="24"/>
          <w:szCs w:val="24"/>
          <w:highlight w:val="none"/>
          <w:lang w:val="en-US" w:eastAsia="zh-CN"/>
        </w:rPr>
        <w:t xml:space="preserve"> </w:t>
      </w:r>
      <w:r>
        <w:rPr>
          <w:rFonts w:ascii="Times New Roman" w:hAnsi="Times New Roman" w:eastAsia="黑体" w:cs="Times New Roman"/>
          <w:color w:val="auto"/>
          <w:sz w:val="24"/>
          <w:szCs w:val="24"/>
          <w:highlight w:val="none"/>
        </w:rPr>
        <w:t>定</w:t>
      </w:r>
      <w:bookmarkEnd w:id="396"/>
      <w:bookmarkEnd w:id="397"/>
      <w:bookmarkEnd w:id="398"/>
      <w:bookmarkEnd w:id="399"/>
      <w:bookmarkEnd w:id="400"/>
      <w:bookmarkEnd w:id="401"/>
      <w:bookmarkEnd w:id="402"/>
      <w:bookmarkEnd w:id="403"/>
      <w:bookmarkEnd w:id="404"/>
    </w:p>
    <w:p w14:paraId="582D45C6">
      <w:pPr>
        <w:widowControl/>
        <w:spacing w:line="360" w:lineRule="exact"/>
        <w:rPr>
          <w:color w:val="auto"/>
          <w:szCs w:val="21"/>
          <w:highlight w:val="none"/>
        </w:rPr>
      </w:pPr>
      <w:r>
        <w:rPr>
          <w:b/>
          <w:bCs/>
          <w:color w:val="auto"/>
          <w:szCs w:val="21"/>
          <w:highlight w:val="none"/>
        </w:rPr>
        <w:t>6.</w:t>
      </w:r>
      <w:r>
        <w:rPr>
          <w:rFonts w:hint="eastAsia"/>
          <w:b/>
          <w:bCs/>
          <w:color w:val="auto"/>
          <w:szCs w:val="21"/>
          <w:highlight w:val="none"/>
        </w:rPr>
        <w:t>1</w:t>
      </w:r>
      <w:r>
        <w:rPr>
          <w:b/>
          <w:bCs/>
          <w:color w:val="auto"/>
          <w:szCs w:val="21"/>
          <w:highlight w:val="none"/>
        </w:rPr>
        <w:t>.1</w:t>
      </w:r>
      <w:r>
        <w:rPr>
          <w:b/>
          <w:color w:val="auto"/>
          <w:szCs w:val="21"/>
          <w:highlight w:val="none"/>
        </w:rPr>
        <w:t xml:space="preserve"> </w:t>
      </w:r>
      <w:r>
        <w:rPr>
          <w:rFonts w:hint="eastAsia"/>
          <w:b/>
          <w:color w:val="auto"/>
          <w:szCs w:val="21"/>
          <w:highlight w:val="none"/>
          <w:lang w:val="en-US" w:eastAsia="zh-CN"/>
        </w:rPr>
        <w:t xml:space="preserve"> </w:t>
      </w:r>
      <w:r>
        <w:rPr>
          <w:color w:val="auto"/>
          <w:szCs w:val="21"/>
          <w:highlight w:val="none"/>
        </w:rPr>
        <w:t>本标准涉及的混凝土模块化结构可分为</w:t>
      </w:r>
      <w:r>
        <w:rPr>
          <w:rFonts w:hint="eastAsia"/>
          <w:color w:val="auto"/>
          <w:szCs w:val="21"/>
          <w:highlight w:val="none"/>
          <w:lang w:eastAsia="zh-CN"/>
        </w:rPr>
        <w:t>模块化全预制剪力墙结构</w:t>
      </w:r>
      <w:r>
        <w:rPr>
          <w:rFonts w:hint="eastAsia"/>
          <w:color w:val="auto"/>
          <w:szCs w:val="21"/>
          <w:highlight w:val="none"/>
          <w:lang w:val="en-US" w:eastAsia="zh-CN"/>
        </w:rPr>
        <w:t>、</w:t>
      </w:r>
      <w:r>
        <w:rPr>
          <w:rFonts w:hint="eastAsia"/>
          <w:color w:val="auto"/>
          <w:szCs w:val="21"/>
          <w:highlight w:val="none"/>
          <w:lang w:eastAsia="zh-CN"/>
        </w:rPr>
        <w:t>模块化叠合剪力墙结构</w:t>
      </w:r>
      <w:r>
        <w:rPr>
          <w:rFonts w:hint="eastAsia"/>
          <w:color w:val="auto"/>
          <w:szCs w:val="21"/>
          <w:highlight w:val="none"/>
          <w:lang w:val="en-US" w:eastAsia="zh-CN"/>
        </w:rPr>
        <w:t>、</w:t>
      </w:r>
      <w:r>
        <w:rPr>
          <w:rFonts w:hint="eastAsia"/>
          <w:color w:val="auto"/>
          <w:szCs w:val="21"/>
          <w:highlight w:val="none"/>
          <w:lang w:eastAsia="zh-CN"/>
        </w:rPr>
        <w:t>模块化</w:t>
      </w:r>
      <w:r>
        <w:rPr>
          <w:rFonts w:hint="eastAsia"/>
          <w:color w:val="auto"/>
          <w:szCs w:val="21"/>
          <w:highlight w:val="none"/>
          <w:lang w:val="en-US" w:eastAsia="zh-CN"/>
        </w:rPr>
        <w:t>现浇</w:t>
      </w:r>
      <w:r>
        <w:rPr>
          <w:rFonts w:hint="eastAsia"/>
          <w:color w:val="auto"/>
          <w:szCs w:val="21"/>
          <w:highlight w:val="none"/>
          <w:lang w:eastAsia="zh-CN"/>
        </w:rPr>
        <w:t>剪力墙结构、模块化框架结构和模块化框架-剪力墙结构</w:t>
      </w:r>
      <w:r>
        <w:rPr>
          <w:color w:val="auto"/>
          <w:szCs w:val="21"/>
          <w:highlight w:val="none"/>
        </w:rPr>
        <w:t>，对于本标准未做规定的模块结构体系和连接构造，应具备可靠理论</w:t>
      </w:r>
      <w:r>
        <w:rPr>
          <w:rFonts w:hint="eastAsia"/>
          <w:color w:val="auto"/>
          <w:szCs w:val="21"/>
          <w:highlight w:val="none"/>
        </w:rPr>
        <w:t>分析</w:t>
      </w:r>
      <w:r>
        <w:rPr>
          <w:color w:val="auto"/>
          <w:szCs w:val="21"/>
          <w:highlight w:val="none"/>
        </w:rPr>
        <w:t>和试验依据，并应做</w:t>
      </w:r>
      <w:r>
        <w:rPr>
          <w:rFonts w:hint="eastAsia"/>
          <w:color w:val="auto"/>
          <w:szCs w:val="21"/>
          <w:highlight w:val="none"/>
        </w:rPr>
        <w:t>专项</w:t>
      </w:r>
      <w:r>
        <w:rPr>
          <w:color w:val="auto"/>
          <w:szCs w:val="21"/>
          <w:highlight w:val="none"/>
        </w:rPr>
        <w:t>技术论证。</w:t>
      </w:r>
    </w:p>
    <w:p w14:paraId="1ACFDFB9">
      <w:pPr>
        <w:spacing w:line="360" w:lineRule="exact"/>
        <w:rPr>
          <w:color w:val="auto"/>
          <w:szCs w:val="21"/>
          <w:highlight w:val="none"/>
        </w:rPr>
      </w:pPr>
      <w:r>
        <w:rPr>
          <w:b/>
          <w:bCs/>
          <w:color w:val="auto"/>
          <w:szCs w:val="21"/>
          <w:highlight w:val="none"/>
        </w:rPr>
        <w:t>6.1.</w:t>
      </w:r>
      <w:r>
        <w:rPr>
          <w:rFonts w:hint="eastAsia"/>
          <w:b/>
          <w:bCs/>
          <w:color w:val="auto"/>
          <w:szCs w:val="21"/>
          <w:highlight w:val="none"/>
        </w:rPr>
        <w:t>2</w:t>
      </w:r>
      <w:r>
        <w:rPr>
          <w:b/>
          <w:color w:val="auto"/>
          <w:szCs w:val="21"/>
          <w:highlight w:val="none"/>
        </w:rPr>
        <w:t xml:space="preserve"> </w:t>
      </w:r>
      <w:r>
        <w:rPr>
          <w:color w:val="auto"/>
          <w:szCs w:val="21"/>
          <w:highlight w:val="none"/>
        </w:rPr>
        <w:t xml:space="preserve"> 乙类、丙类混凝土模块化建筑的最大适用高度应满足表6.1.</w:t>
      </w:r>
      <w:r>
        <w:rPr>
          <w:rFonts w:hint="eastAsia"/>
          <w:color w:val="auto"/>
          <w:szCs w:val="21"/>
          <w:highlight w:val="none"/>
        </w:rPr>
        <w:t>2</w:t>
      </w:r>
      <w:r>
        <w:rPr>
          <w:color w:val="auto"/>
          <w:szCs w:val="21"/>
          <w:highlight w:val="none"/>
        </w:rPr>
        <w:t>的要求</w:t>
      </w:r>
      <w:r>
        <w:rPr>
          <w:rFonts w:hint="eastAsia"/>
          <w:color w:val="auto"/>
          <w:szCs w:val="21"/>
          <w:highlight w:val="none"/>
        </w:rPr>
        <w:t>，</w:t>
      </w:r>
      <w:r>
        <w:rPr>
          <w:color w:val="auto"/>
          <w:szCs w:val="21"/>
          <w:highlight w:val="none"/>
        </w:rPr>
        <w:t>并应符合</w:t>
      </w:r>
      <w:r>
        <w:rPr>
          <w:rFonts w:hint="eastAsia"/>
          <w:color w:val="auto"/>
          <w:szCs w:val="21"/>
          <w:highlight w:val="none"/>
        </w:rPr>
        <w:t>下列</w:t>
      </w:r>
      <w:r>
        <w:rPr>
          <w:color w:val="auto"/>
          <w:szCs w:val="21"/>
          <w:highlight w:val="none"/>
        </w:rPr>
        <w:t>规定：</w:t>
      </w:r>
    </w:p>
    <w:p w14:paraId="7BDDC230">
      <w:pPr>
        <w:spacing w:line="360" w:lineRule="exact"/>
        <w:ind w:firstLine="422" w:firstLineChars="200"/>
        <w:rPr>
          <w:color w:val="auto"/>
          <w:szCs w:val="21"/>
          <w:highlight w:val="none"/>
        </w:rPr>
      </w:pPr>
      <w:bookmarkStart w:id="405" w:name="_Toc21327"/>
      <w:bookmarkStart w:id="406" w:name="_Toc9019"/>
      <w:r>
        <w:rPr>
          <w:b/>
          <w:bCs/>
          <w:color w:val="auto"/>
          <w:szCs w:val="21"/>
          <w:highlight w:val="none"/>
        </w:rPr>
        <w:t>1</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在规定水平力作用下，当模块化</w:t>
      </w:r>
      <w:r>
        <w:rPr>
          <w:rFonts w:hint="eastAsia"/>
          <w:color w:val="auto"/>
          <w:szCs w:val="21"/>
          <w:highlight w:val="none"/>
          <w:lang w:val="en-US" w:eastAsia="zh-CN"/>
        </w:rPr>
        <w:t>叠合剪力墙</w:t>
      </w:r>
      <w:r>
        <w:rPr>
          <w:color w:val="auto"/>
          <w:szCs w:val="21"/>
          <w:highlight w:val="none"/>
        </w:rPr>
        <w:t>结构</w:t>
      </w:r>
      <w:r>
        <w:rPr>
          <w:rFonts w:hint="eastAsia"/>
          <w:color w:val="auto"/>
          <w:szCs w:val="21"/>
          <w:highlight w:val="none"/>
        </w:rPr>
        <w:t>中</w:t>
      </w:r>
      <w:r>
        <w:rPr>
          <w:color w:val="auto"/>
          <w:szCs w:val="21"/>
          <w:highlight w:val="none"/>
        </w:rPr>
        <w:t>叠合剪力墙或预制</w:t>
      </w:r>
      <w:r>
        <w:rPr>
          <w:rFonts w:hint="eastAsia"/>
          <w:color w:val="auto"/>
          <w:szCs w:val="21"/>
          <w:highlight w:val="none"/>
        </w:rPr>
        <w:t>空心</w:t>
      </w:r>
      <w:r>
        <w:rPr>
          <w:color w:val="auto"/>
          <w:szCs w:val="21"/>
          <w:highlight w:val="none"/>
        </w:rPr>
        <w:t>剪力墙构件底部承担的总剪力大于该层总剪力的50%时，其最大适用高度应适当降低；当叠合剪力墙或预制</w:t>
      </w:r>
      <w:r>
        <w:rPr>
          <w:rFonts w:hint="eastAsia"/>
          <w:color w:val="auto"/>
          <w:szCs w:val="21"/>
          <w:highlight w:val="none"/>
        </w:rPr>
        <w:t>空心</w:t>
      </w:r>
      <w:r>
        <w:rPr>
          <w:color w:val="auto"/>
          <w:szCs w:val="21"/>
          <w:highlight w:val="none"/>
        </w:rPr>
        <w:t>剪力墙构件底部承担的总剪力大于该层总剪力的80%时，最大适用高度应取表6.1.</w:t>
      </w:r>
      <w:r>
        <w:rPr>
          <w:rFonts w:hint="eastAsia"/>
          <w:color w:val="auto"/>
          <w:szCs w:val="21"/>
          <w:highlight w:val="none"/>
        </w:rPr>
        <w:t>2</w:t>
      </w:r>
      <w:r>
        <w:rPr>
          <w:color w:val="auto"/>
          <w:szCs w:val="21"/>
          <w:highlight w:val="none"/>
        </w:rPr>
        <w:t>中括号内的数值。</w:t>
      </w:r>
      <w:bookmarkEnd w:id="405"/>
      <w:bookmarkEnd w:id="406"/>
      <w:r>
        <w:rPr>
          <w:color w:val="auto"/>
          <w:szCs w:val="21"/>
          <w:highlight w:val="none"/>
        </w:rPr>
        <w:t xml:space="preserve"> </w:t>
      </w:r>
    </w:p>
    <w:p w14:paraId="1FFE1A3E">
      <w:pPr>
        <w:spacing w:line="360" w:lineRule="exact"/>
        <w:ind w:firstLine="422" w:firstLineChars="200"/>
        <w:rPr>
          <w:color w:val="auto"/>
          <w:szCs w:val="21"/>
          <w:highlight w:val="none"/>
        </w:rPr>
      </w:pPr>
      <w:bookmarkStart w:id="407" w:name="_Toc32004"/>
      <w:bookmarkStart w:id="408" w:name="_Toc8396"/>
      <w:r>
        <w:rPr>
          <w:b/>
          <w:bCs/>
          <w:color w:val="auto"/>
          <w:szCs w:val="21"/>
          <w:highlight w:val="none"/>
        </w:rPr>
        <w:t>2</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当模块化结构房屋高度、规则性超过</w:t>
      </w:r>
      <w:r>
        <w:rPr>
          <w:rFonts w:hint="eastAsia"/>
          <w:color w:val="auto"/>
          <w:szCs w:val="21"/>
          <w:highlight w:val="none"/>
          <w:lang w:eastAsia="zh-CN"/>
        </w:rPr>
        <w:t>本标准</w:t>
      </w:r>
      <w:r>
        <w:rPr>
          <w:color w:val="auto"/>
          <w:szCs w:val="21"/>
          <w:highlight w:val="none"/>
        </w:rPr>
        <w:t>规定时，可按现行国家标准《建筑抗震设计</w:t>
      </w:r>
      <w:r>
        <w:rPr>
          <w:rFonts w:hint="eastAsia"/>
          <w:color w:val="auto"/>
          <w:szCs w:val="21"/>
          <w:highlight w:val="none"/>
          <w:lang w:val="en-US" w:eastAsia="zh-CN"/>
        </w:rPr>
        <w:t>标准</w:t>
      </w:r>
      <w:r>
        <w:rPr>
          <w:color w:val="auto"/>
          <w:szCs w:val="21"/>
          <w:highlight w:val="none"/>
        </w:rPr>
        <w:t>》GB</w:t>
      </w:r>
      <w:r>
        <w:rPr>
          <w:rFonts w:hint="eastAsia"/>
          <w:color w:val="auto"/>
          <w:szCs w:val="21"/>
          <w:highlight w:val="none"/>
          <w:lang w:val="en-US" w:eastAsia="zh-CN"/>
        </w:rPr>
        <w:t>/T</w:t>
      </w:r>
      <w:r>
        <w:rPr>
          <w:color w:val="auto"/>
          <w:szCs w:val="21"/>
          <w:highlight w:val="none"/>
        </w:rPr>
        <w:t xml:space="preserve"> 50011</w:t>
      </w:r>
      <w:r>
        <w:rPr>
          <w:rFonts w:hint="eastAsia"/>
          <w:color w:val="auto"/>
          <w:szCs w:val="21"/>
          <w:highlight w:val="none"/>
        </w:rPr>
        <w:t>和</w:t>
      </w:r>
      <w:r>
        <w:rPr>
          <w:rFonts w:hint="eastAsia"/>
          <w:color w:val="auto"/>
          <w:szCs w:val="21"/>
          <w:highlight w:val="none"/>
          <w:lang w:val="en-US" w:eastAsia="zh-CN"/>
        </w:rPr>
        <w:t>现行</w:t>
      </w:r>
      <w:r>
        <w:rPr>
          <w:color w:val="auto"/>
          <w:szCs w:val="21"/>
          <w:highlight w:val="none"/>
        </w:rPr>
        <w:t>行业标准《高层建筑混凝土结构技术规程》JGJ 3的有关规定进行结构抗震性能化设计，并采取有效的加强措施。</w:t>
      </w:r>
      <w:bookmarkEnd w:id="407"/>
      <w:bookmarkEnd w:id="408"/>
    </w:p>
    <w:p w14:paraId="6A106C69">
      <w:pPr>
        <w:spacing w:line="360" w:lineRule="exact"/>
        <w:ind w:firstLine="422" w:firstLineChars="200"/>
        <w:rPr>
          <w:color w:val="auto"/>
          <w:szCs w:val="21"/>
          <w:highlight w:val="none"/>
        </w:rPr>
      </w:pPr>
      <w:bookmarkStart w:id="409" w:name="_Toc27502"/>
      <w:bookmarkStart w:id="410" w:name="_Toc3931"/>
      <w:r>
        <w:rPr>
          <w:b/>
          <w:bCs/>
          <w:color w:val="auto"/>
          <w:szCs w:val="21"/>
          <w:highlight w:val="none"/>
        </w:rPr>
        <w:t>3</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超过表6.1.</w:t>
      </w:r>
      <w:r>
        <w:rPr>
          <w:rFonts w:hint="eastAsia"/>
          <w:color w:val="auto"/>
          <w:szCs w:val="21"/>
          <w:highlight w:val="none"/>
        </w:rPr>
        <w:t>2</w:t>
      </w:r>
      <w:r>
        <w:rPr>
          <w:color w:val="auto"/>
          <w:szCs w:val="21"/>
          <w:highlight w:val="none"/>
        </w:rPr>
        <w:t>规定的最大适用高度的房屋，应进行专门研究和论证</w:t>
      </w:r>
      <w:r>
        <w:rPr>
          <w:rFonts w:hint="eastAsia"/>
          <w:color w:val="auto"/>
          <w:szCs w:val="21"/>
          <w:highlight w:val="none"/>
          <w:lang w:val="en-US" w:eastAsia="zh-CN"/>
        </w:rPr>
        <w:t>后应用</w:t>
      </w:r>
      <w:r>
        <w:rPr>
          <w:color w:val="auto"/>
          <w:szCs w:val="21"/>
          <w:highlight w:val="none"/>
        </w:rPr>
        <w:t>。</w:t>
      </w:r>
      <w:bookmarkEnd w:id="409"/>
      <w:bookmarkEnd w:id="410"/>
    </w:p>
    <w:p w14:paraId="70F367B5">
      <w:pPr>
        <w:pStyle w:val="50"/>
        <w:spacing w:line="360" w:lineRule="exact"/>
        <w:rPr>
          <w:color w:val="auto"/>
          <w:highlight w:val="none"/>
        </w:rPr>
      </w:pPr>
      <w:bookmarkStart w:id="411" w:name="OLE_LINK42"/>
    </w:p>
    <w:p w14:paraId="26EF0CC3">
      <w:pPr>
        <w:pStyle w:val="50"/>
        <w:spacing w:line="360" w:lineRule="exact"/>
        <w:rPr>
          <w:color w:val="auto"/>
          <w:highlight w:val="none"/>
        </w:rPr>
      </w:pPr>
    </w:p>
    <w:p w14:paraId="5B3247A0">
      <w:pPr>
        <w:pStyle w:val="50"/>
        <w:spacing w:line="360" w:lineRule="exact"/>
        <w:rPr>
          <w:color w:val="auto"/>
          <w:highlight w:val="none"/>
        </w:rPr>
      </w:pPr>
    </w:p>
    <w:p w14:paraId="07499730">
      <w:pPr>
        <w:pStyle w:val="50"/>
        <w:spacing w:line="360" w:lineRule="exact"/>
        <w:rPr>
          <w:color w:val="auto"/>
          <w:highlight w:val="none"/>
        </w:rPr>
      </w:pPr>
      <w:r>
        <w:rPr>
          <w:color w:val="auto"/>
          <w:highlight w:val="none"/>
        </w:rPr>
        <w:t>表</w:t>
      </w:r>
      <w:r>
        <w:rPr>
          <w:b/>
          <w:color w:val="auto"/>
          <w:highlight w:val="none"/>
        </w:rPr>
        <w:t>6.1.</w:t>
      </w:r>
      <w:r>
        <w:rPr>
          <w:rFonts w:hint="eastAsia"/>
          <w:b/>
          <w:color w:val="auto"/>
          <w:highlight w:val="none"/>
        </w:rPr>
        <w:t>2</w:t>
      </w:r>
      <w:bookmarkEnd w:id="411"/>
      <w:r>
        <w:rPr>
          <w:b/>
          <w:color w:val="auto"/>
          <w:highlight w:val="none"/>
        </w:rPr>
        <w:t xml:space="preserve"> </w:t>
      </w:r>
      <w:r>
        <w:rPr>
          <w:color w:val="auto"/>
          <w:highlight w:val="none"/>
        </w:rPr>
        <w:t xml:space="preserve"> 模块化</w:t>
      </w:r>
      <w:r>
        <w:rPr>
          <w:rFonts w:hint="eastAsia"/>
          <w:color w:val="auto"/>
          <w:highlight w:val="none"/>
          <w:lang w:val="en-US" w:eastAsia="zh-CN"/>
        </w:rPr>
        <w:t>建筑</w:t>
      </w:r>
      <w:r>
        <w:rPr>
          <w:color w:val="auto"/>
          <w:highlight w:val="none"/>
        </w:rPr>
        <w:t>的最大适用高度（m）</w:t>
      </w:r>
    </w:p>
    <w:tbl>
      <w:tblPr>
        <w:tblStyle w:val="25"/>
        <w:tblpPr w:leftFromText="180" w:rightFromText="180" w:vertAnchor="text" w:horzAnchor="margin" w:tblpXSpec="center" w:tblpY="69"/>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71"/>
        <w:gridCol w:w="1829"/>
        <w:gridCol w:w="890"/>
        <w:gridCol w:w="1480"/>
        <w:gridCol w:w="959"/>
      </w:tblGrid>
      <w:tr w14:paraId="25CF45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284" w:type="pct"/>
            <w:gridSpan w:val="2"/>
            <w:vMerge w:val="restart"/>
            <w:vAlign w:val="center"/>
          </w:tcPr>
          <w:p w14:paraId="4A7724A3">
            <w:pPr>
              <w:pStyle w:val="49"/>
              <w:spacing w:line="360" w:lineRule="exact"/>
              <w:rPr>
                <w:rFonts w:hint="eastAsia" w:ascii="Times New Roman" w:hAnsi="Times New Roman" w:cs="Times New Roman"/>
                <w:color w:val="auto"/>
                <w:sz w:val="16"/>
                <w:szCs w:val="16"/>
                <w:highlight w:val="none"/>
              </w:rPr>
            </w:pPr>
            <w:r>
              <w:rPr>
                <w:rFonts w:hint="eastAsia" w:ascii="Times New Roman" w:hAnsi="Times New Roman" w:cs="Times New Roman"/>
                <w:color w:val="auto"/>
                <w:sz w:val="16"/>
                <w:szCs w:val="16"/>
                <w:highlight w:val="none"/>
              </w:rPr>
              <w:t>结构</w:t>
            </w:r>
            <w:r>
              <w:rPr>
                <w:rFonts w:hint="eastAsia"/>
                <w:color w:val="auto"/>
                <w:sz w:val="16"/>
                <w:szCs w:val="16"/>
                <w:highlight w:val="none"/>
              </w:rPr>
              <w:t>体系</w:t>
            </w:r>
          </w:p>
        </w:tc>
        <w:tc>
          <w:tcPr>
            <w:tcW w:w="2715" w:type="pct"/>
            <w:gridSpan w:val="3"/>
            <w:vAlign w:val="center"/>
          </w:tcPr>
          <w:p w14:paraId="7966FD27">
            <w:pPr>
              <w:pStyle w:val="49"/>
              <w:spacing w:line="360" w:lineRule="exact"/>
              <w:rPr>
                <w:rFonts w:hint="eastAsia" w:ascii="Times New Roman" w:hAnsi="Times New Roman" w:cs="Times New Roman"/>
                <w:color w:val="auto"/>
                <w:sz w:val="16"/>
                <w:szCs w:val="16"/>
                <w:highlight w:val="none"/>
              </w:rPr>
            </w:pPr>
            <w:r>
              <w:rPr>
                <w:rFonts w:hint="eastAsia" w:ascii="Times New Roman" w:hAnsi="Times New Roman" w:cs="Times New Roman"/>
                <w:color w:val="auto"/>
                <w:sz w:val="16"/>
                <w:szCs w:val="16"/>
                <w:highlight w:val="none"/>
              </w:rPr>
              <w:t>烈度</w:t>
            </w:r>
          </w:p>
        </w:tc>
      </w:tr>
      <w:tr w14:paraId="10181C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284" w:type="pct"/>
            <w:gridSpan w:val="2"/>
            <w:vMerge w:val="continue"/>
            <w:vAlign w:val="center"/>
          </w:tcPr>
          <w:p w14:paraId="2C150F84">
            <w:pPr>
              <w:pStyle w:val="49"/>
              <w:spacing w:line="360" w:lineRule="exact"/>
              <w:rPr>
                <w:rFonts w:hint="eastAsia" w:ascii="Times New Roman" w:hAnsi="Times New Roman" w:cs="Times New Roman"/>
                <w:color w:val="auto"/>
                <w:sz w:val="16"/>
                <w:szCs w:val="16"/>
                <w:highlight w:val="none"/>
              </w:rPr>
            </w:pPr>
          </w:p>
        </w:tc>
        <w:tc>
          <w:tcPr>
            <w:tcW w:w="726" w:type="pct"/>
            <w:vAlign w:val="center"/>
          </w:tcPr>
          <w:p w14:paraId="094B5951">
            <w:pPr>
              <w:pStyle w:val="49"/>
              <w:spacing w:line="360" w:lineRule="exact"/>
              <w:rPr>
                <w:rFonts w:hint="eastAsia" w:ascii="Times New Roman" w:hAnsi="Times New Roman" w:cs="Times New Roman"/>
                <w:color w:val="auto"/>
                <w:sz w:val="16"/>
                <w:szCs w:val="16"/>
                <w:highlight w:val="none"/>
              </w:rPr>
            </w:pPr>
            <w:r>
              <w:rPr>
                <w:rFonts w:hint="eastAsia" w:ascii="Times New Roman" w:hAnsi="Times New Roman" w:cs="Times New Roman"/>
                <w:color w:val="auto"/>
                <w:sz w:val="16"/>
                <w:szCs w:val="16"/>
                <w:highlight w:val="none"/>
              </w:rPr>
              <w:t>6</w:t>
            </w:r>
          </w:p>
        </w:tc>
        <w:tc>
          <w:tcPr>
            <w:tcW w:w="1207" w:type="pct"/>
            <w:vAlign w:val="center"/>
          </w:tcPr>
          <w:p w14:paraId="67A4B0F2">
            <w:pPr>
              <w:pStyle w:val="49"/>
              <w:spacing w:line="360" w:lineRule="exact"/>
              <w:rPr>
                <w:rFonts w:hint="eastAsia" w:ascii="Times New Roman" w:hAnsi="Times New Roman" w:cs="Times New Roman"/>
                <w:color w:val="auto"/>
                <w:sz w:val="16"/>
                <w:szCs w:val="16"/>
                <w:highlight w:val="none"/>
              </w:rPr>
            </w:pPr>
            <w:r>
              <w:rPr>
                <w:rFonts w:hint="eastAsia" w:ascii="Times New Roman" w:hAnsi="Times New Roman" w:cs="Times New Roman"/>
                <w:color w:val="auto"/>
                <w:sz w:val="16"/>
                <w:szCs w:val="16"/>
                <w:highlight w:val="none"/>
              </w:rPr>
              <w:t>7</w:t>
            </w:r>
          </w:p>
        </w:tc>
        <w:tc>
          <w:tcPr>
            <w:tcW w:w="782" w:type="pct"/>
            <w:vAlign w:val="center"/>
          </w:tcPr>
          <w:p w14:paraId="0ADF56AD">
            <w:pPr>
              <w:pStyle w:val="49"/>
              <w:spacing w:line="360" w:lineRule="exact"/>
              <w:rPr>
                <w:rFonts w:hint="eastAsia" w:ascii="Times New Roman" w:hAnsi="Times New Roman" w:cs="Times New Roman"/>
                <w:color w:val="auto"/>
                <w:sz w:val="16"/>
                <w:szCs w:val="16"/>
                <w:highlight w:val="none"/>
              </w:rPr>
            </w:pPr>
            <w:r>
              <w:rPr>
                <w:rFonts w:hint="eastAsia" w:ascii="Times New Roman" w:hAnsi="Times New Roman" w:cs="Times New Roman"/>
                <w:color w:val="auto"/>
                <w:sz w:val="16"/>
                <w:szCs w:val="16"/>
                <w:highlight w:val="none"/>
              </w:rPr>
              <w:t>8（0.2g）</w:t>
            </w:r>
          </w:p>
        </w:tc>
      </w:tr>
      <w:tr w14:paraId="431079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2284" w:type="pct"/>
            <w:gridSpan w:val="2"/>
            <w:vAlign w:val="center"/>
          </w:tcPr>
          <w:p w14:paraId="099B6B5A">
            <w:pPr>
              <w:pStyle w:val="49"/>
              <w:spacing w:line="360" w:lineRule="exact"/>
              <w:rPr>
                <w:rFonts w:hint="eastAsia" w:ascii="Times New Roman" w:hAnsi="Times New Roman" w:cs="Times New Roman"/>
                <w:color w:val="auto"/>
                <w:sz w:val="16"/>
                <w:szCs w:val="16"/>
                <w:highlight w:val="none"/>
              </w:rPr>
            </w:pPr>
            <w:r>
              <w:rPr>
                <w:rFonts w:hint="eastAsia" w:ascii="Times New Roman" w:hAnsi="Times New Roman" w:cs="Times New Roman"/>
                <w:color w:val="auto"/>
                <w:sz w:val="16"/>
                <w:szCs w:val="16"/>
                <w:highlight w:val="none"/>
              </w:rPr>
              <w:t>模块化</w:t>
            </w:r>
            <w:r>
              <w:rPr>
                <w:rFonts w:hint="eastAsia"/>
                <w:color w:val="auto"/>
                <w:sz w:val="16"/>
                <w:szCs w:val="16"/>
                <w:highlight w:val="none"/>
              </w:rPr>
              <w:t>全</w:t>
            </w:r>
            <w:r>
              <w:rPr>
                <w:rFonts w:hint="eastAsia" w:ascii="Times New Roman" w:hAnsi="Times New Roman" w:cs="Times New Roman"/>
                <w:color w:val="auto"/>
                <w:sz w:val="16"/>
                <w:szCs w:val="16"/>
                <w:highlight w:val="none"/>
              </w:rPr>
              <w:t>预制剪力墙结构</w:t>
            </w:r>
          </w:p>
        </w:tc>
        <w:tc>
          <w:tcPr>
            <w:tcW w:w="726" w:type="pct"/>
            <w:vAlign w:val="center"/>
          </w:tcPr>
          <w:p w14:paraId="73782BC9">
            <w:pPr>
              <w:pStyle w:val="49"/>
              <w:spacing w:line="360" w:lineRule="exact"/>
              <w:rPr>
                <w:rFonts w:hint="eastAsia" w:ascii="Times New Roman" w:hAnsi="Times New Roman" w:cs="Times New Roman"/>
                <w:color w:val="auto"/>
                <w:sz w:val="16"/>
                <w:szCs w:val="16"/>
                <w:highlight w:val="none"/>
              </w:rPr>
            </w:pPr>
            <w:r>
              <w:rPr>
                <w:rFonts w:hint="eastAsia" w:ascii="Times New Roman" w:hAnsi="Times New Roman" w:cs="Times New Roman"/>
                <w:color w:val="auto"/>
                <w:sz w:val="16"/>
                <w:szCs w:val="16"/>
                <w:highlight w:val="none"/>
              </w:rPr>
              <w:t>24，且≤6层</w:t>
            </w:r>
          </w:p>
        </w:tc>
        <w:tc>
          <w:tcPr>
            <w:tcW w:w="1207" w:type="pct"/>
            <w:vAlign w:val="center"/>
          </w:tcPr>
          <w:p w14:paraId="00269320">
            <w:pPr>
              <w:pStyle w:val="49"/>
              <w:spacing w:line="360" w:lineRule="exact"/>
              <w:rPr>
                <w:rFonts w:hint="eastAsia" w:ascii="Times New Roman" w:hAnsi="Times New Roman" w:cs="Times New Roman"/>
                <w:color w:val="auto"/>
                <w:sz w:val="16"/>
                <w:szCs w:val="16"/>
                <w:highlight w:val="none"/>
              </w:rPr>
            </w:pPr>
            <w:r>
              <w:rPr>
                <w:rFonts w:hint="eastAsia" w:ascii="Times New Roman" w:hAnsi="Times New Roman" w:cs="Times New Roman"/>
                <w:color w:val="auto"/>
                <w:sz w:val="16"/>
                <w:szCs w:val="16"/>
                <w:highlight w:val="none"/>
              </w:rPr>
              <w:t>24（20），且≤6（5）层</w:t>
            </w:r>
          </w:p>
        </w:tc>
        <w:tc>
          <w:tcPr>
            <w:tcW w:w="782" w:type="pct"/>
            <w:vAlign w:val="center"/>
          </w:tcPr>
          <w:p w14:paraId="4523B6BD">
            <w:pPr>
              <w:pStyle w:val="49"/>
              <w:spacing w:line="360" w:lineRule="exact"/>
              <w:rPr>
                <w:rFonts w:hint="eastAsia" w:ascii="Times New Roman" w:hAnsi="Times New Roman" w:cs="Times New Roman"/>
                <w:color w:val="auto"/>
                <w:sz w:val="16"/>
                <w:szCs w:val="16"/>
                <w:highlight w:val="none"/>
              </w:rPr>
            </w:pPr>
            <w:r>
              <w:rPr>
                <w:rFonts w:hint="eastAsia" w:ascii="Times New Roman" w:hAnsi="Times New Roman" w:cs="Times New Roman"/>
                <w:color w:val="auto"/>
                <w:sz w:val="16"/>
                <w:szCs w:val="16"/>
                <w:highlight w:val="none"/>
              </w:rPr>
              <w:t>12，且≤3层</w:t>
            </w:r>
          </w:p>
        </w:tc>
      </w:tr>
      <w:tr w14:paraId="5865A4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284" w:type="pct"/>
            <w:gridSpan w:val="2"/>
            <w:vAlign w:val="center"/>
          </w:tcPr>
          <w:p w14:paraId="6CA70257">
            <w:pPr>
              <w:pStyle w:val="49"/>
              <w:spacing w:line="360" w:lineRule="exact"/>
              <w:rPr>
                <w:rFonts w:hint="eastAsia" w:ascii="Times New Roman" w:hAnsi="Times New Roman" w:cs="Times New Roman"/>
                <w:color w:val="auto"/>
                <w:sz w:val="16"/>
                <w:szCs w:val="16"/>
                <w:highlight w:val="none"/>
              </w:rPr>
            </w:pPr>
            <w:r>
              <w:rPr>
                <w:rFonts w:hint="eastAsia" w:ascii="Times New Roman" w:hAnsi="Times New Roman" w:cs="Times New Roman"/>
                <w:color w:val="auto"/>
                <w:sz w:val="16"/>
                <w:szCs w:val="16"/>
                <w:highlight w:val="none"/>
              </w:rPr>
              <w:t>模块化</w:t>
            </w:r>
            <w:r>
              <w:rPr>
                <w:rFonts w:hint="eastAsia"/>
                <w:color w:val="auto"/>
                <w:sz w:val="16"/>
                <w:szCs w:val="16"/>
                <w:highlight w:val="none"/>
                <w:lang w:val="en-US" w:eastAsia="zh-CN"/>
              </w:rPr>
              <w:t>框架</w:t>
            </w:r>
            <w:r>
              <w:rPr>
                <w:rFonts w:hint="eastAsia" w:ascii="Times New Roman" w:hAnsi="Times New Roman" w:cs="Times New Roman"/>
                <w:color w:val="auto"/>
                <w:sz w:val="16"/>
                <w:szCs w:val="16"/>
                <w:highlight w:val="none"/>
              </w:rPr>
              <w:t>结构</w:t>
            </w:r>
          </w:p>
        </w:tc>
        <w:tc>
          <w:tcPr>
            <w:tcW w:w="726" w:type="pct"/>
            <w:vAlign w:val="center"/>
          </w:tcPr>
          <w:p w14:paraId="28FC131A">
            <w:pPr>
              <w:pStyle w:val="49"/>
              <w:spacing w:line="360" w:lineRule="exact"/>
              <w:rPr>
                <w:rFonts w:hint="default" w:ascii="Times New Roman" w:hAnsi="Times New Roman" w:eastAsia="宋体" w:cs="Times New Roman"/>
                <w:color w:val="auto"/>
                <w:sz w:val="16"/>
                <w:szCs w:val="16"/>
                <w:highlight w:val="none"/>
                <w:lang w:val="en-US" w:eastAsia="zh-CN"/>
              </w:rPr>
            </w:pPr>
            <w:r>
              <w:rPr>
                <w:rFonts w:hint="eastAsia" w:cs="Times New Roman"/>
                <w:color w:val="auto"/>
                <w:sz w:val="16"/>
                <w:szCs w:val="16"/>
                <w:highlight w:val="none"/>
                <w:lang w:val="en-US" w:eastAsia="zh-CN"/>
              </w:rPr>
              <w:t>60</w:t>
            </w:r>
          </w:p>
        </w:tc>
        <w:tc>
          <w:tcPr>
            <w:tcW w:w="1207" w:type="pct"/>
            <w:vAlign w:val="center"/>
          </w:tcPr>
          <w:p w14:paraId="43BD0886">
            <w:pPr>
              <w:pStyle w:val="49"/>
              <w:spacing w:line="360" w:lineRule="exact"/>
              <w:rPr>
                <w:rFonts w:hint="default" w:ascii="Times New Roman" w:hAnsi="Times New Roman" w:eastAsia="宋体" w:cs="Times New Roman"/>
                <w:color w:val="auto"/>
                <w:sz w:val="16"/>
                <w:szCs w:val="16"/>
                <w:highlight w:val="none"/>
                <w:lang w:val="en-US" w:eastAsia="zh-CN"/>
              </w:rPr>
            </w:pPr>
            <w:r>
              <w:rPr>
                <w:rFonts w:hint="eastAsia" w:cs="Times New Roman"/>
                <w:color w:val="auto"/>
                <w:sz w:val="16"/>
                <w:szCs w:val="16"/>
                <w:highlight w:val="none"/>
                <w:lang w:val="en-US" w:eastAsia="zh-CN"/>
              </w:rPr>
              <w:t>50</w:t>
            </w:r>
          </w:p>
        </w:tc>
        <w:tc>
          <w:tcPr>
            <w:tcW w:w="782" w:type="pct"/>
            <w:vAlign w:val="center"/>
          </w:tcPr>
          <w:p w14:paraId="05668E80">
            <w:pPr>
              <w:pStyle w:val="49"/>
              <w:spacing w:line="360" w:lineRule="exact"/>
              <w:rPr>
                <w:rFonts w:hint="default" w:ascii="Times New Roman" w:hAnsi="Times New Roman" w:eastAsia="宋体" w:cs="Times New Roman"/>
                <w:color w:val="auto"/>
                <w:sz w:val="16"/>
                <w:szCs w:val="16"/>
                <w:highlight w:val="none"/>
                <w:lang w:val="en-US" w:eastAsia="zh-CN"/>
              </w:rPr>
            </w:pPr>
            <w:r>
              <w:rPr>
                <w:rFonts w:hint="eastAsia" w:cs="Times New Roman"/>
                <w:color w:val="auto"/>
                <w:sz w:val="16"/>
                <w:szCs w:val="16"/>
                <w:highlight w:val="none"/>
                <w:lang w:val="en-US" w:eastAsia="zh-CN"/>
              </w:rPr>
              <w:t>40</w:t>
            </w:r>
          </w:p>
        </w:tc>
      </w:tr>
      <w:tr w14:paraId="7A67F3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284" w:type="pct"/>
            <w:gridSpan w:val="2"/>
            <w:vAlign w:val="center"/>
          </w:tcPr>
          <w:p w14:paraId="480420E4">
            <w:pPr>
              <w:pStyle w:val="49"/>
              <w:spacing w:line="360" w:lineRule="exact"/>
              <w:rPr>
                <w:rFonts w:hint="eastAsia" w:ascii="Times New Roman" w:hAnsi="Times New Roman" w:cs="Times New Roman"/>
                <w:color w:val="auto"/>
                <w:sz w:val="16"/>
                <w:szCs w:val="16"/>
                <w:highlight w:val="none"/>
              </w:rPr>
            </w:pPr>
            <w:r>
              <w:rPr>
                <w:rFonts w:hint="eastAsia" w:ascii="Times New Roman" w:hAnsi="Times New Roman" w:cs="Times New Roman"/>
                <w:color w:val="auto"/>
                <w:sz w:val="16"/>
                <w:szCs w:val="16"/>
                <w:highlight w:val="none"/>
              </w:rPr>
              <w:t>模块化</w:t>
            </w:r>
            <w:r>
              <w:rPr>
                <w:rFonts w:hint="eastAsia"/>
                <w:color w:val="auto"/>
                <w:sz w:val="16"/>
                <w:szCs w:val="16"/>
                <w:highlight w:val="none"/>
                <w:lang w:val="en-US" w:eastAsia="zh-CN"/>
              </w:rPr>
              <w:t>框架-剪力墙</w:t>
            </w:r>
            <w:r>
              <w:rPr>
                <w:rFonts w:hint="eastAsia" w:ascii="Times New Roman" w:hAnsi="Times New Roman" w:cs="Times New Roman"/>
                <w:color w:val="auto"/>
                <w:sz w:val="16"/>
                <w:szCs w:val="16"/>
                <w:highlight w:val="none"/>
              </w:rPr>
              <w:t>结构</w:t>
            </w:r>
          </w:p>
        </w:tc>
        <w:tc>
          <w:tcPr>
            <w:tcW w:w="726" w:type="pct"/>
            <w:vAlign w:val="center"/>
          </w:tcPr>
          <w:p w14:paraId="1DD5E697">
            <w:pPr>
              <w:pStyle w:val="49"/>
              <w:spacing w:line="360" w:lineRule="exact"/>
              <w:rPr>
                <w:rFonts w:hint="default" w:ascii="Times New Roman" w:hAnsi="Times New Roman" w:eastAsia="宋体" w:cs="Times New Roman"/>
                <w:color w:val="auto"/>
                <w:sz w:val="16"/>
                <w:szCs w:val="16"/>
                <w:highlight w:val="none"/>
                <w:lang w:val="en-US" w:eastAsia="zh-CN"/>
              </w:rPr>
            </w:pPr>
            <w:r>
              <w:rPr>
                <w:rFonts w:hint="eastAsia" w:cs="Times New Roman"/>
                <w:color w:val="auto"/>
                <w:sz w:val="16"/>
                <w:szCs w:val="16"/>
                <w:highlight w:val="none"/>
                <w:lang w:val="en-US" w:eastAsia="zh-CN"/>
              </w:rPr>
              <w:t>130</w:t>
            </w:r>
          </w:p>
        </w:tc>
        <w:tc>
          <w:tcPr>
            <w:tcW w:w="1207" w:type="pct"/>
            <w:vAlign w:val="center"/>
          </w:tcPr>
          <w:p w14:paraId="410F096C">
            <w:pPr>
              <w:pStyle w:val="49"/>
              <w:spacing w:line="360" w:lineRule="exact"/>
              <w:rPr>
                <w:rFonts w:hint="default" w:ascii="Times New Roman" w:hAnsi="Times New Roman" w:eastAsia="宋体" w:cs="Times New Roman"/>
                <w:color w:val="auto"/>
                <w:sz w:val="16"/>
                <w:szCs w:val="16"/>
                <w:highlight w:val="none"/>
                <w:lang w:val="en-US" w:eastAsia="zh-CN"/>
              </w:rPr>
            </w:pPr>
            <w:r>
              <w:rPr>
                <w:rFonts w:hint="eastAsia" w:cs="Times New Roman"/>
                <w:color w:val="auto"/>
                <w:sz w:val="16"/>
                <w:szCs w:val="16"/>
                <w:highlight w:val="none"/>
                <w:lang w:val="en-US" w:eastAsia="zh-CN"/>
              </w:rPr>
              <w:t>120</w:t>
            </w:r>
          </w:p>
        </w:tc>
        <w:tc>
          <w:tcPr>
            <w:tcW w:w="782" w:type="pct"/>
            <w:vAlign w:val="center"/>
          </w:tcPr>
          <w:p w14:paraId="38501F79">
            <w:pPr>
              <w:pStyle w:val="49"/>
              <w:spacing w:line="360" w:lineRule="exact"/>
              <w:rPr>
                <w:rFonts w:hint="default" w:ascii="Times New Roman" w:hAnsi="Times New Roman" w:eastAsia="宋体" w:cs="Times New Roman"/>
                <w:color w:val="auto"/>
                <w:sz w:val="16"/>
                <w:szCs w:val="16"/>
                <w:highlight w:val="none"/>
                <w:lang w:val="en-US" w:eastAsia="zh-CN"/>
              </w:rPr>
            </w:pPr>
            <w:r>
              <w:rPr>
                <w:rFonts w:hint="eastAsia" w:cs="Times New Roman"/>
                <w:color w:val="auto"/>
                <w:sz w:val="16"/>
                <w:szCs w:val="16"/>
                <w:highlight w:val="none"/>
                <w:lang w:val="en-US" w:eastAsia="zh-CN"/>
              </w:rPr>
              <w:t>100</w:t>
            </w:r>
          </w:p>
        </w:tc>
      </w:tr>
      <w:tr w14:paraId="3613D7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92" w:type="pct"/>
            <w:vMerge w:val="restart"/>
            <w:shd w:val="clear" w:color="auto" w:fill="auto"/>
            <w:vAlign w:val="center"/>
          </w:tcPr>
          <w:p w14:paraId="12628725">
            <w:pPr>
              <w:pStyle w:val="49"/>
              <w:spacing w:line="360" w:lineRule="exact"/>
              <w:rPr>
                <w:rFonts w:hint="eastAsia" w:ascii="Times New Roman" w:hAnsi="Times New Roman" w:cs="Times New Roman"/>
                <w:color w:val="auto"/>
                <w:sz w:val="16"/>
                <w:szCs w:val="16"/>
                <w:highlight w:val="none"/>
              </w:rPr>
            </w:pPr>
            <w:r>
              <w:rPr>
                <w:rFonts w:hint="eastAsia" w:ascii="Times New Roman" w:hAnsi="Times New Roman" w:cs="Times New Roman"/>
                <w:color w:val="auto"/>
                <w:sz w:val="16"/>
                <w:szCs w:val="16"/>
                <w:highlight w:val="none"/>
              </w:rPr>
              <w:t>模块化</w:t>
            </w:r>
            <w:r>
              <w:rPr>
                <w:rFonts w:hint="eastAsia" w:cs="Times New Roman"/>
                <w:color w:val="auto"/>
                <w:sz w:val="16"/>
                <w:szCs w:val="16"/>
                <w:highlight w:val="none"/>
                <w:lang w:val="en-US" w:eastAsia="zh-CN"/>
              </w:rPr>
              <w:t>现浇</w:t>
            </w:r>
            <w:r>
              <w:rPr>
                <w:rFonts w:hint="eastAsia" w:ascii="Times New Roman" w:hAnsi="Times New Roman" w:cs="Times New Roman"/>
                <w:color w:val="auto"/>
                <w:sz w:val="16"/>
                <w:szCs w:val="16"/>
                <w:highlight w:val="none"/>
              </w:rPr>
              <w:t>剪力墙结构</w:t>
            </w:r>
          </w:p>
        </w:tc>
        <w:tc>
          <w:tcPr>
            <w:tcW w:w="1492" w:type="pct"/>
            <w:shd w:val="clear" w:color="auto" w:fill="auto"/>
            <w:vAlign w:val="center"/>
          </w:tcPr>
          <w:p w14:paraId="3759D93D">
            <w:pPr>
              <w:pStyle w:val="49"/>
              <w:spacing w:line="360" w:lineRule="exact"/>
              <w:rPr>
                <w:rFonts w:hint="eastAsia" w:ascii="Times New Roman" w:hAnsi="Times New Roman" w:eastAsia="宋体" w:cs="Times New Roman"/>
                <w:color w:val="auto"/>
                <w:kern w:val="0"/>
                <w:sz w:val="16"/>
                <w:szCs w:val="16"/>
                <w:highlight w:val="none"/>
                <w:lang w:val="en-US" w:eastAsia="zh-CN" w:bidi="ar-SA"/>
              </w:rPr>
            </w:pPr>
            <w:r>
              <w:rPr>
                <w:rFonts w:hint="eastAsia" w:ascii="Times New Roman" w:hAnsi="Times New Roman" w:cs="Times New Roman"/>
                <w:color w:val="auto"/>
                <w:sz w:val="16"/>
                <w:szCs w:val="16"/>
                <w:highlight w:val="none"/>
              </w:rPr>
              <w:t>模块化</w:t>
            </w:r>
            <w:r>
              <w:rPr>
                <w:rFonts w:hint="eastAsia" w:cs="Times New Roman"/>
                <w:color w:val="auto"/>
                <w:sz w:val="16"/>
                <w:szCs w:val="16"/>
                <w:highlight w:val="none"/>
                <w:lang w:val="en-US" w:eastAsia="zh-CN"/>
              </w:rPr>
              <w:t>现浇</w:t>
            </w:r>
            <w:r>
              <w:rPr>
                <w:rFonts w:hint="eastAsia" w:ascii="Times New Roman" w:hAnsi="Times New Roman" w:cs="Times New Roman"/>
                <w:color w:val="auto"/>
                <w:sz w:val="16"/>
                <w:szCs w:val="16"/>
                <w:highlight w:val="none"/>
              </w:rPr>
              <w:t>剪力墙结构</w:t>
            </w:r>
          </w:p>
        </w:tc>
        <w:tc>
          <w:tcPr>
            <w:tcW w:w="726" w:type="pct"/>
            <w:shd w:val="clear" w:color="auto" w:fill="auto"/>
            <w:vAlign w:val="center"/>
          </w:tcPr>
          <w:p w14:paraId="3832CF4A">
            <w:pPr>
              <w:pStyle w:val="49"/>
              <w:spacing w:line="360" w:lineRule="exact"/>
              <w:rPr>
                <w:rFonts w:hint="eastAsia" w:ascii="Times New Roman" w:hAnsi="Times New Roman" w:eastAsia="宋体" w:cs="Times New Roman"/>
                <w:color w:val="auto"/>
                <w:kern w:val="0"/>
                <w:sz w:val="16"/>
                <w:szCs w:val="16"/>
                <w:highlight w:val="none"/>
                <w:lang w:val="en-US" w:eastAsia="zh-CN" w:bidi="ar-SA"/>
              </w:rPr>
            </w:pPr>
            <w:r>
              <w:rPr>
                <w:rFonts w:hint="eastAsia" w:cs="Times New Roman"/>
                <w:color w:val="auto"/>
                <w:sz w:val="16"/>
                <w:szCs w:val="16"/>
                <w:highlight w:val="none"/>
                <w:lang w:val="en-US" w:eastAsia="zh-CN"/>
              </w:rPr>
              <w:t>140</w:t>
            </w:r>
            <w:r>
              <w:rPr>
                <w:rFonts w:hint="eastAsia" w:ascii="Times New Roman" w:hAnsi="Times New Roman" w:cs="Times New Roman"/>
                <w:color w:val="auto"/>
                <w:sz w:val="16"/>
                <w:szCs w:val="16"/>
                <w:highlight w:val="none"/>
              </w:rPr>
              <w:t>（1</w:t>
            </w:r>
            <w:r>
              <w:rPr>
                <w:rFonts w:hint="eastAsia" w:cs="Times New Roman"/>
                <w:color w:val="auto"/>
                <w:sz w:val="16"/>
                <w:szCs w:val="16"/>
                <w:highlight w:val="none"/>
                <w:lang w:val="en-US" w:eastAsia="zh-CN"/>
              </w:rPr>
              <w:t>3</w:t>
            </w:r>
            <w:r>
              <w:rPr>
                <w:rFonts w:hint="eastAsia" w:ascii="Times New Roman" w:hAnsi="Times New Roman" w:cs="Times New Roman"/>
                <w:color w:val="auto"/>
                <w:sz w:val="16"/>
                <w:szCs w:val="16"/>
                <w:highlight w:val="none"/>
              </w:rPr>
              <w:t>0）</w:t>
            </w:r>
          </w:p>
        </w:tc>
        <w:tc>
          <w:tcPr>
            <w:tcW w:w="1207" w:type="pct"/>
            <w:shd w:val="clear" w:color="auto" w:fill="auto"/>
            <w:vAlign w:val="center"/>
          </w:tcPr>
          <w:p w14:paraId="1344365F">
            <w:pPr>
              <w:pStyle w:val="49"/>
              <w:spacing w:line="360" w:lineRule="exact"/>
              <w:rPr>
                <w:rFonts w:hint="eastAsia" w:ascii="Times New Roman" w:hAnsi="Times New Roman" w:eastAsia="宋体" w:cs="Times New Roman"/>
                <w:color w:val="auto"/>
                <w:kern w:val="0"/>
                <w:sz w:val="16"/>
                <w:szCs w:val="16"/>
                <w:highlight w:val="none"/>
                <w:lang w:val="en-US" w:eastAsia="zh-CN" w:bidi="ar-SA"/>
              </w:rPr>
            </w:pPr>
            <w:r>
              <w:rPr>
                <w:rFonts w:hint="eastAsia" w:cs="Times New Roman"/>
                <w:color w:val="auto"/>
                <w:sz w:val="16"/>
                <w:szCs w:val="16"/>
                <w:highlight w:val="none"/>
                <w:lang w:val="en-US" w:eastAsia="zh-CN"/>
              </w:rPr>
              <w:t>120</w:t>
            </w:r>
            <w:r>
              <w:rPr>
                <w:rFonts w:hint="eastAsia" w:ascii="Times New Roman" w:hAnsi="Times New Roman" w:cs="Times New Roman"/>
                <w:color w:val="auto"/>
                <w:sz w:val="16"/>
                <w:szCs w:val="16"/>
                <w:highlight w:val="none"/>
              </w:rPr>
              <w:t>（1</w:t>
            </w:r>
            <w:r>
              <w:rPr>
                <w:rFonts w:hint="eastAsia" w:cs="Times New Roman"/>
                <w:color w:val="auto"/>
                <w:sz w:val="16"/>
                <w:szCs w:val="16"/>
                <w:highlight w:val="none"/>
                <w:lang w:val="en-US" w:eastAsia="zh-CN"/>
              </w:rPr>
              <w:t>1</w:t>
            </w:r>
            <w:r>
              <w:rPr>
                <w:rFonts w:hint="eastAsia" w:ascii="Times New Roman" w:hAnsi="Times New Roman" w:cs="Times New Roman"/>
                <w:color w:val="auto"/>
                <w:sz w:val="16"/>
                <w:szCs w:val="16"/>
                <w:highlight w:val="none"/>
              </w:rPr>
              <w:t>0）</w:t>
            </w:r>
          </w:p>
        </w:tc>
        <w:tc>
          <w:tcPr>
            <w:tcW w:w="782" w:type="pct"/>
            <w:shd w:val="clear" w:color="auto" w:fill="auto"/>
            <w:vAlign w:val="center"/>
          </w:tcPr>
          <w:p w14:paraId="662AFEFF">
            <w:pPr>
              <w:pStyle w:val="49"/>
              <w:spacing w:line="360" w:lineRule="exact"/>
              <w:rPr>
                <w:rFonts w:hint="eastAsia" w:ascii="Times New Roman" w:hAnsi="Times New Roman" w:eastAsia="宋体" w:cs="Times New Roman"/>
                <w:color w:val="auto"/>
                <w:kern w:val="0"/>
                <w:sz w:val="16"/>
                <w:szCs w:val="16"/>
                <w:highlight w:val="none"/>
                <w:lang w:val="en-US" w:eastAsia="zh-CN" w:bidi="ar-SA"/>
              </w:rPr>
            </w:pPr>
            <w:r>
              <w:rPr>
                <w:rFonts w:hint="eastAsia"/>
                <w:color w:val="auto"/>
                <w:sz w:val="16"/>
                <w:szCs w:val="16"/>
                <w:highlight w:val="none"/>
                <w:lang w:val="en-US" w:eastAsia="zh-CN"/>
              </w:rPr>
              <w:t>10</w:t>
            </w:r>
            <w:r>
              <w:rPr>
                <w:rFonts w:hint="eastAsia" w:ascii="Times New Roman" w:hAnsi="Times New Roman" w:cs="Times New Roman"/>
                <w:color w:val="auto"/>
                <w:sz w:val="16"/>
                <w:szCs w:val="16"/>
                <w:highlight w:val="none"/>
              </w:rPr>
              <w:t>0（</w:t>
            </w:r>
            <w:r>
              <w:rPr>
                <w:rFonts w:hint="eastAsia"/>
                <w:color w:val="auto"/>
                <w:sz w:val="16"/>
                <w:szCs w:val="16"/>
                <w:highlight w:val="none"/>
                <w:lang w:val="en-US" w:eastAsia="zh-CN"/>
              </w:rPr>
              <w:t>9</w:t>
            </w:r>
            <w:r>
              <w:rPr>
                <w:rFonts w:hint="eastAsia" w:ascii="Times New Roman" w:hAnsi="Times New Roman" w:cs="Times New Roman"/>
                <w:color w:val="auto"/>
                <w:sz w:val="16"/>
                <w:szCs w:val="16"/>
                <w:highlight w:val="none"/>
              </w:rPr>
              <w:t>0）</w:t>
            </w:r>
          </w:p>
        </w:tc>
      </w:tr>
      <w:tr w14:paraId="49C9C7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92" w:type="pct"/>
            <w:vMerge w:val="continue"/>
            <w:vAlign w:val="center"/>
          </w:tcPr>
          <w:p w14:paraId="2EBEB7BF">
            <w:pPr>
              <w:pStyle w:val="49"/>
              <w:spacing w:line="360" w:lineRule="exact"/>
              <w:rPr>
                <w:rFonts w:hint="eastAsia" w:ascii="Times New Roman" w:hAnsi="Times New Roman" w:cs="Times New Roman"/>
                <w:color w:val="auto"/>
                <w:sz w:val="16"/>
                <w:szCs w:val="16"/>
                <w:highlight w:val="none"/>
              </w:rPr>
            </w:pPr>
          </w:p>
        </w:tc>
        <w:tc>
          <w:tcPr>
            <w:tcW w:w="1492" w:type="pct"/>
            <w:shd w:val="clear" w:color="auto" w:fill="auto"/>
            <w:vAlign w:val="center"/>
          </w:tcPr>
          <w:p w14:paraId="0988A518">
            <w:pPr>
              <w:pStyle w:val="49"/>
              <w:spacing w:line="360" w:lineRule="exact"/>
              <w:rPr>
                <w:rFonts w:hint="eastAsia" w:ascii="Times New Roman" w:hAnsi="Times New Roman" w:eastAsia="宋体" w:cs="Times New Roman"/>
                <w:color w:val="auto"/>
                <w:kern w:val="0"/>
                <w:sz w:val="16"/>
                <w:szCs w:val="16"/>
                <w:highlight w:val="none"/>
                <w:lang w:val="en-US" w:eastAsia="zh-CN" w:bidi="ar-SA"/>
              </w:rPr>
            </w:pPr>
            <w:r>
              <w:rPr>
                <w:rFonts w:hint="eastAsia" w:ascii="Times New Roman" w:hAnsi="Times New Roman" w:cs="Times New Roman"/>
                <w:color w:val="auto"/>
                <w:sz w:val="16"/>
                <w:szCs w:val="16"/>
                <w:highlight w:val="none"/>
              </w:rPr>
              <w:t>部分框支模块化</w:t>
            </w:r>
            <w:r>
              <w:rPr>
                <w:rFonts w:hint="eastAsia" w:cs="Times New Roman"/>
                <w:color w:val="auto"/>
                <w:sz w:val="16"/>
                <w:szCs w:val="16"/>
                <w:highlight w:val="none"/>
                <w:lang w:val="en-US" w:eastAsia="zh-CN"/>
              </w:rPr>
              <w:t>现浇</w:t>
            </w:r>
            <w:r>
              <w:rPr>
                <w:rFonts w:hint="eastAsia" w:ascii="Times New Roman" w:hAnsi="Times New Roman" w:cs="Times New Roman"/>
                <w:color w:val="auto"/>
                <w:sz w:val="16"/>
                <w:szCs w:val="16"/>
                <w:highlight w:val="none"/>
              </w:rPr>
              <w:t>剪力墙结构</w:t>
            </w:r>
          </w:p>
        </w:tc>
        <w:tc>
          <w:tcPr>
            <w:tcW w:w="726" w:type="pct"/>
            <w:shd w:val="clear" w:color="auto" w:fill="auto"/>
            <w:vAlign w:val="center"/>
          </w:tcPr>
          <w:p w14:paraId="0F1DD1CB">
            <w:pPr>
              <w:pStyle w:val="49"/>
              <w:spacing w:line="360" w:lineRule="exact"/>
              <w:rPr>
                <w:rFonts w:hint="eastAsia" w:ascii="Times New Roman" w:hAnsi="Times New Roman" w:eastAsia="宋体" w:cs="Times New Roman"/>
                <w:color w:val="auto"/>
                <w:kern w:val="0"/>
                <w:sz w:val="16"/>
                <w:szCs w:val="16"/>
                <w:highlight w:val="none"/>
                <w:lang w:val="en-US" w:eastAsia="zh-CN" w:bidi="ar-SA"/>
              </w:rPr>
            </w:pPr>
            <w:r>
              <w:rPr>
                <w:rFonts w:hint="eastAsia" w:ascii="Times New Roman" w:hAnsi="Times New Roman" w:cs="Times New Roman"/>
                <w:color w:val="auto"/>
                <w:sz w:val="16"/>
                <w:szCs w:val="16"/>
                <w:highlight w:val="none"/>
              </w:rPr>
              <w:t>1</w:t>
            </w:r>
            <w:r>
              <w:rPr>
                <w:rFonts w:hint="eastAsia" w:cs="Times New Roman"/>
                <w:color w:val="auto"/>
                <w:sz w:val="16"/>
                <w:szCs w:val="16"/>
                <w:highlight w:val="none"/>
                <w:lang w:val="en-US" w:eastAsia="zh-CN"/>
              </w:rPr>
              <w:t>2</w:t>
            </w:r>
            <w:r>
              <w:rPr>
                <w:rFonts w:hint="eastAsia" w:ascii="Times New Roman" w:hAnsi="Times New Roman" w:cs="Times New Roman"/>
                <w:color w:val="auto"/>
                <w:sz w:val="16"/>
                <w:szCs w:val="16"/>
                <w:highlight w:val="none"/>
              </w:rPr>
              <w:t>0（1</w:t>
            </w:r>
            <w:r>
              <w:rPr>
                <w:rFonts w:hint="eastAsia" w:cs="Times New Roman"/>
                <w:color w:val="auto"/>
                <w:sz w:val="16"/>
                <w:szCs w:val="16"/>
                <w:highlight w:val="none"/>
                <w:lang w:val="en-US" w:eastAsia="zh-CN"/>
              </w:rPr>
              <w:t>1</w:t>
            </w:r>
            <w:r>
              <w:rPr>
                <w:rFonts w:hint="eastAsia" w:ascii="Times New Roman" w:hAnsi="Times New Roman" w:cs="Times New Roman"/>
                <w:color w:val="auto"/>
                <w:sz w:val="16"/>
                <w:szCs w:val="16"/>
                <w:highlight w:val="none"/>
              </w:rPr>
              <w:t>0）</w:t>
            </w:r>
          </w:p>
        </w:tc>
        <w:tc>
          <w:tcPr>
            <w:tcW w:w="1207" w:type="pct"/>
            <w:shd w:val="clear" w:color="auto" w:fill="auto"/>
            <w:vAlign w:val="center"/>
          </w:tcPr>
          <w:p w14:paraId="56F87599">
            <w:pPr>
              <w:pStyle w:val="49"/>
              <w:spacing w:line="360" w:lineRule="exact"/>
              <w:rPr>
                <w:rFonts w:hint="eastAsia" w:ascii="Times New Roman" w:hAnsi="Times New Roman" w:eastAsia="宋体" w:cs="Times New Roman"/>
                <w:color w:val="auto"/>
                <w:kern w:val="0"/>
                <w:sz w:val="16"/>
                <w:szCs w:val="16"/>
                <w:highlight w:val="none"/>
                <w:lang w:val="en-US" w:eastAsia="zh-CN" w:bidi="ar-SA"/>
              </w:rPr>
            </w:pPr>
            <w:r>
              <w:rPr>
                <w:rFonts w:hint="eastAsia" w:cs="Times New Roman"/>
                <w:color w:val="auto"/>
                <w:sz w:val="16"/>
                <w:szCs w:val="16"/>
                <w:highlight w:val="none"/>
                <w:lang w:val="en-US" w:eastAsia="zh-CN"/>
              </w:rPr>
              <w:t>10</w:t>
            </w:r>
            <w:r>
              <w:rPr>
                <w:rFonts w:hint="eastAsia" w:ascii="Times New Roman" w:hAnsi="Times New Roman" w:cs="Times New Roman"/>
                <w:color w:val="auto"/>
                <w:sz w:val="16"/>
                <w:szCs w:val="16"/>
                <w:highlight w:val="none"/>
              </w:rPr>
              <w:t>0（</w:t>
            </w:r>
            <w:r>
              <w:rPr>
                <w:rFonts w:hint="eastAsia" w:cs="Times New Roman"/>
                <w:color w:val="auto"/>
                <w:sz w:val="16"/>
                <w:szCs w:val="16"/>
                <w:highlight w:val="none"/>
                <w:lang w:val="en-US" w:eastAsia="zh-CN"/>
              </w:rPr>
              <w:t>9</w:t>
            </w:r>
            <w:r>
              <w:rPr>
                <w:rFonts w:hint="eastAsia" w:ascii="Times New Roman" w:hAnsi="Times New Roman" w:cs="Times New Roman"/>
                <w:color w:val="auto"/>
                <w:sz w:val="16"/>
                <w:szCs w:val="16"/>
                <w:highlight w:val="none"/>
              </w:rPr>
              <w:t>0）</w:t>
            </w:r>
          </w:p>
        </w:tc>
        <w:tc>
          <w:tcPr>
            <w:tcW w:w="782" w:type="pct"/>
            <w:shd w:val="clear" w:color="auto" w:fill="auto"/>
            <w:vAlign w:val="center"/>
          </w:tcPr>
          <w:p w14:paraId="27A35E8F">
            <w:pPr>
              <w:pStyle w:val="49"/>
              <w:spacing w:line="360" w:lineRule="exact"/>
              <w:rPr>
                <w:rFonts w:hint="eastAsia" w:ascii="Times New Roman" w:hAnsi="Times New Roman" w:eastAsia="宋体" w:cs="Times New Roman"/>
                <w:color w:val="auto"/>
                <w:kern w:val="0"/>
                <w:sz w:val="16"/>
                <w:szCs w:val="16"/>
                <w:highlight w:val="none"/>
                <w:lang w:val="en-US" w:eastAsia="zh-CN" w:bidi="ar-SA"/>
              </w:rPr>
            </w:pPr>
            <w:r>
              <w:rPr>
                <w:rFonts w:hint="eastAsia" w:cs="Times New Roman"/>
                <w:color w:val="auto"/>
                <w:sz w:val="16"/>
                <w:szCs w:val="16"/>
                <w:highlight w:val="none"/>
                <w:lang w:val="en-US" w:eastAsia="zh-CN"/>
              </w:rPr>
              <w:t>8</w:t>
            </w:r>
            <w:r>
              <w:rPr>
                <w:rFonts w:hint="eastAsia" w:ascii="Times New Roman" w:hAnsi="Times New Roman" w:cs="Times New Roman"/>
                <w:color w:val="auto"/>
                <w:sz w:val="16"/>
                <w:szCs w:val="16"/>
                <w:highlight w:val="none"/>
              </w:rPr>
              <w:t>0（</w:t>
            </w:r>
            <w:r>
              <w:rPr>
                <w:rFonts w:hint="eastAsia" w:cs="Times New Roman"/>
                <w:color w:val="auto"/>
                <w:sz w:val="16"/>
                <w:szCs w:val="16"/>
                <w:highlight w:val="none"/>
                <w:lang w:val="en-US" w:eastAsia="zh-CN"/>
              </w:rPr>
              <w:t>7</w:t>
            </w:r>
            <w:r>
              <w:rPr>
                <w:rFonts w:hint="eastAsia" w:ascii="Times New Roman" w:hAnsi="Times New Roman" w:cs="Times New Roman"/>
                <w:color w:val="auto"/>
                <w:sz w:val="16"/>
                <w:szCs w:val="16"/>
                <w:highlight w:val="none"/>
              </w:rPr>
              <w:t>0）</w:t>
            </w:r>
          </w:p>
        </w:tc>
      </w:tr>
      <w:tr w14:paraId="5794E4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92" w:type="pct"/>
            <w:vMerge w:val="restart"/>
            <w:shd w:val="clear" w:color="auto" w:fill="auto"/>
            <w:vAlign w:val="center"/>
          </w:tcPr>
          <w:p w14:paraId="5D1BF55F">
            <w:pPr>
              <w:pStyle w:val="49"/>
              <w:spacing w:line="360" w:lineRule="exact"/>
              <w:rPr>
                <w:rFonts w:hint="eastAsia" w:ascii="Times New Roman" w:hAnsi="Times New Roman" w:eastAsia="宋体" w:cs="Times New Roman"/>
                <w:color w:val="auto"/>
                <w:kern w:val="0"/>
                <w:sz w:val="16"/>
                <w:szCs w:val="16"/>
                <w:highlight w:val="none"/>
                <w:lang w:val="en-US" w:eastAsia="zh-CN" w:bidi="ar-SA"/>
              </w:rPr>
            </w:pPr>
            <w:r>
              <w:rPr>
                <w:rFonts w:hint="eastAsia" w:ascii="Times New Roman" w:hAnsi="Times New Roman" w:cs="Times New Roman"/>
                <w:color w:val="auto"/>
                <w:sz w:val="16"/>
                <w:szCs w:val="16"/>
                <w:highlight w:val="none"/>
              </w:rPr>
              <w:t>模块化叠合剪力墙结构</w:t>
            </w:r>
          </w:p>
        </w:tc>
        <w:tc>
          <w:tcPr>
            <w:tcW w:w="1492" w:type="pct"/>
            <w:shd w:val="clear" w:color="auto" w:fill="auto"/>
            <w:vAlign w:val="center"/>
          </w:tcPr>
          <w:p w14:paraId="32E6455B">
            <w:pPr>
              <w:pStyle w:val="49"/>
              <w:spacing w:line="360" w:lineRule="exact"/>
              <w:rPr>
                <w:rFonts w:hint="eastAsia" w:ascii="Times New Roman" w:hAnsi="Times New Roman" w:eastAsia="宋体" w:cs="Times New Roman"/>
                <w:color w:val="auto"/>
                <w:kern w:val="0"/>
                <w:sz w:val="16"/>
                <w:szCs w:val="16"/>
                <w:highlight w:val="none"/>
                <w:lang w:val="en-US" w:eastAsia="zh-CN" w:bidi="ar-SA"/>
              </w:rPr>
            </w:pPr>
            <w:r>
              <w:rPr>
                <w:rFonts w:hint="eastAsia" w:ascii="Times New Roman" w:hAnsi="Times New Roman" w:cs="Times New Roman"/>
                <w:color w:val="auto"/>
                <w:sz w:val="16"/>
                <w:szCs w:val="16"/>
                <w:highlight w:val="none"/>
              </w:rPr>
              <w:t>模块化叠合剪力墙结构</w:t>
            </w:r>
          </w:p>
        </w:tc>
        <w:tc>
          <w:tcPr>
            <w:tcW w:w="726" w:type="pct"/>
            <w:shd w:val="clear" w:color="auto" w:fill="auto"/>
            <w:vAlign w:val="center"/>
          </w:tcPr>
          <w:p w14:paraId="050EA484">
            <w:pPr>
              <w:pStyle w:val="49"/>
              <w:spacing w:line="360" w:lineRule="exact"/>
              <w:rPr>
                <w:rFonts w:hint="eastAsia" w:ascii="Times New Roman" w:hAnsi="Times New Roman" w:eastAsia="宋体" w:cs="Times New Roman"/>
                <w:color w:val="auto"/>
                <w:kern w:val="0"/>
                <w:sz w:val="16"/>
                <w:szCs w:val="16"/>
                <w:highlight w:val="none"/>
                <w:lang w:val="en-US" w:eastAsia="zh-CN" w:bidi="ar-SA"/>
              </w:rPr>
            </w:pPr>
            <w:r>
              <w:rPr>
                <w:rFonts w:hint="eastAsia" w:ascii="Times New Roman" w:hAnsi="Times New Roman" w:cs="Times New Roman"/>
                <w:color w:val="auto"/>
                <w:sz w:val="16"/>
                <w:szCs w:val="16"/>
                <w:highlight w:val="none"/>
              </w:rPr>
              <w:t>130（120）</w:t>
            </w:r>
          </w:p>
        </w:tc>
        <w:tc>
          <w:tcPr>
            <w:tcW w:w="1207" w:type="pct"/>
            <w:shd w:val="clear" w:color="auto" w:fill="auto"/>
            <w:vAlign w:val="center"/>
          </w:tcPr>
          <w:p w14:paraId="113BEF71">
            <w:pPr>
              <w:pStyle w:val="49"/>
              <w:spacing w:line="360" w:lineRule="exact"/>
              <w:rPr>
                <w:rFonts w:hint="eastAsia" w:ascii="Times New Roman" w:hAnsi="Times New Roman" w:eastAsia="宋体" w:cs="Times New Roman"/>
                <w:color w:val="auto"/>
                <w:kern w:val="0"/>
                <w:sz w:val="16"/>
                <w:szCs w:val="16"/>
                <w:highlight w:val="none"/>
                <w:lang w:val="en-US" w:eastAsia="zh-CN" w:bidi="ar-SA"/>
              </w:rPr>
            </w:pPr>
            <w:r>
              <w:rPr>
                <w:rFonts w:hint="eastAsia" w:ascii="Times New Roman" w:hAnsi="Times New Roman" w:cs="Times New Roman"/>
                <w:color w:val="auto"/>
                <w:sz w:val="16"/>
                <w:szCs w:val="16"/>
                <w:highlight w:val="none"/>
              </w:rPr>
              <w:t>110（100）</w:t>
            </w:r>
          </w:p>
        </w:tc>
        <w:tc>
          <w:tcPr>
            <w:tcW w:w="782" w:type="pct"/>
            <w:shd w:val="clear" w:color="auto" w:fill="auto"/>
            <w:vAlign w:val="center"/>
          </w:tcPr>
          <w:p w14:paraId="5718E701">
            <w:pPr>
              <w:pStyle w:val="49"/>
              <w:spacing w:line="360" w:lineRule="exact"/>
              <w:rPr>
                <w:rFonts w:hint="eastAsia" w:ascii="Times New Roman" w:hAnsi="Times New Roman" w:eastAsia="宋体" w:cs="Times New Roman"/>
                <w:color w:val="auto"/>
                <w:kern w:val="0"/>
                <w:sz w:val="16"/>
                <w:szCs w:val="16"/>
                <w:highlight w:val="none"/>
                <w:lang w:val="en-US" w:eastAsia="zh-CN" w:bidi="ar-SA"/>
              </w:rPr>
            </w:pPr>
            <w:r>
              <w:rPr>
                <w:rFonts w:hint="eastAsia"/>
                <w:color w:val="auto"/>
                <w:sz w:val="16"/>
                <w:szCs w:val="16"/>
                <w:highlight w:val="none"/>
              </w:rPr>
              <w:t>9</w:t>
            </w:r>
            <w:r>
              <w:rPr>
                <w:rFonts w:hint="eastAsia" w:ascii="Times New Roman" w:hAnsi="Times New Roman" w:cs="Times New Roman"/>
                <w:color w:val="auto"/>
                <w:sz w:val="16"/>
                <w:szCs w:val="16"/>
                <w:highlight w:val="none"/>
              </w:rPr>
              <w:t>0（</w:t>
            </w:r>
            <w:r>
              <w:rPr>
                <w:rFonts w:hint="eastAsia"/>
                <w:color w:val="auto"/>
                <w:sz w:val="16"/>
                <w:szCs w:val="16"/>
                <w:highlight w:val="none"/>
              </w:rPr>
              <w:t>8</w:t>
            </w:r>
            <w:r>
              <w:rPr>
                <w:rFonts w:hint="eastAsia" w:ascii="Times New Roman" w:hAnsi="Times New Roman" w:cs="Times New Roman"/>
                <w:color w:val="auto"/>
                <w:sz w:val="16"/>
                <w:szCs w:val="16"/>
                <w:highlight w:val="none"/>
              </w:rPr>
              <w:t>0）</w:t>
            </w:r>
          </w:p>
        </w:tc>
      </w:tr>
      <w:tr w14:paraId="7AD8D7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92" w:type="pct"/>
            <w:vMerge w:val="continue"/>
            <w:vAlign w:val="center"/>
          </w:tcPr>
          <w:p w14:paraId="21F411BB">
            <w:pPr>
              <w:pStyle w:val="49"/>
              <w:spacing w:line="360" w:lineRule="exact"/>
              <w:rPr>
                <w:rFonts w:hint="eastAsia" w:ascii="Times New Roman" w:hAnsi="Times New Roman" w:cs="Times New Roman"/>
                <w:color w:val="auto"/>
                <w:sz w:val="16"/>
                <w:szCs w:val="16"/>
                <w:highlight w:val="none"/>
              </w:rPr>
            </w:pPr>
          </w:p>
        </w:tc>
        <w:tc>
          <w:tcPr>
            <w:tcW w:w="1492" w:type="pct"/>
            <w:shd w:val="clear" w:color="auto" w:fill="auto"/>
            <w:vAlign w:val="center"/>
          </w:tcPr>
          <w:p w14:paraId="30160DE2">
            <w:pPr>
              <w:pStyle w:val="49"/>
              <w:spacing w:line="360" w:lineRule="exact"/>
              <w:rPr>
                <w:rFonts w:hint="eastAsia" w:ascii="Times New Roman" w:hAnsi="Times New Roman" w:eastAsia="宋体" w:cs="Times New Roman"/>
                <w:color w:val="auto"/>
                <w:kern w:val="0"/>
                <w:sz w:val="16"/>
                <w:szCs w:val="16"/>
                <w:highlight w:val="none"/>
                <w:lang w:val="en-US" w:eastAsia="zh-CN" w:bidi="ar-SA"/>
              </w:rPr>
            </w:pPr>
            <w:r>
              <w:rPr>
                <w:rFonts w:hint="eastAsia" w:ascii="Times New Roman" w:hAnsi="Times New Roman" w:cs="Times New Roman"/>
                <w:color w:val="auto"/>
                <w:sz w:val="16"/>
                <w:szCs w:val="16"/>
                <w:highlight w:val="none"/>
              </w:rPr>
              <w:t>部分框支模块化叠合剪力墙结构</w:t>
            </w:r>
          </w:p>
        </w:tc>
        <w:tc>
          <w:tcPr>
            <w:tcW w:w="726" w:type="pct"/>
            <w:shd w:val="clear" w:color="auto" w:fill="auto"/>
            <w:vAlign w:val="center"/>
          </w:tcPr>
          <w:p w14:paraId="4E28C05A">
            <w:pPr>
              <w:pStyle w:val="49"/>
              <w:spacing w:line="360" w:lineRule="exact"/>
              <w:rPr>
                <w:rFonts w:hint="eastAsia" w:ascii="Times New Roman" w:hAnsi="Times New Roman" w:eastAsia="宋体" w:cs="Times New Roman"/>
                <w:color w:val="auto"/>
                <w:kern w:val="0"/>
                <w:sz w:val="16"/>
                <w:szCs w:val="16"/>
                <w:highlight w:val="none"/>
                <w:lang w:val="en-US" w:eastAsia="zh-CN" w:bidi="ar-SA"/>
              </w:rPr>
            </w:pPr>
            <w:r>
              <w:rPr>
                <w:rFonts w:hint="eastAsia" w:ascii="Times New Roman" w:hAnsi="Times New Roman" w:cs="Times New Roman"/>
                <w:color w:val="auto"/>
                <w:sz w:val="16"/>
                <w:szCs w:val="16"/>
                <w:highlight w:val="none"/>
              </w:rPr>
              <w:t>110（100）</w:t>
            </w:r>
          </w:p>
        </w:tc>
        <w:tc>
          <w:tcPr>
            <w:tcW w:w="1207" w:type="pct"/>
            <w:shd w:val="clear" w:color="auto" w:fill="auto"/>
            <w:vAlign w:val="center"/>
          </w:tcPr>
          <w:p w14:paraId="4F710CBE">
            <w:pPr>
              <w:pStyle w:val="49"/>
              <w:spacing w:line="360" w:lineRule="exact"/>
              <w:rPr>
                <w:rFonts w:hint="eastAsia" w:ascii="Times New Roman" w:hAnsi="Times New Roman" w:eastAsia="宋体" w:cs="Times New Roman"/>
                <w:color w:val="auto"/>
                <w:kern w:val="0"/>
                <w:sz w:val="16"/>
                <w:szCs w:val="16"/>
                <w:highlight w:val="none"/>
                <w:lang w:val="en-US" w:eastAsia="zh-CN" w:bidi="ar-SA"/>
              </w:rPr>
            </w:pPr>
            <w:r>
              <w:rPr>
                <w:rFonts w:hint="eastAsia" w:ascii="Times New Roman" w:hAnsi="Times New Roman" w:cs="Times New Roman"/>
                <w:color w:val="auto"/>
                <w:sz w:val="16"/>
                <w:szCs w:val="16"/>
                <w:highlight w:val="none"/>
              </w:rPr>
              <w:t>90（80）</w:t>
            </w:r>
          </w:p>
        </w:tc>
        <w:tc>
          <w:tcPr>
            <w:tcW w:w="782" w:type="pct"/>
            <w:shd w:val="clear" w:color="auto" w:fill="auto"/>
            <w:vAlign w:val="center"/>
          </w:tcPr>
          <w:p w14:paraId="10BFEC37">
            <w:pPr>
              <w:pStyle w:val="49"/>
              <w:spacing w:line="360" w:lineRule="exact"/>
              <w:rPr>
                <w:rFonts w:hint="eastAsia" w:ascii="Times New Roman" w:hAnsi="Times New Roman" w:eastAsia="宋体" w:cs="Times New Roman"/>
                <w:color w:val="auto"/>
                <w:kern w:val="0"/>
                <w:sz w:val="16"/>
                <w:szCs w:val="16"/>
                <w:highlight w:val="none"/>
                <w:lang w:val="en-US" w:eastAsia="zh-CN" w:bidi="ar-SA"/>
              </w:rPr>
            </w:pPr>
            <w:r>
              <w:rPr>
                <w:rFonts w:hint="eastAsia" w:ascii="Times New Roman" w:hAnsi="Times New Roman" w:cs="Times New Roman"/>
                <w:color w:val="auto"/>
                <w:sz w:val="16"/>
                <w:szCs w:val="16"/>
                <w:highlight w:val="none"/>
              </w:rPr>
              <w:t>60（50）</w:t>
            </w:r>
          </w:p>
        </w:tc>
      </w:tr>
    </w:tbl>
    <w:p w14:paraId="05D29A50">
      <w:pPr>
        <w:pStyle w:val="52"/>
        <w:spacing w:line="360" w:lineRule="exact"/>
        <w:ind w:firstLine="0" w:firstLineChars="0"/>
        <w:rPr>
          <w:color w:val="auto"/>
          <w:sz w:val="18"/>
          <w:szCs w:val="18"/>
          <w:highlight w:val="none"/>
        </w:rPr>
      </w:pPr>
      <w:r>
        <w:rPr>
          <w:color w:val="auto"/>
          <w:sz w:val="18"/>
          <w:szCs w:val="18"/>
          <w:highlight w:val="none"/>
        </w:rPr>
        <w:t>注：房屋高度指室外地面</w:t>
      </w:r>
      <w:r>
        <w:rPr>
          <w:rFonts w:hint="eastAsia"/>
          <w:color w:val="auto"/>
          <w:sz w:val="18"/>
          <w:szCs w:val="18"/>
          <w:highlight w:val="none"/>
        </w:rPr>
        <w:t>到</w:t>
      </w:r>
      <w:r>
        <w:rPr>
          <w:color w:val="auto"/>
          <w:sz w:val="18"/>
          <w:szCs w:val="18"/>
          <w:highlight w:val="none"/>
        </w:rPr>
        <w:t>主要屋面板板顶高度（不包括局部突出屋顶各部分）。</w:t>
      </w:r>
    </w:p>
    <w:p w14:paraId="6B91FB33">
      <w:pPr>
        <w:widowControl/>
        <w:spacing w:line="360" w:lineRule="exact"/>
        <w:rPr>
          <w:color w:val="auto"/>
          <w:kern w:val="0"/>
          <w:sz w:val="20"/>
          <w:szCs w:val="20"/>
          <w:highlight w:val="none"/>
          <w:lang w:bidi="ar"/>
        </w:rPr>
      </w:pPr>
      <w:r>
        <w:rPr>
          <w:b/>
          <w:bCs/>
          <w:color w:val="auto"/>
          <w:szCs w:val="21"/>
          <w:highlight w:val="none"/>
        </w:rPr>
        <w:t>6.1.</w:t>
      </w:r>
      <w:r>
        <w:rPr>
          <w:rFonts w:hint="eastAsia"/>
          <w:b/>
          <w:bCs/>
          <w:color w:val="auto"/>
          <w:szCs w:val="21"/>
          <w:highlight w:val="none"/>
        </w:rPr>
        <w:t>3</w:t>
      </w:r>
      <w:r>
        <w:rPr>
          <w:b/>
          <w:color w:val="auto"/>
          <w:szCs w:val="21"/>
          <w:highlight w:val="none"/>
        </w:rPr>
        <w:t xml:space="preserve"> </w:t>
      </w:r>
      <w:bookmarkStart w:id="412" w:name="OLE_LINK98"/>
      <w:r>
        <w:rPr>
          <w:rFonts w:hint="eastAsia"/>
          <w:color w:val="auto"/>
          <w:szCs w:val="21"/>
          <w:highlight w:val="none"/>
          <w:lang w:val="en-US" w:eastAsia="zh-CN"/>
        </w:rPr>
        <w:t xml:space="preserve"> </w:t>
      </w:r>
      <w:r>
        <w:rPr>
          <w:color w:val="auto"/>
          <w:szCs w:val="21"/>
          <w:highlight w:val="none"/>
        </w:rPr>
        <w:t>模块化全预制剪力墙结构</w:t>
      </w:r>
      <w:r>
        <w:rPr>
          <w:rFonts w:hint="eastAsia"/>
          <w:color w:val="auto"/>
          <w:szCs w:val="21"/>
          <w:highlight w:val="none"/>
          <w:lang w:val="en-US" w:eastAsia="zh-CN"/>
        </w:rPr>
        <w:t>和</w:t>
      </w:r>
      <w:r>
        <w:rPr>
          <w:color w:val="auto"/>
          <w:szCs w:val="21"/>
          <w:highlight w:val="none"/>
        </w:rPr>
        <w:t>模块化叠合剪力墙结构</w:t>
      </w:r>
      <w:bookmarkEnd w:id="412"/>
      <w:r>
        <w:rPr>
          <w:color w:val="auto"/>
          <w:szCs w:val="21"/>
          <w:highlight w:val="none"/>
        </w:rPr>
        <w:t>构件的抗震设计，应根据设防类别、烈度、结构类型和房屋高度采用不同的抗震等级，并</w:t>
      </w:r>
      <w:r>
        <w:rPr>
          <w:rFonts w:hint="eastAsia"/>
          <w:color w:val="auto"/>
          <w:szCs w:val="21"/>
          <w:highlight w:val="none"/>
        </w:rPr>
        <w:t>应</w:t>
      </w:r>
      <w:r>
        <w:rPr>
          <w:color w:val="auto"/>
          <w:szCs w:val="21"/>
          <w:highlight w:val="none"/>
        </w:rPr>
        <w:t>符合相应的计算和构造措施要求。丙类装配整体式结构的抗震等级应按表6.1.</w:t>
      </w:r>
      <w:r>
        <w:rPr>
          <w:rFonts w:hint="eastAsia"/>
          <w:color w:val="auto"/>
          <w:szCs w:val="21"/>
          <w:highlight w:val="none"/>
        </w:rPr>
        <w:t>3</w:t>
      </w:r>
      <w:r>
        <w:rPr>
          <w:color w:val="auto"/>
          <w:szCs w:val="21"/>
          <w:highlight w:val="none"/>
        </w:rPr>
        <w:t>确定。</w:t>
      </w:r>
      <w:r>
        <w:rPr>
          <w:color w:val="auto"/>
          <w:kern w:val="0"/>
          <w:sz w:val="20"/>
          <w:szCs w:val="20"/>
          <w:highlight w:val="none"/>
          <w:lang w:bidi="ar"/>
        </w:rPr>
        <w:t xml:space="preserve"> </w:t>
      </w:r>
    </w:p>
    <w:p w14:paraId="439A8587">
      <w:pPr>
        <w:pStyle w:val="50"/>
        <w:spacing w:line="360" w:lineRule="exact"/>
        <w:rPr>
          <w:color w:val="auto"/>
          <w:highlight w:val="none"/>
        </w:rPr>
      </w:pPr>
      <w:r>
        <w:rPr>
          <w:color w:val="auto"/>
          <w:highlight w:val="none"/>
        </w:rPr>
        <w:t>表</w:t>
      </w:r>
      <w:r>
        <w:rPr>
          <w:b/>
          <w:color w:val="auto"/>
          <w:highlight w:val="none"/>
        </w:rPr>
        <w:t>6.1.</w:t>
      </w:r>
      <w:r>
        <w:rPr>
          <w:rFonts w:hint="eastAsia"/>
          <w:b/>
          <w:color w:val="auto"/>
          <w:highlight w:val="none"/>
          <w:lang w:val="en-US" w:eastAsia="zh-CN"/>
        </w:rPr>
        <w:t>3</w:t>
      </w:r>
      <w:r>
        <w:rPr>
          <w:b/>
          <w:color w:val="auto"/>
          <w:highlight w:val="none"/>
        </w:rPr>
        <w:t xml:space="preserve">  </w:t>
      </w:r>
      <w:r>
        <w:rPr>
          <w:color w:val="auto"/>
          <w:highlight w:val="none"/>
        </w:rPr>
        <w:t>丙类模块化结构的抗震等级</w:t>
      </w:r>
    </w:p>
    <w:tbl>
      <w:tblPr>
        <w:tblStyle w:val="25"/>
        <w:tblW w:w="634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41"/>
        <w:gridCol w:w="1170"/>
        <w:gridCol w:w="1577"/>
        <w:gridCol w:w="1560"/>
      </w:tblGrid>
      <w:tr w14:paraId="29F5F0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041" w:type="dxa"/>
            <w:vMerge w:val="restart"/>
            <w:vAlign w:val="center"/>
          </w:tcPr>
          <w:p w14:paraId="3FF9C709">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结构</w:t>
            </w:r>
            <w:r>
              <w:rPr>
                <w:rFonts w:hint="eastAsia"/>
                <w:color w:val="auto"/>
                <w:sz w:val="16"/>
                <w:szCs w:val="22"/>
                <w:highlight w:val="none"/>
              </w:rPr>
              <w:t>体系</w:t>
            </w:r>
          </w:p>
        </w:tc>
        <w:tc>
          <w:tcPr>
            <w:tcW w:w="4307" w:type="dxa"/>
            <w:gridSpan w:val="3"/>
            <w:vAlign w:val="center"/>
          </w:tcPr>
          <w:p w14:paraId="10D0ACAB">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抗震设防烈度</w:t>
            </w:r>
          </w:p>
        </w:tc>
      </w:tr>
      <w:tr w14:paraId="2DD27D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041" w:type="dxa"/>
            <w:vMerge w:val="continue"/>
            <w:vAlign w:val="center"/>
          </w:tcPr>
          <w:p w14:paraId="38DB72FA">
            <w:pPr>
              <w:pStyle w:val="49"/>
              <w:rPr>
                <w:rFonts w:hint="eastAsia" w:ascii="Times New Roman" w:hAnsi="Times New Roman" w:cs="Times New Roman"/>
                <w:color w:val="auto"/>
                <w:sz w:val="16"/>
                <w:szCs w:val="22"/>
                <w:highlight w:val="none"/>
              </w:rPr>
            </w:pPr>
          </w:p>
        </w:tc>
        <w:tc>
          <w:tcPr>
            <w:tcW w:w="1170" w:type="dxa"/>
            <w:vAlign w:val="center"/>
          </w:tcPr>
          <w:p w14:paraId="1EC4B96E">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6度</w:t>
            </w:r>
          </w:p>
        </w:tc>
        <w:tc>
          <w:tcPr>
            <w:tcW w:w="1577" w:type="dxa"/>
            <w:vAlign w:val="center"/>
          </w:tcPr>
          <w:p w14:paraId="275CEA64">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7度</w:t>
            </w:r>
          </w:p>
        </w:tc>
        <w:tc>
          <w:tcPr>
            <w:tcW w:w="1560" w:type="dxa"/>
            <w:vAlign w:val="center"/>
          </w:tcPr>
          <w:p w14:paraId="2E602FD4">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8度</w:t>
            </w:r>
            <w:r>
              <w:rPr>
                <w:rFonts w:hint="eastAsia"/>
                <w:color w:val="auto"/>
                <w:sz w:val="16"/>
                <w:szCs w:val="22"/>
                <w:highlight w:val="none"/>
              </w:rPr>
              <w:t>（0.20g）</w:t>
            </w:r>
          </w:p>
        </w:tc>
      </w:tr>
      <w:tr w14:paraId="4893D0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041" w:type="dxa"/>
            <w:vAlign w:val="center"/>
          </w:tcPr>
          <w:p w14:paraId="3B8F2910">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模块化全预制剪力墙</w:t>
            </w:r>
            <w:r>
              <w:rPr>
                <w:rFonts w:hint="eastAsia" w:cs="Times New Roman"/>
                <w:color w:val="auto"/>
                <w:sz w:val="16"/>
                <w:szCs w:val="22"/>
                <w:highlight w:val="none"/>
                <w:lang w:val="en-US" w:eastAsia="zh-CN"/>
              </w:rPr>
              <w:t>结构</w:t>
            </w:r>
          </w:p>
        </w:tc>
        <w:tc>
          <w:tcPr>
            <w:tcW w:w="1170" w:type="dxa"/>
            <w:vAlign w:val="center"/>
          </w:tcPr>
          <w:p w14:paraId="79A470FA">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四</w:t>
            </w:r>
          </w:p>
        </w:tc>
        <w:tc>
          <w:tcPr>
            <w:tcW w:w="1577" w:type="dxa"/>
            <w:vAlign w:val="center"/>
          </w:tcPr>
          <w:p w14:paraId="2DDC0C39">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四</w:t>
            </w:r>
          </w:p>
        </w:tc>
        <w:tc>
          <w:tcPr>
            <w:tcW w:w="1560" w:type="dxa"/>
            <w:vAlign w:val="center"/>
          </w:tcPr>
          <w:p w14:paraId="0A0E9693">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三</w:t>
            </w:r>
          </w:p>
        </w:tc>
      </w:tr>
    </w:tbl>
    <w:p w14:paraId="63C65F97">
      <w:pPr>
        <w:pStyle w:val="52"/>
        <w:spacing w:line="360" w:lineRule="exact"/>
        <w:ind w:firstLine="0" w:firstLineChars="0"/>
        <w:jc w:val="center"/>
        <w:rPr>
          <w:rFonts w:hint="default" w:ascii="Times New Roman" w:hAnsi="Times New Roman" w:eastAsia="黑体" w:cs="Times New Roman"/>
          <w:color w:val="auto"/>
          <w:kern w:val="0"/>
          <w:sz w:val="18"/>
          <w:szCs w:val="21"/>
          <w:highlight w:val="none"/>
          <w:lang w:val="en-US" w:eastAsia="zh-CN"/>
        </w:rPr>
      </w:pPr>
      <w:r>
        <w:rPr>
          <w:rFonts w:hint="default" w:ascii="Times New Roman" w:hAnsi="Times New Roman" w:eastAsia="黑体" w:cs="Times New Roman"/>
          <w:color w:val="auto"/>
          <w:kern w:val="0"/>
          <w:sz w:val="18"/>
          <w:szCs w:val="21"/>
          <w:highlight w:val="none"/>
          <w:lang w:val="en-US" w:eastAsia="zh-CN"/>
        </w:rPr>
        <w:t>续表</w:t>
      </w:r>
      <w:r>
        <w:rPr>
          <w:rFonts w:hint="default" w:ascii="Times New Roman" w:hAnsi="Times New Roman" w:eastAsia="黑体" w:cs="Times New Roman"/>
          <w:b/>
          <w:bCs/>
          <w:color w:val="auto"/>
          <w:kern w:val="0"/>
          <w:sz w:val="18"/>
          <w:szCs w:val="21"/>
          <w:highlight w:val="none"/>
          <w:lang w:val="en-US" w:eastAsia="zh-CN"/>
        </w:rPr>
        <w:t>6.1.3</w:t>
      </w:r>
    </w:p>
    <w:tbl>
      <w:tblPr>
        <w:tblStyle w:val="25"/>
        <w:tblW w:w="634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8"/>
        <w:gridCol w:w="712"/>
        <w:gridCol w:w="781"/>
        <w:gridCol w:w="585"/>
        <w:gridCol w:w="585"/>
        <w:gridCol w:w="425"/>
        <w:gridCol w:w="435"/>
        <w:gridCol w:w="282"/>
        <w:gridCol w:w="435"/>
        <w:gridCol w:w="420"/>
        <w:gridCol w:w="303"/>
        <w:gridCol w:w="402"/>
        <w:gridCol w:w="435"/>
      </w:tblGrid>
      <w:tr w14:paraId="5EF8E6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041" w:type="dxa"/>
            <w:gridSpan w:val="3"/>
            <w:vMerge w:val="restart"/>
            <w:vAlign w:val="center"/>
          </w:tcPr>
          <w:p w14:paraId="0B926773">
            <w:pPr>
              <w:pStyle w:val="49"/>
              <w:rPr>
                <w:rFonts w:hint="eastAsia" w:ascii="Times New Roman" w:hAnsi="Times New Roman" w:cs="Times New Roman"/>
                <w:color w:val="auto"/>
                <w:sz w:val="16"/>
                <w:szCs w:val="16"/>
                <w:highlight w:val="none"/>
                <w:lang w:val="en-US" w:eastAsia="zh-CN"/>
              </w:rPr>
            </w:pPr>
            <w:r>
              <w:rPr>
                <w:rFonts w:hint="eastAsia" w:ascii="Times New Roman" w:hAnsi="Times New Roman" w:cs="Times New Roman"/>
                <w:color w:val="auto"/>
                <w:sz w:val="16"/>
                <w:szCs w:val="22"/>
                <w:highlight w:val="none"/>
              </w:rPr>
              <w:t>结构</w:t>
            </w:r>
            <w:r>
              <w:rPr>
                <w:rFonts w:hint="eastAsia"/>
                <w:color w:val="auto"/>
                <w:sz w:val="16"/>
                <w:szCs w:val="22"/>
                <w:highlight w:val="none"/>
              </w:rPr>
              <w:t>体系</w:t>
            </w:r>
          </w:p>
        </w:tc>
        <w:tc>
          <w:tcPr>
            <w:tcW w:w="4307" w:type="dxa"/>
            <w:gridSpan w:val="10"/>
            <w:vAlign w:val="center"/>
          </w:tcPr>
          <w:p w14:paraId="13371B25">
            <w:pPr>
              <w:pStyle w:val="49"/>
              <w:rPr>
                <w:rFonts w:hint="eastAsia" w:ascii="宋体" w:hAnsi="宋体" w:cs="宋体"/>
                <w:color w:val="auto"/>
                <w:sz w:val="16"/>
                <w:szCs w:val="22"/>
                <w:highlight w:val="none"/>
              </w:rPr>
            </w:pPr>
            <w:r>
              <w:rPr>
                <w:rFonts w:hint="eastAsia" w:ascii="Times New Roman" w:hAnsi="Times New Roman" w:cs="Times New Roman"/>
                <w:color w:val="auto"/>
                <w:sz w:val="16"/>
                <w:szCs w:val="22"/>
                <w:highlight w:val="none"/>
              </w:rPr>
              <w:t>抗震设防烈度</w:t>
            </w:r>
          </w:p>
        </w:tc>
      </w:tr>
      <w:tr w14:paraId="21090B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041" w:type="dxa"/>
            <w:gridSpan w:val="3"/>
            <w:vMerge w:val="continue"/>
            <w:vAlign w:val="center"/>
          </w:tcPr>
          <w:p w14:paraId="4B692DBE">
            <w:pPr>
              <w:pStyle w:val="49"/>
              <w:rPr>
                <w:rFonts w:hint="eastAsia" w:ascii="Times New Roman" w:hAnsi="Times New Roman" w:cs="Times New Roman"/>
                <w:color w:val="auto"/>
                <w:sz w:val="16"/>
                <w:szCs w:val="16"/>
                <w:highlight w:val="none"/>
                <w:lang w:val="en-US" w:eastAsia="zh-CN"/>
              </w:rPr>
            </w:pPr>
          </w:p>
        </w:tc>
        <w:tc>
          <w:tcPr>
            <w:tcW w:w="1170" w:type="dxa"/>
            <w:gridSpan w:val="2"/>
            <w:vAlign w:val="center"/>
          </w:tcPr>
          <w:p w14:paraId="5B0FDB3C">
            <w:pPr>
              <w:pStyle w:val="49"/>
              <w:rPr>
                <w:rFonts w:hint="eastAsia" w:ascii="宋体" w:hAnsi="宋体" w:cs="宋体"/>
                <w:color w:val="auto"/>
                <w:sz w:val="16"/>
                <w:szCs w:val="22"/>
                <w:highlight w:val="none"/>
              </w:rPr>
            </w:pPr>
            <w:r>
              <w:rPr>
                <w:rFonts w:hint="eastAsia" w:ascii="Times New Roman" w:hAnsi="Times New Roman" w:cs="Times New Roman"/>
                <w:color w:val="auto"/>
                <w:sz w:val="16"/>
                <w:szCs w:val="22"/>
                <w:highlight w:val="none"/>
              </w:rPr>
              <w:t>6度</w:t>
            </w:r>
          </w:p>
        </w:tc>
        <w:tc>
          <w:tcPr>
            <w:tcW w:w="1577" w:type="dxa"/>
            <w:gridSpan w:val="4"/>
            <w:vAlign w:val="center"/>
          </w:tcPr>
          <w:p w14:paraId="5C3064F8">
            <w:pPr>
              <w:pStyle w:val="49"/>
              <w:rPr>
                <w:rFonts w:hint="eastAsia" w:ascii="宋体" w:hAnsi="宋体" w:cs="宋体"/>
                <w:color w:val="auto"/>
                <w:sz w:val="16"/>
                <w:szCs w:val="22"/>
                <w:highlight w:val="none"/>
              </w:rPr>
            </w:pPr>
            <w:r>
              <w:rPr>
                <w:rFonts w:hint="eastAsia" w:ascii="Times New Roman" w:hAnsi="Times New Roman" w:cs="Times New Roman"/>
                <w:color w:val="auto"/>
                <w:sz w:val="16"/>
                <w:szCs w:val="22"/>
                <w:highlight w:val="none"/>
              </w:rPr>
              <w:t>7度</w:t>
            </w:r>
          </w:p>
        </w:tc>
        <w:tc>
          <w:tcPr>
            <w:tcW w:w="1560" w:type="dxa"/>
            <w:gridSpan w:val="4"/>
            <w:vAlign w:val="center"/>
          </w:tcPr>
          <w:p w14:paraId="5CDDA637">
            <w:pPr>
              <w:pStyle w:val="49"/>
              <w:rPr>
                <w:rFonts w:hint="eastAsia" w:ascii="宋体" w:hAnsi="宋体" w:cs="宋体"/>
                <w:color w:val="auto"/>
                <w:sz w:val="16"/>
                <w:szCs w:val="22"/>
                <w:highlight w:val="none"/>
              </w:rPr>
            </w:pPr>
            <w:r>
              <w:rPr>
                <w:rFonts w:hint="eastAsia" w:ascii="Times New Roman" w:hAnsi="Times New Roman" w:cs="Times New Roman"/>
                <w:color w:val="auto"/>
                <w:sz w:val="16"/>
                <w:szCs w:val="22"/>
                <w:highlight w:val="none"/>
              </w:rPr>
              <w:t>8度</w:t>
            </w:r>
            <w:r>
              <w:rPr>
                <w:rFonts w:hint="eastAsia"/>
                <w:color w:val="auto"/>
                <w:sz w:val="16"/>
                <w:szCs w:val="22"/>
                <w:highlight w:val="none"/>
              </w:rPr>
              <w:t>（0.20g）</w:t>
            </w:r>
          </w:p>
        </w:tc>
      </w:tr>
      <w:tr w14:paraId="410507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60" w:type="dxa"/>
            <w:gridSpan w:val="2"/>
            <w:vMerge w:val="restart"/>
            <w:vAlign w:val="center"/>
          </w:tcPr>
          <w:p w14:paraId="766F349E">
            <w:pPr>
              <w:pStyle w:val="49"/>
              <w:spacing w:line="360" w:lineRule="exact"/>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16"/>
                <w:highlight w:val="none"/>
              </w:rPr>
              <w:t>模块化</w:t>
            </w:r>
            <w:r>
              <w:rPr>
                <w:rFonts w:hint="eastAsia"/>
                <w:color w:val="auto"/>
                <w:sz w:val="16"/>
                <w:szCs w:val="16"/>
                <w:highlight w:val="none"/>
                <w:lang w:val="en-US" w:eastAsia="zh-CN"/>
              </w:rPr>
              <w:t>框架</w:t>
            </w:r>
            <w:r>
              <w:rPr>
                <w:rFonts w:hint="eastAsia" w:ascii="Times New Roman" w:hAnsi="Times New Roman" w:cs="Times New Roman"/>
                <w:color w:val="auto"/>
                <w:sz w:val="16"/>
                <w:szCs w:val="16"/>
                <w:highlight w:val="none"/>
              </w:rPr>
              <w:t>结构</w:t>
            </w:r>
          </w:p>
        </w:tc>
        <w:tc>
          <w:tcPr>
            <w:tcW w:w="781" w:type="dxa"/>
            <w:vAlign w:val="center"/>
          </w:tcPr>
          <w:p w14:paraId="55F402ED">
            <w:pPr>
              <w:pStyle w:val="49"/>
              <w:spacing w:line="360" w:lineRule="exact"/>
              <w:rPr>
                <w:rFonts w:hint="eastAsia" w:ascii="Times New Roman" w:hAnsi="Times New Roman" w:eastAsia="宋体" w:cs="Times New Roman"/>
                <w:color w:val="auto"/>
                <w:sz w:val="16"/>
                <w:szCs w:val="16"/>
                <w:highlight w:val="none"/>
                <w:lang w:val="en-US" w:eastAsia="zh-CN"/>
              </w:rPr>
            </w:pPr>
            <w:r>
              <w:rPr>
                <w:rFonts w:hint="eastAsia" w:ascii="Times New Roman" w:hAnsi="Times New Roman" w:cs="Times New Roman"/>
                <w:color w:val="auto"/>
                <w:sz w:val="16"/>
                <w:szCs w:val="16"/>
                <w:highlight w:val="none"/>
                <w:lang w:val="en-US" w:eastAsia="zh-CN"/>
              </w:rPr>
              <w:t>高度</w:t>
            </w:r>
            <w:r>
              <w:rPr>
                <w:rFonts w:hint="eastAsia" w:ascii="Times New Roman" w:hAnsi="Times New Roman" w:cs="Times New Roman"/>
                <w:color w:val="auto"/>
                <w:sz w:val="16"/>
                <w:szCs w:val="22"/>
                <w:highlight w:val="none"/>
              </w:rPr>
              <w:t>（m）</w:t>
            </w:r>
          </w:p>
        </w:tc>
        <w:tc>
          <w:tcPr>
            <w:tcW w:w="585" w:type="dxa"/>
            <w:vAlign w:val="center"/>
          </w:tcPr>
          <w:p w14:paraId="21454A83">
            <w:pPr>
              <w:pStyle w:val="49"/>
              <w:rPr>
                <w:rFonts w:hint="eastAsia" w:ascii="Times New Roman" w:hAnsi="Times New Roman" w:cs="Times New Roman"/>
                <w:color w:val="auto"/>
                <w:sz w:val="16"/>
                <w:szCs w:val="22"/>
                <w:highlight w:val="none"/>
              </w:rPr>
            </w:pPr>
            <w:r>
              <w:rPr>
                <w:rFonts w:hint="eastAsia" w:ascii="宋体" w:hAnsi="宋体" w:cs="宋体"/>
                <w:color w:val="auto"/>
                <w:sz w:val="16"/>
                <w:szCs w:val="22"/>
                <w:highlight w:val="none"/>
              </w:rPr>
              <w:t>≤24</w:t>
            </w:r>
          </w:p>
        </w:tc>
        <w:tc>
          <w:tcPr>
            <w:tcW w:w="585" w:type="dxa"/>
            <w:vAlign w:val="center"/>
          </w:tcPr>
          <w:p w14:paraId="7145FD7F">
            <w:pPr>
              <w:pStyle w:val="49"/>
              <w:rPr>
                <w:rFonts w:hint="default" w:ascii="Times New Roman" w:hAnsi="Times New Roman" w:eastAsia="宋体" w:cs="Times New Roman"/>
                <w:color w:val="auto"/>
                <w:sz w:val="16"/>
                <w:szCs w:val="22"/>
                <w:highlight w:val="none"/>
                <w:lang w:val="en-US" w:eastAsia="zh-CN"/>
              </w:rPr>
            </w:pPr>
            <w:r>
              <w:rPr>
                <w:rFonts w:hint="eastAsia" w:ascii="宋体" w:hAnsi="宋体" w:cs="宋体"/>
                <w:color w:val="auto"/>
                <w:sz w:val="16"/>
                <w:szCs w:val="22"/>
                <w:highlight w:val="none"/>
              </w:rPr>
              <w:t>＞</w:t>
            </w:r>
            <w:r>
              <w:rPr>
                <w:rFonts w:hint="eastAsia" w:ascii="宋体" w:hAnsi="宋体" w:cs="宋体"/>
                <w:color w:val="auto"/>
                <w:sz w:val="16"/>
                <w:szCs w:val="22"/>
                <w:highlight w:val="none"/>
                <w:lang w:val="en-US" w:eastAsia="zh-CN"/>
              </w:rPr>
              <w:t>24</w:t>
            </w:r>
          </w:p>
        </w:tc>
        <w:tc>
          <w:tcPr>
            <w:tcW w:w="860" w:type="dxa"/>
            <w:gridSpan w:val="2"/>
            <w:vAlign w:val="center"/>
          </w:tcPr>
          <w:p w14:paraId="6BDD7C42">
            <w:pPr>
              <w:pStyle w:val="49"/>
              <w:rPr>
                <w:rFonts w:hint="eastAsia" w:ascii="Times New Roman" w:hAnsi="Times New Roman" w:cs="Times New Roman"/>
                <w:color w:val="auto"/>
                <w:sz w:val="16"/>
                <w:szCs w:val="22"/>
                <w:highlight w:val="none"/>
              </w:rPr>
            </w:pPr>
            <w:r>
              <w:rPr>
                <w:rFonts w:hint="eastAsia" w:ascii="宋体" w:hAnsi="宋体" w:cs="宋体"/>
                <w:color w:val="auto"/>
                <w:sz w:val="16"/>
                <w:szCs w:val="22"/>
                <w:highlight w:val="none"/>
              </w:rPr>
              <w:t>≤24</w:t>
            </w:r>
          </w:p>
        </w:tc>
        <w:tc>
          <w:tcPr>
            <w:tcW w:w="717" w:type="dxa"/>
            <w:gridSpan w:val="2"/>
            <w:vAlign w:val="center"/>
          </w:tcPr>
          <w:p w14:paraId="60B292B4">
            <w:pPr>
              <w:pStyle w:val="49"/>
              <w:rPr>
                <w:rFonts w:hint="eastAsia" w:ascii="Times New Roman" w:hAnsi="Times New Roman" w:cs="Times New Roman"/>
                <w:color w:val="auto"/>
                <w:sz w:val="16"/>
                <w:szCs w:val="22"/>
                <w:highlight w:val="none"/>
              </w:rPr>
            </w:pPr>
            <w:r>
              <w:rPr>
                <w:rFonts w:hint="eastAsia" w:ascii="宋体" w:hAnsi="宋体" w:cs="宋体"/>
                <w:color w:val="auto"/>
                <w:sz w:val="16"/>
                <w:szCs w:val="22"/>
                <w:highlight w:val="none"/>
              </w:rPr>
              <w:t>＞</w:t>
            </w:r>
            <w:r>
              <w:rPr>
                <w:rFonts w:hint="eastAsia" w:ascii="宋体" w:hAnsi="宋体" w:cs="宋体"/>
                <w:color w:val="auto"/>
                <w:sz w:val="16"/>
                <w:szCs w:val="22"/>
                <w:highlight w:val="none"/>
                <w:lang w:val="en-US" w:eastAsia="zh-CN"/>
              </w:rPr>
              <w:t>24</w:t>
            </w:r>
          </w:p>
        </w:tc>
        <w:tc>
          <w:tcPr>
            <w:tcW w:w="723" w:type="dxa"/>
            <w:gridSpan w:val="2"/>
            <w:vAlign w:val="center"/>
          </w:tcPr>
          <w:p w14:paraId="16DBD15E">
            <w:pPr>
              <w:pStyle w:val="49"/>
              <w:rPr>
                <w:rFonts w:hint="eastAsia" w:ascii="Times New Roman" w:hAnsi="Times New Roman" w:cs="Times New Roman"/>
                <w:color w:val="auto"/>
                <w:sz w:val="16"/>
                <w:szCs w:val="22"/>
                <w:highlight w:val="none"/>
              </w:rPr>
            </w:pPr>
            <w:r>
              <w:rPr>
                <w:rFonts w:hint="eastAsia" w:ascii="宋体" w:hAnsi="宋体" w:cs="宋体"/>
                <w:color w:val="auto"/>
                <w:sz w:val="16"/>
                <w:szCs w:val="22"/>
                <w:highlight w:val="none"/>
              </w:rPr>
              <w:t>≤24</w:t>
            </w:r>
          </w:p>
        </w:tc>
        <w:tc>
          <w:tcPr>
            <w:tcW w:w="837" w:type="dxa"/>
            <w:gridSpan w:val="2"/>
            <w:vAlign w:val="center"/>
          </w:tcPr>
          <w:p w14:paraId="3B5D1631">
            <w:pPr>
              <w:pStyle w:val="49"/>
              <w:rPr>
                <w:rFonts w:hint="eastAsia" w:ascii="Times New Roman" w:hAnsi="Times New Roman" w:cs="Times New Roman"/>
                <w:color w:val="auto"/>
                <w:sz w:val="16"/>
                <w:szCs w:val="22"/>
                <w:highlight w:val="none"/>
              </w:rPr>
            </w:pPr>
            <w:r>
              <w:rPr>
                <w:rFonts w:hint="eastAsia" w:ascii="宋体" w:hAnsi="宋体" w:cs="宋体"/>
                <w:color w:val="auto"/>
                <w:sz w:val="16"/>
                <w:szCs w:val="22"/>
                <w:highlight w:val="none"/>
              </w:rPr>
              <w:t>＞</w:t>
            </w:r>
            <w:r>
              <w:rPr>
                <w:rFonts w:hint="eastAsia" w:ascii="宋体" w:hAnsi="宋体" w:cs="宋体"/>
                <w:color w:val="auto"/>
                <w:sz w:val="16"/>
                <w:szCs w:val="22"/>
                <w:highlight w:val="none"/>
                <w:lang w:val="en-US" w:eastAsia="zh-CN"/>
              </w:rPr>
              <w:t>24</w:t>
            </w:r>
          </w:p>
        </w:tc>
      </w:tr>
      <w:tr w14:paraId="0F1D9D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60" w:type="dxa"/>
            <w:gridSpan w:val="2"/>
            <w:vMerge w:val="continue"/>
            <w:vAlign w:val="center"/>
          </w:tcPr>
          <w:p w14:paraId="2FF60CCF">
            <w:pPr>
              <w:pStyle w:val="49"/>
              <w:spacing w:line="360" w:lineRule="exact"/>
              <w:rPr>
                <w:rFonts w:hint="eastAsia" w:ascii="Times New Roman" w:hAnsi="Times New Roman" w:cs="Times New Roman"/>
                <w:color w:val="auto"/>
                <w:sz w:val="16"/>
                <w:szCs w:val="16"/>
                <w:highlight w:val="none"/>
              </w:rPr>
            </w:pPr>
          </w:p>
        </w:tc>
        <w:tc>
          <w:tcPr>
            <w:tcW w:w="781" w:type="dxa"/>
            <w:vAlign w:val="center"/>
          </w:tcPr>
          <w:p w14:paraId="759057F1">
            <w:pPr>
              <w:pStyle w:val="49"/>
              <w:spacing w:line="360" w:lineRule="exact"/>
              <w:rPr>
                <w:rFonts w:hint="eastAsia" w:ascii="Times New Roman" w:hAnsi="Times New Roman" w:eastAsia="宋体" w:cs="Times New Roman"/>
                <w:color w:val="auto"/>
                <w:sz w:val="16"/>
                <w:szCs w:val="16"/>
                <w:highlight w:val="none"/>
                <w:lang w:val="en-US" w:eastAsia="zh-CN"/>
              </w:rPr>
            </w:pPr>
            <w:r>
              <w:rPr>
                <w:rFonts w:hint="eastAsia" w:ascii="Times New Roman" w:hAnsi="Times New Roman" w:cs="Times New Roman"/>
                <w:color w:val="auto"/>
                <w:sz w:val="16"/>
                <w:szCs w:val="16"/>
                <w:highlight w:val="none"/>
                <w:lang w:val="en-US" w:eastAsia="zh-CN"/>
              </w:rPr>
              <w:t>框架</w:t>
            </w:r>
          </w:p>
        </w:tc>
        <w:tc>
          <w:tcPr>
            <w:tcW w:w="585" w:type="dxa"/>
            <w:shd w:val="clear" w:color="auto" w:fill="auto"/>
            <w:vAlign w:val="center"/>
          </w:tcPr>
          <w:p w14:paraId="66116BDA">
            <w:pPr>
              <w:pStyle w:val="49"/>
              <w:rPr>
                <w:rFonts w:hint="eastAsia" w:ascii="Times New Roman" w:hAnsi="Times New Roman" w:eastAsia="宋体" w:cs="Times New Roman"/>
                <w:color w:val="auto"/>
                <w:kern w:val="0"/>
                <w:sz w:val="16"/>
                <w:szCs w:val="22"/>
                <w:highlight w:val="none"/>
                <w:lang w:val="en-US" w:eastAsia="zh-CN" w:bidi="ar-SA"/>
              </w:rPr>
            </w:pPr>
            <w:r>
              <w:rPr>
                <w:rFonts w:hint="eastAsia" w:ascii="Times New Roman" w:hAnsi="Times New Roman" w:cs="Times New Roman"/>
                <w:color w:val="auto"/>
                <w:sz w:val="16"/>
                <w:szCs w:val="22"/>
                <w:highlight w:val="none"/>
              </w:rPr>
              <w:t>四</w:t>
            </w:r>
          </w:p>
        </w:tc>
        <w:tc>
          <w:tcPr>
            <w:tcW w:w="585" w:type="dxa"/>
            <w:shd w:val="clear" w:color="auto" w:fill="auto"/>
            <w:vAlign w:val="center"/>
          </w:tcPr>
          <w:p w14:paraId="775FB421">
            <w:pPr>
              <w:pStyle w:val="49"/>
              <w:rPr>
                <w:rFonts w:hint="eastAsia" w:ascii="Times New Roman" w:hAnsi="Times New Roman" w:eastAsia="宋体" w:cs="Times New Roman"/>
                <w:color w:val="auto"/>
                <w:kern w:val="0"/>
                <w:sz w:val="16"/>
                <w:szCs w:val="22"/>
                <w:highlight w:val="none"/>
                <w:lang w:val="en-US" w:eastAsia="zh-CN" w:bidi="ar-SA"/>
              </w:rPr>
            </w:pPr>
            <w:r>
              <w:rPr>
                <w:rFonts w:hint="eastAsia" w:ascii="Times New Roman" w:hAnsi="Times New Roman" w:cs="Times New Roman"/>
                <w:color w:val="auto"/>
                <w:sz w:val="16"/>
                <w:szCs w:val="22"/>
                <w:highlight w:val="none"/>
              </w:rPr>
              <w:t>三</w:t>
            </w:r>
          </w:p>
        </w:tc>
        <w:tc>
          <w:tcPr>
            <w:tcW w:w="860" w:type="dxa"/>
            <w:gridSpan w:val="2"/>
            <w:vAlign w:val="center"/>
          </w:tcPr>
          <w:p w14:paraId="49B6FF14">
            <w:pPr>
              <w:pStyle w:val="49"/>
              <w:rPr>
                <w:rFonts w:hint="eastAsia" w:ascii="Times New Roman" w:hAnsi="Times New Roman" w:eastAsia="宋体" w:cs="Times New Roman"/>
                <w:color w:val="auto"/>
                <w:sz w:val="16"/>
                <w:szCs w:val="22"/>
                <w:highlight w:val="none"/>
                <w:lang w:val="en-US" w:eastAsia="zh-CN"/>
              </w:rPr>
            </w:pPr>
            <w:r>
              <w:rPr>
                <w:rFonts w:hint="eastAsia" w:cs="Times New Roman"/>
                <w:color w:val="auto"/>
                <w:sz w:val="16"/>
                <w:szCs w:val="22"/>
                <w:highlight w:val="none"/>
                <w:lang w:val="en-US" w:eastAsia="zh-CN"/>
              </w:rPr>
              <w:t>三</w:t>
            </w:r>
          </w:p>
        </w:tc>
        <w:tc>
          <w:tcPr>
            <w:tcW w:w="717" w:type="dxa"/>
            <w:gridSpan w:val="2"/>
            <w:vAlign w:val="center"/>
          </w:tcPr>
          <w:p w14:paraId="0799413A">
            <w:pPr>
              <w:pStyle w:val="49"/>
              <w:rPr>
                <w:rFonts w:hint="eastAsia" w:ascii="Times New Roman" w:hAnsi="Times New Roman" w:eastAsia="宋体" w:cs="Times New Roman"/>
                <w:color w:val="auto"/>
                <w:sz w:val="16"/>
                <w:szCs w:val="22"/>
                <w:highlight w:val="none"/>
                <w:lang w:val="en-US" w:eastAsia="zh-CN"/>
              </w:rPr>
            </w:pPr>
            <w:r>
              <w:rPr>
                <w:rFonts w:hint="eastAsia" w:cs="Times New Roman"/>
                <w:color w:val="auto"/>
                <w:sz w:val="16"/>
                <w:szCs w:val="22"/>
                <w:highlight w:val="none"/>
                <w:lang w:val="en-US" w:eastAsia="zh-CN"/>
              </w:rPr>
              <w:t>二</w:t>
            </w:r>
          </w:p>
        </w:tc>
        <w:tc>
          <w:tcPr>
            <w:tcW w:w="723" w:type="dxa"/>
            <w:gridSpan w:val="2"/>
            <w:vAlign w:val="center"/>
          </w:tcPr>
          <w:p w14:paraId="26864143">
            <w:pPr>
              <w:pStyle w:val="49"/>
              <w:rPr>
                <w:rFonts w:hint="eastAsia" w:ascii="Times New Roman" w:hAnsi="Times New Roman" w:eastAsia="宋体" w:cs="Times New Roman"/>
                <w:color w:val="auto"/>
                <w:sz w:val="16"/>
                <w:szCs w:val="22"/>
                <w:highlight w:val="none"/>
                <w:lang w:val="en-US" w:eastAsia="zh-CN"/>
              </w:rPr>
            </w:pPr>
            <w:r>
              <w:rPr>
                <w:rFonts w:hint="eastAsia" w:cs="Times New Roman"/>
                <w:color w:val="auto"/>
                <w:sz w:val="16"/>
                <w:szCs w:val="22"/>
                <w:highlight w:val="none"/>
                <w:lang w:val="en-US" w:eastAsia="zh-CN"/>
              </w:rPr>
              <w:t>二</w:t>
            </w:r>
          </w:p>
        </w:tc>
        <w:tc>
          <w:tcPr>
            <w:tcW w:w="837" w:type="dxa"/>
            <w:gridSpan w:val="2"/>
            <w:vAlign w:val="center"/>
          </w:tcPr>
          <w:p w14:paraId="6451D28E">
            <w:pPr>
              <w:pStyle w:val="49"/>
              <w:rPr>
                <w:rFonts w:hint="eastAsia" w:ascii="Times New Roman" w:hAnsi="Times New Roman" w:eastAsia="宋体" w:cs="Times New Roman"/>
                <w:color w:val="auto"/>
                <w:sz w:val="16"/>
                <w:szCs w:val="22"/>
                <w:highlight w:val="none"/>
                <w:lang w:val="en-US" w:eastAsia="zh-CN"/>
              </w:rPr>
            </w:pPr>
            <w:r>
              <w:rPr>
                <w:rFonts w:hint="eastAsia" w:cs="Times New Roman"/>
                <w:color w:val="auto"/>
                <w:sz w:val="16"/>
                <w:szCs w:val="22"/>
                <w:highlight w:val="none"/>
                <w:lang w:val="en-US" w:eastAsia="zh-CN"/>
              </w:rPr>
              <w:t>一</w:t>
            </w:r>
          </w:p>
        </w:tc>
      </w:tr>
      <w:tr w14:paraId="1B3760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60" w:type="dxa"/>
            <w:gridSpan w:val="2"/>
            <w:vMerge w:val="continue"/>
            <w:vAlign w:val="center"/>
          </w:tcPr>
          <w:p w14:paraId="10A45420">
            <w:pPr>
              <w:pStyle w:val="49"/>
              <w:spacing w:line="360" w:lineRule="exact"/>
              <w:rPr>
                <w:rFonts w:hint="eastAsia" w:ascii="Times New Roman" w:hAnsi="Times New Roman" w:cs="Times New Roman"/>
                <w:color w:val="auto"/>
                <w:sz w:val="16"/>
                <w:szCs w:val="16"/>
                <w:highlight w:val="none"/>
              </w:rPr>
            </w:pPr>
          </w:p>
        </w:tc>
        <w:tc>
          <w:tcPr>
            <w:tcW w:w="781" w:type="dxa"/>
            <w:vAlign w:val="center"/>
          </w:tcPr>
          <w:p w14:paraId="1DCCF449">
            <w:pPr>
              <w:pStyle w:val="49"/>
              <w:spacing w:line="360" w:lineRule="exact"/>
              <w:rPr>
                <w:rFonts w:hint="default" w:ascii="Times New Roman" w:hAnsi="Times New Roman" w:eastAsia="宋体" w:cs="Times New Roman"/>
                <w:color w:val="auto"/>
                <w:sz w:val="16"/>
                <w:szCs w:val="16"/>
                <w:highlight w:val="none"/>
                <w:lang w:val="en-US" w:eastAsia="zh-CN"/>
              </w:rPr>
            </w:pPr>
            <w:r>
              <w:rPr>
                <w:rFonts w:hint="eastAsia" w:ascii="Times New Roman" w:hAnsi="Times New Roman" w:cs="Times New Roman"/>
                <w:color w:val="auto"/>
                <w:sz w:val="16"/>
                <w:szCs w:val="16"/>
                <w:highlight w:val="none"/>
                <w:lang w:val="en-US" w:eastAsia="zh-CN"/>
              </w:rPr>
              <w:t>大跨度框架</w:t>
            </w:r>
          </w:p>
        </w:tc>
        <w:tc>
          <w:tcPr>
            <w:tcW w:w="1170" w:type="dxa"/>
            <w:gridSpan w:val="2"/>
            <w:vAlign w:val="center"/>
          </w:tcPr>
          <w:p w14:paraId="3A690F36">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三</w:t>
            </w:r>
          </w:p>
        </w:tc>
        <w:tc>
          <w:tcPr>
            <w:tcW w:w="1577" w:type="dxa"/>
            <w:gridSpan w:val="4"/>
            <w:vAlign w:val="center"/>
          </w:tcPr>
          <w:p w14:paraId="0B639F2A">
            <w:pPr>
              <w:pStyle w:val="49"/>
              <w:rPr>
                <w:rFonts w:hint="eastAsia" w:ascii="Times New Roman" w:hAnsi="Times New Roman" w:cs="Times New Roman"/>
                <w:color w:val="auto"/>
                <w:sz w:val="16"/>
                <w:szCs w:val="22"/>
                <w:highlight w:val="none"/>
              </w:rPr>
            </w:pPr>
            <w:r>
              <w:rPr>
                <w:rFonts w:hint="eastAsia" w:cs="Times New Roman"/>
                <w:color w:val="auto"/>
                <w:sz w:val="16"/>
                <w:szCs w:val="22"/>
                <w:highlight w:val="none"/>
                <w:lang w:val="en-US" w:eastAsia="zh-CN"/>
              </w:rPr>
              <w:t>二</w:t>
            </w:r>
          </w:p>
        </w:tc>
        <w:tc>
          <w:tcPr>
            <w:tcW w:w="1560" w:type="dxa"/>
            <w:gridSpan w:val="4"/>
            <w:vAlign w:val="center"/>
          </w:tcPr>
          <w:p w14:paraId="6824BBE4">
            <w:pPr>
              <w:pStyle w:val="49"/>
              <w:rPr>
                <w:rFonts w:hint="eastAsia" w:ascii="Times New Roman" w:hAnsi="Times New Roman" w:cs="Times New Roman"/>
                <w:color w:val="auto"/>
                <w:sz w:val="16"/>
                <w:szCs w:val="22"/>
                <w:highlight w:val="none"/>
              </w:rPr>
            </w:pPr>
            <w:r>
              <w:rPr>
                <w:rFonts w:hint="eastAsia" w:cs="Times New Roman"/>
                <w:color w:val="auto"/>
                <w:sz w:val="16"/>
                <w:szCs w:val="22"/>
                <w:highlight w:val="none"/>
                <w:lang w:val="en-US" w:eastAsia="zh-CN"/>
              </w:rPr>
              <w:t>一</w:t>
            </w:r>
          </w:p>
        </w:tc>
      </w:tr>
      <w:tr w14:paraId="24CA88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60" w:type="dxa"/>
            <w:gridSpan w:val="2"/>
            <w:vMerge w:val="restart"/>
            <w:vAlign w:val="center"/>
          </w:tcPr>
          <w:p w14:paraId="048FEE77">
            <w:pPr>
              <w:pStyle w:val="49"/>
              <w:spacing w:line="360" w:lineRule="exact"/>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16"/>
                <w:highlight w:val="none"/>
              </w:rPr>
              <w:t>模块化</w:t>
            </w:r>
            <w:r>
              <w:rPr>
                <w:rFonts w:hint="eastAsia"/>
                <w:color w:val="auto"/>
                <w:sz w:val="16"/>
                <w:szCs w:val="16"/>
                <w:highlight w:val="none"/>
                <w:lang w:val="en-US" w:eastAsia="zh-CN"/>
              </w:rPr>
              <w:t>框架-剪力墙</w:t>
            </w:r>
            <w:r>
              <w:rPr>
                <w:rFonts w:hint="eastAsia" w:ascii="Times New Roman" w:hAnsi="Times New Roman" w:cs="Times New Roman"/>
                <w:color w:val="auto"/>
                <w:sz w:val="16"/>
                <w:szCs w:val="16"/>
                <w:highlight w:val="none"/>
              </w:rPr>
              <w:t>结构</w:t>
            </w:r>
          </w:p>
        </w:tc>
        <w:tc>
          <w:tcPr>
            <w:tcW w:w="781" w:type="dxa"/>
            <w:vAlign w:val="center"/>
          </w:tcPr>
          <w:p w14:paraId="238C1CE2">
            <w:pPr>
              <w:pStyle w:val="49"/>
              <w:spacing w:line="360" w:lineRule="exact"/>
              <w:rPr>
                <w:rFonts w:hint="eastAsia" w:ascii="Times New Roman" w:hAnsi="Times New Roman" w:cs="Times New Roman"/>
                <w:color w:val="auto"/>
                <w:sz w:val="16"/>
                <w:szCs w:val="16"/>
                <w:highlight w:val="none"/>
              </w:rPr>
            </w:pPr>
            <w:r>
              <w:rPr>
                <w:rFonts w:hint="eastAsia" w:ascii="Times New Roman" w:hAnsi="Times New Roman" w:cs="Times New Roman"/>
                <w:color w:val="auto"/>
                <w:sz w:val="16"/>
                <w:szCs w:val="16"/>
                <w:highlight w:val="none"/>
                <w:lang w:val="en-US" w:eastAsia="zh-CN"/>
              </w:rPr>
              <w:t>高度</w:t>
            </w:r>
            <w:r>
              <w:rPr>
                <w:rFonts w:hint="eastAsia" w:ascii="Times New Roman" w:hAnsi="Times New Roman" w:cs="Times New Roman"/>
                <w:color w:val="auto"/>
                <w:sz w:val="16"/>
                <w:szCs w:val="22"/>
                <w:highlight w:val="none"/>
              </w:rPr>
              <w:t>（m）</w:t>
            </w:r>
          </w:p>
        </w:tc>
        <w:tc>
          <w:tcPr>
            <w:tcW w:w="585" w:type="dxa"/>
            <w:vAlign w:val="center"/>
          </w:tcPr>
          <w:p w14:paraId="4A32D1F9">
            <w:pPr>
              <w:pStyle w:val="49"/>
              <w:rPr>
                <w:rFonts w:hint="default" w:ascii="Times New Roman" w:hAnsi="Times New Roman" w:eastAsia="宋体" w:cs="Times New Roman"/>
                <w:color w:val="auto"/>
                <w:sz w:val="16"/>
                <w:szCs w:val="22"/>
                <w:highlight w:val="none"/>
                <w:lang w:val="en-US" w:eastAsia="zh-CN"/>
              </w:rPr>
            </w:pPr>
            <w:r>
              <w:rPr>
                <w:rFonts w:hint="eastAsia" w:ascii="宋体" w:hAnsi="宋体" w:cs="宋体"/>
                <w:color w:val="auto"/>
                <w:sz w:val="16"/>
                <w:szCs w:val="22"/>
                <w:highlight w:val="none"/>
              </w:rPr>
              <w:t>≤</w:t>
            </w:r>
            <w:r>
              <w:rPr>
                <w:rFonts w:hint="eastAsia" w:ascii="宋体" w:hAnsi="宋体" w:cs="宋体"/>
                <w:color w:val="auto"/>
                <w:sz w:val="16"/>
                <w:szCs w:val="22"/>
                <w:highlight w:val="none"/>
                <w:lang w:val="en-US" w:eastAsia="zh-CN"/>
              </w:rPr>
              <w:t>60</w:t>
            </w:r>
          </w:p>
        </w:tc>
        <w:tc>
          <w:tcPr>
            <w:tcW w:w="585" w:type="dxa"/>
            <w:vAlign w:val="center"/>
          </w:tcPr>
          <w:p w14:paraId="5F5417F3">
            <w:pPr>
              <w:pStyle w:val="49"/>
              <w:rPr>
                <w:rFonts w:hint="default" w:ascii="Times New Roman" w:hAnsi="Times New Roman" w:cs="Times New Roman"/>
                <w:color w:val="auto"/>
                <w:sz w:val="16"/>
                <w:szCs w:val="22"/>
                <w:highlight w:val="none"/>
                <w:lang w:val="en-US"/>
              </w:rPr>
            </w:pPr>
            <w:r>
              <w:rPr>
                <w:rFonts w:hint="eastAsia" w:ascii="宋体" w:hAnsi="宋体" w:cs="宋体"/>
                <w:color w:val="auto"/>
                <w:sz w:val="16"/>
                <w:szCs w:val="22"/>
                <w:highlight w:val="none"/>
              </w:rPr>
              <w:t>＞</w:t>
            </w:r>
            <w:r>
              <w:rPr>
                <w:rFonts w:hint="eastAsia" w:ascii="宋体" w:hAnsi="宋体" w:cs="宋体"/>
                <w:color w:val="auto"/>
                <w:sz w:val="16"/>
                <w:szCs w:val="22"/>
                <w:highlight w:val="none"/>
                <w:lang w:val="en-US" w:eastAsia="zh-CN"/>
              </w:rPr>
              <w:t>60</w:t>
            </w:r>
          </w:p>
        </w:tc>
        <w:tc>
          <w:tcPr>
            <w:tcW w:w="425" w:type="dxa"/>
            <w:vAlign w:val="center"/>
          </w:tcPr>
          <w:p w14:paraId="5B54C91F">
            <w:pPr>
              <w:pStyle w:val="49"/>
              <w:rPr>
                <w:rFonts w:hint="eastAsia" w:ascii="Times New Roman" w:hAnsi="Times New Roman" w:cs="Times New Roman"/>
                <w:color w:val="auto"/>
                <w:sz w:val="16"/>
                <w:szCs w:val="22"/>
                <w:highlight w:val="none"/>
              </w:rPr>
            </w:pPr>
            <w:r>
              <w:rPr>
                <w:rFonts w:hint="eastAsia" w:ascii="宋体" w:hAnsi="宋体" w:cs="宋体"/>
                <w:color w:val="auto"/>
                <w:sz w:val="16"/>
                <w:szCs w:val="22"/>
                <w:highlight w:val="none"/>
              </w:rPr>
              <w:t>≤24</w:t>
            </w:r>
          </w:p>
        </w:tc>
        <w:tc>
          <w:tcPr>
            <w:tcW w:w="717" w:type="dxa"/>
            <w:gridSpan w:val="2"/>
            <w:vAlign w:val="center"/>
          </w:tcPr>
          <w:p w14:paraId="68B2645F">
            <w:pPr>
              <w:pStyle w:val="49"/>
              <w:rPr>
                <w:rFonts w:hint="default" w:ascii="Times New Roman" w:hAnsi="Times New Roman" w:eastAsia="宋体" w:cs="Times New Roman"/>
                <w:color w:val="auto"/>
                <w:sz w:val="16"/>
                <w:szCs w:val="22"/>
                <w:highlight w:val="none"/>
                <w:lang w:val="en-US" w:eastAsia="zh-CN"/>
              </w:rPr>
            </w:pPr>
            <w:r>
              <w:rPr>
                <w:rFonts w:hint="eastAsia" w:ascii="宋体" w:hAnsi="宋体" w:cs="宋体"/>
                <w:color w:val="auto"/>
                <w:sz w:val="16"/>
                <w:szCs w:val="22"/>
                <w:highlight w:val="none"/>
              </w:rPr>
              <w:t>＞24且≤</w:t>
            </w:r>
            <w:r>
              <w:rPr>
                <w:rFonts w:hint="eastAsia" w:ascii="宋体" w:hAnsi="宋体" w:cs="宋体"/>
                <w:color w:val="auto"/>
                <w:sz w:val="16"/>
                <w:szCs w:val="22"/>
                <w:highlight w:val="none"/>
                <w:lang w:val="en-US" w:eastAsia="zh-CN"/>
              </w:rPr>
              <w:t>60</w:t>
            </w:r>
          </w:p>
        </w:tc>
        <w:tc>
          <w:tcPr>
            <w:tcW w:w="435" w:type="dxa"/>
            <w:vAlign w:val="center"/>
          </w:tcPr>
          <w:p w14:paraId="4A259B9A">
            <w:pPr>
              <w:pStyle w:val="49"/>
              <w:rPr>
                <w:rFonts w:hint="default" w:ascii="Times New Roman" w:hAnsi="Times New Roman" w:eastAsia="宋体" w:cs="Times New Roman"/>
                <w:color w:val="auto"/>
                <w:sz w:val="16"/>
                <w:szCs w:val="22"/>
                <w:highlight w:val="none"/>
                <w:lang w:val="en-US" w:eastAsia="zh-CN"/>
              </w:rPr>
            </w:pPr>
            <w:r>
              <w:rPr>
                <w:rFonts w:hint="eastAsia" w:ascii="宋体" w:hAnsi="宋体" w:cs="宋体"/>
                <w:color w:val="auto"/>
                <w:sz w:val="16"/>
                <w:szCs w:val="22"/>
                <w:highlight w:val="none"/>
              </w:rPr>
              <w:t>＞</w:t>
            </w:r>
            <w:r>
              <w:rPr>
                <w:rFonts w:hint="eastAsia" w:ascii="宋体" w:hAnsi="宋体" w:cs="宋体"/>
                <w:color w:val="auto"/>
                <w:sz w:val="16"/>
                <w:szCs w:val="22"/>
                <w:highlight w:val="none"/>
                <w:lang w:val="en-US" w:eastAsia="zh-CN"/>
              </w:rPr>
              <w:t>60</w:t>
            </w:r>
          </w:p>
        </w:tc>
        <w:tc>
          <w:tcPr>
            <w:tcW w:w="420" w:type="dxa"/>
            <w:vAlign w:val="center"/>
          </w:tcPr>
          <w:p w14:paraId="7ECE5C43">
            <w:pPr>
              <w:pStyle w:val="49"/>
              <w:rPr>
                <w:rFonts w:hint="default" w:ascii="Times New Roman" w:hAnsi="Times New Roman" w:eastAsia="宋体" w:cs="Times New Roman"/>
                <w:color w:val="auto"/>
                <w:sz w:val="16"/>
                <w:szCs w:val="22"/>
                <w:highlight w:val="none"/>
                <w:lang w:val="en-US" w:eastAsia="zh-CN"/>
              </w:rPr>
            </w:pPr>
            <w:r>
              <w:rPr>
                <w:rFonts w:hint="eastAsia" w:ascii="宋体" w:hAnsi="宋体" w:cs="宋体"/>
                <w:color w:val="auto"/>
                <w:sz w:val="16"/>
                <w:szCs w:val="22"/>
                <w:highlight w:val="none"/>
              </w:rPr>
              <w:t>≤</w:t>
            </w:r>
            <w:r>
              <w:rPr>
                <w:rFonts w:hint="eastAsia" w:ascii="宋体" w:hAnsi="宋体" w:cs="宋体"/>
                <w:color w:val="auto"/>
                <w:sz w:val="16"/>
                <w:szCs w:val="22"/>
                <w:highlight w:val="none"/>
                <w:lang w:val="en-US" w:eastAsia="zh-CN"/>
              </w:rPr>
              <w:t>60</w:t>
            </w:r>
          </w:p>
        </w:tc>
        <w:tc>
          <w:tcPr>
            <w:tcW w:w="705" w:type="dxa"/>
            <w:gridSpan w:val="2"/>
            <w:vAlign w:val="center"/>
          </w:tcPr>
          <w:p w14:paraId="544406B1">
            <w:pPr>
              <w:pStyle w:val="49"/>
              <w:rPr>
                <w:rFonts w:hint="default" w:ascii="Times New Roman" w:hAnsi="Times New Roman" w:eastAsia="宋体" w:cs="Times New Roman"/>
                <w:color w:val="auto"/>
                <w:sz w:val="16"/>
                <w:szCs w:val="22"/>
                <w:highlight w:val="none"/>
                <w:lang w:val="en-US" w:eastAsia="zh-CN"/>
              </w:rPr>
            </w:pPr>
            <w:r>
              <w:rPr>
                <w:rFonts w:hint="eastAsia" w:ascii="宋体" w:hAnsi="宋体" w:cs="宋体"/>
                <w:color w:val="auto"/>
                <w:sz w:val="16"/>
                <w:szCs w:val="22"/>
                <w:highlight w:val="none"/>
              </w:rPr>
              <w:t>＞24且≤</w:t>
            </w:r>
            <w:r>
              <w:rPr>
                <w:rFonts w:hint="eastAsia" w:ascii="宋体" w:hAnsi="宋体" w:cs="宋体"/>
                <w:color w:val="auto"/>
                <w:sz w:val="16"/>
                <w:szCs w:val="22"/>
                <w:highlight w:val="none"/>
                <w:lang w:val="en-US" w:eastAsia="zh-CN"/>
              </w:rPr>
              <w:t>60</w:t>
            </w:r>
          </w:p>
        </w:tc>
        <w:tc>
          <w:tcPr>
            <w:tcW w:w="435" w:type="dxa"/>
            <w:vAlign w:val="center"/>
          </w:tcPr>
          <w:p w14:paraId="789E2449">
            <w:pPr>
              <w:pStyle w:val="49"/>
              <w:rPr>
                <w:rFonts w:hint="default" w:ascii="Times New Roman" w:hAnsi="Times New Roman" w:eastAsia="宋体" w:cs="Times New Roman"/>
                <w:color w:val="auto"/>
                <w:sz w:val="16"/>
                <w:szCs w:val="22"/>
                <w:highlight w:val="none"/>
                <w:lang w:val="en-US" w:eastAsia="zh-CN"/>
              </w:rPr>
            </w:pPr>
            <w:r>
              <w:rPr>
                <w:rFonts w:hint="eastAsia" w:ascii="宋体" w:hAnsi="宋体" w:cs="宋体"/>
                <w:color w:val="auto"/>
                <w:sz w:val="16"/>
                <w:szCs w:val="22"/>
                <w:highlight w:val="none"/>
              </w:rPr>
              <w:t>＞</w:t>
            </w:r>
            <w:r>
              <w:rPr>
                <w:rFonts w:hint="eastAsia" w:ascii="宋体" w:hAnsi="宋体" w:cs="宋体"/>
                <w:color w:val="auto"/>
                <w:sz w:val="16"/>
                <w:szCs w:val="22"/>
                <w:highlight w:val="none"/>
                <w:lang w:val="en-US" w:eastAsia="zh-CN"/>
              </w:rPr>
              <w:t>60</w:t>
            </w:r>
          </w:p>
        </w:tc>
      </w:tr>
      <w:tr w14:paraId="458F78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60" w:type="dxa"/>
            <w:gridSpan w:val="2"/>
            <w:vMerge w:val="continue"/>
            <w:vAlign w:val="center"/>
          </w:tcPr>
          <w:p w14:paraId="456CADDF">
            <w:pPr>
              <w:pStyle w:val="49"/>
              <w:spacing w:line="360" w:lineRule="exact"/>
              <w:rPr>
                <w:rFonts w:hint="eastAsia" w:ascii="Times New Roman" w:hAnsi="Times New Roman" w:cs="Times New Roman"/>
                <w:color w:val="auto"/>
                <w:sz w:val="16"/>
                <w:szCs w:val="16"/>
                <w:highlight w:val="none"/>
              </w:rPr>
            </w:pPr>
          </w:p>
        </w:tc>
        <w:tc>
          <w:tcPr>
            <w:tcW w:w="781" w:type="dxa"/>
            <w:vAlign w:val="center"/>
          </w:tcPr>
          <w:p w14:paraId="04E13741">
            <w:pPr>
              <w:pStyle w:val="49"/>
              <w:spacing w:line="360" w:lineRule="exact"/>
              <w:rPr>
                <w:rFonts w:hint="eastAsia" w:ascii="Times New Roman" w:hAnsi="Times New Roman" w:cs="Times New Roman"/>
                <w:color w:val="auto"/>
                <w:sz w:val="16"/>
                <w:szCs w:val="16"/>
                <w:highlight w:val="none"/>
              </w:rPr>
            </w:pPr>
            <w:r>
              <w:rPr>
                <w:rFonts w:hint="eastAsia" w:ascii="Times New Roman" w:hAnsi="Times New Roman" w:cs="Times New Roman"/>
                <w:color w:val="auto"/>
                <w:sz w:val="16"/>
                <w:szCs w:val="16"/>
                <w:highlight w:val="none"/>
                <w:lang w:val="en-US" w:eastAsia="zh-CN"/>
              </w:rPr>
              <w:t>框架</w:t>
            </w:r>
          </w:p>
        </w:tc>
        <w:tc>
          <w:tcPr>
            <w:tcW w:w="585" w:type="dxa"/>
            <w:vAlign w:val="center"/>
          </w:tcPr>
          <w:p w14:paraId="02ED5C5D">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四</w:t>
            </w:r>
          </w:p>
        </w:tc>
        <w:tc>
          <w:tcPr>
            <w:tcW w:w="585" w:type="dxa"/>
            <w:vAlign w:val="center"/>
          </w:tcPr>
          <w:p w14:paraId="172721F9">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三</w:t>
            </w:r>
          </w:p>
        </w:tc>
        <w:tc>
          <w:tcPr>
            <w:tcW w:w="425" w:type="dxa"/>
            <w:shd w:val="clear" w:color="auto" w:fill="auto"/>
            <w:vAlign w:val="center"/>
          </w:tcPr>
          <w:p w14:paraId="37067999">
            <w:pPr>
              <w:pStyle w:val="49"/>
              <w:rPr>
                <w:rFonts w:hint="eastAsia" w:ascii="Times New Roman" w:hAnsi="Times New Roman" w:eastAsia="宋体" w:cs="Times New Roman"/>
                <w:color w:val="auto"/>
                <w:kern w:val="0"/>
                <w:sz w:val="16"/>
                <w:szCs w:val="22"/>
                <w:highlight w:val="none"/>
                <w:lang w:val="en-US" w:eastAsia="zh-CN" w:bidi="ar-SA"/>
              </w:rPr>
            </w:pPr>
            <w:r>
              <w:rPr>
                <w:rFonts w:hint="eastAsia" w:ascii="Times New Roman" w:hAnsi="Times New Roman" w:cs="Times New Roman"/>
                <w:color w:val="auto"/>
                <w:sz w:val="16"/>
                <w:szCs w:val="22"/>
                <w:highlight w:val="none"/>
              </w:rPr>
              <w:t>四</w:t>
            </w:r>
          </w:p>
        </w:tc>
        <w:tc>
          <w:tcPr>
            <w:tcW w:w="717" w:type="dxa"/>
            <w:gridSpan w:val="2"/>
            <w:shd w:val="clear" w:color="auto" w:fill="auto"/>
            <w:vAlign w:val="center"/>
          </w:tcPr>
          <w:p w14:paraId="4519AC19">
            <w:pPr>
              <w:pStyle w:val="49"/>
              <w:rPr>
                <w:rFonts w:hint="eastAsia" w:ascii="Times New Roman" w:hAnsi="Times New Roman" w:eastAsia="宋体" w:cs="Times New Roman"/>
                <w:color w:val="auto"/>
                <w:kern w:val="0"/>
                <w:sz w:val="16"/>
                <w:szCs w:val="22"/>
                <w:highlight w:val="none"/>
                <w:lang w:val="en-US" w:eastAsia="zh-CN" w:bidi="ar-SA"/>
              </w:rPr>
            </w:pPr>
            <w:r>
              <w:rPr>
                <w:rFonts w:hint="eastAsia" w:ascii="Times New Roman" w:hAnsi="Times New Roman" w:cs="Times New Roman"/>
                <w:color w:val="auto"/>
                <w:sz w:val="16"/>
                <w:szCs w:val="22"/>
                <w:highlight w:val="none"/>
              </w:rPr>
              <w:t>三</w:t>
            </w:r>
          </w:p>
        </w:tc>
        <w:tc>
          <w:tcPr>
            <w:tcW w:w="435" w:type="dxa"/>
            <w:vAlign w:val="center"/>
          </w:tcPr>
          <w:p w14:paraId="6A4A17D0">
            <w:pPr>
              <w:pStyle w:val="49"/>
              <w:rPr>
                <w:rFonts w:hint="eastAsia" w:ascii="Times New Roman" w:hAnsi="Times New Roman" w:eastAsia="宋体" w:cs="Times New Roman"/>
                <w:color w:val="auto"/>
                <w:sz w:val="16"/>
                <w:szCs w:val="22"/>
                <w:highlight w:val="none"/>
                <w:lang w:val="en-US" w:eastAsia="zh-CN"/>
              </w:rPr>
            </w:pPr>
            <w:r>
              <w:rPr>
                <w:rFonts w:hint="eastAsia" w:cs="Times New Roman"/>
                <w:color w:val="auto"/>
                <w:sz w:val="16"/>
                <w:szCs w:val="22"/>
                <w:highlight w:val="none"/>
                <w:lang w:val="en-US" w:eastAsia="zh-CN"/>
              </w:rPr>
              <w:t>二</w:t>
            </w:r>
          </w:p>
        </w:tc>
        <w:tc>
          <w:tcPr>
            <w:tcW w:w="420" w:type="dxa"/>
            <w:vAlign w:val="center"/>
          </w:tcPr>
          <w:p w14:paraId="2802E292">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三</w:t>
            </w:r>
          </w:p>
        </w:tc>
        <w:tc>
          <w:tcPr>
            <w:tcW w:w="705" w:type="dxa"/>
            <w:gridSpan w:val="2"/>
            <w:vAlign w:val="center"/>
          </w:tcPr>
          <w:p w14:paraId="4659265A">
            <w:pPr>
              <w:pStyle w:val="49"/>
              <w:rPr>
                <w:rFonts w:hint="eastAsia" w:ascii="Times New Roman" w:hAnsi="Times New Roman" w:cs="Times New Roman"/>
                <w:color w:val="auto"/>
                <w:sz w:val="16"/>
                <w:szCs w:val="22"/>
                <w:highlight w:val="none"/>
              </w:rPr>
            </w:pPr>
            <w:r>
              <w:rPr>
                <w:rFonts w:hint="eastAsia" w:cs="Times New Roman"/>
                <w:color w:val="auto"/>
                <w:sz w:val="16"/>
                <w:szCs w:val="22"/>
                <w:highlight w:val="none"/>
                <w:lang w:val="en-US" w:eastAsia="zh-CN"/>
              </w:rPr>
              <w:t>二</w:t>
            </w:r>
          </w:p>
        </w:tc>
        <w:tc>
          <w:tcPr>
            <w:tcW w:w="435" w:type="dxa"/>
            <w:vAlign w:val="center"/>
          </w:tcPr>
          <w:p w14:paraId="0CC631D9">
            <w:pPr>
              <w:pStyle w:val="49"/>
              <w:rPr>
                <w:rFonts w:hint="default" w:ascii="Times New Roman" w:hAnsi="Times New Roman" w:eastAsia="宋体" w:cs="Times New Roman"/>
                <w:color w:val="auto"/>
                <w:sz w:val="16"/>
                <w:szCs w:val="22"/>
                <w:highlight w:val="none"/>
                <w:lang w:val="en-US" w:eastAsia="zh-CN"/>
              </w:rPr>
            </w:pPr>
            <w:r>
              <w:rPr>
                <w:rFonts w:hint="eastAsia" w:cs="Times New Roman"/>
                <w:color w:val="auto"/>
                <w:sz w:val="16"/>
                <w:szCs w:val="22"/>
                <w:highlight w:val="none"/>
                <w:lang w:val="en-US" w:eastAsia="zh-CN"/>
              </w:rPr>
              <w:t>一</w:t>
            </w:r>
          </w:p>
        </w:tc>
      </w:tr>
      <w:tr w14:paraId="362444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60" w:type="dxa"/>
            <w:gridSpan w:val="2"/>
            <w:vMerge w:val="continue"/>
            <w:vAlign w:val="center"/>
          </w:tcPr>
          <w:p w14:paraId="6EBC1BDA">
            <w:pPr>
              <w:pStyle w:val="49"/>
              <w:spacing w:line="360" w:lineRule="exact"/>
              <w:rPr>
                <w:rFonts w:hint="eastAsia" w:ascii="Times New Roman" w:hAnsi="Times New Roman" w:cs="Times New Roman"/>
                <w:color w:val="auto"/>
                <w:sz w:val="16"/>
                <w:szCs w:val="16"/>
                <w:highlight w:val="none"/>
              </w:rPr>
            </w:pPr>
          </w:p>
        </w:tc>
        <w:tc>
          <w:tcPr>
            <w:tcW w:w="781" w:type="dxa"/>
            <w:vAlign w:val="center"/>
          </w:tcPr>
          <w:p w14:paraId="536A297A">
            <w:pPr>
              <w:pStyle w:val="49"/>
              <w:spacing w:line="360" w:lineRule="exact"/>
              <w:rPr>
                <w:rFonts w:hint="eastAsia" w:ascii="Times New Roman" w:hAnsi="Times New Roman" w:cs="Times New Roman"/>
                <w:color w:val="auto"/>
                <w:sz w:val="16"/>
                <w:szCs w:val="16"/>
                <w:highlight w:val="none"/>
              </w:rPr>
            </w:pPr>
            <w:r>
              <w:rPr>
                <w:rFonts w:hint="eastAsia" w:ascii="Times New Roman" w:hAnsi="Times New Roman" w:cs="Times New Roman"/>
                <w:color w:val="auto"/>
                <w:sz w:val="16"/>
                <w:szCs w:val="16"/>
                <w:highlight w:val="none"/>
                <w:lang w:val="en-US" w:eastAsia="zh-CN"/>
              </w:rPr>
              <w:t>剪力墙</w:t>
            </w:r>
          </w:p>
        </w:tc>
        <w:tc>
          <w:tcPr>
            <w:tcW w:w="585" w:type="dxa"/>
            <w:vAlign w:val="center"/>
          </w:tcPr>
          <w:p w14:paraId="343D4701">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三</w:t>
            </w:r>
          </w:p>
        </w:tc>
        <w:tc>
          <w:tcPr>
            <w:tcW w:w="585" w:type="dxa"/>
            <w:vAlign w:val="center"/>
          </w:tcPr>
          <w:p w14:paraId="4DE0611F">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三</w:t>
            </w:r>
          </w:p>
        </w:tc>
        <w:tc>
          <w:tcPr>
            <w:tcW w:w="425" w:type="dxa"/>
            <w:vAlign w:val="center"/>
          </w:tcPr>
          <w:p w14:paraId="7BDC94DF">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三</w:t>
            </w:r>
          </w:p>
        </w:tc>
        <w:tc>
          <w:tcPr>
            <w:tcW w:w="717" w:type="dxa"/>
            <w:gridSpan w:val="2"/>
            <w:shd w:val="clear" w:color="auto" w:fill="auto"/>
            <w:vAlign w:val="center"/>
          </w:tcPr>
          <w:p w14:paraId="3411310C">
            <w:pPr>
              <w:pStyle w:val="49"/>
              <w:rPr>
                <w:rFonts w:hint="eastAsia" w:ascii="Times New Roman" w:hAnsi="Times New Roman" w:eastAsia="宋体" w:cs="Times New Roman"/>
                <w:color w:val="auto"/>
                <w:kern w:val="0"/>
                <w:sz w:val="16"/>
                <w:szCs w:val="22"/>
                <w:highlight w:val="none"/>
                <w:lang w:val="en-US" w:eastAsia="zh-CN" w:bidi="ar-SA"/>
              </w:rPr>
            </w:pPr>
            <w:r>
              <w:rPr>
                <w:rFonts w:hint="eastAsia" w:cs="Times New Roman"/>
                <w:color w:val="auto"/>
                <w:sz w:val="16"/>
                <w:szCs w:val="22"/>
                <w:highlight w:val="none"/>
                <w:lang w:val="en-US" w:eastAsia="zh-CN"/>
              </w:rPr>
              <w:t>二</w:t>
            </w:r>
          </w:p>
        </w:tc>
        <w:tc>
          <w:tcPr>
            <w:tcW w:w="435" w:type="dxa"/>
            <w:shd w:val="clear" w:color="auto" w:fill="auto"/>
            <w:vAlign w:val="center"/>
          </w:tcPr>
          <w:p w14:paraId="04D633FD">
            <w:pPr>
              <w:pStyle w:val="49"/>
              <w:rPr>
                <w:rFonts w:hint="eastAsia" w:ascii="Times New Roman" w:hAnsi="Times New Roman" w:eastAsia="宋体" w:cs="Times New Roman"/>
                <w:color w:val="auto"/>
                <w:kern w:val="0"/>
                <w:sz w:val="16"/>
                <w:szCs w:val="22"/>
                <w:highlight w:val="none"/>
                <w:lang w:val="en-US" w:eastAsia="zh-CN" w:bidi="ar-SA"/>
              </w:rPr>
            </w:pPr>
            <w:r>
              <w:rPr>
                <w:rFonts w:hint="eastAsia" w:cs="Times New Roman"/>
                <w:color w:val="auto"/>
                <w:sz w:val="16"/>
                <w:szCs w:val="22"/>
                <w:highlight w:val="none"/>
                <w:lang w:val="en-US" w:eastAsia="zh-CN"/>
              </w:rPr>
              <w:t>二</w:t>
            </w:r>
          </w:p>
        </w:tc>
        <w:tc>
          <w:tcPr>
            <w:tcW w:w="420" w:type="dxa"/>
            <w:shd w:val="clear" w:color="auto" w:fill="auto"/>
            <w:vAlign w:val="center"/>
          </w:tcPr>
          <w:p w14:paraId="39E22B14">
            <w:pPr>
              <w:pStyle w:val="49"/>
              <w:rPr>
                <w:rFonts w:hint="eastAsia" w:ascii="Times New Roman" w:hAnsi="Times New Roman" w:eastAsia="宋体" w:cs="Times New Roman"/>
                <w:color w:val="auto"/>
                <w:kern w:val="0"/>
                <w:sz w:val="16"/>
                <w:szCs w:val="22"/>
                <w:highlight w:val="none"/>
                <w:lang w:val="en-US" w:eastAsia="zh-CN" w:bidi="ar-SA"/>
              </w:rPr>
            </w:pPr>
            <w:r>
              <w:rPr>
                <w:rFonts w:hint="eastAsia" w:cs="Times New Roman"/>
                <w:color w:val="auto"/>
                <w:sz w:val="16"/>
                <w:szCs w:val="22"/>
                <w:highlight w:val="none"/>
                <w:lang w:val="en-US" w:eastAsia="zh-CN"/>
              </w:rPr>
              <w:t>二</w:t>
            </w:r>
          </w:p>
        </w:tc>
        <w:tc>
          <w:tcPr>
            <w:tcW w:w="705" w:type="dxa"/>
            <w:gridSpan w:val="2"/>
            <w:vAlign w:val="center"/>
          </w:tcPr>
          <w:p w14:paraId="2080B9E9">
            <w:pPr>
              <w:pStyle w:val="49"/>
              <w:rPr>
                <w:rFonts w:hint="eastAsia" w:ascii="Times New Roman" w:hAnsi="Times New Roman" w:cs="Times New Roman"/>
                <w:color w:val="auto"/>
                <w:sz w:val="16"/>
                <w:szCs w:val="22"/>
                <w:highlight w:val="none"/>
              </w:rPr>
            </w:pPr>
            <w:r>
              <w:rPr>
                <w:rFonts w:hint="eastAsia" w:cs="Times New Roman"/>
                <w:color w:val="auto"/>
                <w:sz w:val="16"/>
                <w:szCs w:val="22"/>
                <w:highlight w:val="none"/>
                <w:lang w:val="en-US" w:eastAsia="zh-CN"/>
              </w:rPr>
              <w:t>一</w:t>
            </w:r>
          </w:p>
        </w:tc>
        <w:tc>
          <w:tcPr>
            <w:tcW w:w="435" w:type="dxa"/>
            <w:vAlign w:val="center"/>
          </w:tcPr>
          <w:p w14:paraId="35C85A39">
            <w:pPr>
              <w:pStyle w:val="49"/>
              <w:rPr>
                <w:rFonts w:hint="eastAsia" w:ascii="Times New Roman" w:hAnsi="Times New Roman" w:cs="Times New Roman"/>
                <w:color w:val="auto"/>
                <w:sz w:val="16"/>
                <w:szCs w:val="22"/>
                <w:highlight w:val="none"/>
              </w:rPr>
            </w:pPr>
            <w:r>
              <w:rPr>
                <w:rFonts w:hint="eastAsia" w:cs="Times New Roman"/>
                <w:color w:val="auto"/>
                <w:sz w:val="16"/>
                <w:szCs w:val="22"/>
                <w:highlight w:val="none"/>
                <w:lang w:val="en-US" w:eastAsia="zh-CN"/>
              </w:rPr>
              <w:t>一</w:t>
            </w:r>
          </w:p>
        </w:tc>
      </w:tr>
      <w:tr w14:paraId="613D7D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48" w:type="dxa"/>
            <w:vMerge w:val="restart"/>
            <w:vAlign w:val="center"/>
          </w:tcPr>
          <w:p w14:paraId="00E0C0FD">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模块化叠合剪力墙</w:t>
            </w:r>
          </w:p>
        </w:tc>
        <w:tc>
          <w:tcPr>
            <w:tcW w:w="712" w:type="dxa"/>
            <w:vMerge w:val="restart"/>
            <w:vAlign w:val="center"/>
          </w:tcPr>
          <w:p w14:paraId="0E717BD3">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模块化叠合剪力墙结构</w:t>
            </w:r>
          </w:p>
        </w:tc>
        <w:tc>
          <w:tcPr>
            <w:tcW w:w="781" w:type="dxa"/>
            <w:vAlign w:val="center"/>
          </w:tcPr>
          <w:p w14:paraId="51D89FAC">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高度（m）</w:t>
            </w:r>
          </w:p>
        </w:tc>
        <w:tc>
          <w:tcPr>
            <w:tcW w:w="585" w:type="dxa"/>
            <w:vAlign w:val="center"/>
          </w:tcPr>
          <w:p w14:paraId="75D931AC">
            <w:pPr>
              <w:pStyle w:val="49"/>
              <w:rPr>
                <w:rFonts w:hint="eastAsia" w:ascii="Times New Roman" w:hAnsi="Times New Roman" w:cs="Times New Roman"/>
                <w:color w:val="auto"/>
                <w:sz w:val="16"/>
                <w:szCs w:val="22"/>
                <w:highlight w:val="none"/>
              </w:rPr>
            </w:pPr>
            <w:r>
              <w:rPr>
                <w:rFonts w:hint="eastAsia" w:ascii="宋体" w:hAnsi="宋体" w:cs="宋体"/>
                <w:color w:val="auto"/>
                <w:sz w:val="16"/>
                <w:szCs w:val="22"/>
                <w:highlight w:val="none"/>
              </w:rPr>
              <w:t>≤</w:t>
            </w:r>
            <w:r>
              <w:rPr>
                <w:rFonts w:hint="eastAsia" w:ascii="宋体" w:hAnsi="宋体" w:cs="宋体"/>
                <w:color w:val="auto"/>
                <w:sz w:val="16"/>
                <w:szCs w:val="22"/>
                <w:highlight w:val="none"/>
                <w:lang w:val="en-US" w:eastAsia="zh-CN"/>
              </w:rPr>
              <w:t>7</w:t>
            </w:r>
            <w:r>
              <w:rPr>
                <w:rFonts w:hint="eastAsia" w:ascii="宋体" w:hAnsi="宋体" w:cs="宋体"/>
                <w:color w:val="auto"/>
                <w:sz w:val="16"/>
                <w:szCs w:val="22"/>
                <w:highlight w:val="none"/>
              </w:rPr>
              <w:t>0</w:t>
            </w:r>
          </w:p>
        </w:tc>
        <w:tc>
          <w:tcPr>
            <w:tcW w:w="585" w:type="dxa"/>
            <w:vAlign w:val="center"/>
          </w:tcPr>
          <w:p w14:paraId="4C0F5F8E">
            <w:pPr>
              <w:pStyle w:val="49"/>
              <w:rPr>
                <w:rFonts w:hint="eastAsia" w:ascii="Times New Roman" w:hAnsi="Times New Roman" w:cs="Times New Roman"/>
                <w:color w:val="auto"/>
                <w:sz w:val="16"/>
                <w:szCs w:val="22"/>
                <w:highlight w:val="none"/>
              </w:rPr>
            </w:pPr>
            <w:r>
              <w:rPr>
                <w:rFonts w:hint="eastAsia" w:ascii="宋体" w:hAnsi="宋体" w:cs="宋体"/>
                <w:color w:val="auto"/>
                <w:sz w:val="16"/>
                <w:szCs w:val="22"/>
                <w:highlight w:val="none"/>
              </w:rPr>
              <w:t>＞</w:t>
            </w:r>
            <w:r>
              <w:rPr>
                <w:rFonts w:hint="eastAsia" w:ascii="宋体" w:hAnsi="宋体" w:cs="宋体"/>
                <w:color w:val="auto"/>
                <w:sz w:val="16"/>
                <w:szCs w:val="22"/>
                <w:highlight w:val="none"/>
                <w:lang w:val="en-US" w:eastAsia="zh-CN"/>
              </w:rPr>
              <w:t>7</w:t>
            </w:r>
            <w:r>
              <w:rPr>
                <w:rFonts w:hint="eastAsia" w:ascii="宋体" w:hAnsi="宋体" w:cs="宋体"/>
                <w:color w:val="auto"/>
                <w:sz w:val="16"/>
                <w:szCs w:val="22"/>
                <w:highlight w:val="none"/>
              </w:rPr>
              <w:t>0</w:t>
            </w:r>
          </w:p>
        </w:tc>
        <w:tc>
          <w:tcPr>
            <w:tcW w:w="425" w:type="dxa"/>
            <w:vAlign w:val="center"/>
          </w:tcPr>
          <w:p w14:paraId="77570A97">
            <w:pPr>
              <w:pStyle w:val="49"/>
              <w:rPr>
                <w:rFonts w:hint="eastAsia" w:ascii="Times New Roman" w:hAnsi="Times New Roman" w:cs="Times New Roman"/>
                <w:color w:val="auto"/>
                <w:sz w:val="16"/>
                <w:szCs w:val="22"/>
                <w:highlight w:val="none"/>
              </w:rPr>
            </w:pPr>
            <w:r>
              <w:rPr>
                <w:rFonts w:hint="eastAsia" w:ascii="宋体" w:hAnsi="宋体" w:cs="宋体"/>
                <w:color w:val="auto"/>
                <w:sz w:val="16"/>
                <w:szCs w:val="22"/>
                <w:highlight w:val="none"/>
              </w:rPr>
              <w:t>≤24</w:t>
            </w:r>
          </w:p>
        </w:tc>
        <w:tc>
          <w:tcPr>
            <w:tcW w:w="717" w:type="dxa"/>
            <w:gridSpan w:val="2"/>
            <w:vAlign w:val="center"/>
          </w:tcPr>
          <w:p w14:paraId="79FAE047">
            <w:pPr>
              <w:pStyle w:val="49"/>
              <w:rPr>
                <w:rFonts w:hint="eastAsia" w:ascii="Times New Roman" w:hAnsi="Times New Roman" w:cs="Times New Roman"/>
                <w:color w:val="auto"/>
                <w:sz w:val="16"/>
                <w:szCs w:val="22"/>
                <w:highlight w:val="none"/>
              </w:rPr>
            </w:pPr>
            <w:r>
              <w:rPr>
                <w:rFonts w:hint="eastAsia" w:ascii="宋体" w:hAnsi="宋体" w:cs="宋体"/>
                <w:color w:val="auto"/>
                <w:sz w:val="16"/>
                <w:szCs w:val="22"/>
                <w:highlight w:val="none"/>
              </w:rPr>
              <w:t>＞24且≤</w:t>
            </w:r>
            <w:r>
              <w:rPr>
                <w:rFonts w:hint="eastAsia" w:ascii="宋体" w:hAnsi="宋体" w:cs="宋体"/>
                <w:color w:val="auto"/>
                <w:sz w:val="16"/>
                <w:szCs w:val="22"/>
                <w:highlight w:val="none"/>
                <w:lang w:val="en-US" w:eastAsia="zh-CN"/>
              </w:rPr>
              <w:t>7</w:t>
            </w:r>
            <w:r>
              <w:rPr>
                <w:rFonts w:hint="eastAsia" w:ascii="宋体" w:hAnsi="宋体" w:cs="宋体"/>
                <w:color w:val="auto"/>
                <w:sz w:val="16"/>
                <w:szCs w:val="22"/>
                <w:highlight w:val="none"/>
              </w:rPr>
              <w:t>0</w:t>
            </w:r>
          </w:p>
        </w:tc>
        <w:tc>
          <w:tcPr>
            <w:tcW w:w="435" w:type="dxa"/>
            <w:vAlign w:val="center"/>
          </w:tcPr>
          <w:p w14:paraId="572E3102">
            <w:pPr>
              <w:pStyle w:val="49"/>
              <w:rPr>
                <w:rFonts w:hint="eastAsia" w:ascii="Times New Roman" w:hAnsi="Times New Roman" w:cs="Times New Roman"/>
                <w:color w:val="auto"/>
                <w:sz w:val="16"/>
                <w:szCs w:val="22"/>
                <w:highlight w:val="none"/>
              </w:rPr>
            </w:pPr>
            <w:r>
              <w:rPr>
                <w:rFonts w:hint="eastAsia" w:ascii="宋体" w:hAnsi="宋体" w:cs="宋体"/>
                <w:color w:val="auto"/>
                <w:sz w:val="16"/>
                <w:szCs w:val="22"/>
                <w:highlight w:val="none"/>
              </w:rPr>
              <w:t>＞</w:t>
            </w:r>
            <w:r>
              <w:rPr>
                <w:rFonts w:hint="eastAsia" w:ascii="宋体" w:hAnsi="宋体" w:cs="宋体"/>
                <w:color w:val="auto"/>
                <w:sz w:val="16"/>
                <w:szCs w:val="22"/>
                <w:highlight w:val="none"/>
                <w:lang w:val="en-US" w:eastAsia="zh-CN"/>
              </w:rPr>
              <w:t>7</w:t>
            </w:r>
            <w:r>
              <w:rPr>
                <w:rFonts w:hint="eastAsia" w:ascii="宋体" w:hAnsi="宋体" w:cs="宋体"/>
                <w:color w:val="auto"/>
                <w:sz w:val="16"/>
                <w:szCs w:val="22"/>
                <w:highlight w:val="none"/>
              </w:rPr>
              <w:t>0</w:t>
            </w:r>
          </w:p>
        </w:tc>
        <w:tc>
          <w:tcPr>
            <w:tcW w:w="420" w:type="dxa"/>
            <w:vAlign w:val="center"/>
          </w:tcPr>
          <w:p w14:paraId="7EFCECB4">
            <w:pPr>
              <w:pStyle w:val="49"/>
              <w:rPr>
                <w:rFonts w:hint="eastAsia" w:ascii="Times New Roman" w:hAnsi="Times New Roman" w:cs="Times New Roman"/>
                <w:color w:val="auto"/>
                <w:sz w:val="16"/>
                <w:szCs w:val="22"/>
                <w:highlight w:val="none"/>
              </w:rPr>
            </w:pPr>
            <w:r>
              <w:rPr>
                <w:rFonts w:hint="eastAsia" w:ascii="宋体" w:hAnsi="宋体" w:cs="宋体"/>
                <w:color w:val="auto"/>
                <w:sz w:val="16"/>
                <w:szCs w:val="22"/>
                <w:highlight w:val="none"/>
              </w:rPr>
              <w:t>≤24</w:t>
            </w:r>
          </w:p>
        </w:tc>
        <w:tc>
          <w:tcPr>
            <w:tcW w:w="705" w:type="dxa"/>
            <w:gridSpan w:val="2"/>
            <w:vAlign w:val="center"/>
          </w:tcPr>
          <w:p w14:paraId="1A5CE586">
            <w:pPr>
              <w:pStyle w:val="49"/>
              <w:rPr>
                <w:rFonts w:hint="eastAsia" w:ascii="Times New Roman" w:hAnsi="Times New Roman" w:cs="Times New Roman"/>
                <w:color w:val="auto"/>
                <w:sz w:val="16"/>
                <w:szCs w:val="22"/>
                <w:highlight w:val="none"/>
              </w:rPr>
            </w:pPr>
            <w:r>
              <w:rPr>
                <w:rFonts w:hint="eastAsia" w:ascii="宋体" w:hAnsi="宋体" w:cs="宋体"/>
                <w:color w:val="auto"/>
                <w:sz w:val="16"/>
                <w:szCs w:val="22"/>
                <w:highlight w:val="none"/>
              </w:rPr>
              <w:t>＞24且≤</w:t>
            </w:r>
            <w:r>
              <w:rPr>
                <w:rFonts w:hint="eastAsia" w:ascii="宋体" w:hAnsi="宋体" w:cs="宋体"/>
                <w:color w:val="auto"/>
                <w:sz w:val="16"/>
                <w:szCs w:val="22"/>
                <w:highlight w:val="none"/>
                <w:lang w:val="en-US" w:eastAsia="zh-CN"/>
              </w:rPr>
              <w:t>7</w:t>
            </w:r>
            <w:r>
              <w:rPr>
                <w:rFonts w:hint="eastAsia" w:ascii="宋体" w:hAnsi="宋体" w:cs="宋体"/>
                <w:color w:val="auto"/>
                <w:sz w:val="16"/>
                <w:szCs w:val="22"/>
                <w:highlight w:val="none"/>
              </w:rPr>
              <w:t>0</w:t>
            </w:r>
          </w:p>
        </w:tc>
        <w:tc>
          <w:tcPr>
            <w:tcW w:w="435" w:type="dxa"/>
            <w:vAlign w:val="center"/>
          </w:tcPr>
          <w:p w14:paraId="1C30852E">
            <w:pPr>
              <w:pStyle w:val="49"/>
              <w:rPr>
                <w:rFonts w:hint="eastAsia" w:ascii="Times New Roman" w:hAnsi="Times New Roman" w:cs="Times New Roman"/>
                <w:color w:val="auto"/>
                <w:sz w:val="16"/>
                <w:szCs w:val="22"/>
                <w:highlight w:val="none"/>
              </w:rPr>
            </w:pPr>
            <w:r>
              <w:rPr>
                <w:rFonts w:hint="eastAsia" w:ascii="宋体" w:hAnsi="宋体" w:cs="宋体"/>
                <w:color w:val="auto"/>
                <w:sz w:val="16"/>
                <w:szCs w:val="22"/>
                <w:highlight w:val="none"/>
              </w:rPr>
              <w:t>＞</w:t>
            </w:r>
            <w:r>
              <w:rPr>
                <w:rFonts w:hint="eastAsia" w:ascii="宋体" w:hAnsi="宋体" w:cs="宋体"/>
                <w:color w:val="auto"/>
                <w:sz w:val="16"/>
                <w:szCs w:val="22"/>
                <w:highlight w:val="none"/>
                <w:lang w:val="en-US" w:eastAsia="zh-CN"/>
              </w:rPr>
              <w:t>7</w:t>
            </w:r>
            <w:r>
              <w:rPr>
                <w:rFonts w:hint="eastAsia" w:ascii="宋体" w:hAnsi="宋体" w:cs="宋体"/>
                <w:color w:val="auto"/>
                <w:sz w:val="16"/>
                <w:szCs w:val="22"/>
                <w:highlight w:val="none"/>
              </w:rPr>
              <w:t>0</w:t>
            </w:r>
          </w:p>
        </w:tc>
      </w:tr>
      <w:tr w14:paraId="687B9D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48" w:type="dxa"/>
            <w:vMerge w:val="continue"/>
            <w:vAlign w:val="center"/>
          </w:tcPr>
          <w:p w14:paraId="0B71343B">
            <w:pPr>
              <w:pStyle w:val="49"/>
              <w:rPr>
                <w:rFonts w:hint="eastAsia" w:ascii="Times New Roman" w:hAnsi="Times New Roman" w:cs="Times New Roman"/>
                <w:color w:val="auto"/>
                <w:sz w:val="16"/>
                <w:szCs w:val="22"/>
                <w:highlight w:val="none"/>
              </w:rPr>
            </w:pPr>
          </w:p>
        </w:tc>
        <w:tc>
          <w:tcPr>
            <w:tcW w:w="712" w:type="dxa"/>
            <w:vMerge w:val="continue"/>
            <w:vAlign w:val="center"/>
          </w:tcPr>
          <w:p w14:paraId="292D7343">
            <w:pPr>
              <w:pStyle w:val="49"/>
              <w:rPr>
                <w:rFonts w:hint="eastAsia" w:ascii="Times New Roman" w:hAnsi="Times New Roman" w:cs="Times New Roman"/>
                <w:color w:val="auto"/>
                <w:sz w:val="16"/>
                <w:szCs w:val="22"/>
                <w:highlight w:val="none"/>
              </w:rPr>
            </w:pPr>
          </w:p>
        </w:tc>
        <w:tc>
          <w:tcPr>
            <w:tcW w:w="781" w:type="dxa"/>
            <w:vAlign w:val="center"/>
          </w:tcPr>
          <w:p w14:paraId="0092BDC2">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剪力墙</w:t>
            </w:r>
          </w:p>
        </w:tc>
        <w:tc>
          <w:tcPr>
            <w:tcW w:w="585" w:type="dxa"/>
            <w:vAlign w:val="center"/>
          </w:tcPr>
          <w:p w14:paraId="0609095E">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四</w:t>
            </w:r>
          </w:p>
        </w:tc>
        <w:tc>
          <w:tcPr>
            <w:tcW w:w="585" w:type="dxa"/>
            <w:vAlign w:val="center"/>
          </w:tcPr>
          <w:p w14:paraId="4EDF6157">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三</w:t>
            </w:r>
          </w:p>
        </w:tc>
        <w:tc>
          <w:tcPr>
            <w:tcW w:w="425" w:type="dxa"/>
            <w:vAlign w:val="center"/>
          </w:tcPr>
          <w:p w14:paraId="65F16460">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四</w:t>
            </w:r>
          </w:p>
        </w:tc>
        <w:tc>
          <w:tcPr>
            <w:tcW w:w="717" w:type="dxa"/>
            <w:gridSpan w:val="2"/>
            <w:vAlign w:val="center"/>
          </w:tcPr>
          <w:p w14:paraId="2A102B0F">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三</w:t>
            </w:r>
          </w:p>
        </w:tc>
        <w:tc>
          <w:tcPr>
            <w:tcW w:w="435" w:type="dxa"/>
            <w:vAlign w:val="center"/>
          </w:tcPr>
          <w:p w14:paraId="39880D6C">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二</w:t>
            </w:r>
          </w:p>
        </w:tc>
        <w:tc>
          <w:tcPr>
            <w:tcW w:w="420" w:type="dxa"/>
            <w:vAlign w:val="center"/>
          </w:tcPr>
          <w:p w14:paraId="53615CDF">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三</w:t>
            </w:r>
          </w:p>
        </w:tc>
        <w:tc>
          <w:tcPr>
            <w:tcW w:w="705" w:type="dxa"/>
            <w:gridSpan w:val="2"/>
            <w:vAlign w:val="center"/>
          </w:tcPr>
          <w:p w14:paraId="419AD80C">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二</w:t>
            </w:r>
          </w:p>
        </w:tc>
        <w:tc>
          <w:tcPr>
            <w:tcW w:w="435" w:type="dxa"/>
            <w:vAlign w:val="center"/>
          </w:tcPr>
          <w:p w14:paraId="4C5AB10D">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一</w:t>
            </w:r>
          </w:p>
        </w:tc>
      </w:tr>
      <w:tr w14:paraId="71FA9F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48" w:type="dxa"/>
            <w:vMerge w:val="continue"/>
            <w:vAlign w:val="center"/>
          </w:tcPr>
          <w:p w14:paraId="36273AD0">
            <w:pPr>
              <w:pStyle w:val="49"/>
              <w:rPr>
                <w:rFonts w:hint="eastAsia" w:ascii="Times New Roman" w:hAnsi="Times New Roman" w:cs="Times New Roman"/>
                <w:color w:val="auto"/>
                <w:sz w:val="16"/>
                <w:szCs w:val="22"/>
                <w:highlight w:val="none"/>
              </w:rPr>
            </w:pPr>
          </w:p>
        </w:tc>
        <w:tc>
          <w:tcPr>
            <w:tcW w:w="712" w:type="dxa"/>
            <w:vMerge w:val="restart"/>
            <w:vAlign w:val="center"/>
          </w:tcPr>
          <w:p w14:paraId="7C61CFCD">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部分框支模块化叠合剪力墙结构</w:t>
            </w:r>
          </w:p>
        </w:tc>
        <w:tc>
          <w:tcPr>
            <w:tcW w:w="781" w:type="dxa"/>
            <w:vAlign w:val="center"/>
          </w:tcPr>
          <w:p w14:paraId="077D5DC7">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现浇框支框架</w:t>
            </w:r>
          </w:p>
        </w:tc>
        <w:tc>
          <w:tcPr>
            <w:tcW w:w="585" w:type="dxa"/>
            <w:vAlign w:val="center"/>
          </w:tcPr>
          <w:p w14:paraId="7E4FFB4E">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二</w:t>
            </w:r>
          </w:p>
        </w:tc>
        <w:tc>
          <w:tcPr>
            <w:tcW w:w="585" w:type="dxa"/>
            <w:vAlign w:val="center"/>
          </w:tcPr>
          <w:p w14:paraId="67D5F433">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二</w:t>
            </w:r>
          </w:p>
        </w:tc>
        <w:tc>
          <w:tcPr>
            <w:tcW w:w="425" w:type="dxa"/>
            <w:vAlign w:val="center"/>
          </w:tcPr>
          <w:p w14:paraId="10C6EE35">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二</w:t>
            </w:r>
          </w:p>
        </w:tc>
        <w:tc>
          <w:tcPr>
            <w:tcW w:w="717" w:type="dxa"/>
            <w:gridSpan w:val="2"/>
            <w:vAlign w:val="center"/>
          </w:tcPr>
          <w:p w14:paraId="3862796E">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二</w:t>
            </w:r>
          </w:p>
        </w:tc>
        <w:tc>
          <w:tcPr>
            <w:tcW w:w="435" w:type="dxa"/>
            <w:vAlign w:val="center"/>
          </w:tcPr>
          <w:p w14:paraId="6B351857">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一</w:t>
            </w:r>
          </w:p>
        </w:tc>
        <w:tc>
          <w:tcPr>
            <w:tcW w:w="420" w:type="dxa"/>
            <w:vAlign w:val="center"/>
          </w:tcPr>
          <w:p w14:paraId="126E7E82">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一</w:t>
            </w:r>
          </w:p>
        </w:tc>
        <w:tc>
          <w:tcPr>
            <w:tcW w:w="705" w:type="dxa"/>
            <w:gridSpan w:val="2"/>
            <w:vAlign w:val="center"/>
          </w:tcPr>
          <w:p w14:paraId="0947A9E2">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一</w:t>
            </w:r>
          </w:p>
        </w:tc>
        <w:tc>
          <w:tcPr>
            <w:tcW w:w="435" w:type="dxa"/>
            <w:vAlign w:val="center"/>
          </w:tcPr>
          <w:p w14:paraId="1B503F82">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w:t>
            </w:r>
          </w:p>
        </w:tc>
      </w:tr>
      <w:tr w14:paraId="4F7821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48" w:type="dxa"/>
            <w:vMerge w:val="continue"/>
            <w:vAlign w:val="center"/>
          </w:tcPr>
          <w:p w14:paraId="79CE8DA2">
            <w:pPr>
              <w:pStyle w:val="49"/>
              <w:rPr>
                <w:rFonts w:hint="eastAsia" w:ascii="Times New Roman" w:hAnsi="Times New Roman" w:cs="Times New Roman"/>
                <w:color w:val="auto"/>
                <w:sz w:val="16"/>
                <w:szCs w:val="22"/>
                <w:highlight w:val="none"/>
              </w:rPr>
            </w:pPr>
          </w:p>
        </w:tc>
        <w:tc>
          <w:tcPr>
            <w:tcW w:w="712" w:type="dxa"/>
            <w:vMerge w:val="continue"/>
            <w:vAlign w:val="center"/>
          </w:tcPr>
          <w:p w14:paraId="531B69EF">
            <w:pPr>
              <w:pStyle w:val="49"/>
              <w:rPr>
                <w:rFonts w:hint="eastAsia" w:ascii="Times New Roman" w:hAnsi="Times New Roman" w:cs="Times New Roman"/>
                <w:color w:val="auto"/>
                <w:sz w:val="16"/>
                <w:szCs w:val="22"/>
                <w:highlight w:val="none"/>
              </w:rPr>
            </w:pPr>
          </w:p>
        </w:tc>
        <w:tc>
          <w:tcPr>
            <w:tcW w:w="781" w:type="dxa"/>
            <w:vAlign w:val="center"/>
          </w:tcPr>
          <w:p w14:paraId="1694E53C">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底部加强部位剪力墙</w:t>
            </w:r>
          </w:p>
        </w:tc>
        <w:tc>
          <w:tcPr>
            <w:tcW w:w="585" w:type="dxa"/>
            <w:vAlign w:val="center"/>
          </w:tcPr>
          <w:p w14:paraId="24232576">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三</w:t>
            </w:r>
          </w:p>
        </w:tc>
        <w:tc>
          <w:tcPr>
            <w:tcW w:w="585" w:type="dxa"/>
            <w:vAlign w:val="center"/>
          </w:tcPr>
          <w:p w14:paraId="7ECEB436">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二</w:t>
            </w:r>
          </w:p>
        </w:tc>
        <w:tc>
          <w:tcPr>
            <w:tcW w:w="425" w:type="dxa"/>
            <w:vAlign w:val="center"/>
          </w:tcPr>
          <w:p w14:paraId="0C4B65E1">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三</w:t>
            </w:r>
          </w:p>
        </w:tc>
        <w:tc>
          <w:tcPr>
            <w:tcW w:w="717" w:type="dxa"/>
            <w:gridSpan w:val="2"/>
            <w:vAlign w:val="center"/>
          </w:tcPr>
          <w:p w14:paraId="70F4D157">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二</w:t>
            </w:r>
          </w:p>
        </w:tc>
        <w:tc>
          <w:tcPr>
            <w:tcW w:w="435" w:type="dxa"/>
            <w:vAlign w:val="center"/>
          </w:tcPr>
          <w:p w14:paraId="007B9147">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一</w:t>
            </w:r>
          </w:p>
        </w:tc>
        <w:tc>
          <w:tcPr>
            <w:tcW w:w="420" w:type="dxa"/>
            <w:vAlign w:val="center"/>
          </w:tcPr>
          <w:p w14:paraId="3F252E82">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二</w:t>
            </w:r>
          </w:p>
        </w:tc>
        <w:tc>
          <w:tcPr>
            <w:tcW w:w="705" w:type="dxa"/>
            <w:gridSpan w:val="2"/>
            <w:vAlign w:val="center"/>
          </w:tcPr>
          <w:p w14:paraId="64B7414C">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一</w:t>
            </w:r>
          </w:p>
        </w:tc>
        <w:tc>
          <w:tcPr>
            <w:tcW w:w="435" w:type="dxa"/>
            <w:vAlign w:val="center"/>
          </w:tcPr>
          <w:p w14:paraId="77B2BC26">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w:t>
            </w:r>
          </w:p>
        </w:tc>
      </w:tr>
      <w:tr w14:paraId="2A4AC9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48" w:type="dxa"/>
            <w:vMerge w:val="continue"/>
            <w:vAlign w:val="center"/>
          </w:tcPr>
          <w:p w14:paraId="6F95EC70">
            <w:pPr>
              <w:pStyle w:val="49"/>
              <w:rPr>
                <w:rFonts w:hint="eastAsia" w:ascii="Times New Roman" w:hAnsi="Times New Roman" w:cs="Times New Roman"/>
                <w:color w:val="auto"/>
                <w:sz w:val="16"/>
                <w:szCs w:val="22"/>
                <w:highlight w:val="none"/>
              </w:rPr>
            </w:pPr>
          </w:p>
        </w:tc>
        <w:tc>
          <w:tcPr>
            <w:tcW w:w="712" w:type="dxa"/>
            <w:vMerge w:val="continue"/>
            <w:vAlign w:val="center"/>
          </w:tcPr>
          <w:p w14:paraId="4B89AC77">
            <w:pPr>
              <w:pStyle w:val="49"/>
              <w:rPr>
                <w:rFonts w:hint="eastAsia" w:ascii="Times New Roman" w:hAnsi="Times New Roman" w:cs="Times New Roman"/>
                <w:color w:val="auto"/>
                <w:sz w:val="16"/>
                <w:szCs w:val="22"/>
                <w:highlight w:val="none"/>
              </w:rPr>
            </w:pPr>
          </w:p>
        </w:tc>
        <w:tc>
          <w:tcPr>
            <w:tcW w:w="781" w:type="dxa"/>
            <w:vAlign w:val="center"/>
          </w:tcPr>
          <w:p w14:paraId="732B1B9E">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其他区域剪力墙</w:t>
            </w:r>
          </w:p>
        </w:tc>
        <w:tc>
          <w:tcPr>
            <w:tcW w:w="585" w:type="dxa"/>
            <w:vAlign w:val="center"/>
          </w:tcPr>
          <w:p w14:paraId="3E336AEB">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四</w:t>
            </w:r>
          </w:p>
        </w:tc>
        <w:tc>
          <w:tcPr>
            <w:tcW w:w="585" w:type="dxa"/>
            <w:vAlign w:val="center"/>
          </w:tcPr>
          <w:p w14:paraId="0FC9BF31">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三</w:t>
            </w:r>
          </w:p>
        </w:tc>
        <w:tc>
          <w:tcPr>
            <w:tcW w:w="425" w:type="dxa"/>
            <w:vAlign w:val="center"/>
          </w:tcPr>
          <w:p w14:paraId="4936BB34">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四</w:t>
            </w:r>
          </w:p>
        </w:tc>
        <w:tc>
          <w:tcPr>
            <w:tcW w:w="717" w:type="dxa"/>
            <w:gridSpan w:val="2"/>
            <w:vAlign w:val="center"/>
          </w:tcPr>
          <w:p w14:paraId="449BB3FC">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三</w:t>
            </w:r>
          </w:p>
        </w:tc>
        <w:tc>
          <w:tcPr>
            <w:tcW w:w="435" w:type="dxa"/>
            <w:vAlign w:val="center"/>
          </w:tcPr>
          <w:p w14:paraId="4FBE5E86">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二</w:t>
            </w:r>
          </w:p>
        </w:tc>
        <w:tc>
          <w:tcPr>
            <w:tcW w:w="420" w:type="dxa"/>
            <w:vAlign w:val="center"/>
          </w:tcPr>
          <w:p w14:paraId="332BD64A">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三</w:t>
            </w:r>
          </w:p>
        </w:tc>
        <w:tc>
          <w:tcPr>
            <w:tcW w:w="705" w:type="dxa"/>
            <w:gridSpan w:val="2"/>
            <w:vAlign w:val="center"/>
          </w:tcPr>
          <w:p w14:paraId="63F3D70E">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二</w:t>
            </w:r>
          </w:p>
        </w:tc>
        <w:tc>
          <w:tcPr>
            <w:tcW w:w="435" w:type="dxa"/>
            <w:vAlign w:val="center"/>
          </w:tcPr>
          <w:p w14:paraId="3DB6F8BD">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一</w:t>
            </w:r>
          </w:p>
        </w:tc>
      </w:tr>
    </w:tbl>
    <w:p w14:paraId="5B003FEB">
      <w:pPr>
        <w:rPr>
          <w:highlight w:val="none"/>
        </w:rPr>
      </w:pPr>
    </w:p>
    <w:p w14:paraId="4F98EDE8">
      <w:pPr>
        <w:rPr>
          <w:highlight w:val="none"/>
        </w:rPr>
      </w:pPr>
    </w:p>
    <w:p w14:paraId="6D11B1F5">
      <w:pPr>
        <w:pStyle w:val="52"/>
        <w:spacing w:line="360" w:lineRule="exact"/>
        <w:ind w:firstLine="0" w:firstLineChars="0"/>
        <w:jc w:val="center"/>
        <w:rPr>
          <w:highlight w:val="none"/>
        </w:rPr>
      </w:pPr>
      <w:r>
        <w:rPr>
          <w:rFonts w:hint="default" w:ascii="Times New Roman" w:hAnsi="Times New Roman" w:eastAsia="黑体" w:cs="Times New Roman"/>
          <w:color w:val="auto"/>
          <w:kern w:val="0"/>
          <w:sz w:val="18"/>
          <w:szCs w:val="21"/>
          <w:highlight w:val="none"/>
          <w:lang w:val="en-US" w:eastAsia="zh-CN"/>
        </w:rPr>
        <w:t>续表</w:t>
      </w:r>
      <w:r>
        <w:rPr>
          <w:rFonts w:hint="default" w:ascii="Times New Roman" w:hAnsi="Times New Roman" w:eastAsia="黑体" w:cs="Times New Roman"/>
          <w:b/>
          <w:bCs/>
          <w:color w:val="auto"/>
          <w:kern w:val="0"/>
          <w:sz w:val="18"/>
          <w:szCs w:val="21"/>
          <w:highlight w:val="none"/>
          <w:lang w:val="en-US" w:eastAsia="zh-CN"/>
        </w:rPr>
        <w:t>6.1.3</w:t>
      </w:r>
    </w:p>
    <w:tbl>
      <w:tblPr>
        <w:tblStyle w:val="25"/>
        <w:tblW w:w="634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8"/>
        <w:gridCol w:w="712"/>
        <w:gridCol w:w="781"/>
        <w:gridCol w:w="585"/>
        <w:gridCol w:w="585"/>
        <w:gridCol w:w="425"/>
        <w:gridCol w:w="717"/>
        <w:gridCol w:w="435"/>
        <w:gridCol w:w="420"/>
        <w:gridCol w:w="705"/>
        <w:gridCol w:w="435"/>
      </w:tblGrid>
      <w:tr w14:paraId="06EB2F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48" w:type="dxa"/>
            <w:vMerge w:val="restart"/>
            <w:vAlign w:val="center"/>
          </w:tcPr>
          <w:p w14:paraId="28F0E105">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模块化</w:t>
            </w:r>
            <w:r>
              <w:rPr>
                <w:rFonts w:hint="eastAsia" w:ascii="Times New Roman" w:hAnsi="Times New Roman" w:cs="Times New Roman"/>
                <w:color w:val="auto"/>
                <w:sz w:val="16"/>
                <w:szCs w:val="22"/>
                <w:highlight w:val="none"/>
                <w:lang w:val="en-US" w:eastAsia="zh-CN"/>
              </w:rPr>
              <w:t>现浇</w:t>
            </w:r>
            <w:r>
              <w:rPr>
                <w:rFonts w:hint="eastAsia" w:ascii="Times New Roman" w:hAnsi="Times New Roman" w:cs="Times New Roman"/>
                <w:color w:val="auto"/>
                <w:sz w:val="16"/>
                <w:szCs w:val="22"/>
                <w:highlight w:val="none"/>
              </w:rPr>
              <w:t>剪力墙</w:t>
            </w:r>
          </w:p>
        </w:tc>
        <w:tc>
          <w:tcPr>
            <w:tcW w:w="712" w:type="dxa"/>
            <w:vMerge w:val="restart"/>
            <w:vAlign w:val="center"/>
          </w:tcPr>
          <w:p w14:paraId="3BC174B2">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模块化</w:t>
            </w:r>
            <w:r>
              <w:rPr>
                <w:rFonts w:hint="eastAsia" w:ascii="Times New Roman" w:hAnsi="Times New Roman" w:cs="Times New Roman"/>
                <w:color w:val="auto"/>
                <w:sz w:val="16"/>
                <w:szCs w:val="22"/>
                <w:highlight w:val="none"/>
                <w:lang w:val="en-US" w:eastAsia="zh-CN"/>
              </w:rPr>
              <w:t>现浇</w:t>
            </w:r>
            <w:r>
              <w:rPr>
                <w:rFonts w:hint="eastAsia" w:ascii="Times New Roman" w:hAnsi="Times New Roman" w:cs="Times New Roman"/>
                <w:color w:val="auto"/>
                <w:sz w:val="16"/>
                <w:szCs w:val="22"/>
                <w:highlight w:val="none"/>
              </w:rPr>
              <w:t>剪力墙结构</w:t>
            </w:r>
          </w:p>
        </w:tc>
        <w:tc>
          <w:tcPr>
            <w:tcW w:w="781" w:type="dxa"/>
            <w:vAlign w:val="center"/>
          </w:tcPr>
          <w:p w14:paraId="28110591">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高度（m）</w:t>
            </w:r>
          </w:p>
        </w:tc>
        <w:tc>
          <w:tcPr>
            <w:tcW w:w="585" w:type="dxa"/>
            <w:vAlign w:val="center"/>
          </w:tcPr>
          <w:p w14:paraId="403787F2">
            <w:pPr>
              <w:pStyle w:val="49"/>
              <w:rPr>
                <w:rFonts w:hint="eastAsia" w:ascii="Times New Roman" w:hAnsi="Times New Roman" w:cs="Times New Roman"/>
                <w:color w:val="auto"/>
                <w:sz w:val="16"/>
                <w:szCs w:val="22"/>
                <w:highlight w:val="none"/>
              </w:rPr>
            </w:pPr>
            <w:r>
              <w:rPr>
                <w:rFonts w:hint="eastAsia" w:ascii="宋体" w:hAnsi="宋体" w:cs="宋体"/>
                <w:color w:val="auto"/>
                <w:sz w:val="16"/>
                <w:szCs w:val="22"/>
                <w:highlight w:val="none"/>
              </w:rPr>
              <w:t>≤80</w:t>
            </w:r>
          </w:p>
        </w:tc>
        <w:tc>
          <w:tcPr>
            <w:tcW w:w="585" w:type="dxa"/>
            <w:vAlign w:val="center"/>
          </w:tcPr>
          <w:p w14:paraId="05DD2398">
            <w:pPr>
              <w:pStyle w:val="49"/>
              <w:rPr>
                <w:rFonts w:hint="eastAsia" w:ascii="Times New Roman" w:hAnsi="Times New Roman" w:cs="Times New Roman"/>
                <w:color w:val="auto"/>
                <w:sz w:val="16"/>
                <w:szCs w:val="22"/>
                <w:highlight w:val="none"/>
              </w:rPr>
            </w:pPr>
            <w:r>
              <w:rPr>
                <w:rFonts w:hint="eastAsia" w:ascii="宋体" w:hAnsi="宋体" w:cs="宋体"/>
                <w:color w:val="auto"/>
                <w:sz w:val="16"/>
                <w:szCs w:val="22"/>
                <w:highlight w:val="none"/>
              </w:rPr>
              <w:t>＞80</w:t>
            </w:r>
          </w:p>
        </w:tc>
        <w:tc>
          <w:tcPr>
            <w:tcW w:w="425" w:type="dxa"/>
            <w:vAlign w:val="center"/>
          </w:tcPr>
          <w:p w14:paraId="644ECB56">
            <w:pPr>
              <w:pStyle w:val="49"/>
              <w:rPr>
                <w:rFonts w:hint="eastAsia" w:ascii="Times New Roman" w:hAnsi="Times New Roman" w:cs="Times New Roman"/>
                <w:color w:val="auto"/>
                <w:sz w:val="16"/>
                <w:szCs w:val="22"/>
                <w:highlight w:val="none"/>
              </w:rPr>
            </w:pPr>
            <w:r>
              <w:rPr>
                <w:rFonts w:hint="eastAsia" w:ascii="宋体" w:hAnsi="宋体" w:cs="宋体"/>
                <w:color w:val="auto"/>
                <w:sz w:val="16"/>
                <w:szCs w:val="22"/>
                <w:highlight w:val="none"/>
              </w:rPr>
              <w:t>≤24</w:t>
            </w:r>
          </w:p>
        </w:tc>
        <w:tc>
          <w:tcPr>
            <w:tcW w:w="717" w:type="dxa"/>
            <w:vAlign w:val="center"/>
          </w:tcPr>
          <w:p w14:paraId="0DCE856A">
            <w:pPr>
              <w:pStyle w:val="49"/>
              <w:rPr>
                <w:rFonts w:hint="eastAsia" w:ascii="Times New Roman" w:hAnsi="Times New Roman" w:cs="Times New Roman"/>
                <w:color w:val="auto"/>
                <w:sz w:val="16"/>
                <w:szCs w:val="22"/>
                <w:highlight w:val="none"/>
              </w:rPr>
            </w:pPr>
            <w:r>
              <w:rPr>
                <w:rFonts w:hint="eastAsia" w:ascii="宋体" w:hAnsi="宋体" w:cs="宋体"/>
                <w:color w:val="auto"/>
                <w:sz w:val="16"/>
                <w:szCs w:val="22"/>
                <w:highlight w:val="none"/>
              </w:rPr>
              <w:t>＞24且≤80</w:t>
            </w:r>
          </w:p>
        </w:tc>
        <w:tc>
          <w:tcPr>
            <w:tcW w:w="435" w:type="dxa"/>
            <w:vAlign w:val="center"/>
          </w:tcPr>
          <w:p w14:paraId="7BEE0650">
            <w:pPr>
              <w:pStyle w:val="49"/>
              <w:rPr>
                <w:rFonts w:hint="eastAsia" w:ascii="Times New Roman" w:hAnsi="Times New Roman" w:cs="Times New Roman"/>
                <w:color w:val="auto"/>
                <w:sz w:val="16"/>
                <w:szCs w:val="22"/>
                <w:highlight w:val="none"/>
              </w:rPr>
            </w:pPr>
            <w:r>
              <w:rPr>
                <w:rFonts w:hint="eastAsia" w:ascii="宋体" w:hAnsi="宋体" w:cs="宋体"/>
                <w:color w:val="auto"/>
                <w:sz w:val="16"/>
                <w:szCs w:val="22"/>
                <w:highlight w:val="none"/>
              </w:rPr>
              <w:t>＞80</w:t>
            </w:r>
          </w:p>
        </w:tc>
        <w:tc>
          <w:tcPr>
            <w:tcW w:w="420" w:type="dxa"/>
            <w:vAlign w:val="center"/>
          </w:tcPr>
          <w:p w14:paraId="5AE2E4E5">
            <w:pPr>
              <w:pStyle w:val="49"/>
              <w:rPr>
                <w:rFonts w:hint="eastAsia" w:ascii="Times New Roman" w:hAnsi="Times New Roman" w:cs="Times New Roman"/>
                <w:color w:val="auto"/>
                <w:sz w:val="16"/>
                <w:szCs w:val="22"/>
                <w:highlight w:val="none"/>
              </w:rPr>
            </w:pPr>
            <w:r>
              <w:rPr>
                <w:rFonts w:hint="eastAsia" w:ascii="宋体" w:hAnsi="宋体" w:cs="宋体"/>
                <w:color w:val="auto"/>
                <w:sz w:val="16"/>
                <w:szCs w:val="22"/>
                <w:highlight w:val="none"/>
              </w:rPr>
              <w:t>≤24</w:t>
            </w:r>
          </w:p>
        </w:tc>
        <w:tc>
          <w:tcPr>
            <w:tcW w:w="705" w:type="dxa"/>
            <w:vAlign w:val="center"/>
          </w:tcPr>
          <w:p w14:paraId="4350B0CF">
            <w:pPr>
              <w:pStyle w:val="49"/>
              <w:rPr>
                <w:rFonts w:hint="eastAsia" w:ascii="Times New Roman" w:hAnsi="Times New Roman" w:cs="Times New Roman"/>
                <w:color w:val="auto"/>
                <w:sz w:val="16"/>
                <w:szCs w:val="22"/>
                <w:highlight w:val="none"/>
              </w:rPr>
            </w:pPr>
            <w:r>
              <w:rPr>
                <w:rFonts w:hint="eastAsia" w:ascii="宋体" w:hAnsi="宋体" w:cs="宋体"/>
                <w:color w:val="auto"/>
                <w:sz w:val="16"/>
                <w:szCs w:val="22"/>
                <w:highlight w:val="none"/>
              </w:rPr>
              <w:t>＞24且≤80</w:t>
            </w:r>
          </w:p>
        </w:tc>
        <w:tc>
          <w:tcPr>
            <w:tcW w:w="435" w:type="dxa"/>
            <w:vAlign w:val="center"/>
          </w:tcPr>
          <w:p w14:paraId="7B5E3837">
            <w:pPr>
              <w:pStyle w:val="49"/>
              <w:rPr>
                <w:rFonts w:hint="eastAsia" w:ascii="Times New Roman" w:hAnsi="Times New Roman" w:cs="Times New Roman"/>
                <w:color w:val="auto"/>
                <w:sz w:val="16"/>
                <w:szCs w:val="22"/>
                <w:highlight w:val="none"/>
              </w:rPr>
            </w:pPr>
            <w:r>
              <w:rPr>
                <w:rFonts w:hint="eastAsia" w:ascii="宋体" w:hAnsi="宋体" w:cs="宋体"/>
                <w:color w:val="auto"/>
                <w:sz w:val="16"/>
                <w:szCs w:val="22"/>
                <w:highlight w:val="none"/>
              </w:rPr>
              <w:t>＞80</w:t>
            </w:r>
          </w:p>
        </w:tc>
      </w:tr>
      <w:tr w14:paraId="7A2FED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48" w:type="dxa"/>
            <w:vMerge w:val="continue"/>
            <w:vAlign w:val="center"/>
          </w:tcPr>
          <w:p w14:paraId="3D737140">
            <w:pPr>
              <w:pStyle w:val="49"/>
              <w:rPr>
                <w:rFonts w:hint="eastAsia" w:ascii="Times New Roman" w:hAnsi="Times New Roman" w:cs="Times New Roman"/>
                <w:color w:val="auto"/>
                <w:sz w:val="16"/>
                <w:szCs w:val="22"/>
                <w:highlight w:val="none"/>
              </w:rPr>
            </w:pPr>
          </w:p>
        </w:tc>
        <w:tc>
          <w:tcPr>
            <w:tcW w:w="712" w:type="dxa"/>
            <w:vMerge w:val="continue"/>
            <w:vAlign w:val="center"/>
          </w:tcPr>
          <w:p w14:paraId="6D392869">
            <w:pPr>
              <w:pStyle w:val="49"/>
              <w:rPr>
                <w:rFonts w:hint="eastAsia" w:ascii="Times New Roman" w:hAnsi="Times New Roman" w:cs="Times New Roman"/>
                <w:color w:val="auto"/>
                <w:sz w:val="16"/>
                <w:szCs w:val="22"/>
                <w:highlight w:val="none"/>
              </w:rPr>
            </w:pPr>
          </w:p>
        </w:tc>
        <w:tc>
          <w:tcPr>
            <w:tcW w:w="781" w:type="dxa"/>
            <w:vAlign w:val="center"/>
          </w:tcPr>
          <w:p w14:paraId="3003F5DA">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剪力墙</w:t>
            </w:r>
          </w:p>
        </w:tc>
        <w:tc>
          <w:tcPr>
            <w:tcW w:w="585" w:type="dxa"/>
            <w:vAlign w:val="center"/>
          </w:tcPr>
          <w:p w14:paraId="1A268E20">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四</w:t>
            </w:r>
          </w:p>
        </w:tc>
        <w:tc>
          <w:tcPr>
            <w:tcW w:w="585" w:type="dxa"/>
            <w:vAlign w:val="center"/>
          </w:tcPr>
          <w:p w14:paraId="144171DE">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三</w:t>
            </w:r>
          </w:p>
        </w:tc>
        <w:tc>
          <w:tcPr>
            <w:tcW w:w="425" w:type="dxa"/>
            <w:vAlign w:val="center"/>
          </w:tcPr>
          <w:p w14:paraId="3652352A">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四</w:t>
            </w:r>
          </w:p>
        </w:tc>
        <w:tc>
          <w:tcPr>
            <w:tcW w:w="717" w:type="dxa"/>
            <w:vAlign w:val="center"/>
          </w:tcPr>
          <w:p w14:paraId="780B5459">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三</w:t>
            </w:r>
          </w:p>
        </w:tc>
        <w:tc>
          <w:tcPr>
            <w:tcW w:w="435" w:type="dxa"/>
            <w:vAlign w:val="center"/>
          </w:tcPr>
          <w:p w14:paraId="1523CEEB">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二</w:t>
            </w:r>
          </w:p>
        </w:tc>
        <w:tc>
          <w:tcPr>
            <w:tcW w:w="420" w:type="dxa"/>
            <w:vAlign w:val="center"/>
          </w:tcPr>
          <w:p w14:paraId="7D2D9E72">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三</w:t>
            </w:r>
          </w:p>
        </w:tc>
        <w:tc>
          <w:tcPr>
            <w:tcW w:w="705" w:type="dxa"/>
            <w:vAlign w:val="center"/>
          </w:tcPr>
          <w:p w14:paraId="4ABC613C">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二</w:t>
            </w:r>
          </w:p>
        </w:tc>
        <w:tc>
          <w:tcPr>
            <w:tcW w:w="435" w:type="dxa"/>
            <w:vAlign w:val="center"/>
          </w:tcPr>
          <w:p w14:paraId="559B1EA6">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一</w:t>
            </w:r>
          </w:p>
        </w:tc>
      </w:tr>
      <w:tr w14:paraId="75184C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48" w:type="dxa"/>
            <w:vMerge w:val="continue"/>
            <w:vAlign w:val="center"/>
          </w:tcPr>
          <w:p w14:paraId="6A008853">
            <w:pPr>
              <w:pStyle w:val="49"/>
              <w:rPr>
                <w:rFonts w:hint="eastAsia" w:ascii="Times New Roman" w:hAnsi="Times New Roman" w:cs="Times New Roman"/>
                <w:color w:val="auto"/>
                <w:sz w:val="16"/>
                <w:szCs w:val="22"/>
                <w:highlight w:val="none"/>
              </w:rPr>
            </w:pPr>
          </w:p>
        </w:tc>
        <w:tc>
          <w:tcPr>
            <w:tcW w:w="712" w:type="dxa"/>
            <w:vMerge w:val="restart"/>
            <w:vAlign w:val="center"/>
          </w:tcPr>
          <w:p w14:paraId="2FCC0148">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部分框支模块化</w:t>
            </w:r>
            <w:r>
              <w:rPr>
                <w:rFonts w:hint="eastAsia" w:ascii="Times New Roman" w:hAnsi="Times New Roman" w:cs="Times New Roman"/>
                <w:color w:val="auto"/>
                <w:sz w:val="16"/>
                <w:szCs w:val="22"/>
                <w:highlight w:val="none"/>
                <w:lang w:val="en-US" w:eastAsia="zh-CN"/>
              </w:rPr>
              <w:t>现浇</w:t>
            </w:r>
            <w:r>
              <w:rPr>
                <w:rFonts w:hint="eastAsia" w:ascii="Times New Roman" w:hAnsi="Times New Roman" w:cs="Times New Roman"/>
                <w:color w:val="auto"/>
                <w:sz w:val="16"/>
                <w:szCs w:val="22"/>
                <w:highlight w:val="none"/>
              </w:rPr>
              <w:t>剪力墙结构</w:t>
            </w:r>
          </w:p>
        </w:tc>
        <w:tc>
          <w:tcPr>
            <w:tcW w:w="781" w:type="dxa"/>
            <w:vAlign w:val="center"/>
          </w:tcPr>
          <w:p w14:paraId="36EDFA63">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现浇框支框架</w:t>
            </w:r>
          </w:p>
        </w:tc>
        <w:tc>
          <w:tcPr>
            <w:tcW w:w="585" w:type="dxa"/>
            <w:vAlign w:val="center"/>
          </w:tcPr>
          <w:p w14:paraId="17E6873C">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二</w:t>
            </w:r>
          </w:p>
        </w:tc>
        <w:tc>
          <w:tcPr>
            <w:tcW w:w="585" w:type="dxa"/>
            <w:vAlign w:val="center"/>
          </w:tcPr>
          <w:p w14:paraId="3AEFED68">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二</w:t>
            </w:r>
          </w:p>
        </w:tc>
        <w:tc>
          <w:tcPr>
            <w:tcW w:w="425" w:type="dxa"/>
            <w:vAlign w:val="center"/>
          </w:tcPr>
          <w:p w14:paraId="1F6637F3">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二</w:t>
            </w:r>
          </w:p>
        </w:tc>
        <w:tc>
          <w:tcPr>
            <w:tcW w:w="717" w:type="dxa"/>
            <w:vAlign w:val="center"/>
          </w:tcPr>
          <w:p w14:paraId="6D819DCB">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二</w:t>
            </w:r>
          </w:p>
        </w:tc>
        <w:tc>
          <w:tcPr>
            <w:tcW w:w="435" w:type="dxa"/>
            <w:vAlign w:val="center"/>
          </w:tcPr>
          <w:p w14:paraId="6C55ACC3">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一</w:t>
            </w:r>
          </w:p>
        </w:tc>
        <w:tc>
          <w:tcPr>
            <w:tcW w:w="420" w:type="dxa"/>
            <w:vAlign w:val="center"/>
          </w:tcPr>
          <w:p w14:paraId="06F823D7">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一</w:t>
            </w:r>
          </w:p>
        </w:tc>
        <w:tc>
          <w:tcPr>
            <w:tcW w:w="705" w:type="dxa"/>
            <w:vAlign w:val="center"/>
          </w:tcPr>
          <w:p w14:paraId="59BF9CAF">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一</w:t>
            </w:r>
          </w:p>
        </w:tc>
        <w:tc>
          <w:tcPr>
            <w:tcW w:w="435" w:type="dxa"/>
            <w:vMerge w:val="restart"/>
            <w:vAlign w:val="center"/>
          </w:tcPr>
          <w:p w14:paraId="33A36C32">
            <w:pPr>
              <w:pStyle w:val="49"/>
              <w:rPr>
                <w:rFonts w:hint="default" w:ascii="Times New Roman" w:hAnsi="Times New Roman" w:eastAsia="宋体" w:cs="Times New Roman"/>
                <w:color w:val="auto"/>
                <w:sz w:val="16"/>
                <w:szCs w:val="22"/>
                <w:highlight w:val="none"/>
                <w:lang w:val="en-US" w:eastAsia="zh-CN"/>
              </w:rPr>
            </w:pPr>
            <w:r>
              <w:rPr>
                <w:rFonts w:hint="eastAsia" w:ascii="Times New Roman" w:hAnsi="Times New Roman" w:eastAsia="宋体" w:cs="Times New Roman"/>
                <w:color w:val="auto"/>
                <w:sz w:val="16"/>
                <w:szCs w:val="22"/>
                <w:highlight w:val="none"/>
                <w:lang w:val="en-US" w:eastAsia="zh-CN"/>
              </w:rPr>
              <w:t>/</w:t>
            </w:r>
          </w:p>
        </w:tc>
      </w:tr>
      <w:tr w14:paraId="48CC5F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48" w:type="dxa"/>
            <w:vMerge w:val="continue"/>
            <w:vAlign w:val="center"/>
          </w:tcPr>
          <w:p w14:paraId="1F1EDD71">
            <w:pPr>
              <w:pStyle w:val="49"/>
              <w:rPr>
                <w:rFonts w:hint="eastAsia" w:ascii="Times New Roman" w:hAnsi="Times New Roman" w:cs="Times New Roman"/>
                <w:color w:val="auto"/>
                <w:sz w:val="16"/>
                <w:szCs w:val="22"/>
                <w:highlight w:val="none"/>
              </w:rPr>
            </w:pPr>
          </w:p>
        </w:tc>
        <w:tc>
          <w:tcPr>
            <w:tcW w:w="712" w:type="dxa"/>
            <w:vMerge w:val="continue"/>
            <w:vAlign w:val="center"/>
          </w:tcPr>
          <w:p w14:paraId="4E68B30C">
            <w:pPr>
              <w:pStyle w:val="49"/>
              <w:rPr>
                <w:rFonts w:hint="eastAsia" w:ascii="Times New Roman" w:hAnsi="Times New Roman" w:cs="Times New Roman"/>
                <w:color w:val="auto"/>
                <w:sz w:val="16"/>
                <w:szCs w:val="22"/>
                <w:highlight w:val="none"/>
              </w:rPr>
            </w:pPr>
          </w:p>
        </w:tc>
        <w:tc>
          <w:tcPr>
            <w:tcW w:w="781" w:type="dxa"/>
            <w:vAlign w:val="center"/>
          </w:tcPr>
          <w:p w14:paraId="11CE6300">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底部加强部位剪力墙</w:t>
            </w:r>
          </w:p>
        </w:tc>
        <w:tc>
          <w:tcPr>
            <w:tcW w:w="585" w:type="dxa"/>
            <w:vAlign w:val="center"/>
          </w:tcPr>
          <w:p w14:paraId="1D66C87E">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三</w:t>
            </w:r>
          </w:p>
        </w:tc>
        <w:tc>
          <w:tcPr>
            <w:tcW w:w="585" w:type="dxa"/>
            <w:vAlign w:val="center"/>
          </w:tcPr>
          <w:p w14:paraId="17289DBC">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二</w:t>
            </w:r>
          </w:p>
        </w:tc>
        <w:tc>
          <w:tcPr>
            <w:tcW w:w="425" w:type="dxa"/>
            <w:vAlign w:val="center"/>
          </w:tcPr>
          <w:p w14:paraId="2D00E5C1">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三</w:t>
            </w:r>
          </w:p>
        </w:tc>
        <w:tc>
          <w:tcPr>
            <w:tcW w:w="717" w:type="dxa"/>
            <w:vAlign w:val="center"/>
          </w:tcPr>
          <w:p w14:paraId="3CE32D92">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二</w:t>
            </w:r>
          </w:p>
        </w:tc>
        <w:tc>
          <w:tcPr>
            <w:tcW w:w="435" w:type="dxa"/>
            <w:vAlign w:val="center"/>
          </w:tcPr>
          <w:p w14:paraId="0F5F148A">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一</w:t>
            </w:r>
          </w:p>
        </w:tc>
        <w:tc>
          <w:tcPr>
            <w:tcW w:w="420" w:type="dxa"/>
            <w:vAlign w:val="center"/>
          </w:tcPr>
          <w:p w14:paraId="1A29B18D">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二</w:t>
            </w:r>
          </w:p>
        </w:tc>
        <w:tc>
          <w:tcPr>
            <w:tcW w:w="705" w:type="dxa"/>
            <w:vAlign w:val="center"/>
          </w:tcPr>
          <w:p w14:paraId="34CED6E2">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一</w:t>
            </w:r>
          </w:p>
        </w:tc>
        <w:tc>
          <w:tcPr>
            <w:tcW w:w="435" w:type="dxa"/>
            <w:vMerge w:val="continue"/>
            <w:vAlign w:val="center"/>
          </w:tcPr>
          <w:p w14:paraId="75CFEFDE">
            <w:pPr>
              <w:pStyle w:val="49"/>
              <w:rPr>
                <w:rFonts w:hint="eastAsia" w:ascii="Times New Roman" w:hAnsi="Times New Roman" w:cs="Times New Roman"/>
                <w:color w:val="auto"/>
                <w:sz w:val="16"/>
                <w:szCs w:val="22"/>
                <w:highlight w:val="none"/>
              </w:rPr>
            </w:pPr>
          </w:p>
        </w:tc>
      </w:tr>
      <w:tr w14:paraId="3B3442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48" w:type="dxa"/>
            <w:vMerge w:val="continue"/>
            <w:vAlign w:val="center"/>
          </w:tcPr>
          <w:p w14:paraId="05B92C16">
            <w:pPr>
              <w:pStyle w:val="49"/>
              <w:rPr>
                <w:rFonts w:hint="eastAsia" w:ascii="Times New Roman" w:hAnsi="Times New Roman" w:cs="Times New Roman"/>
                <w:color w:val="auto"/>
                <w:sz w:val="16"/>
                <w:szCs w:val="22"/>
                <w:highlight w:val="none"/>
              </w:rPr>
            </w:pPr>
          </w:p>
        </w:tc>
        <w:tc>
          <w:tcPr>
            <w:tcW w:w="712" w:type="dxa"/>
            <w:vMerge w:val="continue"/>
            <w:vAlign w:val="center"/>
          </w:tcPr>
          <w:p w14:paraId="3EAD7633">
            <w:pPr>
              <w:pStyle w:val="49"/>
              <w:rPr>
                <w:rFonts w:hint="eastAsia" w:ascii="Times New Roman" w:hAnsi="Times New Roman" w:cs="Times New Roman"/>
                <w:color w:val="auto"/>
                <w:sz w:val="16"/>
                <w:szCs w:val="22"/>
                <w:highlight w:val="none"/>
              </w:rPr>
            </w:pPr>
          </w:p>
        </w:tc>
        <w:tc>
          <w:tcPr>
            <w:tcW w:w="781" w:type="dxa"/>
            <w:vAlign w:val="center"/>
          </w:tcPr>
          <w:p w14:paraId="093200E3">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其他区域剪力墙</w:t>
            </w:r>
          </w:p>
        </w:tc>
        <w:tc>
          <w:tcPr>
            <w:tcW w:w="585" w:type="dxa"/>
            <w:vAlign w:val="center"/>
          </w:tcPr>
          <w:p w14:paraId="41FE56F3">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四</w:t>
            </w:r>
          </w:p>
        </w:tc>
        <w:tc>
          <w:tcPr>
            <w:tcW w:w="585" w:type="dxa"/>
            <w:vAlign w:val="center"/>
          </w:tcPr>
          <w:p w14:paraId="78A09EFD">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三</w:t>
            </w:r>
          </w:p>
        </w:tc>
        <w:tc>
          <w:tcPr>
            <w:tcW w:w="425" w:type="dxa"/>
            <w:vAlign w:val="center"/>
          </w:tcPr>
          <w:p w14:paraId="09D6CE88">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四</w:t>
            </w:r>
          </w:p>
        </w:tc>
        <w:tc>
          <w:tcPr>
            <w:tcW w:w="717" w:type="dxa"/>
            <w:vAlign w:val="center"/>
          </w:tcPr>
          <w:p w14:paraId="2090C74F">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三</w:t>
            </w:r>
          </w:p>
        </w:tc>
        <w:tc>
          <w:tcPr>
            <w:tcW w:w="435" w:type="dxa"/>
            <w:vAlign w:val="center"/>
          </w:tcPr>
          <w:p w14:paraId="38268F4F">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二</w:t>
            </w:r>
          </w:p>
        </w:tc>
        <w:tc>
          <w:tcPr>
            <w:tcW w:w="420" w:type="dxa"/>
            <w:vAlign w:val="center"/>
          </w:tcPr>
          <w:p w14:paraId="708890AE">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三</w:t>
            </w:r>
          </w:p>
        </w:tc>
        <w:tc>
          <w:tcPr>
            <w:tcW w:w="705" w:type="dxa"/>
            <w:vAlign w:val="center"/>
          </w:tcPr>
          <w:p w14:paraId="52DF53E9">
            <w:pPr>
              <w:pStyle w:val="49"/>
              <w:rPr>
                <w:rFonts w:hint="eastAsia" w:ascii="Times New Roman" w:hAnsi="Times New Roman" w:cs="Times New Roman"/>
                <w:color w:val="auto"/>
                <w:sz w:val="16"/>
                <w:szCs w:val="22"/>
                <w:highlight w:val="none"/>
              </w:rPr>
            </w:pPr>
            <w:r>
              <w:rPr>
                <w:rFonts w:hint="eastAsia" w:ascii="Times New Roman" w:hAnsi="Times New Roman" w:cs="Times New Roman"/>
                <w:color w:val="auto"/>
                <w:sz w:val="16"/>
                <w:szCs w:val="22"/>
                <w:highlight w:val="none"/>
              </w:rPr>
              <w:t>二</w:t>
            </w:r>
          </w:p>
        </w:tc>
        <w:tc>
          <w:tcPr>
            <w:tcW w:w="435" w:type="dxa"/>
            <w:vMerge w:val="continue"/>
            <w:vAlign w:val="center"/>
          </w:tcPr>
          <w:p w14:paraId="708C5C59">
            <w:pPr>
              <w:pStyle w:val="49"/>
              <w:rPr>
                <w:rFonts w:hint="eastAsia" w:ascii="Times New Roman" w:hAnsi="Times New Roman" w:eastAsia="宋体" w:cs="Times New Roman"/>
                <w:color w:val="auto"/>
                <w:sz w:val="16"/>
                <w:szCs w:val="22"/>
                <w:highlight w:val="none"/>
                <w:lang w:eastAsia="zh-CN"/>
              </w:rPr>
            </w:pPr>
          </w:p>
        </w:tc>
      </w:tr>
    </w:tbl>
    <w:p w14:paraId="79420C6F">
      <w:pPr>
        <w:pStyle w:val="52"/>
        <w:spacing w:line="360" w:lineRule="exact"/>
        <w:ind w:firstLine="0" w:firstLineChars="0"/>
        <w:rPr>
          <w:rFonts w:hint="eastAsia" w:eastAsia="宋体"/>
          <w:color w:val="auto"/>
          <w:sz w:val="18"/>
          <w:szCs w:val="18"/>
          <w:highlight w:val="none"/>
          <w:lang w:eastAsia="zh-CN"/>
        </w:rPr>
      </w:pPr>
      <w:r>
        <w:rPr>
          <w:color w:val="auto"/>
          <w:sz w:val="18"/>
          <w:szCs w:val="18"/>
          <w:highlight w:val="none"/>
        </w:rPr>
        <w:t>注：</w:t>
      </w:r>
      <w:r>
        <w:rPr>
          <w:rFonts w:hint="eastAsia"/>
          <w:color w:val="auto"/>
          <w:sz w:val="18"/>
          <w:szCs w:val="18"/>
          <w:highlight w:val="none"/>
          <w:lang w:val="en-US" w:eastAsia="zh-CN"/>
        </w:rPr>
        <w:t xml:space="preserve">1  </w:t>
      </w:r>
      <w:r>
        <w:rPr>
          <w:color w:val="auto"/>
          <w:sz w:val="18"/>
          <w:szCs w:val="18"/>
          <w:highlight w:val="none"/>
        </w:rPr>
        <w:t>房屋高度指室外地面的主要屋面板板顶高度（不包括局部突出屋顶各部分）</w:t>
      </w:r>
      <w:r>
        <w:rPr>
          <w:rFonts w:hint="eastAsia"/>
          <w:color w:val="auto"/>
          <w:sz w:val="18"/>
          <w:szCs w:val="18"/>
          <w:highlight w:val="none"/>
          <w:lang w:eastAsia="zh-CN"/>
        </w:rPr>
        <w:t>；</w:t>
      </w:r>
    </w:p>
    <w:p w14:paraId="42F66535">
      <w:pPr>
        <w:keepNext w:val="0"/>
        <w:keepLines w:val="0"/>
        <w:widowControl/>
        <w:suppressLineNumbers w:val="0"/>
        <w:ind w:firstLine="360" w:firstLineChars="200"/>
        <w:jc w:val="left"/>
        <w:rPr>
          <w:rFonts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2"/>
          <w:sz w:val="18"/>
          <w:szCs w:val="18"/>
          <w:highlight w:val="none"/>
          <w:lang w:val="en-US" w:eastAsia="zh-CN" w:bidi="ar-SA"/>
        </w:rPr>
        <w:t>2</w:t>
      </w:r>
      <w:r>
        <w:rPr>
          <w:rFonts w:hint="eastAsia" w:cs="Times New Roman"/>
          <w:color w:val="auto"/>
          <w:kern w:val="2"/>
          <w:sz w:val="18"/>
          <w:szCs w:val="18"/>
          <w:highlight w:val="none"/>
          <w:lang w:val="en-US" w:eastAsia="zh-CN" w:bidi="ar-SA"/>
        </w:rPr>
        <w:t xml:space="preserve">  </w:t>
      </w:r>
      <w:r>
        <w:rPr>
          <w:rFonts w:ascii="Times New Roman" w:hAnsi="Times New Roman" w:eastAsia="宋体" w:cs="Times New Roman"/>
          <w:color w:val="auto"/>
          <w:kern w:val="2"/>
          <w:sz w:val="18"/>
          <w:szCs w:val="18"/>
          <w:highlight w:val="none"/>
          <w:lang w:val="en-US" w:eastAsia="zh-CN" w:bidi="ar-SA"/>
        </w:rPr>
        <w:t>大跨度框架指跨度不小于</w:t>
      </w:r>
      <w:r>
        <w:rPr>
          <w:rFonts w:hint="default" w:ascii="Times New Roman" w:hAnsi="Times New Roman" w:eastAsia="宋体" w:cs="Times New Roman"/>
          <w:color w:val="auto"/>
          <w:kern w:val="2"/>
          <w:sz w:val="18"/>
          <w:szCs w:val="18"/>
          <w:highlight w:val="none"/>
          <w:lang w:val="en-US" w:eastAsia="zh-CN" w:bidi="ar-SA"/>
        </w:rPr>
        <w:t>18的框架</w:t>
      </w:r>
      <w:r>
        <w:rPr>
          <w:rFonts w:hint="eastAsia" w:ascii="Times New Roman" w:hAnsi="Times New Roman" w:eastAsia="宋体" w:cs="Times New Roman"/>
          <w:color w:val="auto"/>
          <w:kern w:val="2"/>
          <w:sz w:val="18"/>
          <w:szCs w:val="18"/>
          <w:highlight w:val="none"/>
          <w:lang w:val="en-US" w:eastAsia="zh-CN" w:bidi="ar-SA"/>
        </w:rPr>
        <w:t>。</w:t>
      </w:r>
    </w:p>
    <w:p w14:paraId="289DB870">
      <w:pPr>
        <w:widowControl/>
        <w:spacing w:line="360" w:lineRule="exact"/>
        <w:rPr>
          <w:color w:val="auto"/>
          <w:szCs w:val="21"/>
          <w:highlight w:val="none"/>
        </w:rPr>
      </w:pPr>
      <w:r>
        <w:rPr>
          <w:b/>
          <w:color w:val="auto"/>
          <w:szCs w:val="21"/>
          <w:highlight w:val="none"/>
        </w:rPr>
        <w:t>6.1.</w:t>
      </w:r>
      <w:r>
        <w:rPr>
          <w:rFonts w:hint="eastAsia"/>
          <w:b/>
          <w:color w:val="auto"/>
          <w:szCs w:val="21"/>
          <w:highlight w:val="none"/>
        </w:rPr>
        <w:t>4</w:t>
      </w:r>
      <w:r>
        <w:rPr>
          <w:b/>
          <w:color w:val="auto"/>
          <w:szCs w:val="21"/>
          <w:highlight w:val="none"/>
        </w:rPr>
        <w:t xml:space="preserve"> </w:t>
      </w:r>
      <w:r>
        <w:rPr>
          <w:color w:val="auto"/>
          <w:szCs w:val="21"/>
          <w:highlight w:val="none"/>
        </w:rPr>
        <w:t>乙类建筑应按本地区抗震设防烈度提高一度的要求加强其抗震措施，当建筑场地为I 类时应允许仍按本地区抗震设防烈度的要求采取抗震构造措施；</w:t>
      </w:r>
      <w:bookmarkStart w:id="413" w:name="OLE_LINK44"/>
      <w:r>
        <w:rPr>
          <w:color w:val="auto"/>
          <w:szCs w:val="21"/>
          <w:highlight w:val="none"/>
        </w:rPr>
        <w:t>丙类建筑应按本地区抗震设防烈度确定其抗震措施，当建筑场地为I类时，</w:t>
      </w:r>
      <w:bookmarkEnd w:id="413"/>
      <w:r>
        <w:rPr>
          <w:color w:val="auto"/>
          <w:szCs w:val="21"/>
          <w:highlight w:val="none"/>
        </w:rPr>
        <w:t xml:space="preserve">除6度外，应允许按本地区抗震设防烈度降低一度的要求采取抗震构造措施。 </w:t>
      </w:r>
    </w:p>
    <w:p w14:paraId="4D334E8D">
      <w:pPr>
        <w:widowControl/>
        <w:spacing w:line="360" w:lineRule="exact"/>
        <w:rPr>
          <w:color w:val="auto"/>
          <w:szCs w:val="21"/>
          <w:highlight w:val="none"/>
        </w:rPr>
      </w:pPr>
      <w:r>
        <w:rPr>
          <w:b/>
          <w:color w:val="auto"/>
          <w:szCs w:val="21"/>
          <w:highlight w:val="none"/>
        </w:rPr>
        <w:t>6.1.</w:t>
      </w:r>
      <w:r>
        <w:rPr>
          <w:rFonts w:hint="eastAsia"/>
          <w:b/>
          <w:color w:val="auto"/>
          <w:szCs w:val="21"/>
          <w:highlight w:val="none"/>
        </w:rPr>
        <w:t>5</w:t>
      </w:r>
      <w:r>
        <w:rPr>
          <w:b/>
          <w:color w:val="auto"/>
          <w:szCs w:val="21"/>
          <w:highlight w:val="none"/>
        </w:rPr>
        <w:t xml:space="preserve"> </w:t>
      </w:r>
      <w:r>
        <w:rPr>
          <w:rFonts w:hint="eastAsia"/>
          <w:b/>
          <w:color w:val="auto"/>
          <w:szCs w:val="21"/>
          <w:highlight w:val="none"/>
          <w:lang w:val="en-US" w:eastAsia="zh-CN"/>
        </w:rPr>
        <w:t xml:space="preserve"> </w:t>
      </w:r>
      <w:r>
        <w:rPr>
          <w:color w:val="auto"/>
          <w:szCs w:val="21"/>
          <w:highlight w:val="none"/>
        </w:rPr>
        <w:t>当建筑场地为Ⅲ、Ⅳ 类时，对设计基本地震加速度为 0.15g的地区，宜按抗震设防烈度8度 (0.20g)时各类建筑的要求采取抗震构造措施。</w:t>
      </w:r>
    </w:p>
    <w:p w14:paraId="14FC8F84">
      <w:pPr>
        <w:widowControl/>
        <w:spacing w:line="360" w:lineRule="exact"/>
        <w:rPr>
          <w:color w:val="auto"/>
          <w:szCs w:val="21"/>
          <w:highlight w:val="none"/>
        </w:rPr>
      </w:pPr>
      <w:r>
        <w:rPr>
          <w:b/>
          <w:color w:val="auto"/>
          <w:szCs w:val="21"/>
          <w:highlight w:val="none"/>
        </w:rPr>
        <w:t>6.1.</w:t>
      </w:r>
      <w:r>
        <w:rPr>
          <w:rFonts w:hint="eastAsia"/>
          <w:b/>
          <w:color w:val="auto"/>
          <w:szCs w:val="21"/>
          <w:highlight w:val="none"/>
        </w:rPr>
        <w:t xml:space="preserve">6 </w:t>
      </w:r>
      <w:r>
        <w:rPr>
          <w:rFonts w:hint="eastAsia"/>
          <w:b/>
          <w:color w:val="auto"/>
          <w:szCs w:val="21"/>
          <w:highlight w:val="none"/>
          <w:lang w:val="en-US" w:eastAsia="zh-CN"/>
        </w:rPr>
        <w:t xml:space="preserve"> </w:t>
      </w:r>
      <w:r>
        <w:rPr>
          <w:rFonts w:hint="eastAsia"/>
          <w:color w:val="auto"/>
          <w:szCs w:val="21"/>
          <w:highlight w:val="none"/>
          <w:lang w:val="en-US" w:eastAsia="zh-CN"/>
        </w:rPr>
        <w:t>高层模块化结构</w:t>
      </w:r>
      <w:r>
        <w:rPr>
          <w:color w:val="auto"/>
          <w:szCs w:val="21"/>
          <w:highlight w:val="none"/>
        </w:rPr>
        <w:t>的底部加强部位剪力墙和约束边缘构件阴影部分宜采用现浇混凝土结构</w:t>
      </w:r>
      <w:r>
        <w:rPr>
          <w:rFonts w:hint="eastAsia"/>
          <w:color w:val="auto"/>
          <w:szCs w:val="21"/>
          <w:highlight w:val="none"/>
        </w:rPr>
        <w:t>。</w:t>
      </w:r>
      <w:bookmarkStart w:id="414" w:name="OLE_LINK110"/>
      <w:r>
        <w:rPr>
          <w:color w:val="auto"/>
          <w:szCs w:val="21"/>
          <w:highlight w:val="none"/>
        </w:rPr>
        <w:t>当底部加强部位剪力墙采用</w:t>
      </w:r>
      <w:r>
        <w:rPr>
          <w:rFonts w:hint="eastAsia"/>
          <w:color w:val="auto"/>
          <w:szCs w:val="21"/>
          <w:highlight w:val="none"/>
        </w:rPr>
        <w:t>预制空心或叠合剪力墙时</w:t>
      </w:r>
      <w:bookmarkEnd w:id="414"/>
      <w:r>
        <w:rPr>
          <w:rFonts w:hint="eastAsia"/>
          <w:color w:val="auto"/>
          <w:szCs w:val="21"/>
          <w:highlight w:val="none"/>
        </w:rPr>
        <w:t>，</w:t>
      </w:r>
      <w:r>
        <w:rPr>
          <w:color w:val="auto"/>
          <w:szCs w:val="21"/>
          <w:highlight w:val="none"/>
        </w:rPr>
        <w:t>抗震</w:t>
      </w:r>
      <w:bookmarkStart w:id="415" w:name="OLE_LINK111"/>
      <w:r>
        <w:rPr>
          <w:color w:val="auto"/>
          <w:szCs w:val="21"/>
          <w:highlight w:val="none"/>
        </w:rPr>
        <w:t>构造措施等级应提高一级且剪力</w:t>
      </w:r>
      <w:bookmarkEnd w:id="415"/>
      <w:r>
        <w:rPr>
          <w:color w:val="auto"/>
          <w:szCs w:val="21"/>
          <w:highlight w:val="none"/>
        </w:rPr>
        <w:t>墙根部的竖向连接钢筋面积应乘以不小于1.</w:t>
      </w:r>
      <w:r>
        <w:rPr>
          <w:rFonts w:hint="eastAsia"/>
          <w:color w:val="auto"/>
          <w:szCs w:val="21"/>
          <w:highlight w:val="none"/>
          <w:lang w:val="en-US" w:eastAsia="zh-CN"/>
        </w:rPr>
        <w:t>25</w:t>
      </w:r>
      <w:r>
        <w:rPr>
          <w:color w:val="auto"/>
          <w:szCs w:val="21"/>
          <w:highlight w:val="none"/>
        </w:rPr>
        <w:t>的增大系数。</w:t>
      </w:r>
    </w:p>
    <w:p w14:paraId="5FBB5397">
      <w:pPr>
        <w:widowControl/>
        <w:spacing w:line="360" w:lineRule="exact"/>
        <w:rPr>
          <w:color w:val="auto"/>
          <w:szCs w:val="21"/>
          <w:highlight w:val="none"/>
        </w:rPr>
      </w:pPr>
      <w:bookmarkStart w:id="416" w:name="_Toc25312"/>
      <w:bookmarkStart w:id="417" w:name="_Toc30066"/>
      <w:bookmarkStart w:id="418" w:name="_Toc8364"/>
      <w:r>
        <w:rPr>
          <w:b/>
          <w:color w:val="auto"/>
          <w:szCs w:val="21"/>
          <w:highlight w:val="none"/>
        </w:rPr>
        <w:t>6.1.</w:t>
      </w:r>
      <w:r>
        <w:rPr>
          <w:rFonts w:hint="eastAsia"/>
          <w:b/>
          <w:color w:val="auto"/>
          <w:szCs w:val="21"/>
          <w:highlight w:val="none"/>
        </w:rPr>
        <w:t>7</w:t>
      </w:r>
      <w:r>
        <w:rPr>
          <w:b/>
          <w:color w:val="auto"/>
          <w:szCs w:val="21"/>
          <w:highlight w:val="none"/>
        </w:rPr>
        <w:t xml:space="preserve"> </w:t>
      </w:r>
      <w:r>
        <w:rPr>
          <w:rFonts w:hint="eastAsia"/>
          <w:b/>
          <w:color w:val="auto"/>
          <w:szCs w:val="21"/>
          <w:highlight w:val="none"/>
          <w:lang w:val="en-US" w:eastAsia="zh-CN"/>
        </w:rPr>
        <w:t xml:space="preserve"> </w:t>
      </w:r>
      <w:r>
        <w:rPr>
          <w:color w:val="auto"/>
          <w:szCs w:val="21"/>
          <w:highlight w:val="none"/>
        </w:rPr>
        <w:t>部分框支叠合剪力墙结构应符合下列规定：</w:t>
      </w:r>
      <w:bookmarkEnd w:id="416"/>
      <w:bookmarkEnd w:id="417"/>
      <w:bookmarkEnd w:id="418"/>
      <w:r>
        <w:rPr>
          <w:color w:val="auto"/>
          <w:szCs w:val="21"/>
          <w:highlight w:val="none"/>
        </w:rPr>
        <w:t xml:space="preserve"> </w:t>
      </w:r>
    </w:p>
    <w:p w14:paraId="010C4773">
      <w:pPr>
        <w:spacing w:line="360" w:lineRule="exact"/>
        <w:ind w:firstLine="422" w:firstLineChars="200"/>
        <w:rPr>
          <w:color w:val="auto"/>
          <w:szCs w:val="21"/>
          <w:highlight w:val="none"/>
        </w:rPr>
      </w:pPr>
      <w:bookmarkStart w:id="419" w:name="_Toc14152"/>
      <w:bookmarkStart w:id="420" w:name="_Toc30257"/>
      <w:r>
        <w:rPr>
          <w:b/>
          <w:bCs/>
          <w:color w:val="auto"/>
          <w:szCs w:val="21"/>
          <w:highlight w:val="none"/>
        </w:rPr>
        <w:t>1</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在地面以上设置转换层的位置，8度时不宜超过3层，7度时不宜超过5层、6度时可适当提高</w:t>
      </w:r>
      <w:bookmarkEnd w:id="419"/>
      <w:bookmarkEnd w:id="420"/>
      <w:r>
        <w:rPr>
          <w:rFonts w:hint="eastAsia"/>
          <w:color w:val="auto"/>
          <w:szCs w:val="21"/>
          <w:highlight w:val="none"/>
          <w:lang w:eastAsia="zh-CN"/>
        </w:rPr>
        <w:t>。</w:t>
      </w:r>
      <w:r>
        <w:rPr>
          <w:color w:val="auto"/>
          <w:szCs w:val="21"/>
          <w:highlight w:val="none"/>
        </w:rPr>
        <w:t xml:space="preserve"> </w:t>
      </w:r>
    </w:p>
    <w:p w14:paraId="4DA959ED">
      <w:pPr>
        <w:spacing w:line="360" w:lineRule="exact"/>
        <w:ind w:firstLine="422" w:firstLineChars="200"/>
        <w:rPr>
          <w:color w:val="auto"/>
          <w:szCs w:val="21"/>
          <w:highlight w:val="none"/>
        </w:rPr>
      </w:pPr>
      <w:bookmarkStart w:id="421" w:name="_Toc1671"/>
      <w:bookmarkStart w:id="422" w:name="_Toc29474"/>
      <w:r>
        <w:rPr>
          <w:b/>
          <w:bCs/>
          <w:color w:val="auto"/>
          <w:szCs w:val="21"/>
          <w:highlight w:val="none"/>
        </w:rPr>
        <w:t>2</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当转换层的位置设置在3层及3层以上时，其框支柱、剪力墙底部加强部位的抗震等级宜按</w:t>
      </w:r>
      <w:r>
        <w:rPr>
          <w:rFonts w:hint="eastAsia"/>
          <w:color w:val="auto"/>
          <w:szCs w:val="21"/>
          <w:highlight w:val="none"/>
          <w:lang w:eastAsia="zh-CN"/>
        </w:rPr>
        <w:t>本标准</w:t>
      </w:r>
      <w:r>
        <w:rPr>
          <w:color w:val="auto"/>
          <w:szCs w:val="21"/>
          <w:highlight w:val="none"/>
        </w:rPr>
        <w:t>表6.1.</w:t>
      </w:r>
      <w:r>
        <w:rPr>
          <w:rFonts w:hint="eastAsia"/>
          <w:color w:val="auto"/>
          <w:szCs w:val="21"/>
          <w:highlight w:val="none"/>
        </w:rPr>
        <w:t>4</w:t>
      </w:r>
      <w:r>
        <w:rPr>
          <w:color w:val="auto"/>
          <w:szCs w:val="21"/>
          <w:highlight w:val="none"/>
        </w:rPr>
        <w:t>的规定提高一级采用，已为特一级时可不提高。</w:t>
      </w:r>
      <w:bookmarkEnd w:id="421"/>
      <w:bookmarkEnd w:id="422"/>
      <w:r>
        <w:rPr>
          <w:color w:val="auto"/>
          <w:szCs w:val="21"/>
          <w:highlight w:val="none"/>
        </w:rPr>
        <w:t xml:space="preserve"> </w:t>
      </w:r>
    </w:p>
    <w:p w14:paraId="743BB010">
      <w:pPr>
        <w:spacing w:line="360" w:lineRule="exact"/>
        <w:ind w:firstLine="422" w:firstLineChars="200"/>
        <w:rPr>
          <w:color w:val="auto"/>
          <w:szCs w:val="21"/>
          <w:highlight w:val="none"/>
        </w:rPr>
      </w:pPr>
      <w:bookmarkStart w:id="423" w:name="_Toc10391"/>
      <w:bookmarkStart w:id="424" w:name="_Toc25198"/>
      <w:bookmarkStart w:id="425" w:name="_Toc4359"/>
      <w:r>
        <w:rPr>
          <w:b/>
          <w:bCs/>
          <w:color w:val="auto"/>
          <w:szCs w:val="21"/>
          <w:highlight w:val="none"/>
        </w:rPr>
        <w:t>3</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框支层及以下的剪力墙和框支框架应采用现浇结构。</w:t>
      </w:r>
      <w:bookmarkEnd w:id="423"/>
      <w:bookmarkEnd w:id="424"/>
      <w:bookmarkEnd w:id="425"/>
    </w:p>
    <w:p w14:paraId="384B6944">
      <w:pPr>
        <w:widowControl/>
        <w:spacing w:line="360" w:lineRule="exact"/>
        <w:rPr>
          <w:color w:val="auto"/>
          <w:szCs w:val="21"/>
          <w:highlight w:val="none"/>
        </w:rPr>
      </w:pPr>
      <w:r>
        <w:rPr>
          <w:b/>
          <w:color w:val="auto"/>
          <w:szCs w:val="21"/>
          <w:highlight w:val="none"/>
        </w:rPr>
        <w:t>6.1.</w:t>
      </w:r>
      <w:r>
        <w:rPr>
          <w:rFonts w:hint="eastAsia"/>
          <w:b/>
          <w:color w:val="auto"/>
          <w:szCs w:val="21"/>
          <w:highlight w:val="none"/>
        </w:rPr>
        <w:t>8</w:t>
      </w:r>
      <w:r>
        <w:rPr>
          <w:b/>
          <w:color w:val="auto"/>
          <w:szCs w:val="21"/>
          <w:highlight w:val="none"/>
        </w:rPr>
        <w:t xml:space="preserve"> </w:t>
      </w:r>
      <w:r>
        <w:rPr>
          <w:rFonts w:hint="eastAsia"/>
          <w:b/>
          <w:color w:val="auto"/>
          <w:szCs w:val="21"/>
          <w:highlight w:val="none"/>
          <w:lang w:val="en-US" w:eastAsia="zh-CN"/>
        </w:rPr>
        <w:t xml:space="preserve"> </w:t>
      </w:r>
      <w:r>
        <w:rPr>
          <w:rFonts w:hint="eastAsia"/>
          <w:color w:val="auto"/>
          <w:szCs w:val="21"/>
          <w:highlight w:val="none"/>
          <w:lang w:val="en-US" w:eastAsia="zh-CN"/>
        </w:rPr>
        <w:t>模块化</w:t>
      </w:r>
      <w:r>
        <w:rPr>
          <w:color w:val="auto"/>
          <w:szCs w:val="21"/>
          <w:highlight w:val="none"/>
        </w:rPr>
        <w:t xml:space="preserve">结构竖向布置应连续、均匀，应避免抗侧力结构的侧向刚度和承载力沿竖向突变，并应符合现行国家标准《建筑抗震设计规范》GB 50011的有关规定。 </w:t>
      </w:r>
    </w:p>
    <w:p w14:paraId="737D3DC6">
      <w:pPr>
        <w:widowControl/>
        <w:spacing w:line="360" w:lineRule="exact"/>
        <w:rPr>
          <w:color w:val="auto"/>
          <w:sz w:val="18"/>
          <w:szCs w:val="28"/>
          <w:highlight w:val="none"/>
        </w:rPr>
      </w:pPr>
      <w:r>
        <w:rPr>
          <w:b/>
          <w:color w:val="auto"/>
          <w:szCs w:val="21"/>
          <w:highlight w:val="none"/>
        </w:rPr>
        <w:t>6.1.</w:t>
      </w:r>
      <w:r>
        <w:rPr>
          <w:rFonts w:hint="eastAsia"/>
          <w:b/>
          <w:color w:val="auto"/>
          <w:szCs w:val="21"/>
          <w:highlight w:val="none"/>
          <w:lang w:val="en-US" w:eastAsia="zh-CN"/>
        </w:rPr>
        <w:t>9</w:t>
      </w:r>
      <w:r>
        <w:rPr>
          <w:b/>
          <w:color w:val="auto"/>
          <w:szCs w:val="21"/>
          <w:highlight w:val="none"/>
        </w:rPr>
        <w:t xml:space="preserve"> </w:t>
      </w:r>
      <w:r>
        <w:rPr>
          <w:rFonts w:hint="eastAsia"/>
          <w:b/>
          <w:color w:val="auto"/>
          <w:szCs w:val="21"/>
          <w:highlight w:val="none"/>
          <w:lang w:val="en-US" w:eastAsia="zh-CN"/>
        </w:rPr>
        <w:t xml:space="preserve"> </w:t>
      </w:r>
      <w:r>
        <w:rPr>
          <w:color w:val="auto"/>
          <w:szCs w:val="21"/>
          <w:highlight w:val="none"/>
        </w:rPr>
        <w:t xml:space="preserve">预埋件和连接件等外露金属件应按不同环境类别进行封闭或防腐、防锈、防火处理，并应符合耐久性要求。 </w:t>
      </w:r>
    </w:p>
    <w:p w14:paraId="61026CED">
      <w:pPr>
        <w:pStyle w:val="3"/>
        <w:spacing w:before="166" w:beforeLines="50" w:after="166" w:afterLines="50" w:line="360" w:lineRule="auto"/>
        <w:jc w:val="center"/>
        <w:rPr>
          <w:rFonts w:ascii="Times New Roman" w:hAnsi="Times New Roman" w:eastAsia="黑体" w:cs="Times New Roman"/>
          <w:color w:val="auto"/>
          <w:sz w:val="24"/>
          <w:szCs w:val="24"/>
          <w:highlight w:val="none"/>
        </w:rPr>
      </w:pPr>
      <w:bookmarkStart w:id="426" w:name="_Toc25334"/>
      <w:bookmarkStart w:id="427" w:name="_Toc14706"/>
      <w:bookmarkStart w:id="428" w:name="_Toc10522"/>
      <w:bookmarkStart w:id="429" w:name="_Toc29784"/>
      <w:bookmarkStart w:id="430" w:name="_Toc23751"/>
      <w:bookmarkStart w:id="431" w:name="_Toc18947"/>
      <w:bookmarkStart w:id="432" w:name="_Toc11382"/>
      <w:bookmarkStart w:id="433" w:name="_Toc23201"/>
      <w:bookmarkStart w:id="434" w:name="_Toc1785"/>
      <w:r>
        <w:rPr>
          <w:rFonts w:ascii="Times New Roman" w:hAnsi="Times New Roman" w:eastAsia="黑体" w:cs="Times New Roman"/>
          <w:b/>
          <w:color w:val="auto"/>
          <w:sz w:val="24"/>
          <w:szCs w:val="24"/>
          <w:highlight w:val="none"/>
        </w:rPr>
        <w:t>6.</w:t>
      </w:r>
      <w:r>
        <w:rPr>
          <w:rFonts w:hint="eastAsia" w:ascii="Times New Roman" w:hAnsi="Times New Roman" w:eastAsia="黑体" w:cs="Times New Roman"/>
          <w:b/>
          <w:color w:val="auto"/>
          <w:sz w:val="24"/>
          <w:szCs w:val="24"/>
          <w:highlight w:val="none"/>
        </w:rPr>
        <w:t>2</w:t>
      </w:r>
      <w:r>
        <w:rPr>
          <w:rFonts w:ascii="Times New Roman" w:hAnsi="Times New Roman" w:eastAsia="黑体" w:cs="Times New Roman"/>
          <w:b/>
          <w:color w:val="auto"/>
          <w:sz w:val="24"/>
          <w:szCs w:val="24"/>
          <w:highlight w:val="none"/>
        </w:rPr>
        <w:t xml:space="preserve"> </w:t>
      </w:r>
      <w:r>
        <w:rPr>
          <w:rFonts w:ascii="Times New Roman" w:hAnsi="Times New Roman" w:eastAsia="黑体" w:cs="Times New Roman"/>
          <w:color w:val="auto"/>
          <w:sz w:val="24"/>
          <w:szCs w:val="24"/>
          <w:highlight w:val="none"/>
        </w:rPr>
        <w:t xml:space="preserve"> 结</w:t>
      </w:r>
      <w:r>
        <w:rPr>
          <w:rFonts w:hint="eastAsia" w:ascii="Times New Roman" w:hAnsi="Times New Roman" w:eastAsia="黑体" w:cs="Times New Roman"/>
          <w:color w:val="auto"/>
          <w:sz w:val="24"/>
          <w:szCs w:val="24"/>
          <w:highlight w:val="none"/>
          <w:lang w:val="en-US" w:eastAsia="zh-CN"/>
        </w:rPr>
        <w:t xml:space="preserve"> </w:t>
      </w:r>
      <w:r>
        <w:rPr>
          <w:rFonts w:ascii="Times New Roman" w:hAnsi="Times New Roman" w:eastAsia="黑体" w:cs="Times New Roman"/>
          <w:color w:val="auto"/>
          <w:sz w:val="24"/>
          <w:szCs w:val="24"/>
          <w:highlight w:val="none"/>
        </w:rPr>
        <w:t>构</w:t>
      </w:r>
      <w:r>
        <w:rPr>
          <w:rFonts w:hint="eastAsia" w:ascii="Times New Roman" w:hAnsi="Times New Roman" w:eastAsia="黑体" w:cs="Times New Roman"/>
          <w:color w:val="auto"/>
          <w:sz w:val="24"/>
          <w:szCs w:val="24"/>
          <w:highlight w:val="none"/>
          <w:lang w:val="en-US" w:eastAsia="zh-CN"/>
        </w:rPr>
        <w:t xml:space="preserve"> </w:t>
      </w:r>
      <w:r>
        <w:rPr>
          <w:rFonts w:ascii="Times New Roman" w:hAnsi="Times New Roman" w:eastAsia="黑体" w:cs="Times New Roman"/>
          <w:color w:val="auto"/>
          <w:sz w:val="24"/>
          <w:szCs w:val="24"/>
          <w:highlight w:val="none"/>
        </w:rPr>
        <w:t>布</w:t>
      </w:r>
      <w:r>
        <w:rPr>
          <w:rFonts w:hint="eastAsia" w:ascii="Times New Roman" w:hAnsi="Times New Roman" w:eastAsia="黑体" w:cs="Times New Roman"/>
          <w:color w:val="auto"/>
          <w:sz w:val="24"/>
          <w:szCs w:val="24"/>
          <w:highlight w:val="none"/>
          <w:lang w:val="en-US" w:eastAsia="zh-CN"/>
        </w:rPr>
        <w:t xml:space="preserve"> </w:t>
      </w:r>
      <w:r>
        <w:rPr>
          <w:rFonts w:ascii="Times New Roman" w:hAnsi="Times New Roman" w:eastAsia="黑体" w:cs="Times New Roman"/>
          <w:color w:val="auto"/>
          <w:sz w:val="24"/>
          <w:szCs w:val="24"/>
          <w:highlight w:val="none"/>
        </w:rPr>
        <w:t>置</w:t>
      </w:r>
      <w:bookmarkEnd w:id="426"/>
      <w:bookmarkEnd w:id="427"/>
      <w:bookmarkEnd w:id="428"/>
      <w:bookmarkEnd w:id="429"/>
      <w:bookmarkEnd w:id="430"/>
      <w:bookmarkEnd w:id="431"/>
      <w:bookmarkEnd w:id="432"/>
      <w:bookmarkEnd w:id="433"/>
      <w:bookmarkEnd w:id="434"/>
    </w:p>
    <w:p w14:paraId="19D497C2">
      <w:pPr>
        <w:widowControl/>
        <w:spacing w:line="360" w:lineRule="exact"/>
        <w:rPr>
          <w:color w:val="auto"/>
          <w:szCs w:val="21"/>
          <w:highlight w:val="none"/>
        </w:rPr>
      </w:pPr>
      <w:r>
        <w:rPr>
          <w:b/>
          <w:color w:val="auto"/>
          <w:szCs w:val="21"/>
          <w:highlight w:val="none"/>
        </w:rPr>
        <w:t>6.</w:t>
      </w:r>
      <w:r>
        <w:rPr>
          <w:rFonts w:hint="eastAsia"/>
          <w:b/>
          <w:color w:val="auto"/>
          <w:szCs w:val="21"/>
          <w:highlight w:val="none"/>
        </w:rPr>
        <w:t>2</w:t>
      </w:r>
      <w:r>
        <w:rPr>
          <w:b/>
          <w:color w:val="auto"/>
          <w:szCs w:val="21"/>
          <w:highlight w:val="none"/>
        </w:rPr>
        <w:t xml:space="preserve">.1 </w:t>
      </w:r>
      <w:r>
        <w:rPr>
          <w:color w:val="auto"/>
          <w:szCs w:val="21"/>
          <w:highlight w:val="none"/>
        </w:rPr>
        <w:t xml:space="preserve"> 混凝土模块化建筑的结构平面布置与竖向布置的规则性除应符合</w:t>
      </w:r>
      <w:r>
        <w:rPr>
          <w:rFonts w:hint="eastAsia"/>
          <w:color w:val="auto"/>
          <w:szCs w:val="21"/>
          <w:highlight w:val="none"/>
          <w:lang w:eastAsia="zh-CN"/>
        </w:rPr>
        <w:t>本标准</w:t>
      </w:r>
      <w:r>
        <w:rPr>
          <w:color w:val="auto"/>
          <w:szCs w:val="21"/>
          <w:highlight w:val="none"/>
        </w:rPr>
        <w:t>的规定外，尚应符合现行国家标准《建筑抗震设计规范》GB50011</w:t>
      </w:r>
      <w:r>
        <w:rPr>
          <w:rFonts w:hint="eastAsia"/>
          <w:color w:val="auto"/>
          <w:szCs w:val="21"/>
          <w:highlight w:val="none"/>
          <w:lang w:eastAsia="zh-CN"/>
        </w:rPr>
        <w:t>、</w:t>
      </w:r>
      <w:r>
        <w:rPr>
          <w:color w:val="auto"/>
          <w:szCs w:val="21"/>
          <w:highlight w:val="none"/>
        </w:rPr>
        <w:t>现行广东省标准《高层建筑混凝土结构技术规程 》DBJ/T 15-92</w:t>
      </w:r>
      <w:r>
        <w:rPr>
          <w:rFonts w:hint="eastAsia"/>
          <w:color w:val="auto"/>
          <w:szCs w:val="21"/>
          <w:highlight w:val="none"/>
          <w:lang w:val="en-US" w:eastAsia="zh-CN"/>
        </w:rPr>
        <w:t>和《高层建筑工业化技术标准》</w:t>
      </w:r>
      <w:r>
        <w:rPr>
          <w:color w:val="auto"/>
          <w:szCs w:val="21"/>
          <w:highlight w:val="none"/>
        </w:rPr>
        <w:t>DBJ/T 15-</w:t>
      </w:r>
      <w:r>
        <w:rPr>
          <w:rFonts w:hint="eastAsia"/>
          <w:color w:val="auto"/>
          <w:szCs w:val="21"/>
          <w:highlight w:val="none"/>
          <w:lang w:val="en-US" w:eastAsia="zh-CN"/>
        </w:rPr>
        <w:t>265</w:t>
      </w:r>
      <w:r>
        <w:rPr>
          <w:color w:val="auto"/>
          <w:szCs w:val="21"/>
          <w:highlight w:val="none"/>
        </w:rPr>
        <w:t>的有关规定。</w:t>
      </w:r>
    </w:p>
    <w:p w14:paraId="2566FDD0">
      <w:pPr>
        <w:widowControl/>
        <w:spacing w:line="360" w:lineRule="exact"/>
        <w:rPr>
          <w:color w:val="auto"/>
          <w:szCs w:val="21"/>
          <w:highlight w:val="none"/>
        </w:rPr>
      </w:pPr>
      <w:r>
        <w:rPr>
          <w:b/>
          <w:color w:val="auto"/>
          <w:szCs w:val="21"/>
          <w:highlight w:val="none"/>
        </w:rPr>
        <w:t>6.</w:t>
      </w:r>
      <w:r>
        <w:rPr>
          <w:rFonts w:hint="eastAsia"/>
          <w:b/>
          <w:color w:val="auto"/>
          <w:szCs w:val="21"/>
          <w:highlight w:val="none"/>
        </w:rPr>
        <w:t>2</w:t>
      </w:r>
      <w:r>
        <w:rPr>
          <w:b/>
          <w:color w:val="auto"/>
          <w:szCs w:val="21"/>
          <w:highlight w:val="none"/>
        </w:rPr>
        <w:t xml:space="preserve">.2 </w:t>
      </w:r>
      <w:r>
        <w:rPr>
          <w:color w:val="auto"/>
          <w:szCs w:val="21"/>
          <w:highlight w:val="none"/>
        </w:rPr>
        <w:t xml:space="preserve"> 模块化结构的质量、刚度和承载力分布宜均匀，平面布置应符合下列规定：</w:t>
      </w:r>
    </w:p>
    <w:p w14:paraId="6E36CA97">
      <w:pPr>
        <w:spacing w:line="360" w:lineRule="exact"/>
        <w:ind w:firstLine="422" w:firstLineChars="200"/>
        <w:rPr>
          <w:color w:val="auto"/>
          <w:szCs w:val="21"/>
          <w:highlight w:val="none"/>
        </w:rPr>
      </w:pPr>
      <w:bookmarkStart w:id="435" w:name="_Toc26483"/>
      <w:bookmarkStart w:id="436" w:name="_Toc9568"/>
      <w:r>
        <w:rPr>
          <w:b/>
          <w:bCs/>
          <w:color w:val="auto"/>
          <w:szCs w:val="21"/>
          <w:highlight w:val="none"/>
        </w:rPr>
        <w:t>1</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平面形状宜简单、规则、对称，质量、刚度分布宜均匀；不应采用严重不规则的平面布置</w:t>
      </w:r>
      <w:bookmarkEnd w:id="435"/>
      <w:bookmarkEnd w:id="436"/>
      <w:r>
        <w:rPr>
          <w:rFonts w:hint="eastAsia"/>
          <w:color w:val="auto"/>
          <w:szCs w:val="21"/>
          <w:highlight w:val="none"/>
          <w:lang w:eastAsia="zh-CN"/>
        </w:rPr>
        <w:t>。</w:t>
      </w:r>
      <w:r>
        <w:rPr>
          <w:color w:val="auto"/>
          <w:szCs w:val="21"/>
          <w:highlight w:val="none"/>
        </w:rPr>
        <w:t xml:space="preserve"> </w:t>
      </w:r>
    </w:p>
    <w:p w14:paraId="48A5AEBD">
      <w:pPr>
        <w:spacing w:line="360" w:lineRule="exact"/>
        <w:ind w:firstLine="422" w:firstLineChars="200"/>
        <w:rPr>
          <w:color w:val="auto"/>
          <w:szCs w:val="21"/>
          <w:highlight w:val="none"/>
        </w:rPr>
      </w:pPr>
      <w:bookmarkStart w:id="437" w:name="_Toc27163"/>
      <w:bookmarkStart w:id="438" w:name="_Toc2243"/>
      <w:r>
        <w:rPr>
          <w:rFonts w:hint="eastAsia"/>
          <w:b/>
          <w:bCs/>
          <w:color w:val="auto"/>
          <w:szCs w:val="21"/>
          <w:highlight w:val="none"/>
        </w:rPr>
        <w:t>2</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平面长度不宜过长(图6.</w:t>
      </w:r>
      <w:r>
        <w:rPr>
          <w:rFonts w:hint="eastAsia"/>
          <w:color w:val="auto"/>
          <w:szCs w:val="21"/>
          <w:highlight w:val="none"/>
        </w:rPr>
        <w:t>2</w:t>
      </w:r>
      <w:r>
        <w:rPr>
          <w:color w:val="auto"/>
          <w:szCs w:val="21"/>
          <w:highlight w:val="none"/>
        </w:rPr>
        <w:t>.</w:t>
      </w:r>
      <w:r>
        <w:rPr>
          <w:rFonts w:hint="eastAsia"/>
          <w:color w:val="auto"/>
          <w:szCs w:val="21"/>
          <w:highlight w:val="none"/>
        </w:rPr>
        <w:t>2</w:t>
      </w:r>
      <w:r>
        <w:rPr>
          <w:color w:val="auto"/>
          <w:szCs w:val="21"/>
          <w:highlight w:val="none"/>
        </w:rPr>
        <w:t>)</w:t>
      </w:r>
      <w:r>
        <w:rPr>
          <w:rFonts w:hint="eastAsia"/>
          <w:color w:val="auto"/>
          <w:szCs w:val="21"/>
          <w:highlight w:val="none"/>
        </w:rPr>
        <w:t>，</w:t>
      </w:r>
      <w:r>
        <w:rPr>
          <w:color w:val="auto"/>
          <w:szCs w:val="21"/>
          <w:highlight w:val="none"/>
        </w:rPr>
        <w:t>长宽比(L/B)宜按表6.</w:t>
      </w:r>
      <w:r>
        <w:rPr>
          <w:rFonts w:hint="eastAsia"/>
          <w:color w:val="auto"/>
          <w:szCs w:val="21"/>
          <w:highlight w:val="none"/>
        </w:rPr>
        <w:t>2</w:t>
      </w:r>
      <w:r>
        <w:rPr>
          <w:color w:val="auto"/>
          <w:szCs w:val="21"/>
          <w:highlight w:val="none"/>
        </w:rPr>
        <w:t>.</w:t>
      </w:r>
      <w:r>
        <w:rPr>
          <w:rFonts w:hint="eastAsia"/>
          <w:color w:val="auto"/>
          <w:szCs w:val="21"/>
          <w:highlight w:val="none"/>
        </w:rPr>
        <w:t>2</w:t>
      </w:r>
      <w:r>
        <w:rPr>
          <w:rFonts w:hint="eastAsia"/>
          <w:color w:val="auto"/>
          <w:szCs w:val="21"/>
          <w:highlight w:val="none"/>
          <w:lang w:val="en-US" w:eastAsia="zh-CN"/>
        </w:rPr>
        <w:t>-1</w:t>
      </w:r>
      <w:r>
        <w:rPr>
          <w:color w:val="auto"/>
          <w:szCs w:val="21"/>
          <w:highlight w:val="none"/>
        </w:rPr>
        <w:t>采用</w:t>
      </w:r>
      <w:bookmarkEnd w:id="437"/>
      <w:bookmarkEnd w:id="438"/>
      <w:r>
        <w:rPr>
          <w:rFonts w:hint="eastAsia"/>
          <w:color w:val="auto"/>
          <w:szCs w:val="21"/>
          <w:highlight w:val="none"/>
          <w:lang w:eastAsia="zh-CN"/>
        </w:rPr>
        <w:t>；</w:t>
      </w:r>
    </w:p>
    <w:p w14:paraId="7C658C58">
      <w:pPr>
        <w:jc w:val="center"/>
        <w:rPr>
          <w:color w:val="auto"/>
          <w:highlight w:val="none"/>
        </w:rPr>
      </w:pPr>
      <w:r>
        <w:rPr>
          <w:color w:val="auto"/>
          <w:highlight w:val="none"/>
        </w:rPr>
        <w:drawing>
          <wp:inline distT="0" distB="0" distL="114300" distR="114300">
            <wp:extent cx="2324100" cy="2731770"/>
            <wp:effectExtent l="0" t="0" r="0" b="1143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pic:cNvPicPr>
                  </pic:nvPicPr>
                  <pic:blipFill>
                    <a:blip r:embed="rId28"/>
                    <a:stretch>
                      <a:fillRect/>
                    </a:stretch>
                  </pic:blipFill>
                  <pic:spPr>
                    <a:xfrm>
                      <a:off x="0" y="0"/>
                      <a:ext cx="2324100" cy="2731770"/>
                    </a:xfrm>
                    <a:prstGeom prst="rect">
                      <a:avLst/>
                    </a:prstGeom>
                    <a:noFill/>
                    <a:ln>
                      <a:noFill/>
                    </a:ln>
                  </pic:spPr>
                </pic:pic>
              </a:graphicData>
            </a:graphic>
          </wp:inline>
        </w:drawing>
      </w:r>
    </w:p>
    <w:p w14:paraId="088D6DCE">
      <w:pPr>
        <w:jc w:val="center"/>
        <w:rPr>
          <w:rFonts w:eastAsia="黑体"/>
          <w:color w:val="auto"/>
          <w:sz w:val="18"/>
          <w:szCs w:val="20"/>
          <w:highlight w:val="none"/>
        </w:rPr>
      </w:pPr>
      <w:r>
        <w:rPr>
          <w:rFonts w:eastAsia="黑体"/>
          <w:color w:val="auto"/>
          <w:sz w:val="18"/>
          <w:szCs w:val="20"/>
          <w:highlight w:val="none"/>
        </w:rPr>
        <w:t>图</w:t>
      </w:r>
      <w:r>
        <w:rPr>
          <w:rFonts w:hint="eastAsia" w:eastAsia="黑体"/>
          <w:b/>
          <w:color w:val="auto"/>
          <w:sz w:val="18"/>
          <w:szCs w:val="20"/>
          <w:highlight w:val="none"/>
        </w:rPr>
        <w:t xml:space="preserve">6.2.2 </w:t>
      </w:r>
      <w:r>
        <w:rPr>
          <w:rFonts w:hint="eastAsia" w:eastAsia="黑体"/>
          <w:color w:val="auto"/>
          <w:sz w:val="18"/>
          <w:szCs w:val="20"/>
          <w:highlight w:val="none"/>
        </w:rPr>
        <w:t xml:space="preserve"> 建筑平面示意</w:t>
      </w:r>
    </w:p>
    <w:p w14:paraId="273AEAF1">
      <w:pPr>
        <w:spacing w:line="360" w:lineRule="exact"/>
        <w:ind w:firstLine="422" w:firstLineChars="200"/>
        <w:rPr>
          <w:color w:val="auto"/>
          <w:szCs w:val="21"/>
          <w:highlight w:val="none"/>
        </w:rPr>
      </w:pPr>
      <w:bookmarkStart w:id="439" w:name="_Toc26727"/>
      <w:bookmarkStart w:id="440" w:name="_Toc20916"/>
      <w:r>
        <w:rPr>
          <w:rFonts w:hint="eastAsia"/>
          <w:b/>
          <w:bCs/>
          <w:color w:val="auto"/>
          <w:szCs w:val="21"/>
          <w:highlight w:val="none"/>
        </w:rPr>
        <w:t>3</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平面突出部分的长度不宜过大(图6.</w:t>
      </w:r>
      <w:r>
        <w:rPr>
          <w:rFonts w:hint="eastAsia"/>
          <w:color w:val="auto"/>
          <w:szCs w:val="21"/>
          <w:highlight w:val="none"/>
        </w:rPr>
        <w:t>2</w:t>
      </w:r>
      <w:r>
        <w:rPr>
          <w:color w:val="auto"/>
          <w:szCs w:val="21"/>
          <w:highlight w:val="none"/>
        </w:rPr>
        <w:t>.</w:t>
      </w:r>
      <w:r>
        <w:rPr>
          <w:rFonts w:hint="eastAsia"/>
          <w:color w:val="auto"/>
          <w:szCs w:val="21"/>
          <w:highlight w:val="none"/>
        </w:rPr>
        <w:t>2</w:t>
      </w:r>
      <w:r>
        <w:rPr>
          <w:color w:val="auto"/>
          <w:szCs w:val="21"/>
          <w:highlight w:val="none"/>
        </w:rPr>
        <w:t>)、宽度b不宜过小，l/B</w:t>
      </w:r>
      <w:r>
        <w:rPr>
          <w:color w:val="auto"/>
          <w:szCs w:val="21"/>
          <w:highlight w:val="none"/>
          <w:vertAlign w:val="subscript"/>
        </w:rPr>
        <w:t>max</w:t>
      </w:r>
      <w:r>
        <w:rPr>
          <w:color w:val="auto"/>
          <w:szCs w:val="21"/>
          <w:highlight w:val="none"/>
        </w:rPr>
        <w:t>、l/b宜按表6.</w:t>
      </w:r>
      <w:r>
        <w:rPr>
          <w:rFonts w:hint="eastAsia"/>
          <w:color w:val="auto"/>
          <w:szCs w:val="21"/>
          <w:highlight w:val="none"/>
        </w:rPr>
        <w:t>2</w:t>
      </w:r>
      <w:r>
        <w:rPr>
          <w:color w:val="auto"/>
          <w:szCs w:val="21"/>
          <w:highlight w:val="none"/>
        </w:rPr>
        <w:t>.</w:t>
      </w:r>
      <w:r>
        <w:rPr>
          <w:rFonts w:hint="eastAsia"/>
          <w:color w:val="auto"/>
          <w:szCs w:val="21"/>
          <w:highlight w:val="none"/>
        </w:rPr>
        <w:t>2</w:t>
      </w:r>
      <w:r>
        <w:rPr>
          <w:rFonts w:hint="eastAsia"/>
          <w:color w:val="auto"/>
          <w:szCs w:val="21"/>
          <w:highlight w:val="none"/>
          <w:lang w:val="en-US" w:eastAsia="zh-CN"/>
        </w:rPr>
        <w:t>-1</w:t>
      </w:r>
      <w:r>
        <w:rPr>
          <w:color w:val="auto"/>
          <w:szCs w:val="21"/>
          <w:highlight w:val="none"/>
        </w:rPr>
        <w:t>采用</w:t>
      </w:r>
      <w:bookmarkEnd w:id="439"/>
      <w:bookmarkEnd w:id="440"/>
      <w:r>
        <w:rPr>
          <w:rFonts w:hint="eastAsia"/>
          <w:color w:val="auto"/>
          <w:szCs w:val="21"/>
          <w:highlight w:val="none"/>
          <w:lang w:eastAsia="zh-CN"/>
        </w:rPr>
        <w:t>；</w:t>
      </w:r>
      <w:r>
        <w:rPr>
          <w:color w:val="auto"/>
          <w:szCs w:val="21"/>
          <w:highlight w:val="none"/>
        </w:rPr>
        <w:t xml:space="preserve"> </w:t>
      </w:r>
    </w:p>
    <w:p w14:paraId="60B8C567">
      <w:pPr>
        <w:jc w:val="center"/>
        <w:rPr>
          <w:rFonts w:hint="eastAsia" w:eastAsia="黑体"/>
          <w:color w:val="auto"/>
          <w:sz w:val="18"/>
          <w:szCs w:val="20"/>
          <w:highlight w:val="none"/>
        </w:rPr>
      </w:pPr>
      <w:r>
        <w:rPr>
          <w:rFonts w:hint="eastAsia" w:eastAsia="黑体"/>
          <w:color w:val="auto"/>
          <w:sz w:val="18"/>
          <w:szCs w:val="20"/>
          <w:highlight w:val="none"/>
        </w:rPr>
        <w:t>表</w:t>
      </w:r>
      <w:r>
        <w:rPr>
          <w:rFonts w:hint="eastAsia" w:eastAsia="黑体"/>
          <w:b/>
          <w:color w:val="auto"/>
          <w:sz w:val="18"/>
          <w:szCs w:val="20"/>
          <w:highlight w:val="none"/>
        </w:rPr>
        <w:t>6.2.2</w:t>
      </w:r>
      <w:r>
        <w:rPr>
          <w:rFonts w:hint="eastAsia" w:eastAsia="黑体"/>
          <w:b/>
          <w:color w:val="auto"/>
          <w:sz w:val="18"/>
          <w:szCs w:val="20"/>
          <w:highlight w:val="none"/>
          <w:lang w:val="en-US" w:eastAsia="zh-CN"/>
        </w:rPr>
        <w:t>-1</w:t>
      </w:r>
      <w:r>
        <w:rPr>
          <w:rFonts w:hint="eastAsia" w:eastAsia="黑体"/>
          <w:b/>
          <w:color w:val="auto"/>
          <w:sz w:val="18"/>
          <w:szCs w:val="20"/>
          <w:highlight w:val="none"/>
        </w:rPr>
        <w:t xml:space="preserve"> </w:t>
      </w:r>
      <w:r>
        <w:rPr>
          <w:rFonts w:hint="eastAsia" w:eastAsia="黑体"/>
          <w:color w:val="auto"/>
          <w:sz w:val="18"/>
          <w:szCs w:val="20"/>
          <w:highlight w:val="none"/>
        </w:rPr>
        <w:t xml:space="preserve"> 平面尺寸及突出部位尺寸的比值限值</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3"/>
        <w:gridCol w:w="1534"/>
        <w:gridCol w:w="1534"/>
        <w:gridCol w:w="1534"/>
      </w:tblGrid>
      <w:tr w14:paraId="5419D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3" w:type="dxa"/>
          </w:tcPr>
          <w:p w14:paraId="7008037B">
            <w:pPr>
              <w:jc w:val="center"/>
              <w:rPr>
                <w:rFonts w:hint="default" w:eastAsia="宋体"/>
                <w:color w:val="auto"/>
                <w:sz w:val="16"/>
                <w:szCs w:val="16"/>
                <w:highlight w:val="none"/>
                <w:vertAlign w:val="baseline"/>
                <w:lang w:val="en-US" w:eastAsia="zh-CN"/>
              </w:rPr>
            </w:pPr>
            <w:r>
              <w:rPr>
                <w:rFonts w:hint="default" w:eastAsia="宋体"/>
                <w:color w:val="auto"/>
                <w:sz w:val="16"/>
                <w:szCs w:val="16"/>
                <w:highlight w:val="none"/>
                <w:vertAlign w:val="baseline"/>
                <w:lang w:val="en-US" w:eastAsia="zh-CN"/>
              </w:rPr>
              <w:t>抗震设防烈度</w:t>
            </w:r>
          </w:p>
        </w:tc>
        <w:tc>
          <w:tcPr>
            <w:tcW w:w="1534" w:type="dxa"/>
          </w:tcPr>
          <w:p w14:paraId="66016FD0">
            <w:pPr>
              <w:jc w:val="center"/>
              <w:rPr>
                <w:rFonts w:hint="default" w:eastAsia="宋体"/>
                <w:i/>
                <w:iCs/>
                <w:color w:val="auto"/>
                <w:sz w:val="16"/>
                <w:szCs w:val="16"/>
                <w:highlight w:val="none"/>
                <w:vertAlign w:val="baseline"/>
                <w:lang w:val="en-US" w:eastAsia="zh-CN"/>
              </w:rPr>
            </w:pPr>
            <w:r>
              <w:rPr>
                <w:rFonts w:hint="default" w:eastAsia="宋体"/>
                <w:i/>
                <w:iCs/>
                <w:color w:val="auto"/>
                <w:sz w:val="16"/>
                <w:szCs w:val="16"/>
                <w:highlight w:val="none"/>
                <w:vertAlign w:val="baseline"/>
                <w:lang w:val="en-US" w:eastAsia="zh-CN"/>
              </w:rPr>
              <w:t>L/B</w:t>
            </w:r>
          </w:p>
        </w:tc>
        <w:tc>
          <w:tcPr>
            <w:tcW w:w="1534" w:type="dxa"/>
          </w:tcPr>
          <w:p w14:paraId="4143450F">
            <w:pPr>
              <w:jc w:val="center"/>
              <w:rPr>
                <w:rFonts w:hint="default" w:eastAsia="宋体"/>
                <w:i/>
                <w:iCs/>
                <w:color w:val="auto"/>
                <w:sz w:val="16"/>
                <w:szCs w:val="16"/>
                <w:highlight w:val="none"/>
                <w:vertAlign w:val="baseline"/>
              </w:rPr>
            </w:pPr>
            <w:r>
              <w:rPr>
                <w:rFonts w:hint="default" w:eastAsia="宋体"/>
                <w:i/>
                <w:iCs/>
                <w:color w:val="auto"/>
                <w:sz w:val="16"/>
                <w:szCs w:val="16"/>
                <w:highlight w:val="none"/>
                <w:vertAlign w:val="baseline"/>
                <w:lang w:val="en-US" w:eastAsia="zh-CN"/>
              </w:rPr>
              <w:t>l/B</w:t>
            </w:r>
            <w:r>
              <w:rPr>
                <w:rFonts w:hint="default" w:eastAsia="宋体"/>
                <w:i w:val="0"/>
                <w:iCs w:val="0"/>
                <w:color w:val="auto"/>
                <w:sz w:val="16"/>
                <w:szCs w:val="16"/>
                <w:highlight w:val="none"/>
                <w:vertAlign w:val="subscript"/>
                <w:lang w:val="en-US" w:eastAsia="zh-CN"/>
              </w:rPr>
              <w:t>max</w:t>
            </w:r>
          </w:p>
        </w:tc>
        <w:tc>
          <w:tcPr>
            <w:tcW w:w="1534" w:type="dxa"/>
          </w:tcPr>
          <w:p w14:paraId="77B2B273">
            <w:pPr>
              <w:jc w:val="center"/>
              <w:rPr>
                <w:rFonts w:hint="default" w:eastAsia="宋体"/>
                <w:i/>
                <w:iCs/>
                <w:color w:val="auto"/>
                <w:sz w:val="16"/>
                <w:szCs w:val="16"/>
                <w:highlight w:val="none"/>
                <w:vertAlign w:val="baseline"/>
              </w:rPr>
            </w:pPr>
            <w:r>
              <w:rPr>
                <w:rFonts w:hint="default" w:eastAsia="宋体"/>
                <w:i/>
                <w:iCs/>
                <w:color w:val="auto"/>
                <w:sz w:val="16"/>
                <w:szCs w:val="16"/>
                <w:highlight w:val="none"/>
                <w:vertAlign w:val="baseline"/>
                <w:lang w:val="en-US" w:eastAsia="zh-CN"/>
              </w:rPr>
              <w:t>l/b</w:t>
            </w:r>
          </w:p>
        </w:tc>
      </w:tr>
      <w:tr w14:paraId="2B3E6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3" w:type="dxa"/>
          </w:tcPr>
          <w:p w14:paraId="7ACC7685">
            <w:pPr>
              <w:jc w:val="center"/>
              <w:rPr>
                <w:rFonts w:hint="default" w:eastAsia="宋体"/>
                <w:color w:val="auto"/>
                <w:sz w:val="16"/>
                <w:szCs w:val="16"/>
                <w:highlight w:val="none"/>
                <w:vertAlign w:val="baseline"/>
                <w:lang w:val="en-US" w:eastAsia="zh-CN"/>
              </w:rPr>
            </w:pPr>
            <w:r>
              <w:rPr>
                <w:rFonts w:hint="default" w:eastAsia="宋体"/>
                <w:color w:val="auto"/>
                <w:sz w:val="16"/>
                <w:szCs w:val="16"/>
                <w:highlight w:val="none"/>
                <w:vertAlign w:val="baseline"/>
                <w:lang w:val="en-US" w:eastAsia="zh-CN"/>
              </w:rPr>
              <w:t>6、7度</w:t>
            </w:r>
          </w:p>
        </w:tc>
        <w:tc>
          <w:tcPr>
            <w:tcW w:w="1534" w:type="dxa"/>
          </w:tcPr>
          <w:p w14:paraId="5FBD0F52">
            <w:pPr>
              <w:jc w:val="center"/>
              <w:rPr>
                <w:rFonts w:hint="default" w:eastAsia="宋体"/>
                <w:color w:val="auto"/>
                <w:sz w:val="16"/>
                <w:szCs w:val="16"/>
                <w:highlight w:val="none"/>
                <w:vertAlign w:val="baseline"/>
                <w:lang w:val="en-US" w:eastAsia="zh-CN"/>
              </w:rPr>
            </w:pPr>
            <w:r>
              <w:rPr>
                <w:rFonts w:hint="default" w:eastAsia="宋体"/>
                <w:color w:val="auto"/>
                <w:sz w:val="16"/>
                <w:szCs w:val="16"/>
                <w:highlight w:val="none"/>
                <w:vertAlign w:val="baseline"/>
                <w:lang w:val="en-US" w:eastAsia="zh-CN"/>
              </w:rPr>
              <w:t>≤6.0</w:t>
            </w:r>
          </w:p>
        </w:tc>
        <w:tc>
          <w:tcPr>
            <w:tcW w:w="1534" w:type="dxa"/>
          </w:tcPr>
          <w:p w14:paraId="5F81A2F9">
            <w:pPr>
              <w:jc w:val="center"/>
              <w:rPr>
                <w:rFonts w:hint="default" w:eastAsia="宋体"/>
                <w:color w:val="auto"/>
                <w:sz w:val="16"/>
                <w:szCs w:val="16"/>
                <w:highlight w:val="none"/>
                <w:vertAlign w:val="baseline"/>
                <w:lang w:val="en-US"/>
              </w:rPr>
            </w:pPr>
            <w:r>
              <w:rPr>
                <w:rFonts w:hint="default" w:eastAsia="宋体"/>
                <w:color w:val="auto"/>
                <w:sz w:val="16"/>
                <w:szCs w:val="16"/>
                <w:highlight w:val="none"/>
                <w:vertAlign w:val="baseline"/>
                <w:lang w:val="en-US" w:eastAsia="zh-CN"/>
              </w:rPr>
              <w:t>≤0.35</w:t>
            </w:r>
          </w:p>
        </w:tc>
        <w:tc>
          <w:tcPr>
            <w:tcW w:w="1534" w:type="dxa"/>
          </w:tcPr>
          <w:p w14:paraId="68886457">
            <w:pPr>
              <w:jc w:val="center"/>
              <w:rPr>
                <w:rFonts w:hint="default" w:eastAsia="宋体"/>
                <w:color w:val="auto"/>
                <w:sz w:val="16"/>
                <w:szCs w:val="16"/>
                <w:highlight w:val="none"/>
                <w:vertAlign w:val="baseline"/>
                <w:lang w:val="en-US"/>
              </w:rPr>
            </w:pPr>
            <w:r>
              <w:rPr>
                <w:rFonts w:hint="default" w:eastAsia="宋体"/>
                <w:color w:val="auto"/>
                <w:sz w:val="16"/>
                <w:szCs w:val="16"/>
                <w:highlight w:val="none"/>
                <w:vertAlign w:val="baseline"/>
                <w:lang w:val="en-US" w:eastAsia="zh-CN"/>
              </w:rPr>
              <w:t>≤2.0</w:t>
            </w:r>
          </w:p>
        </w:tc>
      </w:tr>
      <w:tr w14:paraId="6A2CB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3" w:type="dxa"/>
          </w:tcPr>
          <w:p w14:paraId="1D702561">
            <w:pPr>
              <w:jc w:val="center"/>
              <w:rPr>
                <w:rFonts w:hint="default" w:eastAsia="宋体"/>
                <w:color w:val="auto"/>
                <w:sz w:val="16"/>
                <w:szCs w:val="16"/>
                <w:highlight w:val="none"/>
                <w:vertAlign w:val="baseline"/>
                <w:lang w:val="en-US" w:eastAsia="zh-CN"/>
              </w:rPr>
            </w:pPr>
            <w:r>
              <w:rPr>
                <w:rFonts w:hint="default" w:eastAsia="宋体"/>
                <w:color w:val="auto"/>
                <w:sz w:val="16"/>
                <w:szCs w:val="16"/>
                <w:highlight w:val="none"/>
                <w:vertAlign w:val="baseline"/>
                <w:lang w:val="en-US" w:eastAsia="zh-CN"/>
              </w:rPr>
              <w:t>8度</w:t>
            </w:r>
          </w:p>
        </w:tc>
        <w:tc>
          <w:tcPr>
            <w:tcW w:w="1534" w:type="dxa"/>
            <w:shd w:val="clear" w:color="auto" w:fill="auto"/>
            <w:vAlign w:val="top"/>
          </w:tcPr>
          <w:p w14:paraId="071F8289">
            <w:pPr>
              <w:jc w:val="center"/>
              <w:rPr>
                <w:rFonts w:hint="default" w:eastAsia="宋体"/>
                <w:color w:val="auto"/>
                <w:sz w:val="16"/>
                <w:szCs w:val="16"/>
                <w:highlight w:val="none"/>
                <w:vertAlign w:val="baseline"/>
              </w:rPr>
            </w:pPr>
            <w:r>
              <w:rPr>
                <w:rFonts w:hint="default" w:eastAsia="宋体"/>
                <w:color w:val="auto"/>
                <w:sz w:val="16"/>
                <w:szCs w:val="16"/>
                <w:highlight w:val="none"/>
                <w:vertAlign w:val="baseline"/>
                <w:lang w:val="en-US" w:eastAsia="zh-CN"/>
              </w:rPr>
              <w:t>≤5.0</w:t>
            </w:r>
          </w:p>
        </w:tc>
        <w:tc>
          <w:tcPr>
            <w:tcW w:w="1534" w:type="dxa"/>
            <w:shd w:val="clear" w:color="auto" w:fill="auto"/>
            <w:vAlign w:val="top"/>
          </w:tcPr>
          <w:p w14:paraId="6FC9474B">
            <w:pPr>
              <w:jc w:val="center"/>
              <w:rPr>
                <w:rFonts w:hint="default" w:eastAsia="宋体"/>
                <w:color w:val="auto"/>
                <w:sz w:val="16"/>
                <w:szCs w:val="16"/>
                <w:highlight w:val="none"/>
                <w:vertAlign w:val="baseline"/>
              </w:rPr>
            </w:pPr>
            <w:r>
              <w:rPr>
                <w:rFonts w:hint="default" w:eastAsia="宋体"/>
                <w:color w:val="auto"/>
                <w:sz w:val="16"/>
                <w:szCs w:val="16"/>
                <w:highlight w:val="none"/>
                <w:vertAlign w:val="baseline"/>
                <w:lang w:val="en-US" w:eastAsia="zh-CN"/>
              </w:rPr>
              <w:t>≤0.30</w:t>
            </w:r>
          </w:p>
        </w:tc>
        <w:tc>
          <w:tcPr>
            <w:tcW w:w="1534" w:type="dxa"/>
            <w:shd w:val="clear" w:color="auto" w:fill="auto"/>
            <w:vAlign w:val="top"/>
          </w:tcPr>
          <w:p w14:paraId="2AA5E475">
            <w:pPr>
              <w:jc w:val="center"/>
              <w:rPr>
                <w:rFonts w:hint="default" w:eastAsia="宋体"/>
                <w:color w:val="auto"/>
                <w:sz w:val="16"/>
                <w:szCs w:val="16"/>
                <w:highlight w:val="none"/>
                <w:vertAlign w:val="baseline"/>
              </w:rPr>
            </w:pPr>
            <w:r>
              <w:rPr>
                <w:rFonts w:hint="default" w:eastAsia="宋体"/>
                <w:color w:val="auto"/>
                <w:sz w:val="16"/>
                <w:szCs w:val="16"/>
                <w:highlight w:val="none"/>
                <w:vertAlign w:val="baseline"/>
                <w:lang w:val="en-US" w:eastAsia="zh-CN"/>
              </w:rPr>
              <w:t>≤1.5</w:t>
            </w:r>
          </w:p>
        </w:tc>
      </w:tr>
    </w:tbl>
    <w:p w14:paraId="24965219">
      <w:pPr>
        <w:spacing w:line="240" w:lineRule="auto"/>
        <w:ind w:firstLine="422" w:firstLineChars="200"/>
        <w:rPr>
          <w:color w:val="auto"/>
          <w:szCs w:val="21"/>
          <w:highlight w:val="none"/>
        </w:rPr>
      </w:pPr>
      <w:r>
        <w:rPr>
          <w:rFonts w:hint="eastAsia"/>
          <w:b/>
          <w:bCs/>
          <w:color w:val="auto"/>
          <w:szCs w:val="21"/>
          <w:highlight w:val="none"/>
        </w:rPr>
        <w:t>4</w:t>
      </w:r>
      <w:r>
        <w:rPr>
          <w:b/>
          <w:bCs/>
          <w:color w:val="auto"/>
          <w:szCs w:val="21"/>
          <w:highlight w:val="none"/>
        </w:rPr>
        <w:t xml:space="preserve"> </w:t>
      </w:r>
      <w:r>
        <w:rPr>
          <w:rFonts w:hint="eastAsia"/>
          <w:b/>
          <w:bCs/>
          <w:color w:val="auto"/>
          <w:szCs w:val="21"/>
          <w:highlight w:val="none"/>
          <w:lang w:val="en-US" w:eastAsia="zh-CN"/>
        </w:rPr>
        <w:t xml:space="preserve"> </w:t>
      </w:r>
      <w:r>
        <w:rPr>
          <w:color w:val="auto"/>
          <w:szCs w:val="21"/>
          <w:highlight w:val="none"/>
        </w:rPr>
        <w:t>平面不宜采用角部重叠或细腰形平面布置</w:t>
      </w:r>
      <w:r>
        <w:rPr>
          <w:rFonts w:hint="eastAsia"/>
          <w:color w:val="auto"/>
          <w:szCs w:val="21"/>
          <w:highlight w:val="none"/>
          <w:lang w:eastAsia="zh-CN"/>
        </w:rPr>
        <w:t>；</w:t>
      </w:r>
      <w:r>
        <w:rPr>
          <w:color w:val="auto"/>
          <w:szCs w:val="21"/>
          <w:highlight w:val="none"/>
        </w:rPr>
        <w:t xml:space="preserve"> </w:t>
      </w:r>
    </w:p>
    <w:p w14:paraId="50F80E47">
      <w:pPr>
        <w:spacing w:line="360" w:lineRule="exact"/>
        <w:ind w:firstLine="422" w:firstLineChars="200"/>
        <w:rPr>
          <w:rFonts w:hint="eastAsia"/>
          <w:color w:val="auto"/>
          <w:szCs w:val="21"/>
          <w:highlight w:val="none"/>
          <w:lang w:eastAsia="zh-CN"/>
        </w:rPr>
      </w:pPr>
      <w:bookmarkStart w:id="441" w:name="_Toc830"/>
      <w:bookmarkStart w:id="442" w:name="_Toc11817"/>
      <w:r>
        <w:rPr>
          <w:b/>
          <w:bCs/>
          <w:color w:val="auto"/>
          <w:szCs w:val="21"/>
          <w:highlight w:val="none"/>
        </w:rPr>
        <w:t>5</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模块化结构平面布置应减少扭转的影响。在考虑偶然偏心影响的规定水平地震力作用下，楼层竖向构件最大的水平位移和层间位移，模块化建筑不宜大于该楼层平均值的1.2倍，不应大于该楼层平均值的1.5倍；</w:t>
      </w:r>
      <w:bookmarkEnd w:id="441"/>
      <w:bookmarkEnd w:id="442"/>
      <w:r>
        <w:rPr>
          <w:color w:val="auto"/>
          <w:szCs w:val="21"/>
          <w:highlight w:val="none"/>
        </w:rPr>
        <w:t>模块化建筑高度超过表6.</w:t>
      </w:r>
      <w:r>
        <w:rPr>
          <w:rFonts w:hint="eastAsia"/>
          <w:color w:val="auto"/>
          <w:szCs w:val="21"/>
          <w:highlight w:val="none"/>
          <w:lang w:val="en-US" w:eastAsia="zh-CN"/>
        </w:rPr>
        <w:t>1</w:t>
      </w:r>
      <w:r>
        <w:rPr>
          <w:color w:val="auto"/>
          <w:szCs w:val="21"/>
          <w:highlight w:val="none"/>
        </w:rPr>
        <w:t>.2中的规定时，不应大于楼层平均值的1.4倍</w:t>
      </w:r>
      <w:r>
        <w:rPr>
          <w:rFonts w:hint="eastAsia"/>
          <w:color w:val="auto"/>
          <w:szCs w:val="21"/>
          <w:highlight w:val="none"/>
          <w:lang w:eastAsia="zh-CN"/>
        </w:rPr>
        <w:t>。</w:t>
      </w:r>
      <w:r>
        <w:rPr>
          <w:rFonts w:hint="eastAsia"/>
          <w:color w:val="auto"/>
          <w:szCs w:val="21"/>
          <w:highlight w:val="none"/>
          <w:lang w:val="en-US" w:eastAsia="zh-CN"/>
        </w:rPr>
        <w:t>当</w:t>
      </w:r>
      <w:r>
        <w:rPr>
          <w:rFonts w:hint="eastAsia"/>
          <w:color w:val="auto"/>
          <w:szCs w:val="21"/>
          <w:highlight w:val="none"/>
          <w:lang w:eastAsia="zh-CN"/>
        </w:rPr>
        <w:t>楼层竖向构件的计算平均层间位移很小时，扭转位移比限值可适当放松，扭转位移比限值按表</w:t>
      </w:r>
      <w:r>
        <w:rPr>
          <w:rFonts w:hint="eastAsia"/>
          <w:color w:val="auto"/>
          <w:szCs w:val="21"/>
          <w:highlight w:val="none"/>
          <w:lang w:val="en-US" w:eastAsia="zh-CN"/>
        </w:rPr>
        <w:t>6.2.2-2</w:t>
      </w:r>
      <w:r>
        <w:rPr>
          <w:rFonts w:hint="eastAsia"/>
          <w:color w:val="auto"/>
          <w:szCs w:val="21"/>
          <w:highlight w:val="none"/>
          <w:lang w:eastAsia="zh-CN"/>
        </w:rPr>
        <w:t>取值；</w:t>
      </w:r>
    </w:p>
    <w:p w14:paraId="16458ED2">
      <w:pPr>
        <w:spacing w:line="360" w:lineRule="exact"/>
        <w:ind w:firstLine="0" w:firstLineChars="0"/>
        <w:jc w:val="center"/>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表</w:t>
      </w:r>
      <w:r>
        <w:rPr>
          <w:rFonts w:hint="default" w:ascii="Times New Roman" w:hAnsi="Times New Roman" w:eastAsia="黑体" w:cs="Times New Roman"/>
          <w:b/>
          <w:color w:val="auto"/>
          <w:sz w:val="18"/>
          <w:szCs w:val="18"/>
          <w:highlight w:val="none"/>
          <w:lang w:val="en-US" w:eastAsia="zh-CN"/>
        </w:rPr>
        <w:t xml:space="preserve">6.2.2-2 </w:t>
      </w:r>
      <w:r>
        <w:rPr>
          <w:rFonts w:hint="default" w:ascii="Times New Roman" w:hAnsi="Times New Roman" w:eastAsia="黑体" w:cs="Times New Roman"/>
          <w:color w:val="auto"/>
          <w:sz w:val="18"/>
          <w:szCs w:val="18"/>
          <w:highlight w:val="none"/>
          <w:lang w:val="en-US" w:eastAsia="zh-CN"/>
        </w:rPr>
        <w:t>扭转位移比限值[µ]</w:t>
      </w:r>
    </w:p>
    <w:tbl>
      <w:tblPr>
        <w:tblStyle w:val="26"/>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9"/>
        <w:gridCol w:w="840"/>
        <w:gridCol w:w="825"/>
        <w:gridCol w:w="792"/>
        <w:gridCol w:w="723"/>
      </w:tblGrid>
      <w:tr w14:paraId="067D6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pct"/>
          </w:tcPr>
          <w:p w14:paraId="1B59C5C1">
            <w:pPr>
              <w:spacing w:line="360" w:lineRule="exact"/>
              <w:jc w:val="center"/>
              <w:rPr>
                <w:rFonts w:hint="default"/>
                <w:color w:val="auto"/>
                <w:sz w:val="16"/>
                <w:szCs w:val="16"/>
                <w:highlight w:val="none"/>
                <w:vertAlign w:val="baseline"/>
                <w:lang w:val="en-US" w:eastAsia="zh-CN"/>
              </w:rPr>
            </w:pPr>
            <w:r>
              <w:rPr>
                <w:rFonts w:hint="eastAsia"/>
                <w:color w:val="auto"/>
                <w:sz w:val="16"/>
                <w:szCs w:val="16"/>
                <w:highlight w:val="none"/>
                <w:vertAlign w:val="baseline"/>
                <w:lang w:val="en-US" w:eastAsia="zh-CN"/>
              </w:rPr>
              <w:t>楼层平均层间位移角/层间位移角限值</w:t>
            </w:r>
          </w:p>
        </w:tc>
        <w:tc>
          <w:tcPr>
            <w:tcW w:w="685" w:type="pct"/>
          </w:tcPr>
          <w:p w14:paraId="72487064">
            <w:pPr>
              <w:spacing w:line="360" w:lineRule="exact"/>
              <w:jc w:val="center"/>
              <w:rPr>
                <w:rFonts w:hint="default"/>
                <w:color w:val="auto"/>
                <w:sz w:val="16"/>
                <w:szCs w:val="16"/>
                <w:highlight w:val="none"/>
                <w:vertAlign w:val="baseline"/>
                <w:lang w:val="en-US" w:eastAsia="zh-CN"/>
              </w:rPr>
            </w:pPr>
            <w:r>
              <w:rPr>
                <w:rFonts w:hint="eastAsia"/>
                <w:color w:val="auto"/>
                <w:sz w:val="16"/>
                <w:szCs w:val="16"/>
                <w:highlight w:val="none"/>
                <w:vertAlign w:val="baseline"/>
                <w:lang w:val="en-US" w:eastAsia="zh-CN"/>
              </w:rPr>
              <w:t>≤0.4</w:t>
            </w:r>
          </w:p>
        </w:tc>
        <w:tc>
          <w:tcPr>
            <w:tcW w:w="673" w:type="pct"/>
          </w:tcPr>
          <w:p w14:paraId="51E886CD">
            <w:pPr>
              <w:spacing w:line="360" w:lineRule="exact"/>
              <w:jc w:val="center"/>
              <w:rPr>
                <w:rFonts w:hint="default"/>
                <w:color w:val="auto"/>
                <w:sz w:val="16"/>
                <w:szCs w:val="16"/>
                <w:highlight w:val="none"/>
                <w:vertAlign w:val="baseline"/>
                <w:lang w:val="en-US" w:eastAsia="zh-CN"/>
              </w:rPr>
            </w:pPr>
            <w:r>
              <w:rPr>
                <w:rFonts w:hint="eastAsia"/>
                <w:color w:val="auto"/>
                <w:sz w:val="16"/>
                <w:szCs w:val="16"/>
                <w:highlight w:val="none"/>
                <w:vertAlign w:val="baseline"/>
                <w:lang w:val="en-US" w:eastAsia="zh-CN"/>
              </w:rPr>
              <w:t>0.5</w:t>
            </w:r>
          </w:p>
        </w:tc>
        <w:tc>
          <w:tcPr>
            <w:tcW w:w="646" w:type="pct"/>
          </w:tcPr>
          <w:p w14:paraId="4FBFFE44">
            <w:pPr>
              <w:spacing w:line="360" w:lineRule="exact"/>
              <w:jc w:val="center"/>
              <w:rPr>
                <w:rFonts w:hint="default"/>
                <w:color w:val="auto"/>
                <w:sz w:val="16"/>
                <w:szCs w:val="16"/>
                <w:highlight w:val="none"/>
                <w:vertAlign w:val="baseline"/>
                <w:lang w:val="en-US" w:eastAsia="zh-CN"/>
              </w:rPr>
            </w:pPr>
            <w:r>
              <w:rPr>
                <w:rFonts w:hint="eastAsia"/>
                <w:color w:val="auto"/>
                <w:sz w:val="16"/>
                <w:szCs w:val="16"/>
                <w:highlight w:val="none"/>
                <w:vertAlign w:val="baseline"/>
                <w:lang w:val="en-US" w:eastAsia="zh-CN"/>
              </w:rPr>
              <w:t>0.6</w:t>
            </w:r>
          </w:p>
        </w:tc>
        <w:tc>
          <w:tcPr>
            <w:tcW w:w="589" w:type="pct"/>
          </w:tcPr>
          <w:p w14:paraId="75821A18">
            <w:pPr>
              <w:spacing w:line="360" w:lineRule="exact"/>
              <w:jc w:val="center"/>
              <w:rPr>
                <w:rFonts w:hint="default"/>
                <w:color w:val="auto"/>
                <w:sz w:val="16"/>
                <w:szCs w:val="16"/>
                <w:highlight w:val="none"/>
                <w:vertAlign w:val="baseline"/>
                <w:lang w:val="en-US" w:eastAsia="zh-CN"/>
              </w:rPr>
            </w:pPr>
            <w:r>
              <w:rPr>
                <w:rFonts w:hint="eastAsia"/>
                <w:color w:val="auto"/>
                <w:sz w:val="16"/>
                <w:szCs w:val="16"/>
                <w:highlight w:val="none"/>
                <w:vertAlign w:val="baseline"/>
                <w:lang w:val="en-US" w:eastAsia="zh-CN"/>
              </w:rPr>
              <w:t>0.7</w:t>
            </w:r>
          </w:p>
        </w:tc>
      </w:tr>
      <w:tr w14:paraId="65768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pct"/>
          </w:tcPr>
          <w:p w14:paraId="588E6454">
            <w:pPr>
              <w:spacing w:line="360" w:lineRule="exact"/>
              <w:jc w:val="center"/>
              <w:rPr>
                <w:rFonts w:hint="eastAsia"/>
                <w:color w:val="auto"/>
                <w:sz w:val="16"/>
                <w:szCs w:val="16"/>
                <w:highlight w:val="none"/>
                <w:vertAlign w:val="baseline"/>
                <w:lang w:eastAsia="zh-CN"/>
              </w:rPr>
            </w:pPr>
            <w:r>
              <w:rPr>
                <w:rFonts w:hint="eastAsia"/>
                <w:color w:val="auto"/>
                <w:sz w:val="16"/>
                <w:szCs w:val="16"/>
                <w:highlight w:val="none"/>
                <w:lang w:val="en-US" w:eastAsia="zh-CN"/>
              </w:rPr>
              <w:t>限值[</w:t>
            </w:r>
            <w:r>
              <w:rPr>
                <w:rFonts w:hint="default" w:ascii="Times New Roman" w:hAnsi="Times New Roman" w:cs="Times New Roman"/>
                <w:color w:val="auto"/>
                <w:sz w:val="16"/>
                <w:szCs w:val="16"/>
                <w:highlight w:val="none"/>
                <w:lang w:val="en-US" w:eastAsia="zh-CN"/>
              </w:rPr>
              <w:t>µ</w:t>
            </w:r>
            <w:r>
              <w:rPr>
                <w:rFonts w:hint="eastAsia"/>
                <w:color w:val="auto"/>
                <w:sz w:val="16"/>
                <w:szCs w:val="16"/>
                <w:highlight w:val="none"/>
                <w:lang w:val="en-US" w:eastAsia="zh-CN"/>
              </w:rPr>
              <w:t>]</w:t>
            </w:r>
          </w:p>
        </w:tc>
        <w:tc>
          <w:tcPr>
            <w:tcW w:w="685" w:type="pct"/>
          </w:tcPr>
          <w:p w14:paraId="3C8C9067">
            <w:pPr>
              <w:spacing w:line="360" w:lineRule="exact"/>
              <w:jc w:val="center"/>
              <w:rPr>
                <w:rFonts w:hint="default"/>
                <w:color w:val="auto"/>
                <w:sz w:val="16"/>
                <w:szCs w:val="16"/>
                <w:highlight w:val="none"/>
                <w:vertAlign w:val="baseline"/>
                <w:lang w:val="en-US" w:eastAsia="zh-CN"/>
              </w:rPr>
            </w:pPr>
            <w:r>
              <w:rPr>
                <w:rFonts w:hint="eastAsia"/>
                <w:color w:val="auto"/>
                <w:sz w:val="16"/>
                <w:szCs w:val="16"/>
                <w:highlight w:val="none"/>
                <w:vertAlign w:val="baseline"/>
                <w:lang w:val="en-US" w:eastAsia="zh-CN"/>
              </w:rPr>
              <w:t>1.7</w:t>
            </w:r>
          </w:p>
        </w:tc>
        <w:tc>
          <w:tcPr>
            <w:tcW w:w="673" w:type="pct"/>
          </w:tcPr>
          <w:p w14:paraId="14109C05">
            <w:pPr>
              <w:spacing w:line="360" w:lineRule="exact"/>
              <w:jc w:val="center"/>
              <w:rPr>
                <w:rFonts w:hint="default"/>
                <w:color w:val="auto"/>
                <w:sz w:val="16"/>
                <w:szCs w:val="16"/>
                <w:highlight w:val="none"/>
                <w:vertAlign w:val="baseline"/>
                <w:lang w:val="en-US" w:eastAsia="zh-CN"/>
              </w:rPr>
            </w:pPr>
            <w:r>
              <w:rPr>
                <w:rFonts w:hint="eastAsia"/>
                <w:color w:val="auto"/>
                <w:sz w:val="16"/>
                <w:szCs w:val="16"/>
                <w:highlight w:val="none"/>
                <w:vertAlign w:val="baseline"/>
                <w:lang w:val="en-US" w:eastAsia="zh-CN"/>
              </w:rPr>
              <w:t>1.6</w:t>
            </w:r>
          </w:p>
        </w:tc>
        <w:tc>
          <w:tcPr>
            <w:tcW w:w="646" w:type="pct"/>
          </w:tcPr>
          <w:p w14:paraId="328C6E3F">
            <w:pPr>
              <w:spacing w:line="360" w:lineRule="exact"/>
              <w:jc w:val="center"/>
              <w:rPr>
                <w:rFonts w:hint="default"/>
                <w:color w:val="auto"/>
                <w:sz w:val="16"/>
                <w:szCs w:val="16"/>
                <w:highlight w:val="none"/>
                <w:vertAlign w:val="baseline"/>
                <w:lang w:val="en-US" w:eastAsia="zh-CN"/>
              </w:rPr>
            </w:pPr>
            <w:r>
              <w:rPr>
                <w:rFonts w:hint="eastAsia"/>
                <w:color w:val="auto"/>
                <w:sz w:val="16"/>
                <w:szCs w:val="16"/>
                <w:highlight w:val="none"/>
                <w:vertAlign w:val="baseline"/>
                <w:lang w:val="en-US" w:eastAsia="zh-CN"/>
              </w:rPr>
              <w:t>1.55</w:t>
            </w:r>
          </w:p>
        </w:tc>
        <w:tc>
          <w:tcPr>
            <w:tcW w:w="589" w:type="pct"/>
          </w:tcPr>
          <w:p w14:paraId="39639BDB">
            <w:pPr>
              <w:spacing w:line="360" w:lineRule="exact"/>
              <w:jc w:val="center"/>
              <w:rPr>
                <w:rFonts w:hint="default"/>
                <w:color w:val="auto"/>
                <w:sz w:val="16"/>
                <w:szCs w:val="16"/>
                <w:highlight w:val="none"/>
                <w:vertAlign w:val="baseline"/>
                <w:lang w:val="en-US" w:eastAsia="zh-CN"/>
              </w:rPr>
            </w:pPr>
            <w:r>
              <w:rPr>
                <w:rFonts w:hint="eastAsia"/>
                <w:color w:val="auto"/>
                <w:sz w:val="16"/>
                <w:szCs w:val="16"/>
                <w:highlight w:val="none"/>
                <w:vertAlign w:val="baseline"/>
                <w:lang w:val="en-US" w:eastAsia="zh-CN"/>
              </w:rPr>
              <w:t>1.50</w:t>
            </w:r>
          </w:p>
        </w:tc>
      </w:tr>
    </w:tbl>
    <w:p w14:paraId="7968A37A">
      <w:pPr>
        <w:spacing w:line="360" w:lineRule="exact"/>
        <w:ind w:firstLine="0" w:firstLineChars="0"/>
        <w:rPr>
          <w:rFonts w:hint="eastAsia"/>
          <w:color w:val="auto"/>
          <w:sz w:val="18"/>
          <w:szCs w:val="18"/>
          <w:highlight w:val="none"/>
        </w:rPr>
      </w:pPr>
      <w:bookmarkStart w:id="443" w:name="_Toc11924"/>
      <w:bookmarkStart w:id="444" w:name="_Toc8007"/>
      <w:r>
        <w:rPr>
          <w:rFonts w:hint="eastAsia"/>
          <w:color w:val="auto"/>
          <w:sz w:val="18"/>
          <w:szCs w:val="18"/>
          <w:highlight w:val="none"/>
        </w:rPr>
        <w:t>注：</w:t>
      </w:r>
      <w:r>
        <w:rPr>
          <w:rFonts w:hint="eastAsia"/>
          <w:b/>
          <w:bCs/>
          <w:color w:val="auto"/>
          <w:sz w:val="18"/>
          <w:szCs w:val="18"/>
          <w:highlight w:val="none"/>
        </w:rPr>
        <w:t>1</w:t>
      </w:r>
      <w:r>
        <w:rPr>
          <w:rFonts w:hint="eastAsia"/>
          <w:b/>
          <w:bCs/>
          <w:color w:val="auto"/>
          <w:sz w:val="18"/>
          <w:szCs w:val="18"/>
          <w:highlight w:val="none"/>
          <w:lang w:val="en-US" w:eastAsia="zh-CN"/>
        </w:rPr>
        <w:t xml:space="preserve">  </w:t>
      </w:r>
      <w:r>
        <w:rPr>
          <w:rFonts w:hint="eastAsia"/>
          <w:color w:val="auto"/>
          <w:sz w:val="18"/>
          <w:szCs w:val="18"/>
          <w:highlight w:val="none"/>
        </w:rPr>
        <w:t>楼层竖向构件的扭转位移比是指楼层竖向构件最大的水平位移和层间位移与该楼层竖向构件平均值之比；</w:t>
      </w:r>
    </w:p>
    <w:p w14:paraId="21C76CF8">
      <w:pPr>
        <w:spacing w:line="360" w:lineRule="exact"/>
        <w:ind w:firstLine="361" w:firstLineChars="200"/>
        <w:rPr>
          <w:rFonts w:hint="eastAsia"/>
          <w:color w:val="auto"/>
          <w:sz w:val="18"/>
          <w:szCs w:val="18"/>
          <w:highlight w:val="none"/>
        </w:rPr>
      </w:pPr>
      <w:r>
        <w:rPr>
          <w:rFonts w:hint="eastAsia"/>
          <w:b/>
          <w:bCs/>
          <w:color w:val="auto"/>
          <w:sz w:val="18"/>
          <w:szCs w:val="18"/>
          <w:highlight w:val="none"/>
        </w:rPr>
        <w:t>2</w:t>
      </w:r>
      <w:r>
        <w:rPr>
          <w:rFonts w:hint="eastAsia"/>
          <w:b/>
          <w:bCs/>
          <w:color w:val="auto"/>
          <w:sz w:val="18"/>
          <w:szCs w:val="18"/>
          <w:highlight w:val="none"/>
          <w:lang w:val="en-US" w:eastAsia="zh-CN"/>
        </w:rPr>
        <w:t xml:space="preserve">  </w:t>
      </w:r>
      <w:r>
        <w:rPr>
          <w:rFonts w:hint="eastAsia"/>
          <w:color w:val="auto"/>
          <w:sz w:val="18"/>
          <w:szCs w:val="18"/>
          <w:highlight w:val="none"/>
        </w:rPr>
        <w:t>扭转位移比较大的楼层，应复核楼层竖向构件的受剪扭承载力，并分析楼板在地震作用下的应力状况，采取相应的加强措施；</w:t>
      </w:r>
    </w:p>
    <w:p w14:paraId="542C9362">
      <w:pPr>
        <w:spacing w:line="360" w:lineRule="exact"/>
        <w:ind w:firstLine="361" w:firstLineChars="200"/>
        <w:rPr>
          <w:color w:val="auto"/>
          <w:sz w:val="18"/>
          <w:szCs w:val="18"/>
          <w:highlight w:val="none"/>
        </w:rPr>
      </w:pPr>
      <w:r>
        <w:rPr>
          <w:rFonts w:hint="eastAsia"/>
          <w:b/>
          <w:bCs/>
          <w:color w:val="auto"/>
          <w:sz w:val="18"/>
          <w:szCs w:val="18"/>
          <w:highlight w:val="none"/>
        </w:rPr>
        <w:t>3</w:t>
      </w:r>
      <w:r>
        <w:rPr>
          <w:rFonts w:hint="eastAsia"/>
          <w:b/>
          <w:bCs/>
          <w:color w:val="auto"/>
          <w:sz w:val="18"/>
          <w:szCs w:val="18"/>
          <w:highlight w:val="none"/>
          <w:lang w:val="en-US" w:eastAsia="zh-CN"/>
        </w:rPr>
        <w:t xml:space="preserve">  </w:t>
      </w:r>
      <w:r>
        <w:rPr>
          <w:rFonts w:hint="eastAsia"/>
          <w:color w:val="auto"/>
          <w:sz w:val="18"/>
          <w:szCs w:val="18"/>
          <w:highlight w:val="none"/>
        </w:rPr>
        <w:t>平均层间位移角取楼层各抗侧力构件最大层间位移角与最小层间位移角的平均值。</w:t>
      </w:r>
    </w:p>
    <w:p w14:paraId="78F4A873">
      <w:pPr>
        <w:spacing w:line="360" w:lineRule="exact"/>
        <w:ind w:firstLine="422" w:firstLineChars="200"/>
        <w:rPr>
          <w:rFonts w:hint="eastAsia" w:eastAsia="宋体"/>
          <w:color w:val="auto"/>
          <w:szCs w:val="21"/>
          <w:highlight w:val="none"/>
          <w:lang w:eastAsia="zh-CN"/>
        </w:rPr>
      </w:pPr>
      <w:r>
        <w:rPr>
          <w:b/>
          <w:bCs/>
          <w:color w:val="auto"/>
          <w:szCs w:val="21"/>
          <w:highlight w:val="none"/>
        </w:rPr>
        <w:t>6</w:t>
      </w:r>
      <w:r>
        <w:rPr>
          <w:color w:val="auto"/>
          <w:szCs w:val="21"/>
          <w:highlight w:val="none"/>
        </w:rPr>
        <w:t xml:space="preserve"> </w:t>
      </w:r>
      <w:r>
        <w:rPr>
          <w:rFonts w:hint="eastAsia"/>
          <w:color w:val="auto"/>
          <w:szCs w:val="21"/>
          <w:highlight w:val="none"/>
          <w:lang w:val="en-US" w:eastAsia="zh-CN"/>
        </w:rPr>
        <w:t xml:space="preserve"> </w:t>
      </w:r>
      <w:r>
        <w:rPr>
          <w:rFonts w:hint="eastAsia"/>
          <w:color w:val="auto"/>
          <w:szCs w:val="21"/>
          <w:highlight w:val="none"/>
        </w:rPr>
        <w:t>结构平面布置应尽量减少扭转影响，结构第一自振周期宜为平动周期。当结构第一自振周期为扭转周期时，应考虑楼层及竖向构件抵抗扭矩的作用</w:t>
      </w:r>
      <w:r>
        <w:rPr>
          <w:rFonts w:hint="eastAsia"/>
          <w:color w:val="auto"/>
          <w:szCs w:val="21"/>
          <w:highlight w:val="none"/>
          <w:lang w:eastAsia="zh-CN"/>
        </w:rPr>
        <w:t>；</w:t>
      </w:r>
    </w:p>
    <w:bookmarkEnd w:id="443"/>
    <w:bookmarkEnd w:id="444"/>
    <w:p w14:paraId="378FDFE3">
      <w:pPr>
        <w:spacing w:line="360" w:lineRule="exact"/>
        <w:ind w:firstLine="422" w:firstLineChars="200"/>
        <w:rPr>
          <w:color w:val="auto"/>
          <w:szCs w:val="21"/>
          <w:highlight w:val="none"/>
        </w:rPr>
      </w:pPr>
      <w:bookmarkStart w:id="445" w:name="_Toc15157"/>
      <w:r>
        <w:rPr>
          <w:rFonts w:hint="eastAsia"/>
          <w:b/>
          <w:bCs/>
          <w:color w:val="auto"/>
          <w:szCs w:val="21"/>
          <w:highlight w:val="none"/>
        </w:rPr>
        <w:t>7</w:t>
      </w:r>
      <w:r>
        <w:rPr>
          <w:color w:val="auto"/>
          <w:szCs w:val="21"/>
          <w:highlight w:val="none"/>
        </w:rPr>
        <w:t xml:space="preserve"> </w:t>
      </w:r>
      <w:bookmarkStart w:id="446" w:name="OLE_LINK113"/>
      <w:r>
        <w:rPr>
          <w:rFonts w:hint="eastAsia"/>
          <w:color w:val="auto"/>
          <w:szCs w:val="21"/>
          <w:highlight w:val="none"/>
          <w:lang w:val="en-US" w:eastAsia="zh-CN"/>
        </w:rPr>
        <w:t xml:space="preserve"> </w:t>
      </w:r>
      <w:r>
        <w:rPr>
          <w:color w:val="auto"/>
          <w:szCs w:val="21"/>
          <w:highlight w:val="none"/>
        </w:rPr>
        <w:t>高层模块化</w:t>
      </w:r>
      <w:r>
        <w:rPr>
          <w:rFonts w:hint="eastAsia"/>
          <w:color w:val="auto"/>
          <w:szCs w:val="21"/>
          <w:highlight w:val="none"/>
          <w:lang w:val="en-US" w:eastAsia="zh-CN"/>
        </w:rPr>
        <w:t>结构</w:t>
      </w:r>
      <w:r>
        <w:rPr>
          <w:color w:val="auto"/>
          <w:szCs w:val="21"/>
          <w:highlight w:val="none"/>
        </w:rPr>
        <w:t>中，</w:t>
      </w:r>
      <w:bookmarkStart w:id="447" w:name="OLE_LINK112"/>
      <w:r>
        <w:rPr>
          <w:rFonts w:hint="eastAsia"/>
          <w:color w:val="auto"/>
          <w:szCs w:val="21"/>
          <w:highlight w:val="none"/>
          <w:lang w:val="en-US" w:eastAsia="zh-CN"/>
        </w:rPr>
        <w:t>小震或中震作用下，大偏心</w:t>
      </w:r>
      <w:r>
        <w:rPr>
          <w:color w:val="auto"/>
          <w:szCs w:val="21"/>
          <w:highlight w:val="none"/>
        </w:rPr>
        <w:t>受拉剪力墙不宜采用叠合剪力墙</w:t>
      </w:r>
      <w:bookmarkEnd w:id="445"/>
      <w:bookmarkEnd w:id="446"/>
      <w:r>
        <w:rPr>
          <w:rFonts w:hint="eastAsia"/>
          <w:color w:val="auto"/>
          <w:szCs w:val="21"/>
          <w:highlight w:val="none"/>
          <w:lang w:eastAsia="zh-CN"/>
        </w:rPr>
        <w:t>；</w:t>
      </w:r>
      <w:r>
        <w:rPr>
          <w:color w:val="auto"/>
          <w:szCs w:val="21"/>
          <w:highlight w:val="none"/>
        </w:rPr>
        <w:t xml:space="preserve"> </w:t>
      </w:r>
    </w:p>
    <w:bookmarkEnd w:id="447"/>
    <w:p w14:paraId="744ACD41">
      <w:pPr>
        <w:spacing w:line="360" w:lineRule="exact"/>
        <w:ind w:firstLine="422" w:firstLineChars="200"/>
        <w:rPr>
          <w:color w:val="auto"/>
          <w:szCs w:val="21"/>
          <w:highlight w:val="none"/>
        </w:rPr>
      </w:pPr>
      <w:bookmarkStart w:id="448" w:name="_Toc4426"/>
      <w:r>
        <w:rPr>
          <w:rFonts w:hint="eastAsia"/>
          <w:b/>
          <w:bCs/>
          <w:color w:val="auto"/>
          <w:szCs w:val="21"/>
          <w:highlight w:val="none"/>
        </w:rPr>
        <w:t>8</w:t>
      </w:r>
      <w:r>
        <w:rPr>
          <w:color w:val="auto"/>
          <w:szCs w:val="21"/>
          <w:highlight w:val="none"/>
        </w:rPr>
        <w:t xml:space="preserve"> </w:t>
      </w:r>
      <w:bookmarkStart w:id="449" w:name="OLE_LINK114"/>
      <w:r>
        <w:rPr>
          <w:rFonts w:hint="eastAsia"/>
          <w:color w:val="auto"/>
          <w:szCs w:val="21"/>
          <w:highlight w:val="none"/>
          <w:lang w:val="en-US" w:eastAsia="zh-CN"/>
        </w:rPr>
        <w:t xml:space="preserve"> </w:t>
      </w:r>
      <w:r>
        <w:rPr>
          <w:color w:val="auto"/>
          <w:szCs w:val="21"/>
          <w:highlight w:val="none"/>
        </w:rPr>
        <w:t>模块内相邻叠合剪力墙之间应采用</w:t>
      </w:r>
      <w:r>
        <w:rPr>
          <w:rFonts w:hint="eastAsia"/>
          <w:color w:val="auto"/>
          <w:szCs w:val="21"/>
          <w:highlight w:val="none"/>
        </w:rPr>
        <w:t>现浇</w:t>
      </w:r>
      <w:r>
        <w:rPr>
          <w:color w:val="auto"/>
          <w:szCs w:val="21"/>
          <w:highlight w:val="none"/>
        </w:rPr>
        <w:t>整体式接缝连接</w:t>
      </w:r>
      <w:bookmarkEnd w:id="448"/>
      <w:bookmarkEnd w:id="449"/>
      <w:r>
        <w:rPr>
          <w:rFonts w:hint="eastAsia"/>
          <w:color w:val="auto"/>
          <w:szCs w:val="21"/>
          <w:highlight w:val="none"/>
          <w:lang w:eastAsia="zh-CN"/>
        </w:rPr>
        <w:t>；</w:t>
      </w:r>
    </w:p>
    <w:p w14:paraId="5E240CAA">
      <w:pPr>
        <w:spacing w:line="360" w:lineRule="exact"/>
        <w:ind w:firstLine="422" w:firstLineChars="200"/>
        <w:rPr>
          <w:rFonts w:hint="eastAsia" w:eastAsia="宋体"/>
          <w:color w:val="auto"/>
          <w:szCs w:val="21"/>
          <w:highlight w:val="none"/>
          <w:lang w:eastAsia="zh-CN"/>
        </w:rPr>
      </w:pPr>
      <w:bookmarkStart w:id="450" w:name="_Toc6907"/>
      <w:r>
        <w:rPr>
          <w:rFonts w:hint="eastAsia"/>
          <w:b/>
          <w:bCs/>
          <w:color w:val="auto"/>
          <w:szCs w:val="21"/>
          <w:highlight w:val="none"/>
        </w:rPr>
        <w:t>9</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嵌固层、结构转换层、平面复杂或开洞较大的楼层应采用现浇混凝土楼盖</w:t>
      </w:r>
      <w:bookmarkEnd w:id="450"/>
      <w:r>
        <w:rPr>
          <w:rFonts w:hint="eastAsia"/>
          <w:color w:val="auto"/>
          <w:szCs w:val="21"/>
          <w:highlight w:val="none"/>
          <w:lang w:eastAsia="zh-CN"/>
        </w:rPr>
        <w:t>；</w:t>
      </w:r>
    </w:p>
    <w:p w14:paraId="2D0FCBF5">
      <w:pPr>
        <w:spacing w:line="360" w:lineRule="exact"/>
        <w:ind w:firstLine="422" w:firstLineChars="200"/>
        <w:rPr>
          <w:color w:val="auto"/>
          <w:szCs w:val="21"/>
          <w:highlight w:val="none"/>
        </w:rPr>
      </w:pPr>
      <w:bookmarkStart w:id="451" w:name="_Toc8709"/>
      <w:r>
        <w:rPr>
          <w:rFonts w:hint="eastAsia"/>
          <w:b/>
          <w:bCs/>
          <w:color w:val="auto"/>
          <w:szCs w:val="21"/>
          <w:highlight w:val="none"/>
        </w:rPr>
        <w:t>10</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应通过构造实现结构有足够冗余度，避免因部分构件或结构破坏导致整个结构体系丧失承载能力。</w:t>
      </w:r>
      <w:bookmarkEnd w:id="451"/>
    </w:p>
    <w:p w14:paraId="0B240F5C">
      <w:pPr>
        <w:widowControl/>
        <w:spacing w:line="360" w:lineRule="exact"/>
        <w:rPr>
          <w:color w:val="auto"/>
          <w:szCs w:val="21"/>
          <w:highlight w:val="none"/>
        </w:rPr>
      </w:pPr>
      <w:r>
        <w:rPr>
          <w:b/>
          <w:color w:val="auto"/>
          <w:szCs w:val="21"/>
          <w:highlight w:val="none"/>
        </w:rPr>
        <w:t>6.</w:t>
      </w:r>
      <w:r>
        <w:rPr>
          <w:rFonts w:hint="eastAsia"/>
          <w:b/>
          <w:color w:val="auto"/>
          <w:szCs w:val="21"/>
          <w:highlight w:val="none"/>
        </w:rPr>
        <w:t>2</w:t>
      </w:r>
      <w:r>
        <w:rPr>
          <w:b/>
          <w:color w:val="auto"/>
          <w:szCs w:val="21"/>
          <w:highlight w:val="none"/>
        </w:rPr>
        <w:t xml:space="preserve">.3 </w:t>
      </w:r>
      <w:r>
        <w:rPr>
          <w:color w:val="auto"/>
          <w:szCs w:val="21"/>
          <w:highlight w:val="none"/>
        </w:rPr>
        <w:t xml:space="preserve"> 模块化结构的竖向布置应连续、均匀，构件宜上、下连续贯通，避免抗侧力结构的侧向刚度和受剪承载能力沿竖向突变。</w:t>
      </w:r>
    </w:p>
    <w:p w14:paraId="5921C579">
      <w:pPr>
        <w:widowControl/>
        <w:spacing w:line="360" w:lineRule="exact"/>
        <w:rPr>
          <w:color w:val="auto"/>
          <w:szCs w:val="21"/>
          <w:highlight w:val="none"/>
        </w:rPr>
      </w:pPr>
      <w:r>
        <w:rPr>
          <w:b/>
          <w:color w:val="auto"/>
          <w:szCs w:val="21"/>
          <w:highlight w:val="none"/>
        </w:rPr>
        <w:t>6.</w:t>
      </w:r>
      <w:r>
        <w:rPr>
          <w:rFonts w:hint="eastAsia"/>
          <w:b/>
          <w:color w:val="auto"/>
          <w:szCs w:val="21"/>
          <w:highlight w:val="none"/>
        </w:rPr>
        <w:t>2</w:t>
      </w:r>
      <w:r>
        <w:rPr>
          <w:b/>
          <w:color w:val="auto"/>
          <w:szCs w:val="21"/>
          <w:highlight w:val="none"/>
        </w:rPr>
        <w:t>.</w:t>
      </w:r>
      <w:r>
        <w:rPr>
          <w:rFonts w:hint="eastAsia"/>
          <w:b/>
          <w:color w:val="auto"/>
          <w:szCs w:val="21"/>
          <w:highlight w:val="none"/>
        </w:rPr>
        <w:t>4</w:t>
      </w:r>
      <w:r>
        <w:rPr>
          <w:b/>
          <w:color w:val="auto"/>
          <w:szCs w:val="21"/>
          <w:highlight w:val="none"/>
        </w:rPr>
        <w:t xml:space="preserve"> </w:t>
      </w:r>
      <w:r>
        <w:rPr>
          <w:color w:val="auto"/>
          <w:szCs w:val="21"/>
          <w:highlight w:val="none"/>
        </w:rPr>
        <w:t xml:space="preserve"> 模块化结构适用的最大高宽比宜符合表6.</w:t>
      </w:r>
      <w:r>
        <w:rPr>
          <w:rFonts w:hint="eastAsia"/>
          <w:color w:val="auto"/>
          <w:szCs w:val="21"/>
          <w:highlight w:val="none"/>
        </w:rPr>
        <w:t>2</w:t>
      </w:r>
      <w:r>
        <w:rPr>
          <w:color w:val="auto"/>
          <w:szCs w:val="21"/>
          <w:highlight w:val="none"/>
        </w:rPr>
        <w:t>.</w:t>
      </w:r>
      <w:r>
        <w:rPr>
          <w:rFonts w:hint="eastAsia"/>
          <w:color w:val="auto"/>
          <w:szCs w:val="21"/>
          <w:highlight w:val="none"/>
        </w:rPr>
        <w:t>4</w:t>
      </w:r>
      <w:r>
        <w:rPr>
          <w:color w:val="auto"/>
          <w:szCs w:val="21"/>
          <w:highlight w:val="none"/>
        </w:rPr>
        <w:t>的规定。</w:t>
      </w:r>
    </w:p>
    <w:p w14:paraId="46D1A439">
      <w:pPr>
        <w:pStyle w:val="50"/>
        <w:spacing w:line="360" w:lineRule="exact"/>
        <w:rPr>
          <w:color w:val="auto"/>
          <w:highlight w:val="none"/>
        </w:rPr>
      </w:pPr>
      <w:r>
        <w:rPr>
          <w:color w:val="auto"/>
          <w:highlight w:val="none"/>
        </w:rPr>
        <w:t>表</w:t>
      </w:r>
      <w:r>
        <w:rPr>
          <w:b/>
          <w:color w:val="auto"/>
          <w:highlight w:val="none"/>
        </w:rPr>
        <w:t>6.</w:t>
      </w:r>
      <w:r>
        <w:rPr>
          <w:rFonts w:hint="eastAsia"/>
          <w:b/>
          <w:color w:val="auto"/>
          <w:highlight w:val="none"/>
        </w:rPr>
        <w:t>2</w:t>
      </w:r>
      <w:r>
        <w:rPr>
          <w:b/>
          <w:color w:val="auto"/>
          <w:highlight w:val="none"/>
        </w:rPr>
        <w:t>.</w:t>
      </w:r>
      <w:r>
        <w:rPr>
          <w:rFonts w:hint="eastAsia"/>
          <w:b/>
          <w:color w:val="auto"/>
          <w:highlight w:val="none"/>
        </w:rPr>
        <w:t>4</w:t>
      </w:r>
      <w:r>
        <w:rPr>
          <w:b/>
          <w:color w:val="auto"/>
          <w:highlight w:val="none"/>
        </w:rPr>
        <w:t xml:space="preserve"> </w:t>
      </w:r>
      <w:r>
        <w:rPr>
          <w:color w:val="auto"/>
          <w:highlight w:val="none"/>
        </w:rPr>
        <w:t xml:space="preserve"> 模块化结构适用的最大高宽比</w:t>
      </w:r>
    </w:p>
    <w:tbl>
      <w:tblPr>
        <w:tblStyle w:val="25"/>
        <w:tblpPr w:leftFromText="180" w:rightFromText="180" w:vertAnchor="text" w:horzAnchor="margin" w:tblpXSpec="center" w:tblpY="69"/>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00"/>
        <w:gridCol w:w="889"/>
        <w:gridCol w:w="1031"/>
        <w:gridCol w:w="1409"/>
      </w:tblGrid>
      <w:tr w14:paraId="663435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284" w:type="pct"/>
            <w:vMerge w:val="restart"/>
            <w:vAlign w:val="center"/>
          </w:tcPr>
          <w:p w14:paraId="4644B00A">
            <w:pPr>
              <w:pStyle w:val="49"/>
              <w:rPr>
                <w:rFonts w:hint="eastAsia" w:ascii="Times New Roman" w:hAnsi="Times New Roman" w:cs="Times New Roman"/>
                <w:color w:val="auto"/>
                <w:sz w:val="16"/>
                <w:szCs w:val="16"/>
                <w:highlight w:val="none"/>
              </w:rPr>
            </w:pPr>
            <w:r>
              <w:rPr>
                <w:rFonts w:hint="eastAsia" w:ascii="Times New Roman" w:hAnsi="Times New Roman" w:cs="Times New Roman"/>
                <w:color w:val="auto"/>
                <w:sz w:val="16"/>
                <w:szCs w:val="16"/>
                <w:highlight w:val="none"/>
              </w:rPr>
              <w:t>结构类型</w:t>
            </w:r>
          </w:p>
        </w:tc>
        <w:tc>
          <w:tcPr>
            <w:tcW w:w="2715" w:type="pct"/>
            <w:gridSpan w:val="3"/>
            <w:vAlign w:val="center"/>
          </w:tcPr>
          <w:p w14:paraId="0C0C7875">
            <w:pPr>
              <w:pStyle w:val="49"/>
              <w:rPr>
                <w:rFonts w:hint="eastAsia" w:ascii="Times New Roman" w:hAnsi="Times New Roman" w:cs="Times New Roman"/>
                <w:color w:val="auto"/>
                <w:sz w:val="16"/>
                <w:szCs w:val="16"/>
                <w:highlight w:val="none"/>
              </w:rPr>
            </w:pPr>
            <w:r>
              <w:rPr>
                <w:rFonts w:hint="eastAsia" w:ascii="Times New Roman" w:hAnsi="Times New Roman" w:cs="Times New Roman"/>
                <w:color w:val="auto"/>
                <w:sz w:val="16"/>
                <w:szCs w:val="16"/>
                <w:highlight w:val="none"/>
              </w:rPr>
              <w:t>烈度</w:t>
            </w:r>
          </w:p>
        </w:tc>
      </w:tr>
      <w:tr w14:paraId="57BD27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284" w:type="pct"/>
            <w:vMerge w:val="continue"/>
            <w:vAlign w:val="center"/>
          </w:tcPr>
          <w:p w14:paraId="5158021E">
            <w:pPr>
              <w:pStyle w:val="49"/>
              <w:rPr>
                <w:rFonts w:hint="eastAsia" w:ascii="Times New Roman" w:hAnsi="Times New Roman" w:cs="Times New Roman"/>
                <w:color w:val="auto"/>
                <w:sz w:val="16"/>
                <w:szCs w:val="16"/>
                <w:highlight w:val="none"/>
              </w:rPr>
            </w:pPr>
          </w:p>
        </w:tc>
        <w:tc>
          <w:tcPr>
            <w:tcW w:w="725" w:type="pct"/>
            <w:vAlign w:val="center"/>
          </w:tcPr>
          <w:p w14:paraId="5578AC73">
            <w:pPr>
              <w:pStyle w:val="49"/>
              <w:rPr>
                <w:rFonts w:hint="eastAsia" w:ascii="Times New Roman" w:hAnsi="Times New Roman" w:cs="Times New Roman"/>
                <w:color w:val="auto"/>
                <w:sz w:val="16"/>
                <w:szCs w:val="16"/>
                <w:highlight w:val="none"/>
              </w:rPr>
            </w:pPr>
            <w:r>
              <w:rPr>
                <w:rFonts w:hint="eastAsia" w:ascii="Times New Roman" w:hAnsi="Times New Roman" w:cs="Times New Roman"/>
                <w:color w:val="auto"/>
                <w:sz w:val="16"/>
                <w:szCs w:val="16"/>
                <w:highlight w:val="none"/>
              </w:rPr>
              <w:t>6度</w:t>
            </w:r>
          </w:p>
        </w:tc>
        <w:tc>
          <w:tcPr>
            <w:tcW w:w="841" w:type="pct"/>
            <w:vAlign w:val="center"/>
          </w:tcPr>
          <w:p w14:paraId="765149A1">
            <w:pPr>
              <w:pStyle w:val="49"/>
              <w:rPr>
                <w:rFonts w:hint="eastAsia" w:ascii="Times New Roman" w:hAnsi="Times New Roman" w:cs="Times New Roman"/>
                <w:color w:val="auto"/>
                <w:sz w:val="16"/>
                <w:szCs w:val="16"/>
                <w:highlight w:val="none"/>
              </w:rPr>
            </w:pPr>
            <w:r>
              <w:rPr>
                <w:rFonts w:hint="eastAsia" w:ascii="Times New Roman" w:hAnsi="Times New Roman" w:cs="Times New Roman"/>
                <w:color w:val="auto"/>
                <w:sz w:val="16"/>
                <w:szCs w:val="16"/>
                <w:highlight w:val="none"/>
              </w:rPr>
              <w:t>7度</w:t>
            </w:r>
          </w:p>
        </w:tc>
        <w:tc>
          <w:tcPr>
            <w:tcW w:w="1149" w:type="pct"/>
            <w:vAlign w:val="center"/>
          </w:tcPr>
          <w:p w14:paraId="01128785">
            <w:pPr>
              <w:pStyle w:val="49"/>
              <w:rPr>
                <w:rFonts w:hint="eastAsia" w:ascii="Times New Roman" w:hAnsi="Times New Roman" w:cs="Times New Roman"/>
                <w:color w:val="auto"/>
                <w:sz w:val="16"/>
                <w:szCs w:val="16"/>
                <w:highlight w:val="none"/>
              </w:rPr>
            </w:pPr>
            <w:r>
              <w:rPr>
                <w:rFonts w:hint="eastAsia" w:ascii="Times New Roman" w:hAnsi="Times New Roman" w:cs="Times New Roman"/>
                <w:color w:val="auto"/>
                <w:sz w:val="16"/>
                <w:szCs w:val="16"/>
                <w:highlight w:val="none"/>
              </w:rPr>
              <w:t>8（0.2g）度</w:t>
            </w:r>
          </w:p>
        </w:tc>
      </w:tr>
      <w:tr w14:paraId="1AB409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284" w:type="pct"/>
            <w:vAlign w:val="center"/>
          </w:tcPr>
          <w:p w14:paraId="6E834C0A">
            <w:pPr>
              <w:pStyle w:val="49"/>
              <w:rPr>
                <w:rFonts w:hint="eastAsia" w:ascii="Times New Roman" w:hAnsi="Times New Roman" w:cs="Times New Roman"/>
                <w:color w:val="auto"/>
                <w:sz w:val="16"/>
                <w:szCs w:val="16"/>
                <w:highlight w:val="none"/>
              </w:rPr>
            </w:pPr>
            <w:r>
              <w:rPr>
                <w:rFonts w:hint="eastAsia" w:ascii="Times New Roman" w:hAnsi="Times New Roman" w:cs="Times New Roman"/>
                <w:color w:val="auto"/>
                <w:sz w:val="16"/>
                <w:szCs w:val="16"/>
                <w:highlight w:val="none"/>
              </w:rPr>
              <w:t>模块化全预制剪力墙结构</w:t>
            </w:r>
          </w:p>
        </w:tc>
        <w:tc>
          <w:tcPr>
            <w:tcW w:w="725" w:type="pct"/>
            <w:vAlign w:val="center"/>
          </w:tcPr>
          <w:p w14:paraId="4FA27C14">
            <w:pPr>
              <w:pStyle w:val="49"/>
              <w:rPr>
                <w:rFonts w:hint="eastAsia" w:ascii="Times New Roman" w:hAnsi="Times New Roman" w:cs="Times New Roman"/>
                <w:color w:val="auto"/>
                <w:sz w:val="16"/>
                <w:szCs w:val="16"/>
                <w:highlight w:val="none"/>
              </w:rPr>
            </w:pPr>
            <w:r>
              <w:rPr>
                <w:rFonts w:hint="eastAsia" w:ascii="Times New Roman" w:hAnsi="Times New Roman" w:cs="Times New Roman"/>
                <w:color w:val="auto"/>
                <w:sz w:val="16"/>
                <w:szCs w:val="16"/>
                <w:highlight w:val="none"/>
              </w:rPr>
              <w:t>3.5</w:t>
            </w:r>
          </w:p>
        </w:tc>
        <w:tc>
          <w:tcPr>
            <w:tcW w:w="841" w:type="pct"/>
            <w:vAlign w:val="center"/>
          </w:tcPr>
          <w:p w14:paraId="06E4F923">
            <w:pPr>
              <w:pStyle w:val="49"/>
              <w:rPr>
                <w:rFonts w:hint="eastAsia" w:ascii="Times New Roman" w:hAnsi="Times New Roman" w:cs="Times New Roman"/>
                <w:color w:val="auto"/>
                <w:sz w:val="16"/>
                <w:szCs w:val="16"/>
                <w:highlight w:val="none"/>
              </w:rPr>
            </w:pPr>
            <w:r>
              <w:rPr>
                <w:rFonts w:hint="eastAsia" w:ascii="Times New Roman" w:hAnsi="Times New Roman" w:cs="Times New Roman"/>
                <w:color w:val="auto"/>
                <w:sz w:val="16"/>
                <w:szCs w:val="16"/>
                <w:highlight w:val="none"/>
              </w:rPr>
              <w:t>3.0</w:t>
            </w:r>
          </w:p>
        </w:tc>
        <w:tc>
          <w:tcPr>
            <w:tcW w:w="1149" w:type="pct"/>
            <w:vAlign w:val="center"/>
          </w:tcPr>
          <w:p w14:paraId="42E3DC6A">
            <w:pPr>
              <w:pStyle w:val="49"/>
              <w:rPr>
                <w:rFonts w:hint="eastAsia" w:ascii="Times New Roman" w:hAnsi="Times New Roman" w:cs="Times New Roman"/>
                <w:color w:val="auto"/>
                <w:sz w:val="16"/>
                <w:szCs w:val="16"/>
                <w:highlight w:val="none"/>
              </w:rPr>
            </w:pPr>
            <w:r>
              <w:rPr>
                <w:rFonts w:hint="eastAsia" w:ascii="Times New Roman" w:hAnsi="Times New Roman" w:cs="Times New Roman"/>
                <w:color w:val="auto"/>
                <w:sz w:val="16"/>
                <w:szCs w:val="16"/>
                <w:highlight w:val="none"/>
              </w:rPr>
              <w:t>2.5</w:t>
            </w:r>
          </w:p>
        </w:tc>
      </w:tr>
      <w:tr w14:paraId="205B21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284" w:type="pct"/>
            <w:vAlign w:val="center"/>
          </w:tcPr>
          <w:p w14:paraId="170D7F02">
            <w:pPr>
              <w:pStyle w:val="49"/>
              <w:rPr>
                <w:rFonts w:hint="default" w:ascii="Times New Roman" w:hAnsi="Times New Roman" w:eastAsia="宋体" w:cs="Times New Roman"/>
                <w:color w:val="auto"/>
                <w:sz w:val="16"/>
                <w:szCs w:val="16"/>
                <w:highlight w:val="none"/>
                <w:lang w:val="en-US" w:eastAsia="zh-CN"/>
              </w:rPr>
            </w:pPr>
            <w:r>
              <w:rPr>
                <w:rFonts w:hint="eastAsia" w:cs="Times New Roman"/>
                <w:color w:val="auto"/>
                <w:sz w:val="16"/>
                <w:szCs w:val="16"/>
                <w:highlight w:val="none"/>
                <w:lang w:val="en-US" w:eastAsia="zh-CN"/>
              </w:rPr>
              <w:t>模块化框架模块</w:t>
            </w:r>
          </w:p>
        </w:tc>
        <w:tc>
          <w:tcPr>
            <w:tcW w:w="1566" w:type="pct"/>
            <w:gridSpan w:val="2"/>
            <w:vAlign w:val="center"/>
          </w:tcPr>
          <w:p w14:paraId="28D1E002">
            <w:pPr>
              <w:pStyle w:val="49"/>
              <w:rPr>
                <w:rFonts w:hint="eastAsia" w:ascii="Times New Roman" w:hAnsi="Times New Roman" w:eastAsia="宋体" w:cs="Times New Roman"/>
                <w:color w:val="auto"/>
                <w:sz w:val="16"/>
                <w:szCs w:val="16"/>
                <w:highlight w:val="none"/>
                <w:lang w:val="en-US" w:eastAsia="zh-CN"/>
              </w:rPr>
            </w:pPr>
            <w:r>
              <w:rPr>
                <w:rFonts w:hint="eastAsia" w:cs="Times New Roman"/>
                <w:color w:val="auto"/>
                <w:sz w:val="16"/>
                <w:szCs w:val="16"/>
                <w:highlight w:val="none"/>
                <w:lang w:val="en-US" w:eastAsia="zh-CN"/>
              </w:rPr>
              <w:t>4</w:t>
            </w:r>
          </w:p>
        </w:tc>
        <w:tc>
          <w:tcPr>
            <w:tcW w:w="1149" w:type="pct"/>
            <w:vAlign w:val="center"/>
          </w:tcPr>
          <w:p w14:paraId="373FDEED">
            <w:pPr>
              <w:pStyle w:val="49"/>
              <w:rPr>
                <w:rFonts w:hint="eastAsia" w:ascii="Times New Roman" w:hAnsi="Times New Roman" w:eastAsia="宋体" w:cs="Times New Roman"/>
                <w:color w:val="auto"/>
                <w:sz w:val="16"/>
                <w:szCs w:val="16"/>
                <w:highlight w:val="none"/>
                <w:lang w:val="en-US" w:eastAsia="zh-CN"/>
              </w:rPr>
            </w:pPr>
            <w:r>
              <w:rPr>
                <w:rFonts w:hint="eastAsia" w:cs="Times New Roman"/>
                <w:color w:val="auto"/>
                <w:sz w:val="16"/>
                <w:szCs w:val="16"/>
                <w:highlight w:val="none"/>
                <w:lang w:val="en-US" w:eastAsia="zh-CN"/>
              </w:rPr>
              <w:t>3</w:t>
            </w:r>
          </w:p>
        </w:tc>
      </w:tr>
      <w:tr w14:paraId="725A4B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284" w:type="pct"/>
            <w:vAlign w:val="center"/>
          </w:tcPr>
          <w:p w14:paraId="6ABD4566">
            <w:pPr>
              <w:pStyle w:val="49"/>
              <w:rPr>
                <w:rFonts w:hint="default" w:ascii="Times New Roman" w:hAnsi="Times New Roman" w:eastAsia="宋体" w:cs="Times New Roman"/>
                <w:color w:val="auto"/>
                <w:sz w:val="16"/>
                <w:szCs w:val="16"/>
                <w:highlight w:val="none"/>
                <w:lang w:val="en-US" w:eastAsia="zh-CN"/>
              </w:rPr>
            </w:pPr>
            <w:r>
              <w:rPr>
                <w:rFonts w:hint="eastAsia" w:cs="Times New Roman"/>
                <w:color w:val="auto"/>
                <w:sz w:val="16"/>
                <w:szCs w:val="16"/>
                <w:highlight w:val="none"/>
                <w:lang w:val="en-US" w:eastAsia="zh-CN"/>
              </w:rPr>
              <w:t>模块化框架-剪力墙结构</w:t>
            </w:r>
          </w:p>
        </w:tc>
        <w:tc>
          <w:tcPr>
            <w:tcW w:w="1566" w:type="pct"/>
            <w:gridSpan w:val="2"/>
            <w:vMerge w:val="restart"/>
            <w:vAlign w:val="center"/>
          </w:tcPr>
          <w:p w14:paraId="6897EF27">
            <w:pPr>
              <w:pStyle w:val="49"/>
              <w:rPr>
                <w:rFonts w:hint="eastAsia" w:ascii="Times New Roman" w:hAnsi="Times New Roman" w:cs="Times New Roman"/>
                <w:color w:val="auto"/>
                <w:sz w:val="16"/>
                <w:szCs w:val="16"/>
                <w:highlight w:val="none"/>
              </w:rPr>
            </w:pPr>
            <w:r>
              <w:rPr>
                <w:rFonts w:hint="eastAsia" w:cs="Times New Roman"/>
                <w:color w:val="auto"/>
                <w:sz w:val="16"/>
                <w:szCs w:val="16"/>
                <w:highlight w:val="none"/>
                <w:lang w:val="en-US" w:eastAsia="zh-CN"/>
              </w:rPr>
              <w:t>6</w:t>
            </w:r>
          </w:p>
        </w:tc>
        <w:tc>
          <w:tcPr>
            <w:tcW w:w="1149" w:type="pct"/>
            <w:vMerge w:val="restart"/>
            <w:vAlign w:val="center"/>
          </w:tcPr>
          <w:p w14:paraId="4F77DF50">
            <w:pPr>
              <w:pStyle w:val="49"/>
              <w:rPr>
                <w:rFonts w:hint="eastAsia" w:ascii="Times New Roman" w:hAnsi="Times New Roman" w:cs="Times New Roman"/>
                <w:color w:val="auto"/>
                <w:sz w:val="16"/>
                <w:szCs w:val="16"/>
                <w:highlight w:val="none"/>
              </w:rPr>
            </w:pPr>
            <w:r>
              <w:rPr>
                <w:rFonts w:hint="eastAsia" w:cs="Times New Roman"/>
                <w:color w:val="auto"/>
                <w:sz w:val="16"/>
                <w:szCs w:val="16"/>
                <w:highlight w:val="none"/>
                <w:lang w:val="en-US" w:eastAsia="zh-CN"/>
              </w:rPr>
              <w:t>5</w:t>
            </w:r>
          </w:p>
        </w:tc>
      </w:tr>
      <w:tr w14:paraId="12051D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284" w:type="pct"/>
            <w:vAlign w:val="center"/>
          </w:tcPr>
          <w:p w14:paraId="09E96196">
            <w:pPr>
              <w:pStyle w:val="49"/>
              <w:rPr>
                <w:rFonts w:hint="eastAsia" w:ascii="Times New Roman" w:hAnsi="Times New Roman" w:cs="Times New Roman"/>
                <w:color w:val="auto"/>
                <w:sz w:val="16"/>
                <w:szCs w:val="16"/>
                <w:highlight w:val="none"/>
              </w:rPr>
            </w:pPr>
            <w:r>
              <w:rPr>
                <w:rFonts w:hint="eastAsia" w:ascii="Times New Roman" w:hAnsi="Times New Roman" w:cs="Times New Roman"/>
                <w:color w:val="auto"/>
                <w:sz w:val="16"/>
                <w:szCs w:val="16"/>
                <w:highlight w:val="none"/>
              </w:rPr>
              <w:t>模块化叠合剪力墙结构</w:t>
            </w:r>
          </w:p>
        </w:tc>
        <w:tc>
          <w:tcPr>
            <w:tcW w:w="1566" w:type="pct"/>
            <w:gridSpan w:val="2"/>
            <w:vMerge w:val="continue"/>
            <w:vAlign w:val="center"/>
          </w:tcPr>
          <w:p w14:paraId="6D145D1C">
            <w:pPr>
              <w:pStyle w:val="49"/>
              <w:rPr>
                <w:rFonts w:hint="eastAsia" w:ascii="Times New Roman" w:hAnsi="Times New Roman" w:cs="Times New Roman"/>
                <w:color w:val="auto"/>
                <w:sz w:val="16"/>
                <w:szCs w:val="16"/>
                <w:highlight w:val="none"/>
              </w:rPr>
            </w:pPr>
          </w:p>
        </w:tc>
        <w:tc>
          <w:tcPr>
            <w:tcW w:w="1149" w:type="pct"/>
            <w:vMerge w:val="continue"/>
            <w:vAlign w:val="center"/>
          </w:tcPr>
          <w:p w14:paraId="313F6BF5">
            <w:pPr>
              <w:pStyle w:val="49"/>
              <w:rPr>
                <w:rFonts w:hint="eastAsia" w:ascii="Times New Roman" w:hAnsi="Times New Roman" w:cs="Times New Roman"/>
                <w:color w:val="auto"/>
                <w:sz w:val="16"/>
                <w:szCs w:val="16"/>
                <w:highlight w:val="none"/>
              </w:rPr>
            </w:pPr>
          </w:p>
        </w:tc>
      </w:tr>
      <w:tr w14:paraId="063287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284" w:type="pct"/>
            <w:vAlign w:val="center"/>
          </w:tcPr>
          <w:p w14:paraId="400E31E8">
            <w:pPr>
              <w:pStyle w:val="49"/>
              <w:rPr>
                <w:rFonts w:hint="default" w:ascii="Times New Roman" w:hAnsi="Times New Roman" w:eastAsia="宋体" w:cs="Times New Roman"/>
                <w:color w:val="auto"/>
                <w:sz w:val="16"/>
                <w:szCs w:val="16"/>
                <w:highlight w:val="none"/>
                <w:lang w:val="en-US" w:eastAsia="zh-CN"/>
              </w:rPr>
            </w:pPr>
            <w:bookmarkStart w:id="452" w:name="_Toc31032"/>
            <w:bookmarkStart w:id="453" w:name="_Toc15447"/>
            <w:r>
              <w:rPr>
                <w:rFonts w:hint="eastAsia" w:cs="Times New Roman"/>
                <w:color w:val="auto"/>
                <w:sz w:val="16"/>
                <w:szCs w:val="16"/>
                <w:highlight w:val="none"/>
                <w:lang w:val="en-US" w:eastAsia="zh-CN"/>
              </w:rPr>
              <w:t>模块化现浇剪力墙结构</w:t>
            </w:r>
          </w:p>
        </w:tc>
        <w:tc>
          <w:tcPr>
            <w:tcW w:w="1566" w:type="pct"/>
            <w:gridSpan w:val="2"/>
            <w:vMerge w:val="continue"/>
            <w:vAlign w:val="center"/>
          </w:tcPr>
          <w:p w14:paraId="4AD71655">
            <w:pPr>
              <w:pStyle w:val="49"/>
              <w:rPr>
                <w:rFonts w:hint="eastAsia" w:ascii="Times New Roman" w:hAnsi="Times New Roman" w:cs="Times New Roman"/>
                <w:color w:val="auto"/>
                <w:sz w:val="16"/>
                <w:szCs w:val="16"/>
                <w:highlight w:val="none"/>
              </w:rPr>
            </w:pPr>
          </w:p>
        </w:tc>
        <w:tc>
          <w:tcPr>
            <w:tcW w:w="1149" w:type="pct"/>
            <w:vMerge w:val="continue"/>
            <w:vAlign w:val="center"/>
          </w:tcPr>
          <w:p w14:paraId="388EED38">
            <w:pPr>
              <w:pStyle w:val="49"/>
              <w:rPr>
                <w:rFonts w:hint="eastAsia" w:ascii="Times New Roman" w:hAnsi="Times New Roman" w:cs="Times New Roman"/>
                <w:color w:val="auto"/>
                <w:sz w:val="16"/>
                <w:szCs w:val="16"/>
                <w:highlight w:val="none"/>
              </w:rPr>
            </w:pPr>
          </w:p>
        </w:tc>
      </w:tr>
    </w:tbl>
    <w:p w14:paraId="079621EA">
      <w:pPr>
        <w:pStyle w:val="3"/>
        <w:spacing w:before="166" w:beforeLines="50" w:after="166" w:afterLines="50" w:line="360" w:lineRule="auto"/>
        <w:jc w:val="center"/>
        <w:rPr>
          <w:rFonts w:ascii="Times New Roman" w:hAnsi="Times New Roman" w:eastAsia="黑体" w:cs="Times New Roman"/>
          <w:color w:val="auto"/>
          <w:sz w:val="24"/>
          <w:szCs w:val="24"/>
          <w:highlight w:val="none"/>
        </w:rPr>
      </w:pPr>
      <w:bookmarkStart w:id="454" w:name="_Toc12037"/>
      <w:bookmarkStart w:id="455" w:name="_Toc27351"/>
      <w:bookmarkStart w:id="456" w:name="_Toc22590"/>
      <w:bookmarkStart w:id="457" w:name="_Toc14885"/>
      <w:bookmarkStart w:id="458" w:name="_Toc17573"/>
      <w:bookmarkStart w:id="459" w:name="_Toc22852"/>
      <w:bookmarkStart w:id="460" w:name="_Toc25342"/>
      <w:r>
        <w:rPr>
          <w:rFonts w:ascii="Times New Roman" w:hAnsi="Times New Roman" w:eastAsia="黑体" w:cs="Times New Roman"/>
          <w:b/>
          <w:color w:val="auto"/>
          <w:sz w:val="24"/>
          <w:szCs w:val="24"/>
          <w:highlight w:val="none"/>
        </w:rPr>
        <w:t>6.</w:t>
      </w:r>
      <w:r>
        <w:rPr>
          <w:rFonts w:hint="eastAsia" w:ascii="Times New Roman" w:hAnsi="Times New Roman" w:eastAsia="黑体" w:cs="Times New Roman"/>
          <w:b/>
          <w:color w:val="auto"/>
          <w:sz w:val="24"/>
          <w:szCs w:val="24"/>
          <w:highlight w:val="none"/>
        </w:rPr>
        <w:t>3</w:t>
      </w:r>
      <w:r>
        <w:rPr>
          <w:rFonts w:ascii="Times New Roman" w:hAnsi="Times New Roman" w:eastAsia="黑体" w:cs="Times New Roman"/>
          <w:b/>
          <w:color w:val="auto"/>
          <w:sz w:val="24"/>
          <w:szCs w:val="24"/>
          <w:highlight w:val="none"/>
        </w:rPr>
        <w:t xml:space="preserve"> </w:t>
      </w:r>
      <w:r>
        <w:rPr>
          <w:rFonts w:ascii="Times New Roman" w:hAnsi="Times New Roman" w:eastAsia="黑体" w:cs="Times New Roman"/>
          <w:color w:val="auto"/>
          <w:sz w:val="24"/>
          <w:szCs w:val="24"/>
          <w:highlight w:val="none"/>
        </w:rPr>
        <w:t xml:space="preserve"> </w:t>
      </w:r>
      <w:bookmarkEnd w:id="452"/>
      <w:r>
        <w:rPr>
          <w:rFonts w:hint="eastAsia" w:ascii="Times New Roman" w:hAnsi="Times New Roman" w:eastAsia="黑体" w:cs="Times New Roman"/>
          <w:color w:val="auto"/>
          <w:sz w:val="24"/>
          <w:szCs w:val="24"/>
          <w:highlight w:val="none"/>
        </w:rPr>
        <w:t>结</w:t>
      </w:r>
      <w:r>
        <w:rPr>
          <w:rFonts w:hint="eastAsia" w:ascii="Times New Roman" w:hAnsi="Times New Roman" w:eastAsia="黑体" w:cs="Times New Roman"/>
          <w:color w:val="auto"/>
          <w:sz w:val="24"/>
          <w:szCs w:val="24"/>
          <w:highlight w:val="none"/>
          <w:lang w:val="en-US" w:eastAsia="zh-CN"/>
        </w:rPr>
        <w:t xml:space="preserve"> </w:t>
      </w:r>
      <w:r>
        <w:rPr>
          <w:rFonts w:hint="eastAsia" w:ascii="Times New Roman" w:hAnsi="Times New Roman" w:eastAsia="黑体" w:cs="Times New Roman"/>
          <w:color w:val="auto"/>
          <w:sz w:val="24"/>
          <w:szCs w:val="24"/>
          <w:highlight w:val="none"/>
        </w:rPr>
        <w:t>构</w:t>
      </w:r>
      <w:bookmarkEnd w:id="453"/>
      <w:bookmarkEnd w:id="454"/>
      <w:r>
        <w:rPr>
          <w:rFonts w:hint="eastAsia" w:ascii="Times New Roman" w:hAnsi="Times New Roman" w:eastAsia="黑体" w:cs="Times New Roman"/>
          <w:color w:val="auto"/>
          <w:sz w:val="24"/>
          <w:szCs w:val="24"/>
          <w:highlight w:val="none"/>
          <w:lang w:val="en-US" w:eastAsia="zh-CN"/>
        </w:rPr>
        <w:t xml:space="preserve"> </w:t>
      </w:r>
      <w:r>
        <w:rPr>
          <w:rFonts w:hint="eastAsia" w:ascii="Times New Roman" w:hAnsi="Times New Roman" w:eastAsia="黑体" w:cs="Times New Roman"/>
          <w:color w:val="auto"/>
          <w:sz w:val="24"/>
          <w:szCs w:val="24"/>
          <w:highlight w:val="none"/>
        </w:rPr>
        <w:t>分</w:t>
      </w:r>
      <w:r>
        <w:rPr>
          <w:rFonts w:hint="eastAsia" w:ascii="Times New Roman" w:hAnsi="Times New Roman" w:eastAsia="黑体" w:cs="Times New Roman"/>
          <w:color w:val="auto"/>
          <w:sz w:val="24"/>
          <w:szCs w:val="24"/>
          <w:highlight w:val="none"/>
          <w:lang w:val="en-US" w:eastAsia="zh-CN"/>
        </w:rPr>
        <w:t xml:space="preserve"> </w:t>
      </w:r>
      <w:r>
        <w:rPr>
          <w:rFonts w:hint="eastAsia" w:ascii="Times New Roman" w:hAnsi="Times New Roman" w:eastAsia="黑体" w:cs="Times New Roman"/>
          <w:color w:val="auto"/>
          <w:sz w:val="24"/>
          <w:szCs w:val="24"/>
          <w:highlight w:val="none"/>
        </w:rPr>
        <w:t>析</w:t>
      </w:r>
      <w:bookmarkEnd w:id="455"/>
      <w:bookmarkEnd w:id="456"/>
      <w:bookmarkEnd w:id="457"/>
      <w:bookmarkEnd w:id="458"/>
      <w:bookmarkEnd w:id="459"/>
      <w:bookmarkEnd w:id="460"/>
    </w:p>
    <w:p w14:paraId="074C2685">
      <w:pPr>
        <w:widowControl/>
        <w:spacing w:line="360" w:lineRule="exact"/>
        <w:rPr>
          <w:color w:val="auto"/>
          <w:szCs w:val="21"/>
          <w:highlight w:val="none"/>
        </w:rPr>
      </w:pPr>
      <w:r>
        <w:rPr>
          <w:b/>
          <w:color w:val="auto"/>
          <w:szCs w:val="21"/>
          <w:highlight w:val="none"/>
        </w:rPr>
        <w:t>6.</w:t>
      </w:r>
      <w:r>
        <w:rPr>
          <w:rFonts w:hint="eastAsia"/>
          <w:b/>
          <w:color w:val="auto"/>
          <w:szCs w:val="21"/>
          <w:highlight w:val="none"/>
        </w:rPr>
        <w:t>3</w:t>
      </w:r>
      <w:r>
        <w:rPr>
          <w:b/>
          <w:color w:val="auto"/>
          <w:szCs w:val="21"/>
          <w:highlight w:val="none"/>
        </w:rPr>
        <w:t xml:space="preserve">.1 </w:t>
      </w:r>
      <w:r>
        <w:rPr>
          <w:color w:val="auto"/>
          <w:szCs w:val="21"/>
          <w:highlight w:val="none"/>
        </w:rPr>
        <w:t xml:space="preserve"> 模块化结构进行计算分析时的荷载、地震作用以及作用组合，应符合现行国家标准《混凝土结构通用规范》GB 55008、《建筑结构荷载规范》GB 50009、《建筑抗震设计规范》GB 50011和现行广东省标准《高层建筑混凝土结构技术规程》DBJ/T 15-92 的有关规定。</w:t>
      </w:r>
    </w:p>
    <w:p w14:paraId="2DA5FE22">
      <w:pPr>
        <w:widowControl/>
        <w:spacing w:line="360" w:lineRule="exact"/>
        <w:rPr>
          <w:color w:val="auto"/>
          <w:szCs w:val="21"/>
          <w:highlight w:val="none"/>
        </w:rPr>
      </w:pPr>
      <w:r>
        <w:rPr>
          <w:b/>
          <w:color w:val="auto"/>
          <w:szCs w:val="21"/>
          <w:highlight w:val="none"/>
        </w:rPr>
        <w:t>6.</w:t>
      </w:r>
      <w:r>
        <w:rPr>
          <w:rFonts w:hint="eastAsia"/>
          <w:b/>
          <w:color w:val="auto"/>
          <w:szCs w:val="21"/>
          <w:highlight w:val="none"/>
        </w:rPr>
        <w:t>3</w:t>
      </w:r>
      <w:r>
        <w:rPr>
          <w:b/>
          <w:color w:val="auto"/>
          <w:szCs w:val="21"/>
          <w:highlight w:val="none"/>
        </w:rPr>
        <w:t>.</w:t>
      </w:r>
      <w:r>
        <w:rPr>
          <w:rFonts w:hint="eastAsia"/>
          <w:b/>
          <w:color w:val="auto"/>
          <w:szCs w:val="21"/>
          <w:highlight w:val="none"/>
        </w:rPr>
        <w:t>2</w:t>
      </w:r>
      <w:r>
        <w:rPr>
          <w:b/>
          <w:color w:val="auto"/>
          <w:szCs w:val="21"/>
          <w:highlight w:val="none"/>
        </w:rPr>
        <w:t xml:space="preserve"> </w:t>
      </w:r>
      <w:r>
        <w:rPr>
          <w:rFonts w:hint="eastAsia"/>
          <w:b/>
          <w:color w:val="auto"/>
          <w:szCs w:val="21"/>
          <w:highlight w:val="none"/>
          <w:lang w:val="en-US" w:eastAsia="zh-CN"/>
        </w:rPr>
        <w:t xml:space="preserve"> </w:t>
      </w:r>
      <w:r>
        <w:rPr>
          <w:color w:val="auto"/>
          <w:szCs w:val="21"/>
          <w:highlight w:val="none"/>
        </w:rPr>
        <w:t>模块</w:t>
      </w:r>
      <w:r>
        <w:rPr>
          <w:rFonts w:hint="eastAsia"/>
          <w:color w:val="auto"/>
          <w:szCs w:val="21"/>
          <w:highlight w:val="none"/>
        </w:rPr>
        <w:t>化</w:t>
      </w:r>
      <w:r>
        <w:rPr>
          <w:color w:val="auto"/>
          <w:szCs w:val="21"/>
          <w:highlight w:val="none"/>
        </w:rPr>
        <w:t>结构应采用空间结构模型进行结构计算分析，计算模型应根据结构的实际情况确定。计算结构内力和弹性变形验算时，可采用刚性楼板假定</w:t>
      </w:r>
      <w:r>
        <w:rPr>
          <w:rFonts w:hint="eastAsia"/>
          <w:color w:val="auto"/>
          <w:szCs w:val="21"/>
          <w:highlight w:val="none"/>
        </w:rPr>
        <w:t>。</w:t>
      </w:r>
    </w:p>
    <w:p w14:paraId="5BAEF0E7">
      <w:pPr>
        <w:widowControl/>
        <w:spacing w:line="360" w:lineRule="exact"/>
        <w:rPr>
          <w:rFonts w:hint="default"/>
          <w:color w:val="auto"/>
          <w:szCs w:val="21"/>
          <w:highlight w:val="none"/>
          <w:lang w:val="zh-CN"/>
        </w:rPr>
      </w:pPr>
      <w:r>
        <w:rPr>
          <w:b/>
          <w:color w:val="auto"/>
          <w:szCs w:val="21"/>
          <w:highlight w:val="none"/>
        </w:rPr>
        <w:t>6.</w:t>
      </w:r>
      <w:r>
        <w:rPr>
          <w:rFonts w:hint="eastAsia"/>
          <w:b/>
          <w:color w:val="auto"/>
          <w:szCs w:val="21"/>
          <w:highlight w:val="none"/>
        </w:rPr>
        <w:t>3</w:t>
      </w:r>
      <w:r>
        <w:rPr>
          <w:b/>
          <w:color w:val="auto"/>
          <w:szCs w:val="21"/>
          <w:highlight w:val="none"/>
        </w:rPr>
        <w:t>.</w:t>
      </w:r>
      <w:r>
        <w:rPr>
          <w:rFonts w:hint="eastAsia"/>
          <w:b/>
          <w:color w:val="auto"/>
          <w:szCs w:val="21"/>
          <w:highlight w:val="none"/>
        </w:rPr>
        <w:t>3</w:t>
      </w:r>
      <w:r>
        <w:rPr>
          <w:b/>
          <w:color w:val="auto"/>
          <w:szCs w:val="21"/>
          <w:highlight w:val="none"/>
        </w:rPr>
        <w:t xml:space="preserve"> </w:t>
      </w:r>
      <w:r>
        <w:rPr>
          <w:rFonts w:hint="eastAsia"/>
          <w:b/>
          <w:color w:val="auto"/>
          <w:szCs w:val="21"/>
          <w:highlight w:val="none"/>
          <w:lang w:val="en-US" w:eastAsia="zh-CN"/>
        </w:rPr>
        <w:t xml:space="preserve"> </w:t>
      </w:r>
      <w:r>
        <w:rPr>
          <w:color w:val="auto"/>
          <w:szCs w:val="21"/>
          <w:highlight w:val="none"/>
        </w:rPr>
        <w:t>在各种设计工况下，模块化</w:t>
      </w:r>
      <w:r>
        <w:rPr>
          <w:rFonts w:hint="eastAsia"/>
          <w:color w:val="auto"/>
          <w:szCs w:val="21"/>
          <w:highlight w:val="none"/>
          <w:lang w:val="en-US" w:eastAsia="zh-CN"/>
        </w:rPr>
        <w:t>建筑的</w:t>
      </w:r>
      <w:r>
        <w:rPr>
          <w:color w:val="auto"/>
          <w:szCs w:val="21"/>
          <w:highlight w:val="none"/>
        </w:rPr>
        <w:t>整体</w:t>
      </w:r>
      <w:r>
        <w:rPr>
          <w:rFonts w:hint="eastAsia"/>
          <w:color w:val="auto"/>
          <w:szCs w:val="21"/>
          <w:highlight w:val="none"/>
          <w:lang w:val="en-US" w:eastAsia="zh-CN"/>
        </w:rPr>
        <w:t>结构</w:t>
      </w:r>
      <w:r>
        <w:rPr>
          <w:color w:val="auto"/>
          <w:szCs w:val="21"/>
          <w:highlight w:val="none"/>
        </w:rPr>
        <w:t>分析计算可采用与现浇混凝土结构相同的方法进行。</w:t>
      </w:r>
      <w:r>
        <w:rPr>
          <w:rFonts w:hint="eastAsia"/>
          <w:color w:val="auto"/>
          <w:szCs w:val="21"/>
          <w:highlight w:val="none"/>
          <w:lang w:val="en-US" w:eastAsia="zh-CN"/>
        </w:rPr>
        <w:t>抗震设计时，对</w:t>
      </w:r>
      <w:r>
        <w:rPr>
          <w:color w:val="auto"/>
          <w:szCs w:val="21"/>
          <w:highlight w:val="none"/>
        </w:rPr>
        <w:t>同一层内既有</w:t>
      </w:r>
      <w:r>
        <w:rPr>
          <w:rFonts w:hint="eastAsia"/>
          <w:color w:val="auto"/>
          <w:szCs w:val="21"/>
          <w:highlight w:val="none"/>
          <w:lang w:val="en-US" w:eastAsia="zh-CN"/>
        </w:rPr>
        <w:t>现浇也</w:t>
      </w:r>
      <w:r>
        <w:rPr>
          <w:color w:val="auto"/>
          <w:szCs w:val="21"/>
          <w:highlight w:val="none"/>
        </w:rPr>
        <w:t>有</w:t>
      </w:r>
      <w:r>
        <w:rPr>
          <w:rFonts w:hint="eastAsia"/>
          <w:color w:val="auto"/>
          <w:szCs w:val="21"/>
          <w:highlight w:val="none"/>
          <w:lang w:val="en-US" w:eastAsia="zh-CN"/>
        </w:rPr>
        <w:t>预制墙肢的模块化叠合剪力墙结构</w:t>
      </w:r>
      <w:r>
        <w:rPr>
          <w:color w:val="auto"/>
          <w:szCs w:val="21"/>
          <w:highlight w:val="none"/>
        </w:rPr>
        <w:t>，</w:t>
      </w:r>
      <w:bookmarkStart w:id="461" w:name="OLE_LINK117"/>
      <w:r>
        <w:rPr>
          <w:rFonts w:hint="default"/>
          <w:color w:val="auto"/>
          <w:szCs w:val="21"/>
          <w:highlight w:val="none"/>
          <w:lang w:val="zh-CN"/>
        </w:rPr>
        <w:t>现浇墙肢水平地震作用弯矩、剪力宜乘以不小于</w:t>
      </w:r>
      <w:r>
        <w:rPr>
          <w:rFonts w:hint="default"/>
          <w:b w:val="0"/>
          <w:bCs/>
          <w:color w:val="auto"/>
          <w:szCs w:val="21"/>
          <w:highlight w:val="none"/>
          <w:lang w:val="zh-CN"/>
        </w:rPr>
        <w:t>1.1</w:t>
      </w:r>
      <w:r>
        <w:rPr>
          <w:rFonts w:hint="default"/>
          <w:color w:val="auto"/>
          <w:szCs w:val="21"/>
          <w:highlight w:val="none"/>
          <w:lang w:val="zh-CN"/>
        </w:rPr>
        <w:t>的增大系数</w:t>
      </w:r>
      <w:bookmarkEnd w:id="461"/>
      <w:r>
        <w:rPr>
          <w:rFonts w:hint="default"/>
          <w:color w:val="auto"/>
          <w:szCs w:val="21"/>
          <w:highlight w:val="none"/>
          <w:lang w:val="zh-CN"/>
        </w:rPr>
        <w:t>。</w:t>
      </w:r>
    </w:p>
    <w:p w14:paraId="29DA6890">
      <w:pPr>
        <w:widowControl/>
        <w:spacing w:line="360" w:lineRule="exact"/>
        <w:rPr>
          <w:color w:val="auto"/>
          <w:szCs w:val="21"/>
          <w:highlight w:val="none"/>
        </w:rPr>
      </w:pPr>
      <w:r>
        <w:rPr>
          <w:b/>
          <w:color w:val="auto"/>
          <w:szCs w:val="21"/>
          <w:highlight w:val="none"/>
        </w:rPr>
        <w:t>6.</w:t>
      </w:r>
      <w:r>
        <w:rPr>
          <w:rFonts w:hint="eastAsia"/>
          <w:b/>
          <w:color w:val="auto"/>
          <w:szCs w:val="21"/>
          <w:highlight w:val="none"/>
        </w:rPr>
        <w:t>3</w:t>
      </w:r>
      <w:r>
        <w:rPr>
          <w:b/>
          <w:color w:val="auto"/>
          <w:szCs w:val="21"/>
          <w:highlight w:val="none"/>
        </w:rPr>
        <w:t>.</w:t>
      </w:r>
      <w:r>
        <w:rPr>
          <w:rFonts w:hint="eastAsia"/>
          <w:b/>
          <w:color w:val="auto"/>
          <w:szCs w:val="21"/>
          <w:highlight w:val="none"/>
        </w:rPr>
        <w:t>4</w:t>
      </w:r>
      <w:r>
        <w:rPr>
          <w:b/>
          <w:color w:val="auto"/>
          <w:szCs w:val="21"/>
          <w:highlight w:val="none"/>
        </w:rPr>
        <w:t xml:space="preserve"> </w:t>
      </w:r>
      <w:r>
        <w:rPr>
          <w:rFonts w:hint="eastAsia"/>
          <w:b/>
          <w:color w:val="auto"/>
          <w:szCs w:val="21"/>
          <w:highlight w:val="none"/>
          <w:lang w:val="en-US" w:eastAsia="zh-CN"/>
        </w:rPr>
        <w:t xml:space="preserve"> </w:t>
      </w:r>
      <w:r>
        <w:rPr>
          <w:color w:val="auto"/>
          <w:szCs w:val="21"/>
          <w:highlight w:val="none"/>
        </w:rPr>
        <w:t>模块化结构构件应进行正常使用极限状态的验算，结构构件正截面受力裂缝的控制和结构中受弯构件的挠度限值应符合现行国家标准《</w:t>
      </w:r>
      <w:r>
        <w:rPr>
          <w:rFonts w:hint="eastAsia"/>
          <w:color w:val="auto"/>
          <w:szCs w:val="21"/>
          <w:highlight w:val="none"/>
          <w:lang w:eastAsia="zh-CN"/>
        </w:rPr>
        <w:t>混凝土结构设计标准</w:t>
      </w:r>
      <w:r>
        <w:rPr>
          <w:color w:val="auto"/>
          <w:szCs w:val="21"/>
          <w:highlight w:val="none"/>
        </w:rPr>
        <w:t>》GB</w:t>
      </w:r>
      <w:r>
        <w:rPr>
          <w:rFonts w:hint="eastAsia"/>
          <w:color w:val="auto"/>
          <w:szCs w:val="21"/>
          <w:highlight w:val="none"/>
        </w:rPr>
        <w:t>/T</w:t>
      </w:r>
      <w:r>
        <w:rPr>
          <w:color w:val="auto"/>
          <w:szCs w:val="21"/>
          <w:highlight w:val="none"/>
        </w:rPr>
        <w:t xml:space="preserve"> 50010的有关规定。</w:t>
      </w:r>
    </w:p>
    <w:p w14:paraId="56DA1F3D">
      <w:pPr>
        <w:widowControl/>
        <w:spacing w:line="360" w:lineRule="exact"/>
        <w:rPr>
          <w:color w:val="auto"/>
          <w:szCs w:val="21"/>
          <w:highlight w:val="none"/>
        </w:rPr>
      </w:pPr>
      <w:r>
        <w:rPr>
          <w:b/>
          <w:color w:val="auto"/>
          <w:szCs w:val="21"/>
          <w:highlight w:val="none"/>
        </w:rPr>
        <w:t>6.</w:t>
      </w:r>
      <w:r>
        <w:rPr>
          <w:rFonts w:hint="eastAsia"/>
          <w:b/>
          <w:color w:val="auto"/>
          <w:szCs w:val="21"/>
          <w:highlight w:val="none"/>
        </w:rPr>
        <w:t>3</w:t>
      </w:r>
      <w:r>
        <w:rPr>
          <w:b/>
          <w:color w:val="auto"/>
          <w:szCs w:val="21"/>
          <w:highlight w:val="none"/>
        </w:rPr>
        <w:t>.</w:t>
      </w:r>
      <w:r>
        <w:rPr>
          <w:rFonts w:hint="eastAsia"/>
          <w:b/>
          <w:color w:val="auto"/>
          <w:szCs w:val="21"/>
          <w:highlight w:val="none"/>
        </w:rPr>
        <w:t>5</w:t>
      </w:r>
      <w:r>
        <w:rPr>
          <w:rFonts w:hint="eastAsia"/>
          <w:b/>
          <w:color w:val="auto"/>
          <w:szCs w:val="21"/>
          <w:highlight w:val="none"/>
          <w:lang w:val="en-US" w:eastAsia="zh-CN"/>
        </w:rPr>
        <w:t xml:space="preserve">  </w:t>
      </w:r>
      <w:r>
        <w:rPr>
          <w:color w:val="auto"/>
          <w:szCs w:val="21"/>
          <w:highlight w:val="none"/>
        </w:rPr>
        <w:t>按弹性方法计算的风荷载或多遇地震标准值作用下</w:t>
      </w:r>
      <w:r>
        <w:rPr>
          <w:rFonts w:hint="eastAsia"/>
          <w:color w:val="auto"/>
          <w:szCs w:val="21"/>
          <w:highlight w:val="none"/>
        </w:rPr>
        <w:t>的顶点位移与结构总高度之比</w:t>
      </w:r>
      <m:oMath>
        <m:sSub>
          <m:sSubPr>
            <m:ctrlPr>
              <w:rPr>
                <w:rFonts w:ascii="Cambria Math" w:hAnsi="Cambria Math"/>
                <w:i/>
                <w:color w:val="auto"/>
                <w:szCs w:val="21"/>
                <w:highlight w:val="none"/>
              </w:rPr>
            </m:ctrlPr>
          </m:sSubPr>
          <m:e>
            <m:r>
              <m:rPr/>
              <w:rPr>
                <w:rFonts w:ascii="Cambria Math" w:hAnsi="Cambria Math"/>
                <w:color w:val="auto"/>
                <w:szCs w:val="21"/>
                <w:highlight w:val="none"/>
              </w:rPr>
              <m:t>U</m:t>
            </m:r>
            <m:ctrlPr>
              <w:rPr>
                <w:rFonts w:ascii="Cambria Math" w:hAnsi="Cambria Math"/>
                <w:i/>
                <w:color w:val="auto"/>
                <w:szCs w:val="21"/>
                <w:highlight w:val="none"/>
              </w:rPr>
            </m:ctrlPr>
          </m:e>
          <m:sub>
            <m:r>
              <m:rPr/>
              <w:rPr>
                <w:rFonts w:ascii="Cambria Math" w:hAnsi="Cambria Math"/>
                <w:color w:val="auto"/>
                <w:szCs w:val="21"/>
                <w:highlight w:val="none"/>
              </w:rPr>
              <m:t>top</m:t>
            </m:r>
            <m:ctrlPr>
              <w:rPr>
                <w:rFonts w:ascii="Cambria Math" w:hAnsi="Cambria Math"/>
                <w:i/>
                <w:color w:val="auto"/>
                <w:szCs w:val="21"/>
                <w:highlight w:val="none"/>
              </w:rPr>
            </m:ctrlPr>
          </m:sub>
        </m:sSub>
        <m:r>
          <m:rPr/>
          <w:rPr>
            <w:rFonts w:ascii="Cambria Math" w:hAnsi="Cambria Math"/>
            <w:color w:val="auto"/>
            <w:szCs w:val="21"/>
            <w:highlight w:val="none"/>
          </w:rPr>
          <m:t>/H</m:t>
        </m:r>
      </m:oMath>
      <w:r>
        <w:rPr>
          <w:rFonts w:hint="eastAsia" w:hAnsi="Cambria Math"/>
          <w:color w:val="auto"/>
          <w:szCs w:val="21"/>
          <w:highlight w:val="none"/>
        </w:rPr>
        <w:t>不宜大于1/600</w:t>
      </w:r>
      <w:r>
        <w:rPr>
          <w:rFonts w:hint="eastAsia"/>
          <w:color w:val="auto"/>
          <w:szCs w:val="21"/>
          <w:highlight w:val="none"/>
        </w:rPr>
        <w:t>，</w:t>
      </w:r>
      <w:r>
        <w:rPr>
          <w:color w:val="auto"/>
          <w:szCs w:val="21"/>
          <w:highlight w:val="none"/>
        </w:rPr>
        <w:t>多遇地震</w:t>
      </w:r>
      <w:r>
        <w:rPr>
          <w:rFonts w:hint="eastAsia"/>
          <w:color w:val="auto"/>
          <w:szCs w:val="21"/>
          <w:highlight w:val="none"/>
        </w:rPr>
        <w:t>作用下</w:t>
      </w:r>
      <w:r>
        <w:rPr>
          <w:color w:val="auto"/>
          <w:szCs w:val="21"/>
          <w:highlight w:val="none"/>
        </w:rPr>
        <w:t>楼层层间最大水平位移与层高之比</w:t>
      </w:r>
      <m:oMath>
        <m:sSub>
          <m:sSubPr>
            <m:ctrlPr>
              <w:rPr>
                <w:rFonts w:ascii="Cambria Math" w:hAnsi="Cambria Math"/>
                <w:i/>
                <w:color w:val="auto"/>
                <w:szCs w:val="21"/>
                <w:highlight w:val="none"/>
              </w:rPr>
            </m:ctrlPr>
          </m:sSubPr>
          <m:e>
            <m:r>
              <m:rPr/>
              <w:rPr>
                <w:rFonts w:ascii="Cambria Math" w:hAnsi="Cambria Math"/>
                <w:color w:val="auto"/>
                <w:szCs w:val="21"/>
                <w:highlight w:val="none"/>
              </w:rPr>
              <m:t>∆u</m:t>
            </m:r>
            <m:ctrlPr>
              <w:rPr>
                <w:rFonts w:ascii="Cambria Math" w:hAnsi="Cambria Math"/>
                <w:i/>
                <w:color w:val="auto"/>
                <w:szCs w:val="21"/>
                <w:highlight w:val="none"/>
              </w:rPr>
            </m:ctrlPr>
          </m:e>
          <m:sub>
            <m:r>
              <m:rPr/>
              <w:rPr>
                <w:rFonts w:ascii="Cambria Math" w:hAnsi="Cambria Math"/>
                <w:color w:val="auto"/>
                <w:szCs w:val="21"/>
                <w:highlight w:val="none"/>
              </w:rPr>
              <m:t>1</m:t>
            </m:r>
            <m:ctrlPr>
              <w:rPr>
                <w:rFonts w:ascii="Cambria Math" w:hAnsi="Cambria Math"/>
                <w:i/>
                <w:color w:val="auto"/>
                <w:szCs w:val="21"/>
                <w:highlight w:val="none"/>
              </w:rPr>
            </m:ctrlPr>
          </m:sub>
        </m:sSub>
        <m:r>
          <m:rPr/>
          <w:rPr>
            <w:rFonts w:ascii="Cambria Math" w:hAnsi="Cambria Math"/>
            <w:color w:val="auto"/>
            <w:szCs w:val="21"/>
            <w:highlight w:val="none"/>
          </w:rPr>
          <m:t>/ℎ</m:t>
        </m:r>
      </m:oMath>
      <w:r>
        <w:rPr>
          <w:rFonts w:hint="eastAsia"/>
          <w:color w:val="auto"/>
          <w:szCs w:val="21"/>
          <w:highlight w:val="none"/>
        </w:rPr>
        <w:t>和设防地震作用下</w:t>
      </w:r>
      <w:r>
        <w:rPr>
          <w:color w:val="auto"/>
          <w:szCs w:val="21"/>
          <w:highlight w:val="none"/>
        </w:rPr>
        <w:t>楼层层间最大水平位移与层高之比</w:t>
      </w:r>
      <m:oMath>
        <m:sSub>
          <m:sSubPr>
            <m:ctrlPr>
              <w:rPr>
                <w:rFonts w:ascii="Cambria Math" w:hAnsi="Cambria Math"/>
                <w:i/>
                <w:color w:val="auto"/>
                <w:szCs w:val="21"/>
                <w:highlight w:val="none"/>
              </w:rPr>
            </m:ctrlPr>
          </m:sSubPr>
          <m:e>
            <m:r>
              <m:rPr/>
              <w:rPr>
                <w:rFonts w:ascii="Cambria Math" w:hAnsi="Cambria Math"/>
                <w:color w:val="auto"/>
                <w:szCs w:val="21"/>
                <w:highlight w:val="none"/>
              </w:rPr>
              <m:t>∆u</m:t>
            </m:r>
            <m:ctrlPr>
              <w:rPr>
                <w:rFonts w:ascii="Cambria Math" w:hAnsi="Cambria Math"/>
                <w:i/>
                <w:color w:val="auto"/>
                <w:szCs w:val="21"/>
                <w:highlight w:val="none"/>
              </w:rPr>
            </m:ctrlPr>
          </m:e>
          <m:sub>
            <m:r>
              <m:rPr/>
              <w:rPr>
                <w:rFonts w:ascii="Cambria Math" w:hAnsi="Cambria Math"/>
                <w:color w:val="auto"/>
                <w:szCs w:val="21"/>
                <w:highlight w:val="none"/>
              </w:rPr>
              <m:t>2</m:t>
            </m:r>
            <m:ctrlPr>
              <w:rPr>
                <w:rFonts w:ascii="Cambria Math" w:hAnsi="Cambria Math"/>
                <w:i/>
                <w:color w:val="auto"/>
                <w:szCs w:val="21"/>
                <w:highlight w:val="none"/>
              </w:rPr>
            </m:ctrlPr>
          </m:sub>
        </m:sSub>
        <m:r>
          <m:rPr/>
          <w:rPr>
            <w:rFonts w:ascii="Cambria Math" w:hAnsi="Cambria Math"/>
            <w:color w:val="auto"/>
            <w:szCs w:val="21"/>
            <w:highlight w:val="none"/>
          </w:rPr>
          <m:t>/ℎ</m:t>
        </m:r>
      </m:oMath>
      <w:r>
        <w:rPr>
          <w:rFonts w:hint="eastAsia"/>
          <w:color w:val="auto"/>
          <w:szCs w:val="21"/>
          <w:highlight w:val="none"/>
        </w:rPr>
        <w:t>以及结构薄弱层（部位）层间弹塑性位移宜</w:t>
      </w:r>
      <w:r>
        <w:rPr>
          <w:color w:val="auto"/>
          <w:szCs w:val="21"/>
          <w:highlight w:val="none"/>
        </w:rPr>
        <w:t>符合表6.</w:t>
      </w:r>
      <w:r>
        <w:rPr>
          <w:rFonts w:hint="eastAsia"/>
          <w:color w:val="auto"/>
          <w:szCs w:val="21"/>
          <w:highlight w:val="none"/>
        </w:rPr>
        <w:t>3</w:t>
      </w:r>
      <w:r>
        <w:rPr>
          <w:color w:val="auto"/>
          <w:szCs w:val="21"/>
          <w:highlight w:val="none"/>
        </w:rPr>
        <w:t>.</w:t>
      </w:r>
      <w:r>
        <w:rPr>
          <w:rFonts w:hint="eastAsia"/>
          <w:color w:val="auto"/>
          <w:szCs w:val="21"/>
          <w:highlight w:val="none"/>
        </w:rPr>
        <w:t>5</w:t>
      </w:r>
      <w:r>
        <w:rPr>
          <w:color w:val="auto"/>
          <w:szCs w:val="21"/>
          <w:highlight w:val="none"/>
        </w:rPr>
        <w:t>的规定。</w:t>
      </w:r>
    </w:p>
    <w:p w14:paraId="1A6164BD">
      <w:pPr>
        <w:pStyle w:val="50"/>
        <w:spacing w:line="360" w:lineRule="exact"/>
        <w:rPr>
          <w:color w:val="auto"/>
          <w:highlight w:val="none"/>
        </w:rPr>
      </w:pPr>
      <w:r>
        <w:rPr>
          <w:color w:val="auto"/>
          <w:highlight w:val="none"/>
        </w:rPr>
        <w:t>表</w:t>
      </w:r>
      <w:r>
        <w:rPr>
          <w:b/>
          <w:color w:val="auto"/>
          <w:highlight w:val="none"/>
        </w:rPr>
        <w:t>6.</w:t>
      </w:r>
      <w:r>
        <w:rPr>
          <w:rFonts w:hint="eastAsia"/>
          <w:b/>
          <w:color w:val="auto"/>
          <w:highlight w:val="none"/>
        </w:rPr>
        <w:t>3</w:t>
      </w:r>
      <w:r>
        <w:rPr>
          <w:b/>
          <w:color w:val="auto"/>
          <w:highlight w:val="none"/>
        </w:rPr>
        <w:t>.</w:t>
      </w:r>
      <w:r>
        <w:rPr>
          <w:rFonts w:hint="eastAsia"/>
          <w:b/>
          <w:color w:val="auto"/>
          <w:highlight w:val="none"/>
        </w:rPr>
        <w:t>5</w:t>
      </w:r>
      <w:r>
        <w:rPr>
          <w:b/>
          <w:color w:val="auto"/>
          <w:highlight w:val="none"/>
        </w:rPr>
        <w:t xml:space="preserve"> </w:t>
      </w:r>
      <w:r>
        <w:rPr>
          <w:color w:val="auto"/>
          <w:highlight w:val="none"/>
        </w:rPr>
        <w:t xml:space="preserve"> 模块化结构楼层层间最大位移与层高之比的限值</w:t>
      </w:r>
    </w:p>
    <w:tbl>
      <w:tblPr>
        <w:tblStyle w:val="25"/>
        <w:tblpPr w:leftFromText="180" w:rightFromText="180" w:vertAnchor="text" w:horzAnchor="margin" w:tblpXSpec="center" w:tblpY="6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02"/>
        <w:gridCol w:w="2461"/>
        <w:gridCol w:w="1255"/>
        <w:gridCol w:w="1115"/>
      </w:tblGrid>
      <w:tr w14:paraId="0DDFD7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blHeader/>
          <w:jc w:val="center"/>
        </w:trPr>
        <w:tc>
          <w:tcPr>
            <w:tcW w:w="3067" w:type="pct"/>
            <w:gridSpan w:val="2"/>
            <w:vAlign w:val="center"/>
          </w:tcPr>
          <w:p w14:paraId="1D678E6B">
            <w:pPr>
              <w:pStyle w:val="49"/>
              <w:rPr>
                <w:rFonts w:hint="eastAsia" w:ascii="宋体" w:hAnsi="宋体" w:eastAsia="宋体" w:cs="宋体"/>
                <w:color w:val="auto"/>
                <w:sz w:val="16"/>
                <w:szCs w:val="22"/>
                <w:highlight w:val="none"/>
                <w:lang w:eastAsia="zh-CN"/>
              </w:rPr>
            </w:pPr>
            <w:r>
              <w:rPr>
                <w:rFonts w:hint="eastAsia" w:ascii="宋体" w:hAnsi="宋体" w:cs="宋体"/>
                <w:color w:val="auto"/>
                <w:sz w:val="16"/>
                <w:szCs w:val="22"/>
                <w:highlight w:val="none"/>
              </w:rPr>
              <w:t>结构</w:t>
            </w:r>
            <w:r>
              <w:rPr>
                <w:rFonts w:hint="eastAsia" w:ascii="宋体" w:hAnsi="宋体" w:cs="宋体"/>
                <w:color w:val="auto"/>
                <w:sz w:val="16"/>
                <w:szCs w:val="22"/>
                <w:highlight w:val="none"/>
                <w:lang w:val="en-US" w:eastAsia="zh-CN"/>
              </w:rPr>
              <w:t>体系</w:t>
            </w:r>
          </w:p>
        </w:tc>
        <w:tc>
          <w:tcPr>
            <w:tcW w:w="1023" w:type="pct"/>
            <w:vAlign w:val="center"/>
          </w:tcPr>
          <w:p w14:paraId="6E2DCA0A">
            <w:pPr>
              <w:pStyle w:val="49"/>
              <w:rPr>
                <w:rFonts w:hint="eastAsia" w:ascii="宋体" w:hAnsi="宋体" w:cs="宋体"/>
                <w:color w:val="auto"/>
                <w:sz w:val="16"/>
                <w:szCs w:val="22"/>
                <w:highlight w:val="none"/>
              </w:rPr>
            </w:pPr>
            <m:oMath>
              <m:sSub>
                <m:sSubPr>
                  <m:ctrlPr>
                    <w:rPr>
                      <w:rFonts w:ascii="Cambria Math" w:hAnsi="Cambria Math"/>
                      <w:i/>
                      <w:color w:val="auto"/>
                      <w:highlight w:val="none"/>
                    </w:rPr>
                  </m:ctrlPr>
                </m:sSubPr>
                <m:e>
                  <m:r>
                    <m:rPr/>
                    <w:rPr>
                      <w:rFonts w:ascii="Cambria Math" w:hAnsi="Cambria Math"/>
                      <w:color w:val="auto"/>
                      <w:highlight w:val="none"/>
                    </w:rPr>
                    <m:t>∆u</m:t>
                  </m:r>
                  <m:ctrlPr>
                    <w:rPr>
                      <w:rFonts w:ascii="Cambria Math" w:hAnsi="Cambria Math"/>
                      <w:i/>
                      <w:color w:val="auto"/>
                      <w:highlight w:val="none"/>
                    </w:rPr>
                  </m:ctrlPr>
                </m:e>
                <m:sub>
                  <m:r>
                    <m:rPr/>
                    <w:rPr>
                      <w:rFonts w:ascii="Cambria Math" w:hAnsi="Cambria Math"/>
                      <w:color w:val="auto"/>
                      <w:highlight w:val="none"/>
                    </w:rPr>
                    <m:t>1</m:t>
                  </m:r>
                  <m:ctrlPr>
                    <w:rPr>
                      <w:rFonts w:ascii="Cambria Math" w:hAnsi="Cambria Math"/>
                      <w:i/>
                      <w:color w:val="auto"/>
                      <w:highlight w:val="none"/>
                    </w:rPr>
                  </m:ctrlPr>
                </m:sub>
              </m:sSub>
              <m:r>
                <m:rPr/>
                <w:rPr>
                  <w:rFonts w:ascii="Cambria Math" w:hAnsi="Cambria Math"/>
                  <w:color w:val="auto"/>
                  <w:highlight w:val="none"/>
                </w:rPr>
                <m:t>/ℎ</m:t>
              </m:r>
            </m:oMath>
            <w:r>
              <w:rPr>
                <w:rFonts w:hint="eastAsia" w:ascii="宋体" w:hAnsi="宋体" w:cs="宋体"/>
                <w:color w:val="auto"/>
                <w:sz w:val="16"/>
                <w:szCs w:val="22"/>
                <w:highlight w:val="none"/>
              </w:rPr>
              <w:t>限值</w:t>
            </w:r>
          </w:p>
        </w:tc>
        <w:tc>
          <w:tcPr>
            <w:tcW w:w="908" w:type="pct"/>
            <w:vAlign w:val="center"/>
          </w:tcPr>
          <w:p w14:paraId="422DD8FA">
            <w:pPr>
              <w:pStyle w:val="49"/>
              <w:rPr>
                <w:rFonts w:hint="eastAsia" w:ascii="宋体" w:hAnsi="宋体" w:cs="宋体"/>
                <w:color w:val="auto"/>
                <w:sz w:val="16"/>
                <w:szCs w:val="22"/>
                <w:highlight w:val="none"/>
              </w:rPr>
            </w:pPr>
            <m:oMath>
              <m:sSub>
                <m:sSubPr>
                  <m:ctrlPr>
                    <w:rPr>
                      <w:rFonts w:ascii="Cambria Math" w:hAnsi="Cambria Math"/>
                      <w:i/>
                      <w:color w:val="auto"/>
                      <w:highlight w:val="none"/>
                    </w:rPr>
                  </m:ctrlPr>
                </m:sSubPr>
                <m:e>
                  <m:r>
                    <m:rPr/>
                    <w:rPr>
                      <w:rFonts w:ascii="Cambria Math" w:hAnsi="Cambria Math"/>
                      <w:color w:val="auto"/>
                      <w:highlight w:val="none"/>
                    </w:rPr>
                    <m:t>∆u</m:t>
                  </m:r>
                  <m:ctrlPr>
                    <w:rPr>
                      <w:rFonts w:ascii="Cambria Math" w:hAnsi="Cambria Math"/>
                      <w:i/>
                      <w:color w:val="auto"/>
                      <w:highlight w:val="none"/>
                    </w:rPr>
                  </m:ctrlPr>
                </m:e>
                <m:sub>
                  <m:r>
                    <m:rPr/>
                    <w:rPr>
                      <w:rFonts w:ascii="Cambria Math" w:hAnsi="Cambria Math"/>
                      <w:color w:val="auto"/>
                      <w:highlight w:val="none"/>
                    </w:rPr>
                    <m:t>2</m:t>
                  </m:r>
                  <m:ctrlPr>
                    <w:rPr>
                      <w:rFonts w:ascii="Cambria Math" w:hAnsi="Cambria Math"/>
                      <w:i/>
                      <w:color w:val="auto"/>
                      <w:highlight w:val="none"/>
                    </w:rPr>
                  </m:ctrlPr>
                </m:sub>
              </m:sSub>
              <m:r>
                <m:rPr/>
                <w:rPr>
                  <w:rFonts w:ascii="Cambria Math" w:hAnsi="Cambria Math"/>
                  <w:color w:val="auto"/>
                  <w:highlight w:val="none"/>
                </w:rPr>
                <m:t>/ℎ</m:t>
              </m:r>
            </m:oMath>
            <w:r>
              <w:rPr>
                <w:rFonts w:hint="eastAsia" w:ascii="宋体" w:hAnsi="宋体" w:cs="宋体"/>
                <w:color w:val="auto"/>
                <w:sz w:val="16"/>
                <w:szCs w:val="22"/>
                <w:highlight w:val="none"/>
              </w:rPr>
              <w:t>限值</w:t>
            </w:r>
          </w:p>
        </w:tc>
      </w:tr>
      <w:tr w14:paraId="04B53F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3067" w:type="pct"/>
            <w:gridSpan w:val="2"/>
            <w:vAlign w:val="center"/>
          </w:tcPr>
          <w:p w14:paraId="1CDAC9A4">
            <w:pPr>
              <w:pStyle w:val="49"/>
              <w:rPr>
                <w:rFonts w:hint="eastAsia" w:ascii="宋体" w:hAnsi="宋体" w:cs="宋体"/>
                <w:color w:val="auto"/>
                <w:sz w:val="16"/>
                <w:szCs w:val="22"/>
                <w:highlight w:val="none"/>
              </w:rPr>
            </w:pPr>
            <w:r>
              <w:rPr>
                <w:rFonts w:hint="eastAsia" w:ascii="宋体" w:hAnsi="宋体" w:cs="宋体"/>
                <w:color w:val="auto"/>
                <w:sz w:val="16"/>
                <w:szCs w:val="22"/>
                <w:highlight w:val="none"/>
              </w:rPr>
              <w:t>模块化全预制剪力墙</w:t>
            </w:r>
          </w:p>
        </w:tc>
        <w:tc>
          <w:tcPr>
            <w:tcW w:w="1023" w:type="pct"/>
            <w:vAlign w:val="center"/>
          </w:tcPr>
          <w:p w14:paraId="4BF9DAE6">
            <w:pPr>
              <w:pStyle w:val="49"/>
              <w:rPr>
                <w:rFonts w:hint="eastAsia" w:ascii="宋体" w:hAnsi="宋体" w:cs="宋体"/>
                <w:color w:val="auto"/>
                <w:sz w:val="16"/>
                <w:szCs w:val="22"/>
                <w:highlight w:val="none"/>
              </w:rPr>
            </w:pPr>
            <w:r>
              <w:rPr>
                <w:rFonts w:hint="eastAsia" w:ascii="宋体" w:hAnsi="宋体" w:cs="宋体"/>
                <w:color w:val="auto"/>
                <w:sz w:val="16"/>
                <w:szCs w:val="22"/>
                <w:highlight w:val="none"/>
              </w:rPr>
              <w:t>1/1200</w:t>
            </w:r>
          </w:p>
        </w:tc>
        <w:tc>
          <w:tcPr>
            <w:tcW w:w="908" w:type="pct"/>
            <w:vMerge w:val="restart"/>
            <w:vAlign w:val="center"/>
          </w:tcPr>
          <w:p w14:paraId="2F9B7F2B">
            <w:pPr>
              <w:pStyle w:val="49"/>
              <w:rPr>
                <w:rFonts w:hint="eastAsia" w:hAnsi="宋体" w:cs="宋体"/>
                <w:color w:val="auto"/>
                <w:sz w:val="16"/>
                <w:szCs w:val="22"/>
                <w:highlight w:val="none"/>
              </w:rPr>
            </w:pPr>
            <w:r>
              <w:rPr>
                <w:rFonts w:hint="eastAsia" w:hAnsi="宋体" w:cs="宋体"/>
                <w:color w:val="auto"/>
                <w:sz w:val="16"/>
                <w:szCs w:val="22"/>
                <w:highlight w:val="none"/>
              </w:rPr>
              <w:t>1/180</w:t>
            </w:r>
          </w:p>
        </w:tc>
      </w:tr>
      <w:tr w14:paraId="51FCA8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3067" w:type="pct"/>
            <w:gridSpan w:val="2"/>
            <w:vAlign w:val="center"/>
          </w:tcPr>
          <w:p w14:paraId="51DA403E">
            <w:pPr>
              <w:pStyle w:val="49"/>
              <w:rPr>
                <w:rFonts w:hint="eastAsia" w:ascii="宋体" w:hAnsi="宋体" w:cs="宋体"/>
                <w:color w:val="auto"/>
                <w:sz w:val="16"/>
                <w:szCs w:val="22"/>
                <w:highlight w:val="none"/>
              </w:rPr>
            </w:pPr>
            <w:r>
              <w:rPr>
                <w:rFonts w:hint="eastAsia" w:ascii="宋体" w:hAnsi="宋体" w:cs="宋体"/>
                <w:color w:val="auto"/>
                <w:sz w:val="16"/>
                <w:szCs w:val="22"/>
                <w:highlight w:val="none"/>
              </w:rPr>
              <w:t>模块化</w:t>
            </w:r>
            <w:r>
              <w:rPr>
                <w:rFonts w:hint="eastAsia" w:ascii="宋体" w:hAnsi="宋体" w:cs="宋体"/>
                <w:color w:val="auto"/>
                <w:sz w:val="16"/>
                <w:szCs w:val="22"/>
                <w:highlight w:val="none"/>
                <w:lang w:val="en-US" w:eastAsia="zh-CN"/>
              </w:rPr>
              <w:t>框架</w:t>
            </w:r>
          </w:p>
        </w:tc>
        <w:tc>
          <w:tcPr>
            <w:tcW w:w="1023" w:type="pct"/>
            <w:vAlign w:val="center"/>
          </w:tcPr>
          <w:p w14:paraId="1FDA7485">
            <w:pPr>
              <w:pStyle w:val="49"/>
              <w:rPr>
                <w:rFonts w:hint="default" w:ascii="宋体" w:hAnsi="宋体" w:eastAsia="宋体" w:cs="宋体"/>
                <w:color w:val="auto"/>
                <w:sz w:val="16"/>
                <w:szCs w:val="22"/>
                <w:highlight w:val="none"/>
                <w:lang w:val="en-US" w:eastAsia="zh-CN"/>
              </w:rPr>
            </w:pPr>
            <w:r>
              <w:rPr>
                <w:rFonts w:hint="eastAsia" w:ascii="宋体" w:hAnsi="宋体" w:cs="宋体"/>
                <w:color w:val="auto"/>
                <w:sz w:val="16"/>
                <w:szCs w:val="22"/>
                <w:highlight w:val="none"/>
                <w:lang w:val="en-US" w:eastAsia="zh-CN"/>
              </w:rPr>
              <w:t>1/500</w:t>
            </w:r>
          </w:p>
        </w:tc>
        <w:tc>
          <w:tcPr>
            <w:tcW w:w="908" w:type="pct"/>
            <w:vMerge w:val="continue"/>
            <w:vAlign w:val="center"/>
          </w:tcPr>
          <w:p w14:paraId="63C0D8FC">
            <w:pPr>
              <w:pStyle w:val="49"/>
              <w:rPr>
                <w:rFonts w:hint="eastAsia" w:hAnsi="宋体" w:eastAsia="宋体" w:cs="宋体"/>
                <w:color w:val="auto"/>
                <w:sz w:val="16"/>
                <w:szCs w:val="22"/>
                <w:highlight w:val="none"/>
                <w:lang w:val="en-US" w:eastAsia="zh-CN"/>
              </w:rPr>
            </w:pPr>
          </w:p>
        </w:tc>
      </w:tr>
      <w:tr w14:paraId="5A13B4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061" w:type="pct"/>
            <w:vMerge w:val="restart"/>
            <w:vAlign w:val="center"/>
          </w:tcPr>
          <w:p w14:paraId="5D8CB595">
            <w:pPr>
              <w:pStyle w:val="49"/>
              <w:rPr>
                <w:rFonts w:hint="eastAsia" w:ascii="宋体" w:hAnsi="宋体" w:cs="宋体"/>
                <w:color w:val="auto"/>
                <w:sz w:val="16"/>
                <w:szCs w:val="22"/>
                <w:highlight w:val="none"/>
              </w:rPr>
            </w:pPr>
            <w:r>
              <w:rPr>
                <w:rFonts w:hint="eastAsia" w:ascii="宋体" w:hAnsi="宋体" w:cs="宋体"/>
                <w:color w:val="auto"/>
                <w:sz w:val="16"/>
                <w:szCs w:val="22"/>
                <w:highlight w:val="none"/>
              </w:rPr>
              <w:t>模块化叠合剪力墙</w:t>
            </w:r>
          </w:p>
        </w:tc>
        <w:tc>
          <w:tcPr>
            <w:tcW w:w="2006" w:type="pct"/>
            <w:vAlign w:val="center"/>
          </w:tcPr>
          <w:p w14:paraId="02202788">
            <w:pPr>
              <w:pStyle w:val="49"/>
              <w:rPr>
                <w:rFonts w:hint="eastAsia" w:ascii="宋体" w:hAnsi="宋体" w:cs="宋体"/>
                <w:color w:val="auto"/>
                <w:sz w:val="16"/>
                <w:szCs w:val="22"/>
                <w:highlight w:val="none"/>
              </w:rPr>
            </w:pPr>
            <w:r>
              <w:rPr>
                <w:rFonts w:hint="eastAsia" w:ascii="宋体" w:hAnsi="宋体" w:cs="宋体"/>
                <w:color w:val="auto"/>
                <w:sz w:val="16"/>
                <w:szCs w:val="22"/>
                <w:highlight w:val="none"/>
              </w:rPr>
              <w:t>模块化叠合剪力墙</w:t>
            </w:r>
          </w:p>
        </w:tc>
        <w:tc>
          <w:tcPr>
            <w:tcW w:w="1023" w:type="pct"/>
            <w:vAlign w:val="center"/>
          </w:tcPr>
          <w:p w14:paraId="180890D4">
            <w:pPr>
              <w:pStyle w:val="49"/>
              <w:rPr>
                <w:rFonts w:hint="eastAsia" w:ascii="宋体" w:hAnsi="宋体" w:cs="宋体"/>
                <w:color w:val="auto"/>
                <w:sz w:val="16"/>
                <w:szCs w:val="22"/>
                <w:highlight w:val="none"/>
              </w:rPr>
            </w:pPr>
            <w:r>
              <w:rPr>
                <w:rFonts w:hint="eastAsia" w:ascii="宋体" w:hAnsi="宋体" w:cs="宋体"/>
                <w:color w:val="auto"/>
                <w:sz w:val="16"/>
                <w:szCs w:val="22"/>
                <w:highlight w:val="none"/>
              </w:rPr>
              <w:t>1/1000</w:t>
            </w:r>
          </w:p>
        </w:tc>
        <w:tc>
          <w:tcPr>
            <w:tcW w:w="908" w:type="pct"/>
            <w:vMerge w:val="continue"/>
            <w:shd w:val="clear" w:color="auto" w:fill="auto"/>
            <w:vAlign w:val="center"/>
          </w:tcPr>
          <w:p w14:paraId="6BE5DF89">
            <w:pPr>
              <w:pStyle w:val="49"/>
              <w:rPr>
                <w:rFonts w:hint="eastAsia" w:ascii="宋体" w:hAnsi="宋体" w:cs="宋体"/>
                <w:color w:val="auto"/>
                <w:sz w:val="16"/>
                <w:szCs w:val="22"/>
                <w:highlight w:val="none"/>
              </w:rPr>
            </w:pPr>
          </w:p>
        </w:tc>
      </w:tr>
      <w:tr w14:paraId="276479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061" w:type="pct"/>
            <w:vMerge w:val="continue"/>
            <w:vAlign w:val="center"/>
          </w:tcPr>
          <w:p w14:paraId="4054BADA">
            <w:pPr>
              <w:pStyle w:val="49"/>
              <w:rPr>
                <w:rFonts w:hint="eastAsia" w:ascii="宋体" w:hAnsi="宋体" w:cs="宋体"/>
                <w:color w:val="auto"/>
                <w:sz w:val="16"/>
                <w:szCs w:val="22"/>
                <w:highlight w:val="none"/>
              </w:rPr>
            </w:pPr>
          </w:p>
        </w:tc>
        <w:tc>
          <w:tcPr>
            <w:tcW w:w="2006" w:type="pct"/>
            <w:vAlign w:val="center"/>
          </w:tcPr>
          <w:p w14:paraId="4843F591">
            <w:pPr>
              <w:pStyle w:val="49"/>
              <w:rPr>
                <w:rFonts w:hint="eastAsia" w:ascii="宋体" w:hAnsi="宋体" w:cs="宋体"/>
                <w:color w:val="auto"/>
                <w:sz w:val="16"/>
                <w:szCs w:val="22"/>
                <w:highlight w:val="none"/>
              </w:rPr>
            </w:pPr>
            <w:r>
              <w:rPr>
                <w:rFonts w:hint="eastAsia" w:ascii="宋体" w:hAnsi="宋体" w:cs="宋体"/>
                <w:color w:val="auto"/>
                <w:sz w:val="16"/>
                <w:szCs w:val="22"/>
                <w:highlight w:val="none"/>
                <w:lang w:val="en-US" w:eastAsia="zh-CN"/>
              </w:rPr>
              <w:t>除框架结构以外的转换层</w:t>
            </w:r>
          </w:p>
        </w:tc>
        <w:tc>
          <w:tcPr>
            <w:tcW w:w="1023" w:type="pct"/>
            <w:vAlign w:val="center"/>
          </w:tcPr>
          <w:p w14:paraId="1A055030">
            <w:pPr>
              <w:pStyle w:val="49"/>
              <w:rPr>
                <w:rFonts w:hint="eastAsia" w:ascii="宋体" w:hAnsi="宋体" w:cs="宋体"/>
                <w:color w:val="auto"/>
                <w:sz w:val="16"/>
                <w:szCs w:val="22"/>
                <w:highlight w:val="none"/>
              </w:rPr>
            </w:pPr>
            <w:r>
              <w:rPr>
                <w:rFonts w:hint="eastAsia" w:ascii="宋体" w:hAnsi="宋体" w:cs="宋体"/>
                <w:color w:val="auto"/>
                <w:sz w:val="16"/>
                <w:szCs w:val="22"/>
                <w:highlight w:val="none"/>
              </w:rPr>
              <w:t>1/1000</w:t>
            </w:r>
          </w:p>
        </w:tc>
        <w:tc>
          <w:tcPr>
            <w:tcW w:w="908" w:type="pct"/>
            <w:vMerge w:val="continue"/>
            <w:vAlign w:val="center"/>
          </w:tcPr>
          <w:p w14:paraId="7707F8AE">
            <w:pPr>
              <w:pStyle w:val="49"/>
              <w:rPr>
                <w:rFonts w:hint="eastAsia" w:ascii="宋体" w:hAnsi="宋体" w:cs="宋体"/>
                <w:color w:val="auto"/>
                <w:sz w:val="16"/>
                <w:szCs w:val="22"/>
                <w:highlight w:val="none"/>
              </w:rPr>
            </w:pPr>
          </w:p>
        </w:tc>
      </w:tr>
      <w:tr w14:paraId="5385BF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061" w:type="pct"/>
            <w:vMerge w:val="restart"/>
            <w:vAlign w:val="center"/>
          </w:tcPr>
          <w:p w14:paraId="3195E137">
            <w:pPr>
              <w:pStyle w:val="49"/>
              <w:rPr>
                <w:rFonts w:hint="default" w:ascii="宋体" w:hAnsi="宋体" w:eastAsia="宋体" w:cs="宋体"/>
                <w:color w:val="auto"/>
                <w:sz w:val="16"/>
                <w:szCs w:val="22"/>
                <w:highlight w:val="none"/>
                <w:lang w:val="en-US" w:eastAsia="zh-CN"/>
              </w:rPr>
            </w:pPr>
            <w:r>
              <w:rPr>
                <w:rFonts w:hint="eastAsia" w:ascii="宋体" w:hAnsi="宋体" w:cs="宋体"/>
                <w:color w:val="auto"/>
                <w:sz w:val="16"/>
                <w:szCs w:val="22"/>
                <w:highlight w:val="none"/>
                <w:lang w:val="en-US" w:eastAsia="zh-CN"/>
              </w:rPr>
              <w:t>模块化现浇剪力墙</w:t>
            </w:r>
          </w:p>
        </w:tc>
        <w:tc>
          <w:tcPr>
            <w:tcW w:w="2006" w:type="pct"/>
            <w:vAlign w:val="center"/>
          </w:tcPr>
          <w:p w14:paraId="2B8B248B">
            <w:pPr>
              <w:pStyle w:val="49"/>
              <w:rPr>
                <w:rFonts w:hint="eastAsia" w:ascii="宋体" w:hAnsi="宋体" w:cs="宋体"/>
                <w:color w:val="auto"/>
                <w:sz w:val="16"/>
                <w:szCs w:val="22"/>
                <w:highlight w:val="none"/>
              </w:rPr>
            </w:pPr>
            <w:r>
              <w:rPr>
                <w:rFonts w:hint="eastAsia" w:ascii="宋体" w:hAnsi="宋体" w:cs="宋体"/>
                <w:color w:val="auto"/>
                <w:sz w:val="16"/>
                <w:szCs w:val="22"/>
                <w:highlight w:val="none"/>
              </w:rPr>
              <w:t>模块化叠合剪力墙</w:t>
            </w:r>
          </w:p>
        </w:tc>
        <w:tc>
          <w:tcPr>
            <w:tcW w:w="1023" w:type="pct"/>
            <w:vAlign w:val="center"/>
          </w:tcPr>
          <w:p w14:paraId="280E104A">
            <w:pPr>
              <w:pStyle w:val="49"/>
              <w:rPr>
                <w:rFonts w:hint="default" w:ascii="宋体" w:hAnsi="宋体" w:eastAsia="宋体" w:cs="宋体"/>
                <w:color w:val="auto"/>
                <w:sz w:val="16"/>
                <w:szCs w:val="22"/>
                <w:highlight w:val="none"/>
                <w:lang w:val="en-US" w:eastAsia="zh-CN"/>
              </w:rPr>
            </w:pPr>
            <w:r>
              <w:rPr>
                <w:rFonts w:hint="eastAsia" w:ascii="宋体" w:hAnsi="宋体" w:cs="宋体"/>
                <w:color w:val="auto"/>
                <w:sz w:val="16"/>
                <w:szCs w:val="22"/>
                <w:highlight w:val="none"/>
                <w:lang w:val="en-US" w:eastAsia="zh-CN"/>
              </w:rPr>
              <w:t>1/800</w:t>
            </w:r>
          </w:p>
        </w:tc>
        <w:tc>
          <w:tcPr>
            <w:tcW w:w="908" w:type="pct"/>
            <w:vMerge w:val="continue"/>
            <w:vAlign w:val="center"/>
          </w:tcPr>
          <w:p w14:paraId="5BFC8062">
            <w:pPr>
              <w:pStyle w:val="49"/>
              <w:rPr>
                <w:rFonts w:hint="eastAsia" w:hAnsi="宋体" w:cs="宋体"/>
                <w:color w:val="auto"/>
                <w:sz w:val="16"/>
                <w:szCs w:val="22"/>
                <w:highlight w:val="none"/>
              </w:rPr>
            </w:pPr>
          </w:p>
        </w:tc>
      </w:tr>
      <w:tr w14:paraId="68057E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061" w:type="pct"/>
            <w:vMerge w:val="continue"/>
            <w:vAlign w:val="center"/>
          </w:tcPr>
          <w:p w14:paraId="35427EA0">
            <w:pPr>
              <w:pStyle w:val="49"/>
              <w:rPr>
                <w:rFonts w:hint="eastAsia" w:ascii="宋体" w:hAnsi="宋体" w:cs="宋体"/>
                <w:color w:val="auto"/>
                <w:sz w:val="16"/>
                <w:szCs w:val="22"/>
                <w:highlight w:val="none"/>
                <w:lang w:val="en-US" w:eastAsia="zh-CN"/>
              </w:rPr>
            </w:pPr>
          </w:p>
        </w:tc>
        <w:tc>
          <w:tcPr>
            <w:tcW w:w="2006" w:type="pct"/>
            <w:vAlign w:val="center"/>
          </w:tcPr>
          <w:p w14:paraId="23B7C003">
            <w:pPr>
              <w:pStyle w:val="49"/>
              <w:rPr>
                <w:rFonts w:hint="default" w:ascii="宋体" w:hAnsi="宋体" w:eastAsia="宋体" w:cs="宋体"/>
                <w:color w:val="auto"/>
                <w:sz w:val="16"/>
                <w:szCs w:val="22"/>
                <w:highlight w:val="none"/>
                <w:lang w:val="en-US" w:eastAsia="zh-CN"/>
              </w:rPr>
            </w:pPr>
            <w:r>
              <w:rPr>
                <w:rFonts w:hint="eastAsia" w:ascii="宋体" w:hAnsi="宋体" w:cs="宋体"/>
                <w:color w:val="auto"/>
                <w:sz w:val="16"/>
                <w:szCs w:val="22"/>
                <w:highlight w:val="none"/>
                <w:lang w:val="en-US" w:eastAsia="zh-CN"/>
              </w:rPr>
              <w:t>除框架结构以外的转换层</w:t>
            </w:r>
          </w:p>
        </w:tc>
        <w:tc>
          <w:tcPr>
            <w:tcW w:w="1023" w:type="pct"/>
            <w:vAlign w:val="center"/>
          </w:tcPr>
          <w:p w14:paraId="15EEDB15">
            <w:pPr>
              <w:pStyle w:val="49"/>
              <w:rPr>
                <w:rFonts w:hint="eastAsia" w:ascii="宋体" w:hAnsi="宋体" w:cs="宋体"/>
                <w:color w:val="auto"/>
                <w:sz w:val="16"/>
                <w:szCs w:val="22"/>
                <w:highlight w:val="none"/>
              </w:rPr>
            </w:pPr>
            <w:r>
              <w:rPr>
                <w:rFonts w:hint="eastAsia" w:ascii="宋体" w:hAnsi="宋体" w:cs="宋体"/>
                <w:color w:val="auto"/>
                <w:sz w:val="16"/>
                <w:szCs w:val="22"/>
                <w:highlight w:val="none"/>
                <w:lang w:val="en-US" w:eastAsia="zh-CN"/>
              </w:rPr>
              <w:t>1/800</w:t>
            </w:r>
          </w:p>
        </w:tc>
        <w:tc>
          <w:tcPr>
            <w:tcW w:w="908" w:type="pct"/>
            <w:vMerge w:val="continue"/>
            <w:vAlign w:val="center"/>
          </w:tcPr>
          <w:p w14:paraId="1D3E177C">
            <w:pPr>
              <w:pStyle w:val="49"/>
              <w:rPr>
                <w:rFonts w:hint="eastAsia" w:hAnsi="宋体" w:cs="宋体"/>
                <w:color w:val="auto"/>
                <w:sz w:val="16"/>
                <w:szCs w:val="22"/>
                <w:highlight w:val="none"/>
              </w:rPr>
            </w:pPr>
          </w:p>
        </w:tc>
      </w:tr>
    </w:tbl>
    <w:p w14:paraId="60CED229">
      <w:pPr>
        <w:widowControl/>
        <w:spacing w:line="360" w:lineRule="exact"/>
        <w:jc w:val="both"/>
        <w:rPr>
          <w:rFonts w:hint="eastAsia"/>
          <w:color w:val="auto"/>
          <w:sz w:val="21"/>
          <w:szCs w:val="21"/>
          <w:highlight w:val="none"/>
          <w:lang w:val="en-US" w:eastAsia="zh-CN"/>
        </w:rPr>
      </w:pPr>
      <w:r>
        <w:rPr>
          <w:rFonts w:hint="eastAsia"/>
          <w:b/>
          <w:color w:val="auto"/>
          <w:sz w:val="21"/>
          <w:szCs w:val="21"/>
          <w:highlight w:val="none"/>
          <w:lang w:val="en-US" w:eastAsia="zh-CN"/>
        </w:rPr>
        <w:t xml:space="preserve">6.3.6  </w:t>
      </w:r>
      <w:r>
        <w:rPr>
          <w:rFonts w:hint="eastAsia"/>
          <w:color w:val="auto"/>
          <w:sz w:val="21"/>
          <w:szCs w:val="21"/>
          <w:highlight w:val="none"/>
          <w:lang w:val="en-US" w:eastAsia="zh-CN"/>
        </w:rPr>
        <w:t>钢筋混凝土结构薄弱层（部位）层间弹塑性位移角应符合下式规定：</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54"/>
        <w:gridCol w:w="1089"/>
      </w:tblGrid>
      <w:tr w14:paraId="547EF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954" w:type="dxa"/>
            <w:vAlign w:val="center"/>
          </w:tcPr>
          <w:p w14:paraId="0FBA405F">
            <w:pPr>
              <w:widowControl/>
              <w:spacing w:line="360" w:lineRule="exact"/>
              <w:jc w:val="center"/>
              <w:rPr>
                <w:rFonts w:hint="eastAsia"/>
                <w:color w:val="auto"/>
                <w:sz w:val="18"/>
                <w:szCs w:val="28"/>
                <w:highlight w:val="none"/>
                <w:vertAlign w:val="baseline"/>
                <w:lang w:val="en-US" w:eastAsia="zh-CN"/>
              </w:rPr>
            </w:pPr>
            <m:oMathPara>
              <m:oMath>
                <m:sSub>
                  <m:sSubPr>
                    <m:ctrlPr>
                      <w:rPr>
                        <w:rFonts w:ascii="Cambria Math" w:hAnsi="Cambria Math"/>
                        <w:i/>
                        <w:color w:val="auto"/>
                        <w:sz w:val="18"/>
                        <w:szCs w:val="28"/>
                        <w:highlight w:val="none"/>
                        <w:lang w:val="en-US"/>
                      </w:rPr>
                    </m:ctrlPr>
                  </m:sSubPr>
                  <m:e>
                    <m:r>
                      <m:rPr/>
                      <w:rPr>
                        <w:rFonts w:ascii="Cambria Math" w:hAnsi="Cambria Math"/>
                        <w:color w:val="auto"/>
                        <w:sz w:val="18"/>
                        <w:szCs w:val="28"/>
                        <w:highlight w:val="none"/>
                        <w:lang w:val="en-US"/>
                      </w:rPr>
                      <m:t>θ</m:t>
                    </m:r>
                    <m:ctrlPr>
                      <w:rPr>
                        <w:rFonts w:ascii="Cambria Math" w:hAnsi="Cambria Math"/>
                        <w:i/>
                        <w:color w:val="auto"/>
                        <w:sz w:val="18"/>
                        <w:szCs w:val="28"/>
                        <w:highlight w:val="none"/>
                        <w:lang w:val="en-US"/>
                      </w:rPr>
                    </m:ctrlPr>
                  </m:e>
                  <m:sub>
                    <m:r>
                      <m:rPr/>
                      <w:rPr>
                        <w:rFonts w:hint="default" w:ascii="Cambria Math" w:hAnsi="Cambria Math"/>
                        <w:color w:val="auto"/>
                        <w:sz w:val="18"/>
                        <w:szCs w:val="28"/>
                        <w:highlight w:val="none"/>
                        <w:lang w:val="en-US" w:eastAsia="zh-CN"/>
                      </w:rPr>
                      <m:t>p</m:t>
                    </m:r>
                    <m:ctrlPr>
                      <w:rPr>
                        <w:rFonts w:ascii="Cambria Math" w:hAnsi="Cambria Math"/>
                        <w:i/>
                        <w:color w:val="auto"/>
                        <w:sz w:val="18"/>
                        <w:szCs w:val="28"/>
                        <w:highlight w:val="none"/>
                        <w:lang w:val="en-US"/>
                      </w:rPr>
                    </m:ctrlPr>
                  </m:sub>
                </m:sSub>
                <m:r>
                  <m:rPr/>
                  <w:rPr>
                    <w:rFonts w:hint="default" w:ascii="Cambria Math" w:hAnsi="Cambria Math"/>
                    <w:color w:val="auto"/>
                    <w:sz w:val="18"/>
                    <w:szCs w:val="28"/>
                    <w:highlight w:val="none"/>
                    <w:lang w:val="en-US" w:eastAsia="zh-CN"/>
                  </w:rPr>
                  <m:t>=</m:t>
                </m:r>
                <m:f>
                  <m:fPr>
                    <m:ctrlPr>
                      <w:rPr>
                        <w:rFonts w:hint="default" w:ascii="Cambria Math" w:hAnsi="Cambria Math"/>
                        <w:i/>
                        <w:color w:val="auto"/>
                        <w:sz w:val="18"/>
                        <w:szCs w:val="28"/>
                        <w:highlight w:val="none"/>
                        <w:lang w:val="en-US" w:eastAsia="zh-CN"/>
                      </w:rPr>
                    </m:ctrlPr>
                  </m:fPr>
                  <m:num>
                    <m:r>
                      <m:rPr/>
                      <w:rPr>
                        <w:rFonts w:ascii="Cambria Math" w:hAnsi="Cambria Math"/>
                        <w:color w:val="auto"/>
                        <w:sz w:val="18"/>
                        <w:szCs w:val="28"/>
                        <w:highlight w:val="none"/>
                        <w:lang w:val="en-US"/>
                      </w:rPr>
                      <m:t>∆</m:t>
                    </m:r>
                    <m:sSub>
                      <m:sSubPr>
                        <m:ctrlPr>
                          <w:rPr>
                            <w:rFonts w:ascii="Cambria Math" w:hAnsi="Cambria Math"/>
                            <w:i/>
                            <w:color w:val="auto"/>
                            <w:sz w:val="18"/>
                            <w:szCs w:val="28"/>
                            <w:highlight w:val="none"/>
                            <w:lang w:val="en-US"/>
                          </w:rPr>
                        </m:ctrlPr>
                      </m:sSubPr>
                      <m:e>
                        <m:r>
                          <m:rPr/>
                          <w:rPr>
                            <w:rFonts w:hint="default" w:ascii="Cambria Math" w:hAnsi="Cambria Math"/>
                            <w:color w:val="auto"/>
                            <w:sz w:val="18"/>
                            <w:szCs w:val="28"/>
                            <w:highlight w:val="none"/>
                            <w:lang w:val="en-US" w:eastAsia="zh-CN"/>
                          </w:rPr>
                          <m:t>u</m:t>
                        </m:r>
                        <m:ctrlPr>
                          <w:rPr>
                            <w:rFonts w:ascii="Cambria Math" w:hAnsi="Cambria Math"/>
                            <w:i/>
                            <w:color w:val="auto"/>
                            <w:sz w:val="18"/>
                            <w:szCs w:val="28"/>
                            <w:highlight w:val="none"/>
                            <w:lang w:val="en-US"/>
                          </w:rPr>
                        </m:ctrlPr>
                      </m:e>
                      <m:sub>
                        <m:r>
                          <m:rPr/>
                          <w:rPr>
                            <w:rFonts w:hint="default" w:ascii="Cambria Math" w:hAnsi="Cambria Math"/>
                            <w:color w:val="auto"/>
                            <w:sz w:val="18"/>
                            <w:szCs w:val="28"/>
                            <w:highlight w:val="none"/>
                            <w:lang w:val="en-US" w:eastAsia="zh-CN"/>
                          </w:rPr>
                          <m:t>p</m:t>
                        </m:r>
                        <m:ctrlPr>
                          <w:rPr>
                            <w:rFonts w:ascii="Cambria Math" w:hAnsi="Cambria Math"/>
                            <w:i/>
                            <w:color w:val="auto"/>
                            <w:sz w:val="18"/>
                            <w:szCs w:val="28"/>
                            <w:highlight w:val="none"/>
                            <w:lang w:val="en-US"/>
                          </w:rPr>
                        </m:ctrlPr>
                      </m:sub>
                    </m:sSub>
                    <m:ctrlPr>
                      <w:rPr>
                        <w:rFonts w:hint="default" w:ascii="Cambria Math" w:hAnsi="Cambria Math"/>
                        <w:i/>
                        <w:color w:val="auto"/>
                        <w:sz w:val="18"/>
                        <w:szCs w:val="28"/>
                        <w:highlight w:val="none"/>
                        <w:lang w:val="en-US" w:eastAsia="zh-CN"/>
                      </w:rPr>
                    </m:ctrlPr>
                  </m:num>
                  <m:den>
                    <m:r>
                      <m:rPr/>
                      <w:rPr>
                        <w:rFonts w:hint="default" w:ascii="Cambria Math" w:hAnsi="Cambria Math"/>
                        <w:color w:val="auto"/>
                        <w:sz w:val="18"/>
                        <w:szCs w:val="28"/>
                        <w:highlight w:val="none"/>
                        <w:lang w:val="en-US" w:eastAsia="zh-CN"/>
                      </w:rPr>
                      <m:t>ℎ</m:t>
                    </m:r>
                    <m:ctrlPr>
                      <w:rPr>
                        <w:rFonts w:hint="default" w:ascii="Cambria Math" w:hAnsi="Cambria Math"/>
                        <w:i/>
                        <w:color w:val="auto"/>
                        <w:sz w:val="18"/>
                        <w:szCs w:val="28"/>
                        <w:highlight w:val="none"/>
                        <w:lang w:val="en-US" w:eastAsia="zh-CN"/>
                      </w:rPr>
                    </m:ctrlPr>
                  </m:den>
                </m:f>
                <m:r>
                  <m:rPr/>
                  <w:rPr>
                    <w:rFonts w:hint="default" w:ascii="Cambria Math" w:hAnsi="Cambria Math" w:cs="Cambria Math"/>
                    <w:color w:val="auto"/>
                    <w:sz w:val="18"/>
                    <w:szCs w:val="28"/>
                    <w:highlight w:val="none"/>
                    <w:lang w:val="en-US" w:eastAsia="zh-CN"/>
                  </w:rPr>
                  <m:t>≤</m:t>
                </m:r>
                <m:r>
                  <m:rPr/>
                  <w:rPr>
                    <w:rFonts w:hint="default" w:ascii="Cambria Math" w:hAnsi="Cambria Math"/>
                    <w:color w:val="auto"/>
                    <w:sz w:val="18"/>
                    <w:szCs w:val="28"/>
                    <w:highlight w:val="none"/>
                    <w:lang w:val="en-US" w:eastAsia="zh-CN"/>
                  </w:rPr>
                  <m:t>[</m:t>
                </m:r>
                <m:sSub>
                  <m:sSubPr>
                    <m:ctrlPr>
                      <w:rPr>
                        <w:rFonts w:ascii="Cambria Math" w:hAnsi="Cambria Math"/>
                        <w:i/>
                        <w:color w:val="auto"/>
                        <w:sz w:val="18"/>
                        <w:szCs w:val="28"/>
                        <w:highlight w:val="none"/>
                        <w:lang w:val="en-US"/>
                      </w:rPr>
                    </m:ctrlPr>
                  </m:sSubPr>
                  <m:e>
                    <m:r>
                      <m:rPr/>
                      <w:rPr>
                        <w:rFonts w:ascii="Cambria Math" w:hAnsi="Cambria Math"/>
                        <w:color w:val="auto"/>
                        <w:sz w:val="18"/>
                        <w:szCs w:val="28"/>
                        <w:highlight w:val="none"/>
                        <w:lang w:val="en-US"/>
                      </w:rPr>
                      <m:t>θ</m:t>
                    </m:r>
                    <m:ctrlPr>
                      <w:rPr>
                        <w:rFonts w:ascii="Cambria Math" w:hAnsi="Cambria Math"/>
                        <w:i/>
                        <w:color w:val="auto"/>
                        <w:sz w:val="18"/>
                        <w:szCs w:val="28"/>
                        <w:highlight w:val="none"/>
                        <w:lang w:val="en-US"/>
                      </w:rPr>
                    </m:ctrlPr>
                  </m:e>
                  <m:sub>
                    <m:r>
                      <m:rPr/>
                      <w:rPr>
                        <w:rFonts w:hint="default" w:ascii="Cambria Math" w:hAnsi="Cambria Math"/>
                        <w:color w:val="auto"/>
                        <w:sz w:val="18"/>
                        <w:szCs w:val="28"/>
                        <w:highlight w:val="none"/>
                        <w:lang w:val="en-US" w:eastAsia="zh-CN"/>
                      </w:rPr>
                      <m:t>p</m:t>
                    </m:r>
                    <m:ctrlPr>
                      <w:rPr>
                        <w:rFonts w:ascii="Cambria Math" w:hAnsi="Cambria Math"/>
                        <w:i/>
                        <w:color w:val="auto"/>
                        <w:sz w:val="18"/>
                        <w:szCs w:val="28"/>
                        <w:highlight w:val="none"/>
                        <w:lang w:val="en-US"/>
                      </w:rPr>
                    </m:ctrlPr>
                  </m:sub>
                </m:sSub>
                <m:r>
                  <m:rPr/>
                  <w:rPr>
                    <w:rFonts w:hint="default" w:ascii="Cambria Math" w:hAnsi="Cambria Math"/>
                    <w:color w:val="auto"/>
                    <w:sz w:val="18"/>
                    <w:szCs w:val="28"/>
                    <w:highlight w:val="none"/>
                    <w:lang w:val="en-US" w:eastAsia="zh-CN"/>
                  </w:rPr>
                  <m:t>]</m:t>
                </m:r>
              </m:oMath>
            </m:oMathPara>
          </w:p>
        </w:tc>
        <w:tc>
          <w:tcPr>
            <w:tcW w:w="1089" w:type="dxa"/>
            <w:vAlign w:val="center"/>
          </w:tcPr>
          <w:p w14:paraId="0435574C">
            <w:pPr>
              <w:widowControl/>
              <w:spacing w:line="360" w:lineRule="exact"/>
              <w:jc w:val="center"/>
              <w:rPr>
                <w:rFonts w:hint="default"/>
                <w:color w:val="auto"/>
                <w:sz w:val="18"/>
                <w:szCs w:val="28"/>
                <w:highlight w:val="none"/>
                <w:vertAlign w:val="baseline"/>
                <w:lang w:val="en-US" w:eastAsia="zh-CN"/>
              </w:rPr>
            </w:pPr>
            <w:r>
              <w:rPr>
                <w:rFonts w:hint="eastAsia"/>
                <w:color w:val="auto"/>
                <w:sz w:val="18"/>
                <w:szCs w:val="28"/>
                <w:highlight w:val="none"/>
                <w:vertAlign w:val="baseline"/>
                <w:lang w:val="en-US" w:eastAsia="zh-CN"/>
              </w:rPr>
              <w:t>(6.3.6)</w:t>
            </w:r>
          </w:p>
        </w:tc>
      </w:tr>
    </w:tbl>
    <w:tbl>
      <w:tblPr>
        <w:tblStyle w:val="25"/>
        <w:tblW w:w="5097" w:type="pct"/>
        <w:tblInd w:w="-120" w:type="dxa"/>
        <w:tblLayout w:type="autofit"/>
        <w:tblCellMar>
          <w:top w:w="0" w:type="dxa"/>
          <w:left w:w="0" w:type="dxa"/>
          <w:bottom w:w="0" w:type="dxa"/>
          <w:right w:w="0" w:type="dxa"/>
        </w:tblCellMar>
      </w:tblPr>
      <w:tblGrid>
        <w:gridCol w:w="536"/>
        <w:gridCol w:w="661"/>
        <w:gridCol w:w="4837"/>
      </w:tblGrid>
      <w:tr w14:paraId="27DC36A8">
        <w:tblPrEx>
          <w:tblCellMar>
            <w:top w:w="0" w:type="dxa"/>
            <w:left w:w="0" w:type="dxa"/>
            <w:bottom w:w="0" w:type="dxa"/>
            <w:right w:w="0" w:type="dxa"/>
          </w:tblCellMar>
        </w:tblPrEx>
        <w:trPr>
          <w:trHeight w:val="542" w:hRule="atLeast"/>
        </w:trPr>
        <w:tc>
          <w:tcPr>
            <w:tcW w:w="444" w:type="pct"/>
            <w:noWrap w:val="0"/>
            <w:vAlign w:val="top"/>
          </w:tcPr>
          <w:p w14:paraId="304CD244">
            <w:pPr>
              <w:adjustRightInd w:val="0"/>
              <w:snapToGrid w:val="0"/>
              <w:spacing w:line="360" w:lineRule="exact"/>
              <w:jc w:val="left"/>
              <w:rPr>
                <w:color w:val="000000"/>
                <w:szCs w:val="21"/>
                <w:highlight w:val="none"/>
              </w:rPr>
            </w:pPr>
            <w:r>
              <w:rPr>
                <w:rFonts w:hint="eastAsia"/>
                <w:color w:val="000000"/>
                <w:szCs w:val="21"/>
                <w:highlight w:val="none"/>
                <w:lang w:val="en-US" w:eastAsia="zh-CN"/>
              </w:rPr>
              <w:t>式中：</w:t>
            </w:r>
          </w:p>
        </w:tc>
        <w:tc>
          <w:tcPr>
            <w:tcW w:w="548" w:type="pct"/>
            <w:noWrap w:val="0"/>
            <w:vAlign w:val="center"/>
          </w:tcPr>
          <w:p w14:paraId="26C3BD14">
            <w:pPr>
              <w:adjustRightInd w:val="0"/>
              <w:snapToGrid w:val="0"/>
              <w:spacing w:line="360" w:lineRule="exact"/>
              <w:jc w:val="both"/>
              <w:rPr>
                <w:rFonts w:hint="default" w:ascii="Cambria Math" w:hAnsi="Cambria Math" w:cs="Cambria Math"/>
                <w:color w:val="000000"/>
                <w:szCs w:val="21"/>
                <w:highlight w:val="none"/>
              </w:rPr>
            </w:pPr>
            <m:oMathPara>
              <m:oMath>
                <m:sSub>
                  <m:sSubPr>
                    <m:ctrlPr>
                      <w:rPr>
                        <w:rFonts w:ascii="Cambria Math" w:hAnsi="Cambria Math"/>
                        <w:i/>
                        <w:color w:val="auto"/>
                        <w:sz w:val="21"/>
                        <w:szCs w:val="21"/>
                        <w:highlight w:val="none"/>
                        <w:lang w:val="en-US"/>
                      </w:rPr>
                    </m:ctrlPr>
                  </m:sSubPr>
                  <m:e>
                    <m:r>
                      <m:rPr/>
                      <w:rPr>
                        <w:rFonts w:ascii="Cambria Math" w:hAnsi="Cambria Math"/>
                        <w:color w:val="auto"/>
                        <w:sz w:val="21"/>
                        <w:szCs w:val="21"/>
                        <w:highlight w:val="none"/>
                        <w:lang w:val="en-US"/>
                      </w:rPr>
                      <m:t>θ</m:t>
                    </m:r>
                    <m:ctrlPr>
                      <w:rPr>
                        <w:rFonts w:ascii="Cambria Math" w:hAnsi="Cambria Math"/>
                        <w:i/>
                        <w:color w:val="auto"/>
                        <w:sz w:val="21"/>
                        <w:szCs w:val="21"/>
                        <w:highlight w:val="none"/>
                        <w:lang w:val="en-US"/>
                      </w:rPr>
                    </m:ctrlPr>
                  </m:e>
                  <m:sub>
                    <m:r>
                      <m:rPr/>
                      <w:rPr>
                        <w:rFonts w:hint="default" w:ascii="Cambria Math" w:hAnsi="Cambria Math"/>
                        <w:color w:val="auto"/>
                        <w:sz w:val="21"/>
                        <w:szCs w:val="21"/>
                        <w:highlight w:val="none"/>
                        <w:lang w:val="en-US" w:eastAsia="zh-CN"/>
                      </w:rPr>
                      <m:t>p</m:t>
                    </m:r>
                    <m:ctrlPr>
                      <w:rPr>
                        <w:rFonts w:ascii="Cambria Math" w:hAnsi="Cambria Math"/>
                        <w:i/>
                        <w:color w:val="auto"/>
                        <w:sz w:val="21"/>
                        <w:szCs w:val="21"/>
                        <w:highlight w:val="none"/>
                        <w:lang w:val="en-US"/>
                      </w:rPr>
                    </m:ctrlPr>
                  </m:sub>
                </m:sSub>
              </m:oMath>
            </m:oMathPara>
          </w:p>
        </w:tc>
        <w:tc>
          <w:tcPr>
            <w:tcW w:w="4007" w:type="pct"/>
            <w:noWrap w:val="0"/>
            <w:vAlign w:val="center"/>
          </w:tcPr>
          <w:p w14:paraId="35A31D49">
            <w:pPr>
              <w:adjustRightInd w:val="0"/>
              <w:snapToGrid w:val="0"/>
              <w:spacing w:line="360" w:lineRule="exact"/>
              <w:ind w:left="0" w:firstLine="0" w:firstLineChars="0"/>
              <w:jc w:val="both"/>
              <w:rPr>
                <w:rFonts w:hint="default" w:ascii="Cambria Math" w:hAnsi="Cambria Math" w:cs="Cambria Math"/>
                <w:color w:val="000000"/>
                <w:szCs w:val="21"/>
                <w:highlight w:val="none"/>
              </w:rPr>
            </w:pPr>
            <w:r>
              <w:rPr>
                <w:rFonts w:ascii="Times New Roman" w:hAnsi="Times New Roman"/>
                <w:sz w:val="21"/>
                <w:szCs w:val="21"/>
                <w:highlight w:val="none"/>
              </w:rPr>
              <w:t>——</w:t>
            </w:r>
            <w:r>
              <w:rPr>
                <w:rFonts w:hint="eastAsia"/>
                <w:color w:val="auto"/>
                <w:szCs w:val="21"/>
                <w:highlight w:val="none"/>
              </w:rPr>
              <w:t>层间弹塑性位移角；</w:t>
            </w:r>
          </w:p>
        </w:tc>
      </w:tr>
      <w:tr w14:paraId="489651ED">
        <w:tblPrEx>
          <w:tblCellMar>
            <w:top w:w="0" w:type="dxa"/>
            <w:left w:w="0" w:type="dxa"/>
            <w:bottom w:w="0" w:type="dxa"/>
            <w:right w:w="0" w:type="dxa"/>
          </w:tblCellMar>
        </w:tblPrEx>
        <w:trPr>
          <w:trHeight w:val="90" w:hRule="atLeast"/>
        </w:trPr>
        <w:tc>
          <w:tcPr>
            <w:tcW w:w="444" w:type="pct"/>
            <w:noWrap w:val="0"/>
            <w:vAlign w:val="center"/>
          </w:tcPr>
          <w:p w14:paraId="1117778F">
            <w:pPr>
              <w:adjustRightInd w:val="0"/>
              <w:snapToGrid w:val="0"/>
              <w:spacing w:line="360" w:lineRule="exact"/>
              <w:jc w:val="both"/>
              <w:rPr>
                <w:color w:val="000000"/>
                <w:sz w:val="21"/>
                <w:szCs w:val="21"/>
                <w:highlight w:val="none"/>
              </w:rPr>
            </w:pPr>
          </w:p>
        </w:tc>
        <w:tc>
          <w:tcPr>
            <w:tcW w:w="548" w:type="pct"/>
            <w:noWrap w:val="0"/>
            <w:vAlign w:val="center"/>
          </w:tcPr>
          <w:p w14:paraId="55CDFCBD">
            <w:pPr>
              <w:adjustRightInd w:val="0"/>
              <w:snapToGrid w:val="0"/>
              <w:spacing w:line="360" w:lineRule="exact"/>
              <w:jc w:val="center"/>
              <w:rPr>
                <w:rFonts w:hint="default" w:ascii="Cambria Math" w:hAnsi="Cambria Math" w:cs="Cambria Math"/>
                <w:color w:val="000000"/>
                <w:szCs w:val="21"/>
                <w:highlight w:val="none"/>
              </w:rPr>
            </w:pPr>
            <m:oMathPara>
              <m:oMath>
                <m:r>
                  <m:rPr/>
                  <w:rPr>
                    <w:rFonts w:hint="default" w:ascii="Cambria Math" w:hAnsi="Cambria Math"/>
                    <w:color w:val="auto"/>
                    <w:sz w:val="21"/>
                    <w:szCs w:val="21"/>
                    <w:highlight w:val="none"/>
                    <w:lang w:val="en-US" w:eastAsia="zh-CN"/>
                  </w:rPr>
                  <m:t>[</m:t>
                </m:r>
                <m:sSub>
                  <m:sSubPr>
                    <m:ctrlPr>
                      <w:rPr>
                        <w:rFonts w:ascii="Cambria Math" w:hAnsi="Cambria Math"/>
                        <w:i/>
                        <w:color w:val="auto"/>
                        <w:sz w:val="21"/>
                        <w:szCs w:val="21"/>
                        <w:highlight w:val="none"/>
                        <w:lang w:val="en-US"/>
                      </w:rPr>
                    </m:ctrlPr>
                  </m:sSubPr>
                  <m:e>
                    <m:r>
                      <m:rPr/>
                      <w:rPr>
                        <w:rFonts w:ascii="Cambria Math" w:hAnsi="Cambria Math"/>
                        <w:color w:val="auto"/>
                        <w:sz w:val="21"/>
                        <w:szCs w:val="21"/>
                        <w:highlight w:val="none"/>
                        <w:lang w:val="en-US"/>
                      </w:rPr>
                      <m:t>θ</m:t>
                    </m:r>
                    <m:ctrlPr>
                      <w:rPr>
                        <w:rFonts w:ascii="Cambria Math" w:hAnsi="Cambria Math"/>
                        <w:i/>
                        <w:color w:val="auto"/>
                        <w:sz w:val="21"/>
                        <w:szCs w:val="21"/>
                        <w:highlight w:val="none"/>
                        <w:lang w:val="en-US"/>
                      </w:rPr>
                    </m:ctrlPr>
                  </m:e>
                  <m:sub>
                    <m:r>
                      <m:rPr/>
                      <w:rPr>
                        <w:rFonts w:hint="default" w:ascii="Cambria Math" w:hAnsi="Cambria Math"/>
                        <w:color w:val="auto"/>
                        <w:sz w:val="21"/>
                        <w:szCs w:val="21"/>
                        <w:highlight w:val="none"/>
                        <w:lang w:val="en-US" w:eastAsia="zh-CN"/>
                      </w:rPr>
                      <m:t>p</m:t>
                    </m:r>
                    <m:ctrlPr>
                      <w:rPr>
                        <w:rFonts w:ascii="Cambria Math" w:hAnsi="Cambria Math"/>
                        <w:i/>
                        <w:color w:val="auto"/>
                        <w:sz w:val="21"/>
                        <w:szCs w:val="21"/>
                        <w:highlight w:val="none"/>
                        <w:lang w:val="en-US"/>
                      </w:rPr>
                    </m:ctrlPr>
                  </m:sub>
                </m:sSub>
                <m:r>
                  <m:rPr/>
                  <w:rPr>
                    <w:rFonts w:hint="default" w:ascii="Cambria Math" w:hAnsi="Cambria Math"/>
                    <w:color w:val="auto"/>
                    <w:sz w:val="21"/>
                    <w:szCs w:val="21"/>
                    <w:highlight w:val="none"/>
                    <w:lang w:val="en-US" w:eastAsia="zh-CN"/>
                  </w:rPr>
                  <m:t>]</m:t>
                </m:r>
              </m:oMath>
            </m:oMathPara>
          </w:p>
        </w:tc>
        <w:tc>
          <w:tcPr>
            <w:tcW w:w="4007" w:type="pct"/>
            <w:noWrap w:val="0"/>
            <w:vAlign w:val="top"/>
          </w:tcPr>
          <w:p w14:paraId="1CCAE075">
            <w:pPr>
              <w:adjustRightInd w:val="0"/>
              <w:snapToGrid w:val="0"/>
              <w:spacing w:line="360" w:lineRule="exact"/>
              <w:jc w:val="both"/>
              <w:rPr>
                <w:rFonts w:hint="default" w:ascii="Cambria Math" w:hAnsi="Cambria Math" w:cs="Cambria Math"/>
                <w:color w:val="000000"/>
                <w:szCs w:val="21"/>
                <w:highlight w:val="none"/>
              </w:rPr>
            </w:pPr>
            <w:r>
              <w:rPr>
                <w:rFonts w:ascii="Times New Roman" w:hAnsi="Times New Roman"/>
                <w:sz w:val="21"/>
                <w:szCs w:val="21"/>
                <w:highlight w:val="none"/>
              </w:rPr>
              <w:t>——</w:t>
            </w:r>
            <w:r>
              <w:rPr>
                <w:rFonts w:hint="eastAsia" w:hAnsi="Cambria Math"/>
                <w:i w:val="0"/>
                <w:color w:val="auto"/>
                <w:sz w:val="21"/>
                <w:szCs w:val="21"/>
                <w:highlight w:val="none"/>
                <w:lang w:val="en-US" w:eastAsia="zh-CN"/>
              </w:rPr>
              <w:t>层间弹塑性位移角限值，可按表6.3.6采用；对框架结构，当钢筋混凝土框架柱的轴压比小于0.40时，可提高10%;当钢筋混凝土柱子全高的箍筋构造采用比现行行业标准《高层建筑混凝土结构技术规程》JGJ 3中框架柱箍筋最小配箍特征值大30%时，可提高20%,但累计不超过25%;当柱子为钢一混凝土组合构件时，型钢的含钢率不小于4%时，可提高25%；</w:t>
            </w:r>
          </w:p>
        </w:tc>
      </w:tr>
      <w:tr w14:paraId="3A808B66">
        <w:tblPrEx>
          <w:tblCellMar>
            <w:top w:w="0" w:type="dxa"/>
            <w:left w:w="0" w:type="dxa"/>
            <w:bottom w:w="0" w:type="dxa"/>
            <w:right w:w="0" w:type="dxa"/>
          </w:tblCellMar>
        </w:tblPrEx>
        <w:trPr>
          <w:trHeight w:val="245" w:hRule="atLeast"/>
        </w:trPr>
        <w:tc>
          <w:tcPr>
            <w:tcW w:w="444" w:type="pct"/>
            <w:noWrap w:val="0"/>
            <w:vAlign w:val="top"/>
          </w:tcPr>
          <w:p w14:paraId="63A6AE32">
            <w:pPr>
              <w:adjustRightInd w:val="0"/>
              <w:snapToGrid w:val="0"/>
              <w:spacing w:line="360" w:lineRule="exact"/>
              <w:jc w:val="left"/>
              <w:rPr>
                <w:color w:val="000000"/>
                <w:szCs w:val="21"/>
                <w:highlight w:val="none"/>
              </w:rPr>
            </w:pPr>
          </w:p>
        </w:tc>
        <w:tc>
          <w:tcPr>
            <w:tcW w:w="548" w:type="pct"/>
            <w:noWrap w:val="0"/>
            <w:vAlign w:val="center"/>
          </w:tcPr>
          <w:p w14:paraId="1EB8EBBF">
            <w:pPr>
              <w:adjustRightInd w:val="0"/>
              <w:snapToGrid w:val="0"/>
              <w:spacing w:line="360" w:lineRule="exact"/>
              <w:jc w:val="center"/>
              <w:rPr>
                <w:rFonts w:hint="default" w:ascii="Cambria Math" w:hAnsi="Cambria Math" w:cs="Cambria Math"/>
                <w:color w:val="000000"/>
                <w:szCs w:val="21"/>
                <w:highlight w:val="none"/>
              </w:rPr>
            </w:pPr>
            <m:oMathPara>
              <m:oMath>
                <m:r>
                  <m:rPr/>
                  <w:rPr>
                    <w:rFonts w:hint="default" w:ascii="Cambria Math" w:hAnsi="Cambria Math"/>
                    <w:color w:val="auto"/>
                    <w:sz w:val="21"/>
                    <w:szCs w:val="21"/>
                    <w:highlight w:val="none"/>
                    <w:lang w:val="en-US" w:eastAsia="zh-CN"/>
                  </w:rPr>
                  <m:t>ℎ</m:t>
                </m:r>
              </m:oMath>
            </m:oMathPara>
          </w:p>
        </w:tc>
        <w:tc>
          <w:tcPr>
            <w:tcW w:w="4007" w:type="pct"/>
            <w:noWrap w:val="0"/>
            <w:vAlign w:val="center"/>
          </w:tcPr>
          <w:p w14:paraId="016E66F4">
            <w:pPr>
              <w:widowControl/>
              <w:adjustRightInd/>
              <w:snapToGrid/>
              <w:spacing w:line="360" w:lineRule="exact"/>
              <w:ind w:left="0" w:firstLine="0" w:firstLineChars="0"/>
              <w:jc w:val="both"/>
              <w:rPr>
                <w:rFonts w:hint="default" w:ascii="Cambria Math" w:hAnsi="Cambria Math" w:cs="Cambria Math"/>
                <w:color w:val="000000"/>
                <w:szCs w:val="21"/>
                <w:highlight w:val="none"/>
              </w:rPr>
            </w:pPr>
            <w:r>
              <w:rPr>
                <w:rFonts w:ascii="Times New Roman" w:hAnsi="Times New Roman"/>
                <w:sz w:val="21"/>
                <w:szCs w:val="21"/>
                <w:highlight w:val="none"/>
              </w:rPr>
              <w:t>——</w:t>
            </w:r>
            <w:r>
              <w:rPr>
                <w:rFonts w:hint="eastAsia" w:hAnsi="Cambria Math"/>
                <w:i w:val="0"/>
                <w:color w:val="auto"/>
                <w:sz w:val="21"/>
                <w:szCs w:val="21"/>
                <w:highlight w:val="none"/>
                <w:lang w:val="en-US" w:eastAsia="zh-CN"/>
              </w:rPr>
              <w:t>层高。</w:t>
            </w:r>
          </w:p>
        </w:tc>
      </w:tr>
    </w:tbl>
    <w:p w14:paraId="15660BE5">
      <w:pPr>
        <w:pStyle w:val="50"/>
        <w:spacing w:line="360" w:lineRule="exact"/>
        <w:rPr>
          <w:color w:val="auto"/>
          <w:highlight w:val="none"/>
        </w:rPr>
      </w:pPr>
      <w:r>
        <w:rPr>
          <w:color w:val="auto"/>
          <w:highlight w:val="none"/>
        </w:rPr>
        <w:t>表</w:t>
      </w:r>
      <w:r>
        <w:rPr>
          <w:b/>
          <w:color w:val="auto"/>
          <w:highlight w:val="none"/>
        </w:rPr>
        <w:t>6.</w:t>
      </w:r>
      <w:r>
        <w:rPr>
          <w:rFonts w:hint="eastAsia"/>
          <w:b/>
          <w:color w:val="auto"/>
          <w:highlight w:val="none"/>
        </w:rPr>
        <w:t>3</w:t>
      </w:r>
      <w:r>
        <w:rPr>
          <w:b/>
          <w:color w:val="auto"/>
          <w:highlight w:val="none"/>
        </w:rPr>
        <w:t>.</w:t>
      </w:r>
      <w:r>
        <w:rPr>
          <w:rFonts w:hint="eastAsia"/>
          <w:b/>
          <w:color w:val="auto"/>
          <w:highlight w:val="none"/>
          <w:lang w:val="en-US" w:eastAsia="zh-CN"/>
        </w:rPr>
        <w:t>6</w:t>
      </w:r>
      <w:r>
        <w:rPr>
          <w:b/>
          <w:color w:val="auto"/>
          <w:highlight w:val="none"/>
        </w:rPr>
        <w:t xml:space="preserve"> </w:t>
      </w:r>
      <w:r>
        <w:rPr>
          <w:color w:val="auto"/>
          <w:highlight w:val="none"/>
        </w:rPr>
        <w:t xml:space="preserve"> 模块化结构楼层层间</w:t>
      </w:r>
      <w:r>
        <w:rPr>
          <w:rFonts w:hint="eastAsia"/>
          <w:color w:val="auto"/>
          <w:highlight w:val="none"/>
          <w:lang w:val="en-US" w:eastAsia="zh-CN"/>
        </w:rPr>
        <w:t>弹塑性位移角</w:t>
      </w:r>
      <w:r>
        <w:rPr>
          <w:color w:val="auto"/>
          <w:highlight w:val="none"/>
        </w:rPr>
        <w:t>限值</w:t>
      </w:r>
    </w:p>
    <w:tbl>
      <w:tblPr>
        <w:tblStyle w:val="25"/>
        <w:tblpPr w:leftFromText="180" w:rightFromText="180" w:vertAnchor="text" w:horzAnchor="margin" w:tblpXSpec="center" w:tblpY="69"/>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90"/>
        <w:gridCol w:w="3009"/>
        <w:gridCol w:w="1535"/>
      </w:tblGrid>
      <w:tr w14:paraId="6C55F7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blHeader/>
          <w:jc w:val="center"/>
        </w:trPr>
        <w:tc>
          <w:tcPr>
            <w:tcW w:w="3748" w:type="pct"/>
            <w:gridSpan w:val="2"/>
            <w:vAlign w:val="center"/>
          </w:tcPr>
          <w:p w14:paraId="08A0CDC2">
            <w:pPr>
              <w:pStyle w:val="49"/>
              <w:rPr>
                <w:rFonts w:hint="eastAsia" w:ascii="宋体" w:hAnsi="宋体" w:eastAsia="宋体" w:cs="宋体"/>
                <w:color w:val="auto"/>
                <w:sz w:val="16"/>
                <w:szCs w:val="22"/>
                <w:highlight w:val="none"/>
                <w:lang w:eastAsia="zh-CN"/>
              </w:rPr>
            </w:pPr>
            <w:r>
              <w:rPr>
                <w:rFonts w:hint="eastAsia" w:ascii="宋体" w:hAnsi="宋体" w:cs="宋体"/>
                <w:color w:val="auto"/>
                <w:sz w:val="16"/>
                <w:szCs w:val="22"/>
                <w:highlight w:val="none"/>
              </w:rPr>
              <w:t>结构</w:t>
            </w:r>
            <w:r>
              <w:rPr>
                <w:rFonts w:hint="eastAsia" w:ascii="宋体" w:hAnsi="宋体" w:cs="宋体"/>
                <w:color w:val="auto"/>
                <w:sz w:val="16"/>
                <w:szCs w:val="22"/>
                <w:highlight w:val="none"/>
                <w:lang w:val="en-US" w:eastAsia="zh-CN"/>
              </w:rPr>
              <w:t>体系</w:t>
            </w:r>
          </w:p>
        </w:tc>
        <w:tc>
          <w:tcPr>
            <w:tcW w:w="1251" w:type="pct"/>
            <w:vAlign w:val="center"/>
          </w:tcPr>
          <w:p w14:paraId="68EC9770">
            <w:pPr>
              <w:pStyle w:val="49"/>
              <w:rPr>
                <w:rFonts w:hint="eastAsia" w:ascii="宋体" w:hAnsi="宋体" w:cs="宋体"/>
                <w:color w:val="auto"/>
                <w:sz w:val="16"/>
                <w:szCs w:val="22"/>
                <w:highlight w:val="none"/>
              </w:rPr>
            </w:pPr>
            <m:oMathPara>
              <m:oMath>
                <m:r>
                  <m:rPr/>
                  <w:rPr>
                    <w:rFonts w:hint="default" w:ascii="Cambria Math" w:hAnsi="Cambria Math"/>
                    <w:color w:val="auto"/>
                    <w:sz w:val="18"/>
                    <w:szCs w:val="28"/>
                    <w:highlight w:val="none"/>
                    <w:lang w:val="en-US" w:eastAsia="zh-CN"/>
                  </w:rPr>
                  <m:t>[</m:t>
                </m:r>
                <m:sSub>
                  <m:sSubPr>
                    <m:ctrlPr>
                      <w:rPr>
                        <w:rFonts w:ascii="Cambria Math" w:hAnsi="Cambria Math"/>
                        <w:i/>
                        <w:color w:val="auto"/>
                        <w:sz w:val="18"/>
                        <w:szCs w:val="28"/>
                        <w:highlight w:val="none"/>
                        <w:lang w:val="en-US"/>
                      </w:rPr>
                    </m:ctrlPr>
                  </m:sSubPr>
                  <m:e>
                    <m:r>
                      <m:rPr/>
                      <w:rPr>
                        <w:rFonts w:ascii="Cambria Math" w:hAnsi="Cambria Math"/>
                        <w:color w:val="auto"/>
                        <w:sz w:val="18"/>
                        <w:szCs w:val="28"/>
                        <w:highlight w:val="none"/>
                        <w:lang w:val="en-US"/>
                      </w:rPr>
                      <m:t>θ</m:t>
                    </m:r>
                    <m:ctrlPr>
                      <w:rPr>
                        <w:rFonts w:ascii="Cambria Math" w:hAnsi="Cambria Math"/>
                        <w:i/>
                        <w:color w:val="auto"/>
                        <w:sz w:val="18"/>
                        <w:szCs w:val="28"/>
                        <w:highlight w:val="none"/>
                        <w:lang w:val="en-US"/>
                      </w:rPr>
                    </m:ctrlPr>
                  </m:e>
                  <m:sub>
                    <m:r>
                      <m:rPr/>
                      <w:rPr>
                        <w:rFonts w:hint="default" w:ascii="Cambria Math" w:hAnsi="Cambria Math"/>
                        <w:color w:val="auto"/>
                        <w:sz w:val="18"/>
                        <w:szCs w:val="28"/>
                        <w:highlight w:val="none"/>
                        <w:lang w:val="en-US" w:eastAsia="zh-CN"/>
                      </w:rPr>
                      <m:t>p</m:t>
                    </m:r>
                    <m:ctrlPr>
                      <w:rPr>
                        <w:rFonts w:ascii="Cambria Math" w:hAnsi="Cambria Math"/>
                        <w:i/>
                        <w:color w:val="auto"/>
                        <w:sz w:val="18"/>
                        <w:szCs w:val="28"/>
                        <w:highlight w:val="none"/>
                        <w:lang w:val="en-US"/>
                      </w:rPr>
                    </m:ctrlPr>
                  </m:sub>
                </m:sSub>
                <m:r>
                  <m:rPr/>
                  <w:rPr>
                    <w:rFonts w:hint="default" w:ascii="Cambria Math" w:hAnsi="Cambria Math"/>
                    <w:color w:val="auto"/>
                    <w:sz w:val="18"/>
                    <w:szCs w:val="28"/>
                    <w:highlight w:val="none"/>
                    <w:lang w:val="en-US" w:eastAsia="zh-CN"/>
                  </w:rPr>
                  <m:t>]</m:t>
                </m:r>
              </m:oMath>
            </m:oMathPara>
          </w:p>
        </w:tc>
      </w:tr>
      <w:tr w14:paraId="254D83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3748" w:type="pct"/>
            <w:gridSpan w:val="2"/>
            <w:vAlign w:val="center"/>
          </w:tcPr>
          <w:p w14:paraId="0AB69815">
            <w:pPr>
              <w:pStyle w:val="49"/>
              <w:rPr>
                <w:rFonts w:hint="eastAsia" w:ascii="宋体" w:hAnsi="宋体" w:cs="宋体"/>
                <w:color w:val="auto"/>
                <w:sz w:val="16"/>
                <w:szCs w:val="22"/>
                <w:highlight w:val="none"/>
              </w:rPr>
            </w:pPr>
            <w:r>
              <w:rPr>
                <w:rFonts w:hint="eastAsia" w:ascii="宋体" w:hAnsi="宋体" w:cs="宋体"/>
                <w:color w:val="auto"/>
                <w:sz w:val="16"/>
                <w:szCs w:val="22"/>
                <w:highlight w:val="none"/>
              </w:rPr>
              <w:t>模块化全预制剪力墙</w:t>
            </w:r>
          </w:p>
        </w:tc>
        <w:tc>
          <w:tcPr>
            <w:tcW w:w="1251" w:type="pct"/>
            <w:vAlign w:val="center"/>
          </w:tcPr>
          <w:p w14:paraId="6561396C">
            <w:pPr>
              <w:pStyle w:val="49"/>
              <w:rPr>
                <w:rFonts w:hint="default" w:ascii="宋体" w:hAnsi="宋体" w:eastAsia="宋体" w:cs="宋体"/>
                <w:color w:val="auto"/>
                <w:sz w:val="16"/>
                <w:szCs w:val="22"/>
                <w:highlight w:val="none"/>
                <w:lang w:val="en-US" w:eastAsia="zh-CN"/>
              </w:rPr>
            </w:pPr>
            <w:r>
              <w:rPr>
                <w:rFonts w:hint="eastAsia" w:ascii="宋体" w:hAnsi="宋体" w:cs="宋体"/>
                <w:color w:val="auto"/>
                <w:sz w:val="16"/>
                <w:szCs w:val="22"/>
                <w:highlight w:val="none"/>
                <w:lang w:val="en-US" w:eastAsia="zh-CN"/>
              </w:rPr>
              <w:t>1/120</w:t>
            </w:r>
          </w:p>
        </w:tc>
      </w:tr>
      <w:tr w14:paraId="2F7810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3748" w:type="pct"/>
            <w:gridSpan w:val="2"/>
            <w:vAlign w:val="center"/>
          </w:tcPr>
          <w:p w14:paraId="797194FC">
            <w:pPr>
              <w:pStyle w:val="49"/>
              <w:rPr>
                <w:rFonts w:hint="eastAsia" w:ascii="宋体" w:hAnsi="宋体" w:cs="宋体"/>
                <w:color w:val="auto"/>
                <w:sz w:val="16"/>
                <w:szCs w:val="22"/>
                <w:highlight w:val="none"/>
              </w:rPr>
            </w:pPr>
            <w:r>
              <w:rPr>
                <w:rFonts w:hint="eastAsia" w:ascii="宋体" w:hAnsi="宋体" w:cs="宋体"/>
                <w:color w:val="auto"/>
                <w:sz w:val="16"/>
                <w:szCs w:val="22"/>
                <w:highlight w:val="none"/>
              </w:rPr>
              <w:t>模块化</w:t>
            </w:r>
            <w:r>
              <w:rPr>
                <w:rFonts w:hint="eastAsia" w:ascii="宋体" w:hAnsi="宋体" w:cs="宋体"/>
                <w:color w:val="auto"/>
                <w:sz w:val="16"/>
                <w:szCs w:val="22"/>
                <w:highlight w:val="none"/>
                <w:lang w:val="en-US" w:eastAsia="zh-CN"/>
              </w:rPr>
              <w:t>框架</w:t>
            </w:r>
          </w:p>
        </w:tc>
        <w:tc>
          <w:tcPr>
            <w:tcW w:w="1251" w:type="pct"/>
            <w:vAlign w:val="center"/>
          </w:tcPr>
          <w:p w14:paraId="7161C261">
            <w:pPr>
              <w:pStyle w:val="49"/>
              <w:rPr>
                <w:rFonts w:hint="default" w:ascii="宋体" w:hAnsi="宋体" w:eastAsia="宋体" w:cs="宋体"/>
                <w:color w:val="auto"/>
                <w:sz w:val="16"/>
                <w:szCs w:val="22"/>
                <w:highlight w:val="none"/>
                <w:lang w:val="en-US" w:eastAsia="zh-CN"/>
              </w:rPr>
            </w:pPr>
            <w:r>
              <w:rPr>
                <w:rFonts w:hint="eastAsia" w:ascii="宋体" w:hAnsi="宋体" w:cs="宋体"/>
                <w:color w:val="auto"/>
                <w:sz w:val="16"/>
                <w:szCs w:val="22"/>
                <w:highlight w:val="none"/>
                <w:lang w:val="en-US" w:eastAsia="zh-CN"/>
              </w:rPr>
              <w:t>1/50</w:t>
            </w:r>
          </w:p>
        </w:tc>
      </w:tr>
      <w:tr w14:paraId="5E0C21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3748" w:type="pct"/>
            <w:gridSpan w:val="2"/>
            <w:vAlign w:val="center"/>
          </w:tcPr>
          <w:p w14:paraId="5CDF0D3B">
            <w:pPr>
              <w:pStyle w:val="49"/>
              <w:rPr>
                <w:rFonts w:hint="default" w:ascii="宋体" w:hAnsi="宋体" w:cs="宋体"/>
                <w:color w:val="auto"/>
                <w:sz w:val="16"/>
                <w:szCs w:val="22"/>
                <w:highlight w:val="none"/>
                <w:lang w:val="en-US"/>
              </w:rPr>
            </w:pPr>
            <w:r>
              <w:rPr>
                <w:rFonts w:hint="eastAsia" w:ascii="宋体" w:hAnsi="宋体" w:cs="宋体"/>
                <w:color w:val="auto"/>
                <w:sz w:val="16"/>
                <w:szCs w:val="22"/>
                <w:highlight w:val="none"/>
              </w:rPr>
              <w:t>模块化</w:t>
            </w:r>
            <w:r>
              <w:rPr>
                <w:rFonts w:hint="eastAsia" w:ascii="宋体" w:hAnsi="宋体" w:cs="宋体"/>
                <w:color w:val="auto"/>
                <w:sz w:val="16"/>
                <w:szCs w:val="22"/>
                <w:highlight w:val="none"/>
                <w:lang w:val="en-US" w:eastAsia="zh-CN"/>
              </w:rPr>
              <w:t>框架-剪力墙</w:t>
            </w:r>
          </w:p>
        </w:tc>
        <w:tc>
          <w:tcPr>
            <w:tcW w:w="1251" w:type="pct"/>
            <w:vAlign w:val="center"/>
          </w:tcPr>
          <w:p w14:paraId="2E41683B">
            <w:pPr>
              <w:pStyle w:val="49"/>
              <w:rPr>
                <w:rFonts w:hint="default" w:ascii="宋体" w:hAnsi="宋体" w:cs="宋体"/>
                <w:color w:val="auto"/>
                <w:sz w:val="16"/>
                <w:szCs w:val="22"/>
                <w:highlight w:val="none"/>
                <w:lang w:val="en-US" w:eastAsia="zh-CN"/>
              </w:rPr>
            </w:pPr>
            <w:r>
              <w:rPr>
                <w:rFonts w:hint="eastAsia" w:ascii="宋体" w:hAnsi="宋体" w:cs="宋体"/>
                <w:color w:val="auto"/>
                <w:sz w:val="16"/>
                <w:szCs w:val="22"/>
                <w:highlight w:val="none"/>
                <w:lang w:val="en-US" w:eastAsia="zh-CN"/>
              </w:rPr>
              <w:t>1/100</w:t>
            </w:r>
          </w:p>
        </w:tc>
      </w:tr>
      <w:tr w14:paraId="5DBCDD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296" w:type="pct"/>
            <w:vAlign w:val="center"/>
          </w:tcPr>
          <w:p w14:paraId="5DBFBBFC">
            <w:pPr>
              <w:pStyle w:val="49"/>
              <w:rPr>
                <w:rFonts w:hint="eastAsia" w:ascii="宋体" w:hAnsi="宋体" w:eastAsia="宋体" w:cs="宋体"/>
                <w:color w:val="auto"/>
                <w:sz w:val="16"/>
                <w:szCs w:val="22"/>
                <w:highlight w:val="none"/>
                <w:lang w:eastAsia="zh-CN"/>
              </w:rPr>
            </w:pPr>
            <w:r>
              <w:rPr>
                <w:rFonts w:hint="eastAsia" w:ascii="宋体" w:hAnsi="宋体" w:cs="宋体"/>
                <w:color w:val="auto"/>
                <w:sz w:val="16"/>
                <w:szCs w:val="22"/>
                <w:highlight w:val="none"/>
              </w:rPr>
              <w:t>模块化叠合剪力墙</w:t>
            </w:r>
            <w:r>
              <w:rPr>
                <w:rFonts w:hint="eastAsia" w:ascii="宋体" w:hAnsi="宋体" w:cs="宋体"/>
                <w:color w:val="auto"/>
                <w:sz w:val="16"/>
                <w:szCs w:val="22"/>
                <w:highlight w:val="none"/>
                <w:lang w:eastAsia="zh-CN"/>
              </w:rPr>
              <w:t>、</w:t>
            </w:r>
            <w:r>
              <w:rPr>
                <w:rFonts w:hint="eastAsia" w:ascii="宋体" w:hAnsi="宋体" w:cs="宋体"/>
                <w:color w:val="auto"/>
                <w:sz w:val="16"/>
                <w:szCs w:val="22"/>
                <w:highlight w:val="none"/>
                <w:lang w:val="en-US" w:eastAsia="zh-CN"/>
              </w:rPr>
              <w:t>模块化现浇剪力墙</w:t>
            </w:r>
          </w:p>
        </w:tc>
        <w:tc>
          <w:tcPr>
            <w:tcW w:w="2452" w:type="pct"/>
            <w:vAlign w:val="center"/>
          </w:tcPr>
          <w:p w14:paraId="6105CA8E">
            <w:pPr>
              <w:pStyle w:val="49"/>
              <w:rPr>
                <w:rFonts w:hint="eastAsia" w:ascii="宋体" w:hAnsi="宋体" w:cs="宋体"/>
                <w:color w:val="auto"/>
                <w:sz w:val="16"/>
                <w:szCs w:val="22"/>
                <w:highlight w:val="none"/>
              </w:rPr>
            </w:pPr>
            <w:r>
              <w:rPr>
                <w:rFonts w:hint="eastAsia" w:ascii="宋体" w:hAnsi="宋体" w:cs="宋体"/>
                <w:color w:val="auto"/>
                <w:sz w:val="16"/>
                <w:szCs w:val="22"/>
                <w:highlight w:val="none"/>
                <w:lang w:val="en-US" w:eastAsia="zh-CN"/>
              </w:rPr>
              <w:t>除框架结构以外的转换层</w:t>
            </w:r>
          </w:p>
        </w:tc>
        <w:tc>
          <w:tcPr>
            <w:tcW w:w="1251" w:type="pct"/>
            <w:vAlign w:val="center"/>
          </w:tcPr>
          <w:p w14:paraId="2AE30821">
            <w:pPr>
              <w:pStyle w:val="49"/>
              <w:rPr>
                <w:rFonts w:hint="default" w:ascii="宋体" w:hAnsi="宋体" w:eastAsia="宋体" w:cs="宋体"/>
                <w:color w:val="auto"/>
                <w:sz w:val="16"/>
                <w:szCs w:val="22"/>
                <w:highlight w:val="none"/>
                <w:lang w:val="en-US" w:eastAsia="zh-CN"/>
              </w:rPr>
            </w:pPr>
            <w:r>
              <w:rPr>
                <w:rFonts w:hint="eastAsia" w:ascii="宋体" w:hAnsi="宋体" w:cs="宋体"/>
                <w:color w:val="auto"/>
                <w:sz w:val="16"/>
                <w:szCs w:val="22"/>
                <w:highlight w:val="none"/>
              </w:rPr>
              <w:t>1/1</w:t>
            </w:r>
            <w:r>
              <w:rPr>
                <w:rFonts w:hint="eastAsia" w:ascii="宋体" w:hAnsi="宋体" w:cs="宋体"/>
                <w:color w:val="auto"/>
                <w:sz w:val="16"/>
                <w:szCs w:val="22"/>
                <w:highlight w:val="none"/>
                <w:lang w:val="en-US" w:eastAsia="zh-CN"/>
              </w:rPr>
              <w:t>20</w:t>
            </w:r>
          </w:p>
        </w:tc>
      </w:tr>
    </w:tbl>
    <w:p w14:paraId="2FAC6FD0">
      <w:pPr>
        <w:widowControl/>
        <w:spacing w:line="360" w:lineRule="exact"/>
        <w:ind w:firstLine="0" w:firstLineChars="0"/>
        <w:rPr>
          <w:rFonts w:hint="eastAsia"/>
          <w:color w:val="auto"/>
          <w:szCs w:val="21"/>
          <w:highlight w:val="none"/>
        </w:rPr>
      </w:pPr>
      <w:r>
        <w:rPr>
          <w:b/>
          <w:color w:val="auto"/>
          <w:szCs w:val="21"/>
          <w:highlight w:val="none"/>
        </w:rPr>
        <w:t>6.</w:t>
      </w:r>
      <w:r>
        <w:rPr>
          <w:rFonts w:hint="eastAsia"/>
          <w:b/>
          <w:color w:val="auto"/>
          <w:szCs w:val="21"/>
          <w:highlight w:val="none"/>
        </w:rPr>
        <w:t>3</w:t>
      </w:r>
      <w:r>
        <w:rPr>
          <w:b/>
          <w:color w:val="auto"/>
          <w:szCs w:val="21"/>
          <w:highlight w:val="none"/>
        </w:rPr>
        <w:t>.</w:t>
      </w:r>
      <w:r>
        <w:rPr>
          <w:rFonts w:hint="eastAsia"/>
          <w:b/>
          <w:color w:val="auto"/>
          <w:szCs w:val="21"/>
          <w:highlight w:val="none"/>
          <w:lang w:val="en-US" w:eastAsia="zh-CN"/>
        </w:rPr>
        <w:t>7</w:t>
      </w:r>
      <w:r>
        <w:rPr>
          <w:b/>
          <w:color w:val="auto"/>
          <w:szCs w:val="21"/>
          <w:highlight w:val="none"/>
        </w:rPr>
        <w:t xml:space="preserve"> </w:t>
      </w:r>
      <w:r>
        <w:rPr>
          <w:color w:val="auto"/>
          <w:szCs w:val="21"/>
          <w:highlight w:val="none"/>
        </w:rPr>
        <w:t xml:space="preserve"> 模块化结构在进行</w:t>
      </w:r>
      <w:r>
        <w:rPr>
          <w:rFonts w:hint="eastAsia"/>
          <w:color w:val="auto"/>
          <w:szCs w:val="21"/>
          <w:highlight w:val="none"/>
        </w:rPr>
        <w:t>地震作用计算时，应计入填充墙对结构刚度的影响。当采用轻质墙板填充墙时，可采用周期折减的方法考虑其对结构刚度的影响，自振周期折减系数可按下列规定取值：</w:t>
      </w:r>
    </w:p>
    <w:p w14:paraId="798EC3E8">
      <w:pPr>
        <w:widowControl/>
        <w:spacing w:line="360" w:lineRule="exact"/>
        <w:ind w:firstLine="422" w:firstLineChars="200"/>
        <w:rPr>
          <w:rFonts w:hint="eastAsia" w:eastAsia="宋体"/>
          <w:color w:val="auto"/>
          <w:szCs w:val="21"/>
          <w:highlight w:val="none"/>
          <w:lang w:eastAsia="zh-CN"/>
        </w:rPr>
      </w:pPr>
      <w:r>
        <w:rPr>
          <w:rFonts w:hint="eastAsia"/>
          <w:b/>
          <w:bCs/>
          <w:color w:val="auto"/>
          <w:szCs w:val="21"/>
          <w:highlight w:val="none"/>
        </w:rPr>
        <w:t>1</w:t>
      </w:r>
      <w:r>
        <w:rPr>
          <w:rFonts w:hint="eastAsia"/>
          <w:color w:val="auto"/>
          <w:szCs w:val="21"/>
          <w:highlight w:val="none"/>
          <w:lang w:val="en-US" w:eastAsia="zh-CN"/>
        </w:rPr>
        <w:t xml:space="preserve">  </w:t>
      </w:r>
      <w:r>
        <w:rPr>
          <w:rFonts w:hint="eastAsia"/>
          <w:color w:val="auto"/>
          <w:szCs w:val="21"/>
          <w:highlight w:val="none"/>
        </w:rPr>
        <w:t>框架结构可取0.6～0.8</w:t>
      </w:r>
      <w:r>
        <w:rPr>
          <w:rFonts w:hint="eastAsia"/>
          <w:color w:val="auto"/>
          <w:szCs w:val="21"/>
          <w:highlight w:val="none"/>
          <w:lang w:eastAsia="zh-CN"/>
        </w:rPr>
        <w:t>；</w:t>
      </w:r>
    </w:p>
    <w:p w14:paraId="1D94C4F5">
      <w:pPr>
        <w:widowControl/>
        <w:spacing w:line="360" w:lineRule="exact"/>
        <w:ind w:firstLine="422" w:firstLineChars="200"/>
        <w:rPr>
          <w:rFonts w:hint="eastAsia" w:eastAsia="宋体"/>
          <w:color w:val="auto"/>
          <w:szCs w:val="21"/>
          <w:highlight w:val="none"/>
          <w:lang w:eastAsia="zh-CN"/>
        </w:rPr>
      </w:pPr>
      <w:r>
        <w:rPr>
          <w:rFonts w:hint="eastAsia"/>
          <w:b/>
          <w:bCs/>
          <w:color w:val="auto"/>
          <w:szCs w:val="21"/>
          <w:highlight w:val="none"/>
        </w:rPr>
        <w:t>2</w:t>
      </w:r>
      <w:r>
        <w:rPr>
          <w:rFonts w:hint="eastAsia"/>
          <w:color w:val="auto"/>
          <w:szCs w:val="21"/>
          <w:highlight w:val="none"/>
          <w:lang w:val="en-US" w:eastAsia="zh-CN"/>
        </w:rPr>
        <w:t xml:space="preserve">  </w:t>
      </w:r>
      <w:r>
        <w:rPr>
          <w:rFonts w:hint="eastAsia"/>
          <w:color w:val="auto"/>
          <w:szCs w:val="21"/>
          <w:highlight w:val="none"/>
        </w:rPr>
        <w:t>框架-剪力墙结构可取0.7～0.9</w:t>
      </w:r>
      <w:r>
        <w:rPr>
          <w:rFonts w:hint="eastAsia"/>
          <w:color w:val="auto"/>
          <w:szCs w:val="21"/>
          <w:highlight w:val="none"/>
          <w:lang w:eastAsia="zh-CN"/>
        </w:rPr>
        <w:t>；</w:t>
      </w:r>
    </w:p>
    <w:p w14:paraId="0CCE135D">
      <w:pPr>
        <w:widowControl/>
        <w:spacing w:line="360" w:lineRule="exact"/>
        <w:ind w:firstLine="422" w:firstLineChars="200"/>
        <w:rPr>
          <w:rFonts w:hint="eastAsia"/>
          <w:color w:val="auto"/>
          <w:szCs w:val="21"/>
          <w:highlight w:val="none"/>
        </w:rPr>
      </w:pPr>
      <w:r>
        <w:rPr>
          <w:rFonts w:hint="eastAsia"/>
          <w:b/>
          <w:bCs/>
          <w:color w:val="auto"/>
          <w:szCs w:val="21"/>
          <w:highlight w:val="none"/>
          <w:lang w:val="en-US" w:eastAsia="zh-CN"/>
        </w:rPr>
        <w:t>3</w:t>
      </w:r>
      <w:r>
        <w:rPr>
          <w:rFonts w:hint="eastAsia"/>
          <w:color w:val="auto"/>
          <w:szCs w:val="21"/>
          <w:highlight w:val="none"/>
          <w:lang w:val="en-US" w:eastAsia="zh-CN"/>
        </w:rPr>
        <w:t xml:space="preserve">  </w:t>
      </w:r>
      <w:r>
        <w:rPr>
          <w:rFonts w:hint="eastAsia"/>
          <w:color w:val="auto"/>
          <w:szCs w:val="21"/>
          <w:highlight w:val="none"/>
        </w:rPr>
        <w:t>剪力墙结构可取0.8～1.0。</w:t>
      </w:r>
    </w:p>
    <w:p w14:paraId="1DDFD3A1">
      <w:pPr>
        <w:widowControl/>
        <w:spacing w:line="360" w:lineRule="exact"/>
        <w:ind w:firstLine="420" w:firstLineChars="200"/>
        <w:rPr>
          <w:rFonts w:hint="eastAsia"/>
          <w:color w:val="auto"/>
          <w:szCs w:val="21"/>
          <w:highlight w:val="none"/>
        </w:rPr>
      </w:pPr>
      <w:r>
        <w:rPr>
          <w:rFonts w:hint="eastAsia"/>
          <w:color w:val="auto"/>
          <w:szCs w:val="21"/>
          <w:highlight w:val="none"/>
        </w:rPr>
        <w:t>填充墙较少或采用柔性填充墙时，周期折减系数可取0.9～1.0</w:t>
      </w:r>
      <w:r>
        <w:rPr>
          <w:rFonts w:hint="eastAsia"/>
          <w:color w:val="auto"/>
          <w:szCs w:val="21"/>
          <w:highlight w:val="none"/>
          <w:lang w:eastAsia="zh-CN"/>
        </w:rPr>
        <w:t>；</w:t>
      </w:r>
      <w:r>
        <w:rPr>
          <w:rFonts w:hint="eastAsia"/>
          <w:color w:val="auto"/>
          <w:szCs w:val="21"/>
          <w:highlight w:val="none"/>
        </w:rPr>
        <w:t>对于其他结构体系或采用其他非承重墙体时，可根据工程实际情况确定周期折减系数。</w:t>
      </w:r>
    </w:p>
    <w:p w14:paraId="7BA9F478">
      <w:pPr>
        <w:widowControl/>
        <w:spacing w:line="360" w:lineRule="exact"/>
        <w:rPr>
          <w:color w:val="auto"/>
          <w:szCs w:val="21"/>
          <w:highlight w:val="none"/>
        </w:rPr>
      </w:pPr>
      <w:bookmarkStart w:id="462" w:name="_Toc7135"/>
      <w:r>
        <w:rPr>
          <w:b/>
          <w:color w:val="auto"/>
          <w:szCs w:val="21"/>
          <w:highlight w:val="none"/>
        </w:rPr>
        <w:t>6.</w:t>
      </w:r>
      <w:r>
        <w:rPr>
          <w:rFonts w:hint="eastAsia"/>
          <w:b/>
          <w:color w:val="auto"/>
          <w:szCs w:val="21"/>
          <w:highlight w:val="none"/>
        </w:rPr>
        <w:t>3</w:t>
      </w:r>
      <w:r>
        <w:rPr>
          <w:b/>
          <w:color w:val="auto"/>
          <w:szCs w:val="21"/>
          <w:highlight w:val="none"/>
        </w:rPr>
        <w:t>.</w:t>
      </w:r>
      <w:r>
        <w:rPr>
          <w:rFonts w:hint="eastAsia"/>
          <w:b/>
          <w:color w:val="auto"/>
          <w:szCs w:val="21"/>
          <w:highlight w:val="none"/>
          <w:lang w:val="en-US" w:eastAsia="zh-CN"/>
        </w:rPr>
        <w:t>8</w:t>
      </w:r>
      <w:r>
        <w:rPr>
          <w:b/>
          <w:color w:val="auto"/>
          <w:szCs w:val="21"/>
          <w:highlight w:val="none"/>
        </w:rPr>
        <w:t xml:space="preserve"> </w:t>
      </w:r>
      <w:r>
        <w:rPr>
          <w:rFonts w:hint="eastAsia"/>
          <w:color w:val="auto"/>
          <w:szCs w:val="21"/>
          <w:highlight w:val="none"/>
        </w:rPr>
        <w:t xml:space="preserve"> </w:t>
      </w:r>
      <w:r>
        <w:rPr>
          <w:color w:val="auto"/>
          <w:szCs w:val="21"/>
          <w:highlight w:val="none"/>
        </w:rPr>
        <w:t>楼面梁不宜与剪力墙在剪力墙平面外单侧连接，当楼面梁与剪力墙在平面外单侧连接不能避免时，宜采用铰接或在梁与剪力墙相交处设置暗柱或扶壁柱。</w:t>
      </w:r>
      <w:bookmarkEnd w:id="462"/>
    </w:p>
    <w:p w14:paraId="05819557">
      <w:pPr>
        <w:widowControl/>
        <w:spacing w:line="360" w:lineRule="exact"/>
        <w:rPr>
          <w:color w:val="auto"/>
          <w:szCs w:val="21"/>
          <w:highlight w:val="none"/>
        </w:rPr>
      </w:pPr>
      <w:r>
        <w:rPr>
          <w:b/>
          <w:color w:val="auto"/>
          <w:szCs w:val="21"/>
          <w:highlight w:val="none"/>
        </w:rPr>
        <w:t>6.</w:t>
      </w:r>
      <w:r>
        <w:rPr>
          <w:rFonts w:hint="eastAsia"/>
          <w:b/>
          <w:color w:val="auto"/>
          <w:szCs w:val="21"/>
          <w:highlight w:val="none"/>
        </w:rPr>
        <w:t>3</w:t>
      </w:r>
      <w:r>
        <w:rPr>
          <w:b/>
          <w:color w:val="auto"/>
          <w:szCs w:val="21"/>
          <w:highlight w:val="none"/>
        </w:rPr>
        <w:t>.</w:t>
      </w:r>
      <w:r>
        <w:rPr>
          <w:rFonts w:hint="eastAsia"/>
          <w:b/>
          <w:color w:val="auto"/>
          <w:szCs w:val="21"/>
          <w:highlight w:val="none"/>
          <w:lang w:val="en-US" w:eastAsia="zh-CN"/>
        </w:rPr>
        <w:t>9</w:t>
      </w:r>
      <w:r>
        <w:rPr>
          <w:b/>
          <w:color w:val="auto"/>
          <w:szCs w:val="21"/>
          <w:highlight w:val="none"/>
        </w:rPr>
        <w:t xml:space="preserve"> </w:t>
      </w:r>
      <w:r>
        <w:rPr>
          <w:rFonts w:hint="eastAsia"/>
          <w:color w:val="auto"/>
          <w:szCs w:val="21"/>
          <w:highlight w:val="none"/>
        </w:rPr>
        <w:t xml:space="preserve"> </w:t>
      </w:r>
      <w:r>
        <w:rPr>
          <w:color w:val="auto"/>
          <w:szCs w:val="21"/>
          <w:highlight w:val="none"/>
        </w:rPr>
        <w:t xml:space="preserve">模块化叠合剪力墙结构中采用较多短肢剪力墙时，应符合下列规定： </w:t>
      </w:r>
    </w:p>
    <w:p w14:paraId="20D148F4">
      <w:pPr>
        <w:spacing w:line="360" w:lineRule="exact"/>
        <w:ind w:firstLine="422" w:firstLineChars="200"/>
        <w:rPr>
          <w:color w:val="auto"/>
          <w:szCs w:val="21"/>
          <w:highlight w:val="none"/>
        </w:rPr>
      </w:pPr>
      <w:bookmarkStart w:id="463" w:name="_Toc4251"/>
      <w:bookmarkStart w:id="464" w:name="_Toc18061"/>
      <w:r>
        <w:rPr>
          <w:b/>
          <w:bCs/>
          <w:color w:val="auto"/>
          <w:szCs w:val="21"/>
          <w:highlight w:val="none"/>
        </w:rPr>
        <w:t>1</w:t>
      </w:r>
      <w:r>
        <w:rPr>
          <w:color w:val="auto"/>
          <w:szCs w:val="21"/>
          <w:highlight w:val="none"/>
        </w:rPr>
        <w:t xml:space="preserve"> </w:t>
      </w:r>
      <w:r>
        <w:rPr>
          <w:rFonts w:hint="eastAsia"/>
          <w:color w:val="auto"/>
          <w:szCs w:val="21"/>
          <w:highlight w:val="none"/>
        </w:rPr>
        <w:t xml:space="preserve"> </w:t>
      </w:r>
      <w:r>
        <w:rPr>
          <w:color w:val="auto"/>
          <w:szCs w:val="21"/>
          <w:highlight w:val="none"/>
        </w:rPr>
        <w:t>在规定水平地震力作用下，短肢剪力墙承担的底部倾覆力矩不宜大于结构底部总倾覆力矩的 50%</w:t>
      </w:r>
      <w:bookmarkEnd w:id="463"/>
      <w:bookmarkEnd w:id="464"/>
      <w:r>
        <w:rPr>
          <w:rFonts w:hint="eastAsia"/>
          <w:color w:val="auto"/>
          <w:szCs w:val="21"/>
          <w:highlight w:val="none"/>
          <w:lang w:eastAsia="zh-CN"/>
        </w:rPr>
        <w:t>。</w:t>
      </w:r>
      <w:r>
        <w:rPr>
          <w:color w:val="auto"/>
          <w:szCs w:val="21"/>
          <w:highlight w:val="none"/>
        </w:rPr>
        <w:t xml:space="preserve"> </w:t>
      </w:r>
    </w:p>
    <w:p w14:paraId="7C188135">
      <w:pPr>
        <w:spacing w:line="360" w:lineRule="exact"/>
        <w:ind w:firstLine="422" w:firstLineChars="200"/>
        <w:rPr>
          <w:color w:val="auto"/>
          <w:szCs w:val="21"/>
          <w:highlight w:val="none"/>
        </w:rPr>
      </w:pPr>
      <w:bookmarkStart w:id="465" w:name="_Toc27594"/>
      <w:bookmarkStart w:id="466" w:name="_Toc20143"/>
      <w:r>
        <w:rPr>
          <w:b/>
          <w:bCs/>
          <w:color w:val="auto"/>
          <w:szCs w:val="21"/>
          <w:highlight w:val="none"/>
        </w:rPr>
        <w:t>2</w:t>
      </w:r>
      <w:r>
        <w:rPr>
          <w:color w:val="auto"/>
          <w:szCs w:val="21"/>
          <w:highlight w:val="none"/>
        </w:rPr>
        <w:t xml:space="preserve"> </w:t>
      </w:r>
      <w:r>
        <w:rPr>
          <w:rFonts w:hint="eastAsia"/>
          <w:color w:val="auto"/>
          <w:szCs w:val="21"/>
          <w:highlight w:val="none"/>
        </w:rPr>
        <w:t xml:space="preserve"> </w:t>
      </w:r>
      <w:r>
        <w:rPr>
          <w:color w:val="auto"/>
          <w:szCs w:val="21"/>
          <w:highlight w:val="none"/>
        </w:rPr>
        <w:t>建筑适用高度应比</w:t>
      </w:r>
      <w:r>
        <w:rPr>
          <w:rFonts w:hint="eastAsia"/>
          <w:color w:val="auto"/>
          <w:szCs w:val="21"/>
          <w:highlight w:val="none"/>
          <w:lang w:eastAsia="zh-CN"/>
        </w:rPr>
        <w:t>本标准</w:t>
      </w:r>
      <w:r>
        <w:rPr>
          <w:color w:val="auto"/>
          <w:szCs w:val="21"/>
          <w:highlight w:val="none"/>
        </w:rPr>
        <w:t>第</w:t>
      </w:r>
      <w:r>
        <w:rPr>
          <w:rFonts w:hint="eastAsia"/>
          <w:color w:val="auto"/>
          <w:szCs w:val="21"/>
          <w:highlight w:val="none"/>
        </w:rPr>
        <w:t>6.1.2</w:t>
      </w:r>
      <w:r>
        <w:rPr>
          <w:color w:val="auto"/>
          <w:szCs w:val="21"/>
          <w:highlight w:val="none"/>
        </w:rPr>
        <w:t>条规定的最大适用高度降低 20m。</w:t>
      </w:r>
      <w:bookmarkEnd w:id="465"/>
      <w:bookmarkEnd w:id="466"/>
    </w:p>
    <w:p w14:paraId="19EB86D4">
      <w:pPr>
        <w:widowControl/>
        <w:spacing w:line="360" w:lineRule="exact"/>
        <w:rPr>
          <w:color w:val="auto"/>
          <w:szCs w:val="21"/>
          <w:highlight w:val="none"/>
        </w:rPr>
      </w:pPr>
      <w:r>
        <w:rPr>
          <w:b/>
          <w:color w:val="auto"/>
          <w:szCs w:val="21"/>
          <w:highlight w:val="none"/>
        </w:rPr>
        <w:t>6.</w:t>
      </w:r>
      <w:r>
        <w:rPr>
          <w:rFonts w:hint="eastAsia"/>
          <w:b/>
          <w:color w:val="auto"/>
          <w:szCs w:val="21"/>
          <w:highlight w:val="none"/>
        </w:rPr>
        <w:t>3</w:t>
      </w:r>
      <w:r>
        <w:rPr>
          <w:b/>
          <w:color w:val="auto"/>
          <w:szCs w:val="21"/>
          <w:highlight w:val="none"/>
        </w:rPr>
        <w:t>.</w:t>
      </w:r>
      <w:r>
        <w:rPr>
          <w:rFonts w:hint="eastAsia"/>
          <w:b/>
          <w:color w:val="auto"/>
          <w:szCs w:val="21"/>
          <w:highlight w:val="none"/>
          <w:lang w:val="en-US" w:eastAsia="zh-CN"/>
        </w:rPr>
        <w:t>10</w:t>
      </w:r>
      <w:r>
        <w:rPr>
          <w:b/>
          <w:color w:val="auto"/>
          <w:szCs w:val="21"/>
          <w:highlight w:val="none"/>
        </w:rPr>
        <w:t xml:space="preserve"> </w:t>
      </w:r>
      <w:r>
        <w:rPr>
          <w:rFonts w:hint="eastAsia"/>
          <w:color w:val="auto"/>
          <w:szCs w:val="21"/>
          <w:highlight w:val="none"/>
        </w:rPr>
        <w:t xml:space="preserve"> </w:t>
      </w:r>
      <w:r>
        <w:rPr>
          <w:color w:val="auto"/>
          <w:szCs w:val="21"/>
          <w:highlight w:val="none"/>
        </w:rPr>
        <w:t>模块化结构的楼、屋盖系统的分析计算和截面设计，应符合现行国家标准《</w:t>
      </w:r>
      <w:r>
        <w:rPr>
          <w:rFonts w:hint="eastAsia"/>
          <w:color w:val="auto"/>
          <w:szCs w:val="21"/>
          <w:highlight w:val="none"/>
          <w:lang w:eastAsia="zh-CN"/>
        </w:rPr>
        <w:t>混凝土结构设计标准</w:t>
      </w:r>
      <w:r>
        <w:rPr>
          <w:color w:val="auto"/>
          <w:szCs w:val="21"/>
          <w:highlight w:val="none"/>
        </w:rPr>
        <w:t>》</w:t>
      </w:r>
      <w:r>
        <w:rPr>
          <w:rFonts w:hint="eastAsia"/>
          <w:color w:val="auto"/>
          <w:szCs w:val="21"/>
          <w:highlight w:val="none"/>
        </w:rPr>
        <w:t>GB/T 50010</w:t>
      </w:r>
      <w:r>
        <w:rPr>
          <w:color w:val="auto"/>
          <w:szCs w:val="21"/>
          <w:highlight w:val="none"/>
        </w:rPr>
        <w:t>、《建筑抗震设计规范》GB 50011的有关规定外，尚应符合下列规定：</w:t>
      </w:r>
    </w:p>
    <w:p w14:paraId="221232ED">
      <w:pPr>
        <w:spacing w:line="360" w:lineRule="exact"/>
        <w:ind w:firstLine="422" w:firstLineChars="200"/>
        <w:rPr>
          <w:rFonts w:hint="eastAsia" w:eastAsia="宋体"/>
          <w:color w:val="auto"/>
          <w:szCs w:val="21"/>
          <w:highlight w:val="none"/>
          <w:lang w:eastAsia="zh-CN"/>
        </w:rPr>
      </w:pPr>
      <w:bookmarkStart w:id="467" w:name="_Toc19154"/>
      <w:bookmarkStart w:id="468" w:name="_Toc26603"/>
      <w:bookmarkStart w:id="469" w:name="_Toc11262"/>
      <w:bookmarkStart w:id="470" w:name="_Toc29937"/>
      <w:bookmarkStart w:id="471" w:name="_Toc20602"/>
      <w:r>
        <w:rPr>
          <w:b/>
          <w:bCs/>
          <w:color w:val="auto"/>
          <w:szCs w:val="21"/>
          <w:highlight w:val="none"/>
        </w:rPr>
        <w:t>1</w:t>
      </w:r>
      <w:r>
        <w:rPr>
          <w:color w:val="auto"/>
          <w:szCs w:val="21"/>
          <w:highlight w:val="none"/>
        </w:rPr>
        <w:t xml:space="preserve"> </w:t>
      </w:r>
      <w:bookmarkStart w:id="472" w:name="OLE_LINK23"/>
      <w:r>
        <w:rPr>
          <w:rFonts w:hint="eastAsia"/>
          <w:color w:val="auto"/>
          <w:szCs w:val="21"/>
          <w:highlight w:val="none"/>
          <w:lang w:val="en-US" w:eastAsia="zh-CN"/>
        </w:rPr>
        <w:t xml:space="preserve"> </w:t>
      </w:r>
      <w:r>
        <w:rPr>
          <w:color w:val="auto"/>
          <w:szCs w:val="21"/>
          <w:highlight w:val="none"/>
        </w:rPr>
        <w:t>楼盖</w:t>
      </w:r>
      <w:bookmarkEnd w:id="472"/>
      <w:r>
        <w:rPr>
          <w:color w:val="auto"/>
          <w:szCs w:val="21"/>
          <w:highlight w:val="none"/>
        </w:rPr>
        <w:t>、屋盖体系宜选用双向楼盖</w:t>
      </w:r>
      <w:bookmarkEnd w:id="467"/>
      <w:bookmarkEnd w:id="468"/>
      <w:bookmarkEnd w:id="469"/>
      <w:bookmarkEnd w:id="470"/>
      <w:bookmarkEnd w:id="471"/>
      <w:r>
        <w:rPr>
          <w:rFonts w:hint="eastAsia"/>
          <w:color w:val="auto"/>
          <w:szCs w:val="21"/>
          <w:highlight w:val="none"/>
          <w:lang w:eastAsia="zh-CN"/>
        </w:rPr>
        <w:t>。</w:t>
      </w:r>
    </w:p>
    <w:p w14:paraId="2B160B55">
      <w:pPr>
        <w:spacing w:line="360" w:lineRule="exact"/>
        <w:ind w:firstLine="422" w:firstLineChars="200"/>
        <w:rPr>
          <w:color w:val="auto"/>
          <w:szCs w:val="21"/>
          <w:highlight w:val="none"/>
        </w:rPr>
      </w:pPr>
      <w:bookmarkStart w:id="473" w:name="_Toc30125"/>
      <w:bookmarkStart w:id="474" w:name="_Toc29243"/>
      <w:r>
        <w:rPr>
          <w:b/>
          <w:bCs/>
          <w:color w:val="auto"/>
          <w:szCs w:val="21"/>
          <w:highlight w:val="none"/>
        </w:rPr>
        <w:t>2</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楼盖、屋盖体系应与竖向结构构件有可靠的连接，保证结构的整体性。</w:t>
      </w:r>
      <w:bookmarkEnd w:id="473"/>
      <w:bookmarkEnd w:id="474"/>
    </w:p>
    <w:p w14:paraId="6581879B">
      <w:pPr>
        <w:widowControl/>
        <w:spacing w:line="360" w:lineRule="exact"/>
        <w:rPr>
          <w:color w:val="auto"/>
          <w:szCs w:val="21"/>
          <w:highlight w:val="none"/>
        </w:rPr>
      </w:pPr>
      <w:r>
        <w:rPr>
          <w:b/>
          <w:color w:val="auto"/>
          <w:szCs w:val="21"/>
          <w:highlight w:val="none"/>
        </w:rPr>
        <w:t>6.</w:t>
      </w:r>
      <w:r>
        <w:rPr>
          <w:rFonts w:hint="eastAsia"/>
          <w:b/>
          <w:color w:val="auto"/>
          <w:szCs w:val="21"/>
          <w:highlight w:val="none"/>
        </w:rPr>
        <w:t>3</w:t>
      </w:r>
      <w:r>
        <w:rPr>
          <w:b/>
          <w:color w:val="auto"/>
          <w:szCs w:val="21"/>
          <w:highlight w:val="none"/>
        </w:rPr>
        <w:t>.</w:t>
      </w:r>
      <w:r>
        <w:rPr>
          <w:rFonts w:hint="eastAsia"/>
          <w:b/>
          <w:color w:val="auto"/>
          <w:szCs w:val="21"/>
          <w:highlight w:val="none"/>
        </w:rPr>
        <w:t>1</w:t>
      </w:r>
      <w:r>
        <w:rPr>
          <w:rFonts w:hint="eastAsia"/>
          <w:b/>
          <w:color w:val="auto"/>
          <w:szCs w:val="21"/>
          <w:highlight w:val="none"/>
          <w:lang w:val="en-US" w:eastAsia="zh-CN"/>
        </w:rPr>
        <w:t>1</w:t>
      </w:r>
      <w:r>
        <w:rPr>
          <w:b/>
          <w:color w:val="auto"/>
          <w:szCs w:val="21"/>
          <w:highlight w:val="none"/>
        </w:rPr>
        <w:t xml:space="preserve"> </w:t>
      </w:r>
      <w:r>
        <w:rPr>
          <w:rFonts w:hint="eastAsia"/>
          <w:b/>
          <w:color w:val="auto"/>
          <w:szCs w:val="21"/>
          <w:highlight w:val="none"/>
          <w:lang w:val="en-US" w:eastAsia="zh-CN"/>
        </w:rPr>
        <w:t xml:space="preserve"> </w:t>
      </w:r>
      <w:r>
        <w:rPr>
          <w:color w:val="auto"/>
          <w:szCs w:val="21"/>
          <w:highlight w:val="none"/>
        </w:rPr>
        <w:t>模块化结构构件及节点应进行承载能力极限状态及正常使用极限状态设计，并应符合现行国家标准《</w:t>
      </w:r>
      <w:r>
        <w:rPr>
          <w:rFonts w:hint="eastAsia"/>
          <w:color w:val="auto"/>
          <w:szCs w:val="21"/>
          <w:highlight w:val="none"/>
          <w:lang w:eastAsia="zh-CN"/>
        </w:rPr>
        <w:t>混凝土结构设计标准</w:t>
      </w:r>
      <w:r>
        <w:rPr>
          <w:color w:val="auto"/>
          <w:szCs w:val="21"/>
          <w:highlight w:val="none"/>
        </w:rPr>
        <w:t>》GB50010、《建筑抗震设计规范》GB50011和《混凝土结构工程施工规范》GB 50666等的有关规定。</w:t>
      </w:r>
    </w:p>
    <w:p w14:paraId="6ACDFEF2">
      <w:pPr>
        <w:widowControl/>
        <w:spacing w:line="360" w:lineRule="exact"/>
        <w:rPr>
          <w:color w:val="auto"/>
          <w:szCs w:val="21"/>
          <w:highlight w:val="none"/>
        </w:rPr>
      </w:pPr>
      <w:r>
        <w:rPr>
          <w:b/>
          <w:color w:val="auto"/>
          <w:szCs w:val="21"/>
          <w:highlight w:val="none"/>
        </w:rPr>
        <w:t>6.</w:t>
      </w:r>
      <w:r>
        <w:rPr>
          <w:rFonts w:hint="eastAsia"/>
          <w:b/>
          <w:color w:val="auto"/>
          <w:szCs w:val="21"/>
          <w:highlight w:val="none"/>
        </w:rPr>
        <w:t>3</w:t>
      </w:r>
      <w:r>
        <w:rPr>
          <w:b/>
          <w:color w:val="auto"/>
          <w:szCs w:val="21"/>
          <w:highlight w:val="none"/>
        </w:rPr>
        <w:t>.</w:t>
      </w:r>
      <w:r>
        <w:rPr>
          <w:rFonts w:hint="eastAsia"/>
          <w:b/>
          <w:color w:val="auto"/>
          <w:szCs w:val="21"/>
          <w:highlight w:val="none"/>
        </w:rPr>
        <w:t>1</w:t>
      </w:r>
      <w:r>
        <w:rPr>
          <w:rFonts w:hint="eastAsia"/>
          <w:b/>
          <w:color w:val="auto"/>
          <w:szCs w:val="21"/>
          <w:highlight w:val="none"/>
          <w:lang w:val="en-US" w:eastAsia="zh-CN"/>
        </w:rPr>
        <w:t xml:space="preserve">2  </w:t>
      </w:r>
      <w:r>
        <w:rPr>
          <w:color w:val="auto"/>
          <w:szCs w:val="21"/>
          <w:highlight w:val="none"/>
        </w:rPr>
        <w:t>模块单元中的预制非结构构件与预制承重构件或现浇承重构件之间宜采用柔性连接。当预制非结构构件与预制承重构件或现浇承重构件之间未采取柔性连接措施时，承重结构构件设计应考虑预制非结构构件的不利影响。预制非结构构件的抗震设计应符合现行国家标准《建筑抗震设计规范》GB 50011中对非结构构件的有关规定。</w:t>
      </w:r>
    </w:p>
    <w:p w14:paraId="3D39E8B1">
      <w:pPr>
        <w:widowControl/>
        <w:spacing w:line="360" w:lineRule="exact"/>
        <w:rPr>
          <w:color w:val="auto"/>
          <w:szCs w:val="21"/>
          <w:highlight w:val="none"/>
        </w:rPr>
      </w:pPr>
      <w:r>
        <w:rPr>
          <w:b/>
          <w:color w:val="auto"/>
          <w:szCs w:val="21"/>
          <w:highlight w:val="none"/>
        </w:rPr>
        <w:t>6.</w:t>
      </w:r>
      <w:r>
        <w:rPr>
          <w:rFonts w:hint="eastAsia"/>
          <w:b/>
          <w:color w:val="auto"/>
          <w:szCs w:val="21"/>
          <w:highlight w:val="none"/>
        </w:rPr>
        <w:t>3</w:t>
      </w:r>
      <w:r>
        <w:rPr>
          <w:b/>
          <w:color w:val="auto"/>
          <w:szCs w:val="21"/>
          <w:highlight w:val="none"/>
        </w:rPr>
        <w:t>.</w:t>
      </w:r>
      <w:r>
        <w:rPr>
          <w:rFonts w:hint="eastAsia"/>
          <w:b/>
          <w:color w:val="auto"/>
          <w:szCs w:val="21"/>
          <w:highlight w:val="none"/>
        </w:rPr>
        <w:t>1</w:t>
      </w:r>
      <w:r>
        <w:rPr>
          <w:rFonts w:hint="eastAsia"/>
          <w:b/>
          <w:color w:val="auto"/>
          <w:szCs w:val="21"/>
          <w:highlight w:val="none"/>
          <w:lang w:val="en-US" w:eastAsia="zh-CN"/>
        </w:rPr>
        <w:t xml:space="preserve">3  </w:t>
      </w:r>
      <w:r>
        <w:rPr>
          <w:color w:val="auto"/>
          <w:szCs w:val="21"/>
          <w:highlight w:val="none"/>
        </w:rPr>
        <w:t>阳台板、空调板等悬挑结构宜与模块整体预制。当采用叠合构件时，叠合构件</w:t>
      </w:r>
      <w:bookmarkStart w:id="475" w:name="OLE_LINK118"/>
      <w:r>
        <w:rPr>
          <w:color w:val="auto"/>
          <w:szCs w:val="21"/>
          <w:highlight w:val="none"/>
        </w:rPr>
        <w:t>的负弯矩钢筋应在相邻叠合板的</w:t>
      </w:r>
      <w:bookmarkEnd w:id="475"/>
      <w:r>
        <w:rPr>
          <w:color w:val="auto"/>
          <w:szCs w:val="21"/>
          <w:highlight w:val="none"/>
        </w:rPr>
        <w:t>后浇混凝土中可靠锚固。</w:t>
      </w:r>
    </w:p>
    <w:p w14:paraId="340C6F55">
      <w:pPr>
        <w:pStyle w:val="3"/>
        <w:spacing w:before="166" w:beforeLines="50" w:after="166" w:afterLines="50" w:line="360" w:lineRule="auto"/>
        <w:jc w:val="center"/>
        <w:rPr>
          <w:rFonts w:ascii="Times New Roman" w:hAnsi="Times New Roman" w:eastAsia="黑体" w:cs="Times New Roman"/>
          <w:color w:val="auto"/>
          <w:sz w:val="24"/>
          <w:szCs w:val="24"/>
          <w:highlight w:val="none"/>
        </w:rPr>
      </w:pPr>
      <w:bookmarkStart w:id="476" w:name="_Toc12393"/>
      <w:bookmarkStart w:id="477" w:name="_Toc19146"/>
      <w:bookmarkStart w:id="478" w:name="_Toc23003"/>
      <w:bookmarkStart w:id="479" w:name="_Toc6744"/>
      <w:bookmarkStart w:id="480" w:name="_Toc17389"/>
      <w:bookmarkStart w:id="481" w:name="_Toc7300"/>
      <w:bookmarkStart w:id="482" w:name="_Toc3377"/>
      <w:bookmarkStart w:id="483" w:name="_Toc18778"/>
      <w:bookmarkStart w:id="484" w:name="_Toc17960"/>
      <w:bookmarkStart w:id="485" w:name="_Toc15329"/>
      <w:bookmarkStart w:id="486" w:name="_Toc24508"/>
      <w:bookmarkStart w:id="487" w:name="_Toc1652"/>
      <w:bookmarkStart w:id="488" w:name="_Toc6461"/>
      <w:r>
        <w:rPr>
          <w:rFonts w:hint="eastAsia" w:ascii="Times New Roman" w:hAnsi="Times New Roman" w:eastAsia="黑体" w:cs="Times New Roman"/>
          <w:b/>
          <w:color w:val="auto"/>
          <w:sz w:val="24"/>
          <w:szCs w:val="24"/>
          <w:highlight w:val="none"/>
        </w:rPr>
        <w:t>6.</w:t>
      </w:r>
      <w:r>
        <w:rPr>
          <w:rFonts w:hint="eastAsia" w:ascii="Times New Roman" w:hAnsi="Times New Roman" w:eastAsia="黑体" w:cs="Times New Roman"/>
          <w:b/>
          <w:color w:val="auto"/>
          <w:sz w:val="24"/>
          <w:szCs w:val="24"/>
          <w:highlight w:val="none"/>
          <w:lang w:val="en-US" w:eastAsia="zh-CN"/>
        </w:rPr>
        <w:t>4</w:t>
      </w:r>
      <w:r>
        <w:rPr>
          <w:rFonts w:hint="eastAsia" w:ascii="Times New Roman" w:hAnsi="Times New Roman" w:eastAsia="黑体" w:cs="Times New Roman"/>
          <w:b/>
          <w:color w:val="auto"/>
          <w:sz w:val="24"/>
          <w:szCs w:val="24"/>
          <w:highlight w:val="none"/>
        </w:rPr>
        <w:t xml:space="preserve"> </w:t>
      </w:r>
      <w:r>
        <w:rPr>
          <w:rFonts w:ascii="Times New Roman" w:hAnsi="Times New Roman" w:eastAsia="黑体" w:cs="Times New Roman"/>
          <w:color w:val="auto"/>
          <w:sz w:val="24"/>
          <w:szCs w:val="24"/>
          <w:highlight w:val="none"/>
        </w:rPr>
        <w:t xml:space="preserve"> </w:t>
      </w:r>
      <w:r>
        <w:rPr>
          <w:rFonts w:hint="eastAsia" w:ascii="Times New Roman" w:hAnsi="Times New Roman" w:eastAsia="黑体" w:cs="Times New Roman"/>
          <w:color w:val="auto"/>
          <w:sz w:val="24"/>
          <w:szCs w:val="24"/>
          <w:highlight w:val="none"/>
        </w:rPr>
        <w:t>模块构件及连接</w:t>
      </w:r>
      <w:r>
        <w:rPr>
          <w:rFonts w:ascii="Times New Roman" w:hAnsi="Times New Roman" w:eastAsia="黑体" w:cs="Times New Roman"/>
          <w:color w:val="auto"/>
          <w:sz w:val="24"/>
          <w:szCs w:val="24"/>
          <w:highlight w:val="none"/>
        </w:rPr>
        <w:t>设计</w:t>
      </w:r>
      <w:bookmarkEnd w:id="476"/>
      <w:bookmarkEnd w:id="477"/>
      <w:bookmarkEnd w:id="478"/>
      <w:bookmarkEnd w:id="479"/>
      <w:bookmarkEnd w:id="480"/>
    </w:p>
    <w:bookmarkEnd w:id="481"/>
    <w:bookmarkEnd w:id="482"/>
    <w:bookmarkEnd w:id="483"/>
    <w:bookmarkEnd w:id="484"/>
    <w:p w14:paraId="1E2AE93A">
      <w:pPr>
        <w:widowControl/>
        <w:spacing w:line="360" w:lineRule="exact"/>
        <w:rPr>
          <w:color w:val="auto"/>
          <w:szCs w:val="21"/>
          <w:highlight w:val="none"/>
        </w:rPr>
      </w:pPr>
      <w:r>
        <w:rPr>
          <w:rFonts w:hint="eastAsia"/>
          <w:b/>
          <w:color w:val="auto"/>
          <w:szCs w:val="21"/>
          <w:highlight w:val="none"/>
        </w:rPr>
        <w:t>6</w:t>
      </w:r>
      <w:r>
        <w:rPr>
          <w:b/>
          <w:color w:val="auto"/>
          <w:szCs w:val="21"/>
          <w:highlight w:val="none"/>
        </w:rPr>
        <w:t>.</w:t>
      </w:r>
      <w:r>
        <w:rPr>
          <w:rFonts w:hint="eastAsia"/>
          <w:b/>
          <w:color w:val="auto"/>
          <w:szCs w:val="21"/>
          <w:highlight w:val="none"/>
          <w:lang w:val="en-US" w:eastAsia="zh-CN"/>
        </w:rPr>
        <w:t>4</w:t>
      </w:r>
      <w:r>
        <w:rPr>
          <w:b/>
          <w:color w:val="auto"/>
          <w:szCs w:val="21"/>
          <w:highlight w:val="none"/>
        </w:rPr>
        <w:t xml:space="preserve">.1 </w:t>
      </w:r>
      <w:r>
        <w:rPr>
          <w:rFonts w:hint="eastAsia"/>
          <w:b/>
          <w:color w:val="auto"/>
          <w:szCs w:val="21"/>
          <w:highlight w:val="none"/>
          <w:lang w:val="en-US" w:eastAsia="zh-CN"/>
        </w:rPr>
        <w:t xml:space="preserve"> </w:t>
      </w:r>
      <w:r>
        <w:rPr>
          <w:color w:val="auto"/>
          <w:szCs w:val="21"/>
          <w:highlight w:val="none"/>
        </w:rPr>
        <w:t xml:space="preserve">在地震设计状况下，模块化结构剪力墙水平接缝的受剪承载力设计值应按下式计算： </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80"/>
        <w:gridCol w:w="1355"/>
      </w:tblGrid>
      <w:tr w14:paraId="0809B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7926" w:type="dxa"/>
            <w:vAlign w:val="center"/>
          </w:tcPr>
          <w:p w14:paraId="1D70BA28">
            <w:pPr>
              <w:widowControl/>
              <w:spacing w:line="360" w:lineRule="exact"/>
              <w:jc w:val="center"/>
              <w:rPr>
                <w:i/>
                <w:iCs/>
                <w:color w:val="auto"/>
                <w:kern w:val="0"/>
                <w:sz w:val="28"/>
                <w:szCs w:val="28"/>
                <w:highlight w:val="none"/>
                <w:lang w:bidi="ar"/>
              </w:rPr>
            </w:pPr>
            <m:oMathPara>
              <m:oMath>
                <m:sSub>
                  <m:sSubPr>
                    <m:ctrlPr>
                      <w:rPr>
                        <w:rFonts w:ascii="Cambria Math" w:hAnsi="Cambria Math"/>
                        <w:i/>
                        <w:iCs/>
                        <w:color w:val="auto"/>
                        <w:kern w:val="0"/>
                        <w:szCs w:val="21"/>
                        <w:highlight w:val="none"/>
                        <w:lang w:bidi="ar"/>
                      </w:rPr>
                    </m:ctrlPr>
                  </m:sSubPr>
                  <m:e>
                    <m:r>
                      <m:rPr/>
                      <w:rPr>
                        <w:rFonts w:ascii="Cambria Math" w:hAnsi="Cambria Math"/>
                        <w:color w:val="auto"/>
                        <w:kern w:val="0"/>
                        <w:szCs w:val="21"/>
                        <w:highlight w:val="none"/>
                        <w:lang w:bidi="ar"/>
                      </w:rPr>
                      <m:t>V</m:t>
                    </m:r>
                    <m:ctrlPr>
                      <w:rPr>
                        <w:rFonts w:ascii="Cambria Math" w:hAnsi="Cambria Math"/>
                        <w:i/>
                        <w:iCs/>
                        <w:color w:val="auto"/>
                        <w:kern w:val="0"/>
                        <w:szCs w:val="21"/>
                        <w:highlight w:val="none"/>
                        <w:lang w:bidi="ar"/>
                      </w:rPr>
                    </m:ctrlPr>
                  </m:e>
                  <m:sub>
                    <m:r>
                      <m:rPr/>
                      <w:rPr>
                        <w:rFonts w:ascii="Cambria Math" w:hAnsi="Cambria Math"/>
                        <w:color w:val="auto"/>
                        <w:kern w:val="0"/>
                        <w:szCs w:val="21"/>
                        <w:highlight w:val="none"/>
                        <w:lang w:bidi="ar"/>
                      </w:rPr>
                      <m:t>uE</m:t>
                    </m:r>
                    <m:ctrlPr>
                      <w:rPr>
                        <w:rFonts w:ascii="Cambria Math" w:hAnsi="Cambria Math"/>
                        <w:i/>
                        <w:iCs/>
                        <w:color w:val="auto"/>
                        <w:kern w:val="0"/>
                        <w:szCs w:val="21"/>
                        <w:highlight w:val="none"/>
                        <w:lang w:bidi="ar"/>
                      </w:rPr>
                    </m:ctrlPr>
                  </m:sub>
                </m:sSub>
                <m:r>
                  <m:rPr/>
                  <w:rPr>
                    <w:rFonts w:hint="default" w:ascii="Cambria Math" w:hAnsi="Cambria Math"/>
                    <w:color w:val="auto"/>
                    <w:kern w:val="0"/>
                    <w:szCs w:val="21"/>
                    <w:highlight w:val="none"/>
                    <w:lang w:val="en-US" w:eastAsia="zh-CN" w:bidi="ar"/>
                  </w:rPr>
                  <m:t>=</m:t>
                </m:r>
                <m:r>
                  <m:rPr/>
                  <w:rPr>
                    <w:rFonts w:hint="eastAsia" w:ascii="Cambria Math" w:hAnsi="Cambria Math"/>
                    <w:color w:val="auto"/>
                    <w:kern w:val="0"/>
                    <w:szCs w:val="21"/>
                    <w:highlight w:val="none"/>
                    <w:lang w:bidi="ar"/>
                  </w:rPr>
                  <m:t>0.6</m:t>
                </m:r>
                <m:sSub>
                  <m:sSubPr>
                    <m:ctrlPr>
                      <w:rPr>
                        <w:rFonts w:ascii="Cambria Math" w:hAnsi="Cambria Math"/>
                        <w:i/>
                        <w:iCs/>
                        <w:color w:val="auto"/>
                        <w:kern w:val="0"/>
                        <w:szCs w:val="21"/>
                        <w:highlight w:val="none"/>
                        <w:lang w:bidi="ar"/>
                      </w:rPr>
                    </m:ctrlPr>
                  </m:sSubPr>
                  <m:e>
                    <m:r>
                      <m:rPr/>
                      <w:rPr>
                        <w:rFonts w:ascii="Cambria Math" w:hAnsi="Cambria Math"/>
                        <w:color w:val="auto"/>
                        <w:kern w:val="0"/>
                        <w:szCs w:val="21"/>
                        <w:highlight w:val="none"/>
                        <w:lang w:bidi="ar"/>
                      </w:rPr>
                      <m:t>f</m:t>
                    </m:r>
                    <m:ctrlPr>
                      <w:rPr>
                        <w:rFonts w:ascii="Cambria Math" w:hAnsi="Cambria Math"/>
                        <w:i/>
                        <w:iCs/>
                        <w:color w:val="auto"/>
                        <w:kern w:val="0"/>
                        <w:szCs w:val="21"/>
                        <w:highlight w:val="none"/>
                        <w:lang w:bidi="ar"/>
                      </w:rPr>
                    </m:ctrlPr>
                  </m:e>
                  <m:sub>
                    <m:r>
                      <m:rPr/>
                      <w:rPr>
                        <w:rFonts w:ascii="Cambria Math" w:hAnsi="Cambria Math"/>
                        <w:color w:val="auto"/>
                        <w:kern w:val="0"/>
                        <w:szCs w:val="21"/>
                        <w:highlight w:val="none"/>
                        <w:lang w:bidi="ar"/>
                      </w:rPr>
                      <m:t>y</m:t>
                    </m:r>
                    <m:ctrlPr>
                      <w:rPr>
                        <w:rFonts w:ascii="Cambria Math" w:hAnsi="Cambria Math"/>
                        <w:i/>
                        <w:iCs/>
                        <w:color w:val="auto"/>
                        <w:kern w:val="0"/>
                        <w:szCs w:val="21"/>
                        <w:highlight w:val="none"/>
                        <w:lang w:bidi="ar"/>
                      </w:rPr>
                    </m:ctrlPr>
                  </m:sub>
                </m:sSub>
                <m:sSub>
                  <m:sSubPr>
                    <m:ctrlPr>
                      <w:rPr>
                        <w:rFonts w:ascii="Cambria Math" w:hAnsi="Cambria Math"/>
                        <w:i/>
                        <w:iCs/>
                        <w:color w:val="auto"/>
                        <w:kern w:val="0"/>
                        <w:szCs w:val="21"/>
                        <w:highlight w:val="none"/>
                        <w:lang w:bidi="ar"/>
                      </w:rPr>
                    </m:ctrlPr>
                  </m:sSubPr>
                  <m:e>
                    <m:r>
                      <m:rPr/>
                      <w:rPr>
                        <w:rFonts w:ascii="Cambria Math" w:hAnsi="Cambria Math"/>
                        <w:color w:val="auto"/>
                        <w:kern w:val="0"/>
                        <w:szCs w:val="21"/>
                        <w:highlight w:val="none"/>
                        <w:lang w:bidi="ar"/>
                      </w:rPr>
                      <m:t>A</m:t>
                    </m:r>
                    <m:ctrlPr>
                      <w:rPr>
                        <w:rFonts w:ascii="Cambria Math" w:hAnsi="Cambria Math"/>
                        <w:i/>
                        <w:iCs/>
                        <w:color w:val="auto"/>
                        <w:kern w:val="0"/>
                        <w:szCs w:val="21"/>
                        <w:highlight w:val="none"/>
                        <w:lang w:bidi="ar"/>
                      </w:rPr>
                    </m:ctrlPr>
                  </m:e>
                  <m:sub>
                    <m:r>
                      <m:rPr/>
                      <w:rPr>
                        <w:rFonts w:ascii="Cambria Math" w:hAnsi="Cambria Math"/>
                        <w:color w:val="auto"/>
                        <w:kern w:val="0"/>
                        <w:szCs w:val="21"/>
                        <w:highlight w:val="none"/>
                        <w:lang w:bidi="ar"/>
                      </w:rPr>
                      <m:t>sd</m:t>
                    </m:r>
                    <m:ctrlPr>
                      <w:rPr>
                        <w:rFonts w:ascii="Cambria Math" w:hAnsi="Cambria Math"/>
                        <w:i/>
                        <w:iCs/>
                        <w:color w:val="auto"/>
                        <w:kern w:val="0"/>
                        <w:szCs w:val="21"/>
                        <w:highlight w:val="none"/>
                        <w:lang w:bidi="ar"/>
                      </w:rPr>
                    </m:ctrlPr>
                  </m:sub>
                </m:sSub>
                <m:r>
                  <m:rPr/>
                  <w:rPr>
                    <w:rFonts w:ascii="Cambria Math" w:hAnsi="Cambria Math"/>
                    <w:color w:val="auto"/>
                    <w:kern w:val="0"/>
                    <w:szCs w:val="21"/>
                    <w:highlight w:val="none"/>
                    <w:lang w:bidi="ar"/>
                  </w:rPr>
                  <m:t>+0.8N</m:t>
                </m:r>
              </m:oMath>
            </m:oMathPara>
          </w:p>
        </w:tc>
        <w:tc>
          <w:tcPr>
            <w:tcW w:w="1554" w:type="dxa"/>
            <w:vAlign w:val="center"/>
          </w:tcPr>
          <w:p w14:paraId="123FB721">
            <w:pPr>
              <w:widowControl/>
              <w:spacing w:line="360" w:lineRule="exact"/>
              <w:jc w:val="center"/>
              <w:rPr>
                <w:i/>
                <w:iCs/>
                <w:color w:val="auto"/>
                <w:kern w:val="0"/>
                <w:sz w:val="28"/>
                <w:szCs w:val="28"/>
                <w:highlight w:val="none"/>
                <w:lang w:bidi="ar"/>
              </w:rPr>
            </w:pPr>
            <w:r>
              <w:rPr>
                <w:rFonts w:hint="eastAsia"/>
                <w:color w:val="auto"/>
                <w:kern w:val="0"/>
                <w:szCs w:val="21"/>
                <w:highlight w:val="none"/>
                <w:lang w:bidi="ar"/>
              </w:rPr>
              <w:t>（6.</w:t>
            </w:r>
            <w:r>
              <w:rPr>
                <w:rFonts w:hint="eastAsia"/>
                <w:color w:val="auto"/>
                <w:kern w:val="0"/>
                <w:szCs w:val="21"/>
                <w:highlight w:val="none"/>
                <w:lang w:val="en-US" w:eastAsia="zh-CN" w:bidi="ar"/>
              </w:rPr>
              <w:t>4</w:t>
            </w:r>
            <w:r>
              <w:rPr>
                <w:rFonts w:hint="eastAsia"/>
                <w:color w:val="auto"/>
                <w:kern w:val="0"/>
                <w:szCs w:val="21"/>
                <w:highlight w:val="none"/>
                <w:lang w:bidi="ar"/>
              </w:rPr>
              <w:t>.1）</w:t>
            </w:r>
          </w:p>
        </w:tc>
      </w:tr>
    </w:tbl>
    <w:tbl>
      <w:tblPr>
        <w:tblStyle w:val="25"/>
        <w:tblW w:w="5097" w:type="pct"/>
        <w:tblInd w:w="-119" w:type="dxa"/>
        <w:tblLayout w:type="autofit"/>
        <w:tblCellMar>
          <w:top w:w="0" w:type="dxa"/>
          <w:left w:w="0" w:type="dxa"/>
          <w:bottom w:w="0" w:type="dxa"/>
          <w:right w:w="0" w:type="dxa"/>
        </w:tblCellMar>
      </w:tblPr>
      <w:tblGrid>
        <w:gridCol w:w="582"/>
        <w:gridCol w:w="542"/>
        <w:gridCol w:w="4910"/>
      </w:tblGrid>
      <w:tr w14:paraId="63797579">
        <w:trPr>
          <w:trHeight w:val="245" w:hRule="atLeast"/>
        </w:trPr>
        <w:tc>
          <w:tcPr>
            <w:tcW w:w="482" w:type="pct"/>
            <w:noWrap w:val="0"/>
            <w:vAlign w:val="top"/>
          </w:tcPr>
          <w:p w14:paraId="6BEEEACD">
            <w:pPr>
              <w:adjustRightInd w:val="0"/>
              <w:snapToGrid w:val="0"/>
              <w:spacing w:line="360" w:lineRule="exact"/>
              <w:jc w:val="left"/>
              <w:rPr>
                <w:color w:val="000000"/>
                <w:szCs w:val="21"/>
                <w:highlight w:val="none"/>
              </w:rPr>
            </w:pPr>
            <w:r>
              <w:rPr>
                <w:rFonts w:hint="eastAsia"/>
                <w:color w:val="000000"/>
                <w:sz w:val="21"/>
                <w:szCs w:val="21"/>
                <w:highlight w:val="none"/>
              </w:rPr>
              <w:t>式中：</w:t>
            </w:r>
          </w:p>
        </w:tc>
        <w:tc>
          <w:tcPr>
            <w:tcW w:w="449" w:type="pct"/>
            <w:noWrap w:val="0"/>
            <w:vAlign w:val="center"/>
          </w:tcPr>
          <w:p w14:paraId="539A9BAA">
            <w:pPr>
              <w:adjustRightInd w:val="0"/>
              <w:snapToGrid w:val="0"/>
              <w:spacing w:line="360" w:lineRule="exact"/>
              <w:jc w:val="center"/>
              <w:rPr>
                <w:rFonts w:hint="default" w:ascii="Cambria Math" w:hAnsi="Cambria Math" w:cs="Cambria Math"/>
                <w:color w:val="000000"/>
                <w:szCs w:val="21"/>
                <w:highlight w:val="none"/>
              </w:rPr>
            </w:pPr>
            <m:oMathPara>
              <m:oMath>
                <m:sSub>
                  <m:sSubPr>
                    <m:ctrlPr>
                      <w:rPr>
                        <w:rFonts w:ascii="Cambria Math" w:hAnsi="Cambria Math"/>
                        <w:i/>
                        <w:iCs/>
                        <w:color w:val="auto"/>
                        <w:kern w:val="0"/>
                        <w:szCs w:val="21"/>
                        <w:highlight w:val="none"/>
                        <w:lang w:bidi="ar"/>
                      </w:rPr>
                    </m:ctrlPr>
                  </m:sSubPr>
                  <m:e>
                    <m:r>
                      <m:rPr/>
                      <w:rPr>
                        <w:rFonts w:ascii="Cambria Math" w:hAnsi="Cambria Math"/>
                        <w:color w:val="auto"/>
                        <w:kern w:val="0"/>
                        <w:szCs w:val="21"/>
                        <w:highlight w:val="none"/>
                        <w:lang w:bidi="ar"/>
                      </w:rPr>
                      <m:t>V</m:t>
                    </m:r>
                    <m:ctrlPr>
                      <w:rPr>
                        <w:rFonts w:ascii="Cambria Math" w:hAnsi="Cambria Math"/>
                        <w:i/>
                        <w:iCs/>
                        <w:color w:val="auto"/>
                        <w:kern w:val="0"/>
                        <w:szCs w:val="21"/>
                        <w:highlight w:val="none"/>
                        <w:lang w:bidi="ar"/>
                      </w:rPr>
                    </m:ctrlPr>
                  </m:e>
                  <m:sub>
                    <m:r>
                      <m:rPr/>
                      <w:rPr>
                        <w:rFonts w:ascii="Cambria Math" w:hAnsi="Cambria Math"/>
                        <w:color w:val="auto"/>
                        <w:kern w:val="0"/>
                        <w:szCs w:val="21"/>
                        <w:highlight w:val="none"/>
                        <w:lang w:bidi="ar"/>
                      </w:rPr>
                      <m:t>uE</m:t>
                    </m:r>
                    <m:ctrlPr>
                      <w:rPr>
                        <w:rFonts w:ascii="Cambria Math" w:hAnsi="Cambria Math"/>
                        <w:i/>
                        <w:iCs/>
                        <w:color w:val="auto"/>
                        <w:kern w:val="0"/>
                        <w:szCs w:val="21"/>
                        <w:highlight w:val="none"/>
                        <w:lang w:bidi="ar"/>
                      </w:rPr>
                    </m:ctrlPr>
                  </m:sub>
                </m:sSub>
              </m:oMath>
            </m:oMathPara>
          </w:p>
        </w:tc>
        <w:tc>
          <w:tcPr>
            <w:tcW w:w="4068" w:type="pct"/>
            <w:noWrap w:val="0"/>
            <w:vAlign w:val="center"/>
          </w:tcPr>
          <w:p w14:paraId="739C84D3">
            <w:pPr>
              <w:adjustRightInd w:val="0"/>
              <w:snapToGrid w:val="0"/>
              <w:spacing w:line="360" w:lineRule="exact"/>
              <w:ind w:left="0" w:firstLine="0" w:firstLineChars="0"/>
              <w:jc w:val="both"/>
              <w:rPr>
                <w:rFonts w:hint="default" w:ascii="Cambria Math" w:hAnsi="Cambria Math" w:cs="Cambria Math"/>
                <w:color w:val="000000"/>
                <w:szCs w:val="21"/>
                <w:highlight w:val="none"/>
              </w:rPr>
            </w:pPr>
            <w:r>
              <w:rPr>
                <w:rFonts w:ascii="Times New Roman" w:hAnsi="Times New Roman"/>
                <w:sz w:val="21"/>
                <w:szCs w:val="21"/>
                <w:highlight w:val="none"/>
              </w:rPr>
              <w:t>——</w:t>
            </w:r>
            <w:r>
              <w:rPr>
                <w:color w:val="auto"/>
                <w:szCs w:val="21"/>
                <w:highlight w:val="none"/>
              </w:rPr>
              <w:t>叠合剪力墙水平接缝处抗剪承载力设计值；</w:t>
            </w:r>
          </w:p>
        </w:tc>
      </w:tr>
      <w:tr w14:paraId="7E885E17">
        <w:tblPrEx>
          <w:tblCellMar>
            <w:top w:w="0" w:type="dxa"/>
            <w:left w:w="0" w:type="dxa"/>
            <w:bottom w:w="0" w:type="dxa"/>
            <w:right w:w="0" w:type="dxa"/>
          </w:tblCellMar>
        </w:tblPrEx>
        <w:trPr>
          <w:trHeight w:val="90" w:hRule="atLeast"/>
        </w:trPr>
        <w:tc>
          <w:tcPr>
            <w:tcW w:w="482" w:type="pct"/>
            <w:noWrap w:val="0"/>
            <w:vAlign w:val="top"/>
          </w:tcPr>
          <w:p w14:paraId="24A6D09F">
            <w:pPr>
              <w:adjustRightInd w:val="0"/>
              <w:snapToGrid w:val="0"/>
              <w:spacing w:line="360" w:lineRule="exact"/>
              <w:jc w:val="left"/>
              <w:rPr>
                <w:color w:val="000000"/>
                <w:sz w:val="21"/>
                <w:szCs w:val="21"/>
                <w:highlight w:val="none"/>
              </w:rPr>
            </w:pPr>
          </w:p>
        </w:tc>
        <w:tc>
          <w:tcPr>
            <w:tcW w:w="449" w:type="pct"/>
            <w:noWrap w:val="0"/>
            <w:vAlign w:val="center"/>
          </w:tcPr>
          <w:p w14:paraId="08ED27C0">
            <w:pPr>
              <w:adjustRightInd w:val="0"/>
              <w:snapToGrid w:val="0"/>
              <w:spacing w:line="360" w:lineRule="exact"/>
              <w:jc w:val="center"/>
              <w:rPr>
                <w:rFonts w:hint="default" w:ascii="Cambria Math" w:hAnsi="Cambria Math" w:cs="Cambria Math"/>
                <w:color w:val="000000"/>
                <w:szCs w:val="21"/>
                <w:highlight w:val="none"/>
              </w:rPr>
            </w:pPr>
            <m:oMathPara>
              <m:oMath>
                <m:sSub>
                  <m:sSubPr>
                    <m:ctrlPr>
                      <w:rPr>
                        <w:rFonts w:ascii="Cambria Math" w:hAnsi="Cambria Math"/>
                        <w:i/>
                        <w:iCs/>
                        <w:color w:val="auto"/>
                        <w:kern w:val="0"/>
                        <w:szCs w:val="21"/>
                        <w:highlight w:val="none"/>
                        <w:lang w:bidi="ar"/>
                      </w:rPr>
                    </m:ctrlPr>
                  </m:sSubPr>
                  <m:e>
                    <m:r>
                      <m:rPr/>
                      <w:rPr>
                        <w:rFonts w:ascii="Cambria Math" w:hAnsi="Cambria Math"/>
                        <w:color w:val="auto"/>
                        <w:kern w:val="0"/>
                        <w:szCs w:val="21"/>
                        <w:highlight w:val="none"/>
                        <w:lang w:bidi="ar"/>
                      </w:rPr>
                      <m:t>f</m:t>
                    </m:r>
                    <m:ctrlPr>
                      <w:rPr>
                        <w:rFonts w:ascii="Cambria Math" w:hAnsi="Cambria Math"/>
                        <w:i/>
                        <w:iCs/>
                        <w:color w:val="auto"/>
                        <w:kern w:val="0"/>
                        <w:szCs w:val="21"/>
                        <w:highlight w:val="none"/>
                        <w:lang w:bidi="ar"/>
                      </w:rPr>
                    </m:ctrlPr>
                  </m:e>
                  <m:sub>
                    <m:r>
                      <m:rPr/>
                      <w:rPr>
                        <w:rFonts w:ascii="Cambria Math" w:hAnsi="Cambria Math"/>
                        <w:color w:val="auto"/>
                        <w:kern w:val="0"/>
                        <w:szCs w:val="21"/>
                        <w:highlight w:val="none"/>
                        <w:lang w:bidi="ar"/>
                      </w:rPr>
                      <m:t>y</m:t>
                    </m:r>
                    <m:ctrlPr>
                      <w:rPr>
                        <w:rFonts w:ascii="Cambria Math" w:hAnsi="Cambria Math"/>
                        <w:i/>
                        <w:iCs/>
                        <w:color w:val="auto"/>
                        <w:kern w:val="0"/>
                        <w:szCs w:val="21"/>
                        <w:highlight w:val="none"/>
                        <w:lang w:bidi="ar"/>
                      </w:rPr>
                    </m:ctrlPr>
                  </m:sub>
                </m:sSub>
              </m:oMath>
            </m:oMathPara>
          </w:p>
        </w:tc>
        <w:tc>
          <w:tcPr>
            <w:tcW w:w="4068" w:type="pct"/>
            <w:noWrap w:val="0"/>
            <w:vAlign w:val="center"/>
          </w:tcPr>
          <w:p w14:paraId="7C03E07B">
            <w:pPr>
              <w:adjustRightInd w:val="0"/>
              <w:snapToGrid w:val="0"/>
              <w:spacing w:line="360" w:lineRule="exact"/>
              <w:jc w:val="both"/>
              <w:rPr>
                <w:rFonts w:hint="default" w:ascii="Cambria Math" w:hAnsi="Cambria Math" w:cs="Cambria Math"/>
                <w:color w:val="000000"/>
                <w:szCs w:val="21"/>
                <w:highlight w:val="none"/>
              </w:rPr>
            </w:pPr>
            <w:r>
              <w:rPr>
                <w:rFonts w:ascii="Times New Roman" w:hAnsi="Times New Roman"/>
                <w:sz w:val="21"/>
                <w:szCs w:val="21"/>
                <w:highlight w:val="none"/>
              </w:rPr>
              <w:t>——</w:t>
            </w:r>
            <w:r>
              <w:rPr>
                <w:color w:val="auto"/>
                <w:szCs w:val="21"/>
                <w:highlight w:val="none"/>
              </w:rPr>
              <w:t>竖向钢筋抗拉强度设计值；</w:t>
            </w:r>
          </w:p>
        </w:tc>
      </w:tr>
      <w:tr w14:paraId="75FC9B5B">
        <w:tblPrEx>
          <w:tblCellMar>
            <w:top w:w="0" w:type="dxa"/>
            <w:left w:w="0" w:type="dxa"/>
            <w:bottom w:w="0" w:type="dxa"/>
            <w:right w:w="0" w:type="dxa"/>
          </w:tblCellMar>
        </w:tblPrEx>
        <w:trPr>
          <w:trHeight w:val="245" w:hRule="atLeast"/>
        </w:trPr>
        <w:tc>
          <w:tcPr>
            <w:tcW w:w="482" w:type="pct"/>
            <w:noWrap w:val="0"/>
            <w:vAlign w:val="top"/>
          </w:tcPr>
          <w:p w14:paraId="67D1D3C8">
            <w:pPr>
              <w:adjustRightInd w:val="0"/>
              <w:snapToGrid w:val="0"/>
              <w:spacing w:line="360" w:lineRule="exact"/>
              <w:jc w:val="left"/>
              <w:rPr>
                <w:color w:val="000000"/>
                <w:szCs w:val="21"/>
                <w:highlight w:val="none"/>
              </w:rPr>
            </w:pPr>
          </w:p>
        </w:tc>
        <w:tc>
          <w:tcPr>
            <w:tcW w:w="449" w:type="pct"/>
            <w:noWrap w:val="0"/>
            <w:vAlign w:val="top"/>
          </w:tcPr>
          <w:p w14:paraId="62E9967A">
            <w:pPr>
              <w:adjustRightInd w:val="0"/>
              <w:snapToGrid w:val="0"/>
              <w:spacing w:line="360" w:lineRule="exact"/>
              <w:jc w:val="both"/>
              <w:rPr>
                <w:rFonts w:hint="default" w:ascii="Cambria Math" w:hAnsi="Cambria Math" w:cs="Cambria Math"/>
                <w:color w:val="000000"/>
                <w:szCs w:val="21"/>
                <w:highlight w:val="none"/>
              </w:rPr>
            </w:pPr>
            <m:oMathPara>
              <m:oMath>
                <m:sSub>
                  <m:sSubPr>
                    <m:ctrlPr>
                      <w:rPr>
                        <w:rFonts w:ascii="Cambria Math" w:hAnsi="Cambria Math"/>
                        <w:i/>
                        <w:iCs/>
                        <w:color w:val="auto"/>
                        <w:kern w:val="0"/>
                        <w:szCs w:val="21"/>
                        <w:highlight w:val="none"/>
                        <w:lang w:bidi="ar"/>
                      </w:rPr>
                    </m:ctrlPr>
                  </m:sSubPr>
                  <m:e>
                    <m:r>
                      <m:rPr/>
                      <w:rPr>
                        <w:rFonts w:ascii="Cambria Math" w:hAnsi="Cambria Math"/>
                        <w:color w:val="auto"/>
                        <w:kern w:val="0"/>
                        <w:szCs w:val="21"/>
                        <w:highlight w:val="none"/>
                        <w:lang w:bidi="ar"/>
                      </w:rPr>
                      <m:t>A</m:t>
                    </m:r>
                    <m:ctrlPr>
                      <w:rPr>
                        <w:rFonts w:ascii="Cambria Math" w:hAnsi="Cambria Math"/>
                        <w:i/>
                        <w:iCs/>
                        <w:color w:val="auto"/>
                        <w:kern w:val="0"/>
                        <w:szCs w:val="21"/>
                        <w:highlight w:val="none"/>
                        <w:lang w:bidi="ar"/>
                      </w:rPr>
                    </m:ctrlPr>
                  </m:e>
                  <m:sub>
                    <m:r>
                      <m:rPr/>
                      <w:rPr>
                        <w:rFonts w:ascii="Cambria Math" w:hAnsi="Cambria Math"/>
                        <w:color w:val="auto"/>
                        <w:kern w:val="0"/>
                        <w:szCs w:val="21"/>
                        <w:highlight w:val="none"/>
                        <w:lang w:bidi="ar"/>
                      </w:rPr>
                      <m:t>sd</m:t>
                    </m:r>
                    <m:ctrlPr>
                      <w:rPr>
                        <w:rFonts w:ascii="Cambria Math" w:hAnsi="Cambria Math"/>
                        <w:i/>
                        <w:iCs/>
                        <w:color w:val="auto"/>
                        <w:kern w:val="0"/>
                        <w:szCs w:val="21"/>
                        <w:highlight w:val="none"/>
                        <w:lang w:bidi="ar"/>
                      </w:rPr>
                    </m:ctrlPr>
                  </m:sub>
                </m:sSub>
              </m:oMath>
            </m:oMathPara>
          </w:p>
        </w:tc>
        <w:tc>
          <w:tcPr>
            <w:tcW w:w="4068" w:type="pct"/>
            <w:noWrap w:val="0"/>
            <w:vAlign w:val="center"/>
          </w:tcPr>
          <w:p w14:paraId="18D12A8C">
            <w:pPr>
              <w:adjustRightInd w:val="0"/>
              <w:snapToGrid w:val="0"/>
              <w:spacing w:line="360" w:lineRule="exact"/>
              <w:ind w:left="420" w:hanging="420" w:hangingChars="200"/>
              <w:jc w:val="both"/>
              <w:rPr>
                <w:rFonts w:hint="default" w:ascii="Cambria Math" w:hAnsi="Cambria Math" w:cs="Cambria Math"/>
                <w:color w:val="000000"/>
                <w:szCs w:val="21"/>
                <w:highlight w:val="none"/>
              </w:rPr>
            </w:pPr>
            <w:r>
              <w:rPr>
                <w:rFonts w:ascii="Times New Roman" w:hAnsi="Times New Roman"/>
                <w:sz w:val="21"/>
                <w:szCs w:val="21"/>
                <w:highlight w:val="none"/>
              </w:rPr>
              <w:t>——</w:t>
            </w:r>
            <w:r>
              <w:rPr>
                <w:color w:val="auto"/>
                <w:szCs w:val="21"/>
                <w:highlight w:val="none"/>
              </w:rPr>
              <w:t xml:space="preserve">叠合剪力墙水平接缝处竖向连接钢筋和边缘构件中的竖向钢筋总面积； </w:t>
            </w:r>
          </w:p>
        </w:tc>
      </w:tr>
      <w:tr w14:paraId="4BF62570">
        <w:tblPrEx>
          <w:tblCellMar>
            <w:top w:w="0" w:type="dxa"/>
            <w:left w:w="0" w:type="dxa"/>
            <w:bottom w:w="0" w:type="dxa"/>
            <w:right w:w="0" w:type="dxa"/>
          </w:tblCellMar>
        </w:tblPrEx>
        <w:trPr>
          <w:trHeight w:val="111" w:hRule="atLeast"/>
        </w:trPr>
        <w:tc>
          <w:tcPr>
            <w:tcW w:w="482" w:type="pct"/>
            <w:noWrap w:val="0"/>
            <w:vAlign w:val="top"/>
          </w:tcPr>
          <w:p w14:paraId="329F0A4F">
            <w:pPr>
              <w:adjustRightInd w:val="0"/>
              <w:snapToGrid w:val="0"/>
              <w:spacing w:line="360" w:lineRule="exact"/>
              <w:jc w:val="left"/>
              <w:rPr>
                <w:color w:val="000000"/>
                <w:szCs w:val="21"/>
                <w:highlight w:val="none"/>
              </w:rPr>
            </w:pPr>
          </w:p>
        </w:tc>
        <w:tc>
          <w:tcPr>
            <w:tcW w:w="449" w:type="pct"/>
            <w:noWrap w:val="0"/>
            <w:vAlign w:val="top"/>
          </w:tcPr>
          <w:p w14:paraId="07BF6932">
            <w:pPr>
              <w:adjustRightInd w:val="0"/>
              <w:snapToGrid w:val="0"/>
              <w:spacing w:line="360" w:lineRule="exact"/>
              <w:jc w:val="both"/>
              <w:rPr>
                <w:rFonts w:hint="default" w:ascii="Cambria Math" w:hAnsi="Cambria Math" w:cs="Cambria Math"/>
                <w:i/>
                <w:iCs/>
                <w:sz w:val="21"/>
                <w:szCs w:val="21"/>
                <w:highlight w:val="none"/>
              </w:rPr>
            </w:pPr>
            <w:r>
              <w:rPr>
                <w:rFonts w:hint="eastAsia" w:hAnsi="Cambria Math"/>
                <w:i w:val="0"/>
                <w:color w:val="auto"/>
                <w:kern w:val="0"/>
                <w:szCs w:val="21"/>
                <w:highlight w:val="none"/>
                <w:lang w:val="en-US" w:eastAsia="zh-CN" w:bidi="ar"/>
              </w:rPr>
              <w:t xml:space="preserve">  </w:t>
            </w:r>
            <m:oMath>
              <m:r>
                <m:rPr/>
                <w:rPr>
                  <w:rFonts w:ascii="Cambria Math" w:hAnsi="Cambria Math"/>
                  <w:color w:val="auto"/>
                  <w:kern w:val="0"/>
                  <w:szCs w:val="21"/>
                  <w:highlight w:val="none"/>
                  <w:lang w:bidi="ar"/>
                </w:rPr>
                <m:t>N</m:t>
              </m:r>
            </m:oMath>
          </w:p>
        </w:tc>
        <w:tc>
          <w:tcPr>
            <w:tcW w:w="4068" w:type="pct"/>
            <w:noWrap w:val="0"/>
            <w:vAlign w:val="center"/>
          </w:tcPr>
          <w:p w14:paraId="4A5B4A19">
            <w:pPr>
              <w:adjustRightInd w:val="0"/>
              <w:snapToGrid w:val="0"/>
              <w:spacing w:line="360" w:lineRule="exact"/>
              <w:jc w:val="both"/>
              <w:rPr>
                <w:rFonts w:hint="default" w:ascii="Cambria Math" w:hAnsi="Cambria Math" w:cs="Cambria Math"/>
                <w:sz w:val="21"/>
                <w:szCs w:val="21"/>
                <w:highlight w:val="none"/>
              </w:rPr>
            </w:pPr>
            <w:r>
              <w:rPr>
                <w:rFonts w:ascii="Times New Roman" w:hAnsi="Times New Roman"/>
                <w:sz w:val="21"/>
                <w:szCs w:val="21"/>
                <w:highlight w:val="none"/>
              </w:rPr>
              <w:t>——</w:t>
            </w:r>
            <w:r>
              <w:rPr>
                <w:color w:val="auto"/>
                <w:szCs w:val="21"/>
                <w:highlight w:val="none"/>
              </w:rPr>
              <w:t>与接缝处剪力设计值相对应的垂直于水平接缝的轴向力设计值，压力取正值，拉力取负值；当大于</w:t>
            </w:r>
            <m:oMath>
              <m:sSub>
                <m:sSubPr>
                  <m:ctrlPr>
                    <w:rPr>
                      <w:rFonts w:ascii="Cambria Math" w:hAnsi="Cambria Math"/>
                      <w:color w:val="auto"/>
                      <w:szCs w:val="21"/>
                      <w:highlight w:val="none"/>
                    </w:rPr>
                  </m:ctrlPr>
                </m:sSubPr>
                <m:e>
                  <m:r>
                    <m:rPr>
                      <m:sty m:val="p"/>
                    </m:rPr>
                    <w:rPr>
                      <w:rFonts w:ascii="Cambria Math" w:hAnsi="Cambria Math"/>
                      <w:color w:val="auto"/>
                      <w:szCs w:val="21"/>
                      <w:highlight w:val="none"/>
                    </w:rPr>
                    <m:t>0.6f</m:t>
                  </m:r>
                  <m:ctrlPr>
                    <w:rPr>
                      <w:rFonts w:ascii="Cambria Math" w:hAnsi="Cambria Math"/>
                      <w:color w:val="auto"/>
                      <w:szCs w:val="21"/>
                      <w:highlight w:val="none"/>
                    </w:rPr>
                  </m:ctrlPr>
                </m:e>
                <m:sub>
                  <m:r>
                    <m:rPr>
                      <m:sty m:val="p"/>
                    </m:rPr>
                    <w:rPr>
                      <w:rFonts w:ascii="Cambria Math" w:hAnsi="Cambria Math"/>
                      <w:color w:val="auto"/>
                      <w:szCs w:val="21"/>
                      <w:highlight w:val="none"/>
                    </w:rPr>
                    <m:t>c</m:t>
                  </m:r>
                  <m:ctrlPr>
                    <w:rPr>
                      <w:rFonts w:ascii="Cambria Math" w:hAnsi="Cambria Math"/>
                      <w:color w:val="auto"/>
                      <w:szCs w:val="21"/>
                      <w:highlight w:val="none"/>
                    </w:rPr>
                  </m:ctrlPr>
                </m:sub>
              </m:sSub>
              <m:sSub>
                <m:sSubPr>
                  <m:ctrlPr>
                    <w:rPr>
                      <w:rFonts w:ascii="Cambria Math" w:hAnsi="Cambria Math"/>
                      <w:color w:val="auto"/>
                      <w:szCs w:val="21"/>
                      <w:highlight w:val="none"/>
                    </w:rPr>
                  </m:ctrlPr>
                </m:sSubPr>
                <m:e>
                  <m:r>
                    <m:rPr>
                      <m:sty m:val="p"/>
                    </m:rPr>
                    <w:rPr>
                      <w:rFonts w:ascii="Cambria Math" w:hAnsi="Cambria Math"/>
                      <w:color w:val="auto"/>
                      <w:szCs w:val="21"/>
                      <w:highlight w:val="none"/>
                    </w:rPr>
                    <m:t>b</m:t>
                  </m:r>
                  <m:ctrlPr>
                    <w:rPr>
                      <w:rFonts w:ascii="Cambria Math" w:hAnsi="Cambria Math"/>
                      <w:color w:val="auto"/>
                      <w:szCs w:val="21"/>
                      <w:highlight w:val="none"/>
                    </w:rPr>
                  </m:ctrlPr>
                </m:e>
                <m:sub>
                  <m:r>
                    <m:rPr>
                      <m:sty m:val="p"/>
                    </m:rPr>
                    <w:rPr>
                      <w:rFonts w:ascii="Cambria Math" w:hAnsi="Cambria Math"/>
                      <w:color w:val="auto"/>
                      <w:szCs w:val="21"/>
                      <w:highlight w:val="none"/>
                    </w:rPr>
                    <m:t>w</m:t>
                  </m:r>
                  <m:ctrlPr>
                    <w:rPr>
                      <w:rFonts w:ascii="Cambria Math" w:hAnsi="Cambria Math"/>
                      <w:color w:val="auto"/>
                      <w:szCs w:val="21"/>
                      <w:highlight w:val="none"/>
                    </w:rPr>
                  </m:ctrlPr>
                </m:sub>
              </m:sSub>
              <m:sSub>
                <m:sSubPr>
                  <m:ctrlPr>
                    <w:rPr>
                      <w:rFonts w:ascii="Cambria Math" w:hAnsi="Cambria Math"/>
                      <w:color w:val="auto"/>
                      <w:szCs w:val="21"/>
                      <w:highlight w:val="none"/>
                    </w:rPr>
                  </m:ctrlPr>
                </m:sSubPr>
                <m:e>
                  <m:r>
                    <m:rPr>
                      <m:sty m:val="p"/>
                    </m:rPr>
                    <w:rPr>
                      <w:rFonts w:ascii="Cambria Math" w:hAnsi="Cambria Math"/>
                      <w:color w:val="auto"/>
                      <w:szCs w:val="21"/>
                      <w:highlight w:val="none"/>
                    </w:rPr>
                    <m:t>h</m:t>
                  </m:r>
                  <m:ctrlPr>
                    <w:rPr>
                      <w:rFonts w:ascii="Cambria Math" w:hAnsi="Cambria Math"/>
                      <w:color w:val="auto"/>
                      <w:szCs w:val="21"/>
                      <w:highlight w:val="none"/>
                    </w:rPr>
                  </m:ctrlPr>
                </m:e>
                <m:sub>
                  <m:r>
                    <m:rPr>
                      <m:sty m:val="p"/>
                    </m:rPr>
                    <w:rPr>
                      <w:rFonts w:ascii="Cambria Math" w:hAnsi="Cambria Math"/>
                      <w:color w:val="auto"/>
                      <w:szCs w:val="21"/>
                      <w:highlight w:val="none"/>
                    </w:rPr>
                    <m:t>w0</m:t>
                  </m:r>
                  <m:ctrlPr>
                    <w:rPr>
                      <w:rFonts w:ascii="Cambria Math" w:hAnsi="Cambria Math"/>
                      <w:color w:val="auto"/>
                      <w:szCs w:val="21"/>
                      <w:highlight w:val="none"/>
                    </w:rPr>
                  </m:ctrlPr>
                </m:sub>
              </m:sSub>
            </m:oMath>
            <w:r>
              <w:rPr>
                <w:color w:val="auto"/>
                <w:szCs w:val="21"/>
                <w:highlight w:val="none"/>
              </w:rPr>
              <w:t>时</w:t>
            </w:r>
            <m:oMath>
              <m:sSub>
                <m:sSubPr>
                  <m:ctrlPr>
                    <w:rPr>
                      <w:rFonts w:ascii="Cambria Math" w:hAnsi="Cambria Math"/>
                      <w:color w:val="auto"/>
                      <w:szCs w:val="21"/>
                      <w:highlight w:val="none"/>
                    </w:rPr>
                  </m:ctrlPr>
                </m:sSubPr>
                <m:e>
                  <m:r>
                    <m:rPr>
                      <m:sty m:val="p"/>
                    </m:rPr>
                    <w:rPr>
                      <w:rFonts w:hint="eastAsia" w:ascii="Cambria Math" w:hAnsi="Cambria Math"/>
                      <w:color w:val="auto"/>
                      <w:szCs w:val="21"/>
                      <w:highlight w:val="none"/>
                    </w:rPr>
                    <m:t>取</m:t>
                  </m:r>
                  <m:r>
                    <m:rPr>
                      <m:sty m:val="p"/>
                    </m:rPr>
                    <w:rPr>
                      <w:rFonts w:ascii="Cambria Math" w:hAnsi="Cambria Math"/>
                      <w:color w:val="auto"/>
                      <w:szCs w:val="21"/>
                      <w:highlight w:val="none"/>
                    </w:rPr>
                    <m:t>0.6f</m:t>
                  </m:r>
                  <m:ctrlPr>
                    <w:rPr>
                      <w:rFonts w:ascii="Cambria Math" w:hAnsi="Cambria Math"/>
                      <w:color w:val="auto"/>
                      <w:szCs w:val="21"/>
                      <w:highlight w:val="none"/>
                    </w:rPr>
                  </m:ctrlPr>
                </m:e>
                <m:sub>
                  <m:r>
                    <m:rPr>
                      <m:sty m:val="p"/>
                    </m:rPr>
                    <w:rPr>
                      <w:rFonts w:ascii="Cambria Math" w:hAnsi="Cambria Math"/>
                      <w:color w:val="auto"/>
                      <w:szCs w:val="21"/>
                      <w:highlight w:val="none"/>
                    </w:rPr>
                    <m:t>c</m:t>
                  </m:r>
                  <m:ctrlPr>
                    <w:rPr>
                      <w:rFonts w:ascii="Cambria Math" w:hAnsi="Cambria Math"/>
                      <w:color w:val="auto"/>
                      <w:szCs w:val="21"/>
                      <w:highlight w:val="none"/>
                    </w:rPr>
                  </m:ctrlPr>
                </m:sub>
              </m:sSub>
              <m:sSub>
                <m:sSubPr>
                  <m:ctrlPr>
                    <w:rPr>
                      <w:rFonts w:ascii="Cambria Math" w:hAnsi="Cambria Math"/>
                      <w:color w:val="auto"/>
                      <w:szCs w:val="21"/>
                      <w:highlight w:val="none"/>
                    </w:rPr>
                  </m:ctrlPr>
                </m:sSubPr>
                <m:e>
                  <m:r>
                    <m:rPr>
                      <m:sty m:val="p"/>
                    </m:rPr>
                    <w:rPr>
                      <w:rFonts w:ascii="Cambria Math" w:hAnsi="Cambria Math"/>
                      <w:color w:val="auto"/>
                      <w:szCs w:val="21"/>
                      <w:highlight w:val="none"/>
                    </w:rPr>
                    <m:t>b</m:t>
                  </m:r>
                  <m:ctrlPr>
                    <w:rPr>
                      <w:rFonts w:ascii="Cambria Math" w:hAnsi="Cambria Math"/>
                      <w:color w:val="auto"/>
                      <w:szCs w:val="21"/>
                      <w:highlight w:val="none"/>
                    </w:rPr>
                  </m:ctrlPr>
                </m:e>
                <m:sub>
                  <m:r>
                    <m:rPr>
                      <m:sty m:val="p"/>
                    </m:rPr>
                    <w:rPr>
                      <w:rFonts w:ascii="Cambria Math" w:hAnsi="Cambria Math"/>
                      <w:color w:val="auto"/>
                      <w:szCs w:val="21"/>
                      <w:highlight w:val="none"/>
                    </w:rPr>
                    <m:t>w</m:t>
                  </m:r>
                  <m:ctrlPr>
                    <w:rPr>
                      <w:rFonts w:ascii="Cambria Math" w:hAnsi="Cambria Math"/>
                      <w:color w:val="auto"/>
                      <w:szCs w:val="21"/>
                      <w:highlight w:val="none"/>
                    </w:rPr>
                  </m:ctrlPr>
                </m:sub>
              </m:sSub>
              <m:sSub>
                <m:sSubPr>
                  <m:ctrlPr>
                    <w:rPr>
                      <w:rFonts w:ascii="Cambria Math" w:hAnsi="Cambria Math"/>
                      <w:color w:val="auto"/>
                      <w:szCs w:val="21"/>
                      <w:highlight w:val="none"/>
                    </w:rPr>
                  </m:ctrlPr>
                </m:sSubPr>
                <m:e>
                  <m:r>
                    <m:rPr>
                      <m:sty m:val="p"/>
                    </m:rPr>
                    <w:rPr>
                      <w:rFonts w:ascii="Cambria Math" w:hAnsi="Cambria Math"/>
                      <w:color w:val="auto"/>
                      <w:szCs w:val="21"/>
                      <w:highlight w:val="none"/>
                    </w:rPr>
                    <m:t>h</m:t>
                  </m:r>
                  <m:ctrlPr>
                    <w:rPr>
                      <w:rFonts w:ascii="Cambria Math" w:hAnsi="Cambria Math"/>
                      <w:color w:val="auto"/>
                      <w:szCs w:val="21"/>
                      <w:highlight w:val="none"/>
                    </w:rPr>
                  </m:ctrlPr>
                </m:e>
                <m:sub>
                  <m:r>
                    <m:rPr>
                      <m:sty m:val="p"/>
                    </m:rPr>
                    <w:rPr>
                      <w:rFonts w:ascii="Cambria Math" w:hAnsi="Cambria Math"/>
                      <w:color w:val="auto"/>
                      <w:szCs w:val="21"/>
                      <w:highlight w:val="none"/>
                    </w:rPr>
                    <m:t>w0</m:t>
                  </m:r>
                  <m:ctrlPr>
                    <w:rPr>
                      <w:rFonts w:ascii="Cambria Math" w:hAnsi="Cambria Math"/>
                      <w:color w:val="auto"/>
                      <w:szCs w:val="21"/>
                      <w:highlight w:val="none"/>
                    </w:rPr>
                  </m:ctrlPr>
                </m:sub>
              </m:sSub>
            </m:oMath>
            <w:r>
              <w:rPr>
                <w:color w:val="auto"/>
                <w:szCs w:val="21"/>
                <w:highlight w:val="none"/>
              </w:rPr>
              <w:t>；此处</w:t>
            </w:r>
            <m:oMath>
              <m:sSub>
                <m:sSubPr>
                  <m:ctrlPr>
                    <w:rPr>
                      <w:rFonts w:ascii="Cambria Math" w:hAnsi="Cambria Math"/>
                      <w:color w:val="auto"/>
                      <w:szCs w:val="21"/>
                      <w:highlight w:val="none"/>
                    </w:rPr>
                  </m:ctrlPr>
                </m:sSubPr>
                <m:e>
                  <m:r>
                    <m:rPr>
                      <m:sty m:val="p"/>
                    </m:rPr>
                    <w:rPr>
                      <w:rFonts w:ascii="Cambria Math" w:hAnsi="Cambria Math"/>
                      <w:color w:val="auto"/>
                      <w:szCs w:val="21"/>
                      <w:highlight w:val="none"/>
                    </w:rPr>
                    <m:t>f</m:t>
                  </m:r>
                  <m:ctrlPr>
                    <w:rPr>
                      <w:rFonts w:ascii="Cambria Math" w:hAnsi="Cambria Math"/>
                      <w:color w:val="auto"/>
                      <w:szCs w:val="21"/>
                      <w:highlight w:val="none"/>
                    </w:rPr>
                  </m:ctrlPr>
                </m:e>
                <m:sub>
                  <m:r>
                    <m:rPr>
                      <m:sty m:val="p"/>
                    </m:rPr>
                    <w:rPr>
                      <w:rFonts w:ascii="Cambria Math" w:hAnsi="Cambria Math"/>
                      <w:color w:val="auto"/>
                      <w:szCs w:val="21"/>
                      <w:highlight w:val="none"/>
                    </w:rPr>
                    <m:t>c</m:t>
                  </m:r>
                  <m:ctrlPr>
                    <w:rPr>
                      <w:rFonts w:ascii="Cambria Math" w:hAnsi="Cambria Math"/>
                      <w:color w:val="auto"/>
                      <w:szCs w:val="21"/>
                      <w:highlight w:val="none"/>
                    </w:rPr>
                  </m:ctrlPr>
                </m:sub>
              </m:sSub>
            </m:oMath>
            <w:r>
              <w:rPr>
                <w:color w:val="auto"/>
                <w:szCs w:val="21"/>
                <w:highlight w:val="none"/>
              </w:rPr>
              <w:t>为混凝土轴心抗拉强度设计值，</w:t>
            </w:r>
            <m:oMath>
              <m:sSub>
                <m:sSubPr>
                  <m:ctrlPr>
                    <w:rPr>
                      <w:rFonts w:ascii="Cambria Math" w:hAnsi="Cambria Math"/>
                      <w:color w:val="auto"/>
                      <w:szCs w:val="21"/>
                      <w:highlight w:val="none"/>
                    </w:rPr>
                  </m:ctrlPr>
                </m:sSubPr>
                <m:e>
                  <m:r>
                    <m:rPr>
                      <m:sty m:val="p"/>
                    </m:rPr>
                    <w:rPr>
                      <w:rFonts w:ascii="Cambria Math" w:hAnsi="Cambria Math"/>
                      <w:color w:val="auto"/>
                      <w:szCs w:val="21"/>
                      <w:highlight w:val="none"/>
                    </w:rPr>
                    <m:t>b</m:t>
                  </m:r>
                  <m:ctrlPr>
                    <w:rPr>
                      <w:rFonts w:ascii="Cambria Math" w:hAnsi="Cambria Math"/>
                      <w:color w:val="auto"/>
                      <w:szCs w:val="21"/>
                      <w:highlight w:val="none"/>
                    </w:rPr>
                  </m:ctrlPr>
                </m:e>
                <m:sub>
                  <m:r>
                    <m:rPr>
                      <m:sty m:val="p"/>
                    </m:rPr>
                    <w:rPr>
                      <w:rFonts w:ascii="Cambria Math" w:hAnsi="Cambria Math"/>
                      <w:color w:val="auto"/>
                      <w:szCs w:val="21"/>
                      <w:highlight w:val="none"/>
                    </w:rPr>
                    <m:t>w</m:t>
                  </m:r>
                  <m:ctrlPr>
                    <w:rPr>
                      <w:rFonts w:ascii="Cambria Math" w:hAnsi="Cambria Math"/>
                      <w:color w:val="auto"/>
                      <w:szCs w:val="21"/>
                      <w:highlight w:val="none"/>
                    </w:rPr>
                  </m:ctrlPr>
                </m:sub>
              </m:sSub>
            </m:oMath>
            <w:r>
              <w:rPr>
                <w:color w:val="auto"/>
                <w:szCs w:val="21"/>
                <w:highlight w:val="none"/>
              </w:rPr>
              <w:t>为叠合剪力墙截面宽度，</w:t>
            </w:r>
            <m:oMath>
              <m:sSub>
                <m:sSubPr>
                  <m:ctrlPr>
                    <w:rPr>
                      <w:rFonts w:ascii="Cambria Math" w:hAnsi="Cambria Math"/>
                      <w:color w:val="auto"/>
                      <w:szCs w:val="21"/>
                      <w:highlight w:val="none"/>
                    </w:rPr>
                  </m:ctrlPr>
                </m:sSubPr>
                <m:e>
                  <m:r>
                    <m:rPr>
                      <m:sty m:val="p"/>
                    </m:rPr>
                    <w:rPr>
                      <w:rFonts w:ascii="Cambria Math" w:hAnsi="Cambria Math"/>
                      <w:color w:val="auto"/>
                      <w:szCs w:val="21"/>
                      <w:highlight w:val="none"/>
                    </w:rPr>
                    <m:t>h</m:t>
                  </m:r>
                  <m:ctrlPr>
                    <w:rPr>
                      <w:rFonts w:ascii="Cambria Math" w:hAnsi="Cambria Math"/>
                      <w:color w:val="auto"/>
                      <w:szCs w:val="21"/>
                      <w:highlight w:val="none"/>
                    </w:rPr>
                  </m:ctrlPr>
                </m:e>
                <m:sub>
                  <m:r>
                    <m:rPr>
                      <m:sty m:val="p"/>
                    </m:rPr>
                    <w:rPr>
                      <w:rFonts w:ascii="Cambria Math" w:hAnsi="Cambria Math"/>
                      <w:color w:val="auto"/>
                      <w:szCs w:val="21"/>
                      <w:highlight w:val="none"/>
                    </w:rPr>
                    <m:t>w0</m:t>
                  </m:r>
                  <m:ctrlPr>
                    <w:rPr>
                      <w:rFonts w:ascii="Cambria Math" w:hAnsi="Cambria Math"/>
                      <w:color w:val="auto"/>
                      <w:szCs w:val="21"/>
                      <w:highlight w:val="none"/>
                    </w:rPr>
                  </m:ctrlPr>
                </m:sub>
              </m:sSub>
            </m:oMath>
            <w:r>
              <w:rPr>
                <w:color w:val="auto"/>
                <w:szCs w:val="21"/>
                <w:highlight w:val="none"/>
              </w:rPr>
              <w:t>为剪力墙截面有效高度。</w:t>
            </w:r>
          </w:p>
        </w:tc>
      </w:tr>
    </w:tbl>
    <w:p w14:paraId="4EDEC678">
      <w:pPr>
        <w:spacing w:line="360" w:lineRule="exact"/>
        <w:ind w:left="0" w:leftChars="0" w:firstLine="0" w:firstLineChars="0"/>
        <w:rPr>
          <w:color w:val="auto"/>
          <w:szCs w:val="21"/>
          <w:highlight w:val="none"/>
        </w:rPr>
      </w:pPr>
      <w:bookmarkStart w:id="489" w:name="_Toc2259"/>
      <w:bookmarkStart w:id="490" w:name="_Toc13764"/>
      <w:r>
        <w:rPr>
          <w:rFonts w:hint="eastAsia"/>
          <w:b/>
          <w:color w:val="auto"/>
          <w:szCs w:val="21"/>
          <w:highlight w:val="none"/>
        </w:rPr>
        <w:t>6</w:t>
      </w:r>
      <w:r>
        <w:rPr>
          <w:b/>
          <w:color w:val="auto"/>
          <w:szCs w:val="21"/>
          <w:highlight w:val="none"/>
        </w:rPr>
        <w:t>.</w:t>
      </w:r>
      <w:r>
        <w:rPr>
          <w:rFonts w:hint="eastAsia"/>
          <w:b/>
          <w:color w:val="auto"/>
          <w:szCs w:val="21"/>
          <w:highlight w:val="none"/>
          <w:lang w:val="en-US" w:eastAsia="zh-CN"/>
        </w:rPr>
        <w:t>4.</w:t>
      </w:r>
      <w:r>
        <w:rPr>
          <w:rFonts w:hint="eastAsia"/>
          <w:b/>
          <w:color w:val="auto"/>
          <w:szCs w:val="21"/>
          <w:highlight w:val="none"/>
        </w:rPr>
        <w:t>2</w:t>
      </w:r>
      <w:r>
        <w:rPr>
          <w:rFonts w:hint="eastAsia"/>
          <w:b/>
          <w:color w:val="auto"/>
          <w:szCs w:val="21"/>
          <w:highlight w:val="none"/>
          <w:lang w:val="en-US" w:eastAsia="zh-CN"/>
        </w:rPr>
        <w:t xml:space="preserve">  </w:t>
      </w:r>
      <w:r>
        <w:rPr>
          <w:color w:val="auto"/>
          <w:szCs w:val="21"/>
          <w:highlight w:val="none"/>
        </w:rPr>
        <w:t>在地震设计状况下，</w:t>
      </w:r>
      <w:r>
        <w:rPr>
          <w:rFonts w:hint="eastAsia"/>
          <w:color w:val="auto"/>
          <w:szCs w:val="21"/>
          <w:highlight w:val="none"/>
        </w:rPr>
        <w:t>模块化叠合剪力墙结构中</w:t>
      </w:r>
      <w:r>
        <w:rPr>
          <w:color w:val="auto"/>
          <w:szCs w:val="21"/>
          <w:highlight w:val="none"/>
        </w:rPr>
        <w:t>，预制剪力墙与预制</w:t>
      </w:r>
      <w:r>
        <w:rPr>
          <w:rFonts w:hint="eastAsia"/>
          <w:color w:val="auto"/>
          <w:szCs w:val="21"/>
          <w:highlight w:val="none"/>
        </w:rPr>
        <w:t>空心</w:t>
      </w:r>
      <w:r>
        <w:rPr>
          <w:color w:val="auto"/>
          <w:szCs w:val="21"/>
          <w:highlight w:val="none"/>
        </w:rPr>
        <w:t>边缘构件间竖向拼缝处</w:t>
      </w:r>
      <w:r>
        <w:rPr>
          <w:rFonts w:hint="eastAsia"/>
          <w:color w:val="auto"/>
          <w:szCs w:val="21"/>
          <w:highlight w:val="none"/>
        </w:rPr>
        <w:t>抗剪</w:t>
      </w:r>
      <w:r>
        <w:rPr>
          <w:color w:val="auto"/>
          <w:szCs w:val="21"/>
          <w:highlight w:val="none"/>
        </w:rPr>
        <w:t>承载力设计值应按下式计算</w:t>
      </w:r>
      <w:bookmarkEnd w:id="489"/>
      <w:bookmarkEnd w:id="490"/>
      <w:r>
        <w:rPr>
          <w:rFonts w:hint="eastAsia"/>
          <w:color w:val="auto"/>
          <w:szCs w:val="21"/>
          <w:highlight w:val="none"/>
        </w:rPr>
        <w:t>：</w:t>
      </w:r>
    </w:p>
    <w:tbl>
      <w:tblPr>
        <w:tblStyle w:val="2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36"/>
        <w:gridCol w:w="1398"/>
      </w:tblGrid>
      <w:tr w14:paraId="347D3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3860" w:type="pct"/>
            <w:vAlign w:val="center"/>
          </w:tcPr>
          <w:p w14:paraId="4FB9E12B">
            <w:pPr>
              <w:spacing w:line="360" w:lineRule="exact"/>
              <w:ind w:firstLine="380"/>
              <w:rPr>
                <w:i/>
                <w:iCs/>
                <w:color w:val="auto"/>
                <w:kern w:val="0"/>
                <w:sz w:val="28"/>
                <w:szCs w:val="28"/>
                <w:highlight w:val="none"/>
                <w:lang w:bidi="ar"/>
              </w:rPr>
            </w:pPr>
            <m:oMathPara>
              <m:oMathParaPr>
                <m:jc m:val="center"/>
              </m:oMathParaPr>
              <m:oMath>
                <m:r>
                  <m:rPr/>
                  <w:rPr>
                    <w:rFonts w:ascii="Cambria Math" w:hAnsi="Cambria Math"/>
                    <w:color w:val="auto"/>
                    <w:highlight w:val="none"/>
                  </w:rPr>
                  <m:t>V=0.04</m:t>
                </m:r>
                <m:sSub>
                  <m:sSubPr>
                    <m:ctrlPr>
                      <w:rPr>
                        <w:rFonts w:ascii="Cambria Math" w:hAnsi="Cambria Math"/>
                        <w:i/>
                        <w:color w:val="auto"/>
                        <w:highlight w:val="none"/>
                      </w:rPr>
                    </m:ctrlPr>
                  </m:sSubPr>
                  <m:e>
                    <m:r>
                      <m:rPr/>
                      <w:rPr>
                        <w:rFonts w:ascii="Cambria Math" w:hAnsi="Cambria Math"/>
                        <w:color w:val="auto"/>
                        <w:highlight w:val="none"/>
                      </w:rPr>
                      <m:t>f</m:t>
                    </m:r>
                    <m:ctrlPr>
                      <w:rPr>
                        <w:rFonts w:ascii="Cambria Math" w:hAnsi="Cambria Math"/>
                        <w:i/>
                        <w:color w:val="auto"/>
                        <w:highlight w:val="none"/>
                      </w:rPr>
                    </m:ctrlPr>
                  </m:e>
                  <m:sub>
                    <m:r>
                      <m:rPr/>
                      <w:rPr>
                        <w:rFonts w:ascii="Cambria Math" w:hAnsi="Cambria Math"/>
                        <w:color w:val="auto"/>
                        <w:highlight w:val="none"/>
                      </w:rPr>
                      <m:t>c</m:t>
                    </m:r>
                    <m:ctrlPr>
                      <w:rPr>
                        <w:rFonts w:ascii="Cambria Math" w:hAnsi="Cambria Math"/>
                        <w:i/>
                        <w:color w:val="auto"/>
                        <w:highlight w:val="none"/>
                      </w:rPr>
                    </m:ctrlPr>
                  </m:sub>
                </m:sSub>
                <m:sSub>
                  <m:sSubPr>
                    <m:ctrlPr>
                      <w:rPr>
                        <w:rFonts w:ascii="Cambria Math" w:hAnsi="Cambria Math"/>
                        <w:i/>
                        <w:color w:val="auto"/>
                        <w:highlight w:val="none"/>
                      </w:rPr>
                    </m:ctrlPr>
                  </m:sSubPr>
                  <m:e>
                    <m:r>
                      <m:rPr/>
                      <w:rPr>
                        <w:rFonts w:ascii="Cambria Math" w:hAnsi="Cambria Math"/>
                        <w:color w:val="auto"/>
                        <w:highlight w:val="none"/>
                      </w:rPr>
                      <m:t>A</m:t>
                    </m:r>
                    <m:ctrlPr>
                      <w:rPr>
                        <w:rFonts w:ascii="Cambria Math" w:hAnsi="Cambria Math"/>
                        <w:i/>
                        <w:color w:val="auto"/>
                        <w:highlight w:val="none"/>
                      </w:rPr>
                    </m:ctrlPr>
                  </m:e>
                  <m:sub>
                    <m:r>
                      <m:rPr/>
                      <w:rPr>
                        <w:rFonts w:ascii="Cambria Math" w:hAnsi="Cambria Math"/>
                        <w:color w:val="auto"/>
                        <w:highlight w:val="none"/>
                      </w:rPr>
                      <m:t>cl</m:t>
                    </m:r>
                    <m:ctrlPr>
                      <w:rPr>
                        <w:rFonts w:ascii="Cambria Math" w:hAnsi="Cambria Math"/>
                        <w:i/>
                        <w:color w:val="auto"/>
                        <w:highlight w:val="none"/>
                      </w:rPr>
                    </m:ctrlPr>
                  </m:sub>
                </m:sSub>
                <m:r>
                  <m:rPr/>
                  <w:rPr>
                    <w:rFonts w:ascii="Cambria Math" w:hAnsi="Cambria Math"/>
                    <w:color w:val="auto"/>
                    <w:highlight w:val="none"/>
                  </w:rPr>
                  <m:t>+0.06</m:t>
                </m:r>
                <m:sSub>
                  <m:sSubPr>
                    <m:ctrlPr>
                      <w:rPr>
                        <w:rFonts w:ascii="Cambria Math" w:hAnsi="Cambria Math"/>
                        <w:i/>
                        <w:color w:val="auto"/>
                        <w:highlight w:val="none"/>
                      </w:rPr>
                    </m:ctrlPr>
                  </m:sSubPr>
                  <m:e>
                    <m:r>
                      <m:rPr/>
                      <w:rPr>
                        <w:rFonts w:ascii="Cambria Math" w:hAnsi="Cambria Math"/>
                        <w:color w:val="auto"/>
                        <w:highlight w:val="none"/>
                      </w:rPr>
                      <m:t>f</m:t>
                    </m:r>
                    <m:ctrlPr>
                      <w:rPr>
                        <w:rFonts w:ascii="Cambria Math" w:hAnsi="Cambria Math"/>
                        <w:i/>
                        <w:color w:val="auto"/>
                        <w:highlight w:val="none"/>
                      </w:rPr>
                    </m:ctrlPr>
                  </m:e>
                  <m:sub>
                    <m:r>
                      <m:rPr/>
                      <w:rPr>
                        <w:rFonts w:ascii="Cambria Math" w:hAnsi="Cambria Math"/>
                        <w:color w:val="auto"/>
                        <w:highlight w:val="none"/>
                      </w:rPr>
                      <m:t>c</m:t>
                    </m:r>
                    <m:ctrlPr>
                      <w:rPr>
                        <w:rFonts w:ascii="Cambria Math" w:hAnsi="Cambria Math"/>
                        <w:i/>
                        <w:color w:val="auto"/>
                        <w:highlight w:val="none"/>
                      </w:rPr>
                    </m:ctrlPr>
                  </m:sub>
                </m:sSub>
                <m:sSub>
                  <m:sSubPr>
                    <m:ctrlPr>
                      <w:rPr>
                        <w:rFonts w:ascii="Cambria Math" w:hAnsi="Cambria Math"/>
                        <w:i/>
                        <w:color w:val="auto"/>
                        <w:highlight w:val="none"/>
                      </w:rPr>
                    </m:ctrlPr>
                  </m:sSubPr>
                  <m:e>
                    <m:r>
                      <m:rPr/>
                      <w:rPr>
                        <w:rFonts w:ascii="Cambria Math" w:hAnsi="Cambria Math"/>
                        <w:color w:val="auto"/>
                        <w:highlight w:val="none"/>
                      </w:rPr>
                      <m:t>A</m:t>
                    </m:r>
                    <m:ctrlPr>
                      <w:rPr>
                        <w:rFonts w:ascii="Cambria Math" w:hAnsi="Cambria Math"/>
                        <w:i/>
                        <w:color w:val="auto"/>
                        <w:highlight w:val="none"/>
                      </w:rPr>
                    </m:ctrlPr>
                  </m:e>
                  <m:sub>
                    <m:r>
                      <m:rPr/>
                      <w:rPr>
                        <w:rFonts w:ascii="Cambria Math" w:hAnsi="Cambria Math"/>
                        <w:color w:val="auto"/>
                        <w:highlight w:val="none"/>
                      </w:rPr>
                      <m:t>k</m:t>
                    </m:r>
                    <m:ctrlPr>
                      <w:rPr>
                        <w:rFonts w:ascii="Cambria Math" w:hAnsi="Cambria Math"/>
                        <w:i/>
                        <w:color w:val="auto"/>
                        <w:highlight w:val="none"/>
                      </w:rPr>
                    </m:ctrlPr>
                  </m:sub>
                </m:sSub>
                <m:r>
                  <m:rPr/>
                  <w:rPr>
                    <w:rFonts w:ascii="Cambria Math" w:hAnsi="Cambria Math"/>
                    <w:color w:val="auto"/>
                    <w:highlight w:val="none"/>
                  </w:rPr>
                  <m:t>+1.65</m:t>
                </m:r>
                <m:sSub>
                  <m:sSubPr>
                    <m:ctrlPr>
                      <w:rPr>
                        <w:rFonts w:ascii="Cambria Math" w:hAnsi="Cambria Math"/>
                        <w:i/>
                        <w:color w:val="auto"/>
                        <w:highlight w:val="none"/>
                      </w:rPr>
                    </m:ctrlPr>
                  </m:sSubPr>
                  <m:e>
                    <m:r>
                      <m:rPr/>
                      <w:rPr>
                        <w:rFonts w:ascii="Cambria Math" w:hAnsi="Cambria Math"/>
                        <w:color w:val="auto"/>
                        <w:highlight w:val="none"/>
                      </w:rPr>
                      <m:t>A</m:t>
                    </m:r>
                    <m:ctrlPr>
                      <w:rPr>
                        <w:rFonts w:ascii="Cambria Math" w:hAnsi="Cambria Math"/>
                        <w:i/>
                        <w:color w:val="auto"/>
                        <w:highlight w:val="none"/>
                      </w:rPr>
                    </m:ctrlPr>
                  </m:e>
                  <m:sub>
                    <m:r>
                      <m:rPr/>
                      <w:rPr>
                        <w:rFonts w:ascii="Cambria Math" w:hAnsi="Cambria Math"/>
                        <w:color w:val="auto"/>
                        <w:highlight w:val="none"/>
                      </w:rPr>
                      <m:t>sd</m:t>
                    </m:r>
                    <m:ctrlPr>
                      <w:rPr>
                        <w:rFonts w:ascii="Cambria Math" w:hAnsi="Cambria Math"/>
                        <w:i/>
                        <w:color w:val="auto"/>
                        <w:highlight w:val="none"/>
                      </w:rPr>
                    </m:ctrlPr>
                  </m:sub>
                </m:sSub>
                <m:rad>
                  <m:radPr>
                    <m:degHide m:val="1"/>
                    <m:ctrlPr>
                      <w:rPr>
                        <w:rFonts w:ascii="Cambria Math" w:hAnsi="Cambria Math"/>
                        <w:i/>
                        <w:color w:val="auto"/>
                        <w:highlight w:val="none"/>
                      </w:rPr>
                    </m:ctrlPr>
                  </m:radPr>
                  <m:deg>
                    <m:ctrlPr>
                      <w:rPr>
                        <w:rFonts w:ascii="Cambria Math" w:hAnsi="Cambria Math"/>
                        <w:i/>
                        <w:color w:val="auto"/>
                        <w:highlight w:val="none"/>
                      </w:rPr>
                    </m:ctrlPr>
                  </m:deg>
                  <m:e>
                    <m:sSub>
                      <m:sSubPr>
                        <m:ctrlPr>
                          <w:rPr>
                            <w:rFonts w:ascii="Cambria Math" w:hAnsi="Cambria Math"/>
                            <w:i/>
                            <w:color w:val="auto"/>
                            <w:highlight w:val="none"/>
                          </w:rPr>
                        </m:ctrlPr>
                      </m:sSubPr>
                      <m:e>
                        <m:r>
                          <m:rPr/>
                          <w:rPr>
                            <w:rFonts w:ascii="Cambria Math" w:hAnsi="Cambria Math"/>
                            <w:color w:val="auto"/>
                            <w:highlight w:val="none"/>
                          </w:rPr>
                          <m:t>f</m:t>
                        </m:r>
                        <m:ctrlPr>
                          <w:rPr>
                            <w:rFonts w:ascii="Cambria Math" w:hAnsi="Cambria Math"/>
                            <w:i/>
                            <w:color w:val="auto"/>
                            <w:highlight w:val="none"/>
                          </w:rPr>
                        </m:ctrlPr>
                      </m:e>
                      <m:sub>
                        <m:r>
                          <m:rPr/>
                          <w:rPr>
                            <w:rFonts w:ascii="Cambria Math" w:hAnsi="Cambria Math"/>
                            <w:color w:val="auto"/>
                            <w:highlight w:val="none"/>
                          </w:rPr>
                          <m:t>c</m:t>
                        </m:r>
                        <m:ctrlPr>
                          <w:rPr>
                            <w:rFonts w:ascii="Cambria Math" w:hAnsi="Cambria Math"/>
                            <w:i/>
                            <w:color w:val="auto"/>
                            <w:highlight w:val="none"/>
                          </w:rPr>
                        </m:ctrlPr>
                      </m:sub>
                    </m:sSub>
                    <m:sSub>
                      <m:sSubPr>
                        <m:ctrlPr>
                          <w:rPr>
                            <w:rFonts w:ascii="Cambria Math" w:hAnsi="Cambria Math"/>
                            <w:i/>
                            <w:color w:val="auto"/>
                            <w:highlight w:val="none"/>
                          </w:rPr>
                        </m:ctrlPr>
                      </m:sSubPr>
                      <m:e>
                        <m:r>
                          <m:rPr/>
                          <w:rPr>
                            <w:rFonts w:ascii="Cambria Math" w:hAnsi="Cambria Math"/>
                            <w:color w:val="auto"/>
                            <w:highlight w:val="none"/>
                          </w:rPr>
                          <m:t>f</m:t>
                        </m:r>
                        <m:ctrlPr>
                          <w:rPr>
                            <w:rFonts w:ascii="Cambria Math" w:hAnsi="Cambria Math"/>
                            <w:i/>
                            <w:color w:val="auto"/>
                            <w:highlight w:val="none"/>
                          </w:rPr>
                        </m:ctrlPr>
                      </m:e>
                      <m:sub>
                        <m:r>
                          <m:rPr/>
                          <w:rPr>
                            <w:rFonts w:ascii="Cambria Math" w:hAnsi="Cambria Math"/>
                            <w:color w:val="auto"/>
                            <w:highlight w:val="none"/>
                          </w:rPr>
                          <m:t>y</m:t>
                        </m:r>
                        <m:ctrlPr>
                          <w:rPr>
                            <w:rFonts w:ascii="Cambria Math" w:hAnsi="Cambria Math"/>
                            <w:i/>
                            <w:color w:val="auto"/>
                            <w:highlight w:val="none"/>
                          </w:rPr>
                        </m:ctrlPr>
                      </m:sub>
                    </m:sSub>
                    <m:ctrlPr>
                      <w:rPr>
                        <w:rFonts w:ascii="Cambria Math" w:hAnsi="Cambria Math"/>
                        <w:i/>
                        <w:color w:val="auto"/>
                        <w:highlight w:val="none"/>
                      </w:rPr>
                    </m:ctrlPr>
                  </m:e>
                </m:rad>
              </m:oMath>
            </m:oMathPara>
          </w:p>
        </w:tc>
        <w:tc>
          <w:tcPr>
            <w:tcW w:w="1139" w:type="pct"/>
            <w:vAlign w:val="center"/>
          </w:tcPr>
          <w:p w14:paraId="3831627A">
            <w:pPr>
              <w:widowControl/>
              <w:spacing w:line="360" w:lineRule="exact"/>
              <w:jc w:val="center"/>
              <w:rPr>
                <w:i/>
                <w:iCs/>
                <w:color w:val="auto"/>
                <w:kern w:val="0"/>
                <w:sz w:val="28"/>
                <w:szCs w:val="28"/>
                <w:highlight w:val="none"/>
                <w:lang w:bidi="ar"/>
              </w:rPr>
            </w:pPr>
            <w:r>
              <w:rPr>
                <w:rFonts w:hint="eastAsia"/>
                <w:color w:val="auto"/>
                <w:kern w:val="0"/>
                <w:szCs w:val="21"/>
                <w:highlight w:val="none"/>
                <w:lang w:bidi="ar"/>
              </w:rPr>
              <w:t>（6.</w:t>
            </w:r>
            <w:r>
              <w:rPr>
                <w:rFonts w:hint="eastAsia"/>
                <w:color w:val="auto"/>
                <w:kern w:val="0"/>
                <w:szCs w:val="21"/>
                <w:highlight w:val="none"/>
                <w:lang w:val="en-US" w:eastAsia="zh-CN" w:bidi="ar"/>
              </w:rPr>
              <w:t>4</w:t>
            </w:r>
            <w:r>
              <w:rPr>
                <w:rFonts w:hint="eastAsia"/>
                <w:color w:val="auto"/>
                <w:kern w:val="0"/>
                <w:szCs w:val="21"/>
                <w:highlight w:val="none"/>
                <w:lang w:bidi="ar"/>
              </w:rPr>
              <w:t>.2）</w:t>
            </w:r>
          </w:p>
        </w:tc>
      </w:tr>
    </w:tbl>
    <w:tbl>
      <w:tblPr>
        <w:tblStyle w:val="25"/>
        <w:tblW w:w="5097" w:type="pct"/>
        <w:tblInd w:w="-119" w:type="dxa"/>
        <w:tblLayout w:type="autofit"/>
        <w:tblCellMar>
          <w:top w:w="0" w:type="dxa"/>
          <w:left w:w="0" w:type="dxa"/>
          <w:bottom w:w="0" w:type="dxa"/>
          <w:right w:w="0" w:type="dxa"/>
        </w:tblCellMar>
      </w:tblPr>
      <w:tblGrid>
        <w:gridCol w:w="582"/>
        <w:gridCol w:w="542"/>
        <w:gridCol w:w="4910"/>
      </w:tblGrid>
      <w:tr w14:paraId="03B35534">
        <w:tblPrEx>
          <w:tblCellMar>
            <w:top w:w="0" w:type="dxa"/>
            <w:left w:w="0" w:type="dxa"/>
            <w:bottom w:w="0" w:type="dxa"/>
            <w:right w:w="0" w:type="dxa"/>
          </w:tblCellMar>
        </w:tblPrEx>
        <w:trPr>
          <w:trHeight w:val="23" w:hRule="atLeast"/>
        </w:trPr>
        <w:tc>
          <w:tcPr>
            <w:tcW w:w="482" w:type="pct"/>
            <w:noWrap w:val="0"/>
            <w:vAlign w:val="top"/>
          </w:tcPr>
          <w:p w14:paraId="6ACD609C">
            <w:pPr>
              <w:adjustRightInd w:val="0"/>
              <w:snapToGrid w:val="0"/>
              <w:spacing w:line="360" w:lineRule="exact"/>
              <w:jc w:val="left"/>
              <w:rPr>
                <w:color w:val="000000"/>
                <w:szCs w:val="21"/>
                <w:highlight w:val="none"/>
              </w:rPr>
            </w:pPr>
            <w:bookmarkStart w:id="491" w:name="OLE_LINK299" w:colFirst="1" w:colLast="2"/>
            <w:bookmarkStart w:id="492" w:name="OLE_LINK340" w:colFirst="1" w:colLast="3"/>
            <w:bookmarkStart w:id="493" w:name="OLE_LINK390" w:colFirst="1" w:colLast="2"/>
            <w:r>
              <w:rPr>
                <w:rFonts w:hint="eastAsia"/>
                <w:color w:val="000000"/>
                <w:sz w:val="21"/>
                <w:szCs w:val="21"/>
                <w:highlight w:val="none"/>
              </w:rPr>
              <w:t>式中：</w:t>
            </w:r>
          </w:p>
        </w:tc>
        <w:tc>
          <w:tcPr>
            <w:tcW w:w="449" w:type="pct"/>
            <w:noWrap w:val="0"/>
            <w:vAlign w:val="center"/>
          </w:tcPr>
          <w:p w14:paraId="4666B9EB">
            <w:pPr>
              <w:adjustRightInd w:val="0"/>
              <w:snapToGrid w:val="0"/>
              <w:spacing w:line="360" w:lineRule="exact"/>
              <w:jc w:val="center"/>
              <w:rPr>
                <w:rFonts w:hint="default" w:ascii="Cambria Math" w:hAnsi="Cambria Math" w:cs="Cambria Math"/>
                <w:color w:val="000000"/>
                <w:szCs w:val="21"/>
                <w:highlight w:val="none"/>
              </w:rPr>
            </w:pPr>
            <m:oMathPara>
              <m:oMath>
                <m:sSub>
                  <m:sSubPr>
                    <m:ctrlPr>
                      <w:rPr>
                        <w:rFonts w:ascii="Cambria Math" w:hAnsi="Cambria Math"/>
                        <w:color w:val="auto"/>
                        <w:szCs w:val="21"/>
                        <w:highlight w:val="none"/>
                      </w:rPr>
                    </m:ctrlPr>
                  </m:sSubPr>
                  <m:e>
                    <m:r>
                      <m:rPr>
                        <m:sty m:val="p"/>
                      </m:rPr>
                      <w:rPr>
                        <w:rFonts w:ascii="Cambria Math" w:hAnsi="Cambria Math"/>
                        <w:color w:val="auto"/>
                        <w:szCs w:val="21"/>
                        <w:highlight w:val="none"/>
                      </w:rPr>
                      <m:t>f</m:t>
                    </m:r>
                    <m:ctrlPr>
                      <w:rPr>
                        <w:rFonts w:ascii="Cambria Math" w:hAnsi="Cambria Math"/>
                        <w:color w:val="auto"/>
                        <w:szCs w:val="21"/>
                        <w:highlight w:val="none"/>
                      </w:rPr>
                    </m:ctrlPr>
                  </m:e>
                  <m:sub>
                    <m:r>
                      <m:rPr>
                        <m:sty m:val="p"/>
                      </m:rPr>
                      <w:rPr>
                        <w:rFonts w:ascii="Cambria Math" w:hAnsi="Cambria Math"/>
                        <w:color w:val="auto"/>
                        <w:szCs w:val="21"/>
                        <w:highlight w:val="none"/>
                      </w:rPr>
                      <m:t>c</m:t>
                    </m:r>
                    <m:ctrlPr>
                      <w:rPr>
                        <w:rFonts w:ascii="Cambria Math" w:hAnsi="Cambria Math"/>
                        <w:color w:val="auto"/>
                        <w:szCs w:val="21"/>
                        <w:highlight w:val="none"/>
                      </w:rPr>
                    </m:ctrlPr>
                  </m:sub>
                </m:sSub>
              </m:oMath>
            </m:oMathPara>
          </w:p>
        </w:tc>
        <w:tc>
          <w:tcPr>
            <w:tcW w:w="4068" w:type="pct"/>
            <w:noWrap w:val="0"/>
            <w:vAlign w:val="center"/>
          </w:tcPr>
          <w:p w14:paraId="11DBD8AB">
            <w:pPr>
              <w:adjustRightInd/>
              <w:snapToGrid/>
              <w:spacing w:line="360" w:lineRule="exact"/>
              <w:ind w:left="0" w:firstLine="0" w:firstLineChars="0"/>
              <w:jc w:val="both"/>
              <w:rPr>
                <w:rFonts w:hint="default" w:ascii="Cambria Math" w:hAnsi="Cambria Math" w:cs="Cambria Math"/>
                <w:color w:val="000000"/>
                <w:szCs w:val="21"/>
                <w:highlight w:val="none"/>
              </w:rPr>
            </w:pPr>
            <w:r>
              <w:rPr>
                <w:rFonts w:ascii="Times New Roman" w:hAnsi="Times New Roman"/>
                <w:sz w:val="21"/>
                <w:szCs w:val="21"/>
                <w:highlight w:val="none"/>
              </w:rPr>
              <w:t>——</w:t>
            </w:r>
            <w:r>
              <w:rPr>
                <w:color w:val="auto"/>
                <w:szCs w:val="21"/>
                <w:highlight w:val="none"/>
              </w:rPr>
              <w:t>预制构件混凝土轴心抗压强度设计值；</w:t>
            </w:r>
          </w:p>
        </w:tc>
      </w:tr>
      <w:tr w14:paraId="061E250D">
        <w:tblPrEx>
          <w:tblCellMar>
            <w:top w:w="0" w:type="dxa"/>
            <w:left w:w="0" w:type="dxa"/>
            <w:bottom w:w="0" w:type="dxa"/>
            <w:right w:w="0" w:type="dxa"/>
          </w:tblCellMar>
        </w:tblPrEx>
        <w:trPr>
          <w:trHeight w:val="23" w:hRule="atLeast"/>
        </w:trPr>
        <w:tc>
          <w:tcPr>
            <w:tcW w:w="482" w:type="pct"/>
            <w:noWrap w:val="0"/>
            <w:vAlign w:val="top"/>
          </w:tcPr>
          <w:p w14:paraId="69DB2D1E">
            <w:pPr>
              <w:adjustRightInd w:val="0"/>
              <w:snapToGrid w:val="0"/>
              <w:spacing w:line="360" w:lineRule="exact"/>
              <w:jc w:val="left"/>
              <w:rPr>
                <w:color w:val="000000"/>
                <w:sz w:val="21"/>
                <w:szCs w:val="21"/>
                <w:highlight w:val="none"/>
              </w:rPr>
            </w:pPr>
          </w:p>
        </w:tc>
        <w:tc>
          <w:tcPr>
            <w:tcW w:w="449" w:type="pct"/>
            <w:noWrap w:val="0"/>
            <w:vAlign w:val="center"/>
          </w:tcPr>
          <w:p w14:paraId="2C3066B2">
            <w:pPr>
              <w:adjustRightInd w:val="0"/>
              <w:snapToGrid w:val="0"/>
              <w:spacing w:line="360" w:lineRule="exact"/>
              <w:jc w:val="center"/>
              <w:rPr>
                <w:rFonts w:hint="default" w:ascii="Cambria Math" w:hAnsi="Cambria Math" w:cs="Cambria Math"/>
                <w:color w:val="000000"/>
                <w:szCs w:val="21"/>
                <w:highlight w:val="none"/>
              </w:rPr>
            </w:pPr>
            <m:oMathPara>
              <m:oMath>
                <m:sSub>
                  <m:sSubPr>
                    <m:ctrlPr>
                      <w:rPr>
                        <w:rFonts w:ascii="Cambria Math" w:hAnsi="Cambria Math"/>
                        <w:color w:val="auto"/>
                        <w:szCs w:val="21"/>
                        <w:highlight w:val="none"/>
                      </w:rPr>
                    </m:ctrlPr>
                  </m:sSubPr>
                  <m:e>
                    <m:r>
                      <m:rPr>
                        <m:sty m:val="p"/>
                      </m:rPr>
                      <w:rPr>
                        <w:rFonts w:ascii="Cambria Math" w:hAnsi="Cambria Math"/>
                        <w:color w:val="auto"/>
                        <w:szCs w:val="21"/>
                        <w:highlight w:val="none"/>
                      </w:rPr>
                      <m:t>A</m:t>
                    </m:r>
                    <m:ctrlPr>
                      <w:rPr>
                        <w:rFonts w:ascii="Cambria Math" w:hAnsi="Cambria Math"/>
                        <w:color w:val="auto"/>
                        <w:szCs w:val="21"/>
                        <w:highlight w:val="none"/>
                      </w:rPr>
                    </m:ctrlPr>
                  </m:e>
                  <m:sub>
                    <m:r>
                      <m:rPr>
                        <m:sty m:val="p"/>
                      </m:rPr>
                      <w:rPr>
                        <w:rFonts w:ascii="Cambria Math" w:hAnsi="Cambria Math"/>
                        <w:color w:val="auto"/>
                        <w:szCs w:val="21"/>
                        <w:highlight w:val="none"/>
                      </w:rPr>
                      <m:t>cl</m:t>
                    </m:r>
                    <m:ctrlPr>
                      <w:rPr>
                        <w:rFonts w:ascii="Cambria Math" w:hAnsi="Cambria Math"/>
                        <w:color w:val="auto"/>
                        <w:szCs w:val="21"/>
                        <w:highlight w:val="none"/>
                      </w:rPr>
                    </m:ctrlPr>
                  </m:sub>
                </m:sSub>
              </m:oMath>
            </m:oMathPara>
          </w:p>
        </w:tc>
        <w:tc>
          <w:tcPr>
            <w:tcW w:w="4068" w:type="pct"/>
            <w:noWrap w:val="0"/>
            <w:vAlign w:val="center"/>
          </w:tcPr>
          <w:p w14:paraId="4F270BD8">
            <w:pPr>
              <w:adjustRightInd w:val="0"/>
              <w:snapToGrid w:val="0"/>
              <w:spacing w:line="360" w:lineRule="exact"/>
              <w:jc w:val="both"/>
              <w:rPr>
                <w:rFonts w:hint="default" w:ascii="Cambria Math" w:hAnsi="Cambria Math" w:cs="Cambria Math"/>
                <w:color w:val="000000"/>
                <w:szCs w:val="21"/>
                <w:highlight w:val="none"/>
              </w:rPr>
            </w:pPr>
            <w:r>
              <w:rPr>
                <w:rFonts w:ascii="Times New Roman" w:hAnsi="Times New Roman"/>
                <w:sz w:val="21"/>
                <w:szCs w:val="21"/>
                <w:highlight w:val="none"/>
              </w:rPr>
              <w:t>——</w:t>
            </w:r>
            <w:r>
              <w:rPr>
                <w:color w:val="auto"/>
                <w:szCs w:val="21"/>
                <w:highlight w:val="none"/>
              </w:rPr>
              <w:t>叠合梁端截面后浇混凝土叠合层截面面积；</w:t>
            </w:r>
          </w:p>
        </w:tc>
      </w:tr>
      <w:tr w14:paraId="289FC56D">
        <w:tblPrEx>
          <w:tblCellMar>
            <w:top w:w="0" w:type="dxa"/>
            <w:left w:w="0" w:type="dxa"/>
            <w:bottom w:w="0" w:type="dxa"/>
            <w:right w:w="0" w:type="dxa"/>
          </w:tblCellMar>
        </w:tblPrEx>
        <w:trPr>
          <w:trHeight w:val="23" w:hRule="atLeast"/>
        </w:trPr>
        <w:tc>
          <w:tcPr>
            <w:tcW w:w="482" w:type="pct"/>
            <w:noWrap w:val="0"/>
            <w:vAlign w:val="top"/>
          </w:tcPr>
          <w:p w14:paraId="047DB1F1">
            <w:pPr>
              <w:adjustRightInd w:val="0"/>
              <w:snapToGrid w:val="0"/>
              <w:spacing w:line="360" w:lineRule="exact"/>
              <w:jc w:val="left"/>
              <w:rPr>
                <w:color w:val="000000"/>
                <w:szCs w:val="21"/>
                <w:highlight w:val="none"/>
              </w:rPr>
            </w:pPr>
          </w:p>
        </w:tc>
        <w:tc>
          <w:tcPr>
            <w:tcW w:w="449" w:type="pct"/>
            <w:noWrap w:val="0"/>
            <w:vAlign w:val="center"/>
          </w:tcPr>
          <w:p w14:paraId="58A877F1">
            <w:pPr>
              <w:adjustRightInd w:val="0"/>
              <w:snapToGrid w:val="0"/>
              <w:spacing w:line="360" w:lineRule="exact"/>
              <w:jc w:val="center"/>
              <w:rPr>
                <w:rFonts w:hint="default" w:ascii="Cambria Math" w:hAnsi="Cambria Math" w:cs="Cambria Math"/>
                <w:color w:val="000000"/>
                <w:szCs w:val="21"/>
                <w:highlight w:val="none"/>
              </w:rPr>
            </w:pPr>
            <m:oMathPara>
              <m:oMath>
                <m:sSub>
                  <m:sSubPr>
                    <m:ctrlPr>
                      <w:rPr>
                        <w:rFonts w:ascii="Cambria Math" w:hAnsi="Cambria Math"/>
                        <w:color w:val="auto"/>
                        <w:szCs w:val="21"/>
                        <w:highlight w:val="none"/>
                      </w:rPr>
                    </m:ctrlPr>
                  </m:sSubPr>
                  <m:e>
                    <m:r>
                      <m:rPr>
                        <m:sty m:val="p"/>
                      </m:rPr>
                      <w:rPr>
                        <w:rFonts w:ascii="Cambria Math" w:hAnsi="Cambria Math"/>
                        <w:color w:val="auto"/>
                        <w:szCs w:val="21"/>
                        <w:highlight w:val="none"/>
                      </w:rPr>
                      <m:t>A</m:t>
                    </m:r>
                    <m:ctrlPr>
                      <w:rPr>
                        <w:rFonts w:ascii="Cambria Math" w:hAnsi="Cambria Math"/>
                        <w:color w:val="auto"/>
                        <w:szCs w:val="21"/>
                        <w:highlight w:val="none"/>
                      </w:rPr>
                    </m:ctrlPr>
                  </m:e>
                  <m:sub>
                    <m:r>
                      <m:rPr>
                        <m:sty m:val="p"/>
                      </m:rPr>
                      <w:rPr>
                        <w:rFonts w:ascii="Cambria Math" w:hAnsi="Cambria Math"/>
                        <w:color w:val="auto"/>
                        <w:szCs w:val="21"/>
                        <w:highlight w:val="none"/>
                      </w:rPr>
                      <m:t>k</m:t>
                    </m:r>
                    <m:ctrlPr>
                      <w:rPr>
                        <w:rFonts w:ascii="Cambria Math" w:hAnsi="Cambria Math"/>
                        <w:color w:val="auto"/>
                        <w:szCs w:val="21"/>
                        <w:highlight w:val="none"/>
                      </w:rPr>
                    </m:ctrlPr>
                  </m:sub>
                </m:sSub>
              </m:oMath>
            </m:oMathPara>
          </w:p>
        </w:tc>
        <w:tc>
          <w:tcPr>
            <w:tcW w:w="4068" w:type="pct"/>
            <w:noWrap w:val="0"/>
            <w:vAlign w:val="center"/>
          </w:tcPr>
          <w:p w14:paraId="7120720F">
            <w:pPr>
              <w:adjustRightInd w:val="0"/>
              <w:snapToGrid w:val="0"/>
              <w:spacing w:line="360" w:lineRule="exact"/>
              <w:ind w:left="420" w:hanging="420" w:hangingChars="200"/>
              <w:jc w:val="both"/>
              <w:rPr>
                <w:rFonts w:hint="default" w:ascii="Cambria Math" w:hAnsi="Cambria Math" w:cs="Cambria Math"/>
                <w:color w:val="000000"/>
                <w:szCs w:val="21"/>
                <w:highlight w:val="none"/>
              </w:rPr>
            </w:pPr>
            <w:r>
              <w:rPr>
                <w:rFonts w:ascii="Times New Roman" w:hAnsi="Times New Roman"/>
                <w:sz w:val="21"/>
                <w:szCs w:val="21"/>
                <w:highlight w:val="none"/>
              </w:rPr>
              <w:t>——</w:t>
            </w:r>
            <w:r>
              <w:rPr>
                <w:color w:val="auto"/>
                <w:szCs w:val="21"/>
                <w:highlight w:val="none"/>
              </w:rPr>
              <w:t>键槽根部截面面积之和；</w:t>
            </w:r>
          </w:p>
        </w:tc>
      </w:tr>
      <w:tr w14:paraId="2FDBCB5E">
        <w:tblPrEx>
          <w:tblCellMar>
            <w:top w:w="0" w:type="dxa"/>
            <w:left w:w="0" w:type="dxa"/>
            <w:bottom w:w="0" w:type="dxa"/>
            <w:right w:w="0" w:type="dxa"/>
          </w:tblCellMar>
        </w:tblPrEx>
        <w:trPr>
          <w:trHeight w:val="23" w:hRule="atLeast"/>
        </w:trPr>
        <w:tc>
          <w:tcPr>
            <w:tcW w:w="482" w:type="pct"/>
            <w:noWrap w:val="0"/>
            <w:vAlign w:val="top"/>
          </w:tcPr>
          <w:p w14:paraId="2A97FF3C">
            <w:pPr>
              <w:adjustRightInd w:val="0"/>
              <w:snapToGrid w:val="0"/>
              <w:spacing w:line="360" w:lineRule="exact"/>
              <w:jc w:val="left"/>
              <w:rPr>
                <w:color w:val="000000"/>
                <w:szCs w:val="21"/>
                <w:highlight w:val="none"/>
              </w:rPr>
            </w:pPr>
          </w:p>
        </w:tc>
        <w:tc>
          <w:tcPr>
            <w:tcW w:w="449" w:type="pct"/>
            <w:noWrap w:val="0"/>
            <w:vAlign w:val="center"/>
          </w:tcPr>
          <w:p w14:paraId="3C8F11CB">
            <w:pPr>
              <w:adjustRightInd w:val="0"/>
              <w:snapToGrid w:val="0"/>
              <w:spacing w:line="360" w:lineRule="exact"/>
              <w:jc w:val="center"/>
              <w:rPr>
                <w:rFonts w:hint="default" w:ascii="Cambria Math" w:hAnsi="Cambria Math" w:cs="Cambria Math"/>
                <w:i/>
                <w:iCs/>
                <w:sz w:val="21"/>
                <w:szCs w:val="21"/>
                <w:highlight w:val="none"/>
              </w:rPr>
            </w:pPr>
            <m:oMathPara>
              <m:oMath>
                <m:sSub>
                  <m:sSubPr>
                    <m:ctrlPr>
                      <w:rPr>
                        <w:rFonts w:ascii="Cambria Math" w:hAnsi="Cambria Math"/>
                        <w:color w:val="auto"/>
                        <w:szCs w:val="21"/>
                        <w:highlight w:val="none"/>
                      </w:rPr>
                    </m:ctrlPr>
                  </m:sSubPr>
                  <m:e>
                    <m:r>
                      <m:rPr>
                        <m:sty m:val="p"/>
                      </m:rPr>
                      <w:rPr>
                        <w:rFonts w:ascii="Cambria Math" w:hAnsi="Cambria Math"/>
                        <w:color w:val="auto"/>
                        <w:szCs w:val="21"/>
                        <w:highlight w:val="none"/>
                      </w:rPr>
                      <m:t>A</m:t>
                    </m:r>
                    <m:ctrlPr>
                      <w:rPr>
                        <w:rFonts w:ascii="Cambria Math" w:hAnsi="Cambria Math"/>
                        <w:color w:val="auto"/>
                        <w:szCs w:val="21"/>
                        <w:highlight w:val="none"/>
                      </w:rPr>
                    </m:ctrlPr>
                  </m:e>
                  <m:sub>
                    <m:r>
                      <m:rPr>
                        <m:sty m:val="p"/>
                      </m:rPr>
                      <w:rPr>
                        <w:rFonts w:ascii="Cambria Math" w:hAnsi="Cambria Math"/>
                        <w:color w:val="auto"/>
                        <w:szCs w:val="21"/>
                        <w:highlight w:val="none"/>
                      </w:rPr>
                      <m:t>sd</m:t>
                    </m:r>
                    <m:ctrlPr>
                      <w:rPr>
                        <w:rFonts w:ascii="Cambria Math" w:hAnsi="Cambria Math"/>
                        <w:color w:val="auto"/>
                        <w:szCs w:val="21"/>
                        <w:highlight w:val="none"/>
                      </w:rPr>
                    </m:ctrlPr>
                  </m:sub>
                </m:sSub>
              </m:oMath>
            </m:oMathPara>
          </w:p>
        </w:tc>
        <w:tc>
          <w:tcPr>
            <w:tcW w:w="4068" w:type="pct"/>
            <w:noWrap w:val="0"/>
            <w:vAlign w:val="center"/>
          </w:tcPr>
          <w:p w14:paraId="76717489">
            <w:pPr>
              <w:adjustRightInd w:val="0"/>
              <w:snapToGrid w:val="0"/>
              <w:spacing w:line="360" w:lineRule="exact"/>
              <w:jc w:val="both"/>
              <w:rPr>
                <w:rFonts w:hint="default" w:ascii="Cambria Math" w:hAnsi="Cambria Math" w:cs="Cambria Math"/>
                <w:sz w:val="21"/>
                <w:szCs w:val="21"/>
                <w:highlight w:val="none"/>
              </w:rPr>
            </w:pPr>
            <w:r>
              <w:rPr>
                <w:rFonts w:ascii="Times New Roman" w:hAnsi="Times New Roman"/>
                <w:sz w:val="21"/>
                <w:szCs w:val="21"/>
                <w:highlight w:val="none"/>
              </w:rPr>
              <w:t>——</w:t>
            </w:r>
            <w:r>
              <w:rPr>
                <w:rFonts w:hint="default" w:ascii="Cambria Math" w:hAnsi="Cambria Math" w:cs="Cambria Math"/>
                <w:szCs w:val="21"/>
                <w:highlight w:val="none"/>
              </w:rPr>
              <w:t>垂直穿过接合面所有钢筋的面积；</w:t>
            </w:r>
          </w:p>
        </w:tc>
      </w:tr>
      <w:tr w14:paraId="4A65D8EB">
        <w:tblPrEx>
          <w:tblCellMar>
            <w:top w:w="0" w:type="dxa"/>
            <w:left w:w="0" w:type="dxa"/>
            <w:bottom w:w="0" w:type="dxa"/>
            <w:right w:w="0" w:type="dxa"/>
          </w:tblCellMar>
        </w:tblPrEx>
        <w:trPr>
          <w:trHeight w:val="23" w:hRule="atLeast"/>
        </w:trPr>
        <w:tc>
          <w:tcPr>
            <w:tcW w:w="482" w:type="pct"/>
            <w:noWrap w:val="0"/>
            <w:vAlign w:val="top"/>
          </w:tcPr>
          <w:p w14:paraId="3E56B539">
            <w:pPr>
              <w:adjustRightInd w:val="0"/>
              <w:snapToGrid w:val="0"/>
              <w:spacing w:line="360" w:lineRule="exact"/>
              <w:jc w:val="left"/>
              <w:rPr>
                <w:color w:val="000000"/>
                <w:szCs w:val="21"/>
                <w:highlight w:val="none"/>
              </w:rPr>
            </w:pPr>
          </w:p>
        </w:tc>
        <w:tc>
          <w:tcPr>
            <w:tcW w:w="449" w:type="pct"/>
            <w:noWrap w:val="0"/>
            <w:vAlign w:val="center"/>
          </w:tcPr>
          <w:p w14:paraId="36646000">
            <w:pPr>
              <w:adjustRightInd w:val="0"/>
              <w:snapToGrid w:val="0"/>
              <w:spacing w:line="360" w:lineRule="exact"/>
              <w:jc w:val="center"/>
              <w:rPr>
                <w:rFonts w:hint="default" w:ascii="Cambria Math" w:hAnsi="Cambria Math" w:cs="Cambria Math"/>
                <w:color w:val="000000"/>
                <w:szCs w:val="21"/>
                <w:highlight w:val="none"/>
              </w:rPr>
            </w:pPr>
            <m:oMathPara>
              <m:oMath>
                <m:sSub>
                  <m:sSubPr>
                    <m:ctrlPr>
                      <w:rPr>
                        <w:rFonts w:ascii="Cambria Math" w:hAnsi="Cambria Math"/>
                        <w:color w:val="auto"/>
                        <w:szCs w:val="21"/>
                        <w:highlight w:val="none"/>
                      </w:rPr>
                    </m:ctrlPr>
                  </m:sSubPr>
                  <m:e>
                    <m:r>
                      <m:rPr>
                        <m:sty m:val="p"/>
                      </m:rPr>
                      <w:rPr>
                        <w:rFonts w:ascii="Cambria Math" w:hAnsi="Cambria Math"/>
                        <w:color w:val="auto"/>
                        <w:szCs w:val="21"/>
                        <w:highlight w:val="none"/>
                      </w:rPr>
                      <m:t>f</m:t>
                    </m:r>
                    <m:ctrlPr>
                      <w:rPr>
                        <w:rFonts w:ascii="Cambria Math" w:hAnsi="Cambria Math"/>
                        <w:color w:val="auto"/>
                        <w:szCs w:val="21"/>
                        <w:highlight w:val="none"/>
                      </w:rPr>
                    </m:ctrlPr>
                  </m:e>
                  <m:sub>
                    <m:r>
                      <m:rPr>
                        <m:sty m:val="p"/>
                      </m:rPr>
                      <w:rPr>
                        <w:rFonts w:ascii="Cambria Math" w:hAnsi="Cambria Math"/>
                        <w:color w:val="auto"/>
                        <w:szCs w:val="21"/>
                        <w:highlight w:val="none"/>
                      </w:rPr>
                      <m:t>y</m:t>
                    </m:r>
                    <m:ctrlPr>
                      <w:rPr>
                        <w:rFonts w:ascii="Cambria Math" w:hAnsi="Cambria Math"/>
                        <w:color w:val="auto"/>
                        <w:szCs w:val="21"/>
                        <w:highlight w:val="none"/>
                      </w:rPr>
                    </m:ctrlPr>
                  </m:sub>
                </m:sSub>
              </m:oMath>
            </m:oMathPara>
          </w:p>
        </w:tc>
        <w:tc>
          <w:tcPr>
            <w:tcW w:w="4068" w:type="pct"/>
            <w:noWrap w:val="0"/>
            <w:vAlign w:val="center"/>
          </w:tcPr>
          <w:p w14:paraId="0A3E94AC">
            <w:pPr>
              <w:adjustRightInd w:val="0"/>
              <w:snapToGrid w:val="0"/>
              <w:spacing w:line="360" w:lineRule="exact"/>
              <w:ind w:left="420" w:hanging="420" w:hangingChars="200"/>
              <w:rPr>
                <w:rFonts w:hint="default" w:ascii="Cambria Math" w:hAnsi="Cambria Math" w:cs="Cambria Math"/>
                <w:color w:val="000000"/>
                <w:szCs w:val="21"/>
                <w:highlight w:val="none"/>
              </w:rPr>
            </w:pPr>
            <w:r>
              <w:rPr>
                <w:rFonts w:ascii="Times New Roman" w:hAnsi="Times New Roman"/>
                <w:sz w:val="21"/>
                <w:szCs w:val="21"/>
                <w:highlight w:val="none"/>
              </w:rPr>
              <w:t>——</w:t>
            </w:r>
            <w:r>
              <w:rPr>
                <w:rFonts w:hint="default" w:ascii="Cambria Math" w:hAnsi="Cambria Math" w:cs="Cambria Math"/>
                <w:szCs w:val="21"/>
                <w:highlight w:val="none"/>
              </w:rPr>
              <w:t>垂直穿过接合面钢筋的抗拉强度设计值。</w:t>
            </w:r>
          </w:p>
        </w:tc>
      </w:tr>
      <w:bookmarkEnd w:id="491"/>
      <w:bookmarkEnd w:id="492"/>
      <w:bookmarkEnd w:id="493"/>
    </w:tbl>
    <w:p w14:paraId="2E4703EC">
      <w:pPr>
        <w:widowControl/>
        <w:spacing w:line="360" w:lineRule="exact"/>
        <w:rPr>
          <w:color w:val="auto"/>
          <w:szCs w:val="21"/>
          <w:highlight w:val="none"/>
        </w:rPr>
      </w:pPr>
      <w:r>
        <w:rPr>
          <w:rFonts w:hint="eastAsia"/>
          <w:b/>
          <w:color w:val="auto"/>
          <w:szCs w:val="21"/>
          <w:highlight w:val="none"/>
        </w:rPr>
        <w:t>6</w:t>
      </w:r>
      <w:r>
        <w:rPr>
          <w:b/>
          <w:color w:val="auto"/>
          <w:szCs w:val="21"/>
          <w:highlight w:val="none"/>
        </w:rPr>
        <w:t>.</w:t>
      </w:r>
      <w:r>
        <w:rPr>
          <w:rFonts w:hint="eastAsia"/>
          <w:b/>
          <w:color w:val="auto"/>
          <w:szCs w:val="21"/>
          <w:highlight w:val="none"/>
          <w:lang w:val="en-US" w:eastAsia="zh-CN"/>
        </w:rPr>
        <w:t>4</w:t>
      </w:r>
      <w:r>
        <w:rPr>
          <w:b/>
          <w:color w:val="auto"/>
          <w:szCs w:val="21"/>
          <w:highlight w:val="none"/>
        </w:rPr>
        <w:t>.</w:t>
      </w:r>
      <w:r>
        <w:rPr>
          <w:rFonts w:hint="eastAsia"/>
          <w:b/>
          <w:color w:val="auto"/>
          <w:szCs w:val="21"/>
          <w:highlight w:val="none"/>
        </w:rPr>
        <w:t>3</w:t>
      </w:r>
      <w:r>
        <w:rPr>
          <w:b/>
          <w:color w:val="auto"/>
          <w:szCs w:val="21"/>
          <w:highlight w:val="none"/>
        </w:rPr>
        <w:t xml:space="preserve"> </w:t>
      </w:r>
      <w:r>
        <w:rPr>
          <w:color w:val="auto"/>
          <w:szCs w:val="21"/>
          <w:highlight w:val="none"/>
        </w:rPr>
        <w:t xml:space="preserve"> </w:t>
      </w:r>
      <w:r>
        <w:rPr>
          <w:rFonts w:hint="eastAsia"/>
          <w:color w:val="auto"/>
          <w:szCs w:val="21"/>
          <w:highlight w:val="none"/>
        </w:rPr>
        <w:t>模块化全预制剪力墙结构中上下层预制剪力墙竖向钢筋应符合下列</w:t>
      </w:r>
      <w:r>
        <w:rPr>
          <w:rFonts w:hint="eastAsia"/>
          <w:color w:val="auto"/>
          <w:szCs w:val="21"/>
          <w:highlight w:val="none"/>
          <w:lang w:val="en-US" w:eastAsia="zh-CN"/>
        </w:rPr>
        <w:t>规定</w:t>
      </w:r>
      <w:r>
        <w:rPr>
          <w:rFonts w:hint="eastAsia"/>
          <w:color w:val="auto"/>
          <w:szCs w:val="21"/>
          <w:highlight w:val="none"/>
        </w:rPr>
        <w:t>：</w:t>
      </w:r>
    </w:p>
    <w:p w14:paraId="14F3E888">
      <w:pPr>
        <w:widowControl/>
        <w:spacing w:line="360" w:lineRule="exact"/>
        <w:ind w:firstLine="422" w:firstLineChars="200"/>
        <w:rPr>
          <w:rFonts w:hint="eastAsia" w:eastAsia="宋体"/>
          <w:color w:val="auto"/>
          <w:szCs w:val="21"/>
          <w:highlight w:val="none"/>
          <w:lang w:val="en-US" w:eastAsia="zh-CN"/>
        </w:rPr>
      </w:pPr>
      <w:r>
        <w:rPr>
          <w:rFonts w:hint="eastAsia"/>
          <w:b/>
          <w:bCs/>
          <w:color w:val="auto"/>
          <w:szCs w:val="21"/>
          <w:highlight w:val="none"/>
        </w:rPr>
        <w:t>1</w:t>
      </w:r>
      <w:r>
        <w:rPr>
          <w:rFonts w:hint="eastAsia"/>
          <w:color w:val="auto"/>
          <w:szCs w:val="21"/>
          <w:highlight w:val="none"/>
        </w:rPr>
        <w:t xml:space="preserve">  剪力墙竖向钢筋宜采用浆锚搭接单排连接形式 (图6.</w:t>
      </w:r>
      <w:r>
        <w:rPr>
          <w:rFonts w:hint="eastAsia"/>
          <w:color w:val="auto"/>
          <w:szCs w:val="21"/>
          <w:highlight w:val="none"/>
          <w:lang w:val="en-US" w:eastAsia="zh-CN"/>
        </w:rPr>
        <w:t>4</w:t>
      </w:r>
      <w:r>
        <w:rPr>
          <w:rFonts w:hint="eastAsia"/>
          <w:color w:val="auto"/>
          <w:szCs w:val="21"/>
          <w:highlight w:val="none"/>
        </w:rPr>
        <w:t>.3)，剪力墙两侧竖向分布钢筋与配置于墙体厚度中部的连接钢筋搭接连接，连接钢筋位于内、外侧被连接钢筋的中间</w:t>
      </w:r>
      <w:r>
        <w:rPr>
          <w:rFonts w:hint="eastAsia"/>
          <w:color w:val="auto"/>
          <w:szCs w:val="21"/>
          <w:highlight w:val="none"/>
          <w:lang w:val="en-US" w:eastAsia="zh-CN"/>
        </w:rPr>
        <w:t>；</w:t>
      </w:r>
    </w:p>
    <w:p w14:paraId="4A58E113">
      <w:pPr>
        <w:widowControl/>
        <w:spacing w:line="360" w:lineRule="exact"/>
        <w:ind w:firstLine="422" w:firstLineChars="200"/>
        <w:rPr>
          <w:rFonts w:hint="eastAsia" w:eastAsia="宋体"/>
          <w:color w:val="auto"/>
          <w:szCs w:val="21"/>
          <w:highlight w:val="none"/>
          <w:lang w:eastAsia="zh-CN"/>
        </w:rPr>
      </w:pPr>
      <w:r>
        <w:rPr>
          <w:rFonts w:hint="eastAsia"/>
          <w:b/>
          <w:bCs/>
          <w:color w:val="auto"/>
          <w:szCs w:val="21"/>
          <w:highlight w:val="none"/>
        </w:rPr>
        <w:t xml:space="preserve">2 </w:t>
      </w:r>
      <w:r>
        <w:rPr>
          <w:rFonts w:hint="eastAsia"/>
          <w:color w:val="auto"/>
          <w:szCs w:val="21"/>
          <w:highlight w:val="none"/>
        </w:rPr>
        <w:t xml:space="preserve"> 连接钢筋受拉承载力不应小于上下层被连接钢筋受拉承载力较大值的1.1倍，间距不宜大于300mm。连接钢筋自下层剪力墙顶算起的埋置长度不应小于1.2LaE+bw/2(bw为墙体厚度)，自上层预制墙体底部伸人预留灌浆孔道内的长度不应小于 1.2laE+bw/2，LaE按连接钢筋直径计算</w:t>
      </w:r>
      <w:r>
        <w:rPr>
          <w:rFonts w:hint="eastAsia"/>
          <w:color w:val="auto"/>
          <w:szCs w:val="21"/>
          <w:highlight w:val="none"/>
          <w:lang w:eastAsia="zh-CN"/>
        </w:rPr>
        <w:t>；</w:t>
      </w:r>
    </w:p>
    <w:p w14:paraId="48E9564C">
      <w:pPr>
        <w:widowControl/>
        <w:spacing w:line="360" w:lineRule="exact"/>
        <w:ind w:firstLine="422" w:firstLineChars="200"/>
        <w:rPr>
          <w:color w:val="auto"/>
          <w:szCs w:val="21"/>
          <w:highlight w:val="none"/>
        </w:rPr>
      </w:pPr>
      <w:r>
        <w:rPr>
          <w:rFonts w:hint="eastAsia"/>
          <w:b/>
          <w:bCs/>
          <w:color w:val="auto"/>
          <w:szCs w:val="21"/>
          <w:highlight w:val="none"/>
        </w:rPr>
        <w:t>3</w:t>
      </w:r>
      <w:r>
        <w:rPr>
          <w:rFonts w:hint="eastAsia"/>
          <w:color w:val="auto"/>
          <w:szCs w:val="21"/>
          <w:highlight w:val="none"/>
        </w:rPr>
        <w:t xml:space="preserve">  钢筋连接长度范围内应配置拉筋，同一连接接头内的拉筋配筋面积不应小于连接钢筋的面积</w:t>
      </w:r>
      <w:r>
        <w:rPr>
          <w:rFonts w:hint="eastAsia"/>
          <w:color w:val="auto"/>
          <w:szCs w:val="21"/>
          <w:highlight w:val="none"/>
          <w:lang w:eastAsia="zh-CN"/>
        </w:rPr>
        <w:t>；</w:t>
      </w:r>
      <w:r>
        <w:rPr>
          <w:rFonts w:hint="eastAsia"/>
          <w:color w:val="auto"/>
          <w:szCs w:val="21"/>
          <w:highlight w:val="none"/>
        </w:rPr>
        <w:t>拉筋沿竖向的间距不应大于水平分布钢筋间距，且不宜大于150mm</w:t>
      </w:r>
      <w:r>
        <w:rPr>
          <w:rFonts w:hint="eastAsia"/>
          <w:color w:val="auto"/>
          <w:szCs w:val="21"/>
          <w:highlight w:val="none"/>
          <w:lang w:eastAsia="zh-CN"/>
        </w:rPr>
        <w:t>；</w:t>
      </w:r>
      <w:r>
        <w:rPr>
          <w:rFonts w:hint="eastAsia"/>
          <w:color w:val="auto"/>
          <w:szCs w:val="21"/>
          <w:highlight w:val="none"/>
        </w:rPr>
        <w:t>拉筋沿水平方向的</w:t>
      </w:r>
      <w:r>
        <w:rPr>
          <w:rFonts w:hint="eastAsia"/>
          <w:color w:val="auto"/>
          <w:szCs w:val="21"/>
          <w:highlight w:val="none"/>
          <w:lang w:val="en-US" w:eastAsia="zh-CN"/>
        </w:rPr>
        <w:t>间</w:t>
      </w:r>
      <w:r>
        <w:rPr>
          <w:rFonts w:hint="eastAsia"/>
          <w:color w:val="auto"/>
          <w:szCs w:val="21"/>
          <w:highlight w:val="none"/>
        </w:rPr>
        <w:t>距不应大于竖向分布钢筋间距，直径不应小于6mm</w:t>
      </w:r>
      <w:r>
        <w:rPr>
          <w:rFonts w:hint="eastAsia"/>
          <w:color w:val="auto"/>
          <w:szCs w:val="21"/>
          <w:highlight w:val="none"/>
          <w:lang w:eastAsia="zh-CN"/>
        </w:rPr>
        <w:t>；</w:t>
      </w:r>
      <w:r>
        <w:rPr>
          <w:rFonts w:hint="eastAsia"/>
          <w:color w:val="auto"/>
          <w:szCs w:val="21"/>
          <w:highlight w:val="none"/>
        </w:rPr>
        <w:t>拉筋应紧靠连接钢筋，并钩住最外层分布钢筋。</w:t>
      </w:r>
    </w:p>
    <w:p w14:paraId="4C965B69">
      <w:pPr>
        <w:jc w:val="center"/>
        <w:rPr>
          <w:color w:val="auto"/>
          <w:highlight w:val="none"/>
        </w:rPr>
      </w:pPr>
      <w:r>
        <w:rPr>
          <w:color w:val="auto"/>
          <w:highlight w:val="none"/>
        </w:rPr>
        <w:drawing>
          <wp:inline distT="0" distB="0" distL="0" distR="0">
            <wp:extent cx="3758565" cy="1539875"/>
            <wp:effectExtent l="0" t="0" r="63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a:stretch>
                      <a:fillRect/>
                    </a:stretch>
                  </pic:blipFill>
                  <pic:spPr>
                    <a:xfrm>
                      <a:off x="0" y="0"/>
                      <a:ext cx="3758565" cy="1539875"/>
                    </a:xfrm>
                    <a:prstGeom prst="rect">
                      <a:avLst/>
                    </a:prstGeom>
                  </pic:spPr>
                </pic:pic>
              </a:graphicData>
            </a:graphic>
          </wp:inline>
        </w:drawing>
      </w:r>
    </w:p>
    <w:p w14:paraId="65BC3C4D">
      <w:pPr>
        <w:jc w:val="center"/>
        <w:rPr>
          <w:rFonts w:eastAsia="黑体"/>
          <w:color w:val="auto"/>
          <w:sz w:val="18"/>
          <w:highlight w:val="none"/>
        </w:rPr>
      </w:pPr>
      <w:r>
        <w:rPr>
          <w:rFonts w:hint="eastAsia" w:ascii="Times New Roman" w:hAnsi="Times New Roman" w:eastAsia="黑体"/>
          <w:color w:val="auto"/>
          <w:sz w:val="18"/>
          <w:highlight w:val="none"/>
        </w:rPr>
        <w:t>图</w:t>
      </w:r>
      <w:r>
        <w:rPr>
          <w:rFonts w:hint="eastAsia" w:ascii="Times New Roman" w:hAnsi="Times New Roman" w:eastAsia="黑体"/>
          <w:b/>
          <w:color w:val="auto"/>
          <w:sz w:val="18"/>
          <w:highlight w:val="none"/>
        </w:rPr>
        <w:t>6.</w:t>
      </w:r>
      <w:r>
        <w:rPr>
          <w:rFonts w:hint="eastAsia" w:eastAsia="黑体"/>
          <w:b/>
          <w:color w:val="auto"/>
          <w:sz w:val="18"/>
          <w:highlight w:val="none"/>
          <w:lang w:val="en-US" w:eastAsia="zh-CN"/>
        </w:rPr>
        <w:t>4</w:t>
      </w:r>
      <w:r>
        <w:rPr>
          <w:rFonts w:hint="eastAsia" w:ascii="Times New Roman" w:hAnsi="Times New Roman" w:eastAsia="黑体"/>
          <w:b/>
          <w:color w:val="auto"/>
          <w:sz w:val="18"/>
          <w:highlight w:val="none"/>
        </w:rPr>
        <w:t xml:space="preserve">.3 </w:t>
      </w:r>
      <w:r>
        <w:rPr>
          <w:rFonts w:hint="eastAsia" w:ascii="Times New Roman" w:hAnsi="Times New Roman" w:eastAsia="黑体"/>
          <w:color w:val="auto"/>
          <w:sz w:val="18"/>
          <w:highlight w:val="none"/>
        </w:rPr>
        <w:t xml:space="preserve"> 竖向分布钢筋单排浆锚搭接连接构造示意</w:t>
      </w:r>
    </w:p>
    <w:p w14:paraId="09F436FA">
      <w:pPr>
        <w:pStyle w:val="44"/>
        <w:ind w:left="360" w:firstLine="0" w:firstLineChars="0"/>
        <w:jc w:val="center"/>
        <w:rPr>
          <w:rFonts w:hint="eastAsia" w:ascii="Times New Roman" w:hAnsi="Times New Roman" w:eastAsia="黑体"/>
          <w:b w:val="0"/>
          <w:bCs w:val="0"/>
          <w:color w:val="auto"/>
          <w:sz w:val="18"/>
          <w:szCs w:val="18"/>
          <w:highlight w:val="none"/>
        </w:rPr>
      </w:pPr>
      <w:r>
        <w:rPr>
          <w:rFonts w:hint="eastAsia" w:ascii="Times New Roman" w:hAnsi="Times New Roman" w:eastAsia="黑体"/>
          <w:b w:val="0"/>
          <w:bCs w:val="0"/>
          <w:color w:val="auto"/>
          <w:sz w:val="18"/>
          <w:szCs w:val="18"/>
          <w:highlight w:val="none"/>
        </w:rPr>
        <w:t>1-上层预制剪力墙竖向钢筋；2-下层剪力墙连接钢筋；</w:t>
      </w:r>
    </w:p>
    <w:p w14:paraId="13F093A5">
      <w:pPr>
        <w:jc w:val="center"/>
        <w:rPr>
          <w:rFonts w:hint="eastAsia" w:ascii="Times New Roman" w:hAnsi="Times New Roman" w:eastAsia="黑体"/>
          <w:b w:val="0"/>
          <w:bCs w:val="0"/>
          <w:color w:val="auto"/>
          <w:sz w:val="18"/>
          <w:szCs w:val="18"/>
          <w:highlight w:val="none"/>
        </w:rPr>
      </w:pPr>
      <w:r>
        <w:rPr>
          <w:rFonts w:hint="eastAsia" w:ascii="Times New Roman" w:hAnsi="Times New Roman" w:eastAsia="黑体"/>
          <w:b w:val="0"/>
          <w:bCs w:val="0"/>
          <w:color w:val="auto"/>
          <w:sz w:val="18"/>
          <w:szCs w:val="18"/>
          <w:highlight w:val="none"/>
        </w:rPr>
        <w:t>3-预留灌浆孔道；4-拉筋</w:t>
      </w:r>
    </w:p>
    <w:p w14:paraId="7952AE70">
      <w:pPr>
        <w:widowControl/>
        <w:spacing w:line="360" w:lineRule="exact"/>
        <w:rPr>
          <w:rFonts w:ascii="Times New Roman" w:hAnsi="Times New Roman"/>
          <w:color w:val="auto"/>
          <w:szCs w:val="21"/>
          <w:highlight w:val="none"/>
        </w:rPr>
      </w:pPr>
      <w:bookmarkStart w:id="494" w:name="_Toc19452"/>
      <w:bookmarkStart w:id="495" w:name="_Toc13340"/>
      <w:bookmarkStart w:id="496" w:name="_Toc27923"/>
      <w:r>
        <w:rPr>
          <w:rFonts w:hint="eastAsia"/>
          <w:b/>
          <w:color w:val="auto"/>
          <w:szCs w:val="21"/>
          <w:highlight w:val="none"/>
        </w:rPr>
        <w:t>6</w:t>
      </w:r>
      <w:r>
        <w:rPr>
          <w:b/>
          <w:color w:val="auto"/>
          <w:szCs w:val="21"/>
          <w:highlight w:val="none"/>
        </w:rPr>
        <w:t>.</w:t>
      </w:r>
      <w:r>
        <w:rPr>
          <w:rFonts w:hint="eastAsia"/>
          <w:b/>
          <w:color w:val="auto"/>
          <w:szCs w:val="21"/>
          <w:highlight w:val="none"/>
          <w:lang w:val="en-US" w:eastAsia="zh-CN"/>
        </w:rPr>
        <w:t>4</w:t>
      </w:r>
      <w:r>
        <w:rPr>
          <w:rFonts w:hint="eastAsia"/>
          <w:b/>
          <w:color w:val="auto"/>
          <w:szCs w:val="21"/>
          <w:highlight w:val="none"/>
        </w:rPr>
        <w:t>.4</w:t>
      </w:r>
      <w:r>
        <w:rPr>
          <w:b/>
          <w:color w:val="auto"/>
          <w:szCs w:val="21"/>
          <w:highlight w:val="none"/>
        </w:rPr>
        <w:t xml:space="preserve"> </w:t>
      </w:r>
      <w:r>
        <w:rPr>
          <w:rFonts w:hint="eastAsia"/>
          <w:b/>
          <w:color w:val="auto"/>
          <w:szCs w:val="21"/>
          <w:highlight w:val="none"/>
          <w:lang w:val="en-US" w:eastAsia="zh-CN"/>
        </w:rPr>
        <w:t xml:space="preserve"> </w:t>
      </w:r>
      <w:r>
        <w:rPr>
          <w:color w:val="auto"/>
          <w:szCs w:val="21"/>
          <w:highlight w:val="none"/>
        </w:rPr>
        <w:t>模块</w:t>
      </w:r>
      <w:r>
        <w:rPr>
          <w:rFonts w:hint="eastAsia"/>
          <w:color w:val="auto"/>
          <w:szCs w:val="21"/>
          <w:highlight w:val="none"/>
        </w:rPr>
        <w:t>化</w:t>
      </w:r>
      <w:r>
        <w:rPr>
          <w:color w:val="auto"/>
          <w:szCs w:val="21"/>
          <w:highlight w:val="none"/>
        </w:rPr>
        <w:t>叠合剪力墙结构的墙板底部槽口</w:t>
      </w:r>
      <w:bookmarkEnd w:id="494"/>
      <w:bookmarkEnd w:id="495"/>
      <w:bookmarkEnd w:id="496"/>
      <w:bookmarkStart w:id="497" w:name="_Toc13349"/>
      <w:bookmarkStart w:id="498" w:name="_Toc5920"/>
      <w:r>
        <w:rPr>
          <w:rFonts w:hint="eastAsia" w:ascii="Times New Roman" w:hAnsi="Times New Roman"/>
          <w:color w:val="auto"/>
          <w:szCs w:val="21"/>
          <w:highlight w:val="none"/>
        </w:rPr>
        <w:t>的粗糙面的面积不宜小于结合面的</w:t>
      </w:r>
      <w:r>
        <w:rPr>
          <w:rFonts w:ascii="Times New Roman" w:hAnsi="Times New Roman"/>
          <w:color w:val="auto"/>
          <w:szCs w:val="21"/>
          <w:highlight w:val="none"/>
        </w:rPr>
        <w:t>80%</w:t>
      </w:r>
      <w:r>
        <w:rPr>
          <w:rFonts w:hint="eastAsia" w:ascii="Times New Roman" w:hAnsi="Times New Roman"/>
          <w:color w:val="auto"/>
          <w:szCs w:val="21"/>
          <w:highlight w:val="none"/>
        </w:rPr>
        <w:t>，粗糙面凹凸深度不应小于</w:t>
      </w:r>
      <w:r>
        <w:rPr>
          <w:rFonts w:ascii="Times New Roman" w:hAnsi="Times New Roman"/>
          <w:color w:val="auto"/>
          <w:szCs w:val="21"/>
          <w:highlight w:val="none"/>
        </w:rPr>
        <w:t>4mm</w:t>
      </w:r>
      <w:bookmarkEnd w:id="497"/>
      <w:bookmarkEnd w:id="498"/>
      <w:r>
        <w:rPr>
          <w:rFonts w:hint="eastAsia" w:ascii="Times New Roman" w:hAnsi="Times New Roman"/>
          <w:color w:val="auto"/>
          <w:szCs w:val="21"/>
          <w:highlight w:val="none"/>
        </w:rPr>
        <w:t>。</w:t>
      </w:r>
    </w:p>
    <w:p w14:paraId="07ACB937">
      <w:pPr>
        <w:widowControl/>
        <w:spacing w:line="360" w:lineRule="exact"/>
        <w:rPr>
          <w:color w:val="auto"/>
          <w:szCs w:val="21"/>
          <w:highlight w:val="none"/>
        </w:rPr>
      </w:pPr>
      <w:r>
        <w:rPr>
          <w:rFonts w:hint="eastAsia"/>
          <w:b/>
          <w:color w:val="auto"/>
          <w:szCs w:val="21"/>
          <w:highlight w:val="none"/>
        </w:rPr>
        <w:t>6</w:t>
      </w:r>
      <w:r>
        <w:rPr>
          <w:b/>
          <w:color w:val="auto"/>
          <w:szCs w:val="21"/>
          <w:highlight w:val="none"/>
        </w:rPr>
        <w:t>.</w:t>
      </w:r>
      <w:r>
        <w:rPr>
          <w:rFonts w:hint="eastAsia"/>
          <w:b/>
          <w:color w:val="auto"/>
          <w:szCs w:val="21"/>
          <w:highlight w:val="none"/>
          <w:lang w:val="en-US" w:eastAsia="zh-CN"/>
        </w:rPr>
        <w:t>4</w:t>
      </w:r>
      <w:r>
        <w:rPr>
          <w:rFonts w:hint="eastAsia"/>
          <w:b/>
          <w:color w:val="auto"/>
          <w:szCs w:val="21"/>
          <w:highlight w:val="none"/>
        </w:rPr>
        <w:t>.5</w:t>
      </w:r>
      <w:r>
        <w:rPr>
          <w:rFonts w:hint="eastAsia"/>
          <w:b/>
          <w:color w:val="auto"/>
          <w:szCs w:val="21"/>
          <w:highlight w:val="none"/>
          <w:lang w:val="en-US" w:eastAsia="zh-CN"/>
        </w:rPr>
        <w:t xml:space="preserve">  </w:t>
      </w:r>
      <w:r>
        <w:rPr>
          <w:color w:val="auto"/>
          <w:szCs w:val="21"/>
          <w:highlight w:val="none"/>
        </w:rPr>
        <w:t>高层模块化</w:t>
      </w:r>
      <w:r>
        <w:rPr>
          <w:rFonts w:hint="eastAsia"/>
          <w:color w:val="auto"/>
          <w:szCs w:val="21"/>
          <w:highlight w:val="none"/>
          <w:lang w:val="en-US" w:eastAsia="zh-CN"/>
        </w:rPr>
        <w:t>结构的</w:t>
      </w:r>
      <w:r>
        <w:rPr>
          <w:color w:val="auto"/>
          <w:szCs w:val="21"/>
          <w:highlight w:val="none"/>
        </w:rPr>
        <w:t>叠合剪力墙在平面内拼接时（图</w:t>
      </w:r>
      <w:r>
        <w:rPr>
          <w:rFonts w:hint="eastAsia"/>
          <w:color w:val="auto"/>
          <w:szCs w:val="21"/>
          <w:highlight w:val="none"/>
        </w:rPr>
        <w:t>6.</w:t>
      </w:r>
      <w:r>
        <w:rPr>
          <w:rFonts w:hint="eastAsia"/>
          <w:color w:val="auto"/>
          <w:szCs w:val="21"/>
          <w:highlight w:val="none"/>
          <w:lang w:val="en-US" w:eastAsia="zh-CN"/>
        </w:rPr>
        <w:t>4</w:t>
      </w:r>
      <w:r>
        <w:rPr>
          <w:rFonts w:hint="eastAsia"/>
          <w:color w:val="auto"/>
          <w:szCs w:val="21"/>
          <w:highlight w:val="none"/>
        </w:rPr>
        <w:t>.5</w:t>
      </w:r>
      <w:r>
        <w:rPr>
          <w:color w:val="auto"/>
          <w:szCs w:val="21"/>
          <w:highlight w:val="none"/>
        </w:rPr>
        <w:t>），宜设置宽度不小于墙厚且不小于200mm的后浇连接段，并满足以下</w:t>
      </w:r>
      <w:r>
        <w:rPr>
          <w:rFonts w:hint="eastAsia"/>
          <w:color w:val="auto"/>
          <w:szCs w:val="21"/>
          <w:highlight w:val="none"/>
          <w:lang w:val="en-US" w:eastAsia="zh-CN"/>
        </w:rPr>
        <w:t>规定</w:t>
      </w:r>
      <w:r>
        <w:rPr>
          <w:color w:val="auto"/>
          <w:szCs w:val="21"/>
          <w:highlight w:val="none"/>
        </w:rPr>
        <w:t xml:space="preserve">： </w:t>
      </w:r>
    </w:p>
    <w:p w14:paraId="5F884A64">
      <w:pPr>
        <w:spacing w:line="360" w:lineRule="exact"/>
        <w:ind w:firstLine="422" w:firstLineChars="200"/>
        <w:rPr>
          <w:rFonts w:ascii="Times New Roman" w:hAnsi="Times New Roman"/>
          <w:color w:val="auto"/>
          <w:szCs w:val="21"/>
          <w:highlight w:val="none"/>
        </w:rPr>
      </w:pPr>
      <w:bookmarkStart w:id="499" w:name="_Toc4773"/>
      <w:bookmarkStart w:id="500" w:name="_Toc8126"/>
      <w:r>
        <w:rPr>
          <w:rFonts w:ascii="Times New Roman" w:hAnsi="Times New Roman"/>
          <w:b/>
          <w:bCs/>
          <w:color w:val="auto"/>
          <w:szCs w:val="21"/>
          <w:highlight w:val="none"/>
        </w:rPr>
        <w:t>1</w:t>
      </w:r>
      <w:r>
        <w:rPr>
          <w:rFonts w:ascii="Times New Roman" w:hAnsi="Times New Roman"/>
          <w:color w:val="auto"/>
          <w:szCs w:val="21"/>
          <w:highlight w:val="none"/>
        </w:rPr>
        <w:t xml:space="preserve"> </w:t>
      </w:r>
      <w:r>
        <w:rPr>
          <w:rFonts w:hint="eastAsia"/>
          <w:color w:val="auto"/>
          <w:szCs w:val="21"/>
          <w:highlight w:val="none"/>
          <w:lang w:val="en-US" w:eastAsia="zh-CN"/>
        </w:rPr>
        <w:t xml:space="preserve"> </w:t>
      </w:r>
      <w:r>
        <w:rPr>
          <w:rFonts w:hint="eastAsia" w:ascii="Times New Roman" w:hAnsi="Times New Roman"/>
          <w:color w:val="auto"/>
          <w:szCs w:val="21"/>
          <w:highlight w:val="none"/>
        </w:rPr>
        <w:t>后浇段内应设置暗柱，暗柱中的竖向钢筋直径和配筋率均不应小于叶板中竖向分布筋且不少于</w:t>
      </w:r>
      <w:r>
        <w:rPr>
          <w:rFonts w:ascii="Times New Roman" w:hAnsi="Times New Roman"/>
          <w:color w:val="auto"/>
          <w:szCs w:val="21"/>
          <w:highlight w:val="none"/>
        </w:rPr>
        <w:t>4</w:t>
      </w:r>
      <w:r>
        <w:rPr>
          <w:rFonts w:hint="eastAsia" w:ascii="Times New Roman" w:hAnsi="Times New Roman"/>
          <w:color w:val="auto"/>
          <w:szCs w:val="21"/>
          <w:highlight w:val="none"/>
        </w:rPr>
        <w:t>根，箍筋直径不小于</w:t>
      </w:r>
      <w:r>
        <w:rPr>
          <w:rFonts w:ascii="Times New Roman" w:hAnsi="Times New Roman"/>
          <w:color w:val="auto"/>
          <w:szCs w:val="21"/>
          <w:highlight w:val="none"/>
        </w:rPr>
        <w:t>6mm</w:t>
      </w:r>
      <w:r>
        <w:rPr>
          <w:rFonts w:hint="eastAsia" w:ascii="Times New Roman" w:hAnsi="Times New Roman"/>
          <w:color w:val="auto"/>
          <w:szCs w:val="21"/>
          <w:highlight w:val="none"/>
        </w:rPr>
        <w:t>、间距不大于</w:t>
      </w:r>
      <w:r>
        <w:rPr>
          <w:rFonts w:ascii="Times New Roman" w:hAnsi="Times New Roman"/>
          <w:color w:val="auto"/>
          <w:szCs w:val="21"/>
          <w:highlight w:val="none"/>
        </w:rPr>
        <w:t>200mm</w:t>
      </w:r>
      <w:bookmarkEnd w:id="499"/>
      <w:bookmarkEnd w:id="500"/>
      <w:r>
        <w:rPr>
          <w:rFonts w:hint="eastAsia"/>
          <w:color w:val="auto"/>
          <w:szCs w:val="21"/>
          <w:highlight w:val="none"/>
          <w:lang w:eastAsia="zh-CN"/>
        </w:rPr>
        <w:t>。</w:t>
      </w:r>
      <w:r>
        <w:rPr>
          <w:rFonts w:ascii="Times New Roman" w:hAnsi="Times New Roman"/>
          <w:color w:val="auto"/>
          <w:szCs w:val="21"/>
          <w:highlight w:val="none"/>
        </w:rPr>
        <w:t xml:space="preserve"> </w:t>
      </w:r>
    </w:p>
    <w:p w14:paraId="31E68027">
      <w:pPr>
        <w:spacing w:line="360" w:lineRule="exact"/>
        <w:ind w:firstLine="422" w:firstLineChars="200"/>
        <w:rPr>
          <w:rFonts w:ascii="Times New Roman" w:hAnsi="Times New Roman"/>
          <w:color w:val="auto"/>
          <w:szCs w:val="21"/>
          <w:highlight w:val="none"/>
        </w:rPr>
      </w:pPr>
      <w:bookmarkStart w:id="501" w:name="_Toc3622"/>
      <w:bookmarkStart w:id="502" w:name="_Toc11810"/>
      <w:bookmarkStart w:id="503" w:name="_Toc5736"/>
      <w:r>
        <w:rPr>
          <w:rFonts w:ascii="Times New Roman" w:hAnsi="Times New Roman"/>
          <w:b/>
          <w:bCs/>
          <w:color w:val="auto"/>
          <w:szCs w:val="21"/>
          <w:highlight w:val="none"/>
        </w:rPr>
        <w:t>2</w:t>
      </w:r>
      <w:r>
        <w:rPr>
          <w:rFonts w:ascii="Times New Roman" w:hAnsi="Times New Roman"/>
          <w:color w:val="auto"/>
          <w:szCs w:val="21"/>
          <w:highlight w:val="none"/>
        </w:rPr>
        <w:t xml:space="preserve"> </w:t>
      </w:r>
      <w:r>
        <w:rPr>
          <w:rFonts w:hint="eastAsia"/>
          <w:color w:val="auto"/>
          <w:szCs w:val="21"/>
          <w:highlight w:val="none"/>
          <w:lang w:val="en-US" w:eastAsia="zh-CN"/>
        </w:rPr>
        <w:t xml:space="preserve"> </w:t>
      </w:r>
      <w:r>
        <w:rPr>
          <w:rFonts w:hint="eastAsia" w:ascii="Times New Roman" w:hAnsi="Times New Roman"/>
          <w:color w:val="auto"/>
          <w:szCs w:val="21"/>
          <w:highlight w:val="none"/>
        </w:rPr>
        <w:t>两侧叠合剪力墙与后连接浇段之间应采用水平连接钢筋连接</w:t>
      </w:r>
      <w:bookmarkEnd w:id="501"/>
      <w:bookmarkEnd w:id="502"/>
      <w:bookmarkEnd w:id="503"/>
      <w:r>
        <w:rPr>
          <w:rFonts w:hint="eastAsia"/>
          <w:color w:val="auto"/>
          <w:szCs w:val="21"/>
          <w:highlight w:val="none"/>
          <w:lang w:eastAsia="zh-CN"/>
        </w:rPr>
        <w:t>。</w:t>
      </w:r>
      <w:r>
        <w:rPr>
          <w:rFonts w:ascii="Times New Roman" w:hAnsi="Times New Roman"/>
          <w:color w:val="auto"/>
          <w:szCs w:val="21"/>
          <w:highlight w:val="none"/>
        </w:rPr>
        <w:t xml:space="preserve"> </w:t>
      </w:r>
    </w:p>
    <w:p w14:paraId="0C82CB9C">
      <w:pPr>
        <w:spacing w:line="360" w:lineRule="exact"/>
        <w:ind w:firstLine="422" w:firstLineChars="200"/>
        <w:rPr>
          <w:rFonts w:ascii="Times New Roman" w:hAnsi="Times New Roman"/>
          <w:color w:val="auto"/>
          <w:szCs w:val="21"/>
          <w:highlight w:val="none"/>
        </w:rPr>
      </w:pPr>
      <w:bookmarkStart w:id="504" w:name="_Toc32549"/>
      <w:bookmarkStart w:id="505" w:name="_Toc17343"/>
      <w:bookmarkStart w:id="506" w:name="_Toc20036"/>
      <w:r>
        <w:rPr>
          <w:rFonts w:ascii="Times New Roman" w:hAnsi="Times New Roman"/>
          <w:b/>
          <w:bCs/>
          <w:color w:val="auto"/>
          <w:szCs w:val="21"/>
          <w:highlight w:val="none"/>
        </w:rPr>
        <w:t>3</w:t>
      </w:r>
      <w:r>
        <w:rPr>
          <w:rFonts w:ascii="Times New Roman" w:hAnsi="Times New Roman"/>
          <w:color w:val="auto"/>
          <w:szCs w:val="21"/>
          <w:highlight w:val="none"/>
        </w:rPr>
        <w:t xml:space="preserve"> </w:t>
      </w:r>
      <w:r>
        <w:rPr>
          <w:rFonts w:hint="eastAsia"/>
          <w:color w:val="auto"/>
          <w:szCs w:val="21"/>
          <w:highlight w:val="none"/>
          <w:lang w:val="en-US" w:eastAsia="zh-CN"/>
        </w:rPr>
        <w:t xml:space="preserve"> </w:t>
      </w:r>
      <w:r>
        <w:rPr>
          <w:rFonts w:hint="eastAsia" w:ascii="Times New Roman" w:hAnsi="Times New Roman"/>
          <w:color w:val="auto"/>
          <w:szCs w:val="21"/>
          <w:highlight w:val="none"/>
        </w:rPr>
        <w:t>水平连接钢筋在叠合剪力墙中的锚固长度不应小于</w:t>
      </w:r>
      <m:oMath>
        <m:sSub>
          <m:sSubPr>
            <m:ctrlPr>
              <w:rPr>
                <w:rFonts w:ascii="Cambria Math" w:hAnsi="Cambria Math"/>
                <w:i/>
                <w:color w:val="auto"/>
                <w:szCs w:val="21"/>
                <w:highlight w:val="none"/>
              </w:rPr>
            </m:ctrlPr>
          </m:sSubPr>
          <m:e>
            <m:r>
              <m:rPr/>
              <w:rPr>
                <w:rFonts w:ascii="Cambria Math" w:hAnsi="Cambria Math"/>
                <w:color w:val="auto"/>
                <w:szCs w:val="21"/>
                <w:highlight w:val="none"/>
              </w:rPr>
              <m:t>l</m:t>
            </m:r>
            <m:ctrlPr>
              <w:rPr>
                <w:rFonts w:ascii="Cambria Math" w:hAnsi="Cambria Math"/>
                <w:i/>
                <w:color w:val="auto"/>
                <w:szCs w:val="21"/>
                <w:highlight w:val="none"/>
              </w:rPr>
            </m:ctrlPr>
          </m:e>
          <m:sub>
            <m:r>
              <m:rPr/>
              <w:rPr>
                <w:rFonts w:ascii="Cambria Math" w:hAnsi="Cambria Math"/>
                <w:color w:val="auto"/>
                <w:szCs w:val="21"/>
                <w:highlight w:val="none"/>
              </w:rPr>
              <m:t>aE</m:t>
            </m:r>
            <w:bookmarkEnd w:id="504"/>
            <w:bookmarkEnd w:id="505"/>
            <w:bookmarkEnd w:id="506"/>
            <m:ctrlPr>
              <w:rPr>
                <w:rFonts w:ascii="Cambria Math" w:hAnsi="Cambria Math"/>
                <w:i/>
                <w:color w:val="auto"/>
                <w:szCs w:val="21"/>
                <w:highlight w:val="none"/>
              </w:rPr>
            </m:ctrlPr>
          </m:sub>
        </m:sSub>
      </m:oMath>
      <w:r>
        <w:rPr>
          <w:rFonts w:hint="eastAsia"/>
          <w:color w:val="auto"/>
          <w:szCs w:val="21"/>
          <w:highlight w:val="none"/>
          <w:lang w:eastAsia="zh-CN"/>
        </w:rPr>
        <w:t>。</w:t>
      </w:r>
      <w:r>
        <w:rPr>
          <w:rFonts w:ascii="Times New Roman" w:hAnsi="Times New Roman"/>
          <w:color w:val="auto"/>
          <w:szCs w:val="21"/>
          <w:highlight w:val="none"/>
        </w:rPr>
        <w:t xml:space="preserve"> </w:t>
      </w:r>
    </w:p>
    <w:p w14:paraId="14F197F0">
      <w:pPr>
        <w:spacing w:line="360" w:lineRule="exact"/>
        <w:ind w:firstLine="422" w:firstLineChars="200"/>
        <w:rPr>
          <w:rFonts w:ascii="Times New Roman" w:hAnsi="Times New Roman"/>
          <w:color w:val="auto"/>
          <w:szCs w:val="21"/>
          <w:highlight w:val="none"/>
        </w:rPr>
      </w:pPr>
      <w:bookmarkStart w:id="507" w:name="_Toc3755"/>
      <w:bookmarkStart w:id="508" w:name="_Toc14484"/>
      <w:r>
        <w:rPr>
          <w:rFonts w:ascii="Times New Roman" w:hAnsi="Times New Roman"/>
          <w:b/>
          <w:bCs/>
          <w:color w:val="auto"/>
          <w:szCs w:val="21"/>
          <w:highlight w:val="none"/>
        </w:rPr>
        <w:t>4</w:t>
      </w:r>
      <w:r>
        <w:rPr>
          <w:rFonts w:ascii="Times New Roman" w:hAnsi="Times New Roman"/>
          <w:color w:val="auto"/>
          <w:szCs w:val="21"/>
          <w:highlight w:val="none"/>
        </w:rPr>
        <w:t xml:space="preserve"> </w:t>
      </w:r>
      <w:r>
        <w:rPr>
          <w:rFonts w:hint="eastAsia"/>
          <w:color w:val="auto"/>
          <w:szCs w:val="21"/>
          <w:highlight w:val="none"/>
          <w:lang w:val="en-US" w:eastAsia="zh-CN"/>
        </w:rPr>
        <w:t xml:space="preserve"> </w:t>
      </w:r>
      <w:r>
        <w:rPr>
          <w:rFonts w:hint="eastAsia" w:ascii="Times New Roman" w:hAnsi="Times New Roman"/>
          <w:color w:val="auto"/>
          <w:szCs w:val="21"/>
          <w:highlight w:val="none"/>
        </w:rPr>
        <w:t>水平连接钢筋的间距不大于叶板中水平分布钢筋的间距，且不宜大于</w:t>
      </w:r>
      <w:r>
        <w:rPr>
          <w:rFonts w:ascii="Times New Roman" w:hAnsi="Times New Roman"/>
          <w:color w:val="auto"/>
          <w:szCs w:val="21"/>
          <w:highlight w:val="none"/>
        </w:rPr>
        <w:t>200mm</w:t>
      </w:r>
      <w:r>
        <w:rPr>
          <w:rFonts w:hint="eastAsia" w:ascii="Times New Roman" w:hAnsi="Times New Roman"/>
          <w:color w:val="auto"/>
          <w:szCs w:val="21"/>
          <w:highlight w:val="none"/>
        </w:rPr>
        <w:t>；水平连接钢筋的直径不应小于叶板中水平分布钢筋的直径。</w:t>
      </w:r>
      <w:bookmarkEnd w:id="507"/>
      <w:bookmarkEnd w:id="508"/>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35"/>
      </w:tblGrid>
      <w:tr w14:paraId="327AB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80" w:type="dxa"/>
          </w:tcPr>
          <w:p w14:paraId="14B058F5">
            <w:pPr>
              <w:jc w:val="center"/>
              <w:rPr>
                <w:color w:val="auto"/>
                <w:highlight w:val="none"/>
              </w:rPr>
            </w:pPr>
            <w:r>
              <w:rPr>
                <w:color w:val="auto"/>
                <w:highlight w:val="none"/>
              </w:rPr>
              <w:drawing>
                <wp:inline distT="0" distB="0" distL="114300" distR="114300">
                  <wp:extent cx="2182495" cy="929005"/>
                  <wp:effectExtent l="0" t="0" r="1905" b="10795"/>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30"/>
                          <a:stretch>
                            <a:fillRect/>
                          </a:stretch>
                        </pic:blipFill>
                        <pic:spPr>
                          <a:xfrm>
                            <a:off x="0" y="0"/>
                            <a:ext cx="2182495" cy="929005"/>
                          </a:xfrm>
                          <a:prstGeom prst="rect">
                            <a:avLst/>
                          </a:prstGeom>
                          <a:noFill/>
                          <a:ln>
                            <a:noFill/>
                          </a:ln>
                        </pic:spPr>
                      </pic:pic>
                    </a:graphicData>
                  </a:graphic>
                </wp:inline>
              </w:drawing>
            </w:r>
          </w:p>
        </w:tc>
      </w:tr>
      <w:tr w14:paraId="14667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80" w:type="dxa"/>
          </w:tcPr>
          <w:p w14:paraId="7384F471">
            <w:pPr>
              <w:widowControl/>
              <w:spacing w:line="360" w:lineRule="exact"/>
              <w:jc w:val="center"/>
              <w:outlineLvl w:val="1"/>
              <w:rPr>
                <w:bCs/>
                <w:color w:val="auto"/>
                <w:szCs w:val="21"/>
                <w:highlight w:val="none"/>
              </w:rPr>
            </w:pPr>
            <w:bookmarkStart w:id="509" w:name="_Toc21711"/>
            <w:bookmarkStart w:id="510" w:name="_Toc25644"/>
            <w:bookmarkStart w:id="511" w:name="_Toc14578"/>
            <w:bookmarkStart w:id="512" w:name="_Toc32406"/>
            <w:bookmarkStart w:id="513" w:name="_Toc559"/>
            <w:bookmarkStart w:id="514" w:name="_Toc24262"/>
            <w:bookmarkStart w:id="515" w:name="_Toc15244"/>
            <w:bookmarkStart w:id="516" w:name="_Toc28950"/>
            <w:bookmarkStart w:id="517" w:name="_Toc16581"/>
            <w:bookmarkStart w:id="518" w:name="_Toc19642"/>
            <w:bookmarkStart w:id="519" w:name="_Toc24644"/>
            <w:bookmarkStart w:id="520" w:name="_Toc10695"/>
            <w:bookmarkStart w:id="521" w:name="_Toc21880"/>
            <w:r>
              <w:rPr>
                <w:rFonts w:eastAsia="黑体"/>
                <w:color w:val="auto"/>
                <w:kern w:val="0"/>
                <w:sz w:val="18"/>
                <w:szCs w:val="18"/>
                <w:highlight w:val="none"/>
                <w:lang w:bidi="ar"/>
              </w:rPr>
              <w:t>图</w:t>
            </w:r>
            <w:r>
              <w:rPr>
                <w:rFonts w:hint="eastAsia" w:eastAsia="黑体"/>
                <w:color w:val="auto"/>
                <w:kern w:val="0"/>
                <w:sz w:val="18"/>
                <w:szCs w:val="18"/>
                <w:highlight w:val="none"/>
                <w:lang w:bidi="ar"/>
              </w:rPr>
              <w:t>6.</w:t>
            </w:r>
            <w:r>
              <w:rPr>
                <w:rFonts w:hint="eastAsia" w:eastAsia="黑体"/>
                <w:color w:val="auto"/>
                <w:kern w:val="0"/>
                <w:sz w:val="18"/>
                <w:szCs w:val="18"/>
                <w:highlight w:val="none"/>
                <w:lang w:val="en-US" w:eastAsia="zh-CN" w:bidi="ar"/>
              </w:rPr>
              <w:t>4</w:t>
            </w:r>
            <w:r>
              <w:rPr>
                <w:rFonts w:hint="eastAsia" w:eastAsia="黑体"/>
                <w:color w:val="auto"/>
                <w:kern w:val="0"/>
                <w:sz w:val="18"/>
                <w:szCs w:val="18"/>
                <w:highlight w:val="none"/>
                <w:lang w:bidi="ar"/>
              </w:rPr>
              <w:t>.5</w:t>
            </w:r>
            <w:r>
              <w:rPr>
                <w:rFonts w:eastAsia="黑体"/>
                <w:color w:val="auto"/>
                <w:kern w:val="0"/>
                <w:sz w:val="18"/>
                <w:szCs w:val="18"/>
                <w:highlight w:val="none"/>
                <w:lang w:bidi="ar"/>
              </w:rPr>
              <w:t>叠合剪力墙接长连接构造</w:t>
            </w:r>
            <w:bookmarkEnd w:id="509"/>
            <w:bookmarkEnd w:id="510"/>
            <w:bookmarkEnd w:id="511"/>
            <w:bookmarkEnd w:id="512"/>
            <w:bookmarkEnd w:id="513"/>
            <w:bookmarkEnd w:id="514"/>
            <w:bookmarkEnd w:id="515"/>
            <w:bookmarkEnd w:id="516"/>
            <w:bookmarkEnd w:id="517"/>
            <w:bookmarkEnd w:id="518"/>
            <w:bookmarkEnd w:id="519"/>
            <w:bookmarkEnd w:id="520"/>
            <w:bookmarkEnd w:id="521"/>
          </w:p>
        </w:tc>
      </w:tr>
      <w:tr w14:paraId="215EE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80" w:type="dxa"/>
          </w:tcPr>
          <w:p w14:paraId="649EF2A6">
            <w:pPr>
              <w:widowControl/>
              <w:spacing w:line="360" w:lineRule="exact"/>
              <w:jc w:val="center"/>
              <w:rPr>
                <w:bCs/>
                <w:color w:val="auto"/>
                <w:szCs w:val="21"/>
                <w:highlight w:val="none"/>
              </w:rPr>
            </w:pPr>
            <w:r>
              <w:rPr>
                <w:rFonts w:eastAsia="黑体"/>
                <w:color w:val="auto"/>
                <w:kern w:val="0"/>
                <w:sz w:val="18"/>
                <w:szCs w:val="18"/>
                <w:highlight w:val="none"/>
                <w:lang w:bidi="ar"/>
              </w:rPr>
              <w:t>1—预制部分；2—后浇部分；3—水平连接钢筋；4—后浇连接段</w:t>
            </w:r>
          </w:p>
        </w:tc>
      </w:tr>
    </w:tbl>
    <w:p w14:paraId="620A1A1C">
      <w:pPr>
        <w:widowControl/>
        <w:spacing w:line="360" w:lineRule="exact"/>
        <w:rPr>
          <w:color w:val="auto"/>
          <w:szCs w:val="21"/>
          <w:highlight w:val="none"/>
        </w:rPr>
      </w:pPr>
      <w:bookmarkStart w:id="522" w:name="_Toc508"/>
      <w:r>
        <w:rPr>
          <w:rFonts w:hint="eastAsia"/>
          <w:b/>
          <w:color w:val="auto"/>
          <w:szCs w:val="21"/>
          <w:highlight w:val="none"/>
        </w:rPr>
        <w:t>6</w:t>
      </w:r>
      <w:r>
        <w:rPr>
          <w:b/>
          <w:color w:val="auto"/>
          <w:szCs w:val="21"/>
          <w:highlight w:val="none"/>
        </w:rPr>
        <w:t>.</w:t>
      </w:r>
      <w:r>
        <w:rPr>
          <w:rFonts w:hint="eastAsia"/>
          <w:b/>
          <w:color w:val="auto"/>
          <w:szCs w:val="21"/>
          <w:highlight w:val="none"/>
          <w:lang w:val="en-US" w:eastAsia="zh-CN"/>
        </w:rPr>
        <w:t>4</w:t>
      </w:r>
      <w:r>
        <w:rPr>
          <w:rFonts w:hint="eastAsia"/>
          <w:b/>
          <w:color w:val="auto"/>
          <w:szCs w:val="21"/>
          <w:highlight w:val="none"/>
        </w:rPr>
        <w:t>.6</w:t>
      </w:r>
      <w:r>
        <w:rPr>
          <w:b/>
          <w:color w:val="auto"/>
          <w:szCs w:val="21"/>
          <w:highlight w:val="none"/>
        </w:rPr>
        <w:t xml:space="preserve"> </w:t>
      </w:r>
      <w:r>
        <w:rPr>
          <w:color w:val="auto"/>
          <w:szCs w:val="21"/>
          <w:highlight w:val="none"/>
        </w:rPr>
        <w:t>模块化</w:t>
      </w:r>
      <w:r>
        <w:rPr>
          <w:rFonts w:hint="eastAsia"/>
          <w:color w:val="auto"/>
          <w:szCs w:val="21"/>
          <w:highlight w:val="none"/>
          <w:lang w:val="en-US" w:eastAsia="zh-CN"/>
        </w:rPr>
        <w:t>叠合</w:t>
      </w:r>
      <w:r>
        <w:rPr>
          <w:color w:val="auto"/>
          <w:szCs w:val="21"/>
          <w:highlight w:val="none"/>
        </w:rPr>
        <w:t>剪力墙结构</w:t>
      </w:r>
      <w:r>
        <w:rPr>
          <w:rFonts w:hint="eastAsia"/>
          <w:color w:val="auto"/>
          <w:szCs w:val="21"/>
          <w:highlight w:val="none"/>
          <w:lang w:val="en-US" w:eastAsia="zh-CN"/>
        </w:rPr>
        <w:t>的</w:t>
      </w:r>
      <w:r>
        <w:rPr>
          <w:color w:val="auto"/>
          <w:szCs w:val="21"/>
          <w:highlight w:val="none"/>
        </w:rPr>
        <w:t>约束边缘构件与</w:t>
      </w:r>
      <w:r>
        <w:rPr>
          <w:rFonts w:hint="eastAsia"/>
          <w:color w:val="auto"/>
          <w:szCs w:val="21"/>
          <w:highlight w:val="none"/>
          <w:lang w:val="en-US" w:eastAsia="zh-CN"/>
        </w:rPr>
        <w:t>双面</w:t>
      </w:r>
      <w:r>
        <w:rPr>
          <w:color w:val="auto"/>
          <w:szCs w:val="21"/>
          <w:highlight w:val="none"/>
        </w:rPr>
        <w:t>叠合剪力墙</w:t>
      </w:r>
      <w:r>
        <w:rPr>
          <w:rFonts w:hint="eastAsia"/>
          <w:color w:val="auto"/>
          <w:szCs w:val="21"/>
          <w:highlight w:val="none"/>
          <w:lang w:val="en-US" w:eastAsia="zh-CN"/>
        </w:rPr>
        <w:t>或预制空心剪力墙</w:t>
      </w:r>
      <w:r>
        <w:rPr>
          <w:color w:val="auto"/>
          <w:szCs w:val="21"/>
          <w:highlight w:val="none"/>
        </w:rPr>
        <w:t>连接构造应满足以下</w:t>
      </w:r>
      <w:r>
        <w:rPr>
          <w:rFonts w:hint="eastAsia"/>
          <w:color w:val="auto"/>
          <w:szCs w:val="21"/>
          <w:highlight w:val="none"/>
          <w:lang w:val="en-US" w:eastAsia="zh-CN"/>
        </w:rPr>
        <w:t>规定</w:t>
      </w:r>
      <w:r>
        <w:rPr>
          <w:color w:val="auto"/>
          <w:szCs w:val="21"/>
          <w:highlight w:val="none"/>
        </w:rPr>
        <w:t>：</w:t>
      </w:r>
      <w:bookmarkEnd w:id="522"/>
    </w:p>
    <w:p w14:paraId="1101E68D">
      <w:pPr>
        <w:spacing w:line="360" w:lineRule="exact"/>
        <w:ind w:firstLine="422" w:firstLineChars="200"/>
        <w:rPr>
          <w:rFonts w:hint="eastAsia" w:ascii="Times New Roman" w:hAnsi="Times New Roman" w:eastAsia="宋体"/>
          <w:color w:val="auto"/>
          <w:szCs w:val="21"/>
          <w:highlight w:val="none"/>
          <w:lang w:eastAsia="zh-CN"/>
        </w:rPr>
      </w:pPr>
      <w:bookmarkStart w:id="523" w:name="_Toc12820"/>
      <w:bookmarkStart w:id="524" w:name="_Toc18492"/>
      <w:bookmarkStart w:id="525" w:name="_Toc2839"/>
      <w:bookmarkStart w:id="526" w:name="_Toc4817"/>
      <w:r>
        <w:rPr>
          <w:rFonts w:ascii="Times New Roman" w:hAnsi="Times New Roman"/>
          <w:b/>
          <w:bCs/>
          <w:color w:val="auto"/>
          <w:szCs w:val="21"/>
          <w:highlight w:val="none"/>
        </w:rPr>
        <w:t>1</w:t>
      </w:r>
      <w:r>
        <w:rPr>
          <w:rFonts w:ascii="Times New Roman" w:hAnsi="Times New Roman"/>
          <w:color w:val="auto"/>
          <w:szCs w:val="21"/>
          <w:highlight w:val="none"/>
        </w:rPr>
        <w:t xml:space="preserve"> </w:t>
      </w:r>
      <w:r>
        <w:rPr>
          <w:rFonts w:hint="eastAsia"/>
          <w:color w:val="auto"/>
          <w:szCs w:val="21"/>
          <w:highlight w:val="none"/>
          <w:lang w:val="en-US" w:eastAsia="zh-CN"/>
        </w:rPr>
        <w:t xml:space="preserve"> </w:t>
      </w:r>
      <w:r>
        <w:rPr>
          <w:rFonts w:hint="eastAsia" w:ascii="Times New Roman" w:hAnsi="Times New Roman"/>
          <w:color w:val="auto"/>
          <w:szCs w:val="21"/>
          <w:highlight w:val="none"/>
        </w:rPr>
        <w:t>约束边缘构件阴影区可采用半叠合边缘构件或预制空心边缘构件</w:t>
      </w:r>
      <w:bookmarkEnd w:id="523"/>
      <w:bookmarkEnd w:id="524"/>
      <w:bookmarkEnd w:id="525"/>
      <w:bookmarkEnd w:id="526"/>
      <w:r>
        <w:rPr>
          <w:rFonts w:hint="eastAsia"/>
          <w:color w:val="auto"/>
          <w:szCs w:val="21"/>
          <w:highlight w:val="none"/>
          <w:lang w:eastAsia="zh-CN"/>
        </w:rPr>
        <w:t>。</w:t>
      </w:r>
    </w:p>
    <w:p w14:paraId="7B1ED018">
      <w:pPr>
        <w:spacing w:line="360" w:lineRule="exact"/>
        <w:ind w:firstLine="422" w:firstLineChars="200"/>
        <w:rPr>
          <w:rFonts w:hint="eastAsia" w:ascii="Times New Roman" w:hAnsi="Times New Roman" w:eastAsia="宋体"/>
          <w:color w:val="auto"/>
          <w:szCs w:val="21"/>
          <w:highlight w:val="none"/>
          <w:lang w:eastAsia="zh-CN"/>
        </w:rPr>
      </w:pPr>
      <w:bookmarkStart w:id="527" w:name="_Toc2509"/>
      <w:bookmarkStart w:id="528" w:name="_Toc28918"/>
      <w:bookmarkStart w:id="529" w:name="_Toc24291"/>
      <w:r>
        <w:rPr>
          <w:rFonts w:ascii="Times New Roman" w:hAnsi="Times New Roman"/>
          <w:b/>
          <w:bCs/>
          <w:color w:val="auto"/>
          <w:szCs w:val="21"/>
          <w:highlight w:val="none"/>
        </w:rPr>
        <w:t>2</w:t>
      </w:r>
      <w:r>
        <w:rPr>
          <w:rFonts w:ascii="Times New Roman" w:hAnsi="Times New Roman"/>
          <w:color w:val="auto"/>
          <w:szCs w:val="21"/>
          <w:highlight w:val="none"/>
        </w:rPr>
        <w:t xml:space="preserve"> </w:t>
      </w:r>
      <w:r>
        <w:rPr>
          <w:rFonts w:hint="eastAsia"/>
          <w:color w:val="auto"/>
          <w:szCs w:val="21"/>
          <w:highlight w:val="none"/>
          <w:lang w:val="en-US" w:eastAsia="zh-CN"/>
        </w:rPr>
        <w:t xml:space="preserve"> </w:t>
      </w:r>
      <w:r>
        <w:rPr>
          <w:rFonts w:hint="eastAsia" w:ascii="Times New Roman" w:hAnsi="Times New Roman"/>
          <w:color w:val="auto"/>
          <w:szCs w:val="21"/>
          <w:highlight w:val="none"/>
        </w:rPr>
        <w:t>预制空心边缘构件中金属波纹管厚度不应小于</w:t>
      </w:r>
      <w:r>
        <w:rPr>
          <w:rFonts w:ascii="Times New Roman" w:hAnsi="Times New Roman"/>
          <w:color w:val="auto"/>
          <w:szCs w:val="21"/>
          <w:highlight w:val="none"/>
        </w:rPr>
        <w:t>0.4mm</w:t>
      </w:r>
      <w:r>
        <w:rPr>
          <w:rFonts w:hint="eastAsia" w:ascii="Times New Roman" w:hAnsi="Times New Roman"/>
          <w:color w:val="auto"/>
          <w:szCs w:val="21"/>
          <w:highlight w:val="none"/>
        </w:rPr>
        <w:t>，波纹管内径不</w:t>
      </w:r>
      <w:r>
        <w:rPr>
          <w:rFonts w:hint="eastAsia"/>
          <w:color w:val="auto"/>
          <w:szCs w:val="21"/>
          <w:highlight w:val="none"/>
        </w:rPr>
        <w:t>宜</w:t>
      </w:r>
      <w:r>
        <w:rPr>
          <w:rFonts w:hint="eastAsia" w:ascii="Times New Roman" w:hAnsi="Times New Roman"/>
          <w:color w:val="auto"/>
          <w:szCs w:val="21"/>
          <w:highlight w:val="none"/>
        </w:rPr>
        <w:t>小于</w:t>
      </w:r>
      <w:r>
        <w:rPr>
          <w:rFonts w:ascii="Times New Roman" w:hAnsi="Times New Roman"/>
          <w:color w:val="auto"/>
          <w:szCs w:val="21"/>
          <w:highlight w:val="none"/>
        </w:rPr>
        <w:t>100mm</w:t>
      </w:r>
      <w:r>
        <w:rPr>
          <w:rFonts w:hint="eastAsia" w:ascii="Times New Roman" w:hAnsi="Times New Roman"/>
          <w:color w:val="auto"/>
          <w:szCs w:val="21"/>
          <w:highlight w:val="none"/>
        </w:rPr>
        <w:t>；构造纵筋直径不宜小于</w:t>
      </w:r>
      <w:r>
        <w:rPr>
          <w:rFonts w:ascii="Times New Roman" w:hAnsi="Times New Roman"/>
          <w:color w:val="auto"/>
          <w:szCs w:val="21"/>
          <w:highlight w:val="none"/>
        </w:rPr>
        <w:t>8mm</w:t>
      </w:r>
      <w:r>
        <w:rPr>
          <w:rFonts w:hint="eastAsia" w:ascii="Times New Roman" w:hAnsi="Times New Roman"/>
          <w:color w:val="auto"/>
          <w:szCs w:val="21"/>
          <w:highlight w:val="none"/>
        </w:rPr>
        <w:t>，箍筋直径不应小于</w:t>
      </w:r>
      <w:r>
        <w:rPr>
          <w:rFonts w:ascii="Times New Roman" w:hAnsi="Times New Roman"/>
          <w:color w:val="auto"/>
          <w:szCs w:val="21"/>
          <w:highlight w:val="none"/>
        </w:rPr>
        <w:t>8mm</w:t>
      </w:r>
      <w:r>
        <w:rPr>
          <w:rFonts w:hint="eastAsia" w:ascii="Times New Roman" w:hAnsi="Times New Roman"/>
          <w:color w:val="auto"/>
          <w:szCs w:val="21"/>
          <w:highlight w:val="none"/>
        </w:rPr>
        <w:t>，间距不应大于</w:t>
      </w:r>
      <w:r>
        <w:rPr>
          <w:rFonts w:ascii="Times New Roman" w:hAnsi="Times New Roman"/>
          <w:color w:val="auto"/>
          <w:szCs w:val="21"/>
          <w:highlight w:val="none"/>
        </w:rPr>
        <w:t>100mm</w:t>
      </w:r>
      <w:bookmarkEnd w:id="527"/>
      <w:bookmarkEnd w:id="528"/>
      <w:bookmarkEnd w:id="529"/>
      <w:r>
        <w:rPr>
          <w:rFonts w:hint="eastAsia"/>
          <w:color w:val="auto"/>
          <w:szCs w:val="21"/>
          <w:highlight w:val="none"/>
          <w:lang w:eastAsia="zh-CN"/>
        </w:rPr>
        <w:t>。</w:t>
      </w:r>
    </w:p>
    <w:p w14:paraId="3F44AD64">
      <w:pPr>
        <w:spacing w:line="360" w:lineRule="exact"/>
        <w:ind w:firstLine="422" w:firstLineChars="200"/>
        <w:rPr>
          <w:rFonts w:hint="eastAsia" w:ascii="Times New Roman" w:hAnsi="Times New Roman" w:eastAsia="宋体"/>
          <w:color w:val="auto"/>
          <w:szCs w:val="21"/>
          <w:highlight w:val="none"/>
          <w:lang w:eastAsia="zh-CN"/>
        </w:rPr>
      </w:pPr>
      <w:bookmarkStart w:id="530" w:name="_Toc10896"/>
      <w:bookmarkStart w:id="531" w:name="_Toc10976"/>
      <w:bookmarkStart w:id="532" w:name="_Toc27190"/>
      <w:r>
        <w:rPr>
          <w:rFonts w:ascii="Times New Roman" w:hAnsi="Times New Roman"/>
          <w:b/>
          <w:bCs/>
          <w:color w:val="auto"/>
          <w:szCs w:val="21"/>
          <w:highlight w:val="none"/>
        </w:rPr>
        <w:t>3</w:t>
      </w:r>
      <w:r>
        <w:rPr>
          <w:rFonts w:ascii="Times New Roman" w:hAnsi="Times New Roman"/>
          <w:color w:val="auto"/>
          <w:szCs w:val="21"/>
          <w:highlight w:val="none"/>
        </w:rPr>
        <w:t xml:space="preserve"> </w:t>
      </w:r>
      <w:r>
        <w:rPr>
          <w:rFonts w:hint="eastAsia"/>
          <w:color w:val="auto"/>
          <w:szCs w:val="21"/>
          <w:highlight w:val="none"/>
          <w:lang w:val="en-US" w:eastAsia="zh-CN"/>
        </w:rPr>
        <w:t xml:space="preserve"> </w:t>
      </w:r>
      <w:r>
        <w:rPr>
          <w:rFonts w:hint="eastAsia" w:ascii="Times New Roman" w:hAnsi="Times New Roman"/>
          <w:color w:val="auto"/>
          <w:szCs w:val="21"/>
          <w:highlight w:val="none"/>
        </w:rPr>
        <w:t>半叠合约束边缘构件厚度不应小于</w:t>
      </w:r>
      <w:r>
        <w:rPr>
          <w:rFonts w:ascii="Times New Roman" w:hAnsi="Times New Roman"/>
          <w:color w:val="auto"/>
          <w:szCs w:val="21"/>
          <w:highlight w:val="none"/>
        </w:rPr>
        <w:t>50mm</w:t>
      </w:r>
      <w:r>
        <w:rPr>
          <w:rFonts w:hint="eastAsia" w:ascii="Times New Roman" w:hAnsi="Times New Roman"/>
          <w:color w:val="auto"/>
          <w:szCs w:val="21"/>
          <w:highlight w:val="none"/>
        </w:rPr>
        <w:t>，并应设置封闭箍筋</w:t>
      </w:r>
      <w:bookmarkEnd w:id="530"/>
      <w:bookmarkEnd w:id="531"/>
      <w:bookmarkEnd w:id="532"/>
      <w:r>
        <w:rPr>
          <w:rFonts w:hint="eastAsia"/>
          <w:color w:val="auto"/>
          <w:szCs w:val="21"/>
          <w:highlight w:val="none"/>
          <w:lang w:eastAsia="zh-CN"/>
        </w:rPr>
        <w:t>。</w:t>
      </w:r>
    </w:p>
    <w:p w14:paraId="7DC0719B">
      <w:pPr>
        <w:spacing w:line="360" w:lineRule="exact"/>
        <w:ind w:firstLine="422" w:firstLineChars="200"/>
        <w:rPr>
          <w:rFonts w:hint="eastAsia" w:ascii="Times New Roman" w:hAnsi="Times New Roman" w:eastAsia="宋体"/>
          <w:color w:val="auto"/>
          <w:szCs w:val="21"/>
          <w:highlight w:val="none"/>
          <w:lang w:eastAsia="zh-CN"/>
        </w:rPr>
      </w:pPr>
      <w:bookmarkStart w:id="533" w:name="_Toc667"/>
      <w:bookmarkStart w:id="534" w:name="_Toc2580"/>
      <w:bookmarkStart w:id="535" w:name="_Toc13615"/>
      <w:bookmarkStart w:id="536" w:name="_Toc24520"/>
      <w:r>
        <w:rPr>
          <w:rFonts w:ascii="Times New Roman" w:hAnsi="Times New Roman"/>
          <w:b/>
          <w:bCs/>
          <w:color w:val="auto"/>
          <w:szCs w:val="21"/>
          <w:highlight w:val="none"/>
        </w:rPr>
        <w:t>4</w:t>
      </w:r>
      <w:r>
        <w:rPr>
          <w:rFonts w:ascii="Times New Roman" w:hAnsi="Times New Roman"/>
          <w:color w:val="auto"/>
          <w:szCs w:val="21"/>
          <w:highlight w:val="none"/>
        </w:rPr>
        <w:t xml:space="preserve"> </w:t>
      </w:r>
      <w:r>
        <w:rPr>
          <w:rFonts w:hint="eastAsia"/>
          <w:color w:val="auto"/>
          <w:szCs w:val="21"/>
          <w:highlight w:val="none"/>
          <w:lang w:val="en-US" w:eastAsia="zh-CN"/>
        </w:rPr>
        <w:t xml:space="preserve"> </w:t>
      </w:r>
      <w:r>
        <w:rPr>
          <w:rFonts w:hint="eastAsia" w:ascii="Times New Roman" w:hAnsi="Times New Roman"/>
          <w:color w:val="auto"/>
          <w:szCs w:val="21"/>
          <w:highlight w:val="none"/>
        </w:rPr>
        <w:t>半叠合约束边缘构件与现浇混凝土结合面应设置深度不小于</w:t>
      </w:r>
      <w:r>
        <w:rPr>
          <w:rFonts w:ascii="Times New Roman" w:hAnsi="Times New Roman"/>
          <w:color w:val="auto"/>
          <w:szCs w:val="21"/>
          <w:highlight w:val="none"/>
        </w:rPr>
        <w:t>4mm</w:t>
      </w:r>
      <w:r>
        <w:rPr>
          <w:rFonts w:hint="eastAsia" w:ascii="Times New Roman" w:hAnsi="Times New Roman"/>
          <w:color w:val="auto"/>
          <w:szCs w:val="21"/>
          <w:highlight w:val="none"/>
        </w:rPr>
        <w:t>的粗糙面</w:t>
      </w:r>
      <w:bookmarkEnd w:id="533"/>
      <w:bookmarkEnd w:id="534"/>
      <w:bookmarkEnd w:id="535"/>
      <w:bookmarkEnd w:id="536"/>
      <w:r>
        <w:rPr>
          <w:rFonts w:hint="eastAsia"/>
          <w:color w:val="auto"/>
          <w:szCs w:val="21"/>
          <w:highlight w:val="none"/>
          <w:lang w:eastAsia="zh-CN"/>
        </w:rPr>
        <w:t>。</w:t>
      </w:r>
    </w:p>
    <w:p w14:paraId="44615548">
      <w:pPr>
        <w:spacing w:line="360" w:lineRule="exact"/>
        <w:ind w:firstLine="422" w:firstLineChars="200"/>
        <w:rPr>
          <w:rFonts w:ascii="Times New Roman" w:hAnsi="Times New Roman"/>
          <w:color w:val="auto"/>
          <w:szCs w:val="21"/>
          <w:highlight w:val="none"/>
        </w:rPr>
      </w:pPr>
      <w:bookmarkStart w:id="537" w:name="_Toc14874"/>
      <w:bookmarkStart w:id="538" w:name="_Toc24699"/>
      <w:r>
        <w:rPr>
          <w:rFonts w:ascii="Times New Roman" w:hAnsi="Times New Roman"/>
          <w:b/>
          <w:bCs/>
          <w:color w:val="auto"/>
          <w:szCs w:val="21"/>
          <w:highlight w:val="none"/>
        </w:rPr>
        <w:t>5</w:t>
      </w:r>
      <w:r>
        <w:rPr>
          <w:rFonts w:ascii="Times New Roman" w:hAnsi="Times New Roman"/>
          <w:color w:val="auto"/>
          <w:szCs w:val="21"/>
          <w:highlight w:val="none"/>
        </w:rPr>
        <w:t xml:space="preserve"> </w:t>
      </w:r>
      <w:r>
        <w:rPr>
          <w:rFonts w:hint="eastAsia"/>
          <w:color w:val="auto"/>
          <w:szCs w:val="21"/>
          <w:highlight w:val="none"/>
          <w:lang w:val="en-US" w:eastAsia="zh-CN"/>
        </w:rPr>
        <w:t xml:space="preserve"> </w:t>
      </w:r>
      <w:r>
        <w:rPr>
          <w:rFonts w:hint="eastAsia" w:ascii="Times New Roman" w:hAnsi="Times New Roman"/>
          <w:color w:val="auto"/>
          <w:szCs w:val="21"/>
          <w:highlight w:val="none"/>
        </w:rPr>
        <w:t>约束边缘构件非阴影区域的拉筋可由叠合剪力墙内的桁架钢筋代替。</w:t>
      </w:r>
      <w:bookmarkEnd w:id="537"/>
      <w:bookmarkEnd w:id="538"/>
    </w:p>
    <w:p w14:paraId="16E90715">
      <w:pPr>
        <w:widowControl/>
        <w:spacing w:line="360" w:lineRule="exact"/>
        <w:ind w:firstLine="0" w:firstLineChars="0"/>
        <w:rPr>
          <w:rFonts w:hint="eastAsia"/>
          <w:color w:val="auto"/>
          <w:szCs w:val="21"/>
          <w:highlight w:val="none"/>
        </w:rPr>
      </w:pPr>
      <w:r>
        <w:rPr>
          <w:rFonts w:hint="eastAsia"/>
          <w:b/>
          <w:color w:val="auto"/>
          <w:szCs w:val="21"/>
          <w:highlight w:val="none"/>
        </w:rPr>
        <w:t>6.</w:t>
      </w:r>
      <w:r>
        <w:rPr>
          <w:rFonts w:hint="eastAsia"/>
          <w:b/>
          <w:color w:val="auto"/>
          <w:szCs w:val="21"/>
          <w:highlight w:val="none"/>
          <w:lang w:val="en-US" w:eastAsia="zh-CN"/>
        </w:rPr>
        <w:t>4</w:t>
      </w:r>
      <w:r>
        <w:rPr>
          <w:rFonts w:hint="eastAsia"/>
          <w:b/>
          <w:color w:val="auto"/>
          <w:szCs w:val="21"/>
          <w:highlight w:val="none"/>
        </w:rPr>
        <w:t>.</w:t>
      </w:r>
      <w:r>
        <w:rPr>
          <w:rFonts w:hint="eastAsia"/>
          <w:b/>
          <w:color w:val="auto"/>
          <w:szCs w:val="21"/>
          <w:highlight w:val="none"/>
          <w:lang w:val="en-US" w:eastAsia="zh-CN"/>
        </w:rPr>
        <w:t>7</w:t>
      </w:r>
      <w:r>
        <w:rPr>
          <w:rFonts w:hint="eastAsia"/>
          <w:b/>
          <w:color w:val="auto"/>
          <w:szCs w:val="21"/>
          <w:highlight w:val="none"/>
        </w:rPr>
        <w:t xml:space="preserve"> </w:t>
      </w:r>
      <w:r>
        <w:rPr>
          <w:rFonts w:hint="eastAsia"/>
          <w:color w:val="auto"/>
          <w:szCs w:val="21"/>
          <w:highlight w:val="none"/>
        </w:rPr>
        <w:t>模块化</w:t>
      </w:r>
      <w:r>
        <w:rPr>
          <w:rFonts w:hint="eastAsia"/>
          <w:color w:val="auto"/>
          <w:szCs w:val="21"/>
          <w:highlight w:val="none"/>
          <w:lang w:val="en-US" w:eastAsia="zh-CN"/>
        </w:rPr>
        <w:t>叠合</w:t>
      </w:r>
      <w:r>
        <w:rPr>
          <w:rFonts w:hint="eastAsia"/>
          <w:color w:val="auto"/>
          <w:szCs w:val="21"/>
          <w:highlight w:val="none"/>
        </w:rPr>
        <w:t>剪力墙结构</w:t>
      </w:r>
      <w:r>
        <w:rPr>
          <w:rFonts w:hint="eastAsia"/>
          <w:color w:val="auto"/>
          <w:szCs w:val="21"/>
          <w:highlight w:val="none"/>
          <w:lang w:val="en-US" w:eastAsia="zh-CN"/>
        </w:rPr>
        <w:t>的内墙采用</w:t>
      </w:r>
      <w:r>
        <w:rPr>
          <w:rFonts w:hint="eastAsia"/>
          <w:color w:val="auto"/>
          <w:szCs w:val="21"/>
          <w:highlight w:val="none"/>
        </w:rPr>
        <w:t>双拼叠合剪力墙</w:t>
      </w:r>
      <w:r>
        <w:rPr>
          <w:rFonts w:hint="eastAsia"/>
          <w:color w:val="auto"/>
          <w:szCs w:val="21"/>
          <w:highlight w:val="none"/>
          <w:lang w:val="en-US" w:eastAsia="zh-CN"/>
        </w:rPr>
        <w:t>时</w:t>
      </w:r>
      <w:r>
        <w:rPr>
          <w:rFonts w:hint="eastAsia"/>
          <w:color w:val="auto"/>
          <w:szCs w:val="21"/>
          <w:highlight w:val="none"/>
          <w:lang w:eastAsia="zh-CN"/>
        </w:rPr>
        <w:t>，</w:t>
      </w:r>
      <w:r>
        <w:rPr>
          <w:rFonts w:hint="eastAsia"/>
          <w:color w:val="auto"/>
          <w:szCs w:val="21"/>
          <w:highlight w:val="none"/>
          <w:lang w:val="en-US" w:eastAsia="zh-CN"/>
        </w:rPr>
        <w:t>其构造</w:t>
      </w:r>
      <w:r>
        <w:rPr>
          <w:rFonts w:hint="eastAsia"/>
          <w:color w:val="auto"/>
          <w:szCs w:val="21"/>
          <w:highlight w:val="none"/>
        </w:rPr>
        <w:t>应符合下列规定：</w:t>
      </w:r>
    </w:p>
    <w:p w14:paraId="2587061A">
      <w:pPr>
        <w:spacing w:line="360" w:lineRule="exact"/>
        <w:ind w:firstLine="422" w:firstLineChars="200"/>
        <w:rPr>
          <w:rFonts w:hint="eastAsia" w:ascii="Times New Roman" w:hAnsi="Times New Roman" w:eastAsia="宋体"/>
          <w:color w:val="auto"/>
          <w:szCs w:val="21"/>
          <w:highlight w:val="none"/>
          <w:lang w:eastAsia="zh-CN"/>
        </w:rPr>
      </w:pPr>
      <w:r>
        <w:rPr>
          <w:rFonts w:hint="eastAsia" w:ascii="Times New Roman" w:hAnsi="Times New Roman"/>
          <w:b/>
          <w:bCs/>
          <w:color w:val="auto"/>
          <w:szCs w:val="21"/>
          <w:highlight w:val="none"/>
        </w:rPr>
        <w:t>1</w:t>
      </w:r>
      <w:r>
        <w:rPr>
          <w:rFonts w:hint="eastAsia"/>
          <w:color w:val="auto"/>
          <w:szCs w:val="21"/>
          <w:highlight w:val="none"/>
          <w:lang w:val="en-US" w:eastAsia="zh-CN"/>
        </w:rPr>
        <w:t xml:space="preserve">  单侧叶板的厚度不宜小于50mm，叶板与现浇混凝土的结合面</w:t>
      </w:r>
      <w:r>
        <w:rPr>
          <w:rFonts w:hint="eastAsia" w:ascii="Times New Roman" w:hAnsi="Times New Roman"/>
          <w:color w:val="auto"/>
          <w:szCs w:val="21"/>
          <w:highlight w:val="none"/>
        </w:rPr>
        <w:t>应设置深度不小于4mm的粗糙面</w:t>
      </w:r>
      <w:r>
        <w:rPr>
          <w:rFonts w:hint="eastAsia"/>
          <w:color w:val="auto"/>
          <w:szCs w:val="21"/>
          <w:highlight w:val="none"/>
          <w:lang w:eastAsia="zh-CN"/>
        </w:rPr>
        <w:t>。</w:t>
      </w:r>
    </w:p>
    <w:p w14:paraId="5563CA39">
      <w:pPr>
        <w:spacing w:line="360" w:lineRule="exact"/>
        <w:ind w:firstLine="422" w:firstLineChars="200"/>
        <w:rPr>
          <w:rFonts w:hint="eastAsia"/>
          <w:color w:val="auto"/>
          <w:szCs w:val="21"/>
          <w:highlight w:val="none"/>
          <w:lang w:eastAsia="zh-CN"/>
        </w:rPr>
      </w:pPr>
      <w:r>
        <w:rPr>
          <w:rFonts w:hint="eastAsia"/>
          <w:b/>
          <w:bCs/>
          <w:color w:val="auto"/>
          <w:szCs w:val="21"/>
          <w:highlight w:val="none"/>
          <w:lang w:val="en-US" w:eastAsia="zh-CN"/>
        </w:rPr>
        <w:t>2</w:t>
      </w:r>
      <w:r>
        <w:rPr>
          <w:rFonts w:hint="eastAsia"/>
          <w:color w:val="auto"/>
          <w:szCs w:val="21"/>
          <w:highlight w:val="none"/>
          <w:lang w:val="en-US" w:eastAsia="zh-CN"/>
        </w:rPr>
        <w:t xml:space="preserve">  叶板与现浇混凝土的结合面</w:t>
      </w:r>
      <w:r>
        <w:rPr>
          <w:rFonts w:hint="eastAsia" w:ascii="Times New Roman" w:hAnsi="Times New Roman"/>
          <w:color w:val="auto"/>
          <w:szCs w:val="21"/>
          <w:highlight w:val="none"/>
        </w:rPr>
        <w:t>应</w:t>
      </w:r>
      <w:r>
        <w:rPr>
          <w:rFonts w:hint="eastAsia"/>
          <w:color w:val="auto"/>
          <w:szCs w:val="21"/>
          <w:highlight w:val="none"/>
          <w:lang w:val="en-US" w:eastAsia="zh-CN"/>
        </w:rPr>
        <w:t>设置封闭钢筋环，钢筋环直径不宜小于6mm，钢筋环净间距不宜大于2倍墙身分布钢筋间距</w:t>
      </w:r>
      <w:r>
        <w:rPr>
          <w:rFonts w:hint="eastAsia"/>
          <w:color w:val="auto"/>
          <w:szCs w:val="21"/>
          <w:highlight w:val="none"/>
          <w:lang w:eastAsia="zh-CN"/>
        </w:rPr>
        <w:t>。</w:t>
      </w:r>
    </w:p>
    <w:p w14:paraId="01AF9134">
      <w:pPr>
        <w:spacing w:line="360" w:lineRule="exact"/>
        <w:ind w:firstLine="422" w:firstLineChars="200"/>
        <w:rPr>
          <w:rFonts w:hint="eastAsia"/>
          <w:color w:val="auto"/>
          <w:szCs w:val="21"/>
          <w:highlight w:val="none"/>
          <w:lang w:val="en-US" w:eastAsia="zh-CN"/>
        </w:rPr>
      </w:pPr>
      <w:r>
        <w:rPr>
          <w:rFonts w:hint="eastAsia"/>
          <w:b/>
          <w:bCs/>
          <w:color w:val="auto"/>
          <w:szCs w:val="21"/>
          <w:highlight w:val="none"/>
          <w:lang w:val="en-US" w:eastAsia="zh-CN"/>
        </w:rPr>
        <w:t>3</w:t>
      </w:r>
      <w:r>
        <w:rPr>
          <w:rFonts w:hint="eastAsia"/>
          <w:color w:val="auto"/>
          <w:szCs w:val="21"/>
          <w:highlight w:val="none"/>
          <w:lang w:val="en-US" w:eastAsia="zh-CN"/>
        </w:rPr>
        <w:t xml:space="preserve">  叶板底部第一道钢筋环的间距不应大于竖向分布钢筋间距，且钢筋环底部距叶板底部距离不宜大于100。</w:t>
      </w:r>
    </w:p>
    <w:p w14:paraId="24EF2A21">
      <w:pPr>
        <w:widowControl/>
        <w:spacing w:line="360" w:lineRule="exact"/>
        <w:ind w:firstLine="0" w:firstLineChars="0"/>
        <w:rPr>
          <w:rFonts w:hint="eastAsia"/>
          <w:color w:val="auto"/>
          <w:szCs w:val="21"/>
          <w:highlight w:val="none"/>
        </w:rPr>
      </w:pPr>
      <w:r>
        <w:rPr>
          <w:rFonts w:hint="eastAsia"/>
          <w:b/>
          <w:color w:val="auto"/>
          <w:szCs w:val="21"/>
          <w:highlight w:val="none"/>
        </w:rPr>
        <w:t>6.</w:t>
      </w:r>
      <w:r>
        <w:rPr>
          <w:rFonts w:hint="eastAsia"/>
          <w:b/>
          <w:color w:val="auto"/>
          <w:szCs w:val="21"/>
          <w:highlight w:val="none"/>
          <w:lang w:val="en-US" w:eastAsia="zh-CN"/>
        </w:rPr>
        <w:t>4</w:t>
      </w:r>
      <w:r>
        <w:rPr>
          <w:rFonts w:hint="eastAsia"/>
          <w:b/>
          <w:color w:val="auto"/>
          <w:szCs w:val="21"/>
          <w:highlight w:val="none"/>
        </w:rPr>
        <w:t>.</w:t>
      </w:r>
      <w:r>
        <w:rPr>
          <w:rFonts w:hint="eastAsia"/>
          <w:b/>
          <w:color w:val="auto"/>
          <w:szCs w:val="21"/>
          <w:highlight w:val="none"/>
          <w:lang w:val="en-US" w:eastAsia="zh-CN"/>
        </w:rPr>
        <w:t>8</w:t>
      </w:r>
      <w:r>
        <w:rPr>
          <w:rFonts w:hint="eastAsia"/>
          <w:b/>
          <w:color w:val="auto"/>
          <w:szCs w:val="21"/>
          <w:highlight w:val="none"/>
        </w:rPr>
        <w:t xml:space="preserve"> </w:t>
      </w:r>
      <w:r>
        <w:rPr>
          <w:rFonts w:hint="eastAsia"/>
          <w:color w:val="auto"/>
          <w:szCs w:val="21"/>
          <w:highlight w:val="none"/>
        </w:rPr>
        <w:t>模块化</w:t>
      </w:r>
      <w:r>
        <w:rPr>
          <w:rFonts w:hint="eastAsia"/>
          <w:color w:val="auto"/>
          <w:szCs w:val="21"/>
          <w:highlight w:val="none"/>
          <w:lang w:val="en-US" w:eastAsia="zh-CN"/>
        </w:rPr>
        <w:t>叠合</w:t>
      </w:r>
      <w:r>
        <w:rPr>
          <w:rFonts w:hint="eastAsia"/>
          <w:color w:val="auto"/>
          <w:szCs w:val="21"/>
          <w:highlight w:val="none"/>
        </w:rPr>
        <w:t>剪力墙结构</w:t>
      </w:r>
      <w:r>
        <w:rPr>
          <w:rFonts w:hint="eastAsia"/>
          <w:color w:val="auto"/>
          <w:szCs w:val="21"/>
          <w:highlight w:val="none"/>
          <w:lang w:val="en-US" w:eastAsia="zh-CN"/>
        </w:rPr>
        <w:t>的双面</w:t>
      </w:r>
      <w:r>
        <w:rPr>
          <w:rFonts w:hint="eastAsia"/>
          <w:color w:val="auto"/>
          <w:szCs w:val="21"/>
          <w:highlight w:val="none"/>
        </w:rPr>
        <w:t>叠合剪力墙</w:t>
      </w:r>
      <w:r>
        <w:rPr>
          <w:rFonts w:hint="eastAsia"/>
          <w:color w:val="auto"/>
          <w:szCs w:val="21"/>
          <w:highlight w:val="none"/>
          <w:lang w:val="en-US" w:eastAsia="zh-CN"/>
        </w:rPr>
        <w:t>和预制空心剪力墙竖向</w:t>
      </w:r>
      <w:r>
        <w:rPr>
          <w:rFonts w:hint="eastAsia"/>
          <w:color w:val="auto"/>
          <w:szCs w:val="21"/>
          <w:highlight w:val="none"/>
        </w:rPr>
        <w:t>连接采用不出筋开槽</w:t>
      </w:r>
      <w:r>
        <w:rPr>
          <w:rFonts w:hint="eastAsia"/>
          <w:color w:val="auto"/>
          <w:szCs w:val="21"/>
          <w:highlight w:val="none"/>
          <w:lang w:val="en-US" w:eastAsia="zh-CN"/>
        </w:rPr>
        <w:t>连接</w:t>
      </w:r>
      <w:r>
        <w:rPr>
          <w:rFonts w:hint="eastAsia"/>
          <w:color w:val="auto"/>
          <w:szCs w:val="21"/>
          <w:highlight w:val="none"/>
        </w:rPr>
        <w:t>时，应符合下列规定：</w:t>
      </w:r>
    </w:p>
    <w:p w14:paraId="688CC280">
      <w:pPr>
        <w:spacing w:line="360" w:lineRule="exact"/>
        <w:ind w:firstLine="422" w:firstLineChars="200"/>
        <w:rPr>
          <w:rFonts w:hint="eastAsia" w:ascii="Times New Roman" w:hAnsi="Times New Roman" w:eastAsia="宋体"/>
          <w:color w:val="auto"/>
          <w:szCs w:val="21"/>
          <w:highlight w:val="none"/>
          <w:lang w:eastAsia="zh-CN"/>
        </w:rPr>
      </w:pPr>
      <w:r>
        <w:rPr>
          <w:rFonts w:hint="eastAsia" w:ascii="Times New Roman" w:hAnsi="Times New Roman"/>
          <w:b/>
          <w:bCs/>
          <w:color w:val="auto"/>
          <w:szCs w:val="21"/>
          <w:highlight w:val="none"/>
        </w:rPr>
        <w:t>1</w:t>
      </w:r>
      <w:r>
        <w:rPr>
          <w:rFonts w:hint="eastAsia"/>
          <w:color w:val="auto"/>
          <w:szCs w:val="21"/>
          <w:highlight w:val="none"/>
          <w:lang w:val="en-US" w:eastAsia="zh-CN"/>
        </w:rPr>
        <w:t xml:space="preserve">  墙底槽口的间距宜与墙身竖向分布钢筋相同</w:t>
      </w:r>
      <w:r>
        <w:rPr>
          <w:rFonts w:hint="eastAsia"/>
          <w:color w:val="auto"/>
          <w:szCs w:val="21"/>
          <w:highlight w:val="none"/>
          <w:lang w:eastAsia="zh-CN"/>
        </w:rPr>
        <w:t>。</w:t>
      </w:r>
    </w:p>
    <w:p w14:paraId="39EB3FA5">
      <w:pPr>
        <w:spacing w:line="360" w:lineRule="exact"/>
        <w:ind w:firstLine="422" w:firstLineChars="200"/>
        <w:rPr>
          <w:rFonts w:hint="eastAsia" w:ascii="Times New Roman" w:hAnsi="Times New Roman" w:eastAsia="宋体"/>
          <w:color w:val="auto"/>
          <w:szCs w:val="21"/>
          <w:highlight w:val="none"/>
          <w:lang w:eastAsia="zh-CN"/>
        </w:rPr>
      </w:pPr>
      <w:r>
        <w:rPr>
          <w:rFonts w:hint="eastAsia" w:ascii="Times New Roman" w:hAnsi="Times New Roman"/>
          <w:b/>
          <w:bCs/>
          <w:color w:val="auto"/>
          <w:szCs w:val="21"/>
          <w:highlight w:val="none"/>
        </w:rPr>
        <w:t>2</w:t>
      </w:r>
      <w:r>
        <w:rPr>
          <w:rFonts w:hint="eastAsia" w:ascii="Times New Roman" w:hAnsi="Times New Roman"/>
          <w:color w:val="auto"/>
          <w:szCs w:val="21"/>
          <w:highlight w:val="none"/>
        </w:rPr>
        <w:t xml:space="preserve"> </w:t>
      </w:r>
      <w:r>
        <w:rPr>
          <w:rFonts w:hint="eastAsia"/>
          <w:color w:val="auto"/>
          <w:szCs w:val="21"/>
          <w:highlight w:val="none"/>
          <w:lang w:val="en-US" w:eastAsia="zh-CN"/>
        </w:rPr>
        <w:t xml:space="preserve"> 墙底槽口的宽度不应小于竖向连接钢筋的直径d+30mm，槽口的长度应满足竖向连接钢筋锚固长度要求</w:t>
      </w:r>
      <w:r>
        <w:rPr>
          <w:rFonts w:hint="eastAsia"/>
          <w:color w:val="auto"/>
          <w:szCs w:val="21"/>
          <w:highlight w:val="none"/>
          <w:lang w:eastAsia="zh-CN"/>
        </w:rPr>
        <w:t>。</w:t>
      </w:r>
    </w:p>
    <w:p w14:paraId="6D67F794">
      <w:pPr>
        <w:spacing w:line="360" w:lineRule="exact"/>
        <w:ind w:firstLine="422" w:firstLineChars="200"/>
        <w:rPr>
          <w:rFonts w:hint="eastAsia"/>
          <w:color w:val="auto"/>
          <w:szCs w:val="21"/>
          <w:highlight w:val="none"/>
          <w:lang w:eastAsia="zh-CN"/>
        </w:rPr>
      </w:pPr>
      <w:r>
        <w:rPr>
          <w:rFonts w:hint="eastAsia" w:ascii="Times New Roman" w:hAnsi="Times New Roman"/>
          <w:b/>
          <w:bCs/>
          <w:color w:val="auto"/>
          <w:szCs w:val="21"/>
          <w:highlight w:val="none"/>
        </w:rPr>
        <w:t xml:space="preserve">3 </w:t>
      </w:r>
      <w:r>
        <w:rPr>
          <w:rFonts w:hint="eastAsia"/>
          <w:b/>
          <w:bCs/>
          <w:color w:val="auto"/>
          <w:szCs w:val="21"/>
          <w:highlight w:val="none"/>
          <w:lang w:val="en-US" w:eastAsia="zh-CN"/>
        </w:rPr>
        <w:t xml:space="preserve"> </w:t>
      </w:r>
      <w:r>
        <w:rPr>
          <w:rFonts w:hint="eastAsia"/>
          <w:color w:val="auto"/>
          <w:szCs w:val="21"/>
          <w:highlight w:val="none"/>
          <w:lang w:val="en-US" w:eastAsia="zh-CN"/>
        </w:rPr>
        <w:t>墙底槽口的深度宜取</w:t>
      </w:r>
      <m:oMath>
        <m:sSub>
          <m:sSubPr>
            <m:ctrlPr>
              <w:rPr>
                <w:rFonts w:hint="eastAsia" w:ascii="Cambria Math" w:hAnsi="Cambria Math"/>
                <w:i w:val="0"/>
                <w:color w:val="auto"/>
                <w:szCs w:val="21"/>
                <w:highlight w:val="none"/>
                <w:lang w:val="en-US"/>
              </w:rPr>
            </m:ctrlPr>
          </m:sSubPr>
          <m:e>
            <m:r>
              <m:rPr>
                <m:sty m:val="p"/>
              </m:rPr>
              <w:rPr>
                <w:rFonts w:hint="eastAsia" w:ascii="Cambria Math" w:hAnsi="Cambria Math"/>
                <w:color w:val="auto"/>
                <w:szCs w:val="21"/>
                <w:highlight w:val="none"/>
                <w:lang w:val="en-US" w:eastAsia="zh-CN"/>
              </w:rPr>
              <m:t>t</m:t>
            </m:r>
            <m:ctrlPr>
              <w:rPr>
                <w:rFonts w:hint="eastAsia" w:ascii="Cambria Math" w:hAnsi="Cambria Math"/>
                <w:i w:val="0"/>
                <w:color w:val="auto"/>
                <w:szCs w:val="21"/>
                <w:highlight w:val="none"/>
                <w:lang w:val="en-US"/>
              </w:rPr>
            </m:ctrlPr>
          </m:e>
          <m:sub>
            <m:r>
              <m:rPr>
                <m:sty m:val="p"/>
              </m:rPr>
              <w:rPr>
                <w:rFonts w:hint="eastAsia" w:ascii="Cambria Math" w:hAnsi="Cambria Math"/>
                <w:color w:val="auto"/>
                <w:szCs w:val="21"/>
                <w:highlight w:val="none"/>
                <w:lang w:val="en-US" w:eastAsia="zh-CN"/>
              </w:rPr>
              <m:t>s</m:t>
            </m:r>
            <m:ctrlPr>
              <w:rPr>
                <w:rFonts w:hint="eastAsia" w:ascii="Cambria Math" w:hAnsi="Cambria Math"/>
                <w:i w:val="0"/>
                <w:color w:val="auto"/>
                <w:szCs w:val="21"/>
                <w:highlight w:val="none"/>
                <w:lang w:val="en-US"/>
              </w:rPr>
            </m:ctrlPr>
          </m:sub>
        </m:sSub>
      </m:oMath>
      <w:r>
        <w:rPr>
          <w:rFonts w:hint="eastAsia"/>
          <w:color w:val="auto"/>
          <w:szCs w:val="21"/>
          <w:highlight w:val="none"/>
          <w:lang w:val="en-US" w:eastAsia="zh-CN"/>
        </w:rPr>
        <w:t>-20mm，</w:t>
      </w:r>
      <m:oMath>
        <m:sSub>
          <m:sSubPr>
            <m:ctrlPr>
              <w:rPr>
                <w:rFonts w:hint="eastAsia" w:ascii="Cambria Math" w:hAnsi="Cambria Math"/>
                <w:i w:val="0"/>
                <w:color w:val="auto"/>
                <w:szCs w:val="21"/>
                <w:highlight w:val="none"/>
                <w:lang w:val="en-US"/>
              </w:rPr>
            </m:ctrlPr>
          </m:sSubPr>
          <m:e>
            <m:r>
              <m:rPr>
                <m:sty m:val="p"/>
              </m:rPr>
              <w:rPr>
                <w:rFonts w:hint="eastAsia" w:ascii="Cambria Math" w:hAnsi="Cambria Math"/>
                <w:color w:val="auto"/>
                <w:szCs w:val="21"/>
                <w:highlight w:val="none"/>
                <w:lang w:val="en-US" w:eastAsia="zh-CN"/>
              </w:rPr>
              <m:t>t</m:t>
            </m:r>
            <m:ctrlPr>
              <w:rPr>
                <w:rFonts w:hint="eastAsia" w:ascii="Cambria Math" w:hAnsi="Cambria Math"/>
                <w:i w:val="0"/>
                <w:color w:val="auto"/>
                <w:szCs w:val="21"/>
                <w:highlight w:val="none"/>
                <w:lang w:val="en-US"/>
              </w:rPr>
            </m:ctrlPr>
          </m:e>
          <m:sub>
            <m:r>
              <m:rPr>
                <m:sty m:val="p"/>
              </m:rPr>
              <w:rPr>
                <w:rFonts w:hint="eastAsia" w:ascii="Cambria Math" w:hAnsi="Cambria Math"/>
                <w:color w:val="auto"/>
                <w:szCs w:val="21"/>
                <w:highlight w:val="none"/>
                <w:lang w:val="en-US" w:eastAsia="zh-CN"/>
              </w:rPr>
              <m:t>s</m:t>
            </m:r>
            <m:ctrlPr>
              <w:rPr>
                <w:rFonts w:hint="eastAsia" w:ascii="Cambria Math" w:hAnsi="Cambria Math"/>
                <w:i w:val="0"/>
                <w:color w:val="auto"/>
                <w:szCs w:val="21"/>
                <w:highlight w:val="none"/>
                <w:lang w:val="en-US"/>
              </w:rPr>
            </m:ctrlPr>
          </m:sub>
        </m:sSub>
      </m:oMath>
      <w:r>
        <w:rPr>
          <w:rFonts w:hint="eastAsia" w:hAnsi="Times New Roman"/>
          <w:i w:val="0"/>
          <w:color w:val="auto"/>
          <w:szCs w:val="21"/>
          <w:highlight w:val="none"/>
          <w:lang w:val="en-US" w:eastAsia="zh-CN"/>
        </w:rPr>
        <w:t>为</w:t>
      </w:r>
      <w:r>
        <w:rPr>
          <w:rFonts w:hint="eastAsia"/>
          <w:color w:val="auto"/>
          <w:szCs w:val="21"/>
          <w:highlight w:val="none"/>
          <w:lang w:val="en-US" w:eastAsia="zh-CN"/>
        </w:rPr>
        <w:t>单侧墙板厚度</w:t>
      </w:r>
      <w:r>
        <w:rPr>
          <w:rFonts w:hint="eastAsia"/>
          <w:color w:val="auto"/>
          <w:szCs w:val="21"/>
          <w:highlight w:val="none"/>
          <w:lang w:eastAsia="zh-CN"/>
        </w:rPr>
        <w:t>。</w:t>
      </w:r>
    </w:p>
    <w:p w14:paraId="69865FD7">
      <w:pPr>
        <w:spacing w:line="360" w:lineRule="exact"/>
        <w:rPr>
          <w:rFonts w:ascii="Times New Roman" w:hAnsi="Times New Roman"/>
          <w:color w:val="auto"/>
          <w:szCs w:val="21"/>
          <w:highlight w:val="none"/>
        </w:rPr>
      </w:pPr>
      <w:r>
        <w:rPr>
          <w:rFonts w:hint="eastAsia"/>
          <w:b/>
          <w:color w:val="auto"/>
          <w:szCs w:val="21"/>
          <w:highlight w:val="none"/>
        </w:rPr>
        <w:t>6.</w:t>
      </w:r>
      <w:r>
        <w:rPr>
          <w:rFonts w:hint="eastAsia"/>
          <w:b/>
          <w:color w:val="auto"/>
          <w:szCs w:val="21"/>
          <w:highlight w:val="none"/>
          <w:lang w:val="en-US" w:eastAsia="zh-CN"/>
        </w:rPr>
        <w:t>4</w:t>
      </w:r>
      <w:r>
        <w:rPr>
          <w:rFonts w:hint="eastAsia"/>
          <w:b/>
          <w:color w:val="auto"/>
          <w:szCs w:val="21"/>
          <w:highlight w:val="none"/>
        </w:rPr>
        <w:t>.</w:t>
      </w:r>
      <w:r>
        <w:rPr>
          <w:rFonts w:hint="eastAsia"/>
          <w:b/>
          <w:color w:val="auto"/>
          <w:szCs w:val="21"/>
          <w:highlight w:val="none"/>
          <w:lang w:val="en-US" w:eastAsia="zh-CN"/>
        </w:rPr>
        <w:t>9</w:t>
      </w:r>
      <w:r>
        <w:rPr>
          <w:rFonts w:hint="eastAsia"/>
          <w:b/>
          <w:color w:val="auto"/>
          <w:szCs w:val="21"/>
          <w:highlight w:val="none"/>
        </w:rPr>
        <w:t xml:space="preserve"> </w:t>
      </w:r>
      <w:r>
        <w:rPr>
          <w:rFonts w:hint="eastAsia" w:ascii="Times New Roman" w:hAnsi="Times New Roman"/>
          <w:color w:val="auto"/>
          <w:szCs w:val="21"/>
          <w:highlight w:val="none"/>
        </w:rPr>
        <w:t>模块化混凝土结构的楼盖宜采用叠合楼盖，叠合板的设计应符合现行国家标准《</w:t>
      </w:r>
      <w:r>
        <w:rPr>
          <w:rFonts w:hint="eastAsia"/>
          <w:color w:val="auto"/>
          <w:szCs w:val="21"/>
          <w:highlight w:val="none"/>
          <w:lang w:eastAsia="zh-CN"/>
        </w:rPr>
        <w:t>混凝土结构设计标准</w:t>
      </w:r>
      <w:r>
        <w:rPr>
          <w:rFonts w:hint="eastAsia" w:ascii="Times New Roman" w:hAnsi="Times New Roman"/>
          <w:color w:val="auto"/>
          <w:szCs w:val="21"/>
          <w:highlight w:val="none"/>
        </w:rPr>
        <w:t>》</w:t>
      </w:r>
      <w:r>
        <w:rPr>
          <w:rFonts w:hint="eastAsia"/>
          <w:color w:val="auto"/>
          <w:szCs w:val="21"/>
          <w:highlight w:val="none"/>
        </w:rPr>
        <w:t>GB/T 50010</w:t>
      </w:r>
      <w:r>
        <w:rPr>
          <w:rFonts w:hint="eastAsia" w:ascii="Times New Roman" w:hAnsi="Times New Roman"/>
          <w:color w:val="auto"/>
          <w:szCs w:val="21"/>
          <w:highlight w:val="none"/>
        </w:rPr>
        <w:t>和《混凝土结构通用规范》</w:t>
      </w:r>
      <w:r>
        <w:rPr>
          <w:rFonts w:ascii="Times New Roman" w:hAnsi="Times New Roman"/>
          <w:color w:val="auto"/>
          <w:szCs w:val="21"/>
          <w:highlight w:val="none"/>
        </w:rPr>
        <w:t>GB 55008</w:t>
      </w:r>
      <w:r>
        <w:rPr>
          <w:rFonts w:hint="eastAsia" w:ascii="Times New Roman" w:hAnsi="Times New Roman"/>
          <w:color w:val="auto"/>
          <w:szCs w:val="21"/>
          <w:highlight w:val="none"/>
        </w:rPr>
        <w:t>的有关规定。</w:t>
      </w:r>
    </w:p>
    <w:p w14:paraId="4800C766">
      <w:pPr>
        <w:spacing w:line="360" w:lineRule="exact"/>
        <w:rPr>
          <w:color w:val="auto"/>
          <w:szCs w:val="21"/>
          <w:highlight w:val="none"/>
        </w:rPr>
      </w:pPr>
      <w:r>
        <w:rPr>
          <w:rFonts w:hint="eastAsia"/>
          <w:b/>
          <w:color w:val="auto"/>
          <w:szCs w:val="21"/>
          <w:highlight w:val="none"/>
        </w:rPr>
        <w:t>6.</w:t>
      </w:r>
      <w:r>
        <w:rPr>
          <w:rFonts w:hint="eastAsia"/>
          <w:b/>
          <w:color w:val="auto"/>
          <w:szCs w:val="21"/>
          <w:highlight w:val="none"/>
          <w:lang w:val="en-US" w:eastAsia="zh-CN"/>
        </w:rPr>
        <w:t>4</w:t>
      </w:r>
      <w:r>
        <w:rPr>
          <w:rFonts w:hint="eastAsia"/>
          <w:b/>
          <w:color w:val="auto"/>
          <w:szCs w:val="21"/>
          <w:highlight w:val="none"/>
        </w:rPr>
        <w:t>.</w:t>
      </w:r>
      <w:r>
        <w:rPr>
          <w:rFonts w:hint="eastAsia"/>
          <w:b/>
          <w:color w:val="auto"/>
          <w:szCs w:val="21"/>
          <w:highlight w:val="none"/>
          <w:lang w:val="en-US" w:eastAsia="zh-CN"/>
        </w:rPr>
        <w:t>10</w:t>
      </w:r>
      <w:r>
        <w:rPr>
          <w:rFonts w:hint="eastAsia"/>
          <w:b/>
          <w:color w:val="auto"/>
          <w:szCs w:val="21"/>
          <w:highlight w:val="none"/>
        </w:rPr>
        <w:t xml:space="preserve"> </w:t>
      </w:r>
      <w:r>
        <w:rPr>
          <w:rFonts w:hint="eastAsia"/>
          <w:color w:val="auto"/>
          <w:szCs w:val="21"/>
          <w:highlight w:val="none"/>
        </w:rPr>
        <w:t>高层模块化结构中，楼盖应符合下列规定：</w:t>
      </w:r>
    </w:p>
    <w:p w14:paraId="31E3A798">
      <w:pPr>
        <w:spacing w:line="360" w:lineRule="exact"/>
        <w:ind w:firstLine="422" w:firstLineChars="200"/>
        <w:rPr>
          <w:rFonts w:hint="eastAsia" w:eastAsia="宋体"/>
          <w:color w:val="auto"/>
          <w:szCs w:val="21"/>
          <w:highlight w:val="none"/>
          <w:lang w:eastAsia="zh-CN"/>
        </w:rPr>
      </w:pPr>
      <w:r>
        <w:rPr>
          <w:rFonts w:hint="eastAsia"/>
          <w:b/>
          <w:bCs/>
          <w:color w:val="auto"/>
          <w:szCs w:val="21"/>
          <w:highlight w:val="none"/>
        </w:rPr>
        <w:t>1</w:t>
      </w:r>
      <w:r>
        <w:rPr>
          <w:rFonts w:hint="eastAsia"/>
          <w:color w:val="auto"/>
          <w:szCs w:val="21"/>
          <w:highlight w:val="none"/>
        </w:rPr>
        <w:t xml:space="preserve">  结构转换层和作为上</w:t>
      </w:r>
      <w:r>
        <w:rPr>
          <w:rFonts w:hint="eastAsia"/>
          <w:color w:val="auto"/>
          <w:szCs w:val="21"/>
          <w:highlight w:val="none"/>
          <w:lang w:val="en-US" w:eastAsia="zh-CN"/>
        </w:rPr>
        <w:t>部</w:t>
      </w:r>
      <w:r>
        <w:rPr>
          <w:rFonts w:hint="eastAsia"/>
          <w:color w:val="auto"/>
          <w:szCs w:val="21"/>
          <w:highlight w:val="none"/>
        </w:rPr>
        <w:t>结构嵌固部位的楼层宜采用现浇混凝土楼盖</w:t>
      </w:r>
      <w:r>
        <w:rPr>
          <w:rFonts w:hint="eastAsia"/>
          <w:color w:val="auto"/>
          <w:szCs w:val="21"/>
          <w:highlight w:val="none"/>
          <w:lang w:eastAsia="zh-CN"/>
        </w:rPr>
        <w:t>。</w:t>
      </w:r>
    </w:p>
    <w:p w14:paraId="1FD067A0">
      <w:pPr>
        <w:spacing w:line="360" w:lineRule="exact"/>
        <w:ind w:firstLine="422" w:firstLineChars="200"/>
        <w:rPr>
          <w:color w:val="auto"/>
          <w:szCs w:val="21"/>
          <w:highlight w:val="none"/>
        </w:rPr>
      </w:pPr>
      <w:r>
        <w:rPr>
          <w:rFonts w:hint="eastAsia"/>
          <w:b/>
          <w:bCs/>
          <w:color w:val="auto"/>
          <w:szCs w:val="21"/>
          <w:highlight w:val="none"/>
        </w:rPr>
        <w:t>2</w:t>
      </w:r>
      <w:r>
        <w:rPr>
          <w:rFonts w:hint="eastAsia"/>
          <w:color w:val="auto"/>
          <w:szCs w:val="21"/>
          <w:highlight w:val="none"/>
        </w:rPr>
        <w:t xml:space="preserve">  屋面层和平面受力复杂的楼层宜采用现浇楼盖，当采用叠合楼盖时，楼板的后浇混凝土叠合层厚度不应小于100mm，且后浇层内应双层双向配筋，钢筋直径不宜小于8mm，间距不宜大于200mm。</w:t>
      </w:r>
    </w:p>
    <w:p w14:paraId="22BEF2C6">
      <w:pPr>
        <w:widowControl/>
        <w:spacing w:line="360" w:lineRule="exact"/>
        <w:rPr>
          <w:color w:val="auto"/>
          <w:szCs w:val="21"/>
          <w:highlight w:val="none"/>
        </w:rPr>
      </w:pPr>
      <w:r>
        <w:rPr>
          <w:rFonts w:hint="eastAsia"/>
          <w:b/>
          <w:color w:val="auto"/>
          <w:szCs w:val="21"/>
          <w:highlight w:val="none"/>
        </w:rPr>
        <w:t>6.</w:t>
      </w:r>
      <w:r>
        <w:rPr>
          <w:rFonts w:hint="eastAsia"/>
          <w:b/>
          <w:color w:val="auto"/>
          <w:szCs w:val="21"/>
          <w:highlight w:val="none"/>
          <w:lang w:val="en-US" w:eastAsia="zh-CN"/>
        </w:rPr>
        <w:t>4</w:t>
      </w:r>
      <w:r>
        <w:rPr>
          <w:rFonts w:hint="eastAsia"/>
          <w:b/>
          <w:color w:val="auto"/>
          <w:szCs w:val="21"/>
          <w:highlight w:val="none"/>
        </w:rPr>
        <w:t>.</w:t>
      </w:r>
      <w:r>
        <w:rPr>
          <w:rFonts w:hint="eastAsia"/>
          <w:b/>
          <w:color w:val="auto"/>
          <w:szCs w:val="21"/>
          <w:highlight w:val="none"/>
          <w:lang w:val="en-US" w:eastAsia="zh-CN"/>
        </w:rPr>
        <w:t>11</w:t>
      </w:r>
      <w:r>
        <w:rPr>
          <w:b/>
          <w:color w:val="auto"/>
          <w:szCs w:val="21"/>
          <w:highlight w:val="none"/>
        </w:rPr>
        <w:t xml:space="preserve"> </w:t>
      </w:r>
      <w:r>
        <w:rPr>
          <w:rFonts w:hint="eastAsia"/>
          <w:color w:val="auto"/>
          <w:szCs w:val="21"/>
          <w:highlight w:val="none"/>
        </w:rPr>
        <w:t xml:space="preserve"> </w:t>
      </w:r>
      <w:r>
        <w:rPr>
          <w:color w:val="auto"/>
          <w:szCs w:val="21"/>
          <w:highlight w:val="none"/>
        </w:rPr>
        <w:t>模块化结构楼板采用不出筋开槽叠合板时，应符合下列规定：</w:t>
      </w:r>
    </w:p>
    <w:p w14:paraId="63CC4DF1">
      <w:pPr>
        <w:spacing w:line="360" w:lineRule="exact"/>
        <w:ind w:firstLine="422" w:firstLineChars="200"/>
        <w:rPr>
          <w:rFonts w:hint="eastAsia" w:eastAsia="宋体"/>
          <w:color w:val="auto"/>
          <w:szCs w:val="21"/>
          <w:highlight w:val="none"/>
          <w:lang w:eastAsia="zh-CN"/>
        </w:rPr>
      </w:pPr>
      <w:bookmarkStart w:id="539" w:name="_Toc18173"/>
      <w:r>
        <w:rPr>
          <w:b/>
          <w:bCs/>
          <w:color w:val="auto"/>
          <w:szCs w:val="21"/>
          <w:highlight w:val="none"/>
        </w:rPr>
        <w:t>1</w:t>
      </w:r>
      <w:r>
        <w:rPr>
          <w:color w:val="auto"/>
          <w:szCs w:val="21"/>
          <w:highlight w:val="none"/>
        </w:rPr>
        <w:t xml:space="preserve">  后浇混凝土叠合层厚度不宜小于预制板厚度，且不应小于60mm</w:t>
      </w:r>
      <w:bookmarkEnd w:id="539"/>
      <w:r>
        <w:rPr>
          <w:rFonts w:hint="eastAsia"/>
          <w:color w:val="auto"/>
          <w:szCs w:val="21"/>
          <w:highlight w:val="none"/>
          <w:lang w:eastAsia="zh-CN"/>
        </w:rPr>
        <w:t>。</w:t>
      </w:r>
    </w:p>
    <w:p w14:paraId="100AF7C4">
      <w:pPr>
        <w:spacing w:line="360" w:lineRule="exact"/>
        <w:ind w:firstLine="422" w:firstLineChars="200"/>
        <w:rPr>
          <w:rFonts w:hint="eastAsia" w:eastAsia="宋体"/>
          <w:color w:val="auto"/>
          <w:szCs w:val="21"/>
          <w:highlight w:val="none"/>
          <w:lang w:eastAsia="zh-CN"/>
        </w:rPr>
      </w:pPr>
      <w:bookmarkStart w:id="540" w:name="_Toc21790"/>
      <w:r>
        <w:rPr>
          <w:b/>
          <w:bCs/>
          <w:color w:val="auto"/>
          <w:szCs w:val="21"/>
          <w:highlight w:val="none"/>
        </w:rPr>
        <w:t>2</w:t>
      </w:r>
      <w:r>
        <w:rPr>
          <w:color w:val="auto"/>
          <w:szCs w:val="21"/>
          <w:highlight w:val="none"/>
        </w:rPr>
        <w:t xml:space="preserve">  支座处应在垂直于板端的槽内设置搭接钢筋，搭接钢筋截面积应按《</w:t>
      </w:r>
      <w:r>
        <w:rPr>
          <w:rFonts w:hint="eastAsia"/>
          <w:color w:val="auto"/>
          <w:szCs w:val="21"/>
          <w:highlight w:val="none"/>
          <w:lang w:eastAsia="zh-CN"/>
        </w:rPr>
        <w:t>混凝土结构设计标准</w:t>
      </w:r>
      <w:r>
        <w:rPr>
          <w:color w:val="auto"/>
          <w:szCs w:val="21"/>
          <w:highlight w:val="none"/>
        </w:rPr>
        <w:t>》</w:t>
      </w:r>
      <w:r>
        <w:rPr>
          <w:rFonts w:hint="eastAsia"/>
          <w:color w:val="auto"/>
          <w:szCs w:val="21"/>
          <w:highlight w:val="none"/>
        </w:rPr>
        <w:t>GB/T 50010</w:t>
      </w:r>
      <w:r>
        <w:rPr>
          <w:color w:val="auto"/>
          <w:szCs w:val="21"/>
          <w:highlight w:val="none"/>
        </w:rPr>
        <w:t>的有关规定计算确定，且不应小于预制板内跨中同方向受力钢筋面积的1/3，搭接钢筋直径不宜小于10mm，间距不宜大于200mm；搭接钢筋强度等级不应低于与搭接钢筋平行的预制板内同向受力钢筋的强度等级</w:t>
      </w:r>
      <w:bookmarkEnd w:id="540"/>
      <w:r>
        <w:rPr>
          <w:rFonts w:hint="eastAsia"/>
          <w:color w:val="auto"/>
          <w:szCs w:val="21"/>
          <w:highlight w:val="none"/>
          <w:lang w:eastAsia="zh-CN"/>
        </w:rPr>
        <w:t>。</w:t>
      </w:r>
    </w:p>
    <w:p w14:paraId="10B1B08B">
      <w:pPr>
        <w:spacing w:line="360" w:lineRule="exact"/>
        <w:ind w:firstLine="422" w:firstLineChars="200"/>
        <w:rPr>
          <w:rFonts w:hint="eastAsia" w:eastAsia="宋体"/>
          <w:color w:val="auto"/>
          <w:szCs w:val="21"/>
          <w:highlight w:val="none"/>
          <w:lang w:eastAsia="zh-CN"/>
        </w:rPr>
      </w:pPr>
      <w:bookmarkStart w:id="541" w:name="_Toc7565"/>
      <w:r>
        <w:rPr>
          <w:b/>
          <w:bCs/>
          <w:color w:val="auto"/>
          <w:szCs w:val="21"/>
          <w:highlight w:val="none"/>
        </w:rPr>
        <w:t>3</w:t>
      </w:r>
      <w:r>
        <w:rPr>
          <w:color w:val="auto"/>
          <w:szCs w:val="21"/>
          <w:highlight w:val="none"/>
        </w:rPr>
        <w:t xml:space="preserve">  对于板端支座节点，板底搭接钢筋伸入后浇叠合层锚固长度ls不宜小于20d，并应在支承梁或墙的后浇混凝土中锚固，支座内锚固长度</w:t>
      </w:r>
      <m:oMath>
        <m:sSubSup>
          <m:sSubSupPr>
            <m:ctrlPr>
              <w:rPr>
                <w:rFonts w:ascii="Cambria Math" w:hAnsi="Cambria Math"/>
                <w:i/>
                <w:color w:val="auto"/>
                <w:szCs w:val="21"/>
                <w:highlight w:val="none"/>
              </w:rPr>
            </m:ctrlPr>
          </m:sSubSupPr>
          <m:e>
            <m:r>
              <m:rPr/>
              <w:rPr>
                <w:rFonts w:ascii="Cambria Math" w:hAnsi="Cambria Math"/>
                <w:color w:val="auto"/>
                <w:szCs w:val="21"/>
                <w:highlight w:val="none"/>
              </w:rPr>
              <m:t>l</m:t>
            </m:r>
            <m:ctrlPr>
              <w:rPr>
                <w:rFonts w:ascii="Cambria Math" w:hAnsi="Cambria Math"/>
                <w:i/>
                <w:color w:val="auto"/>
                <w:szCs w:val="21"/>
                <w:highlight w:val="none"/>
              </w:rPr>
            </m:ctrlPr>
          </m:e>
          <m:sub>
            <m:r>
              <m:rPr/>
              <w:rPr>
                <w:rFonts w:ascii="Cambria Math" w:hAnsi="Cambria Math"/>
                <w:color w:val="auto"/>
                <w:szCs w:val="21"/>
                <w:highlight w:val="none"/>
              </w:rPr>
              <m:t>s</m:t>
            </m:r>
            <m:ctrlPr>
              <w:rPr>
                <w:rFonts w:ascii="Cambria Math" w:hAnsi="Cambria Math"/>
                <w:i/>
                <w:color w:val="auto"/>
                <w:szCs w:val="21"/>
                <w:highlight w:val="none"/>
              </w:rPr>
            </m:ctrlPr>
          </m:sub>
          <m:sup>
            <m:r>
              <m:rPr/>
              <w:rPr>
                <w:rFonts w:hint="eastAsia" w:ascii="Cambria Math" w:hAnsi="Cambria Math"/>
                <w:color w:val="auto"/>
                <w:szCs w:val="21"/>
                <w:highlight w:val="none"/>
              </w:rPr>
              <m:t>'</m:t>
            </m:r>
            <m:ctrlPr>
              <w:rPr>
                <w:rFonts w:ascii="Cambria Math" w:hAnsi="Cambria Math"/>
                <w:i/>
                <w:color w:val="auto"/>
                <w:szCs w:val="21"/>
                <w:highlight w:val="none"/>
              </w:rPr>
            </m:ctrlPr>
          </m:sup>
        </m:sSubSup>
      </m:oMath>
      <w:r>
        <w:rPr>
          <w:color w:val="auto"/>
          <w:szCs w:val="21"/>
          <w:highlight w:val="none"/>
        </w:rPr>
        <w:t>不应小于15d且宜伸至支座中心线(图</w:t>
      </w:r>
      <w:r>
        <w:rPr>
          <w:rFonts w:hint="eastAsia"/>
          <w:color w:val="auto"/>
          <w:szCs w:val="21"/>
          <w:highlight w:val="none"/>
        </w:rPr>
        <w:t>6.</w:t>
      </w:r>
      <w:r>
        <w:rPr>
          <w:rFonts w:hint="eastAsia"/>
          <w:color w:val="auto"/>
          <w:szCs w:val="21"/>
          <w:highlight w:val="none"/>
          <w:lang w:val="en-US" w:eastAsia="zh-CN"/>
        </w:rPr>
        <w:t>4</w:t>
      </w:r>
      <w:r>
        <w:rPr>
          <w:rFonts w:hint="eastAsia"/>
          <w:color w:val="auto"/>
          <w:szCs w:val="21"/>
          <w:highlight w:val="none"/>
        </w:rPr>
        <w:t>.</w:t>
      </w:r>
      <w:r>
        <w:rPr>
          <w:rFonts w:hint="eastAsia"/>
          <w:color w:val="auto"/>
          <w:szCs w:val="21"/>
          <w:highlight w:val="none"/>
          <w:lang w:val="en-US" w:eastAsia="zh-CN"/>
        </w:rPr>
        <w:t>11-</w:t>
      </w:r>
      <w:r>
        <w:rPr>
          <w:color w:val="auto"/>
          <w:szCs w:val="21"/>
          <w:highlight w:val="none"/>
        </w:rPr>
        <w:t>a)。对于中节点支座，搭接钢筋在节点区应贯通，且每侧伸入后浇叠合层锚固长度</w:t>
      </w:r>
      <m:oMath>
        <m:sSub>
          <m:sSubPr>
            <m:ctrlPr>
              <w:rPr>
                <w:rFonts w:ascii="Cambria Math" w:hAnsi="Cambria Math"/>
                <w:i/>
                <w:color w:val="auto"/>
                <w:szCs w:val="21"/>
                <w:highlight w:val="none"/>
              </w:rPr>
            </m:ctrlPr>
          </m:sSubPr>
          <m:e>
            <m:r>
              <m:rPr/>
              <w:rPr>
                <w:rFonts w:ascii="Cambria Math" w:hAnsi="Cambria Math"/>
                <w:color w:val="auto"/>
                <w:szCs w:val="21"/>
                <w:highlight w:val="none"/>
              </w:rPr>
              <m:t>l</m:t>
            </m:r>
            <m:ctrlPr>
              <w:rPr>
                <w:rFonts w:ascii="Cambria Math" w:hAnsi="Cambria Math"/>
                <w:i/>
                <w:color w:val="auto"/>
                <w:szCs w:val="21"/>
                <w:highlight w:val="none"/>
              </w:rPr>
            </m:ctrlPr>
          </m:e>
          <m:sub>
            <m:r>
              <m:rPr/>
              <w:rPr>
                <w:rFonts w:ascii="Cambria Math" w:hAnsi="Cambria Math"/>
                <w:color w:val="auto"/>
                <w:szCs w:val="21"/>
                <w:highlight w:val="none"/>
              </w:rPr>
              <m:t>s</m:t>
            </m:r>
            <m:ctrlPr>
              <w:rPr>
                <w:rFonts w:ascii="Cambria Math" w:hAnsi="Cambria Math"/>
                <w:i/>
                <w:color w:val="auto"/>
                <w:szCs w:val="21"/>
                <w:highlight w:val="none"/>
              </w:rPr>
            </m:ctrlPr>
          </m:sub>
        </m:sSub>
      </m:oMath>
      <w:r>
        <w:rPr>
          <w:color w:val="auto"/>
          <w:szCs w:val="21"/>
          <w:highlight w:val="none"/>
        </w:rPr>
        <w:t>不宜小于</w:t>
      </w:r>
      <m:oMath>
        <m:r>
          <m:rPr>
            <m:sty m:val="p"/>
          </m:rPr>
          <w:rPr>
            <w:rFonts w:ascii="Cambria Math" w:hAnsi="Cambria Math"/>
            <w:color w:val="auto"/>
            <w:szCs w:val="21"/>
            <w:highlight w:val="none"/>
          </w:rPr>
          <m:t>ϕ</m:t>
        </m:r>
        <m:sSub>
          <m:sSubPr>
            <m:ctrlPr>
              <w:rPr>
                <w:rFonts w:ascii="Cambria Math" w:hAnsi="Cambria Math"/>
                <w:color w:val="auto"/>
                <w:szCs w:val="21"/>
                <w:highlight w:val="none"/>
              </w:rPr>
            </m:ctrlPr>
          </m:sSubPr>
          <m:e>
            <m:r>
              <m:rPr>
                <m:sty m:val="p"/>
              </m:rPr>
              <w:rPr>
                <w:rFonts w:ascii="Cambria Math" w:hAnsi="Cambria Math"/>
                <w:color w:val="auto"/>
                <w:szCs w:val="21"/>
                <w:highlight w:val="none"/>
              </w:rPr>
              <m:t>L</m:t>
            </m:r>
            <m:ctrlPr>
              <w:rPr>
                <w:rFonts w:ascii="Cambria Math" w:hAnsi="Cambria Math"/>
                <w:color w:val="auto"/>
                <w:szCs w:val="21"/>
                <w:highlight w:val="none"/>
              </w:rPr>
            </m:ctrlPr>
          </m:e>
          <m:sub>
            <m:r>
              <m:rPr>
                <m:sty m:val="p"/>
              </m:rPr>
              <w:rPr>
                <w:rFonts w:ascii="Cambria Math" w:hAnsi="Cambria Math"/>
                <w:color w:val="auto"/>
                <w:szCs w:val="21"/>
                <w:highlight w:val="none"/>
              </w:rPr>
              <m:t>a</m:t>
            </m:r>
            <m:ctrlPr>
              <w:rPr>
                <w:rFonts w:ascii="Cambria Math" w:hAnsi="Cambria Math"/>
                <w:color w:val="auto"/>
                <w:szCs w:val="21"/>
                <w:highlight w:val="none"/>
              </w:rPr>
            </m:ctrlPr>
          </m:sub>
        </m:sSub>
      </m:oMath>
      <w:r>
        <w:rPr>
          <w:color w:val="auto"/>
          <w:szCs w:val="21"/>
          <w:highlight w:val="none"/>
        </w:rPr>
        <w:t>，</w:t>
      </w:r>
      <m:oMath>
        <m:r>
          <m:rPr>
            <m:sty m:val="p"/>
          </m:rPr>
          <w:rPr>
            <w:rFonts w:ascii="Cambria Math" w:hAnsi="Cambria Math"/>
            <w:color w:val="auto"/>
            <w:szCs w:val="21"/>
            <w:highlight w:val="none"/>
          </w:rPr>
          <m:t>ϕ</m:t>
        </m:r>
      </m:oMath>
      <w:r>
        <w:rPr>
          <w:color w:val="auto"/>
          <w:szCs w:val="21"/>
          <w:highlight w:val="none"/>
        </w:rPr>
        <w:t>为钢筋锚固长度折减系数(图</w:t>
      </w:r>
      <w:r>
        <w:rPr>
          <w:rFonts w:hint="eastAsia"/>
          <w:color w:val="auto"/>
          <w:szCs w:val="21"/>
          <w:highlight w:val="none"/>
        </w:rPr>
        <w:t>6.</w:t>
      </w:r>
      <w:r>
        <w:rPr>
          <w:rFonts w:hint="eastAsia"/>
          <w:color w:val="auto"/>
          <w:szCs w:val="21"/>
          <w:highlight w:val="none"/>
          <w:lang w:val="en-US" w:eastAsia="zh-CN"/>
        </w:rPr>
        <w:t>4</w:t>
      </w:r>
      <w:r>
        <w:rPr>
          <w:rFonts w:hint="eastAsia"/>
          <w:color w:val="auto"/>
          <w:szCs w:val="21"/>
          <w:highlight w:val="none"/>
        </w:rPr>
        <w:t>.</w:t>
      </w:r>
      <w:r>
        <w:rPr>
          <w:rFonts w:hint="eastAsia"/>
          <w:color w:val="auto"/>
          <w:szCs w:val="21"/>
          <w:highlight w:val="none"/>
          <w:lang w:val="en-US" w:eastAsia="zh-CN"/>
        </w:rPr>
        <w:t>11-</w:t>
      </w:r>
      <w:r>
        <w:rPr>
          <w:color w:val="auto"/>
          <w:szCs w:val="21"/>
          <w:highlight w:val="none"/>
        </w:rPr>
        <w:t>b)</w:t>
      </w:r>
      <w:bookmarkEnd w:id="541"/>
      <w:r>
        <w:rPr>
          <w:rFonts w:hint="eastAsia"/>
          <w:color w:val="auto"/>
          <w:szCs w:val="21"/>
          <w:highlight w:val="none"/>
          <w:lang w:eastAsia="zh-CN"/>
        </w:rPr>
        <w:t>。</w:t>
      </w:r>
    </w:p>
    <w:p w14:paraId="28DD0631">
      <w:pPr>
        <w:spacing w:line="360" w:lineRule="exact"/>
        <w:ind w:firstLine="422" w:firstLineChars="200"/>
        <w:rPr>
          <w:color w:val="auto"/>
          <w:szCs w:val="21"/>
          <w:highlight w:val="none"/>
        </w:rPr>
      </w:pPr>
      <w:bookmarkStart w:id="542" w:name="_Toc25977"/>
      <w:r>
        <w:rPr>
          <w:b/>
          <w:bCs/>
          <w:color w:val="auto"/>
          <w:szCs w:val="21"/>
          <w:highlight w:val="none"/>
        </w:rPr>
        <w:t xml:space="preserve">4  </w:t>
      </w:r>
      <w:r>
        <w:rPr>
          <w:color w:val="auto"/>
          <w:szCs w:val="21"/>
          <w:highlight w:val="none"/>
        </w:rPr>
        <w:t>对于板与板拼缝处节点宜采用密拼节点，在拼缝两侧垂直于板端的槽内设置搭接钢筋，搭接钢筋直径应根据楼板受力情况进行确定(图</w:t>
      </w:r>
      <w:r>
        <w:rPr>
          <w:rFonts w:hint="eastAsia"/>
          <w:color w:val="auto"/>
          <w:szCs w:val="21"/>
          <w:highlight w:val="none"/>
        </w:rPr>
        <w:t>6.</w:t>
      </w:r>
      <w:r>
        <w:rPr>
          <w:rFonts w:hint="eastAsia"/>
          <w:color w:val="auto"/>
          <w:szCs w:val="21"/>
          <w:highlight w:val="none"/>
          <w:lang w:val="en-US" w:eastAsia="zh-CN"/>
        </w:rPr>
        <w:t>4</w:t>
      </w:r>
      <w:r>
        <w:rPr>
          <w:rFonts w:hint="eastAsia"/>
          <w:color w:val="auto"/>
          <w:szCs w:val="21"/>
          <w:highlight w:val="none"/>
        </w:rPr>
        <w:t>.</w:t>
      </w:r>
      <w:r>
        <w:rPr>
          <w:rFonts w:hint="eastAsia"/>
          <w:color w:val="auto"/>
          <w:szCs w:val="21"/>
          <w:highlight w:val="none"/>
          <w:lang w:val="en-US" w:eastAsia="zh-CN"/>
        </w:rPr>
        <w:t>11-</w:t>
      </w:r>
      <w:r>
        <w:rPr>
          <w:color w:val="auto"/>
          <w:szCs w:val="21"/>
          <w:highlight w:val="none"/>
        </w:rPr>
        <w:t>c)。</w:t>
      </w:r>
      <w:bookmarkEnd w:id="542"/>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67"/>
        <w:gridCol w:w="3068"/>
      </w:tblGrid>
      <w:tr w14:paraId="74945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1" w:hRule="atLeast"/>
        </w:trPr>
        <w:tc>
          <w:tcPr>
            <w:tcW w:w="3067" w:type="dxa"/>
          </w:tcPr>
          <w:p w14:paraId="1F70B1B6">
            <w:pPr>
              <w:jc w:val="center"/>
              <w:rPr>
                <w:color w:val="auto"/>
                <w:sz w:val="18"/>
                <w:szCs w:val="18"/>
                <w:highlight w:val="none"/>
              </w:rPr>
            </w:pPr>
            <w:r>
              <w:rPr>
                <w:color w:val="auto"/>
                <w:sz w:val="18"/>
                <w:szCs w:val="18"/>
                <w:highlight w:val="none"/>
              </w:rPr>
              <w:drawing>
                <wp:inline distT="0" distB="0" distL="114300" distR="114300">
                  <wp:extent cx="1440180" cy="1326515"/>
                  <wp:effectExtent l="0" t="0" r="7620" b="6985"/>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31"/>
                          <a:stretch>
                            <a:fillRect/>
                          </a:stretch>
                        </pic:blipFill>
                        <pic:spPr>
                          <a:xfrm>
                            <a:off x="0" y="0"/>
                            <a:ext cx="1440180" cy="1326515"/>
                          </a:xfrm>
                          <a:prstGeom prst="rect">
                            <a:avLst/>
                          </a:prstGeom>
                          <a:noFill/>
                          <a:ln>
                            <a:noFill/>
                          </a:ln>
                        </pic:spPr>
                      </pic:pic>
                    </a:graphicData>
                  </a:graphic>
                </wp:inline>
              </w:drawing>
            </w:r>
          </w:p>
        </w:tc>
        <w:tc>
          <w:tcPr>
            <w:tcW w:w="3068" w:type="dxa"/>
          </w:tcPr>
          <w:p w14:paraId="0A53589E">
            <w:pPr>
              <w:jc w:val="center"/>
              <w:rPr>
                <w:color w:val="auto"/>
                <w:sz w:val="18"/>
                <w:szCs w:val="18"/>
                <w:highlight w:val="none"/>
              </w:rPr>
            </w:pPr>
            <w:r>
              <w:rPr>
                <w:color w:val="auto"/>
                <w:sz w:val="18"/>
                <w:szCs w:val="18"/>
                <w:highlight w:val="none"/>
              </w:rPr>
              <w:drawing>
                <wp:inline distT="0" distB="0" distL="114300" distR="114300">
                  <wp:extent cx="1440180" cy="1228725"/>
                  <wp:effectExtent l="0" t="0" r="7620" b="952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32"/>
                          <a:stretch>
                            <a:fillRect/>
                          </a:stretch>
                        </pic:blipFill>
                        <pic:spPr>
                          <a:xfrm>
                            <a:off x="0" y="0"/>
                            <a:ext cx="1440180" cy="1228725"/>
                          </a:xfrm>
                          <a:prstGeom prst="rect">
                            <a:avLst/>
                          </a:prstGeom>
                          <a:noFill/>
                          <a:ln>
                            <a:noFill/>
                          </a:ln>
                        </pic:spPr>
                      </pic:pic>
                    </a:graphicData>
                  </a:graphic>
                </wp:inline>
              </w:drawing>
            </w:r>
          </w:p>
        </w:tc>
      </w:tr>
      <w:tr w14:paraId="7A736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7" w:type="dxa"/>
          </w:tcPr>
          <w:p w14:paraId="58D29B3C">
            <w:pPr>
              <w:jc w:val="center"/>
              <w:rPr>
                <w:color w:val="auto"/>
                <w:sz w:val="18"/>
                <w:szCs w:val="18"/>
                <w:highlight w:val="none"/>
              </w:rPr>
            </w:pPr>
            <w:r>
              <w:rPr>
                <w:rFonts w:eastAsia="黑体"/>
                <w:color w:val="auto"/>
                <w:sz w:val="18"/>
                <w:szCs w:val="18"/>
                <w:highlight w:val="none"/>
              </w:rPr>
              <w:t>（a）带槽口底板的边支座节点</w:t>
            </w:r>
          </w:p>
        </w:tc>
        <w:tc>
          <w:tcPr>
            <w:tcW w:w="3068" w:type="dxa"/>
          </w:tcPr>
          <w:p w14:paraId="4D0D2DF7">
            <w:pPr>
              <w:jc w:val="center"/>
              <w:rPr>
                <w:color w:val="auto"/>
                <w:sz w:val="18"/>
                <w:szCs w:val="18"/>
                <w:highlight w:val="none"/>
              </w:rPr>
            </w:pPr>
            <w:r>
              <w:rPr>
                <w:rFonts w:eastAsia="黑体"/>
                <w:color w:val="auto"/>
                <w:sz w:val="18"/>
                <w:szCs w:val="18"/>
                <w:highlight w:val="none"/>
              </w:rPr>
              <w:t>（b）带槽口底板的中支座节点</w:t>
            </w:r>
          </w:p>
        </w:tc>
      </w:tr>
      <w:tr w14:paraId="5E23B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135" w:type="dxa"/>
            <w:gridSpan w:val="2"/>
          </w:tcPr>
          <w:p w14:paraId="12B6F153">
            <w:pPr>
              <w:jc w:val="center"/>
              <w:rPr>
                <w:color w:val="auto"/>
                <w:sz w:val="18"/>
                <w:szCs w:val="18"/>
                <w:highlight w:val="none"/>
              </w:rPr>
            </w:pPr>
            <w:r>
              <w:rPr>
                <w:color w:val="auto"/>
                <w:sz w:val="18"/>
                <w:szCs w:val="18"/>
                <w:highlight w:val="none"/>
              </w:rPr>
              <w:drawing>
                <wp:inline distT="0" distB="0" distL="114300" distR="114300">
                  <wp:extent cx="1440180" cy="735965"/>
                  <wp:effectExtent l="0" t="0" r="7620" b="6985"/>
                  <wp:docPr id="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pic:cNvPicPr>
                            <a:picLocks noChangeAspect="1"/>
                          </pic:cNvPicPr>
                        </pic:nvPicPr>
                        <pic:blipFill>
                          <a:blip r:embed="rId33"/>
                          <a:stretch>
                            <a:fillRect/>
                          </a:stretch>
                        </pic:blipFill>
                        <pic:spPr>
                          <a:xfrm>
                            <a:off x="0" y="0"/>
                            <a:ext cx="1440180" cy="735965"/>
                          </a:xfrm>
                          <a:prstGeom prst="rect">
                            <a:avLst/>
                          </a:prstGeom>
                          <a:noFill/>
                          <a:ln>
                            <a:noFill/>
                          </a:ln>
                        </pic:spPr>
                      </pic:pic>
                    </a:graphicData>
                  </a:graphic>
                </wp:inline>
              </w:drawing>
            </w:r>
          </w:p>
        </w:tc>
      </w:tr>
      <w:tr w14:paraId="6A376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135" w:type="dxa"/>
            <w:gridSpan w:val="2"/>
          </w:tcPr>
          <w:p w14:paraId="53B3C1D9">
            <w:pPr>
              <w:pStyle w:val="50"/>
              <w:spacing w:line="360" w:lineRule="exact"/>
              <w:rPr>
                <w:color w:val="auto"/>
                <w:szCs w:val="18"/>
                <w:highlight w:val="none"/>
              </w:rPr>
            </w:pPr>
            <w:r>
              <w:rPr>
                <w:color w:val="auto"/>
                <w:szCs w:val="18"/>
                <w:highlight w:val="none"/>
              </w:rPr>
              <w:t xml:space="preserve">   (c)密拼节点</w:t>
            </w:r>
          </w:p>
        </w:tc>
      </w:tr>
      <w:tr w14:paraId="3296C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135" w:type="dxa"/>
            <w:gridSpan w:val="2"/>
          </w:tcPr>
          <w:p w14:paraId="717B8D11">
            <w:pPr>
              <w:pStyle w:val="50"/>
              <w:spacing w:line="360" w:lineRule="exact"/>
              <w:rPr>
                <w:color w:val="auto"/>
                <w:szCs w:val="18"/>
                <w:highlight w:val="none"/>
              </w:rPr>
            </w:pPr>
            <w:r>
              <w:rPr>
                <w:color w:val="auto"/>
                <w:szCs w:val="18"/>
                <w:highlight w:val="none"/>
              </w:rPr>
              <w:t>图</w:t>
            </w:r>
            <w:r>
              <w:rPr>
                <w:rFonts w:hint="eastAsia"/>
                <w:b/>
                <w:color w:val="auto"/>
                <w:szCs w:val="18"/>
                <w:highlight w:val="none"/>
              </w:rPr>
              <w:t>6.</w:t>
            </w:r>
            <w:r>
              <w:rPr>
                <w:rFonts w:hint="eastAsia"/>
                <w:b/>
                <w:color w:val="auto"/>
                <w:szCs w:val="18"/>
                <w:highlight w:val="none"/>
                <w:lang w:val="en-US" w:eastAsia="zh-CN"/>
              </w:rPr>
              <w:t>4</w:t>
            </w:r>
            <w:r>
              <w:rPr>
                <w:rFonts w:hint="eastAsia"/>
                <w:b/>
                <w:color w:val="auto"/>
                <w:szCs w:val="18"/>
                <w:highlight w:val="none"/>
              </w:rPr>
              <w:t>.</w:t>
            </w:r>
            <w:r>
              <w:rPr>
                <w:rFonts w:hint="eastAsia"/>
                <w:b/>
                <w:color w:val="auto"/>
                <w:szCs w:val="18"/>
                <w:highlight w:val="none"/>
                <w:lang w:val="en-US" w:eastAsia="zh-CN"/>
              </w:rPr>
              <w:t>11</w:t>
            </w:r>
            <w:r>
              <w:rPr>
                <w:b/>
                <w:color w:val="auto"/>
                <w:szCs w:val="18"/>
                <w:highlight w:val="none"/>
              </w:rPr>
              <w:t xml:space="preserve"> </w:t>
            </w:r>
            <w:r>
              <w:rPr>
                <w:color w:val="auto"/>
                <w:szCs w:val="18"/>
                <w:highlight w:val="none"/>
              </w:rPr>
              <w:t>无外伸纵筋的板端支座构造示意</w:t>
            </w:r>
          </w:p>
        </w:tc>
      </w:tr>
      <w:tr w14:paraId="078C4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135" w:type="dxa"/>
            <w:gridSpan w:val="2"/>
          </w:tcPr>
          <w:p w14:paraId="79834508">
            <w:pPr>
              <w:pStyle w:val="50"/>
              <w:spacing w:line="360" w:lineRule="exact"/>
              <w:rPr>
                <w:rFonts w:hint="default" w:eastAsia="黑体"/>
                <w:color w:val="auto"/>
                <w:sz w:val="16"/>
                <w:szCs w:val="20"/>
                <w:highlight w:val="none"/>
                <w:lang w:val="en-US" w:eastAsia="zh-CN"/>
              </w:rPr>
            </w:pPr>
            <w:r>
              <w:rPr>
                <w:rFonts w:hint="eastAsia"/>
                <w:color w:val="auto"/>
                <w:sz w:val="16"/>
                <w:szCs w:val="20"/>
                <w:highlight w:val="none"/>
                <w:lang w:val="en-US" w:eastAsia="zh-CN"/>
              </w:rPr>
              <w:t>1</w:t>
            </w:r>
            <w:r>
              <w:rPr>
                <w:color w:val="auto"/>
                <w:sz w:val="16"/>
                <w:szCs w:val="20"/>
                <w:highlight w:val="none"/>
              </w:rPr>
              <w:t>—</w:t>
            </w:r>
            <w:r>
              <w:rPr>
                <w:rFonts w:hint="eastAsia"/>
                <w:color w:val="auto"/>
                <w:sz w:val="16"/>
                <w:szCs w:val="20"/>
                <w:highlight w:val="none"/>
                <w:lang w:val="en-US" w:eastAsia="zh-CN"/>
              </w:rPr>
              <w:t>上层模块外墙；2</w:t>
            </w:r>
            <w:r>
              <w:rPr>
                <w:color w:val="auto"/>
                <w:sz w:val="16"/>
                <w:szCs w:val="20"/>
                <w:highlight w:val="none"/>
              </w:rPr>
              <w:t>—</w:t>
            </w:r>
            <w:r>
              <w:rPr>
                <w:rFonts w:hint="eastAsia"/>
                <w:color w:val="auto"/>
                <w:sz w:val="16"/>
                <w:szCs w:val="20"/>
                <w:highlight w:val="none"/>
                <w:lang w:val="en-US" w:eastAsia="zh-CN"/>
              </w:rPr>
              <w:t>下层模块外墙；3</w:t>
            </w:r>
            <w:r>
              <w:rPr>
                <w:color w:val="auto"/>
                <w:sz w:val="16"/>
                <w:szCs w:val="20"/>
                <w:highlight w:val="none"/>
              </w:rPr>
              <w:t>—</w:t>
            </w:r>
            <w:r>
              <w:rPr>
                <w:rFonts w:hint="eastAsia"/>
                <w:color w:val="auto"/>
                <w:sz w:val="16"/>
                <w:szCs w:val="20"/>
                <w:highlight w:val="none"/>
                <w:lang w:val="en-US" w:eastAsia="zh-CN"/>
              </w:rPr>
              <w:t>预制叠合板；</w:t>
            </w:r>
          </w:p>
          <w:p w14:paraId="5F473592">
            <w:pPr>
              <w:pStyle w:val="50"/>
              <w:spacing w:line="360" w:lineRule="exact"/>
              <w:rPr>
                <w:color w:val="auto"/>
                <w:highlight w:val="none"/>
              </w:rPr>
            </w:pPr>
            <w:bookmarkStart w:id="543" w:name="OLE_LINK12"/>
            <w:r>
              <w:rPr>
                <w:color w:val="auto"/>
                <w:sz w:val="16"/>
                <w:szCs w:val="20"/>
                <w:highlight w:val="none"/>
              </w:rPr>
              <w:t>4—</w:t>
            </w:r>
            <w:bookmarkEnd w:id="543"/>
            <w:r>
              <w:rPr>
                <w:color w:val="auto"/>
                <w:sz w:val="16"/>
                <w:szCs w:val="20"/>
                <w:highlight w:val="none"/>
              </w:rPr>
              <w:t>搭接钢筋；5—现浇面层钢筋；6—模块墙或墙</w:t>
            </w:r>
          </w:p>
        </w:tc>
      </w:tr>
      <w:bookmarkEnd w:id="485"/>
      <w:bookmarkEnd w:id="486"/>
      <w:bookmarkEnd w:id="487"/>
    </w:tbl>
    <w:p w14:paraId="1B80CD89">
      <w:pPr>
        <w:widowControl/>
        <w:spacing w:line="360" w:lineRule="exact"/>
        <w:rPr>
          <w:color w:val="auto"/>
          <w:szCs w:val="21"/>
          <w:highlight w:val="none"/>
        </w:rPr>
      </w:pPr>
      <w:bookmarkStart w:id="544" w:name="_Toc1991"/>
      <w:bookmarkStart w:id="545" w:name="_Toc15553"/>
      <w:r>
        <w:rPr>
          <w:rFonts w:hint="eastAsia"/>
          <w:b/>
          <w:bCs/>
          <w:color w:val="auto"/>
          <w:szCs w:val="21"/>
          <w:highlight w:val="none"/>
        </w:rPr>
        <w:t>6.</w:t>
      </w:r>
      <w:r>
        <w:rPr>
          <w:rFonts w:hint="eastAsia"/>
          <w:b/>
          <w:bCs/>
          <w:color w:val="auto"/>
          <w:szCs w:val="21"/>
          <w:highlight w:val="none"/>
          <w:lang w:val="en-US" w:eastAsia="zh-CN"/>
        </w:rPr>
        <w:t>4</w:t>
      </w:r>
      <w:r>
        <w:rPr>
          <w:rFonts w:hint="eastAsia"/>
          <w:b/>
          <w:bCs/>
          <w:color w:val="auto"/>
          <w:szCs w:val="21"/>
          <w:highlight w:val="none"/>
        </w:rPr>
        <w:t>.1</w:t>
      </w:r>
      <w:r>
        <w:rPr>
          <w:rFonts w:hint="eastAsia"/>
          <w:b/>
          <w:bCs/>
          <w:color w:val="auto"/>
          <w:szCs w:val="21"/>
          <w:highlight w:val="none"/>
          <w:lang w:val="en-US" w:eastAsia="zh-CN"/>
        </w:rPr>
        <w:t>2</w:t>
      </w:r>
      <w:r>
        <w:rPr>
          <w:rFonts w:hint="eastAsia"/>
          <w:b/>
          <w:color w:val="auto"/>
          <w:szCs w:val="21"/>
          <w:highlight w:val="none"/>
        </w:rPr>
        <w:t xml:space="preserve"> </w:t>
      </w:r>
      <w:r>
        <w:rPr>
          <w:rFonts w:hint="eastAsia"/>
          <w:color w:val="auto"/>
          <w:szCs w:val="21"/>
          <w:highlight w:val="none"/>
          <w:lang w:val="en-US" w:eastAsia="zh-CN"/>
        </w:rPr>
        <w:t xml:space="preserve"> </w:t>
      </w:r>
      <w:r>
        <w:rPr>
          <w:rFonts w:hint="eastAsia"/>
          <w:color w:val="auto"/>
          <w:szCs w:val="21"/>
          <w:highlight w:val="none"/>
        </w:rPr>
        <w:t>模块化全预制剪力墙结构的墙板构件设计应符合下列规定：</w:t>
      </w:r>
    </w:p>
    <w:p w14:paraId="02CAE0A4">
      <w:pPr>
        <w:widowControl/>
        <w:spacing w:line="360" w:lineRule="exact"/>
        <w:ind w:firstLine="422" w:firstLineChars="200"/>
        <w:rPr>
          <w:rFonts w:hint="eastAsia" w:eastAsia="宋体"/>
          <w:color w:val="auto"/>
          <w:szCs w:val="21"/>
          <w:highlight w:val="none"/>
          <w:lang w:eastAsia="zh-CN"/>
        </w:rPr>
      </w:pPr>
      <w:r>
        <w:rPr>
          <w:b/>
          <w:bCs/>
          <w:color w:val="auto"/>
          <w:szCs w:val="21"/>
          <w:highlight w:val="none"/>
        </w:rPr>
        <w:t>1</w:t>
      </w:r>
      <w:r>
        <w:rPr>
          <w:rFonts w:hint="eastAsia"/>
          <w:color w:val="auto"/>
          <w:szCs w:val="21"/>
          <w:highlight w:val="none"/>
        </w:rPr>
        <w:t xml:space="preserve"> </w:t>
      </w:r>
      <w:r>
        <w:rPr>
          <w:rFonts w:hint="eastAsia"/>
          <w:color w:val="auto"/>
          <w:szCs w:val="21"/>
          <w:highlight w:val="none"/>
          <w:lang w:val="en-US" w:eastAsia="zh-CN"/>
        </w:rPr>
        <w:t xml:space="preserve"> </w:t>
      </w:r>
      <w:r>
        <w:rPr>
          <w:rFonts w:hint="eastAsia"/>
          <w:color w:val="auto"/>
          <w:szCs w:val="21"/>
          <w:highlight w:val="none"/>
        </w:rPr>
        <w:t>预制墙板厚度不宜小于140mm，且不宜小于层高的1/25</w:t>
      </w:r>
      <w:r>
        <w:rPr>
          <w:rFonts w:hint="eastAsia"/>
          <w:color w:val="auto"/>
          <w:szCs w:val="21"/>
          <w:highlight w:val="none"/>
          <w:lang w:eastAsia="zh-CN"/>
        </w:rPr>
        <w:t>。</w:t>
      </w:r>
    </w:p>
    <w:p w14:paraId="7B00A727">
      <w:pPr>
        <w:widowControl/>
        <w:spacing w:line="360" w:lineRule="exact"/>
        <w:ind w:firstLine="422" w:firstLineChars="200"/>
        <w:rPr>
          <w:rFonts w:hint="eastAsia" w:eastAsia="宋体"/>
          <w:color w:val="auto"/>
          <w:szCs w:val="21"/>
          <w:highlight w:val="none"/>
          <w:lang w:eastAsia="zh-CN"/>
        </w:rPr>
      </w:pPr>
      <w:r>
        <w:rPr>
          <w:b/>
          <w:bCs/>
          <w:color w:val="auto"/>
          <w:szCs w:val="21"/>
          <w:highlight w:val="none"/>
        </w:rPr>
        <w:t>2</w:t>
      </w:r>
      <w:r>
        <w:rPr>
          <w:rFonts w:hint="eastAsia"/>
          <w:b/>
          <w:bCs/>
          <w:color w:val="auto"/>
          <w:szCs w:val="21"/>
          <w:highlight w:val="none"/>
          <w:lang w:val="en-US" w:eastAsia="zh-CN"/>
        </w:rPr>
        <w:t xml:space="preserve"> </w:t>
      </w:r>
      <w:r>
        <w:rPr>
          <w:rFonts w:hint="eastAsia"/>
          <w:color w:val="auto"/>
          <w:szCs w:val="21"/>
          <w:highlight w:val="none"/>
        </w:rPr>
        <w:t xml:space="preserve"> 预制墙板的轴压比，三级时不应大于0.15，四级时不应大于</w:t>
      </w:r>
      <w:r>
        <w:rPr>
          <w:color w:val="auto"/>
          <w:szCs w:val="21"/>
          <w:highlight w:val="none"/>
        </w:rPr>
        <w:t>0</w:t>
      </w:r>
      <w:r>
        <w:rPr>
          <w:rFonts w:hint="eastAsia"/>
          <w:color w:val="auto"/>
          <w:szCs w:val="21"/>
          <w:highlight w:val="none"/>
        </w:rPr>
        <w:t>.2；轴压比计算时，墙体混凝土强度等级超过C40，按C40计算</w:t>
      </w:r>
      <w:r>
        <w:rPr>
          <w:rFonts w:hint="eastAsia"/>
          <w:color w:val="auto"/>
          <w:szCs w:val="21"/>
          <w:highlight w:val="none"/>
          <w:lang w:eastAsia="zh-CN"/>
        </w:rPr>
        <w:t>。</w:t>
      </w:r>
    </w:p>
    <w:p w14:paraId="712173E0">
      <w:pPr>
        <w:widowControl/>
        <w:spacing w:line="360" w:lineRule="exact"/>
        <w:ind w:firstLine="422" w:firstLineChars="200"/>
        <w:rPr>
          <w:color w:val="auto"/>
          <w:szCs w:val="21"/>
          <w:highlight w:val="none"/>
        </w:rPr>
      </w:pPr>
      <w:r>
        <w:rPr>
          <w:b/>
          <w:bCs/>
          <w:color w:val="auto"/>
          <w:szCs w:val="21"/>
          <w:highlight w:val="none"/>
        </w:rPr>
        <w:t>3</w:t>
      </w:r>
      <w:r>
        <w:rPr>
          <w:color w:val="auto"/>
          <w:szCs w:val="21"/>
          <w:highlight w:val="none"/>
        </w:rPr>
        <w:t xml:space="preserve"> </w:t>
      </w:r>
      <w:r>
        <w:rPr>
          <w:rFonts w:hint="eastAsia"/>
          <w:color w:val="auto"/>
          <w:szCs w:val="21"/>
          <w:highlight w:val="none"/>
          <w:lang w:val="en-US" w:eastAsia="zh-CN"/>
        </w:rPr>
        <w:t xml:space="preserve"> </w:t>
      </w:r>
      <w:r>
        <w:rPr>
          <w:rFonts w:hint="eastAsia"/>
          <w:color w:val="auto"/>
          <w:szCs w:val="21"/>
          <w:highlight w:val="none"/>
        </w:rPr>
        <w:t>当预制剪力墙截面厚度不小于140mm时，应配置双排双向分布钢筋网；剪力墙中水平及竖向分布筋的最小配筋率不应小于 0.15%。</w:t>
      </w:r>
    </w:p>
    <w:p w14:paraId="63C787AE">
      <w:pPr>
        <w:widowControl/>
        <w:spacing w:line="360" w:lineRule="exact"/>
        <w:rPr>
          <w:color w:val="auto"/>
          <w:szCs w:val="21"/>
          <w:highlight w:val="none"/>
        </w:rPr>
      </w:pPr>
      <w:r>
        <w:rPr>
          <w:rFonts w:hint="eastAsia"/>
          <w:b/>
          <w:color w:val="auto"/>
          <w:szCs w:val="21"/>
          <w:highlight w:val="none"/>
        </w:rPr>
        <w:t>6.</w:t>
      </w:r>
      <w:r>
        <w:rPr>
          <w:rFonts w:hint="eastAsia"/>
          <w:b/>
          <w:color w:val="auto"/>
          <w:szCs w:val="21"/>
          <w:highlight w:val="none"/>
          <w:lang w:val="en-US" w:eastAsia="zh-CN"/>
        </w:rPr>
        <w:t>4</w:t>
      </w:r>
      <w:r>
        <w:rPr>
          <w:rFonts w:hint="eastAsia"/>
          <w:b/>
          <w:color w:val="auto"/>
          <w:szCs w:val="21"/>
          <w:highlight w:val="none"/>
        </w:rPr>
        <w:t>.1</w:t>
      </w:r>
      <w:r>
        <w:rPr>
          <w:rFonts w:hint="eastAsia"/>
          <w:b/>
          <w:color w:val="auto"/>
          <w:szCs w:val="21"/>
          <w:highlight w:val="none"/>
          <w:lang w:val="en-US" w:eastAsia="zh-CN"/>
        </w:rPr>
        <w:t>3</w:t>
      </w:r>
      <w:r>
        <w:rPr>
          <w:rFonts w:hint="eastAsia"/>
          <w:b/>
          <w:color w:val="auto"/>
          <w:szCs w:val="21"/>
          <w:highlight w:val="none"/>
        </w:rPr>
        <w:t xml:space="preserve"> </w:t>
      </w:r>
      <w:r>
        <w:rPr>
          <w:rFonts w:hint="eastAsia"/>
          <w:color w:val="auto"/>
          <w:szCs w:val="21"/>
          <w:highlight w:val="none"/>
        </w:rPr>
        <w:t>预制墙板应在水平或竖向尺寸大于800mm的洞边、一字墙墙体端部、纵横墙交接处设置构造边缘构件，并应满足下列</w:t>
      </w:r>
      <w:r>
        <w:rPr>
          <w:rFonts w:hint="eastAsia"/>
          <w:color w:val="auto"/>
          <w:szCs w:val="21"/>
          <w:highlight w:val="none"/>
          <w:lang w:val="en-US" w:eastAsia="zh-CN"/>
        </w:rPr>
        <w:t>规定</w:t>
      </w:r>
      <w:r>
        <w:rPr>
          <w:rFonts w:hint="eastAsia"/>
          <w:color w:val="auto"/>
          <w:szCs w:val="21"/>
          <w:highlight w:val="none"/>
        </w:rPr>
        <w:t>:</w:t>
      </w:r>
    </w:p>
    <w:p w14:paraId="558F4FBE">
      <w:pPr>
        <w:widowControl/>
        <w:spacing w:line="360" w:lineRule="exact"/>
        <w:ind w:firstLine="422" w:firstLineChars="200"/>
        <w:rPr>
          <w:rFonts w:hint="eastAsia"/>
          <w:color w:val="auto"/>
          <w:szCs w:val="21"/>
          <w:highlight w:val="none"/>
          <w:lang w:eastAsia="zh-CN"/>
        </w:rPr>
      </w:pPr>
      <w:r>
        <w:rPr>
          <w:rFonts w:hint="eastAsia"/>
          <w:b/>
          <w:bCs/>
          <w:color w:val="auto"/>
          <w:szCs w:val="21"/>
          <w:highlight w:val="none"/>
        </w:rPr>
        <w:t>1</w:t>
      </w:r>
      <w:r>
        <w:rPr>
          <w:color w:val="auto"/>
          <w:szCs w:val="21"/>
          <w:highlight w:val="none"/>
        </w:rPr>
        <w:t xml:space="preserve"> </w:t>
      </w:r>
      <w:r>
        <w:rPr>
          <w:rFonts w:hint="eastAsia"/>
          <w:color w:val="auto"/>
          <w:szCs w:val="21"/>
          <w:highlight w:val="none"/>
          <w:lang w:val="en-US" w:eastAsia="zh-CN"/>
        </w:rPr>
        <w:t xml:space="preserve"> </w:t>
      </w:r>
      <w:r>
        <w:rPr>
          <w:rFonts w:hint="eastAsia"/>
          <w:color w:val="auto"/>
          <w:szCs w:val="21"/>
          <w:highlight w:val="none"/>
        </w:rPr>
        <w:t>构造边缘构件截面高度不宜小于墙厚，且不宜小于200mm，截面宽度同墙厚</w:t>
      </w:r>
      <w:r>
        <w:rPr>
          <w:rFonts w:hint="eastAsia"/>
          <w:color w:val="auto"/>
          <w:szCs w:val="21"/>
          <w:highlight w:val="none"/>
          <w:lang w:eastAsia="zh-CN"/>
        </w:rPr>
        <w:t>。</w:t>
      </w:r>
    </w:p>
    <w:p w14:paraId="50079485">
      <w:pPr>
        <w:widowControl/>
        <w:spacing w:line="360" w:lineRule="exact"/>
        <w:ind w:firstLine="422" w:firstLineChars="200"/>
        <w:rPr>
          <w:rFonts w:hint="eastAsia" w:eastAsia="宋体"/>
          <w:color w:val="auto"/>
          <w:szCs w:val="21"/>
          <w:highlight w:val="none"/>
          <w:lang w:eastAsia="zh-CN"/>
        </w:rPr>
      </w:pPr>
      <w:r>
        <w:rPr>
          <w:rFonts w:hint="eastAsia"/>
          <w:b/>
          <w:bCs/>
          <w:color w:val="auto"/>
          <w:szCs w:val="21"/>
          <w:highlight w:val="none"/>
        </w:rPr>
        <w:t>2</w:t>
      </w:r>
      <w:r>
        <w:rPr>
          <w:color w:val="auto"/>
          <w:szCs w:val="21"/>
          <w:highlight w:val="none"/>
        </w:rPr>
        <w:t xml:space="preserve"> </w:t>
      </w:r>
      <w:r>
        <w:rPr>
          <w:rFonts w:hint="eastAsia"/>
          <w:color w:val="auto"/>
          <w:szCs w:val="21"/>
          <w:highlight w:val="none"/>
          <w:lang w:val="en-US" w:eastAsia="zh-CN"/>
        </w:rPr>
        <w:t xml:space="preserve"> </w:t>
      </w:r>
      <w:r>
        <w:rPr>
          <w:rFonts w:hint="eastAsia"/>
          <w:color w:val="auto"/>
          <w:szCs w:val="21"/>
          <w:highlight w:val="none"/>
        </w:rPr>
        <w:t>构造边缘构件内应配置纵向受力钢筋、箍筋、筋架立筋，构造边缘构件的纵向钢筋除应满足设计要求外，尚应满足表</w:t>
      </w:r>
      <w:r>
        <w:rPr>
          <w:rFonts w:hint="eastAsia"/>
          <w:color w:val="auto"/>
          <w:szCs w:val="21"/>
          <w:highlight w:val="none"/>
          <w:lang w:val="en-US" w:eastAsia="zh-CN"/>
        </w:rPr>
        <w:t>6.4</w:t>
      </w:r>
      <w:r>
        <w:rPr>
          <w:color w:val="auto"/>
          <w:szCs w:val="21"/>
          <w:highlight w:val="none"/>
        </w:rPr>
        <w:t>.1</w:t>
      </w:r>
      <w:r>
        <w:rPr>
          <w:rFonts w:hint="eastAsia"/>
          <w:color w:val="auto"/>
          <w:szCs w:val="21"/>
          <w:highlight w:val="none"/>
          <w:lang w:val="en-US" w:eastAsia="zh-CN"/>
        </w:rPr>
        <w:t>3</w:t>
      </w:r>
      <w:r>
        <w:rPr>
          <w:rFonts w:hint="eastAsia"/>
          <w:color w:val="auto"/>
          <w:szCs w:val="21"/>
          <w:highlight w:val="none"/>
        </w:rPr>
        <w:t>的要求</w:t>
      </w:r>
      <w:r>
        <w:rPr>
          <w:rFonts w:hint="eastAsia"/>
          <w:color w:val="auto"/>
          <w:szCs w:val="21"/>
          <w:highlight w:val="none"/>
          <w:lang w:eastAsia="zh-CN"/>
        </w:rPr>
        <w:t>。</w:t>
      </w:r>
    </w:p>
    <w:p w14:paraId="11586599">
      <w:pPr>
        <w:widowControl/>
        <w:spacing w:line="360" w:lineRule="exact"/>
        <w:ind w:firstLine="422" w:firstLineChars="200"/>
        <w:rPr>
          <w:color w:val="auto"/>
          <w:szCs w:val="21"/>
          <w:highlight w:val="none"/>
        </w:rPr>
      </w:pPr>
      <w:r>
        <w:rPr>
          <w:rFonts w:hint="eastAsia"/>
          <w:b/>
          <w:bCs/>
          <w:color w:val="auto"/>
          <w:szCs w:val="21"/>
          <w:highlight w:val="none"/>
        </w:rPr>
        <w:t>3</w:t>
      </w:r>
      <w:r>
        <w:rPr>
          <w:color w:val="auto"/>
          <w:szCs w:val="21"/>
          <w:highlight w:val="none"/>
        </w:rPr>
        <w:t xml:space="preserve"> </w:t>
      </w:r>
      <w:r>
        <w:rPr>
          <w:rFonts w:hint="eastAsia"/>
          <w:color w:val="auto"/>
          <w:szCs w:val="21"/>
          <w:highlight w:val="none"/>
          <w:lang w:val="en-US" w:eastAsia="zh-CN"/>
        </w:rPr>
        <w:t xml:space="preserve"> </w:t>
      </w:r>
      <w:r>
        <w:rPr>
          <w:rFonts w:hint="eastAsia"/>
          <w:color w:val="auto"/>
          <w:szCs w:val="21"/>
          <w:highlight w:val="none"/>
        </w:rPr>
        <w:t>上下层构造边缘构件纵向受力钢筋应直接连接可采用浆锚搭接连接、灌浆套筒连接；箍筋架立筋可不伸出预制墙板表面。</w:t>
      </w:r>
    </w:p>
    <w:p w14:paraId="26656F73">
      <w:pPr>
        <w:widowControl/>
        <w:jc w:val="center"/>
        <w:rPr>
          <w:color w:val="auto"/>
          <w:szCs w:val="21"/>
          <w:highlight w:val="none"/>
        </w:rPr>
      </w:pPr>
      <w:r>
        <w:rPr>
          <w:rFonts w:hint="eastAsia" w:eastAsia="黑体"/>
          <w:color w:val="auto"/>
          <w:kern w:val="0"/>
          <w:sz w:val="18"/>
          <w:szCs w:val="18"/>
          <w:highlight w:val="none"/>
          <w:lang w:bidi="ar"/>
        </w:rPr>
        <w:t>表</w:t>
      </w:r>
      <w:r>
        <w:rPr>
          <w:rFonts w:hint="eastAsia" w:eastAsia="黑体"/>
          <w:b/>
          <w:color w:val="auto"/>
          <w:kern w:val="0"/>
          <w:sz w:val="18"/>
          <w:szCs w:val="18"/>
          <w:highlight w:val="none"/>
          <w:lang w:val="en-US" w:eastAsia="zh-CN" w:bidi="ar"/>
        </w:rPr>
        <w:t>6.4</w:t>
      </w:r>
      <w:r>
        <w:rPr>
          <w:rFonts w:hint="eastAsia" w:eastAsia="黑体"/>
          <w:b/>
          <w:color w:val="auto"/>
          <w:kern w:val="0"/>
          <w:sz w:val="18"/>
          <w:szCs w:val="18"/>
          <w:highlight w:val="none"/>
          <w:lang w:bidi="ar"/>
        </w:rPr>
        <w:t>.1</w:t>
      </w:r>
      <w:r>
        <w:rPr>
          <w:rFonts w:hint="eastAsia" w:eastAsia="黑体"/>
          <w:b/>
          <w:color w:val="auto"/>
          <w:kern w:val="0"/>
          <w:sz w:val="18"/>
          <w:szCs w:val="18"/>
          <w:highlight w:val="none"/>
          <w:lang w:val="en-US" w:eastAsia="zh-CN" w:bidi="ar"/>
        </w:rPr>
        <w:t>3</w:t>
      </w:r>
      <w:r>
        <w:rPr>
          <w:rFonts w:eastAsia="黑体"/>
          <w:b/>
          <w:color w:val="auto"/>
          <w:kern w:val="0"/>
          <w:sz w:val="18"/>
          <w:szCs w:val="18"/>
          <w:highlight w:val="none"/>
          <w:lang w:bidi="ar"/>
        </w:rPr>
        <w:t xml:space="preserve"> </w:t>
      </w:r>
      <w:r>
        <w:rPr>
          <w:rFonts w:hint="eastAsia" w:eastAsia="黑体"/>
          <w:color w:val="auto"/>
          <w:kern w:val="0"/>
          <w:sz w:val="18"/>
          <w:szCs w:val="18"/>
          <w:highlight w:val="none"/>
          <w:lang w:bidi="ar"/>
        </w:rPr>
        <w:t>构造边缘构件的构造配筋要求</w:t>
      </w:r>
      <w:r>
        <w:rPr>
          <w:color w:val="auto"/>
          <w:highlight w:val="none"/>
        </w:rPr>
        <w:drawing>
          <wp:inline distT="0" distB="0" distL="0" distR="0">
            <wp:extent cx="2806065" cy="970915"/>
            <wp:effectExtent l="0" t="0" r="1333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4"/>
                    <a:stretch>
                      <a:fillRect/>
                    </a:stretch>
                  </pic:blipFill>
                  <pic:spPr>
                    <a:xfrm>
                      <a:off x="0" y="0"/>
                      <a:ext cx="2806065" cy="970915"/>
                    </a:xfrm>
                    <a:prstGeom prst="rect">
                      <a:avLst/>
                    </a:prstGeom>
                  </pic:spPr>
                </pic:pic>
              </a:graphicData>
            </a:graphic>
          </wp:inline>
        </w:drawing>
      </w:r>
    </w:p>
    <w:bookmarkEnd w:id="544"/>
    <w:bookmarkEnd w:id="545"/>
    <w:p w14:paraId="0598CF90">
      <w:pPr>
        <w:widowControl/>
        <w:spacing w:line="360" w:lineRule="exact"/>
        <w:rPr>
          <w:color w:val="auto"/>
          <w:szCs w:val="21"/>
          <w:highlight w:val="none"/>
        </w:rPr>
      </w:pPr>
      <w:bookmarkStart w:id="546" w:name="_Toc22763"/>
      <w:r>
        <w:rPr>
          <w:rFonts w:hint="eastAsia"/>
          <w:b/>
          <w:bCs/>
          <w:color w:val="auto"/>
          <w:szCs w:val="21"/>
          <w:highlight w:val="none"/>
        </w:rPr>
        <w:t>6.</w:t>
      </w:r>
      <w:r>
        <w:rPr>
          <w:rFonts w:hint="eastAsia"/>
          <w:b/>
          <w:bCs/>
          <w:color w:val="auto"/>
          <w:szCs w:val="21"/>
          <w:highlight w:val="none"/>
          <w:lang w:val="en-US" w:eastAsia="zh-CN"/>
        </w:rPr>
        <w:t>4</w:t>
      </w:r>
      <w:r>
        <w:rPr>
          <w:rFonts w:hint="eastAsia"/>
          <w:b/>
          <w:bCs/>
          <w:color w:val="auto"/>
          <w:szCs w:val="21"/>
          <w:highlight w:val="none"/>
        </w:rPr>
        <w:t>.14</w:t>
      </w:r>
      <w:r>
        <w:rPr>
          <w:rFonts w:hint="eastAsia"/>
          <w:b/>
          <w:color w:val="auto"/>
          <w:szCs w:val="21"/>
          <w:highlight w:val="none"/>
        </w:rPr>
        <w:t xml:space="preserve"> </w:t>
      </w:r>
      <w:r>
        <w:rPr>
          <w:color w:val="auto"/>
          <w:szCs w:val="21"/>
          <w:highlight w:val="none"/>
        </w:rPr>
        <w:t xml:space="preserve"> </w:t>
      </w:r>
      <w:bookmarkStart w:id="547" w:name="OLE_LINK97"/>
      <w:r>
        <w:rPr>
          <w:color w:val="auto"/>
          <w:szCs w:val="21"/>
          <w:highlight w:val="none"/>
        </w:rPr>
        <w:t>模块化</w:t>
      </w:r>
      <w:r>
        <w:rPr>
          <w:rFonts w:hint="eastAsia"/>
          <w:color w:val="auto"/>
          <w:szCs w:val="21"/>
          <w:highlight w:val="none"/>
          <w:lang w:val="en-US" w:eastAsia="zh-CN"/>
        </w:rPr>
        <w:t>叠合</w:t>
      </w:r>
      <w:r>
        <w:rPr>
          <w:color w:val="auto"/>
          <w:szCs w:val="21"/>
          <w:highlight w:val="none"/>
        </w:rPr>
        <w:t>剪力墙结构中梁模</w:t>
      </w:r>
      <w:bookmarkEnd w:id="547"/>
      <w:r>
        <w:rPr>
          <w:color w:val="auto"/>
          <w:szCs w:val="21"/>
          <w:highlight w:val="none"/>
        </w:rPr>
        <w:t>的构造</w:t>
      </w:r>
      <w:r>
        <w:rPr>
          <w:rFonts w:hint="eastAsia"/>
          <w:color w:val="auto"/>
          <w:szCs w:val="21"/>
          <w:highlight w:val="none"/>
        </w:rPr>
        <w:t>（图</w:t>
      </w:r>
      <w:r>
        <w:rPr>
          <w:rFonts w:hint="eastAsia"/>
          <w:color w:val="auto"/>
          <w:szCs w:val="21"/>
          <w:highlight w:val="none"/>
          <w:lang w:val="en-US" w:eastAsia="zh-CN"/>
        </w:rPr>
        <w:t>6.4</w:t>
      </w:r>
      <w:r>
        <w:rPr>
          <w:rFonts w:hint="eastAsia"/>
          <w:color w:val="auto"/>
          <w:szCs w:val="21"/>
          <w:highlight w:val="none"/>
        </w:rPr>
        <w:t>.</w:t>
      </w:r>
      <w:r>
        <w:rPr>
          <w:rFonts w:hint="eastAsia"/>
          <w:color w:val="auto"/>
          <w:szCs w:val="21"/>
          <w:highlight w:val="none"/>
          <w:lang w:val="en-US" w:eastAsia="zh-CN"/>
        </w:rPr>
        <w:t>14</w:t>
      </w:r>
      <w:r>
        <w:rPr>
          <w:rFonts w:hint="eastAsia"/>
          <w:color w:val="auto"/>
          <w:szCs w:val="21"/>
          <w:highlight w:val="none"/>
        </w:rPr>
        <w:t>）</w:t>
      </w:r>
      <w:r>
        <w:rPr>
          <w:color w:val="auto"/>
          <w:szCs w:val="21"/>
          <w:highlight w:val="none"/>
        </w:rPr>
        <w:t>，应符合下列</w:t>
      </w:r>
      <w:r>
        <w:rPr>
          <w:rFonts w:hint="eastAsia"/>
          <w:color w:val="auto"/>
          <w:szCs w:val="21"/>
          <w:highlight w:val="none"/>
          <w:lang w:val="en-US" w:eastAsia="zh-CN"/>
        </w:rPr>
        <w:t>规定</w:t>
      </w:r>
      <w:r>
        <w:rPr>
          <w:color w:val="auto"/>
          <w:szCs w:val="21"/>
          <w:highlight w:val="none"/>
        </w:rPr>
        <w:t>：</w:t>
      </w:r>
      <w:bookmarkEnd w:id="546"/>
    </w:p>
    <w:p w14:paraId="6F29CC4B">
      <w:pPr>
        <w:widowControl/>
        <w:spacing w:line="360" w:lineRule="exact"/>
        <w:ind w:firstLine="422" w:firstLineChars="200"/>
        <w:rPr>
          <w:color w:val="auto"/>
          <w:szCs w:val="21"/>
          <w:highlight w:val="none"/>
        </w:rPr>
      </w:pPr>
      <w:bookmarkStart w:id="548" w:name="_Toc11368"/>
      <w:r>
        <w:rPr>
          <w:b/>
          <w:bCs/>
          <w:color w:val="auto"/>
          <w:szCs w:val="21"/>
          <w:highlight w:val="none"/>
        </w:rPr>
        <w:t xml:space="preserve">1 </w:t>
      </w:r>
      <w:r>
        <w:rPr>
          <w:color w:val="auto"/>
          <w:szCs w:val="21"/>
          <w:highlight w:val="none"/>
        </w:rPr>
        <w:t xml:space="preserve"> 梁模的分布钢筋直径不宜小于6mm，间距不宜大于</w:t>
      </w:r>
      <w:r>
        <w:rPr>
          <w:rFonts w:hint="eastAsia"/>
          <w:color w:val="auto"/>
          <w:szCs w:val="21"/>
          <w:highlight w:val="none"/>
        </w:rPr>
        <w:t>20</w:t>
      </w:r>
      <w:r>
        <w:rPr>
          <w:color w:val="auto"/>
          <w:szCs w:val="21"/>
          <w:highlight w:val="none"/>
        </w:rPr>
        <w:t>0mm，且梁模中的钢筋不应作为梁的受力钢筋考虑；</w:t>
      </w:r>
      <w:bookmarkEnd w:id="548"/>
      <w:r>
        <w:rPr>
          <w:rFonts w:hint="eastAsia"/>
          <w:color w:val="auto"/>
          <w:szCs w:val="21"/>
          <w:highlight w:val="none"/>
        </w:rPr>
        <w:t>梁模与现浇混凝土结合面</w:t>
      </w:r>
      <w:r>
        <w:rPr>
          <w:rFonts w:hint="eastAsia" w:ascii="Times New Roman" w:hAnsi="Times New Roman"/>
          <w:color w:val="auto"/>
          <w:szCs w:val="21"/>
          <w:highlight w:val="none"/>
        </w:rPr>
        <w:t>应设置深度不小于</w:t>
      </w:r>
      <w:r>
        <w:rPr>
          <w:rFonts w:ascii="Times New Roman" w:hAnsi="Times New Roman"/>
          <w:color w:val="auto"/>
          <w:szCs w:val="21"/>
          <w:highlight w:val="none"/>
        </w:rPr>
        <w:t>4mm</w:t>
      </w:r>
      <w:r>
        <w:rPr>
          <w:rFonts w:hint="eastAsia" w:ascii="Times New Roman" w:hAnsi="Times New Roman"/>
          <w:color w:val="auto"/>
          <w:szCs w:val="21"/>
          <w:highlight w:val="none"/>
        </w:rPr>
        <w:t>的粗糙面；</w:t>
      </w:r>
    </w:p>
    <w:p w14:paraId="1732FEC5">
      <w:pPr>
        <w:spacing w:line="360" w:lineRule="exact"/>
        <w:ind w:firstLine="422" w:firstLineChars="200"/>
        <w:rPr>
          <w:color w:val="auto"/>
          <w:szCs w:val="21"/>
          <w:highlight w:val="none"/>
        </w:rPr>
      </w:pPr>
      <w:bookmarkStart w:id="549" w:name="_Toc21155"/>
      <w:bookmarkStart w:id="550" w:name="_Toc11242"/>
      <w:bookmarkStart w:id="551" w:name="_Toc29817"/>
      <w:r>
        <w:rPr>
          <w:b/>
          <w:bCs/>
          <w:color w:val="auto"/>
          <w:szCs w:val="21"/>
          <w:highlight w:val="none"/>
        </w:rPr>
        <w:t>2</w:t>
      </w:r>
      <w:r>
        <w:rPr>
          <w:color w:val="auto"/>
          <w:szCs w:val="21"/>
          <w:highlight w:val="none"/>
        </w:rPr>
        <w:t xml:space="preserve">  梁模选用的混凝土强度等级不应低于C30；</w:t>
      </w:r>
      <w:bookmarkEnd w:id="549"/>
      <w:bookmarkEnd w:id="550"/>
      <w:bookmarkEnd w:id="551"/>
    </w:p>
    <w:p w14:paraId="5720AD41">
      <w:pPr>
        <w:spacing w:line="360" w:lineRule="exact"/>
        <w:ind w:firstLine="422" w:firstLineChars="200"/>
        <w:rPr>
          <w:color w:val="auto"/>
          <w:szCs w:val="21"/>
          <w:highlight w:val="none"/>
        </w:rPr>
      </w:pPr>
      <w:bookmarkStart w:id="552" w:name="_Toc10672"/>
      <w:bookmarkStart w:id="553" w:name="_Toc26368"/>
      <w:r>
        <w:rPr>
          <w:b/>
          <w:bCs/>
          <w:color w:val="auto"/>
          <w:szCs w:val="21"/>
          <w:highlight w:val="none"/>
        </w:rPr>
        <w:t>3</w:t>
      </w:r>
      <w:r>
        <w:rPr>
          <w:color w:val="auto"/>
          <w:szCs w:val="21"/>
          <w:highlight w:val="none"/>
        </w:rPr>
        <w:t xml:space="preserve">  在叠合梁构件区域钢筋外侧与墙模之间的距离a不应小于10mm；应考虑梁模对梁抗弯刚度</w:t>
      </w:r>
      <w:r>
        <w:rPr>
          <w:rFonts w:hint="eastAsia"/>
          <w:color w:val="auto"/>
          <w:szCs w:val="21"/>
          <w:highlight w:val="none"/>
        </w:rPr>
        <w:t>和承载力</w:t>
      </w:r>
      <w:r>
        <w:rPr>
          <w:color w:val="auto"/>
          <w:szCs w:val="21"/>
          <w:highlight w:val="none"/>
        </w:rPr>
        <w:t>的影响，结构弹性分析计算时叠合梁按有梁模和无梁模进行包络设计</w:t>
      </w:r>
      <w:bookmarkEnd w:id="552"/>
      <w:r>
        <w:rPr>
          <w:rFonts w:hint="eastAsia"/>
          <w:color w:val="auto"/>
          <w:szCs w:val="21"/>
          <w:highlight w:val="none"/>
        </w:rPr>
        <w:t>；</w:t>
      </w:r>
      <w:bookmarkEnd w:id="553"/>
    </w:p>
    <w:p w14:paraId="28D6C1FC">
      <w:pPr>
        <w:spacing w:line="360" w:lineRule="exact"/>
        <w:ind w:firstLine="422" w:firstLineChars="200"/>
        <w:rPr>
          <w:color w:val="auto"/>
          <w:szCs w:val="21"/>
          <w:highlight w:val="none"/>
        </w:rPr>
      </w:pPr>
      <w:bookmarkStart w:id="554" w:name="_Toc3519"/>
      <w:r>
        <w:rPr>
          <w:rFonts w:hint="eastAsia"/>
          <w:b/>
          <w:bCs/>
          <w:color w:val="auto"/>
          <w:szCs w:val="21"/>
          <w:highlight w:val="none"/>
        </w:rPr>
        <w:t>4</w:t>
      </w:r>
      <w:r>
        <w:rPr>
          <w:rFonts w:hint="eastAsia"/>
          <w:color w:val="auto"/>
          <w:szCs w:val="21"/>
          <w:highlight w:val="none"/>
        </w:rPr>
        <w:t xml:space="preserve"> </w:t>
      </w:r>
      <w:r>
        <w:rPr>
          <w:rFonts w:hint="eastAsia"/>
          <w:color w:val="auto"/>
          <w:szCs w:val="21"/>
          <w:highlight w:val="none"/>
          <w:lang w:val="en-US" w:eastAsia="zh-CN"/>
        </w:rPr>
        <w:t xml:space="preserve"> </w:t>
      </w:r>
      <w:r>
        <w:rPr>
          <w:rFonts w:hint="eastAsia"/>
          <w:color w:val="auto"/>
          <w:szCs w:val="21"/>
          <w:highlight w:val="none"/>
        </w:rPr>
        <w:t>模块间叠合梁下部拼缝宜设置防止混凝土渗漏的措施，梁下边框高度尺寸宜取h</w:t>
      </w:r>
      <w:r>
        <w:rPr>
          <w:rFonts w:hint="eastAsia"/>
          <w:color w:val="auto"/>
          <w:szCs w:val="21"/>
          <w:highlight w:val="none"/>
          <w:vertAlign w:val="subscript"/>
        </w:rPr>
        <w:t>1</w:t>
      </w:r>
      <w:r>
        <w:rPr>
          <w:rFonts w:hint="eastAsia"/>
          <w:color w:val="auto"/>
          <w:szCs w:val="21"/>
          <w:highlight w:val="none"/>
        </w:rPr>
        <w:t>=100</w:t>
      </w:r>
      <w:r>
        <w:rPr>
          <w:rFonts w:hint="eastAsia"/>
          <w:color w:val="auto"/>
          <w:szCs w:val="21"/>
          <w:highlight w:val="none"/>
          <w:lang w:val="en-US" w:eastAsia="zh-CN"/>
        </w:rPr>
        <w:t>mm</w:t>
      </w:r>
      <w:r>
        <w:rPr>
          <w:rFonts w:hint="eastAsia"/>
          <w:color w:val="auto"/>
          <w:szCs w:val="21"/>
          <w:highlight w:val="none"/>
        </w:rPr>
        <w:t>～150mm</w:t>
      </w:r>
      <w:bookmarkEnd w:id="554"/>
      <w:r>
        <w:rPr>
          <w:rFonts w:hint="eastAsia"/>
          <w:color w:val="auto"/>
          <w:szCs w:val="21"/>
          <w:highlight w:val="none"/>
        </w:rPr>
        <w:t>。</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35"/>
      </w:tblGrid>
      <w:tr w14:paraId="220AC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135" w:type="dxa"/>
          </w:tcPr>
          <w:p w14:paraId="1459B0FA">
            <w:pPr>
              <w:jc w:val="center"/>
              <w:rPr>
                <w:color w:val="auto"/>
                <w:highlight w:val="none"/>
              </w:rPr>
            </w:pPr>
            <w:r>
              <w:rPr>
                <w:color w:val="auto"/>
                <w:highlight w:val="none"/>
              </w:rPr>
              <w:drawing>
                <wp:inline distT="0" distB="0" distL="114300" distR="114300">
                  <wp:extent cx="1619885" cy="2195195"/>
                  <wp:effectExtent l="0" t="0" r="18415" b="1460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35"/>
                          <a:stretch>
                            <a:fillRect/>
                          </a:stretch>
                        </pic:blipFill>
                        <pic:spPr>
                          <a:xfrm>
                            <a:off x="0" y="0"/>
                            <a:ext cx="1619885" cy="2195195"/>
                          </a:xfrm>
                          <a:prstGeom prst="rect">
                            <a:avLst/>
                          </a:prstGeom>
                          <a:noFill/>
                          <a:ln>
                            <a:noFill/>
                          </a:ln>
                        </pic:spPr>
                      </pic:pic>
                    </a:graphicData>
                  </a:graphic>
                </wp:inline>
              </w:drawing>
            </w:r>
          </w:p>
        </w:tc>
      </w:tr>
      <w:tr w14:paraId="4B44D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6135" w:type="dxa"/>
          </w:tcPr>
          <w:p w14:paraId="1894F2FD">
            <w:pPr>
              <w:pStyle w:val="50"/>
              <w:spacing w:line="360" w:lineRule="exact"/>
              <w:rPr>
                <w:color w:val="auto"/>
                <w:highlight w:val="none"/>
              </w:rPr>
            </w:pPr>
            <w:r>
              <w:rPr>
                <w:color w:val="auto"/>
                <w:szCs w:val="18"/>
                <w:highlight w:val="none"/>
              </w:rPr>
              <w:t>图</w:t>
            </w:r>
            <w:r>
              <w:rPr>
                <w:rFonts w:hint="eastAsia"/>
                <w:b/>
                <w:color w:val="auto"/>
                <w:szCs w:val="18"/>
                <w:highlight w:val="none"/>
                <w:lang w:val="en-US" w:eastAsia="zh-CN"/>
              </w:rPr>
              <w:t>6.4</w:t>
            </w:r>
            <w:r>
              <w:rPr>
                <w:rFonts w:hint="eastAsia"/>
                <w:b/>
                <w:color w:val="auto"/>
                <w:szCs w:val="18"/>
                <w:highlight w:val="none"/>
              </w:rPr>
              <w:t>.</w:t>
            </w:r>
            <w:r>
              <w:rPr>
                <w:rFonts w:hint="eastAsia"/>
                <w:b/>
                <w:color w:val="auto"/>
                <w:szCs w:val="18"/>
                <w:highlight w:val="none"/>
                <w:lang w:val="en-US" w:eastAsia="zh-CN"/>
              </w:rPr>
              <w:t>14</w:t>
            </w:r>
            <w:r>
              <w:rPr>
                <w:b/>
                <w:color w:val="auto"/>
                <w:szCs w:val="18"/>
                <w:highlight w:val="none"/>
              </w:rPr>
              <w:t xml:space="preserve"> </w:t>
            </w:r>
            <w:r>
              <w:rPr>
                <w:color w:val="auto"/>
                <w:szCs w:val="18"/>
                <w:highlight w:val="none"/>
              </w:rPr>
              <w:t>叠合梁模</w:t>
            </w:r>
            <w:r>
              <w:rPr>
                <w:rFonts w:hint="eastAsia"/>
                <w:color w:val="auto"/>
                <w:szCs w:val="18"/>
                <w:highlight w:val="none"/>
              </w:rPr>
              <w:t>构造</w:t>
            </w:r>
            <w:r>
              <w:rPr>
                <w:color w:val="auto"/>
                <w:szCs w:val="18"/>
                <w:highlight w:val="none"/>
              </w:rPr>
              <w:t>示意图</w:t>
            </w:r>
          </w:p>
        </w:tc>
      </w:tr>
      <w:tr w14:paraId="60891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135" w:type="dxa"/>
          </w:tcPr>
          <w:p w14:paraId="66E891BA">
            <w:pPr>
              <w:widowControl/>
              <w:jc w:val="center"/>
              <w:rPr>
                <w:rFonts w:eastAsia="黑体"/>
                <w:color w:val="auto"/>
                <w:kern w:val="0"/>
                <w:sz w:val="16"/>
                <w:szCs w:val="16"/>
                <w:highlight w:val="none"/>
                <w:lang w:bidi="ar"/>
              </w:rPr>
            </w:pPr>
            <w:r>
              <w:rPr>
                <w:rFonts w:eastAsia="黑体"/>
                <w:color w:val="auto"/>
                <w:kern w:val="0"/>
                <w:sz w:val="16"/>
                <w:szCs w:val="16"/>
                <w:highlight w:val="none"/>
                <w:lang w:bidi="ar"/>
              </w:rPr>
              <w:t>1—右侧模块叠合梁部分；2—预制叠合板；3—梁板现浇部分；</w:t>
            </w:r>
          </w:p>
          <w:p w14:paraId="58B83FB3">
            <w:pPr>
              <w:widowControl/>
              <w:jc w:val="center"/>
              <w:rPr>
                <w:rFonts w:hint="default" w:eastAsia="黑体"/>
                <w:color w:val="auto"/>
                <w:highlight w:val="none"/>
                <w:lang w:val="en-US" w:eastAsia="zh-CN"/>
              </w:rPr>
            </w:pPr>
            <w:r>
              <w:rPr>
                <w:rFonts w:eastAsia="黑体"/>
                <w:color w:val="auto"/>
                <w:kern w:val="0"/>
                <w:sz w:val="16"/>
                <w:szCs w:val="16"/>
                <w:highlight w:val="none"/>
                <w:lang w:bidi="ar"/>
              </w:rPr>
              <w:t>4—左侧模块梁模部分；5—防水胶条</w:t>
            </w:r>
            <w:r>
              <w:rPr>
                <w:rFonts w:hint="eastAsia" w:eastAsia="黑体"/>
                <w:color w:val="auto"/>
                <w:kern w:val="0"/>
                <w:sz w:val="16"/>
                <w:szCs w:val="16"/>
                <w:highlight w:val="none"/>
                <w:lang w:eastAsia="zh-CN" w:bidi="ar"/>
              </w:rPr>
              <w:t>；</w:t>
            </w:r>
            <w:r>
              <w:rPr>
                <w:rFonts w:hint="eastAsia" w:eastAsia="黑体"/>
                <w:color w:val="auto"/>
                <w:kern w:val="0"/>
                <w:sz w:val="16"/>
                <w:szCs w:val="16"/>
                <w:highlight w:val="none"/>
                <w:lang w:val="en-US" w:eastAsia="zh-CN" w:bidi="ar"/>
              </w:rPr>
              <w:t>6—柔性垫层；7—上部隔墙</w:t>
            </w:r>
          </w:p>
        </w:tc>
      </w:tr>
    </w:tbl>
    <w:p w14:paraId="365EA1A7">
      <w:pPr>
        <w:widowControl/>
        <w:spacing w:line="360" w:lineRule="exact"/>
        <w:rPr>
          <w:color w:val="auto"/>
          <w:szCs w:val="21"/>
          <w:highlight w:val="none"/>
        </w:rPr>
      </w:pPr>
      <w:bookmarkStart w:id="555" w:name="_Toc2024"/>
      <w:bookmarkStart w:id="556" w:name="_Toc14240"/>
      <w:bookmarkStart w:id="557" w:name="_Toc18932"/>
      <w:bookmarkStart w:id="558" w:name="_Toc11785"/>
      <w:r>
        <w:rPr>
          <w:rFonts w:hint="eastAsia"/>
          <w:b/>
          <w:bCs/>
          <w:color w:val="auto"/>
          <w:szCs w:val="21"/>
          <w:highlight w:val="none"/>
          <w:lang w:val="en-US" w:eastAsia="zh-CN"/>
        </w:rPr>
        <w:t xml:space="preserve">6.4.15 </w:t>
      </w:r>
      <w:r>
        <w:rPr>
          <w:color w:val="auto"/>
          <w:szCs w:val="21"/>
          <w:highlight w:val="none"/>
        </w:rPr>
        <w:t xml:space="preserve"> 模块</w:t>
      </w:r>
      <w:r>
        <w:rPr>
          <w:rFonts w:hint="eastAsia"/>
          <w:color w:val="auto"/>
          <w:szCs w:val="21"/>
          <w:highlight w:val="none"/>
          <w:lang w:val="en-US" w:eastAsia="zh-CN"/>
        </w:rPr>
        <w:t>化叠合剪力墙</w:t>
      </w:r>
      <w:r>
        <w:rPr>
          <w:color w:val="auto"/>
          <w:szCs w:val="21"/>
          <w:highlight w:val="none"/>
        </w:rPr>
        <w:t>结构中</w:t>
      </w:r>
      <w:r>
        <w:rPr>
          <w:rFonts w:hint="eastAsia"/>
          <w:color w:val="auto"/>
          <w:szCs w:val="21"/>
          <w:highlight w:val="none"/>
          <w:lang w:val="en-US" w:eastAsia="zh-CN"/>
        </w:rPr>
        <w:t>的</w:t>
      </w:r>
      <w:r>
        <w:rPr>
          <w:color w:val="auto"/>
          <w:szCs w:val="21"/>
          <w:highlight w:val="none"/>
        </w:rPr>
        <w:t>叠合剪力墙应符合下列</w:t>
      </w:r>
      <w:r>
        <w:rPr>
          <w:rFonts w:hint="eastAsia"/>
          <w:color w:val="auto"/>
          <w:szCs w:val="21"/>
          <w:highlight w:val="none"/>
          <w:lang w:val="en-US" w:eastAsia="zh-CN"/>
        </w:rPr>
        <w:t>规定</w:t>
      </w:r>
      <w:r>
        <w:rPr>
          <w:color w:val="auto"/>
          <w:szCs w:val="21"/>
          <w:highlight w:val="none"/>
        </w:rPr>
        <w:t>：</w:t>
      </w:r>
      <w:bookmarkEnd w:id="555"/>
      <w:bookmarkEnd w:id="556"/>
      <w:bookmarkEnd w:id="557"/>
      <w:bookmarkEnd w:id="558"/>
    </w:p>
    <w:p w14:paraId="5A67B6BA">
      <w:pPr>
        <w:spacing w:line="360" w:lineRule="exact"/>
        <w:ind w:firstLine="422" w:firstLineChars="200"/>
        <w:rPr>
          <w:color w:val="auto"/>
          <w:szCs w:val="21"/>
          <w:highlight w:val="none"/>
        </w:rPr>
      </w:pPr>
      <w:bookmarkStart w:id="559" w:name="_Toc5411"/>
      <w:bookmarkStart w:id="560" w:name="_Toc13201"/>
      <w:bookmarkStart w:id="561" w:name="_Toc22681"/>
      <w:r>
        <w:rPr>
          <w:rFonts w:hint="eastAsia"/>
          <w:b/>
          <w:bCs/>
          <w:color w:val="auto"/>
          <w:szCs w:val="21"/>
          <w:highlight w:val="none"/>
          <w:lang w:val="en-US" w:eastAsia="zh-CN"/>
        </w:rPr>
        <w:t>1</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叠合剪力墙的墙体厚度应符合</w:t>
      </w:r>
      <w:r>
        <w:rPr>
          <w:strike w:val="0"/>
          <w:dstrike w:val="0"/>
          <w:color w:val="auto"/>
          <w:szCs w:val="21"/>
          <w:highlight w:val="none"/>
        </w:rPr>
        <w:t>现行</w:t>
      </w:r>
      <w:r>
        <w:rPr>
          <w:rFonts w:hint="eastAsia"/>
          <w:strike w:val="0"/>
          <w:dstrike w:val="0"/>
          <w:color w:val="auto"/>
          <w:szCs w:val="21"/>
          <w:highlight w:val="none"/>
          <w:lang w:val="en-US" w:eastAsia="zh-CN"/>
        </w:rPr>
        <w:t>行业标准</w:t>
      </w:r>
      <w:r>
        <w:rPr>
          <w:color w:val="auto"/>
          <w:szCs w:val="21"/>
          <w:highlight w:val="none"/>
        </w:rPr>
        <w:t>《高层建筑混凝土结构技术规程》JGJ 3 中墙体稳定验算的有关规定</w:t>
      </w:r>
      <w:bookmarkEnd w:id="559"/>
      <w:bookmarkEnd w:id="560"/>
      <w:bookmarkEnd w:id="561"/>
      <w:r>
        <w:rPr>
          <w:rFonts w:hint="eastAsia"/>
          <w:color w:val="auto"/>
          <w:szCs w:val="21"/>
          <w:highlight w:val="none"/>
          <w:lang w:eastAsia="zh-CN"/>
        </w:rPr>
        <w:t>。</w:t>
      </w:r>
      <w:r>
        <w:rPr>
          <w:color w:val="auto"/>
          <w:szCs w:val="21"/>
          <w:highlight w:val="none"/>
        </w:rPr>
        <w:t xml:space="preserve"> </w:t>
      </w:r>
    </w:p>
    <w:p w14:paraId="083D3EA9">
      <w:pPr>
        <w:spacing w:line="360" w:lineRule="exact"/>
        <w:ind w:firstLine="422" w:firstLineChars="200"/>
        <w:rPr>
          <w:rFonts w:hint="eastAsia" w:eastAsia="宋体"/>
          <w:color w:val="auto"/>
          <w:szCs w:val="21"/>
          <w:highlight w:val="none"/>
          <w:lang w:eastAsia="zh-CN"/>
        </w:rPr>
      </w:pPr>
      <w:bookmarkStart w:id="562" w:name="_Toc2606"/>
      <w:bookmarkStart w:id="563" w:name="_Toc5691"/>
      <w:bookmarkStart w:id="564" w:name="_Toc17126"/>
      <w:r>
        <w:rPr>
          <w:rFonts w:hint="eastAsia"/>
          <w:b/>
          <w:bCs/>
          <w:color w:val="auto"/>
          <w:szCs w:val="21"/>
          <w:highlight w:val="none"/>
          <w:lang w:val="en-US" w:eastAsia="zh-CN"/>
        </w:rPr>
        <w:t>2</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叠合剪力墙的计算厚度 b</w:t>
      </w:r>
      <w:r>
        <w:rPr>
          <w:color w:val="auto"/>
          <w:szCs w:val="21"/>
          <w:highlight w:val="none"/>
          <w:vertAlign w:val="subscript"/>
        </w:rPr>
        <w:t>w</w:t>
      </w:r>
      <w:r>
        <w:rPr>
          <w:color w:val="auto"/>
          <w:szCs w:val="21"/>
          <w:highlight w:val="none"/>
        </w:rPr>
        <w:t>取叠合剪力墙全截面有效结构厚度</w:t>
      </w:r>
      <w:r>
        <w:rPr>
          <w:rFonts w:hint="eastAsia"/>
          <w:color w:val="auto"/>
          <w:szCs w:val="21"/>
          <w:highlight w:val="none"/>
          <w:lang w:eastAsia="zh-CN"/>
        </w:rPr>
        <w:t>：</w:t>
      </w:r>
      <w:r>
        <w:rPr>
          <w:color w:val="auto"/>
          <w:szCs w:val="21"/>
          <w:highlight w:val="none"/>
        </w:rPr>
        <w:t>双面叠合剪力墙厚度取叶板厚度 t</w:t>
      </w:r>
      <w:r>
        <w:rPr>
          <w:color w:val="auto"/>
          <w:szCs w:val="21"/>
          <w:highlight w:val="none"/>
          <w:vertAlign w:val="subscript"/>
        </w:rPr>
        <w:t>1</w:t>
      </w:r>
      <w:r>
        <w:rPr>
          <w:color w:val="auto"/>
          <w:szCs w:val="21"/>
          <w:highlight w:val="none"/>
        </w:rPr>
        <w:t>、t</w:t>
      </w:r>
      <w:r>
        <w:rPr>
          <w:color w:val="auto"/>
          <w:szCs w:val="21"/>
          <w:highlight w:val="none"/>
          <w:vertAlign w:val="subscript"/>
        </w:rPr>
        <w:t>2</w:t>
      </w:r>
      <w:r>
        <w:rPr>
          <w:color w:val="auto"/>
          <w:szCs w:val="21"/>
          <w:highlight w:val="none"/>
        </w:rPr>
        <w:t>与后浇混凝土厚度 t</w:t>
      </w:r>
      <w:r>
        <w:rPr>
          <w:color w:val="auto"/>
          <w:szCs w:val="21"/>
          <w:highlight w:val="none"/>
          <w:vertAlign w:val="subscript"/>
        </w:rPr>
        <w:t>0</w:t>
      </w:r>
      <w:r>
        <w:rPr>
          <w:color w:val="auto"/>
          <w:szCs w:val="21"/>
          <w:highlight w:val="none"/>
        </w:rPr>
        <w:t>之和</w:t>
      </w:r>
      <w:bookmarkEnd w:id="562"/>
      <w:bookmarkEnd w:id="563"/>
      <w:bookmarkEnd w:id="564"/>
      <w:r>
        <w:rPr>
          <w:rFonts w:hint="eastAsia"/>
          <w:color w:val="auto"/>
          <w:szCs w:val="21"/>
          <w:highlight w:val="none"/>
          <w:lang w:eastAsia="zh-CN"/>
        </w:rPr>
        <w:t>；</w:t>
      </w:r>
      <w:bookmarkStart w:id="565" w:name="_Toc19880"/>
      <w:bookmarkStart w:id="566" w:name="_Toc12452"/>
      <w:bookmarkStart w:id="567" w:name="_Toc13219"/>
      <w:r>
        <w:rPr>
          <w:color w:val="auto"/>
          <w:szCs w:val="21"/>
          <w:highlight w:val="none"/>
        </w:rPr>
        <w:t>单面叠合剪力墙边缘构件的计算厚度取叶板厚度t</w:t>
      </w:r>
      <w:r>
        <w:rPr>
          <w:color w:val="auto"/>
          <w:szCs w:val="21"/>
          <w:highlight w:val="none"/>
          <w:vertAlign w:val="subscript"/>
        </w:rPr>
        <w:t>1</w:t>
      </w:r>
      <w:r>
        <w:rPr>
          <w:color w:val="auto"/>
          <w:szCs w:val="21"/>
          <w:highlight w:val="none"/>
        </w:rPr>
        <w:t>与后浇混凝土厚度t</w:t>
      </w:r>
      <w:r>
        <w:rPr>
          <w:color w:val="auto"/>
          <w:szCs w:val="21"/>
          <w:highlight w:val="none"/>
          <w:vertAlign w:val="subscript"/>
        </w:rPr>
        <w:t>0</w:t>
      </w:r>
      <w:r>
        <w:rPr>
          <w:color w:val="auto"/>
          <w:szCs w:val="21"/>
          <w:highlight w:val="none"/>
        </w:rPr>
        <w:t>之和</w:t>
      </w:r>
      <w:bookmarkEnd w:id="565"/>
      <w:bookmarkEnd w:id="566"/>
      <w:bookmarkEnd w:id="567"/>
      <w:r>
        <w:rPr>
          <w:rFonts w:hint="eastAsia"/>
          <w:color w:val="auto"/>
          <w:szCs w:val="21"/>
          <w:highlight w:val="none"/>
          <w:lang w:eastAsia="zh-CN"/>
        </w:rPr>
        <w:t>。</w:t>
      </w:r>
    </w:p>
    <w:p w14:paraId="4CB518EF">
      <w:pPr>
        <w:spacing w:line="360" w:lineRule="exact"/>
        <w:ind w:firstLine="422" w:firstLineChars="200"/>
        <w:rPr>
          <w:color w:val="auto"/>
          <w:szCs w:val="21"/>
          <w:highlight w:val="none"/>
        </w:rPr>
      </w:pPr>
      <w:bookmarkStart w:id="568" w:name="_Toc45"/>
      <w:bookmarkStart w:id="569" w:name="_Toc19600"/>
      <w:bookmarkStart w:id="570" w:name="_Toc26676"/>
      <w:r>
        <w:rPr>
          <w:rFonts w:hint="eastAsia"/>
          <w:b/>
          <w:bCs/>
          <w:color w:val="auto"/>
          <w:szCs w:val="21"/>
          <w:highlight w:val="none"/>
          <w:lang w:val="en-US" w:eastAsia="zh-CN"/>
        </w:rPr>
        <w:t>3</w:t>
      </w:r>
      <w:r>
        <w:rPr>
          <w:rFonts w:hint="eastAsia"/>
          <w:color w:val="auto"/>
          <w:szCs w:val="21"/>
          <w:highlight w:val="none"/>
          <w:lang w:val="en-US" w:eastAsia="zh-CN"/>
        </w:rPr>
        <w:t xml:space="preserve">  </w:t>
      </w:r>
      <w:r>
        <w:rPr>
          <w:color w:val="auto"/>
          <w:szCs w:val="21"/>
          <w:highlight w:val="none"/>
        </w:rPr>
        <w:t>墙肢厚度 b</w:t>
      </w:r>
      <w:r>
        <w:rPr>
          <w:color w:val="auto"/>
          <w:szCs w:val="21"/>
          <w:highlight w:val="none"/>
          <w:vertAlign w:val="subscript"/>
        </w:rPr>
        <w:t>w</w:t>
      </w:r>
      <w:r>
        <w:rPr>
          <w:color w:val="auto"/>
          <w:szCs w:val="21"/>
          <w:highlight w:val="none"/>
        </w:rPr>
        <w:t>不宜小于 200mm，叶板厚度不宜小于50mm</w:t>
      </w:r>
      <w:bookmarkEnd w:id="568"/>
      <w:bookmarkEnd w:id="569"/>
      <w:bookmarkEnd w:id="570"/>
      <w:r>
        <w:rPr>
          <w:rFonts w:hint="eastAsia"/>
          <w:color w:val="auto"/>
          <w:szCs w:val="21"/>
          <w:highlight w:val="none"/>
          <w:lang w:eastAsia="zh-CN"/>
        </w:rPr>
        <w:t>。</w:t>
      </w:r>
      <w:r>
        <w:rPr>
          <w:color w:val="auto"/>
          <w:szCs w:val="21"/>
          <w:highlight w:val="none"/>
        </w:rPr>
        <w:t xml:space="preserve"> </w:t>
      </w:r>
    </w:p>
    <w:p w14:paraId="19D5E2B9">
      <w:pPr>
        <w:spacing w:line="360" w:lineRule="exact"/>
        <w:ind w:firstLine="422" w:firstLineChars="200"/>
        <w:rPr>
          <w:color w:val="auto"/>
          <w:szCs w:val="21"/>
          <w:highlight w:val="none"/>
        </w:rPr>
      </w:pPr>
      <w:bookmarkStart w:id="571" w:name="_Toc30930"/>
      <w:bookmarkStart w:id="572" w:name="_Toc11059"/>
      <w:bookmarkStart w:id="573" w:name="_Toc29905"/>
      <w:r>
        <w:rPr>
          <w:rFonts w:hint="eastAsia"/>
          <w:b/>
          <w:bCs/>
          <w:color w:val="auto"/>
          <w:szCs w:val="21"/>
          <w:highlight w:val="none"/>
          <w:lang w:val="en-US" w:eastAsia="zh-CN"/>
        </w:rPr>
        <w:t>4</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叠合剪力墙后浇混凝土厚度t</w:t>
      </w:r>
      <w:r>
        <w:rPr>
          <w:color w:val="auto"/>
          <w:szCs w:val="21"/>
          <w:highlight w:val="none"/>
          <w:vertAlign w:val="subscript"/>
        </w:rPr>
        <w:t>0</w:t>
      </w:r>
      <w:r>
        <w:rPr>
          <w:color w:val="auto"/>
          <w:szCs w:val="21"/>
          <w:highlight w:val="none"/>
        </w:rPr>
        <w:t>不宜小于 100mm</w:t>
      </w:r>
      <w:bookmarkEnd w:id="571"/>
      <w:bookmarkEnd w:id="572"/>
      <w:bookmarkEnd w:id="573"/>
      <w:r>
        <w:rPr>
          <w:rFonts w:hint="eastAsia"/>
          <w:color w:val="auto"/>
          <w:szCs w:val="21"/>
          <w:highlight w:val="none"/>
          <w:lang w:eastAsia="zh-CN"/>
        </w:rPr>
        <w:t>。</w:t>
      </w:r>
      <w:r>
        <w:rPr>
          <w:color w:val="auto"/>
          <w:szCs w:val="21"/>
          <w:highlight w:val="none"/>
        </w:rPr>
        <w:t xml:space="preserve"> </w:t>
      </w:r>
    </w:p>
    <w:p w14:paraId="14E469F8">
      <w:pPr>
        <w:spacing w:line="360" w:lineRule="exact"/>
        <w:ind w:firstLine="422" w:firstLineChars="200"/>
        <w:rPr>
          <w:color w:val="auto"/>
          <w:szCs w:val="21"/>
          <w:highlight w:val="none"/>
        </w:rPr>
      </w:pPr>
      <w:bookmarkStart w:id="574" w:name="_Toc15214"/>
      <w:bookmarkStart w:id="575" w:name="_Toc17828"/>
      <w:bookmarkStart w:id="576" w:name="_Toc14499"/>
      <w:r>
        <w:rPr>
          <w:rFonts w:hint="eastAsia"/>
          <w:b/>
          <w:bCs/>
          <w:color w:val="auto"/>
          <w:szCs w:val="21"/>
          <w:highlight w:val="none"/>
          <w:lang w:val="en-US" w:eastAsia="zh-CN"/>
        </w:rPr>
        <w:t>5</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叶板中最外侧钢筋的混凝土保护层厚度不应小于</w:t>
      </w:r>
      <w:r>
        <w:rPr>
          <w:rFonts w:hint="eastAsia"/>
          <w:color w:val="auto"/>
          <w:szCs w:val="21"/>
          <w:highlight w:val="none"/>
        </w:rPr>
        <w:t>15</w:t>
      </w:r>
      <w:r>
        <w:rPr>
          <w:color w:val="auto"/>
          <w:szCs w:val="21"/>
          <w:highlight w:val="none"/>
        </w:rPr>
        <w:t>mm，且应符合现行国家标准《</w:t>
      </w:r>
      <w:r>
        <w:rPr>
          <w:rFonts w:hint="eastAsia"/>
          <w:color w:val="auto"/>
          <w:szCs w:val="21"/>
          <w:highlight w:val="none"/>
          <w:lang w:eastAsia="zh-CN"/>
        </w:rPr>
        <w:t>混凝土结构设计标准</w:t>
      </w:r>
      <w:r>
        <w:rPr>
          <w:color w:val="auto"/>
          <w:szCs w:val="21"/>
          <w:highlight w:val="none"/>
        </w:rPr>
        <w:t>》</w:t>
      </w:r>
      <w:r>
        <w:rPr>
          <w:rFonts w:hint="eastAsia"/>
          <w:color w:val="auto"/>
          <w:szCs w:val="21"/>
          <w:highlight w:val="none"/>
        </w:rPr>
        <w:t>GB/T 50010</w:t>
      </w:r>
      <w:r>
        <w:rPr>
          <w:color w:val="auto"/>
          <w:szCs w:val="21"/>
          <w:highlight w:val="none"/>
        </w:rPr>
        <w:t xml:space="preserve"> 的规定</w:t>
      </w:r>
      <w:bookmarkEnd w:id="574"/>
      <w:bookmarkEnd w:id="575"/>
      <w:bookmarkEnd w:id="576"/>
      <w:r>
        <w:rPr>
          <w:rFonts w:hint="eastAsia"/>
          <w:color w:val="auto"/>
          <w:szCs w:val="21"/>
          <w:highlight w:val="none"/>
          <w:lang w:eastAsia="zh-CN"/>
        </w:rPr>
        <w:t>。</w:t>
      </w:r>
      <w:r>
        <w:rPr>
          <w:color w:val="auto"/>
          <w:szCs w:val="21"/>
          <w:highlight w:val="none"/>
        </w:rPr>
        <w:t xml:space="preserve"> </w:t>
      </w:r>
    </w:p>
    <w:p w14:paraId="1302495F">
      <w:pPr>
        <w:spacing w:line="360" w:lineRule="exact"/>
        <w:ind w:firstLine="422" w:firstLineChars="200"/>
        <w:rPr>
          <w:rFonts w:hint="eastAsia" w:eastAsia="宋体"/>
          <w:color w:val="auto"/>
          <w:szCs w:val="21"/>
          <w:highlight w:val="none"/>
          <w:lang w:eastAsia="zh-CN"/>
        </w:rPr>
      </w:pPr>
      <w:bookmarkStart w:id="577" w:name="_Toc20058"/>
      <w:bookmarkStart w:id="578" w:name="_Toc11488"/>
      <w:bookmarkStart w:id="579" w:name="_Toc31821"/>
      <w:r>
        <w:rPr>
          <w:rFonts w:hint="eastAsia"/>
          <w:b/>
          <w:bCs/>
          <w:color w:val="auto"/>
          <w:szCs w:val="21"/>
          <w:highlight w:val="none"/>
          <w:lang w:val="en-US" w:eastAsia="zh-CN"/>
        </w:rPr>
        <w:t>6</w:t>
      </w:r>
      <w:r>
        <w:rPr>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叶板内表面应设置粗糙面。通过混凝土配合比和施工工艺有效控制自然粗糙面效果，严禁出现浮浆</w:t>
      </w:r>
      <w:bookmarkEnd w:id="577"/>
      <w:bookmarkEnd w:id="578"/>
      <w:bookmarkEnd w:id="579"/>
      <w:r>
        <w:rPr>
          <w:rFonts w:hint="eastAsia"/>
          <w:color w:val="auto"/>
          <w:szCs w:val="21"/>
          <w:highlight w:val="none"/>
          <w:lang w:eastAsia="zh-CN"/>
        </w:rPr>
        <w:t>。</w:t>
      </w:r>
    </w:p>
    <w:p w14:paraId="5794BCB3">
      <w:pPr>
        <w:spacing w:line="360" w:lineRule="exact"/>
        <w:ind w:firstLine="422" w:firstLineChars="200"/>
        <w:rPr>
          <w:color w:val="auto"/>
          <w:szCs w:val="21"/>
          <w:highlight w:val="none"/>
        </w:rPr>
      </w:pPr>
      <w:r>
        <w:rPr>
          <w:rFonts w:hint="eastAsia"/>
          <w:b/>
          <w:bCs/>
          <w:color w:val="auto"/>
          <w:szCs w:val="21"/>
          <w:highlight w:val="none"/>
          <w:lang w:val="en-US" w:eastAsia="zh-CN"/>
        </w:rPr>
        <w:t>7</w:t>
      </w:r>
      <w:r>
        <w:rPr>
          <w:rFonts w:hint="eastAsia"/>
          <w:color w:val="auto"/>
          <w:szCs w:val="21"/>
          <w:highlight w:val="none"/>
        </w:rPr>
        <w:t xml:space="preserve">  </w:t>
      </w:r>
      <w:r>
        <w:rPr>
          <w:color w:val="auto"/>
          <w:szCs w:val="21"/>
          <w:highlight w:val="none"/>
        </w:rPr>
        <w:t>在重力荷载代表值作用下，</w:t>
      </w:r>
      <w:r>
        <w:rPr>
          <w:rFonts w:hint="eastAsia"/>
          <w:color w:val="auto"/>
          <w:szCs w:val="21"/>
          <w:highlight w:val="none"/>
        </w:rPr>
        <w:t>预制叠合墙板的轴压比，一级（6、7、8度）时不宜大于0.5，二、三级时不宜大于</w:t>
      </w:r>
      <w:r>
        <w:rPr>
          <w:color w:val="auto"/>
          <w:szCs w:val="21"/>
          <w:highlight w:val="none"/>
        </w:rPr>
        <w:t>0</w:t>
      </w:r>
      <w:r>
        <w:rPr>
          <w:rFonts w:hint="eastAsia"/>
          <w:color w:val="auto"/>
          <w:szCs w:val="21"/>
          <w:highlight w:val="none"/>
        </w:rPr>
        <w:t>.55。</w:t>
      </w:r>
    </w:p>
    <w:bookmarkEnd w:id="488"/>
    <w:p w14:paraId="54EC2402">
      <w:pPr>
        <w:widowControl/>
        <w:spacing w:line="360" w:lineRule="exact"/>
        <w:rPr>
          <w:rFonts w:hint="eastAsia"/>
          <w:color w:val="auto"/>
          <w:szCs w:val="21"/>
          <w:highlight w:val="none"/>
        </w:rPr>
      </w:pPr>
      <w:bookmarkStart w:id="580" w:name="_Toc11371"/>
      <w:r>
        <w:rPr>
          <w:rFonts w:hint="eastAsia"/>
          <w:b/>
          <w:bCs/>
          <w:color w:val="auto"/>
          <w:szCs w:val="21"/>
          <w:highlight w:val="none"/>
          <w:lang w:val="en-US" w:eastAsia="zh-CN"/>
        </w:rPr>
        <w:t xml:space="preserve">6.4.16 </w:t>
      </w:r>
      <w:r>
        <w:rPr>
          <w:rFonts w:hint="eastAsia"/>
          <w:color w:val="auto"/>
          <w:szCs w:val="21"/>
          <w:highlight w:val="none"/>
          <w:lang w:val="en-US" w:eastAsia="zh-CN"/>
        </w:rPr>
        <w:t xml:space="preserve"> </w:t>
      </w:r>
      <w:r>
        <w:rPr>
          <w:color w:val="auto"/>
          <w:szCs w:val="21"/>
          <w:highlight w:val="none"/>
        </w:rPr>
        <w:t>高层模块化结构剪力墙结构边缘构件轴压比、配筋和构造要求除应符合现行国家标准《建筑抗震设计规范》GB 50011、</w:t>
      </w:r>
      <w:r>
        <w:rPr>
          <w:rFonts w:hint="eastAsia"/>
          <w:color w:val="auto"/>
          <w:szCs w:val="21"/>
          <w:highlight w:val="none"/>
          <w:lang w:val="en-US" w:eastAsia="zh-CN"/>
        </w:rPr>
        <w:t>现行</w:t>
      </w:r>
      <w:r>
        <w:rPr>
          <w:color w:val="auto"/>
          <w:szCs w:val="21"/>
          <w:highlight w:val="none"/>
        </w:rPr>
        <w:t xml:space="preserve">行业标准《高层建筑混凝土结构技术规程》JGJ 3 </w:t>
      </w:r>
      <w:r>
        <w:rPr>
          <w:rFonts w:hint="eastAsia"/>
          <w:color w:val="auto"/>
          <w:szCs w:val="21"/>
          <w:highlight w:val="none"/>
          <w:lang w:eastAsia="zh-CN"/>
        </w:rPr>
        <w:t>、</w:t>
      </w:r>
      <w:r>
        <w:rPr>
          <w:rFonts w:hint="eastAsia"/>
          <w:color w:val="auto"/>
          <w:szCs w:val="21"/>
          <w:highlight w:val="none"/>
          <w:lang w:val="en-US" w:eastAsia="zh-CN"/>
        </w:rPr>
        <w:t>现行</w:t>
      </w:r>
      <w:r>
        <w:rPr>
          <w:color w:val="auto"/>
          <w:szCs w:val="21"/>
          <w:highlight w:val="none"/>
        </w:rPr>
        <w:t>广东省</w:t>
      </w:r>
      <w:r>
        <w:rPr>
          <w:rFonts w:hint="eastAsia"/>
          <w:color w:val="auto"/>
          <w:szCs w:val="21"/>
          <w:highlight w:val="none"/>
          <w:lang w:val="en-US" w:eastAsia="zh-CN"/>
        </w:rPr>
        <w:t>标准</w:t>
      </w:r>
      <w:r>
        <w:rPr>
          <w:color w:val="auto"/>
          <w:szCs w:val="21"/>
          <w:highlight w:val="none"/>
        </w:rPr>
        <w:t xml:space="preserve">《高层建筑混凝土结构技术规程》DBJ15-92 </w:t>
      </w:r>
      <w:r>
        <w:rPr>
          <w:rFonts w:hint="eastAsia"/>
          <w:color w:val="auto"/>
          <w:szCs w:val="21"/>
          <w:highlight w:val="none"/>
          <w:lang w:val="en-US" w:eastAsia="zh-CN"/>
        </w:rPr>
        <w:t>和《高层建筑工业化技术标准》</w:t>
      </w:r>
      <w:r>
        <w:rPr>
          <w:rFonts w:hint="eastAsia"/>
          <w:color w:val="auto"/>
          <w:szCs w:val="21"/>
          <w:highlight w:val="none"/>
        </w:rPr>
        <w:t>DBJ/T15-265</w:t>
      </w:r>
      <w:r>
        <w:rPr>
          <w:color w:val="auto"/>
          <w:szCs w:val="21"/>
          <w:highlight w:val="none"/>
        </w:rPr>
        <w:t>的有关规定外，还应满足本标准</w:t>
      </w:r>
      <w:r>
        <w:rPr>
          <w:rFonts w:hint="eastAsia"/>
          <w:color w:val="auto"/>
          <w:szCs w:val="21"/>
          <w:highlight w:val="none"/>
          <w:lang w:val="en-US" w:eastAsia="zh-CN"/>
        </w:rPr>
        <w:t>第</w:t>
      </w:r>
      <w:r>
        <w:rPr>
          <w:rFonts w:hint="eastAsia"/>
          <w:color w:val="auto"/>
          <w:szCs w:val="21"/>
          <w:highlight w:val="none"/>
        </w:rPr>
        <w:t>6.</w:t>
      </w:r>
      <w:r>
        <w:rPr>
          <w:rFonts w:hint="eastAsia"/>
          <w:color w:val="auto"/>
          <w:szCs w:val="21"/>
          <w:highlight w:val="none"/>
          <w:lang w:val="en-US" w:eastAsia="zh-CN"/>
        </w:rPr>
        <w:t>4</w:t>
      </w:r>
      <w:r>
        <w:rPr>
          <w:rFonts w:hint="eastAsia"/>
          <w:color w:val="auto"/>
          <w:szCs w:val="21"/>
          <w:highlight w:val="none"/>
        </w:rPr>
        <w:t>.15条相关要求。</w:t>
      </w:r>
      <w:bookmarkEnd w:id="580"/>
      <w:r>
        <w:rPr>
          <w:rFonts w:hint="eastAsia"/>
          <w:color w:val="auto"/>
          <w:szCs w:val="21"/>
          <w:highlight w:val="none"/>
        </w:rPr>
        <w:t xml:space="preserve"> </w:t>
      </w:r>
    </w:p>
    <w:p w14:paraId="13F46F94">
      <w:pPr>
        <w:pStyle w:val="3"/>
        <w:spacing w:before="166" w:beforeLines="50" w:after="166" w:afterLines="50" w:line="360" w:lineRule="auto"/>
        <w:jc w:val="center"/>
        <w:rPr>
          <w:rFonts w:ascii="Times New Roman" w:hAnsi="Times New Roman" w:eastAsia="黑体" w:cs="Times New Roman"/>
          <w:color w:val="auto"/>
          <w:sz w:val="24"/>
          <w:szCs w:val="24"/>
          <w:highlight w:val="none"/>
        </w:rPr>
      </w:pPr>
      <w:bookmarkStart w:id="581" w:name="_Toc19784"/>
      <w:bookmarkStart w:id="582" w:name="_Toc13690"/>
      <w:bookmarkStart w:id="583" w:name="_Toc11763"/>
      <w:bookmarkStart w:id="584" w:name="_Toc26029"/>
      <w:r>
        <w:rPr>
          <w:rFonts w:hint="eastAsia" w:ascii="Times New Roman" w:hAnsi="Times New Roman" w:eastAsia="黑体" w:cs="Times New Roman"/>
          <w:b/>
          <w:color w:val="auto"/>
          <w:sz w:val="24"/>
          <w:szCs w:val="24"/>
          <w:highlight w:val="none"/>
        </w:rPr>
        <w:t>6.</w:t>
      </w:r>
      <w:r>
        <w:rPr>
          <w:rFonts w:hint="eastAsia" w:ascii="Times New Roman" w:hAnsi="Times New Roman" w:eastAsia="黑体" w:cs="Times New Roman"/>
          <w:b/>
          <w:color w:val="auto"/>
          <w:sz w:val="24"/>
          <w:szCs w:val="24"/>
          <w:highlight w:val="none"/>
          <w:lang w:val="en-US" w:eastAsia="zh-CN"/>
        </w:rPr>
        <w:t>5</w:t>
      </w:r>
      <w:r>
        <w:rPr>
          <w:rFonts w:ascii="Times New Roman" w:hAnsi="Times New Roman" w:eastAsia="黑体" w:cs="Times New Roman"/>
          <w:b/>
          <w:color w:val="auto"/>
          <w:sz w:val="24"/>
          <w:szCs w:val="24"/>
          <w:highlight w:val="none"/>
        </w:rPr>
        <w:t xml:space="preserve"> </w:t>
      </w:r>
      <w:r>
        <w:rPr>
          <w:rFonts w:hint="eastAsia" w:ascii="Times New Roman" w:hAnsi="Times New Roman" w:eastAsia="黑体" w:cs="Times New Roman"/>
          <w:color w:val="auto"/>
          <w:sz w:val="24"/>
          <w:szCs w:val="24"/>
          <w:highlight w:val="none"/>
        </w:rPr>
        <w:t xml:space="preserve"> </w:t>
      </w:r>
      <w:r>
        <w:rPr>
          <w:rFonts w:ascii="Times New Roman" w:hAnsi="Times New Roman" w:eastAsia="黑体" w:cs="Times New Roman"/>
          <w:color w:val="auto"/>
          <w:sz w:val="24"/>
          <w:szCs w:val="24"/>
          <w:highlight w:val="none"/>
        </w:rPr>
        <w:t>模块单元</w:t>
      </w:r>
      <w:r>
        <w:rPr>
          <w:rFonts w:hint="eastAsia" w:ascii="Times New Roman" w:hAnsi="Times New Roman" w:eastAsia="黑体" w:cs="Times New Roman"/>
          <w:color w:val="auto"/>
          <w:sz w:val="24"/>
          <w:szCs w:val="24"/>
          <w:highlight w:val="none"/>
        </w:rPr>
        <w:t>结构</w:t>
      </w:r>
      <w:r>
        <w:rPr>
          <w:rFonts w:ascii="Times New Roman" w:hAnsi="Times New Roman" w:eastAsia="黑体" w:cs="Times New Roman"/>
          <w:color w:val="auto"/>
          <w:sz w:val="24"/>
          <w:szCs w:val="24"/>
          <w:highlight w:val="none"/>
        </w:rPr>
        <w:t>设计</w:t>
      </w:r>
      <w:bookmarkEnd w:id="581"/>
      <w:bookmarkEnd w:id="582"/>
      <w:bookmarkEnd w:id="583"/>
      <w:bookmarkEnd w:id="584"/>
    </w:p>
    <w:p w14:paraId="53E927AC">
      <w:pPr>
        <w:widowControl/>
        <w:spacing w:line="360" w:lineRule="exact"/>
        <w:rPr>
          <w:color w:val="auto"/>
          <w:szCs w:val="21"/>
          <w:highlight w:val="none"/>
        </w:rPr>
      </w:pPr>
      <w:r>
        <w:rPr>
          <w:rFonts w:hint="eastAsia"/>
          <w:b/>
          <w:bCs/>
          <w:color w:val="auto"/>
          <w:szCs w:val="21"/>
          <w:highlight w:val="none"/>
          <w:lang w:val="en-US" w:eastAsia="zh-CN"/>
        </w:rPr>
        <w:t xml:space="preserve">6.5.1 </w:t>
      </w:r>
      <w:r>
        <w:rPr>
          <w:color w:val="auto"/>
          <w:szCs w:val="21"/>
          <w:highlight w:val="none"/>
        </w:rPr>
        <w:t xml:space="preserve"> 模块单元除应符合本</w:t>
      </w:r>
      <w:r>
        <w:rPr>
          <w:rFonts w:hint="eastAsia"/>
          <w:color w:val="auto"/>
          <w:szCs w:val="21"/>
          <w:highlight w:val="none"/>
          <w:lang w:val="en-US" w:eastAsia="zh-CN"/>
        </w:rPr>
        <w:t>标准</w:t>
      </w:r>
      <w:r>
        <w:rPr>
          <w:color w:val="auto"/>
          <w:szCs w:val="21"/>
          <w:highlight w:val="none"/>
        </w:rPr>
        <w:t>第六章模块化结构在持久设计状况和地震设计状况中的各项设计要求外，尚应对模块单元进行短暂设计状况的验算。短暂设计状况的验算应符合国家现行标准《混凝土结构工程施工规范》GB 50666和</w:t>
      </w:r>
      <w:r>
        <w:rPr>
          <w:rFonts w:hint="eastAsia"/>
          <w:color w:val="auto"/>
          <w:szCs w:val="21"/>
          <w:highlight w:val="none"/>
        </w:rPr>
        <w:t>行业标准</w:t>
      </w:r>
      <w:r>
        <w:rPr>
          <w:color w:val="auto"/>
          <w:szCs w:val="21"/>
          <w:highlight w:val="none"/>
        </w:rPr>
        <w:t>《装配式混凝土结构技术规程》JGJ 1的有关规定。</w:t>
      </w:r>
    </w:p>
    <w:p w14:paraId="4BFC3830">
      <w:pPr>
        <w:widowControl/>
        <w:spacing w:line="360" w:lineRule="exact"/>
        <w:rPr>
          <w:color w:val="auto"/>
          <w:szCs w:val="21"/>
          <w:highlight w:val="none"/>
        </w:rPr>
      </w:pPr>
      <w:r>
        <w:rPr>
          <w:rFonts w:hint="eastAsia"/>
          <w:b/>
          <w:bCs/>
          <w:color w:val="auto"/>
          <w:szCs w:val="21"/>
          <w:highlight w:val="none"/>
          <w:lang w:val="en-US" w:eastAsia="zh-CN"/>
        </w:rPr>
        <w:t xml:space="preserve">6.5.2 </w:t>
      </w:r>
      <w:r>
        <w:rPr>
          <w:color w:val="auto"/>
          <w:szCs w:val="21"/>
          <w:highlight w:val="none"/>
        </w:rPr>
        <w:t xml:space="preserve"> 模块单元的设计应符合下列规定：</w:t>
      </w:r>
    </w:p>
    <w:p w14:paraId="2A5D0237">
      <w:pPr>
        <w:spacing w:line="360" w:lineRule="exact"/>
        <w:ind w:firstLine="422" w:firstLineChars="200"/>
        <w:rPr>
          <w:color w:val="auto"/>
          <w:szCs w:val="21"/>
          <w:highlight w:val="none"/>
        </w:rPr>
      </w:pPr>
      <w:r>
        <w:rPr>
          <w:rFonts w:hint="eastAsia"/>
          <w:b/>
          <w:bCs/>
          <w:color w:val="auto"/>
          <w:szCs w:val="21"/>
          <w:highlight w:val="none"/>
          <w:lang w:val="en-US" w:eastAsia="zh-CN"/>
        </w:rPr>
        <w:t xml:space="preserve">1 </w:t>
      </w:r>
      <w:r>
        <w:rPr>
          <w:color w:val="auto"/>
          <w:szCs w:val="21"/>
          <w:highlight w:val="none"/>
        </w:rPr>
        <w:t xml:space="preserve"> 模块单元外形宜简单、规则，满足模数协调、标准化设计、规模化生产的要求；</w:t>
      </w:r>
    </w:p>
    <w:p w14:paraId="76ACF472">
      <w:pPr>
        <w:spacing w:line="360" w:lineRule="exact"/>
        <w:ind w:firstLine="422" w:firstLineChars="200"/>
        <w:rPr>
          <w:color w:val="auto"/>
          <w:szCs w:val="21"/>
          <w:highlight w:val="none"/>
        </w:rPr>
      </w:pPr>
      <w:r>
        <w:rPr>
          <w:rFonts w:hint="eastAsia"/>
          <w:b/>
          <w:bCs/>
          <w:color w:val="auto"/>
          <w:szCs w:val="21"/>
          <w:highlight w:val="none"/>
          <w:lang w:val="en-US" w:eastAsia="zh-CN"/>
        </w:rPr>
        <w:t xml:space="preserve">2  </w:t>
      </w:r>
      <w:r>
        <w:rPr>
          <w:color w:val="auto"/>
          <w:szCs w:val="21"/>
          <w:highlight w:val="none"/>
        </w:rPr>
        <w:t>模块单元宜整合外围护系统、内装系统和机电管线系统的功能需求；</w:t>
      </w:r>
    </w:p>
    <w:p w14:paraId="2060C36E">
      <w:pPr>
        <w:spacing w:line="360" w:lineRule="exact"/>
        <w:ind w:firstLine="422" w:firstLineChars="200"/>
        <w:rPr>
          <w:color w:val="auto"/>
          <w:szCs w:val="21"/>
          <w:highlight w:val="none"/>
        </w:rPr>
      </w:pPr>
      <w:r>
        <w:rPr>
          <w:rFonts w:hint="eastAsia"/>
          <w:b/>
          <w:bCs/>
          <w:color w:val="auto"/>
          <w:szCs w:val="21"/>
          <w:highlight w:val="none"/>
          <w:lang w:val="en-US" w:eastAsia="zh-CN"/>
        </w:rPr>
        <w:t xml:space="preserve">3 </w:t>
      </w:r>
      <w:r>
        <w:rPr>
          <w:color w:val="auto"/>
          <w:szCs w:val="21"/>
          <w:highlight w:val="none"/>
        </w:rPr>
        <w:t xml:space="preserve"> 模块单元应具有一定的刚度和承载力</w:t>
      </w:r>
      <w:r>
        <w:rPr>
          <w:rFonts w:hint="eastAsia"/>
          <w:color w:val="auto"/>
          <w:szCs w:val="21"/>
          <w:highlight w:val="none"/>
          <w:lang w:eastAsia="zh-CN"/>
        </w:rPr>
        <w:t>，</w:t>
      </w:r>
      <w:r>
        <w:rPr>
          <w:rFonts w:hint="eastAsia"/>
          <w:color w:val="auto"/>
          <w:szCs w:val="21"/>
          <w:highlight w:val="none"/>
        </w:rPr>
        <w:t>不应产生在模块</w:t>
      </w:r>
      <w:r>
        <w:rPr>
          <w:color w:val="auto"/>
          <w:szCs w:val="21"/>
          <w:highlight w:val="none"/>
        </w:rPr>
        <w:t>自重、吊运安装以及整体结构</w:t>
      </w:r>
      <w:r>
        <w:rPr>
          <w:rFonts w:hint="eastAsia"/>
          <w:color w:val="auto"/>
          <w:szCs w:val="21"/>
          <w:highlight w:val="none"/>
        </w:rPr>
        <w:t>自重的作用下，对结构安全性和耐久性的不利变形和裂缝</w:t>
      </w:r>
      <w:r>
        <w:rPr>
          <w:color w:val="auto"/>
          <w:szCs w:val="21"/>
          <w:highlight w:val="none"/>
        </w:rPr>
        <w:t>。</w:t>
      </w:r>
    </w:p>
    <w:p w14:paraId="4741B97F">
      <w:pPr>
        <w:widowControl/>
        <w:spacing w:line="360" w:lineRule="exact"/>
        <w:rPr>
          <w:color w:val="auto"/>
          <w:szCs w:val="21"/>
          <w:highlight w:val="none"/>
        </w:rPr>
      </w:pPr>
      <w:r>
        <w:rPr>
          <w:rFonts w:hint="eastAsia"/>
          <w:b/>
          <w:bCs/>
          <w:color w:val="auto"/>
          <w:szCs w:val="21"/>
          <w:highlight w:val="none"/>
          <w:lang w:val="en-US" w:eastAsia="zh-CN"/>
        </w:rPr>
        <w:t>6.5.3</w:t>
      </w:r>
      <w:r>
        <w:rPr>
          <w:b/>
          <w:color w:val="auto"/>
          <w:szCs w:val="21"/>
          <w:highlight w:val="none"/>
        </w:rPr>
        <w:t xml:space="preserve"> </w:t>
      </w:r>
      <w:r>
        <w:rPr>
          <w:color w:val="auto"/>
          <w:szCs w:val="21"/>
          <w:highlight w:val="none"/>
        </w:rPr>
        <w:t xml:space="preserve"> 模块单元的</w:t>
      </w:r>
      <w:r>
        <w:rPr>
          <w:rFonts w:hint="eastAsia"/>
          <w:color w:val="auto"/>
          <w:szCs w:val="21"/>
          <w:highlight w:val="none"/>
          <w:lang w:val="en-US" w:eastAsia="zh-CN"/>
        </w:rPr>
        <w:t>墙、</w:t>
      </w:r>
      <w:r>
        <w:rPr>
          <w:color w:val="auto"/>
          <w:szCs w:val="21"/>
          <w:highlight w:val="none"/>
        </w:rPr>
        <w:t>梁</w:t>
      </w:r>
      <w:r>
        <w:rPr>
          <w:rFonts w:hint="eastAsia"/>
          <w:color w:val="auto"/>
          <w:szCs w:val="21"/>
          <w:highlight w:val="none"/>
          <w:lang w:eastAsia="zh-CN"/>
        </w:rPr>
        <w:t>、</w:t>
      </w:r>
      <w:r>
        <w:rPr>
          <w:color w:val="auto"/>
          <w:szCs w:val="21"/>
          <w:highlight w:val="none"/>
        </w:rPr>
        <w:t>楼板等结构构件及连接节点的抗震措施，本章未做规定的，应按现行国家标准《建筑抗震设计规范》GB 50011的有关规定执行。</w:t>
      </w:r>
    </w:p>
    <w:p w14:paraId="3FF86F4C">
      <w:pPr>
        <w:widowControl/>
        <w:spacing w:line="360" w:lineRule="exact"/>
        <w:rPr>
          <w:color w:val="auto"/>
          <w:szCs w:val="21"/>
          <w:highlight w:val="none"/>
        </w:rPr>
      </w:pPr>
      <w:r>
        <w:rPr>
          <w:rFonts w:hint="eastAsia"/>
          <w:b/>
          <w:bCs/>
          <w:color w:val="auto"/>
          <w:szCs w:val="21"/>
          <w:highlight w:val="none"/>
          <w:lang w:val="en-US" w:eastAsia="zh-CN"/>
        </w:rPr>
        <w:t xml:space="preserve">6.5.4 </w:t>
      </w:r>
      <w:r>
        <w:rPr>
          <w:color w:val="auto"/>
          <w:szCs w:val="21"/>
          <w:highlight w:val="none"/>
        </w:rPr>
        <w:t xml:space="preserve"> 模块单元短暂设计</w:t>
      </w:r>
      <w:r>
        <w:rPr>
          <w:rFonts w:hint="eastAsia"/>
          <w:color w:val="auto"/>
          <w:szCs w:val="21"/>
          <w:highlight w:val="none"/>
          <w:lang w:val="en-US" w:eastAsia="zh-CN"/>
        </w:rPr>
        <w:t>工</w:t>
      </w:r>
      <w:r>
        <w:rPr>
          <w:color w:val="auto"/>
          <w:szCs w:val="21"/>
          <w:highlight w:val="none"/>
        </w:rPr>
        <w:t>况应包含脱模、运输、吊装、安装、储存等工况，并应符合下列规定：</w:t>
      </w:r>
    </w:p>
    <w:p w14:paraId="79B4176F">
      <w:pPr>
        <w:spacing w:line="360" w:lineRule="exact"/>
        <w:ind w:firstLine="422" w:firstLineChars="200"/>
        <w:rPr>
          <w:color w:val="auto"/>
          <w:szCs w:val="21"/>
          <w:highlight w:val="none"/>
        </w:rPr>
      </w:pPr>
      <w:r>
        <w:rPr>
          <w:rFonts w:hint="eastAsia"/>
          <w:b/>
          <w:bCs/>
          <w:color w:val="auto"/>
          <w:szCs w:val="21"/>
          <w:highlight w:val="none"/>
          <w:lang w:val="en-US" w:eastAsia="zh-CN"/>
        </w:rPr>
        <w:t xml:space="preserve">1  </w:t>
      </w:r>
      <w:r>
        <w:rPr>
          <w:color w:val="auto"/>
          <w:szCs w:val="21"/>
          <w:highlight w:val="none"/>
        </w:rPr>
        <w:t>应对模块单元进行整体稳定性分析；</w:t>
      </w:r>
    </w:p>
    <w:p w14:paraId="11449AED">
      <w:pPr>
        <w:spacing w:line="360" w:lineRule="exact"/>
        <w:ind w:firstLine="422" w:firstLineChars="200"/>
        <w:rPr>
          <w:color w:val="auto"/>
          <w:szCs w:val="21"/>
          <w:highlight w:val="none"/>
        </w:rPr>
      </w:pPr>
      <w:r>
        <w:rPr>
          <w:rFonts w:hint="eastAsia"/>
          <w:b/>
          <w:bCs/>
          <w:color w:val="auto"/>
          <w:szCs w:val="21"/>
          <w:highlight w:val="none"/>
          <w:lang w:val="en-US" w:eastAsia="zh-CN"/>
        </w:rPr>
        <w:t>2</w:t>
      </w:r>
      <w:r>
        <w:rPr>
          <w:color w:val="auto"/>
          <w:szCs w:val="21"/>
          <w:highlight w:val="none"/>
        </w:rPr>
        <w:t xml:space="preserve">  应对模块单元拼接节点进行承载力验算</w:t>
      </w:r>
      <w:r>
        <w:rPr>
          <w:rFonts w:hint="eastAsia"/>
          <w:color w:val="auto"/>
          <w:szCs w:val="21"/>
          <w:highlight w:val="none"/>
        </w:rPr>
        <w:t>，并满足模块短暂设计工况下受力性能要求</w:t>
      </w:r>
      <w:r>
        <w:rPr>
          <w:color w:val="auto"/>
          <w:szCs w:val="21"/>
          <w:highlight w:val="none"/>
        </w:rPr>
        <w:t>；</w:t>
      </w:r>
    </w:p>
    <w:p w14:paraId="5A8A18DA">
      <w:pPr>
        <w:spacing w:line="360" w:lineRule="exact"/>
        <w:ind w:firstLine="422" w:firstLineChars="200"/>
        <w:rPr>
          <w:color w:val="auto"/>
          <w:szCs w:val="21"/>
          <w:highlight w:val="none"/>
        </w:rPr>
      </w:pPr>
      <w:r>
        <w:rPr>
          <w:rFonts w:hint="eastAsia"/>
          <w:b/>
          <w:bCs/>
          <w:color w:val="auto"/>
          <w:szCs w:val="21"/>
          <w:highlight w:val="none"/>
          <w:lang w:val="en-US" w:eastAsia="zh-CN"/>
        </w:rPr>
        <w:t>3</w:t>
      </w:r>
      <w:r>
        <w:rPr>
          <w:color w:val="auto"/>
          <w:szCs w:val="21"/>
          <w:highlight w:val="none"/>
        </w:rPr>
        <w:t xml:space="preserve">  应对模块非承重墙体、底板、顶板进行承载力验算</w:t>
      </w:r>
      <w:r>
        <w:rPr>
          <w:rFonts w:hint="eastAsia"/>
          <w:color w:val="auto"/>
          <w:szCs w:val="21"/>
          <w:highlight w:val="none"/>
        </w:rPr>
        <w:t>，并满足模块短暂设计工况下受力性能要求</w:t>
      </w:r>
      <w:r>
        <w:rPr>
          <w:color w:val="auto"/>
          <w:szCs w:val="21"/>
          <w:highlight w:val="none"/>
        </w:rPr>
        <w:t>；</w:t>
      </w:r>
    </w:p>
    <w:p w14:paraId="42272EFE">
      <w:pPr>
        <w:spacing w:line="360" w:lineRule="exact"/>
        <w:ind w:firstLine="422" w:firstLineChars="200"/>
        <w:rPr>
          <w:color w:val="auto"/>
          <w:szCs w:val="21"/>
          <w:highlight w:val="none"/>
        </w:rPr>
      </w:pPr>
      <w:r>
        <w:rPr>
          <w:rFonts w:hint="eastAsia"/>
          <w:b/>
          <w:bCs/>
          <w:color w:val="auto"/>
          <w:szCs w:val="21"/>
          <w:highlight w:val="none"/>
          <w:lang w:val="en-US" w:eastAsia="zh-CN"/>
        </w:rPr>
        <w:t>4</w:t>
      </w:r>
      <w:r>
        <w:rPr>
          <w:color w:val="auto"/>
          <w:szCs w:val="21"/>
          <w:highlight w:val="none"/>
        </w:rPr>
        <w:t xml:space="preserve">  </w:t>
      </w:r>
      <w:r>
        <w:rPr>
          <w:rFonts w:hint="eastAsia"/>
          <w:color w:val="auto"/>
          <w:szCs w:val="21"/>
          <w:highlight w:val="none"/>
        </w:rPr>
        <w:t>宜</w:t>
      </w:r>
      <w:r>
        <w:rPr>
          <w:color w:val="auto"/>
          <w:szCs w:val="21"/>
          <w:highlight w:val="none"/>
        </w:rPr>
        <w:t>对箱模式模块进行实体单元的有限元分析，验算其强度和局部稳定性。</w:t>
      </w:r>
    </w:p>
    <w:p w14:paraId="19D242FF">
      <w:pPr>
        <w:widowControl/>
        <w:spacing w:line="360" w:lineRule="exact"/>
        <w:rPr>
          <w:color w:val="auto"/>
          <w:szCs w:val="21"/>
          <w:highlight w:val="none"/>
        </w:rPr>
      </w:pPr>
      <w:r>
        <w:rPr>
          <w:rFonts w:hint="eastAsia"/>
          <w:b/>
          <w:bCs/>
          <w:color w:val="auto"/>
          <w:szCs w:val="21"/>
          <w:highlight w:val="none"/>
          <w:lang w:val="en-US" w:eastAsia="zh-CN"/>
        </w:rPr>
        <w:t xml:space="preserve">6.5.5 </w:t>
      </w:r>
      <w:r>
        <w:rPr>
          <w:color w:val="auto"/>
          <w:szCs w:val="21"/>
          <w:highlight w:val="none"/>
        </w:rPr>
        <w:t xml:space="preserve"> 模块单元中的预埋吊件及临时支撑应根据现行国家标准《混凝土结构工程施工规范》GB50666的有关规定进行施工验算。</w:t>
      </w:r>
    </w:p>
    <w:p w14:paraId="433E4B32">
      <w:pPr>
        <w:widowControl/>
        <w:spacing w:line="360" w:lineRule="exact"/>
        <w:rPr>
          <w:color w:val="auto"/>
          <w:szCs w:val="21"/>
          <w:highlight w:val="none"/>
        </w:rPr>
      </w:pPr>
      <w:r>
        <w:rPr>
          <w:rFonts w:hint="eastAsia"/>
          <w:b/>
          <w:bCs/>
          <w:color w:val="auto"/>
          <w:szCs w:val="21"/>
          <w:highlight w:val="none"/>
          <w:lang w:val="en-US" w:eastAsia="zh-CN"/>
        </w:rPr>
        <w:t>6.5.6</w:t>
      </w:r>
      <w:r>
        <w:rPr>
          <w:b/>
          <w:color w:val="auto"/>
          <w:szCs w:val="21"/>
          <w:highlight w:val="none"/>
        </w:rPr>
        <w:t xml:space="preserve"> </w:t>
      </w:r>
      <w:r>
        <w:rPr>
          <w:color w:val="auto"/>
          <w:szCs w:val="21"/>
          <w:highlight w:val="none"/>
        </w:rPr>
        <w:t xml:space="preserve"> 模块单元进行短暂设计状况作用组合时，相关计算系数应按现行国家标准《建筑结构荷载规范》GB 50009和《混凝土结构工程施工规范》GB 50666的有关规定执行。</w:t>
      </w:r>
    </w:p>
    <w:p w14:paraId="7774F124">
      <w:pPr>
        <w:widowControl/>
        <w:spacing w:line="360" w:lineRule="exact"/>
        <w:rPr>
          <w:color w:val="auto"/>
          <w:szCs w:val="21"/>
          <w:highlight w:val="none"/>
        </w:rPr>
      </w:pPr>
      <w:r>
        <w:rPr>
          <w:rFonts w:hint="eastAsia"/>
          <w:b/>
          <w:bCs/>
          <w:color w:val="auto"/>
          <w:szCs w:val="21"/>
          <w:highlight w:val="none"/>
          <w:lang w:val="en-US" w:eastAsia="zh-CN"/>
        </w:rPr>
        <w:t xml:space="preserve">6.5.7 </w:t>
      </w:r>
      <w:r>
        <w:rPr>
          <w:color w:val="auto"/>
          <w:szCs w:val="21"/>
          <w:highlight w:val="none"/>
        </w:rPr>
        <w:t xml:space="preserve"> 模块单元在进行短暂设计状况验算时，荷载标准值的取值应符合下列规定：</w:t>
      </w:r>
    </w:p>
    <w:p w14:paraId="15F8B8C2">
      <w:pPr>
        <w:spacing w:line="360" w:lineRule="exact"/>
        <w:ind w:firstLine="422" w:firstLineChars="200"/>
        <w:rPr>
          <w:color w:val="auto"/>
          <w:szCs w:val="21"/>
          <w:highlight w:val="none"/>
        </w:rPr>
      </w:pPr>
      <w:r>
        <w:rPr>
          <w:rFonts w:hint="eastAsia"/>
          <w:b/>
          <w:bCs/>
          <w:color w:val="auto"/>
          <w:szCs w:val="21"/>
          <w:highlight w:val="none"/>
          <w:lang w:val="en-US" w:eastAsia="zh-CN"/>
        </w:rPr>
        <w:t>1</w:t>
      </w:r>
      <w:r>
        <w:rPr>
          <w:color w:val="auto"/>
          <w:szCs w:val="21"/>
          <w:highlight w:val="none"/>
        </w:rPr>
        <w:t xml:space="preserve">  模块单元应能够承担自身的重力荷载。模块等效静力荷载标准值应取构件自重标准值乘以动力系数。构件运输、吊运时，动力系数宜取1.5；构件储存、安装过程中就位、临时固定时，动力系数可取1.2；</w:t>
      </w:r>
    </w:p>
    <w:p w14:paraId="1679AAA9">
      <w:pPr>
        <w:spacing w:line="360" w:lineRule="exact"/>
        <w:ind w:firstLine="422" w:firstLineChars="200"/>
        <w:rPr>
          <w:color w:val="auto"/>
          <w:szCs w:val="21"/>
          <w:highlight w:val="none"/>
        </w:rPr>
      </w:pPr>
      <w:r>
        <w:rPr>
          <w:rFonts w:hint="eastAsia"/>
          <w:b/>
          <w:bCs/>
          <w:color w:val="auto"/>
          <w:szCs w:val="21"/>
          <w:highlight w:val="none"/>
          <w:lang w:val="en-US" w:eastAsia="zh-CN"/>
        </w:rPr>
        <w:t xml:space="preserve">2 </w:t>
      </w:r>
      <w:r>
        <w:rPr>
          <w:color w:val="auto"/>
          <w:szCs w:val="21"/>
          <w:highlight w:val="none"/>
        </w:rPr>
        <w:t xml:space="preserve"> 作用在模块单元上的风荷载，应符合现行国家标准《建筑结构荷载规范》GB 50009的有关规定，取重现期R为10年的基本风压值；</w:t>
      </w:r>
    </w:p>
    <w:p w14:paraId="19F32594">
      <w:pPr>
        <w:spacing w:line="360" w:lineRule="exact"/>
        <w:ind w:firstLine="422" w:firstLineChars="200"/>
        <w:rPr>
          <w:color w:val="auto"/>
          <w:szCs w:val="21"/>
          <w:highlight w:val="none"/>
        </w:rPr>
      </w:pPr>
      <w:r>
        <w:rPr>
          <w:rFonts w:hint="eastAsia"/>
          <w:b/>
          <w:bCs/>
          <w:color w:val="auto"/>
          <w:szCs w:val="21"/>
          <w:highlight w:val="none"/>
          <w:lang w:val="en-US" w:eastAsia="zh-CN"/>
        </w:rPr>
        <w:t xml:space="preserve">3 </w:t>
      </w:r>
      <w:r>
        <w:rPr>
          <w:color w:val="auto"/>
          <w:szCs w:val="21"/>
          <w:highlight w:val="none"/>
        </w:rPr>
        <w:t xml:space="preserve"> 模块单元的顶板和底板尚应考虑在生产、施工安装过程中产生的施工活荷载，施工活荷载标准值可按实际情况计算，取值不宜小于1.5kN/m</w:t>
      </w:r>
      <w:r>
        <w:rPr>
          <w:color w:val="auto"/>
          <w:szCs w:val="21"/>
          <w:highlight w:val="none"/>
          <w:vertAlign w:val="superscript"/>
        </w:rPr>
        <w:t>2</w:t>
      </w:r>
      <w:r>
        <w:rPr>
          <w:color w:val="auto"/>
          <w:szCs w:val="21"/>
          <w:highlight w:val="none"/>
        </w:rPr>
        <w:t>。</w:t>
      </w:r>
    </w:p>
    <w:p w14:paraId="5878E74F">
      <w:pPr>
        <w:widowControl/>
        <w:spacing w:line="360" w:lineRule="exact"/>
        <w:rPr>
          <w:color w:val="auto"/>
          <w:szCs w:val="21"/>
          <w:highlight w:val="none"/>
        </w:rPr>
      </w:pPr>
      <w:r>
        <w:rPr>
          <w:rFonts w:hint="eastAsia"/>
          <w:b/>
          <w:bCs/>
          <w:color w:val="auto"/>
          <w:szCs w:val="21"/>
          <w:highlight w:val="none"/>
          <w:lang w:val="en-US" w:eastAsia="zh-CN"/>
        </w:rPr>
        <w:t>6.5.8</w:t>
      </w:r>
      <w:r>
        <w:rPr>
          <w:b/>
          <w:color w:val="auto"/>
          <w:szCs w:val="21"/>
          <w:highlight w:val="none"/>
        </w:rPr>
        <w:t xml:space="preserve"> </w:t>
      </w:r>
      <w:r>
        <w:rPr>
          <w:color w:val="auto"/>
          <w:szCs w:val="21"/>
          <w:highlight w:val="none"/>
        </w:rPr>
        <w:t xml:space="preserve"> 模块单元中构件的施工验算应符合设计要求；当设计无具体要求时，构件应符合现行国家标准《混凝土结构工程施工规范》GB50666的有关规定。</w:t>
      </w:r>
    </w:p>
    <w:p w14:paraId="13FEF66A">
      <w:pPr>
        <w:widowControl/>
        <w:spacing w:line="360" w:lineRule="exact"/>
        <w:rPr>
          <w:color w:val="auto"/>
          <w:szCs w:val="21"/>
          <w:highlight w:val="none"/>
        </w:rPr>
      </w:pPr>
      <w:r>
        <w:rPr>
          <w:rFonts w:hint="eastAsia"/>
          <w:b/>
          <w:bCs/>
          <w:color w:val="auto"/>
          <w:szCs w:val="21"/>
          <w:highlight w:val="none"/>
          <w:lang w:val="en-US" w:eastAsia="zh-CN"/>
        </w:rPr>
        <w:t xml:space="preserve">6.5.9  </w:t>
      </w:r>
      <w:r>
        <w:rPr>
          <w:color w:val="auto"/>
          <w:szCs w:val="21"/>
          <w:highlight w:val="none"/>
        </w:rPr>
        <w:t>模块起吊状况下，吊点的布置及吊点力计算应符合下列规定：</w:t>
      </w:r>
    </w:p>
    <w:p w14:paraId="01FA6591">
      <w:pPr>
        <w:spacing w:line="360" w:lineRule="exact"/>
        <w:ind w:firstLine="422" w:firstLineChars="200"/>
        <w:rPr>
          <w:color w:val="auto"/>
          <w:szCs w:val="21"/>
          <w:highlight w:val="none"/>
        </w:rPr>
      </w:pPr>
      <w:r>
        <w:rPr>
          <w:rFonts w:hint="eastAsia"/>
          <w:b/>
          <w:bCs/>
          <w:color w:val="auto"/>
          <w:szCs w:val="21"/>
          <w:highlight w:val="none"/>
          <w:lang w:val="en-US" w:eastAsia="zh-CN"/>
        </w:rPr>
        <w:t>1</w:t>
      </w:r>
      <w:r>
        <w:rPr>
          <w:color w:val="auto"/>
          <w:szCs w:val="21"/>
          <w:highlight w:val="none"/>
        </w:rPr>
        <w:t xml:space="preserve">  吊点设置前应通过模块构件拆分法计算确定模块重心点坐标；</w:t>
      </w:r>
    </w:p>
    <w:p w14:paraId="2C9DDBE7">
      <w:pPr>
        <w:spacing w:line="360" w:lineRule="exact"/>
        <w:ind w:firstLine="422" w:firstLineChars="200"/>
        <w:rPr>
          <w:color w:val="auto"/>
          <w:szCs w:val="21"/>
          <w:highlight w:val="none"/>
        </w:rPr>
      </w:pPr>
      <w:r>
        <w:rPr>
          <w:rFonts w:hint="eastAsia"/>
          <w:b/>
          <w:bCs/>
          <w:color w:val="auto"/>
          <w:szCs w:val="21"/>
          <w:highlight w:val="none"/>
          <w:lang w:val="en-US" w:eastAsia="zh-CN"/>
        </w:rPr>
        <w:t xml:space="preserve">2 </w:t>
      </w:r>
      <w:r>
        <w:rPr>
          <w:color w:val="auto"/>
          <w:szCs w:val="21"/>
          <w:highlight w:val="none"/>
        </w:rPr>
        <w:t xml:space="preserve"> 模块顶部吊点数量不应少于4个，吊点宜布置于重心周边的竖向构件上，宜避开门窗洞口顶部等薄弱处布置；</w:t>
      </w:r>
    </w:p>
    <w:p w14:paraId="025111DC">
      <w:pPr>
        <w:spacing w:line="360" w:lineRule="exact"/>
        <w:ind w:firstLine="422" w:firstLineChars="200"/>
        <w:rPr>
          <w:color w:val="auto"/>
          <w:szCs w:val="21"/>
          <w:highlight w:val="none"/>
        </w:rPr>
      </w:pPr>
      <w:r>
        <w:rPr>
          <w:rFonts w:hint="eastAsia"/>
          <w:b/>
          <w:bCs/>
          <w:color w:val="auto"/>
          <w:szCs w:val="21"/>
          <w:highlight w:val="none"/>
          <w:lang w:val="en-US" w:eastAsia="zh-CN"/>
        </w:rPr>
        <w:t>3</w:t>
      </w:r>
      <w:r>
        <w:rPr>
          <w:color w:val="auto"/>
          <w:szCs w:val="21"/>
          <w:highlight w:val="none"/>
        </w:rPr>
        <w:t xml:space="preserve">  吊点布置后应进行吊点力计算，避免吊点在起吊阶段因偏心弯矩出现的受压状况。</w:t>
      </w:r>
    </w:p>
    <w:p w14:paraId="12D770A3">
      <w:pPr>
        <w:widowControl/>
        <w:spacing w:line="360" w:lineRule="exact"/>
        <w:rPr>
          <w:color w:val="auto"/>
          <w:szCs w:val="21"/>
          <w:highlight w:val="none"/>
        </w:rPr>
      </w:pPr>
      <w:r>
        <w:rPr>
          <w:rFonts w:hint="eastAsia"/>
          <w:b/>
          <w:bCs/>
          <w:color w:val="auto"/>
          <w:szCs w:val="21"/>
          <w:highlight w:val="none"/>
          <w:lang w:val="en-US" w:eastAsia="zh-CN"/>
        </w:rPr>
        <w:t>6.5.10</w:t>
      </w:r>
      <w:r>
        <w:rPr>
          <w:b/>
          <w:color w:val="auto"/>
          <w:szCs w:val="21"/>
          <w:highlight w:val="none"/>
        </w:rPr>
        <w:t xml:space="preserve"> </w:t>
      </w:r>
      <w:r>
        <w:rPr>
          <w:color w:val="auto"/>
          <w:szCs w:val="21"/>
          <w:highlight w:val="none"/>
        </w:rPr>
        <w:t xml:space="preserve"> 模块单元宜采用吊环进行吊装，并应符合下列规定：</w:t>
      </w:r>
    </w:p>
    <w:p w14:paraId="590234C3">
      <w:pPr>
        <w:spacing w:line="360" w:lineRule="exact"/>
        <w:ind w:firstLine="422" w:firstLineChars="200"/>
        <w:rPr>
          <w:color w:val="auto"/>
          <w:szCs w:val="21"/>
          <w:highlight w:val="none"/>
        </w:rPr>
      </w:pPr>
      <w:r>
        <w:rPr>
          <w:rFonts w:hint="eastAsia"/>
          <w:b/>
          <w:bCs/>
          <w:color w:val="auto"/>
          <w:szCs w:val="21"/>
          <w:highlight w:val="none"/>
          <w:lang w:val="en-US" w:eastAsia="zh-CN"/>
        </w:rPr>
        <w:t xml:space="preserve">1 </w:t>
      </w:r>
      <w:r>
        <w:rPr>
          <w:color w:val="auto"/>
          <w:szCs w:val="21"/>
          <w:highlight w:val="none"/>
        </w:rPr>
        <w:t xml:space="preserve"> 吊环应采用HPB300钢筋或Q235B圆钢，并应验算在荷载标准值作用下的吊环应力，验算时每个吊环可按两个截面计算。对HPB300钢筋，吊环应力不应大于</w:t>
      </w:r>
      <w:r>
        <w:rPr>
          <w:rFonts w:hint="eastAsia"/>
          <w:color w:val="auto"/>
          <w:szCs w:val="21"/>
          <w:highlight w:val="none"/>
        </w:rPr>
        <w:t>6</w:t>
      </w:r>
      <w:r>
        <w:rPr>
          <w:color w:val="auto"/>
          <w:szCs w:val="21"/>
          <w:highlight w:val="none"/>
        </w:rPr>
        <w:t>0N/mm</w:t>
      </w:r>
      <w:r>
        <w:rPr>
          <w:color w:val="auto"/>
          <w:szCs w:val="21"/>
          <w:highlight w:val="none"/>
          <w:vertAlign w:val="superscript"/>
        </w:rPr>
        <w:t>2</w:t>
      </w:r>
      <w:r>
        <w:rPr>
          <w:color w:val="auto"/>
          <w:szCs w:val="21"/>
          <w:highlight w:val="none"/>
        </w:rPr>
        <w:t>；对于Q235B圆钢，吊环应力不应大于45N/mm</w:t>
      </w:r>
      <w:r>
        <w:rPr>
          <w:color w:val="auto"/>
          <w:szCs w:val="21"/>
          <w:highlight w:val="none"/>
          <w:vertAlign w:val="superscript"/>
        </w:rPr>
        <w:t>2</w:t>
      </w:r>
      <w:r>
        <w:rPr>
          <w:color w:val="auto"/>
          <w:szCs w:val="21"/>
          <w:highlight w:val="none"/>
        </w:rPr>
        <w:t>。</w:t>
      </w:r>
    </w:p>
    <w:p w14:paraId="43E7A884">
      <w:pPr>
        <w:spacing w:line="360" w:lineRule="exact"/>
        <w:ind w:firstLine="422" w:firstLineChars="200"/>
        <w:rPr>
          <w:color w:val="auto"/>
          <w:szCs w:val="21"/>
          <w:highlight w:val="none"/>
        </w:rPr>
      </w:pPr>
      <w:r>
        <w:rPr>
          <w:rFonts w:hint="eastAsia"/>
          <w:b/>
          <w:bCs/>
          <w:color w:val="auto"/>
          <w:szCs w:val="21"/>
          <w:highlight w:val="none"/>
          <w:lang w:val="en-US" w:eastAsia="zh-CN"/>
        </w:rPr>
        <w:t>2</w:t>
      </w:r>
      <w:r>
        <w:rPr>
          <w:b/>
          <w:bCs/>
          <w:color w:val="auto"/>
          <w:szCs w:val="21"/>
          <w:highlight w:val="none"/>
        </w:rPr>
        <w:t xml:space="preserve"> </w:t>
      </w:r>
      <w:r>
        <w:rPr>
          <w:color w:val="auto"/>
          <w:szCs w:val="21"/>
          <w:highlight w:val="none"/>
        </w:rPr>
        <w:t xml:space="preserve"> 当采用专用吊架起吊，吊链角度大于80度且无脱模吸附力作用时，对HPB300钢筋，吊环应力</w:t>
      </w:r>
      <w:r>
        <w:rPr>
          <w:rFonts w:hint="eastAsia"/>
          <w:color w:val="auto"/>
          <w:szCs w:val="21"/>
          <w:highlight w:val="none"/>
        </w:rPr>
        <w:t>不大应</w:t>
      </w:r>
      <w:r>
        <w:rPr>
          <w:color w:val="auto"/>
          <w:szCs w:val="21"/>
          <w:highlight w:val="none"/>
        </w:rPr>
        <w:t>于90N/mm</w:t>
      </w:r>
      <w:r>
        <w:rPr>
          <w:color w:val="auto"/>
          <w:szCs w:val="21"/>
          <w:highlight w:val="none"/>
          <w:vertAlign w:val="superscript"/>
        </w:rPr>
        <w:t>2</w:t>
      </w:r>
      <w:r>
        <w:rPr>
          <w:color w:val="auto"/>
          <w:szCs w:val="21"/>
          <w:highlight w:val="none"/>
        </w:rPr>
        <w:t>；对于Q235B圆钢，吊环应力不应大于70N/mm</w:t>
      </w:r>
      <w:r>
        <w:rPr>
          <w:color w:val="auto"/>
          <w:szCs w:val="21"/>
          <w:highlight w:val="none"/>
          <w:vertAlign w:val="superscript"/>
        </w:rPr>
        <w:t>2</w:t>
      </w:r>
      <w:r>
        <w:rPr>
          <w:color w:val="auto"/>
          <w:szCs w:val="21"/>
          <w:highlight w:val="none"/>
        </w:rPr>
        <w:t>。</w:t>
      </w:r>
    </w:p>
    <w:p w14:paraId="1324E4C3">
      <w:pPr>
        <w:spacing w:line="360" w:lineRule="exact"/>
        <w:ind w:firstLine="422" w:firstLineChars="200"/>
        <w:rPr>
          <w:color w:val="auto"/>
          <w:szCs w:val="21"/>
          <w:highlight w:val="none"/>
        </w:rPr>
      </w:pPr>
      <w:r>
        <w:rPr>
          <w:rFonts w:hint="eastAsia"/>
          <w:b/>
          <w:bCs/>
          <w:color w:val="auto"/>
          <w:szCs w:val="21"/>
          <w:highlight w:val="none"/>
          <w:lang w:val="en-US" w:eastAsia="zh-CN"/>
        </w:rPr>
        <w:t>3</w:t>
      </w:r>
      <w:r>
        <w:rPr>
          <w:color w:val="auto"/>
          <w:szCs w:val="21"/>
          <w:highlight w:val="none"/>
        </w:rPr>
        <w:t xml:space="preserve">  在一个模块上设有4个吊环时，应按3个吊环进行计算；当采用专用吊架起吊时，可按照实际吊点布置情况进行计算，实际计算值应乘以1.5</w:t>
      </w:r>
      <w:r>
        <w:rPr>
          <w:rFonts w:hint="eastAsia"/>
          <w:color w:val="auto"/>
          <w:szCs w:val="21"/>
          <w:highlight w:val="none"/>
        </w:rPr>
        <w:t>的放大系数</w:t>
      </w:r>
      <w:r>
        <w:rPr>
          <w:color w:val="auto"/>
          <w:szCs w:val="21"/>
          <w:highlight w:val="none"/>
        </w:rPr>
        <w:t>。</w:t>
      </w:r>
    </w:p>
    <w:p w14:paraId="694F1CA3">
      <w:pPr>
        <w:widowControl/>
        <w:spacing w:line="360" w:lineRule="exact"/>
        <w:rPr>
          <w:color w:val="auto"/>
          <w:szCs w:val="21"/>
          <w:highlight w:val="none"/>
        </w:rPr>
      </w:pPr>
      <w:r>
        <w:rPr>
          <w:rFonts w:hint="eastAsia"/>
          <w:b/>
          <w:bCs/>
          <w:color w:val="auto"/>
          <w:szCs w:val="21"/>
          <w:highlight w:val="none"/>
        </w:rPr>
        <w:t>6.</w:t>
      </w:r>
      <w:r>
        <w:rPr>
          <w:rFonts w:hint="eastAsia"/>
          <w:b/>
          <w:bCs/>
          <w:color w:val="auto"/>
          <w:szCs w:val="21"/>
          <w:highlight w:val="none"/>
          <w:lang w:val="en-US" w:eastAsia="zh-CN"/>
        </w:rPr>
        <w:t>5</w:t>
      </w:r>
      <w:r>
        <w:rPr>
          <w:rFonts w:hint="eastAsia"/>
          <w:b/>
          <w:bCs/>
          <w:color w:val="auto"/>
          <w:szCs w:val="21"/>
          <w:highlight w:val="none"/>
        </w:rPr>
        <w:t>.1</w:t>
      </w:r>
      <w:r>
        <w:rPr>
          <w:rFonts w:hint="eastAsia"/>
          <w:b/>
          <w:bCs/>
          <w:color w:val="auto"/>
          <w:szCs w:val="21"/>
          <w:highlight w:val="none"/>
          <w:lang w:val="en-US" w:eastAsia="zh-CN"/>
        </w:rPr>
        <w:t>1</w:t>
      </w:r>
      <w:r>
        <w:rPr>
          <w:b/>
          <w:bCs/>
          <w:color w:val="auto"/>
          <w:szCs w:val="21"/>
          <w:highlight w:val="none"/>
        </w:rPr>
        <w:t xml:space="preserve"> </w:t>
      </w:r>
      <w:r>
        <w:rPr>
          <w:color w:val="auto"/>
          <w:szCs w:val="21"/>
          <w:highlight w:val="none"/>
        </w:rPr>
        <w:t xml:space="preserve"> 模块单元起吊安全措施应符合下列规定：</w:t>
      </w:r>
    </w:p>
    <w:p w14:paraId="42E5722D">
      <w:pPr>
        <w:spacing w:line="360" w:lineRule="exact"/>
        <w:ind w:firstLine="422" w:firstLineChars="200"/>
        <w:rPr>
          <w:color w:val="auto"/>
          <w:szCs w:val="21"/>
          <w:highlight w:val="none"/>
        </w:rPr>
      </w:pPr>
      <w:r>
        <w:rPr>
          <w:b/>
          <w:bCs/>
          <w:color w:val="auto"/>
          <w:szCs w:val="21"/>
          <w:highlight w:val="none"/>
        </w:rPr>
        <w:t xml:space="preserve">1  </w:t>
      </w:r>
      <w:r>
        <w:rPr>
          <w:color w:val="auto"/>
          <w:szCs w:val="21"/>
          <w:highlight w:val="none"/>
        </w:rPr>
        <w:t>用钢吊架起吊时，模块与钢吊架之间吊链宜竖直受力，避免吊链倾斜产生的水平力对模块产生损坏；</w:t>
      </w:r>
    </w:p>
    <w:p w14:paraId="2B326D11">
      <w:pPr>
        <w:spacing w:line="360" w:lineRule="exact"/>
        <w:ind w:firstLine="422" w:firstLineChars="200"/>
        <w:rPr>
          <w:color w:val="auto"/>
          <w:szCs w:val="21"/>
          <w:highlight w:val="none"/>
        </w:rPr>
      </w:pPr>
      <w:r>
        <w:rPr>
          <w:b/>
          <w:bCs/>
          <w:color w:val="auto"/>
          <w:szCs w:val="21"/>
          <w:highlight w:val="none"/>
        </w:rPr>
        <w:t>2</w:t>
      </w:r>
      <w:r>
        <w:rPr>
          <w:color w:val="auto"/>
          <w:szCs w:val="21"/>
          <w:highlight w:val="none"/>
        </w:rPr>
        <w:t xml:space="preserve">  模块起吊前宜对门窗洞口进行加固处理，可采用钢杆或钢架支撑；</w:t>
      </w:r>
    </w:p>
    <w:p w14:paraId="2510F482">
      <w:pPr>
        <w:spacing w:line="360" w:lineRule="exact"/>
        <w:ind w:firstLine="422" w:firstLineChars="200"/>
        <w:rPr>
          <w:color w:val="auto"/>
          <w:szCs w:val="21"/>
          <w:highlight w:val="none"/>
        </w:rPr>
      </w:pPr>
      <w:r>
        <w:rPr>
          <w:b/>
          <w:bCs/>
          <w:color w:val="auto"/>
          <w:szCs w:val="21"/>
          <w:highlight w:val="none"/>
        </w:rPr>
        <w:t>3</w:t>
      </w:r>
      <w:r>
        <w:rPr>
          <w:color w:val="auto"/>
          <w:szCs w:val="21"/>
          <w:highlight w:val="none"/>
        </w:rPr>
        <w:t xml:space="preserve">  模块起吊时应有备用安全措施，避免模块因吊点脱落而直接掉落。</w:t>
      </w:r>
    </w:p>
    <w:p w14:paraId="63FF01C4">
      <w:pPr>
        <w:widowControl/>
        <w:spacing w:line="360" w:lineRule="exact"/>
        <w:rPr>
          <w:color w:val="auto"/>
          <w:szCs w:val="21"/>
          <w:highlight w:val="none"/>
        </w:rPr>
      </w:pPr>
      <w:r>
        <w:rPr>
          <w:rFonts w:hint="eastAsia"/>
          <w:b/>
          <w:bCs/>
          <w:color w:val="auto"/>
          <w:szCs w:val="21"/>
          <w:highlight w:val="none"/>
        </w:rPr>
        <w:t>6.</w:t>
      </w:r>
      <w:r>
        <w:rPr>
          <w:rFonts w:hint="eastAsia"/>
          <w:b/>
          <w:bCs/>
          <w:color w:val="auto"/>
          <w:szCs w:val="21"/>
          <w:highlight w:val="none"/>
          <w:lang w:val="en-US" w:eastAsia="zh-CN"/>
        </w:rPr>
        <w:t>5</w:t>
      </w:r>
      <w:r>
        <w:rPr>
          <w:rFonts w:hint="eastAsia"/>
          <w:b/>
          <w:bCs/>
          <w:color w:val="auto"/>
          <w:szCs w:val="21"/>
          <w:highlight w:val="none"/>
        </w:rPr>
        <w:t>.1</w:t>
      </w:r>
      <w:r>
        <w:rPr>
          <w:rFonts w:hint="eastAsia"/>
          <w:b/>
          <w:bCs/>
          <w:color w:val="auto"/>
          <w:szCs w:val="21"/>
          <w:highlight w:val="none"/>
          <w:lang w:val="en-US" w:eastAsia="zh-CN"/>
        </w:rPr>
        <w:t>2</w:t>
      </w:r>
      <w:r>
        <w:rPr>
          <w:b/>
          <w:color w:val="auto"/>
          <w:szCs w:val="21"/>
          <w:highlight w:val="none"/>
        </w:rPr>
        <w:t xml:space="preserve"> </w:t>
      </w:r>
      <w:r>
        <w:rPr>
          <w:color w:val="auto"/>
          <w:szCs w:val="21"/>
          <w:highlight w:val="none"/>
        </w:rPr>
        <w:t xml:space="preserve"> 模块单元中的构件在脱模状况下的验算及加固措施，应符合下列规定：</w:t>
      </w:r>
    </w:p>
    <w:p w14:paraId="1E811433">
      <w:pPr>
        <w:spacing w:line="360" w:lineRule="exact"/>
        <w:ind w:firstLine="422" w:firstLineChars="200"/>
        <w:rPr>
          <w:color w:val="auto"/>
          <w:szCs w:val="21"/>
          <w:highlight w:val="none"/>
        </w:rPr>
      </w:pPr>
      <w:r>
        <w:rPr>
          <w:b/>
          <w:bCs/>
          <w:color w:val="auto"/>
          <w:szCs w:val="21"/>
          <w:highlight w:val="none"/>
        </w:rPr>
        <w:t>1</w:t>
      </w:r>
      <w:r>
        <w:rPr>
          <w:color w:val="auto"/>
          <w:szCs w:val="21"/>
          <w:highlight w:val="none"/>
        </w:rPr>
        <w:t xml:space="preserve">  模块单元脱模起吊时的混凝土立方体抗压强度不宜小于15MPa，</w:t>
      </w:r>
      <w:r>
        <w:rPr>
          <w:rFonts w:hint="eastAsia"/>
          <w:color w:val="auto"/>
          <w:szCs w:val="21"/>
          <w:highlight w:val="none"/>
          <w:lang w:val="en-US" w:eastAsia="zh-CN"/>
        </w:rPr>
        <w:t>模块吊装时混凝土立方体抗压强度</w:t>
      </w:r>
      <w:r>
        <w:rPr>
          <w:color w:val="auto"/>
          <w:szCs w:val="21"/>
          <w:highlight w:val="none"/>
        </w:rPr>
        <w:t>宜应达到设计</w:t>
      </w:r>
      <w:r>
        <w:rPr>
          <w:rFonts w:hint="eastAsia"/>
          <w:color w:val="auto"/>
          <w:szCs w:val="21"/>
          <w:highlight w:val="none"/>
          <w:lang w:val="en-US" w:eastAsia="zh-CN"/>
        </w:rPr>
        <w:t>要求</w:t>
      </w:r>
      <w:r>
        <w:rPr>
          <w:color w:val="auto"/>
          <w:szCs w:val="21"/>
          <w:highlight w:val="none"/>
        </w:rPr>
        <w:t>；</w:t>
      </w:r>
    </w:p>
    <w:p w14:paraId="26ED3474">
      <w:pPr>
        <w:spacing w:line="360" w:lineRule="exact"/>
        <w:ind w:firstLine="422" w:firstLineChars="200"/>
        <w:rPr>
          <w:color w:val="auto"/>
          <w:szCs w:val="21"/>
          <w:highlight w:val="none"/>
        </w:rPr>
      </w:pPr>
      <w:r>
        <w:rPr>
          <w:b/>
          <w:bCs/>
          <w:color w:val="auto"/>
          <w:szCs w:val="21"/>
          <w:highlight w:val="none"/>
        </w:rPr>
        <w:t>2</w:t>
      </w:r>
      <w:r>
        <w:rPr>
          <w:color w:val="auto"/>
          <w:szCs w:val="21"/>
          <w:highlight w:val="none"/>
        </w:rPr>
        <w:t xml:space="preserve">  模块单元中的构件进行脱模验算时，等效静力荷载标准值应取构件自重标准值乘以动力系数与脱模吸附力之和，且不宜小于构件自重标准值的1.5倍。其中动力系数不宜小于1.2，脱模吸附力应根据构件和模具的实际状况取用，且不宜小于1.5kN/m</w:t>
      </w:r>
      <w:r>
        <w:rPr>
          <w:color w:val="auto"/>
          <w:szCs w:val="21"/>
          <w:highlight w:val="none"/>
          <w:vertAlign w:val="superscript"/>
        </w:rPr>
        <w:t>2</w:t>
      </w:r>
      <w:r>
        <w:rPr>
          <w:color w:val="auto"/>
          <w:szCs w:val="21"/>
          <w:highlight w:val="none"/>
        </w:rPr>
        <w:t>；</w:t>
      </w:r>
    </w:p>
    <w:p w14:paraId="286258F7">
      <w:pPr>
        <w:spacing w:line="360" w:lineRule="exact"/>
        <w:ind w:firstLine="422" w:firstLineChars="200"/>
        <w:rPr>
          <w:color w:val="auto"/>
          <w:szCs w:val="21"/>
          <w:highlight w:val="none"/>
        </w:rPr>
      </w:pPr>
      <w:r>
        <w:rPr>
          <w:b/>
          <w:bCs/>
          <w:color w:val="auto"/>
          <w:szCs w:val="21"/>
          <w:highlight w:val="none"/>
        </w:rPr>
        <w:t>3</w:t>
      </w:r>
      <w:r>
        <w:rPr>
          <w:color w:val="auto"/>
          <w:szCs w:val="21"/>
          <w:highlight w:val="none"/>
        </w:rPr>
        <w:t xml:space="preserve">  脱模阶段模块单元的顶板、底板按四边简支板进行承载力验算时，对于不满足计算要求的板应在脱模时设置临时支撑措施，模块吊装完成后可拆除；</w:t>
      </w:r>
    </w:p>
    <w:p w14:paraId="7CAC3B6B">
      <w:pPr>
        <w:spacing w:line="360" w:lineRule="exact"/>
        <w:ind w:firstLine="422" w:firstLineChars="200"/>
        <w:rPr>
          <w:color w:val="auto"/>
          <w:szCs w:val="21"/>
          <w:highlight w:val="none"/>
        </w:rPr>
      </w:pPr>
      <w:r>
        <w:rPr>
          <w:b/>
          <w:bCs/>
          <w:color w:val="auto"/>
          <w:szCs w:val="21"/>
          <w:highlight w:val="none"/>
        </w:rPr>
        <w:t>4</w:t>
      </w:r>
      <w:r>
        <w:rPr>
          <w:color w:val="auto"/>
          <w:szCs w:val="21"/>
          <w:highlight w:val="none"/>
        </w:rPr>
        <w:t xml:space="preserve">  模块脱模吊点应按起吊状况下的吊点布置原则布置，并考虑脱模吸附力作用进行吊点承载力验算；</w:t>
      </w:r>
    </w:p>
    <w:p w14:paraId="0DB8D6C2">
      <w:pPr>
        <w:spacing w:line="360" w:lineRule="exact"/>
        <w:ind w:firstLine="422" w:firstLineChars="200"/>
        <w:rPr>
          <w:color w:val="auto"/>
          <w:szCs w:val="21"/>
          <w:highlight w:val="none"/>
        </w:rPr>
      </w:pPr>
      <w:r>
        <w:rPr>
          <w:b/>
          <w:bCs/>
          <w:color w:val="auto"/>
          <w:szCs w:val="21"/>
          <w:highlight w:val="none"/>
        </w:rPr>
        <w:t>5</w:t>
      </w:r>
      <w:r>
        <w:rPr>
          <w:color w:val="auto"/>
          <w:szCs w:val="21"/>
          <w:highlight w:val="none"/>
        </w:rPr>
        <w:t xml:space="preserve">  当模块吊点上部吊链存在斜拉时，应对吊点处</w:t>
      </w:r>
      <w:r>
        <w:rPr>
          <w:rFonts w:hint="eastAsia"/>
          <w:color w:val="auto"/>
          <w:szCs w:val="21"/>
          <w:highlight w:val="none"/>
          <w:lang w:val="en-US" w:eastAsia="zh-CN"/>
        </w:rPr>
        <w:t>吊</w:t>
      </w:r>
      <w:r>
        <w:rPr>
          <w:color w:val="auto"/>
          <w:szCs w:val="21"/>
          <w:highlight w:val="none"/>
        </w:rPr>
        <w:t>杆起水平支撑作用的梁或板进行轴心受力验算。</w:t>
      </w:r>
    </w:p>
    <w:p w14:paraId="133D4AA6">
      <w:pPr>
        <w:widowControl/>
        <w:spacing w:line="360" w:lineRule="exact"/>
        <w:rPr>
          <w:color w:val="auto"/>
          <w:szCs w:val="21"/>
          <w:highlight w:val="none"/>
        </w:rPr>
      </w:pPr>
      <w:r>
        <w:rPr>
          <w:rFonts w:hint="eastAsia"/>
          <w:b/>
          <w:bCs/>
          <w:color w:val="auto"/>
          <w:szCs w:val="21"/>
          <w:highlight w:val="none"/>
        </w:rPr>
        <w:t>6.</w:t>
      </w:r>
      <w:r>
        <w:rPr>
          <w:rFonts w:hint="eastAsia"/>
          <w:b/>
          <w:bCs/>
          <w:color w:val="auto"/>
          <w:szCs w:val="21"/>
          <w:highlight w:val="none"/>
          <w:lang w:val="en-US" w:eastAsia="zh-CN"/>
        </w:rPr>
        <w:t>5</w:t>
      </w:r>
      <w:r>
        <w:rPr>
          <w:rFonts w:hint="eastAsia"/>
          <w:b/>
          <w:bCs/>
          <w:color w:val="auto"/>
          <w:szCs w:val="21"/>
          <w:highlight w:val="none"/>
        </w:rPr>
        <w:t>.1</w:t>
      </w:r>
      <w:r>
        <w:rPr>
          <w:rFonts w:hint="eastAsia"/>
          <w:b/>
          <w:bCs/>
          <w:color w:val="auto"/>
          <w:szCs w:val="21"/>
          <w:highlight w:val="none"/>
          <w:lang w:val="en-US" w:eastAsia="zh-CN"/>
        </w:rPr>
        <w:t>3</w:t>
      </w:r>
      <w:r>
        <w:rPr>
          <w:b/>
          <w:color w:val="auto"/>
          <w:szCs w:val="21"/>
          <w:highlight w:val="none"/>
        </w:rPr>
        <w:t xml:space="preserve"> </w:t>
      </w:r>
      <w:r>
        <w:rPr>
          <w:color w:val="auto"/>
          <w:szCs w:val="21"/>
          <w:highlight w:val="none"/>
        </w:rPr>
        <w:t xml:space="preserve"> 模块单元安装状况下的验算及支撑加固措施应符合下列规定：</w:t>
      </w:r>
    </w:p>
    <w:p w14:paraId="4610E095">
      <w:pPr>
        <w:spacing w:line="360" w:lineRule="exact"/>
        <w:ind w:firstLine="422" w:firstLineChars="200"/>
        <w:rPr>
          <w:color w:val="auto"/>
          <w:szCs w:val="21"/>
          <w:highlight w:val="none"/>
        </w:rPr>
      </w:pPr>
      <w:r>
        <w:rPr>
          <w:b/>
          <w:bCs/>
          <w:color w:val="auto"/>
          <w:szCs w:val="21"/>
          <w:highlight w:val="none"/>
        </w:rPr>
        <w:t>1</w:t>
      </w:r>
      <w:r>
        <w:rPr>
          <w:color w:val="auto"/>
          <w:szCs w:val="21"/>
          <w:highlight w:val="none"/>
        </w:rPr>
        <w:t xml:space="preserve">  模块</w:t>
      </w:r>
      <w:r>
        <w:rPr>
          <w:rFonts w:hint="eastAsia"/>
          <w:color w:val="auto"/>
          <w:szCs w:val="21"/>
          <w:highlight w:val="none"/>
          <w:lang w:val="en-US" w:eastAsia="zh-CN"/>
        </w:rPr>
        <w:t>单元</w:t>
      </w:r>
      <w:r>
        <w:rPr>
          <w:color w:val="auto"/>
          <w:szCs w:val="21"/>
          <w:highlight w:val="none"/>
        </w:rPr>
        <w:t>安装时，应进行水平风荷载下的抗倾覆验算，并应满足下式要求，当模块抗倾覆不满足时，则应设置临时支撑以满足模块的抗倾覆要求。</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36"/>
        <w:gridCol w:w="1299"/>
      </w:tblGrid>
      <w:tr w14:paraId="25FBF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4836" w:type="dxa"/>
          </w:tcPr>
          <w:p w14:paraId="47E6B151">
            <w:pPr>
              <w:spacing w:line="360" w:lineRule="exact"/>
              <w:jc w:val="center"/>
              <w:outlineLvl w:val="0"/>
              <w:rPr>
                <w:rFonts w:hAnsi="Times New Roman"/>
                <w:color w:val="auto"/>
                <w:szCs w:val="21"/>
                <w:highlight w:val="none"/>
              </w:rPr>
            </w:pPr>
            <w:r>
              <w:rPr>
                <w:rFonts w:hAnsi="Times New Roman"/>
                <w:color w:val="auto"/>
                <w:szCs w:val="21"/>
                <w:highlight w:val="none"/>
              </w:rPr>
              <w:t xml:space="preserve">  </w:t>
            </w:r>
            <m:oMath>
              <m:sSub>
                <w:bookmarkStart w:id="585" w:name="_Toc28972"/>
                <w:bookmarkStart w:id="586" w:name="_Toc29645"/>
                <w:bookmarkStart w:id="587" w:name="_Toc4649"/>
                <w:bookmarkStart w:id="588" w:name="_Toc11447"/>
                <w:bookmarkStart w:id="589" w:name="_Toc17264"/>
                <w:bookmarkStart w:id="590" w:name="_Toc15889"/>
                <m:sSubPr>
                  <m:ctrlPr>
                    <w:rPr>
                      <w:rFonts w:ascii="Cambria Math" w:hAnsi="Cambria Math"/>
                      <w:i/>
                      <w:color w:val="auto"/>
                      <w:szCs w:val="21"/>
                      <w:highlight w:val="none"/>
                    </w:rPr>
                  </m:ctrlPr>
                </m:sSubPr>
                <m:e>
                  <m:r>
                    <m:rPr/>
                    <w:rPr>
                      <w:rFonts w:ascii="Cambria Math" w:hAnsi="Cambria Math"/>
                      <w:color w:val="auto"/>
                      <w:szCs w:val="21"/>
                      <w:highlight w:val="none"/>
                    </w:rPr>
                    <m:t>M</m:t>
                  </m:r>
                  <m:ctrlPr>
                    <w:rPr>
                      <w:rFonts w:ascii="Cambria Math" w:hAnsi="Cambria Math"/>
                      <w:i/>
                      <w:color w:val="auto"/>
                      <w:szCs w:val="21"/>
                      <w:highlight w:val="none"/>
                    </w:rPr>
                  </m:ctrlPr>
                </m:e>
                <m:sub>
                  <m:r>
                    <m:rPr/>
                    <w:rPr>
                      <w:rFonts w:ascii="Cambria Math" w:hAnsi="Cambria Math"/>
                      <w:color w:val="auto"/>
                      <w:szCs w:val="21"/>
                      <w:highlight w:val="none"/>
                    </w:rPr>
                    <m:t>g</m:t>
                  </m:r>
                  <m:ctrlPr>
                    <w:rPr>
                      <w:rFonts w:ascii="Cambria Math" w:hAnsi="Cambria Math"/>
                      <w:i/>
                      <w:color w:val="auto"/>
                      <w:szCs w:val="21"/>
                      <w:highlight w:val="none"/>
                    </w:rPr>
                  </m:ctrlPr>
                </m:sub>
              </m:sSub>
              <m:r>
                <m:rPr/>
                <w:rPr>
                  <w:rFonts w:ascii="Cambria Math" w:hAnsi="Cambria Math"/>
                  <w:color w:val="auto"/>
                  <w:szCs w:val="21"/>
                  <w:highlight w:val="none"/>
                </w:rPr>
                <m:t>/</m:t>
              </m:r>
              <m:sSub>
                <m:sSubPr>
                  <m:ctrlPr>
                    <w:rPr>
                      <w:rFonts w:ascii="Cambria Math" w:hAnsi="Cambria Math"/>
                      <w:i/>
                      <w:color w:val="auto"/>
                      <w:szCs w:val="21"/>
                      <w:highlight w:val="none"/>
                    </w:rPr>
                  </m:ctrlPr>
                </m:sSubPr>
                <m:e>
                  <m:r>
                    <m:rPr/>
                    <w:rPr>
                      <w:rFonts w:ascii="Cambria Math" w:hAnsi="Cambria Math"/>
                      <w:color w:val="auto"/>
                      <w:szCs w:val="21"/>
                      <w:highlight w:val="none"/>
                    </w:rPr>
                    <m:t>M</m:t>
                  </m:r>
                  <m:ctrlPr>
                    <w:rPr>
                      <w:rFonts w:ascii="Cambria Math" w:hAnsi="Cambria Math"/>
                      <w:i/>
                      <w:color w:val="auto"/>
                      <w:szCs w:val="21"/>
                      <w:highlight w:val="none"/>
                    </w:rPr>
                  </m:ctrlPr>
                </m:e>
                <m:sub>
                  <m:r>
                    <m:rPr/>
                    <w:rPr>
                      <w:rFonts w:ascii="Cambria Math" w:hAnsi="Cambria Math"/>
                      <w:color w:val="auto"/>
                      <w:szCs w:val="21"/>
                      <w:highlight w:val="none"/>
                    </w:rPr>
                    <m:t>w</m:t>
                  </m:r>
                  <m:ctrlPr>
                    <w:rPr>
                      <w:rFonts w:ascii="Cambria Math" w:hAnsi="Cambria Math"/>
                      <w:i/>
                      <w:color w:val="auto"/>
                      <w:szCs w:val="21"/>
                      <w:highlight w:val="none"/>
                    </w:rPr>
                  </m:ctrlPr>
                </m:sub>
              </m:sSub>
              <m:r>
                <m:rPr/>
                <w:rPr>
                  <w:rFonts w:hint="eastAsia" w:ascii="Cambria Math" w:hAnsi="Cambria Math"/>
                  <w:color w:val="auto"/>
                  <w:szCs w:val="21"/>
                  <w:highlight w:val="none"/>
                </w:rPr>
                <m:t>≥1.5</m:t>
              </m:r>
              <w:bookmarkEnd w:id="585"/>
              <w:bookmarkEnd w:id="586"/>
              <w:bookmarkEnd w:id="587"/>
              <w:bookmarkEnd w:id="588"/>
              <w:bookmarkEnd w:id="589"/>
              <w:bookmarkEnd w:id="590"/>
            </m:oMath>
          </w:p>
        </w:tc>
        <w:tc>
          <w:tcPr>
            <w:tcW w:w="1299" w:type="dxa"/>
          </w:tcPr>
          <w:p w14:paraId="03043FF6">
            <w:pPr>
              <w:spacing w:line="360" w:lineRule="exact"/>
              <w:jc w:val="center"/>
              <w:outlineLvl w:val="0"/>
              <w:rPr>
                <w:color w:val="auto"/>
                <w:szCs w:val="21"/>
                <w:highlight w:val="none"/>
              </w:rPr>
            </w:pPr>
            <w:bookmarkStart w:id="591" w:name="_Toc26227"/>
            <w:bookmarkStart w:id="592" w:name="_Toc8352"/>
            <w:bookmarkStart w:id="593" w:name="_Toc2703"/>
            <w:bookmarkStart w:id="594" w:name="_Toc23246"/>
            <w:bookmarkStart w:id="595" w:name="_Toc17490"/>
            <w:bookmarkStart w:id="596" w:name="_Toc3038"/>
            <w:r>
              <w:rPr>
                <w:color w:val="auto"/>
                <w:szCs w:val="21"/>
                <w:highlight w:val="none"/>
              </w:rPr>
              <w:t>(</w:t>
            </w:r>
            <w:r>
              <w:rPr>
                <w:rFonts w:hint="eastAsia"/>
                <w:color w:val="auto"/>
                <w:szCs w:val="21"/>
                <w:highlight w:val="none"/>
                <w:lang w:val="en-US" w:eastAsia="zh-CN"/>
              </w:rPr>
              <w:t>6.5.13</w:t>
            </w:r>
            <w:r>
              <w:rPr>
                <w:color w:val="auto"/>
                <w:szCs w:val="21"/>
                <w:highlight w:val="none"/>
              </w:rPr>
              <w:t>-1)</w:t>
            </w:r>
            <w:bookmarkEnd w:id="591"/>
            <w:bookmarkEnd w:id="592"/>
            <w:bookmarkEnd w:id="593"/>
            <w:bookmarkEnd w:id="594"/>
            <w:bookmarkEnd w:id="595"/>
            <w:bookmarkEnd w:id="596"/>
          </w:p>
        </w:tc>
      </w:tr>
    </w:tbl>
    <w:tbl>
      <w:tblPr>
        <w:tblStyle w:val="25"/>
        <w:tblW w:w="5088" w:type="pct"/>
        <w:tblInd w:w="-108" w:type="dxa"/>
        <w:tblLayout w:type="autofit"/>
        <w:tblCellMar>
          <w:top w:w="0" w:type="dxa"/>
          <w:left w:w="0" w:type="dxa"/>
          <w:bottom w:w="0" w:type="dxa"/>
          <w:right w:w="0" w:type="dxa"/>
        </w:tblCellMar>
      </w:tblPr>
      <w:tblGrid>
        <w:gridCol w:w="570"/>
        <w:gridCol w:w="541"/>
        <w:gridCol w:w="4912"/>
      </w:tblGrid>
      <w:tr w14:paraId="721BE7F8">
        <w:tblPrEx>
          <w:tblCellMar>
            <w:top w:w="0" w:type="dxa"/>
            <w:left w:w="0" w:type="dxa"/>
            <w:bottom w:w="0" w:type="dxa"/>
            <w:right w:w="0" w:type="dxa"/>
          </w:tblCellMar>
        </w:tblPrEx>
        <w:trPr>
          <w:trHeight w:val="245" w:hRule="atLeast"/>
        </w:trPr>
        <w:tc>
          <w:tcPr>
            <w:tcW w:w="473" w:type="pct"/>
            <w:noWrap w:val="0"/>
            <w:vAlign w:val="top"/>
          </w:tcPr>
          <w:p w14:paraId="26BBD562">
            <w:pPr>
              <w:adjustRightInd w:val="0"/>
              <w:snapToGrid w:val="0"/>
              <w:spacing w:line="360" w:lineRule="exact"/>
              <w:jc w:val="left"/>
              <w:rPr>
                <w:color w:val="000000"/>
                <w:szCs w:val="21"/>
                <w:highlight w:val="none"/>
              </w:rPr>
            </w:pPr>
            <m:oMathPara>
              <m:oMathParaPr>
                <m:jc m:val="left"/>
              </m:oMathParaPr>
              <m:oMath>
                <m:r>
                  <m:rPr>
                    <m:sty m:val="p"/>
                  </m:rPr>
                  <w:rPr>
                    <w:rFonts w:hint="eastAsia" w:ascii="Cambria Math" w:hAnsi="Cambria Math"/>
                    <w:color w:val="000000"/>
                    <w:sz w:val="21"/>
                    <w:szCs w:val="21"/>
                    <w:highlight w:val="none"/>
                  </w:rPr>
                  <m:t>式中：</m:t>
                </m:r>
              </m:oMath>
            </m:oMathPara>
          </w:p>
        </w:tc>
        <w:tc>
          <w:tcPr>
            <w:tcW w:w="449" w:type="pct"/>
            <w:noWrap w:val="0"/>
            <w:vAlign w:val="center"/>
          </w:tcPr>
          <w:p w14:paraId="34CC3BE7">
            <w:pPr>
              <w:adjustRightInd w:val="0"/>
              <w:snapToGrid w:val="0"/>
              <w:spacing w:line="360" w:lineRule="exact"/>
              <w:jc w:val="right"/>
              <w:rPr>
                <w:rFonts w:hint="default" w:ascii="Cambria Math" w:hAnsi="Cambria Math" w:cs="Cambria Math"/>
                <w:color w:val="000000"/>
                <w:szCs w:val="21"/>
                <w:highlight w:val="none"/>
              </w:rPr>
            </w:pPr>
            <m:oMathPara>
              <m:oMathParaPr>
                <m:jc m:val="right"/>
              </m:oMathParaPr>
              <m:oMath>
                <m:sSub>
                  <m:sSubPr>
                    <m:ctrlPr>
                      <w:rPr>
                        <w:rFonts w:ascii="Cambria Math" w:hAnsi="Cambria Math"/>
                        <w:i/>
                        <w:color w:val="auto"/>
                        <w:szCs w:val="21"/>
                        <w:highlight w:val="none"/>
                      </w:rPr>
                    </m:ctrlPr>
                  </m:sSubPr>
                  <m:e>
                    <m:r>
                      <m:rPr/>
                      <w:rPr>
                        <w:rFonts w:ascii="Cambria Math" w:hAnsi="Cambria Math"/>
                        <w:color w:val="auto"/>
                        <w:szCs w:val="21"/>
                        <w:highlight w:val="none"/>
                      </w:rPr>
                      <m:t>M</m:t>
                    </m:r>
                    <m:ctrlPr>
                      <w:rPr>
                        <w:rFonts w:ascii="Cambria Math" w:hAnsi="Cambria Math"/>
                        <w:i/>
                        <w:color w:val="auto"/>
                        <w:szCs w:val="21"/>
                        <w:highlight w:val="none"/>
                      </w:rPr>
                    </m:ctrlPr>
                  </m:e>
                  <m:sub>
                    <m:r>
                      <m:rPr/>
                      <w:rPr>
                        <w:rFonts w:ascii="Cambria Math" w:hAnsi="Cambria Math"/>
                        <w:color w:val="auto"/>
                        <w:szCs w:val="21"/>
                        <w:highlight w:val="none"/>
                      </w:rPr>
                      <m:t>w</m:t>
                    </m:r>
                    <m:ctrlPr>
                      <w:rPr>
                        <w:rFonts w:ascii="Cambria Math" w:hAnsi="Cambria Math"/>
                        <w:i/>
                        <w:color w:val="auto"/>
                        <w:szCs w:val="21"/>
                        <w:highlight w:val="none"/>
                      </w:rPr>
                    </m:ctrlPr>
                  </m:sub>
                </m:sSub>
              </m:oMath>
            </m:oMathPara>
          </w:p>
        </w:tc>
        <w:tc>
          <w:tcPr>
            <w:tcW w:w="4076" w:type="pct"/>
            <w:noWrap w:val="0"/>
            <w:vAlign w:val="center"/>
          </w:tcPr>
          <w:p w14:paraId="722DDA98">
            <w:pPr>
              <w:adjustRightInd w:val="0"/>
              <w:snapToGrid w:val="0"/>
              <w:spacing w:line="360" w:lineRule="exact"/>
              <w:ind w:left="0" w:firstLine="0" w:firstLineChars="0"/>
              <w:jc w:val="both"/>
              <w:rPr>
                <w:rFonts w:hint="default" w:ascii="Cambria Math" w:hAnsi="Cambria Math" w:cs="Cambria Math"/>
                <w:color w:val="000000"/>
                <w:szCs w:val="21"/>
                <w:highlight w:val="none"/>
              </w:rPr>
            </w:pPr>
            <w:r>
              <w:rPr>
                <w:rFonts w:ascii="Times New Roman" w:hAnsi="Times New Roman"/>
                <w:sz w:val="21"/>
                <w:szCs w:val="21"/>
                <w:highlight w:val="none"/>
              </w:rPr>
              <w:t>——</w:t>
            </w:r>
            <w:r>
              <w:rPr>
                <w:color w:val="auto"/>
                <w:szCs w:val="21"/>
                <w:highlight w:val="none"/>
              </w:rPr>
              <w:t>风荷载标准值作用下的倾覆力矩；</w:t>
            </w:r>
          </w:p>
        </w:tc>
      </w:tr>
      <w:tr w14:paraId="26D2BB2C">
        <w:tblPrEx>
          <w:tblCellMar>
            <w:top w:w="0" w:type="dxa"/>
            <w:left w:w="0" w:type="dxa"/>
            <w:bottom w:w="0" w:type="dxa"/>
            <w:right w:w="0" w:type="dxa"/>
          </w:tblCellMar>
        </w:tblPrEx>
        <w:trPr>
          <w:trHeight w:val="90" w:hRule="atLeast"/>
        </w:trPr>
        <w:tc>
          <w:tcPr>
            <w:tcW w:w="473" w:type="pct"/>
            <w:noWrap w:val="0"/>
            <w:vAlign w:val="top"/>
          </w:tcPr>
          <w:p w14:paraId="6EA30EC4">
            <w:pPr>
              <w:adjustRightInd w:val="0"/>
              <w:snapToGrid w:val="0"/>
              <w:spacing w:line="360" w:lineRule="exact"/>
              <w:jc w:val="left"/>
              <w:rPr>
                <w:color w:val="000000"/>
                <w:sz w:val="21"/>
                <w:szCs w:val="21"/>
                <w:highlight w:val="none"/>
              </w:rPr>
            </w:pPr>
          </w:p>
        </w:tc>
        <w:tc>
          <w:tcPr>
            <w:tcW w:w="449" w:type="pct"/>
            <w:noWrap w:val="0"/>
            <w:vAlign w:val="center"/>
          </w:tcPr>
          <w:p w14:paraId="0D49D09E">
            <w:pPr>
              <w:adjustRightInd w:val="0"/>
              <w:snapToGrid w:val="0"/>
              <w:spacing w:line="360" w:lineRule="exact"/>
              <w:jc w:val="right"/>
              <w:rPr>
                <w:rFonts w:hint="default" w:ascii="Cambria Math" w:hAnsi="Cambria Math" w:cs="Cambria Math"/>
                <w:color w:val="000000"/>
                <w:szCs w:val="21"/>
                <w:highlight w:val="none"/>
              </w:rPr>
            </w:pPr>
            <m:oMathPara>
              <m:oMathParaPr>
                <m:jc m:val="right"/>
              </m:oMathParaPr>
              <m:oMath>
                <m:sSub>
                  <m:sSubPr>
                    <m:ctrlPr>
                      <w:rPr>
                        <w:rFonts w:ascii="Cambria Math" w:hAnsi="Cambria Math"/>
                        <w:i/>
                        <w:color w:val="auto"/>
                        <w:szCs w:val="21"/>
                        <w:highlight w:val="none"/>
                      </w:rPr>
                    </m:ctrlPr>
                  </m:sSubPr>
                  <m:e>
                    <m:r>
                      <m:rPr/>
                      <w:rPr>
                        <w:rFonts w:ascii="Cambria Math" w:hAnsi="Cambria Math"/>
                        <w:color w:val="auto"/>
                        <w:szCs w:val="21"/>
                        <w:highlight w:val="none"/>
                      </w:rPr>
                      <m:t>M</m:t>
                    </m:r>
                    <m:ctrlPr>
                      <w:rPr>
                        <w:rFonts w:ascii="Cambria Math" w:hAnsi="Cambria Math"/>
                        <w:i/>
                        <w:color w:val="auto"/>
                        <w:szCs w:val="21"/>
                        <w:highlight w:val="none"/>
                      </w:rPr>
                    </m:ctrlPr>
                  </m:e>
                  <m:sub>
                    <m:r>
                      <m:rPr/>
                      <w:rPr>
                        <w:rFonts w:ascii="Cambria Math" w:hAnsi="Cambria Math"/>
                        <w:color w:val="auto"/>
                        <w:szCs w:val="21"/>
                        <w:highlight w:val="none"/>
                      </w:rPr>
                      <m:t>g</m:t>
                    </m:r>
                    <m:ctrlPr>
                      <w:rPr>
                        <w:rFonts w:ascii="Cambria Math" w:hAnsi="Cambria Math"/>
                        <w:i/>
                        <w:color w:val="auto"/>
                        <w:szCs w:val="21"/>
                        <w:highlight w:val="none"/>
                      </w:rPr>
                    </m:ctrlPr>
                  </m:sub>
                </m:sSub>
              </m:oMath>
            </m:oMathPara>
          </w:p>
        </w:tc>
        <w:tc>
          <w:tcPr>
            <w:tcW w:w="4076" w:type="pct"/>
            <w:noWrap w:val="0"/>
            <w:vAlign w:val="center"/>
          </w:tcPr>
          <w:p w14:paraId="5CE34A2B">
            <w:pPr>
              <w:adjustRightInd w:val="0"/>
              <w:snapToGrid w:val="0"/>
              <w:spacing w:line="360" w:lineRule="exact"/>
              <w:jc w:val="both"/>
              <w:rPr>
                <w:rFonts w:hint="eastAsia" w:ascii="Cambria Math" w:hAnsi="Cambria Math" w:eastAsia="宋体" w:cs="Cambria Math"/>
                <w:color w:val="000000"/>
                <w:szCs w:val="21"/>
                <w:highlight w:val="none"/>
                <w:lang w:eastAsia="zh-CN"/>
              </w:rPr>
            </w:pPr>
            <w:r>
              <w:rPr>
                <w:rFonts w:ascii="Times New Roman" w:hAnsi="Times New Roman"/>
                <w:sz w:val="21"/>
                <w:szCs w:val="21"/>
                <w:highlight w:val="none"/>
              </w:rPr>
              <w:t>——</w:t>
            </w:r>
            <w:r>
              <w:rPr>
                <w:color w:val="auto"/>
                <w:szCs w:val="21"/>
                <w:highlight w:val="none"/>
              </w:rPr>
              <w:t>模块自重标准值下的抗倾覆力矩</w:t>
            </w:r>
            <w:r>
              <w:rPr>
                <w:rFonts w:hint="eastAsia"/>
                <w:color w:val="auto"/>
                <w:szCs w:val="21"/>
                <w:highlight w:val="none"/>
                <w:lang w:eastAsia="zh-CN"/>
              </w:rPr>
              <w:t>。</w:t>
            </w:r>
          </w:p>
        </w:tc>
      </w:tr>
    </w:tbl>
    <w:p w14:paraId="13FBA63C">
      <w:pPr>
        <w:spacing w:line="360" w:lineRule="exact"/>
        <w:ind w:firstLine="422" w:firstLineChars="200"/>
        <w:rPr>
          <w:color w:val="auto"/>
          <w:szCs w:val="21"/>
          <w:highlight w:val="none"/>
        </w:rPr>
      </w:pPr>
      <w:r>
        <w:rPr>
          <w:b/>
          <w:bCs/>
          <w:color w:val="auto"/>
          <w:szCs w:val="21"/>
          <w:highlight w:val="none"/>
        </w:rPr>
        <w:t>2</w:t>
      </w:r>
      <w:r>
        <w:rPr>
          <w:color w:val="auto"/>
          <w:szCs w:val="21"/>
          <w:highlight w:val="none"/>
        </w:rPr>
        <w:t xml:space="preserve">  模块单元安装时，应进行水平风荷载下的抗滑移验算，并应满足下式要求，当模块抗滑移不满足时，应设置临时支撑以满足模块的抗滑移要求。</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36"/>
        <w:gridCol w:w="1299"/>
      </w:tblGrid>
      <w:tr w14:paraId="72C15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4836" w:type="dxa"/>
          </w:tcPr>
          <w:p w14:paraId="61D9DE86">
            <w:pPr>
              <w:spacing w:line="360" w:lineRule="exact"/>
              <w:jc w:val="center"/>
              <w:outlineLvl w:val="0"/>
              <w:rPr>
                <w:color w:val="auto"/>
                <w:szCs w:val="21"/>
                <w:highlight w:val="none"/>
              </w:rPr>
            </w:pPr>
            <w:r>
              <w:rPr>
                <w:rFonts w:hAnsi="Times New Roman"/>
                <w:color w:val="auto"/>
                <w:szCs w:val="21"/>
                <w:highlight w:val="none"/>
              </w:rPr>
              <w:t xml:space="preserve">    </w:t>
            </w:r>
            <m:oMath>
              <w:bookmarkStart w:id="597" w:name="_Toc6722"/>
              <w:bookmarkStart w:id="598" w:name="_Toc9270"/>
              <w:bookmarkStart w:id="599" w:name="_Toc24178"/>
              <w:bookmarkStart w:id="600" w:name="_Toc15449"/>
              <w:bookmarkStart w:id="601" w:name="_Toc15065"/>
              <w:bookmarkStart w:id="602" w:name="_Toc2071"/>
              <m:r>
                <m:rPr/>
                <w:rPr>
                  <w:rFonts w:ascii="Cambria Math" w:hAnsi="Cambria Math"/>
                  <w:color w:val="auto"/>
                  <w:szCs w:val="21"/>
                  <w:highlight w:val="none"/>
                </w:rPr>
                <m:t>μG/</m:t>
              </m:r>
              <m:sSub>
                <m:sSubPr>
                  <m:ctrlPr>
                    <w:rPr>
                      <w:rFonts w:ascii="Cambria Math" w:hAnsi="Cambria Math"/>
                      <w:i/>
                      <w:color w:val="auto"/>
                      <w:szCs w:val="21"/>
                      <w:highlight w:val="none"/>
                    </w:rPr>
                  </m:ctrlPr>
                </m:sSubPr>
                <m:e>
                  <m:r>
                    <m:rPr/>
                    <w:rPr>
                      <w:rFonts w:ascii="Cambria Math" w:hAnsi="Cambria Math"/>
                      <w:color w:val="auto"/>
                      <w:szCs w:val="21"/>
                      <w:highlight w:val="none"/>
                    </w:rPr>
                    <m:t>N</m:t>
                  </m:r>
                  <m:ctrlPr>
                    <w:rPr>
                      <w:rFonts w:ascii="Cambria Math" w:hAnsi="Cambria Math"/>
                      <w:i/>
                      <w:color w:val="auto"/>
                      <w:szCs w:val="21"/>
                      <w:highlight w:val="none"/>
                    </w:rPr>
                  </m:ctrlPr>
                </m:e>
                <m:sub>
                  <m:r>
                    <m:rPr/>
                    <w:rPr>
                      <w:rFonts w:ascii="Cambria Math" w:hAnsi="Cambria Math"/>
                      <w:color w:val="auto"/>
                      <w:szCs w:val="21"/>
                      <w:highlight w:val="none"/>
                    </w:rPr>
                    <m:t>w</m:t>
                  </m:r>
                  <m:ctrlPr>
                    <w:rPr>
                      <w:rFonts w:ascii="Cambria Math" w:hAnsi="Cambria Math"/>
                      <w:i/>
                      <w:color w:val="auto"/>
                      <w:szCs w:val="21"/>
                      <w:highlight w:val="none"/>
                    </w:rPr>
                  </m:ctrlPr>
                </m:sub>
              </m:sSub>
              <m:r>
                <m:rPr/>
                <w:rPr>
                  <w:rFonts w:hint="eastAsia" w:ascii="Cambria Math" w:hAnsi="Cambria Math"/>
                  <w:color w:val="auto"/>
                  <w:szCs w:val="21"/>
                  <w:highlight w:val="none"/>
                </w:rPr>
                <m:t>≥1.3</m:t>
              </m:r>
              <w:bookmarkEnd w:id="597"/>
              <w:bookmarkEnd w:id="598"/>
              <w:bookmarkEnd w:id="599"/>
              <w:bookmarkEnd w:id="600"/>
              <w:bookmarkEnd w:id="601"/>
              <w:bookmarkEnd w:id="602"/>
            </m:oMath>
          </w:p>
        </w:tc>
        <w:tc>
          <w:tcPr>
            <w:tcW w:w="1299" w:type="dxa"/>
          </w:tcPr>
          <w:p w14:paraId="426880A8">
            <w:pPr>
              <w:spacing w:line="360" w:lineRule="exact"/>
              <w:jc w:val="center"/>
              <w:outlineLvl w:val="0"/>
              <w:rPr>
                <w:color w:val="auto"/>
                <w:szCs w:val="21"/>
                <w:highlight w:val="none"/>
              </w:rPr>
            </w:pPr>
            <w:bookmarkStart w:id="603" w:name="_Toc4731"/>
            <w:bookmarkStart w:id="604" w:name="_Toc25195"/>
            <w:bookmarkStart w:id="605" w:name="_Toc7456"/>
            <w:bookmarkStart w:id="606" w:name="_Toc459"/>
            <w:bookmarkStart w:id="607" w:name="_Toc14214"/>
            <w:bookmarkStart w:id="608" w:name="_Toc18324"/>
            <w:r>
              <w:rPr>
                <w:color w:val="auto"/>
                <w:szCs w:val="21"/>
                <w:highlight w:val="none"/>
              </w:rPr>
              <w:t>(</w:t>
            </w:r>
            <w:r>
              <w:rPr>
                <w:rFonts w:hint="eastAsia"/>
                <w:color w:val="auto"/>
                <w:szCs w:val="21"/>
                <w:highlight w:val="none"/>
                <w:lang w:val="en-US" w:eastAsia="zh-CN"/>
              </w:rPr>
              <w:t>6.5.13</w:t>
            </w:r>
            <w:r>
              <w:rPr>
                <w:color w:val="auto"/>
                <w:szCs w:val="21"/>
                <w:highlight w:val="none"/>
              </w:rPr>
              <w:t>-</w:t>
            </w:r>
            <w:r>
              <w:rPr>
                <w:rFonts w:hint="eastAsia"/>
                <w:color w:val="auto"/>
                <w:szCs w:val="21"/>
                <w:highlight w:val="none"/>
              </w:rPr>
              <w:t>2</w:t>
            </w:r>
            <w:r>
              <w:rPr>
                <w:color w:val="auto"/>
                <w:szCs w:val="21"/>
                <w:highlight w:val="none"/>
              </w:rPr>
              <w:t>)</w:t>
            </w:r>
            <w:bookmarkEnd w:id="603"/>
            <w:bookmarkEnd w:id="604"/>
            <w:bookmarkEnd w:id="605"/>
            <w:bookmarkEnd w:id="606"/>
            <w:bookmarkEnd w:id="607"/>
            <w:bookmarkEnd w:id="608"/>
          </w:p>
        </w:tc>
      </w:tr>
    </w:tbl>
    <w:tbl>
      <w:tblPr>
        <w:tblStyle w:val="25"/>
        <w:tblW w:w="0" w:type="auto"/>
        <w:tblInd w:w="-108" w:type="dxa"/>
        <w:tblLayout w:type="autofit"/>
        <w:tblCellMar>
          <w:top w:w="0" w:type="dxa"/>
          <w:left w:w="0" w:type="dxa"/>
          <w:bottom w:w="0" w:type="dxa"/>
          <w:right w:w="0" w:type="dxa"/>
        </w:tblCellMar>
      </w:tblPr>
      <w:tblGrid>
        <w:gridCol w:w="561"/>
        <w:gridCol w:w="535"/>
        <w:gridCol w:w="4823"/>
      </w:tblGrid>
      <w:tr w14:paraId="2D04A418">
        <w:tblPrEx>
          <w:tblCellMar>
            <w:top w:w="0" w:type="dxa"/>
            <w:left w:w="0" w:type="dxa"/>
            <w:bottom w:w="0" w:type="dxa"/>
            <w:right w:w="0" w:type="dxa"/>
          </w:tblCellMar>
        </w:tblPrEx>
        <w:trPr>
          <w:trHeight w:val="245" w:hRule="atLeast"/>
        </w:trPr>
        <w:tc>
          <w:tcPr>
            <w:tcW w:w="561" w:type="dxa"/>
            <w:noWrap w:val="0"/>
            <w:vAlign w:val="top"/>
          </w:tcPr>
          <w:p w14:paraId="3D2D06AD">
            <w:pPr>
              <w:adjustRightInd w:val="0"/>
              <w:snapToGrid w:val="0"/>
              <w:spacing w:line="360" w:lineRule="exact"/>
              <w:jc w:val="left"/>
              <w:rPr>
                <w:color w:val="000000"/>
                <w:szCs w:val="21"/>
                <w:highlight w:val="none"/>
              </w:rPr>
            </w:pPr>
            <m:oMathPara>
              <m:oMathParaPr>
                <m:jc m:val="left"/>
              </m:oMathParaPr>
              <m:oMath>
                <m:r>
                  <m:rPr>
                    <m:sty m:val="p"/>
                  </m:rPr>
                  <w:rPr>
                    <w:rFonts w:hint="eastAsia" w:ascii="Cambria Math" w:hAnsi="Cambria Math"/>
                    <w:color w:val="000000"/>
                    <w:sz w:val="21"/>
                    <w:szCs w:val="21"/>
                    <w:highlight w:val="none"/>
                  </w:rPr>
                  <m:t>式中：</m:t>
                </m:r>
              </m:oMath>
            </m:oMathPara>
          </w:p>
        </w:tc>
        <w:tc>
          <w:tcPr>
            <w:tcW w:w="535" w:type="dxa"/>
            <w:noWrap w:val="0"/>
            <w:vAlign w:val="center"/>
          </w:tcPr>
          <w:p w14:paraId="08D30ED1">
            <w:pPr>
              <w:adjustRightInd w:val="0"/>
              <w:snapToGrid w:val="0"/>
              <w:spacing w:line="360" w:lineRule="exact"/>
              <w:jc w:val="center"/>
              <w:rPr>
                <w:rFonts w:hint="default" w:ascii="Cambria Math" w:hAnsi="Cambria Math" w:cs="Cambria Math"/>
                <w:color w:val="000000"/>
                <w:szCs w:val="21"/>
                <w:highlight w:val="none"/>
              </w:rPr>
            </w:pPr>
            <m:oMathPara>
              <m:oMathParaPr>
                <m:jc m:val="right"/>
              </m:oMathParaPr>
              <m:oMath>
                <m:r>
                  <m:rPr/>
                  <w:rPr>
                    <w:rFonts w:ascii="Cambria Math" w:hAnsi="Cambria Math"/>
                    <w:color w:val="auto"/>
                    <w:szCs w:val="21"/>
                    <w:highlight w:val="none"/>
                  </w:rPr>
                  <m:t>μ</m:t>
                </m:r>
              </m:oMath>
            </m:oMathPara>
          </w:p>
        </w:tc>
        <w:tc>
          <w:tcPr>
            <w:tcW w:w="4823" w:type="dxa"/>
            <w:noWrap w:val="0"/>
            <w:vAlign w:val="center"/>
          </w:tcPr>
          <w:p w14:paraId="02362C06">
            <w:pPr>
              <w:adjustRightInd w:val="0"/>
              <w:snapToGrid w:val="0"/>
              <w:spacing w:line="360" w:lineRule="exact"/>
              <w:ind w:left="0" w:firstLine="0" w:firstLineChars="0"/>
              <w:jc w:val="both"/>
              <w:rPr>
                <w:rFonts w:hint="default" w:ascii="Cambria Math" w:hAnsi="Cambria Math" w:cs="Cambria Math"/>
                <w:color w:val="000000"/>
                <w:szCs w:val="21"/>
                <w:highlight w:val="none"/>
              </w:rPr>
            </w:pPr>
            <w:r>
              <w:rPr>
                <w:rFonts w:ascii="Times New Roman" w:hAnsi="Times New Roman"/>
                <w:sz w:val="21"/>
                <w:szCs w:val="21"/>
                <w:highlight w:val="none"/>
              </w:rPr>
              <w:t>——</w:t>
            </w:r>
            <w:r>
              <w:rPr>
                <w:color w:val="auto"/>
                <w:szCs w:val="21"/>
                <w:highlight w:val="none"/>
              </w:rPr>
              <w:t>摩擦系数，取0.4；</w:t>
            </w:r>
          </w:p>
        </w:tc>
      </w:tr>
      <w:tr w14:paraId="2E03C02F">
        <w:tblPrEx>
          <w:tblCellMar>
            <w:top w:w="0" w:type="dxa"/>
            <w:left w:w="0" w:type="dxa"/>
            <w:bottom w:w="0" w:type="dxa"/>
            <w:right w:w="0" w:type="dxa"/>
          </w:tblCellMar>
        </w:tblPrEx>
        <w:trPr>
          <w:trHeight w:val="90" w:hRule="atLeast"/>
        </w:trPr>
        <w:tc>
          <w:tcPr>
            <w:tcW w:w="561" w:type="dxa"/>
            <w:noWrap w:val="0"/>
            <w:vAlign w:val="top"/>
          </w:tcPr>
          <w:p w14:paraId="3CF673B6">
            <w:pPr>
              <w:adjustRightInd w:val="0"/>
              <w:snapToGrid w:val="0"/>
              <w:spacing w:line="360" w:lineRule="exact"/>
              <w:jc w:val="left"/>
              <w:rPr>
                <w:color w:val="000000"/>
                <w:sz w:val="21"/>
                <w:szCs w:val="21"/>
                <w:highlight w:val="none"/>
              </w:rPr>
            </w:pPr>
          </w:p>
        </w:tc>
        <w:tc>
          <w:tcPr>
            <w:tcW w:w="535" w:type="dxa"/>
            <w:noWrap w:val="0"/>
            <w:vAlign w:val="center"/>
          </w:tcPr>
          <w:p w14:paraId="3B383A4D">
            <w:pPr>
              <w:adjustRightInd w:val="0"/>
              <w:snapToGrid w:val="0"/>
              <w:spacing w:line="360" w:lineRule="exact"/>
              <w:jc w:val="center"/>
              <w:rPr>
                <w:rFonts w:hint="default" w:ascii="Cambria Math" w:hAnsi="Cambria Math" w:cs="Cambria Math"/>
                <w:color w:val="000000"/>
                <w:szCs w:val="21"/>
                <w:highlight w:val="none"/>
              </w:rPr>
            </w:pPr>
            <m:oMathPara>
              <m:oMathParaPr>
                <m:jc m:val="right"/>
              </m:oMathParaPr>
              <m:oMath>
                <m:r>
                  <m:rPr/>
                  <w:rPr>
                    <w:rFonts w:ascii="Cambria Math" w:hAnsi="Cambria Math"/>
                    <w:color w:val="auto"/>
                    <w:szCs w:val="21"/>
                    <w:highlight w:val="none"/>
                  </w:rPr>
                  <m:t>G</m:t>
                </m:r>
              </m:oMath>
            </m:oMathPara>
          </w:p>
        </w:tc>
        <w:tc>
          <w:tcPr>
            <w:tcW w:w="4823" w:type="dxa"/>
            <w:noWrap w:val="0"/>
            <w:vAlign w:val="center"/>
          </w:tcPr>
          <w:p w14:paraId="7982FF87">
            <w:pPr>
              <w:adjustRightInd w:val="0"/>
              <w:snapToGrid w:val="0"/>
              <w:spacing w:line="360" w:lineRule="exact"/>
              <w:jc w:val="both"/>
              <w:rPr>
                <w:rFonts w:hint="eastAsia" w:ascii="Cambria Math" w:hAnsi="Cambria Math" w:eastAsia="宋体" w:cs="Cambria Math"/>
                <w:color w:val="000000"/>
                <w:szCs w:val="21"/>
                <w:highlight w:val="none"/>
                <w:lang w:eastAsia="zh-CN"/>
              </w:rPr>
            </w:pPr>
            <w:r>
              <w:rPr>
                <w:rFonts w:ascii="Times New Roman" w:hAnsi="Times New Roman"/>
                <w:sz w:val="21"/>
                <w:szCs w:val="21"/>
                <w:highlight w:val="none"/>
              </w:rPr>
              <w:t>——</w:t>
            </w:r>
            <w:r>
              <w:rPr>
                <w:color w:val="auto"/>
                <w:szCs w:val="21"/>
                <w:highlight w:val="none"/>
              </w:rPr>
              <w:t>模块的重力荷载标准值；</w:t>
            </w:r>
          </w:p>
        </w:tc>
      </w:tr>
      <w:tr w14:paraId="36A1A73C">
        <w:tblPrEx>
          <w:tblCellMar>
            <w:top w:w="0" w:type="dxa"/>
            <w:left w:w="0" w:type="dxa"/>
            <w:bottom w:w="0" w:type="dxa"/>
            <w:right w:w="0" w:type="dxa"/>
          </w:tblCellMar>
        </w:tblPrEx>
        <w:trPr>
          <w:trHeight w:val="90" w:hRule="atLeast"/>
        </w:trPr>
        <w:tc>
          <w:tcPr>
            <w:tcW w:w="561" w:type="dxa"/>
            <w:noWrap w:val="0"/>
            <w:vAlign w:val="top"/>
          </w:tcPr>
          <w:p w14:paraId="0AF20B21">
            <w:pPr>
              <w:adjustRightInd w:val="0"/>
              <w:snapToGrid w:val="0"/>
              <w:spacing w:line="360" w:lineRule="exact"/>
              <w:jc w:val="left"/>
              <w:rPr>
                <w:color w:val="000000"/>
                <w:sz w:val="21"/>
                <w:szCs w:val="21"/>
                <w:highlight w:val="none"/>
              </w:rPr>
            </w:pPr>
          </w:p>
        </w:tc>
        <w:tc>
          <w:tcPr>
            <w:tcW w:w="535" w:type="dxa"/>
            <w:noWrap w:val="0"/>
            <w:vAlign w:val="center"/>
          </w:tcPr>
          <w:p w14:paraId="516E2A3C">
            <w:pPr>
              <w:adjustRightInd w:val="0"/>
              <w:snapToGrid w:val="0"/>
              <w:spacing w:line="360" w:lineRule="exact"/>
              <w:jc w:val="center"/>
              <w:rPr>
                <w:rFonts w:ascii="Cambria Math" w:hAnsi="Cambria Math"/>
                <w:i/>
                <w:color w:val="auto"/>
                <w:szCs w:val="21"/>
                <w:highlight w:val="none"/>
                <w:oMath/>
              </w:rPr>
            </w:pPr>
            <m:oMathPara>
              <m:oMathParaPr>
                <m:jc m:val="right"/>
              </m:oMathParaPr>
              <m:oMath>
                <m:sSub>
                  <m:sSubPr>
                    <m:ctrlPr>
                      <w:rPr>
                        <w:rFonts w:ascii="Cambria Math" w:hAnsi="Cambria Math"/>
                        <w:i/>
                        <w:color w:val="auto"/>
                        <w:szCs w:val="21"/>
                        <w:highlight w:val="none"/>
                      </w:rPr>
                    </m:ctrlPr>
                  </m:sSubPr>
                  <m:e>
                    <m:r>
                      <m:rPr/>
                      <w:rPr>
                        <w:rFonts w:ascii="Cambria Math" w:hAnsi="Cambria Math"/>
                        <w:color w:val="auto"/>
                        <w:szCs w:val="21"/>
                        <w:highlight w:val="none"/>
                      </w:rPr>
                      <m:t>N</m:t>
                    </m:r>
                    <m:ctrlPr>
                      <w:rPr>
                        <w:rFonts w:ascii="Cambria Math" w:hAnsi="Cambria Math"/>
                        <w:i/>
                        <w:color w:val="auto"/>
                        <w:szCs w:val="21"/>
                        <w:highlight w:val="none"/>
                      </w:rPr>
                    </m:ctrlPr>
                  </m:e>
                  <m:sub>
                    <m:r>
                      <m:rPr/>
                      <w:rPr>
                        <w:rFonts w:ascii="Cambria Math" w:hAnsi="Cambria Math"/>
                        <w:color w:val="auto"/>
                        <w:szCs w:val="21"/>
                        <w:highlight w:val="none"/>
                      </w:rPr>
                      <m:t>w</m:t>
                    </m:r>
                    <m:ctrlPr>
                      <w:rPr>
                        <w:rFonts w:ascii="Cambria Math" w:hAnsi="Cambria Math"/>
                        <w:i/>
                        <w:color w:val="auto"/>
                        <w:szCs w:val="21"/>
                        <w:highlight w:val="none"/>
                      </w:rPr>
                    </m:ctrlPr>
                  </m:sub>
                </m:sSub>
              </m:oMath>
            </m:oMathPara>
          </w:p>
        </w:tc>
        <w:tc>
          <w:tcPr>
            <w:tcW w:w="4823" w:type="dxa"/>
            <w:noWrap w:val="0"/>
            <w:vAlign w:val="center"/>
          </w:tcPr>
          <w:p w14:paraId="11FB65E6">
            <w:pPr>
              <w:adjustRightInd w:val="0"/>
              <w:snapToGrid w:val="0"/>
              <w:spacing w:line="360" w:lineRule="exact"/>
              <w:jc w:val="both"/>
              <w:rPr>
                <w:rFonts w:ascii="Times New Roman" w:hAnsi="Times New Roman"/>
                <w:sz w:val="21"/>
                <w:szCs w:val="21"/>
                <w:highlight w:val="none"/>
              </w:rPr>
            </w:pPr>
            <w:r>
              <w:rPr>
                <w:rFonts w:ascii="Times New Roman" w:hAnsi="Times New Roman"/>
                <w:sz w:val="21"/>
                <w:szCs w:val="21"/>
                <w:highlight w:val="none"/>
              </w:rPr>
              <w:t>——</w:t>
            </w:r>
            <w:r>
              <w:rPr>
                <w:color w:val="auto"/>
                <w:szCs w:val="21"/>
                <w:highlight w:val="none"/>
              </w:rPr>
              <w:t>风荷载标准值作用下的水平力</w:t>
            </w:r>
            <w:r>
              <w:rPr>
                <w:rFonts w:hint="eastAsia"/>
                <w:color w:val="auto"/>
                <w:szCs w:val="21"/>
                <w:highlight w:val="none"/>
                <w:lang w:eastAsia="zh-CN"/>
              </w:rPr>
              <w:t>。</w:t>
            </w:r>
          </w:p>
        </w:tc>
      </w:tr>
    </w:tbl>
    <w:p w14:paraId="630E6870">
      <w:pPr>
        <w:spacing w:line="360" w:lineRule="exact"/>
        <w:ind w:firstLine="422" w:firstLineChars="200"/>
        <w:rPr>
          <w:color w:val="auto"/>
          <w:szCs w:val="21"/>
          <w:highlight w:val="none"/>
        </w:rPr>
      </w:pPr>
      <w:r>
        <w:rPr>
          <w:b/>
          <w:bCs/>
          <w:color w:val="auto"/>
          <w:szCs w:val="21"/>
          <w:highlight w:val="none"/>
        </w:rPr>
        <w:t>3</w:t>
      </w:r>
      <w:r>
        <w:rPr>
          <w:color w:val="auto"/>
          <w:szCs w:val="21"/>
          <w:highlight w:val="none"/>
        </w:rPr>
        <w:t xml:space="preserve">  叠合板浇筑时宜设置板下支撑；当有充足依据时，可不设置板下支撑。</w:t>
      </w:r>
    </w:p>
    <w:p w14:paraId="6E4B6676">
      <w:pPr>
        <w:spacing w:line="360" w:lineRule="exact"/>
        <w:ind w:firstLine="422" w:firstLineChars="200"/>
        <w:rPr>
          <w:color w:val="auto"/>
          <w:szCs w:val="21"/>
          <w:highlight w:val="none"/>
        </w:rPr>
        <w:sectPr>
          <w:footerReference r:id="rId6" w:type="default"/>
          <w:footerReference r:id="rId7" w:type="even"/>
          <w:pgSz w:w="7937" w:h="11509"/>
          <w:pgMar w:top="1083" w:right="1009" w:bottom="1083" w:left="1009" w:header="851" w:footer="992" w:gutter="0"/>
          <w:pgNumType w:fmt="decimal" w:start="1"/>
          <w:cols w:space="0" w:num="1"/>
          <w:docGrid w:type="lines" w:linePitch="333" w:charSpace="4423"/>
        </w:sectPr>
      </w:pPr>
      <w:r>
        <w:rPr>
          <w:b/>
          <w:bCs/>
          <w:color w:val="auto"/>
          <w:szCs w:val="21"/>
          <w:highlight w:val="none"/>
        </w:rPr>
        <w:t>4</w:t>
      </w:r>
      <w:r>
        <w:rPr>
          <w:color w:val="auto"/>
          <w:szCs w:val="21"/>
          <w:highlight w:val="none"/>
        </w:rPr>
        <w:t xml:space="preserve">  施工状态下应对模壳板及隔墙进行强度、变形和稳定性分析。</w:t>
      </w:r>
    </w:p>
    <w:p w14:paraId="6AB56D89">
      <w:pPr>
        <w:pStyle w:val="2"/>
        <w:spacing w:before="166" w:beforeLines="50" w:after="166" w:afterLines="50" w:line="360" w:lineRule="auto"/>
        <w:jc w:val="center"/>
        <w:rPr>
          <w:rFonts w:eastAsia="黑体"/>
          <w:color w:val="auto"/>
          <w:sz w:val="28"/>
          <w:szCs w:val="28"/>
          <w:highlight w:val="none"/>
        </w:rPr>
      </w:pPr>
      <w:bookmarkStart w:id="609" w:name="_Toc7796"/>
      <w:bookmarkStart w:id="610" w:name="_Toc25418"/>
      <w:bookmarkStart w:id="611" w:name="_Toc15980"/>
      <w:r>
        <w:rPr>
          <w:rFonts w:hint="eastAsia" w:eastAsia="黑体"/>
          <w:color w:val="auto"/>
          <w:sz w:val="28"/>
          <w:szCs w:val="28"/>
          <w:highlight w:val="none"/>
          <w:lang w:val="en-US" w:eastAsia="zh-CN"/>
        </w:rPr>
        <w:t xml:space="preserve"> </w:t>
      </w:r>
      <w:bookmarkStart w:id="612" w:name="_Toc10935"/>
      <w:bookmarkStart w:id="613" w:name="_Toc32083"/>
      <w:bookmarkStart w:id="614" w:name="_Toc20221"/>
      <w:bookmarkStart w:id="615" w:name="_Toc2869"/>
      <w:r>
        <w:rPr>
          <w:rFonts w:hint="eastAsia" w:eastAsia="黑体"/>
          <w:color w:val="auto"/>
          <w:sz w:val="28"/>
          <w:szCs w:val="28"/>
          <w:highlight w:val="none"/>
        </w:rPr>
        <w:t>7</w:t>
      </w:r>
      <w:r>
        <w:rPr>
          <w:rFonts w:eastAsia="黑体"/>
          <w:color w:val="auto"/>
          <w:sz w:val="28"/>
          <w:szCs w:val="28"/>
          <w:highlight w:val="none"/>
        </w:rPr>
        <w:t xml:space="preserve">  </w:t>
      </w:r>
      <w:bookmarkStart w:id="616" w:name="_Toc12002"/>
      <w:r>
        <w:rPr>
          <w:rFonts w:eastAsia="黑体"/>
          <w:color w:val="auto"/>
          <w:sz w:val="28"/>
          <w:szCs w:val="28"/>
          <w:highlight w:val="none"/>
        </w:rPr>
        <w:t>设备管线与内装系统设计</w:t>
      </w:r>
      <w:bookmarkEnd w:id="609"/>
      <w:bookmarkEnd w:id="610"/>
      <w:bookmarkEnd w:id="611"/>
      <w:bookmarkEnd w:id="612"/>
      <w:bookmarkEnd w:id="613"/>
      <w:bookmarkEnd w:id="614"/>
      <w:bookmarkEnd w:id="615"/>
      <w:bookmarkEnd w:id="616"/>
    </w:p>
    <w:p w14:paraId="114AEB7E">
      <w:pPr>
        <w:pStyle w:val="3"/>
        <w:spacing w:before="166" w:beforeLines="50" w:after="166" w:afterLines="50" w:line="360" w:lineRule="auto"/>
        <w:jc w:val="center"/>
        <w:rPr>
          <w:rFonts w:ascii="Times New Roman" w:hAnsi="Times New Roman" w:eastAsia="黑体" w:cs="Times New Roman"/>
          <w:color w:val="auto"/>
          <w:sz w:val="24"/>
          <w:szCs w:val="24"/>
          <w:highlight w:val="none"/>
        </w:rPr>
      </w:pPr>
      <w:bookmarkStart w:id="617" w:name="_Toc23745"/>
      <w:bookmarkStart w:id="618" w:name="_Toc1290"/>
      <w:bookmarkStart w:id="619" w:name="_Toc6166"/>
      <w:bookmarkStart w:id="620" w:name="_Toc331"/>
      <w:bookmarkStart w:id="621" w:name="_Toc6029"/>
      <w:bookmarkStart w:id="622" w:name="_Toc12827"/>
      <w:bookmarkStart w:id="623" w:name="_Toc16512"/>
      <w:bookmarkStart w:id="624" w:name="_Toc3722"/>
      <w:bookmarkStart w:id="625" w:name="_Toc110952718"/>
      <w:bookmarkStart w:id="626" w:name="_Toc110958486"/>
      <w:bookmarkStart w:id="627" w:name="_Toc16969"/>
      <w:r>
        <w:rPr>
          <w:rFonts w:hint="eastAsia" w:ascii="Times New Roman" w:hAnsi="Times New Roman" w:eastAsia="黑体" w:cs="Times New Roman"/>
          <w:b/>
          <w:color w:val="auto"/>
          <w:sz w:val="24"/>
          <w:szCs w:val="24"/>
          <w:highlight w:val="none"/>
        </w:rPr>
        <w:t>7.</w:t>
      </w:r>
      <w:r>
        <w:rPr>
          <w:rFonts w:ascii="Times New Roman" w:hAnsi="Times New Roman" w:eastAsia="黑体" w:cs="Times New Roman"/>
          <w:b/>
          <w:color w:val="auto"/>
          <w:sz w:val="24"/>
          <w:szCs w:val="24"/>
          <w:highlight w:val="none"/>
        </w:rPr>
        <w:t xml:space="preserve">1 </w:t>
      </w:r>
      <w:r>
        <w:rPr>
          <w:rFonts w:ascii="Times New Roman" w:hAnsi="Times New Roman" w:eastAsia="黑体" w:cs="Times New Roman"/>
          <w:color w:val="auto"/>
          <w:sz w:val="24"/>
          <w:szCs w:val="24"/>
          <w:highlight w:val="none"/>
        </w:rPr>
        <w:t xml:space="preserve"> 一 般 规 定</w:t>
      </w:r>
      <w:bookmarkEnd w:id="617"/>
      <w:bookmarkEnd w:id="618"/>
      <w:bookmarkEnd w:id="619"/>
      <w:bookmarkEnd w:id="620"/>
      <w:bookmarkEnd w:id="621"/>
      <w:bookmarkEnd w:id="622"/>
      <w:bookmarkEnd w:id="623"/>
      <w:bookmarkEnd w:id="624"/>
      <w:bookmarkEnd w:id="625"/>
      <w:bookmarkEnd w:id="626"/>
      <w:bookmarkEnd w:id="627"/>
    </w:p>
    <w:p w14:paraId="6FE1D097">
      <w:pPr>
        <w:widowControl/>
        <w:spacing w:line="360" w:lineRule="exact"/>
        <w:rPr>
          <w:color w:val="auto"/>
          <w:szCs w:val="21"/>
          <w:highlight w:val="none"/>
        </w:rPr>
      </w:pPr>
      <w:r>
        <w:rPr>
          <w:rFonts w:hint="eastAsia"/>
          <w:b/>
          <w:bCs/>
          <w:color w:val="auto"/>
          <w:szCs w:val="21"/>
          <w:highlight w:val="none"/>
        </w:rPr>
        <w:t>7.</w:t>
      </w:r>
      <w:r>
        <w:rPr>
          <w:b/>
          <w:bCs/>
          <w:color w:val="auto"/>
          <w:szCs w:val="21"/>
          <w:highlight w:val="none"/>
        </w:rPr>
        <w:t>1.1</w:t>
      </w:r>
      <w:r>
        <w:rPr>
          <w:b/>
          <w:color w:val="auto"/>
          <w:szCs w:val="21"/>
          <w:highlight w:val="none"/>
        </w:rPr>
        <w:t xml:space="preserve"> </w:t>
      </w:r>
      <w:r>
        <w:rPr>
          <w:color w:val="auto"/>
          <w:szCs w:val="21"/>
          <w:highlight w:val="none"/>
        </w:rPr>
        <w:t xml:space="preserve"> 设备管线和内装系统应符合国家现行标准《建筑内部装修设计防火规范》 GB 50222、《民用建筑工程室内环境污染控制标准》GB 50325、《民用建筑隔声设计规范》GB 50118、《住宅室内装饰装修设计规范》JGJ 367等有关规定。</w:t>
      </w:r>
    </w:p>
    <w:p w14:paraId="3CCFC91F">
      <w:pPr>
        <w:widowControl/>
        <w:spacing w:line="360" w:lineRule="exact"/>
        <w:rPr>
          <w:color w:val="auto"/>
          <w:szCs w:val="21"/>
          <w:highlight w:val="none"/>
        </w:rPr>
      </w:pPr>
      <w:r>
        <w:rPr>
          <w:rFonts w:hint="eastAsia"/>
          <w:b/>
          <w:bCs/>
          <w:color w:val="auto"/>
          <w:szCs w:val="21"/>
          <w:highlight w:val="none"/>
        </w:rPr>
        <w:t>7.</w:t>
      </w:r>
      <w:r>
        <w:rPr>
          <w:b/>
          <w:bCs/>
          <w:color w:val="auto"/>
          <w:szCs w:val="21"/>
          <w:highlight w:val="none"/>
        </w:rPr>
        <w:t>1.2</w:t>
      </w:r>
      <w:r>
        <w:rPr>
          <w:b/>
          <w:color w:val="auto"/>
          <w:szCs w:val="21"/>
          <w:highlight w:val="none"/>
        </w:rPr>
        <w:t xml:space="preserve"> </w:t>
      </w:r>
      <w:r>
        <w:rPr>
          <w:color w:val="auto"/>
          <w:szCs w:val="21"/>
          <w:highlight w:val="none"/>
        </w:rPr>
        <w:t xml:space="preserve"> 混凝土模块化建筑的设备与管线的抗震设计应符合现行国家标准《建筑与市政工程抗震通用规范》GB 55002《建筑机电工程抗震设计规范》GB 50981的有关规定。</w:t>
      </w:r>
    </w:p>
    <w:p w14:paraId="530A4B77">
      <w:pPr>
        <w:widowControl/>
        <w:spacing w:line="360" w:lineRule="exact"/>
        <w:rPr>
          <w:color w:val="auto"/>
          <w:szCs w:val="21"/>
          <w:highlight w:val="none"/>
        </w:rPr>
      </w:pPr>
      <w:r>
        <w:rPr>
          <w:rFonts w:hint="eastAsia"/>
          <w:b/>
          <w:bCs/>
          <w:color w:val="auto"/>
          <w:szCs w:val="21"/>
          <w:highlight w:val="none"/>
        </w:rPr>
        <w:t>7.</w:t>
      </w:r>
      <w:r>
        <w:rPr>
          <w:b/>
          <w:bCs/>
          <w:color w:val="auto"/>
          <w:szCs w:val="21"/>
          <w:highlight w:val="none"/>
        </w:rPr>
        <w:t>1.3</w:t>
      </w:r>
      <w:r>
        <w:rPr>
          <w:b/>
          <w:color w:val="auto"/>
          <w:szCs w:val="21"/>
          <w:highlight w:val="none"/>
        </w:rPr>
        <w:t xml:space="preserve"> </w:t>
      </w:r>
      <w:r>
        <w:rPr>
          <w:color w:val="auto"/>
          <w:szCs w:val="21"/>
          <w:highlight w:val="none"/>
        </w:rPr>
        <w:t xml:space="preserve"> 机电设计、内装设计应与建筑设计、结构设计等专业同步进行，机电设计宜结合内装设计暗敷管线及设备。</w:t>
      </w:r>
    </w:p>
    <w:p w14:paraId="2AC7740C">
      <w:pPr>
        <w:widowControl/>
        <w:spacing w:line="360" w:lineRule="exact"/>
        <w:rPr>
          <w:color w:val="auto"/>
          <w:szCs w:val="21"/>
          <w:highlight w:val="none"/>
        </w:rPr>
      </w:pPr>
      <w:r>
        <w:rPr>
          <w:rFonts w:hint="eastAsia"/>
          <w:b/>
          <w:bCs/>
          <w:color w:val="auto"/>
          <w:szCs w:val="21"/>
          <w:highlight w:val="none"/>
        </w:rPr>
        <w:t>7.</w:t>
      </w:r>
      <w:r>
        <w:rPr>
          <w:b/>
          <w:bCs/>
          <w:color w:val="auto"/>
          <w:szCs w:val="21"/>
          <w:highlight w:val="none"/>
        </w:rPr>
        <w:t>1.4</w:t>
      </w:r>
      <w:r>
        <w:rPr>
          <w:b/>
          <w:color w:val="auto"/>
          <w:szCs w:val="21"/>
          <w:highlight w:val="none"/>
        </w:rPr>
        <w:t xml:space="preserve"> </w:t>
      </w:r>
      <w:r>
        <w:rPr>
          <w:color w:val="auto"/>
          <w:szCs w:val="21"/>
          <w:highlight w:val="none"/>
        </w:rPr>
        <w:t xml:space="preserve"> 机电设备系统、内装系统应满足模块标准化设计、集成化安装的要求，并应满足运输、吊装及成品保护的要求。</w:t>
      </w:r>
    </w:p>
    <w:p w14:paraId="04755D5E">
      <w:pPr>
        <w:widowControl/>
        <w:spacing w:line="360" w:lineRule="exact"/>
        <w:rPr>
          <w:color w:val="auto"/>
          <w:szCs w:val="21"/>
          <w:highlight w:val="none"/>
        </w:rPr>
      </w:pPr>
      <w:r>
        <w:rPr>
          <w:rFonts w:hint="eastAsia"/>
          <w:b/>
          <w:bCs/>
          <w:color w:val="auto"/>
          <w:szCs w:val="21"/>
          <w:highlight w:val="none"/>
        </w:rPr>
        <w:t>7.</w:t>
      </w:r>
      <w:r>
        <w:rPr>
          <w:b/>
          <w:bCs/>
          <w:color w:val="auto"/>
          <w:szCs w:val="21"/>
          <w:highlight w:val="none"/>
        </w:rPr>
        <w:t>1.5</w:t>
      </w:r>
      <w:r>
        <w:rPr>
          <w:b/>
          <w:color w:val="auto"/>
          <w:szCs w:val="21"/>
          <w:highlight w:val="none"/>
        </w:rPr>
        <w:t xml:space="preserve"> </w:t>
      </w:r>
      <w:r>
        <w:rPr>
          <w:color w:val="auto"/>
          <w:szCs w:val="21"/>
          <w:highlight w:val="none"/>
        </w:rPr>
        <w:t xml:space="preserve"> 机电设备及管线的连接应采用标准化接口，应选用耐腐蚀、抗老化、连接可靠的管线及设备。</w:t>
      </w:r>
    </w:p>
    <w:p w14:paraId="6545E2E3">
      <w:pPr>
        <w:widowControl/>
        <w:spacing w:line="360" w:lineRule="exact"/>
        <w:rPr>
          <w:color w:val="auto"/>
          <w:szCs w:val="21"/>
          <w:highlight w:val="none"/>
        </w:rPr>
      </w:pPr>
      <w:r>
        <w:rPr>
          <w:rFonts w:hint="eastAsia"/>
          <w:b/>
          <w:bCs/>
          <w:color w:val="auto"/>
          <w:szCs w:val="21"/>
          <w:highlight w:val="none"/>
        </w:rPr>
        <w:t>7.</w:t>
      </w:r>
      <w:r>
        <w:rPr>
          <w:b/>
          <w:bCs/>
          <w:color w:val="auto"/>
          <w:szCs w:val="21"/>
          <w:highlight w:val="none"/>
        </w:rPr>
        <w:t>1.6</w:t>
      </w:r>
      <w:r>
        <w:rPr>
          <w:b/>
          <w:color w:val="auto"/>
          <w:szCs w:val="21"/>
          <w:highlight w:val="none"/>
        </w:rPr>
        <w:t xml:space="preserve"> </w:t>
      </w:r>
      <w:r>
        <w:rPr>
          <w:color w:val="auto"/>
          <w:szCs w:val="21"/>
          <w:highlight w:val="none"/>
        </w:rPr>
        <w:t xml:space="preserve"> 公共管线、阀门、检修口、计量仪表、电表箱、配电箱、智能化配线箱等，宜统一集中设置在公共区域。</w:t>
      </w:r>
    </w:p>
    <w:p w14:paraId="4349A4FF">
      <w:pPr>
        <w:widowControl/>
        <w:spacing w:line="360" w:lineRule="exact"/>
        <w:rPr>
          <w:color w:val="auto"/>
          <w:szCs w:val="21"/>
          <w:highlight w:val="none"/>
        </w:rPr>
      </w:pPr>
      <w:bookmarkStart w:id="628" w:name="_Toc22315"/>
      <w:bookmarkStart w:id="629" w:name="_Toc10484"/>
      <w:bookmarkStart w:id="630" w:name="_Toc15158"/>
      <w:bookmarkStart w:id="631" w:name="_Toc7409"/>
      <w:bookmarkStart w:id="632" w:name="_Toc834"/>
      <w:r>
        <w:rPr>
          <w:rFonts w:hint="eastAsia"/>
          <w:b/>
          <w:bCs/>
          <w:color w:val="auto"/>
          <w:szCs w:val="21"/>
          <w:highlight w:val="none"/>
        </w:rPr>
        <w:t>7.</w:t>
      </w:r>
      <w:r>
        <w:rPr>
          <w:b/>
          <w:bCs/>
          <w:color w:val="auto"/>
          <w:szCs w:val="21"/>
          <w:highlight w:val="none"/>
        </w:rPr>
        <w:t xml:space="preserve">1.7 </w:t>
      </w:r>
      <w:r>
        <w:rPr>
          <w:color w:val="auto"/>
          <w:szCs w:val="21"/>
          <w:highlight w:val="none"/>
        </w:rPr>
        <w:t xml:space="preserve"> 设备与管线的布置应符合下列规定：</w:t>
      </w:r>
      <w:bookmarkEnd w:id="628"/>
      <w:bookmarkEnd w:id="629"/>
      <w:bookmarkEnd w:id="630"/>
      <w:bookmarkEnd w:id="631"/>
      <w:bookmarkEnd w:id="632"/>
    </w:p>
    <w:p w14:paraId="107508C3">
      <w:pPr>
        <w:spacing w:line="360" w:lineRule="exact"/>
        <w:ind w:firstLine="422" w:firstLineChars="200"/>
        <w:rPr>
          <w:rFonts w:ascii="Times New Roman" w:hAnsi="Times New Roman"/>
          <w:color w:val="auto"/>
          <w:szCs w:val="21"/>
          <w:highlight w:val="none"/>
        </w:rPr>
      </w:pPr>
      <w:bookmarkStart w:id="633" w:name="_Toc20636"/>
      <w:bookmarkStart w:id="634" w:name="_Toc483"/>
      <w:r>
        <w:rPr>
          <w:rFonts w:ascii="Times New Roman" w:hAnsi="Times New Roman"/>
          <w:b/>
          <w:bCs/>
          <w:color w:val="auto"/>
          <w:szCs w:val="21"/>
          <w:highlight w:val="none"/>
        </w:rPr>
        <w:t>1</w:t>
      </w:r>
      <w:r>
        <w:rPr>
          <w:rFonts w:ascii="Times New Roman" w:hAnsi="Times New Roman"/>
          <w:color w:val="auto"/>
          <w:szCs w:val="21"/>
          <w:highlight w:val="none"/>
        </w:rPr>
        <w:t xml:space="preserve">  </w:t>
      </w:r>
      <w:r>
        <w:rPr>
          <w:rFonts w:hint="eastAsia" w:ascii="Times New Roman" w:hAnsi="Times New Roman"/>
          <w:color w:val="auto"/>
          <w:szCs w:val="21"/>
          <w:highlight w:val="none"/>
        </w:rPr>
        <w:t>设备与管线的布置应减少模块间的连接，宜布置在吊顶下实现管线分离；</w:t>
      </w:r>
      <w:bookmarkEnd w:id="633"/>
      <w:bookmarkEnd w:id="634"/>
    </w:p>
    <w:p w14:paraId="1C879FEB">
      <w:pPr>
        <w:spacing w:line="360" w:lineRule="exact"/>
        <w:ind w:firstLine="422" w:firstLineChars="200"/>
        <w:rPr>
          <w:rFonts w:ascii="Times New Roman" w:hAnsi="Times New Roman"/>
          <w:color w:val="auto"/>
          <w:szCs w:val="21"/>
          <w:highlight w:val="none"/>
        </w:rPr>
      </w:pPr>
      <w:bookmarkStart w:id="635" w:name="_Toc1520"/>
      <w:bookmarkStart w:id="636" w:name="_Toc18305"/>
      <w:r>
        <w:rPr>
          <w:rFonts w:ascii="Times New Roman" w:hAnsi="Times New Roman"/>
          <w:b/>
          <w:bCs/>
          <w:color w:val="auto"/>
          <w:szCs w:val="21"/>
          <w:highlight w:val="none"/>
        </w:rPr>
        <w:t>2</w:t>
      </w:r>
      <w:r>
        <w:rPr>
          <w:rFonts w:ascii="Times New Roman" w:hAnsi="Times New Roman"/>
          <w:color w:val="auto"/>
          <w:szCs w:val="21"/>
          <w:highlight w:val="none"/>
        </w:rPr>
        <w:t xml:space="preserve">  </w:t>
      </w:r>
      <w:r>
        <w:rPr>
          <w:rFonts w:hint="eastAsia" w:ascii="Times New Roman" w:hAnsi="Times New Roman"/>
          <w:color w:val="auto"/>
          <w:szCs w:val="21"/>
          <w:highlight w:val="none"/>
        </w:rPr>
        <w:t>服务与上下层的设备及管线应集中布置在管道井内，并应设置隔断和保护。</w:t>
      </w:r>
      <w:bookmarkEnd w:id="635"/>
      <w:bookmarkEnd w:id="636"/>
    </w:p>
    <w:p w14:paraId="75AECDB7">
      <w:pPr>
        <w:widowControl/>
        <w:spacing w:line="360" w:lineRule="exact"/>
        <w:rPr>
          <w:color w:val="auto"/>
          <w:szCs w:val="21"/>
          <w:highlight w:val="none"/>
        </w:rPr>
      </w:pPr>
      <w:bookmarkStart w:id="637" w:name="_Toc21718"/>
      <w:bookmarkStart w:id="638" w:name="_Toc8690"/>
      <w:bookmarkStart w:id="639" w:name="_Toc20298"/>
      <w:bookmarkStart w:id="640" w:name="_Toc27690"/>
      <w:bookmarkStart w:id="641" w:name="_Toc21712"/>
      <w:r>
        <w:rPr>
          <w:rFonts w:hint="eastAsia"/>
          <w:b/>
          <w:bCs/>
          <w:color w:val="auto"/>
          <w:szCs w:val="21"/>
          <w:highlight w:val="none"/>
        </w:rPr>
        <w:t>7.</w:t>
      </w:r>
      <w:r>
        <w:rPr>
          <w:b/>
          <w:bCs/>
          <w:color w:val="auto"/>
          <w:szCs w:val="21"/>
          <w:highlight w:val="none"/>
        </w:rPr>
        <w:t>1.8</w:t>
      </w:r>
      <w:r>
        <w:rPr>
          <w:b/>
          <w:color w:val="auto"/>
          <w:szCs w:val="21"/>
          <w:highlight w:val="none"/>
        </w:rPr>
        <w:t xml:space="preserve"> </w:t>
      </w:r>
      <w:r>
        <w:rPr>
          <w:color w:val="auto"/>
          <w:szCs w:val="21"/>
          <w:highlight w:val="none"/>
        </w:rPr>
        <w:t xml:space="preserve"> 机电设备、管线及内装系统的安装应符合下列规定：</w:t>
      </w:r>
      <w:bookmarkEnd w:id="637"/>
      <w:bookmarkEnd w:id="638"/>
      <w:bookmarkEnd w:id="639"/>
      <w:bookmarkEnd w:id="640"/>
      <w:bookmarkEnd w:id="641"/>
    </w:p>
    <w:p w14:paraId="36B4B2FD">
      <w:pPr>
        <w:spacing w:line="360" w:lineRule="exact"/>
        <w:ind w:firstLine="422" w:firstLineChars="200"/>
        <w:rPr>
          <w:rFonts w:ascii="Times New Roman" w:hAnsi="Times New Roman"/>
          <w:color w:val="auto"/>
          <w:szCs w:val="21"/>
          <w:highlight w:val="none"/>
        </w:rPr>
      </w:pPr>
      <w:bookmarkStart w:id="642" w:name="_Toc8156"/>
      <w:bookmarkStart w:id="643" w:name="_Toc17805"/>
      <w:r>
        <w:rPr>
          <w:rFonts w:ascii="Times New Roman" w:hAnsi="Times New Roman"/>
          <w:b/>
          <w:bCs/>
          <w:color w:val="auto"/>
          <w:szCs w:val="21"/>
          <w:highlight w:val="none"/>
        </w:rPr>
        <w:t>1</w:t>
      </w:r>
      <w:r>
        <w:rPr>
          <w:rFonts w:ascii="Times New Roman" w:hAnsi="Times New Roman"/>
          <w:color w:val="auto"/>
          <w:szCs w:val="21"/>
          <w:highlight w:val="none"/>
        </w:rPr>
        <w:t xml:space="preserve">  </w:t>
      </w:r>
      <w:r>
        <w:rPr>
          <w:rFonts w:hint="eastAsia" w:ascii="Times New Roman" w:hAnsi="Times New Roman"/>
          <w:color w:val="auto"/>
          <w:szCs w:val="21"/>
          <w:highlight w:val="none"/>
        </w:rPr>
        <w:t>应结合混凝土模块化建筑的特点，区分工厂与现场安装的工作内容；</w:t>
      </w:r>
      <w:bookmarkEnd w:id="642"/>
      <w:bookmarkEnd w:id="643"/>
    </w:p>
    <w:p w14:paraId="79A07678">
      <w:pPr>
        <w:spacing w:line="360" w:lineRule="exact"/>
        <w:ind w:firstLine="422" w:firstLineChars="200"/>
        <w:rPr>
          <w:rFonts w:ascii="Times New Roman" w:hAnsi="Times New Roman"/>
          <w:color w:val="auto"/>
          <w:szCs w:val="21"/>
          <w:highlight w:val="none"/>
        </w:rPr>
      </w:pPr>
      <w:bookmarkStart w:id="644" w:name="_Toc28958"/>
      <w:bookmarkStart w:id="645" w:name="_Toc11165"/>
      <w:bookmarkStart w:id="646" w:name="_Toc19200"/>
      <w:bookmarkStart w:id="647" w:name="_Toc4921"/>
      <w:bookmarkStart w:id="648" w:name="_Toc22639"/>
      <w:r>
        <w:rPr>
          <w:rFonts w:ascii="Times New Roman" w:hAnsi="Times New Roman"/>
          <w:b/>
          <w:bCs/>
          <w:color w:val="auto"/>
          <w:szCs w:val="21"/>
          <w:highlight w:val="none"/>
        </w:rPr>
        <w:t>2</w:t>
      </w:r>
      <w:r>
        <w:rPr>
          <w:rFonts w:ascii="Times New Roman" w:hAnsi="Times New Roman"/>
          <w:color w:val="auto"/>
          <w:szCs w:val="21"/>
          <w:highlight w:val="none"/>
        </w:rPr>
        <w:t xml:space="preserve">  </w:t>
      </w:r>
      <w:r>
        <w:rPr>
          <w:rFonts w:hint="eastAsia" w:ascii="Times New Roman" w:hAnsi="Times New Roman"/>
          <w:color w:val="auto"/>
          <w:szCs w:val="21"/>
          <w:highlight w:val="none"/>
        </w:rPr>
        <w:t>当管线跨越模块时，应结合模块分割预留对接槽口；</w:t>
      </w:r>
      <w:bookmarkEnd w:id="644"/>
      <w:bookmarkEnd w:id="645"/>
      <w:bookmarkEnd w:id="646"/>
      <w:bookmarkEnd w:id="647"/>
      <w:bookmarkEnd w:id="648"/>
    </w:p>
    <w:p w14:paraId="4BF381F7">
      <w:pPr>
        <w:spacing w:line="360" w:lineRule="exact"/>
        <w:ind w:firstLine="422" w:firstLineChars="200"/>
        <w:rPr>
          <w:rFonts w:ascii="Times New Roman" w:hAnsi="Times New Roman"/>
          <w:color w:val="auto"/>
          <w:szCs w:val="21"/>
          <w:highlight w:val="none"/>
        </w:rPr>
      </w:pPr>
      <w:bookmarkStart w:id="649" w:name="_Toc8054"/>
      <w:bookmarkStart w:id="650" w:name="_Toc13608"/>
      <w:r>
        <w:rPr>
          <w:rFonts w:ascii="Times New Roman" w:hAnsi="Times New Roman"/>
          <w:b/>
          <w:bCs/>
          <w:color w:val="auto"/>
          <w:szCs w:val="21"/>
          <w:highlight w:val="none"/>
        </w:rPr>
        <w:t>3</w:t>
      </w:r>
      <w:r>
        <w:rPr>
          <w:rFonts w:ascii="Times New Roman" w:hAnsi="Times New Roman"/>
          <w:color w:val="auto"/>
          <w:szCs w:val="21"/>
          <w:highlight w:val="none"/>
        </w:rPr>
        <w:t xml:space="preserve">  </w:t>
      </w:r>
      <w:r>
        <w:rPr>
          <w:rFonts w:hint="eastAsia" w:ascii="Times New Roman" w:hAnsi="Times New Roman"/>
          <w:color w:val="auto"/>
          <w:szCs w:val="21"/>
          <w:highlight w:val="none"/>
        </w:rPr>
        <w:t>当工厂内安装的管道、设备固定在梁模或墙模上时，所选固定件不应穿透梁模或墙模；</w:t>
      </w:r>
      <w:bookmarkEnd w:id="649"/>
      <w:bookmarkEnd w:id="650"/>
    </w:p>
    <w:p w14:paraId="298D80D8">
      <w:pPr>
        <w:spacing w:line="360" w:lineRule="exact"/>
        <w:ind w:firstLine="422" w:firstLineChars="200"/>
        <w:rPr>
          <w:rFonts w:ascii="Times New Roman" w:hAnsi="Times New Roman"/>
          <w:color w:val="auto"/>
          <w:szCs w:val="21"/>
          <w:highlight w:val="none"/>
        </w:rPr>
      </w:pPr>
      <w:bookmarkStart w:id="651" w:name="_Toc17061"/>
      <w:bookmarkStart w:id="652" w:name="_Toc7101"/>
      <w:r>
        <w:rPr>
          <w:rFonts w:ascii="Times New Roman" w:hAnsi="Times New Roman"/>
          <w:b/>
          <w:bCs/>
          <w:color w:val="auto"/>
          <w:szCs w:val="21"/>
          <w:highlight w:val="none"/>
        </w:rPr>
        <w:t>4</w:t>
      </w:r>
      <w:r>
        <w:rPr>
          <w:rFonts w:ascii="Times New Roman" w:hAnsi="Times New Roman"/>
          <w:color w:val="auto"/>
          <w:szCs w:val="21"/>
          <w:highlight w:val="none"/>
        </w:rPr>
        <w:t xml:space="preserve">  </w:t>
      </w:r>
      <w:r>
        <w:rPr>
          <w:rFonts w:hint="eastAsia" w:ascii="Times New Roman" w:hAnsi="Times New Roman"/>
          <w:color w:val="auto"/>
          <w:szCs w:val="21"/>
          <w:highlight w:val="none"/>
        </w:rPr>
        <w:t>当设备管线穿越预制楼板或预制墙体时，应在工厂内预留套管或孔洞，不应在模块单元安装后凿</w:t>
      </w:r>
      <w:r>
        <w:rPr>
          <w:rFonts w:hint="eastAsia"/>
          <w:color w:val="auto"/>
          <w:szCs w:val="21"/>
          <w:highlight w:val="none"/>
        </w:rPr>
        <w:t>剔沟槽</w:t>
      </w:r>
      <w:r>
        <w:rPr>
          <w:rFonts w:hint="eastAsia" w:ascii="Times New Roman" w:hAnsi="Times New Roman"/>
          <w:color w:val="auto"/>
          <w:szCs w:val="21"/>
          <w:highlight w:val="none"/>
        </w:rPr>
        <w:t>、孔洞；</w:t>
      </w:r>
      <w:bookmarkEnd w:id="651"/>
      <w:bookmarkEnd w:id="652"/>
    </w:p>
    <w:p w14:paraId="30E2A610">
      <w:pPr>
        <w:spacing w:line="360" w:lineRule="exact"/>
        <w:ind w:firstLine="422" w:firstLineChars="200"/>
        <w:rPr>
          <w:rFonts w:ascii="Times New Roman" w:hAnsi="Times New Roman"/>
          <w:color w:val="auto"/>
          <w:szCs w:val="21"/>
          <w:highlight w:val="none"/>
        </w:rPr>
      </w:pPr>
      <w:bookmarkStart w:id="653" w:name="_Toc417"/>
      <w:bookmarkStart w:id="654" w:name="_Toc19008"/>
      <w:r>
        <w:rPr>
          <w:rFonts w:ascii="Times New Roman" w:hAnsi="Times New Roman"/>
          <w:b/>
          <w:bCs/>
          <w:color w:val="auto"/>
          <w:szCs w:val="21"/>
          <w:highlight w:val="none"/>
        </w:rPr>
        <w:t>5</w:t>
      </w:r>
      <w:r>
        <w:rPr>
          <w:rFonts w:ascii="Times New Roman" w:hAnsi="Times New Roman"/>
          <w:color w:val="auto"/>
          <w:szCs w:val="21"/>
          <w:highlight w:val="none"/>
        </w:rPr>
        <w:t xml:space="preserve">  </w:t>
      </w:r>
      <w:r>
        <w:rPr>
          <w:rFonts w:hint="eastAsia" w:ascii="Times New Roman" w:hAnsi="Times New Roman"/>
          <w:color w:val="auto"/>
          <w:szCs w:val="21"/>
          <w:highlight w:val="none"/>
        </w:rPr>
        <w:t>当设备、管线穿越楼板、墙体时，应采取防水、防火、隔声、密封、保温隔热等措施，防火封堵应符合现行国家标准《建筑设计防火规范》</w:t>
      </w:r>
      <w:r>
        <w:rPr>
          <w:rFonts w:ascii="Times New Roman" w:hAnsi="Times New Roman"/>
          <w:color w:val="auto"/>
          <w:szCs w:val="21"/>
          <w:highlight w:val="none"/>
        </w:rPr>
        <w:t>GB 50016</w:t>
      </w:r>
      <w:r>
        <w:rPr>
          <w:rFonts w:hint="eastAsia" w:ascii="Times New Roman" w:hAnsi="Times New Roman"/>
          <w:color w:val="auto"/>
          <w:szCs w:val="21"/>
          <w:highlight w:val="none"/>
        </w:rPr>
        <w:t>的有关规定。</w:t>
      </w:r>
      <w:bookmarkEnd w:id="653"/>
      <w:bookmarkEnd w:id="654"/>
    </w:p>
    <w:p w14:paraId="33106381">
      <w:pPr>
        <w:widowControl/>
        <w:spacing w:line="360" w:lineRule="exact"/>
        <w:rPr>
          <w:color w:val="auto"/>
          <w:szCs w:val="21"/>
          <w:highlight w:val="none"/>
        </w:rPr>
      </w:pPr>
      <w:r>
        <w:rPr>
          <w:rFonts w:hint="eastAsia"/>
          <w:b/>
          <w:bCs/>
          <w:color w:val="auto"/>
          <w:szCs w:val="21"/>
          <w:highlight w:val="none"/>
        </w:rPr>
        <w:t>7.</w:t>
      </w:r>
      <w:r>
        <w:rPr>
          <w:b/>
          <w:bCs/>
          <w:color w:val="auto"/>
          <w:szCs w:val="21"/>
          <w:highlight w:val="none"/>
        </w:rPr>
        <w:t xml:space="preserve">1.9 </w:t>
      </w:r>
      <w:r>
        <w:rPr>
          <w:color w:val="auto"/>
          <w:szCs w:val="21"/>
          <w:highlight w:val="none"/>
        </w:rPr>
        <w:t xml:space="preserve"> 设备管线系统应采用建筑信息模型技术，机电设备管线宜共用支吊架并满足一体化预制的要求。</w:t>
      </w:r>
    </w:p>
    <w:p w14:paraId="25BF29BF">
      <w:pPr>
        <w:pStyle w:val="3"/>
        <w:spacing w:before="166" w:beforeLines="50" w:after="166" w:afterLines="50" w:line="360" w:lineRule="auto"/>
        <w:jc w:val="center"/>
        <w:rPr>
          <w:rFonts w:ascii="Times New Roman" w:hAnsi="Times New Roman" w:eastAsia="黑体" w:cs="Times New Roman"/>
          <w:color w:val="auto"/>
          <w:sz w:val="24"/>
          <w:szCs w:val="24"/>
          <w:highlight w:val="none"/>
        </w:rPr>
      </w:pPr>
      <w:bookmarkStart w:id="655" w:name="_Toc18368"/>
      <w:bookmarkStart w:id="656" w:name="_Toc26143"/>
      <w:bookmarkStart w:id="657" w:name="_Toc10086"/>
      <w:bookmarkStart w:id="658" w:name="_Toc18912"/>
      <w:bookmarkStart w:id="659" w:name="_Toc16938"/>
      <w:bookmarkStart w:id="660" w:name="_Toc22847"/>
      <w:bookmarkStart w:id="661" w:name="_Toc21406"/>
      <w:bookmarkStart w:id="662" w:name="_Toc23488"/>
      <w:bookmarkStart w:id="663" w:name="_Toc18465"/>
      <w:bookmarkStart w:id="664" w:name="_Toc110958488"/>
      <w:bookmarkStart w:id="665" w:name="_Toc110952720"/>
      <w:r>
        <w:rPr>
          <w:rFonts w:hint="eastAsia" w:ascii="Times New Roman" w:hAnsi="Times New Roman" w:eastAsia="黑体" w:cs="Times New Roman"/>
          <w:b/>
          <w:color w:val="auto"/>
          <w:sz w:val="24"/>
          <w:szCs w:val="24"/>
          <w:highlight w:val="none"/>
        </w:rPr>
        <w:t>7.</w:t>
      </w:r>
      <w:r>
        <w:rPr>
          <w:rFonts w:ascii="Times New Roman" w:hAnsi="Times New Roman" w:eastAsia="黑体" w:cs="Times New Roman"/>
          <w:b/>
          <w:color w:val="auto"/>
          <w:sz w:val="24"/>
          <w:szCs w:val="24"/>
          <w:highlight w:val="none"/>
        </w:rPr>
        <w:t xml:space="preserve">2 </w:t>
      </w:r>
      <w:r>
        <w:rPr>
          <w:rFonts w:ascii="Times New Roman" w:hAnsi="Times New Roman" w:eastAsia="黑体" w:cs="Times New Roman"/>
          <w:color w:val="auto"/>
          <w:sz w:val="24"/>
          <w:szCs w:val="24"/>
          <w:highlight w:val="none"/>
        </w:rPr>
        <w:t xml:space="preserve"> 给水排水系统</w:t>
      </w:r>
      <w:bookmarkEnd w:id="655"/>
      <w:bookmarkEnd w:id="656"/>
      <w:bookmarkEnd w:id="657"/>
      <w:bookmarkEnd w:id="658"/>
      <w:bookmarkEnd w:id="659"/>
      <w:bookmarkEnd w:id="660"/>
      <w:bookmarkEnd w:id="661"/>
      <w:bookmarkEnd w:id="662"/>
      <w:bookmarkEnd w:id="663"/>
      <w:bookmarkEnd w:id="664"/>
      <w:bookmarkEnd w:id="665"/>
    </w:p>
    <w:p w14:paraId="393865CF">
      <w:pPr>
        <w:widowControl/>
        <w:spacing w:line="360" w:lineRule="exact"/>
        <w:rPr>
          <w:color w:val="auto"/>
          <w:szCs w:val="21"/>
          <w:highlight w:val="none"/>
        </w:rPr>
      </w:pPr>
      <w:bookmarkStart w:id="666" w:name="_Toc110958489"/>
      <w:bookmarkStart w:id="667" w:name="_Toc110952721"/>
      <w:bookmarkStart w:id="668" w:name="_Toc23801"/>
      <w:r>
        <w:rPr>
          <w:rFonts w:hint="eastAsia"/>
          <w:b/>
          <w:bCs/>
          <w:color w:val="auto"/>
          <w:szCs w:val="21"/>
          <w:highlight w:val="none"/>
        </w:rPr>
        <w:t>7.</w:t>
      </w:r>
      <w:r>
        <w:rPr>
          <w:b/>
          <w:bCs/>
          <w:color w:val="auto"/>
          <w:szCs w:val="21"/>
          <w:highlight w:val="none"/>
        </w:rPr>
        <w:t>2.1</w:t>
      </w:r>
      <w:r>
        <w:rPr>
          <w:b/>
          <w:color w:val="auto"/>
          <w:szCs w:val="21"/>
          <w:highlight w:val="none"/>
        </w:rPr>
        <w:t xml:space="preserve"> </w:t>
      </w:r>
      <w:r>
        <w:rPr>
          <w:color w:val="auto"/>
          <w:szCs w:val="21"/>
          <w:highlight w:val="none"/>
        </w:rPr>
        <w:t xml:space="preserve"> 混凝土模块化建筑给水排水系统设计应符合现行国家标准《建筑给水排水设计标准》GB 50015和《建筑给水排水与节水通用规范》GB 55020的有关规定。</w:t>
      </w:r>
    </w:p>
    <w:p w14:paraId="12B587A9">
      <w:pPr>
        <w:widowControl/>
        <w:spacing w:line="360" w:lineRule="exact"/>
        <w:rPr>
          <w:color w:val="auto"/>
          <w:szCs w:val="21"/>
          <w:highlight w:val="none"/>
        </w:rPr>
      </w:pPr>
      <w:bookmarkStart w:id="669" w:name="_Toc29610"/>
      <w:bookmarkStart w:id="670" w:name="_Toc26499"/>
      <w:bookmarkStart w:id="671" w:name="_Toc15480"/>
      <w:bookmarkStart w:id="672" w:name="_Toc12902"/>
      <w:bookmarkStart w:id="673" w:name="_Toc10808"/>
      <w:r>
        <w:rPr>
          <w:rFonts w:hint="eastAsia"/>
          <w:b/>
          <w:bCs/>
          <w:color w:val="auto"/>
          <w:szCs w:val="21"/>
          <w:highlight w:val="none"/>
        </w:rPr>
        <w:t>7.</w:t>
      </w:r>
      <w:r>
        <w:rPr>
          <w:b/>
          <w:bCs/>
          <w:color w:val="auto"/>
          <w:szCs w:val="21"/>
          <w:highlight w:val="none"/>
        </w:rPr>
        <w:t>2.2</w:t>
      </w:r>
      <w:r>
        <w:rPr>
          <w:b/>
          <w:color w:val="auto"/>
          <w:szCs w:val="21"/>
          <w:highlight w:val="none"/>
        </w:rPr>
        <w:t xml:space="preserve"> </w:t>
      </w:r>
      <w:r>
        <w:rPr>
          <w:color w:val="auto"/>
          <w:szCs w:val="21"/>
          <w:highlight w:val="none"/>
        </w:rPr>
        <w:t xml:space="preserve"> 给水系统设计应符合下列规定：</w:t>
      </w:r>
      <w:bookmarkEnd w:id="669"/>
      <w:bookmarkEnd w:id="670"/>
      <w:bookmarkEnd w:id="671"/>
      <w:bookmarkEnd w:id="672"/>
      <w:bookmarkEnd w:id="673"/>
    </w:p>
    <w:p w14:paraId="3CE3EF51">
      <w:pPr>
        <w:spacing w:line="360" w:lineRule="exact"/>
        <w:ind w:firstLine="422" w:firstLineChars="200"/>
        <w:rPr>
          <w:rFonts w:ascii="Times New Roman" w:hAnsi="Times New Roman"/>
          <w:color w:val="auto"/>
          <w:szCs w:val="21"/>
          <w:highlight w:val="none"/>
        </w:rPr>
      </w:pPr>
      <w:bookmarkStart w:id="674" w:name="_Toc5312"/>
      <w:bookmarkStart w:id="675" w:name="_Toc17969"/>
      <w:r>
        <w:rPr>
          <w:rFonts w:ascii="Times New Roman" w:hAnsi="Times New Roman"/>
          <w:b/>
          <w:bCs/>
          <w:color w:val="auto"/>
          <w:szCs w:val="21"/>
          <w:highlight w:val="none"/>
        </w:rPr>
        <w:t>1</w:t>
      </w:r>
      <w:r>
        <w:rPr>
          <w:rFonts w:ascii="Times New Roman" w:hAnsi="Times New Roman"/>
          <w:color w:val="auto"/>
          <w:szCs w:val="21"/>
          <w:highlight w:val="none"/>
        </w:rPr>
        <w:t xml:space="preserve">  </w:t>
      </w:r>
      <w:r>
        <w:rPr>
          <w:rFonts w:hint="eastAsia" w:ascii="Times New Roman" w:hAnsi="Times New Roman"/>
          <w:color w:val="auto"/>
          <w:szCs w:val="21"/>
          <w:highlight w:val="none"/>
        </w:rPr>
        <w:t>混凝土模块化建筑室内给水横管宜结合室内装修在吊顶内敷设，吊顶内的阀门处应设置检修口，模块之间的管道接口应选用便于安装、拆卸、更换的接头方式；</w:t>
      </w:r>
      <w:bookmarkEnd w:id="674"/>
      <w:bookmarkEnd w:id="675"/>
    </w:p>
    <w:p w14:paraId="4E7A412A">
      <w:pPr>
        <w:spacing w:line="360" w:lineRule="exact"/>
        <w:ind w:firstLine="422" w:firstLineChars="200"/>
        <w:rPr>
          <w:rFonts w:ascii="Times New Roman" w:hAnsi="Times New Roman"/>
          <w:color w:val="auto"/>
          <w:szCs w:val="21"/>
          <w:highlight w:val="none"/>
        </w:rPr>
      </w:pPr>
      <w:bookmarkStart w:id="676" w:name="_Toc19968"/>
      <w:bookmarkStart w:id="677" w:name="_Toc7171"/>
      <w:r>
        <w:rPr>
          <w:rFonts w:ascii="Times New Roman" w:hAnsi="Times New Roman"/>
          <w:b/>
          <w:bCs/>
          <w:color w:val="auto"/>
          <w:szCs w:val="21"/>
          <w:highlight w:val="none"/>
        </w:rPr>
        <w:t>2</w:t>
      </w:r>
      <w:r>
        <w:rPr>
          <w:rFonts w:ascii="Times New Roman" w:hAnsi="Times New Roman"/>
          <w:color w:val="auto"/>
          <w:szCs w:val="21"/>
          <w:highlight w:val="none"/>
        </w:rPr>
        <w:t xml:space="preserve">  </w:t>
      </w:r>
      <w:r>
        <w:rPr>
          <w:rFonts w:hint="eastAsia" w:ascii="Times New Roman" w:hAnsi="Times New Roman"/>
          <w:color w:val="auto"/>
          <w:szCs w:val="21"/>
          <w:highlight w:val="none"/>
        </w:rPr>
        <w:t>管道不得直接敷设在建筑物结构层内，暗敷在墙槽中的给水支管应结合墙模厚度及墙体装饰做法预留管槽，敷设在墙体管槽内的给水支管的外径不宜大于</w:t>
      </w:r>
      <w:r>
        <w:rPr>
          <w:rFonts w:ascii="Times New Roman" w:hAnsi="Times New Roman"/>
          <w:color w:val="auto"/>
          <w:szCs w:val="21"/>
          <w:highlight w:val="none"/>
        </w:rPr>
        <w:t>25mm</w:t>
      </w:r>
      <w:r>
        <w:rPr>
          <w:rFonts w:hint="eastAsia" w:ascii="Times New Roman" w:hAnsi="Times New Roman"/>
          <w:color w:val="auto"/>
          <w:szCs w:val="21"/>
          <w:highlight w:val="none"/>
        </w:rPr>
        <w:t>；</w:t>
      </w:r>
      <w:bookmarkEnd w:id="676"/>
      <w:bookmarkEnd w:id="677"/>
    </w:p>
    <w:p w14:paraId="16CD860A">
      <w:pPr>
        <w:spacing w:line="360" w:lineRule="exact"/>
        <w:ind w:firstLine="422" w:firstLineChars="200"/>
        <w:rPr>
          <w:rFonts w:hint="eastAsia" w:ascii="Times New Roman" w:hAnsi="Times New Roman" w:eastAsia="宋体"/>
          <w:color w:val="auto"/>
          <w:szCs w:val="21"/>
          <w:highlight w:val="none"/>
          <w:lang w:eastAsia="zh-CN"/>
        </w:rPr>
      </w:pPr>
      <w:bookmarkStart w:id="678" w:name="_Toc17448"/>
      <w:bookmarkStart w:id="679" w:name="_Toc6188"/>
      <w:r>
        <w:rPr>
          <w:rFonts w:ascii="Times New Roman" w:hAnsi="Times New Roman"/>
          <w:b/>
          <w:bCs/>
          <w:color w:val="auto"/>
          <w:szCs w:val="21"/>
          <w:highlight w:val="none"/>
        </w:rPr>
        <w:t>3</w:t>
      </w:r>
      <w:r>
        <w:rPr>
          <w:rFonts w:ascii="Times New Roman" w:hAnsi="Times New Roman"/>
          <w:color w:val="auto"/>
          <w:szCs w:val="21"/>
          <w:highlight w:val="none"/>
        </w:rPr>
        <w:t xml:space="preserve">  </w:t>
      </w:r>
      <w:r>
        <w:rPr>
          <w:rFonts w:hint="eastAsia" w:ascii="Times New Roman" w:hAnsi="Times New Roman"/>
          <w:color w:val="auto"/>
          <w:szCs w:val="21"/>
          <w:highlight w:val="none"/>
        </w:rPr>
        <w:t>给水管道穿越混凝土梁模时，应在梁模上预留钢套管，预留钢套管定位应满足钢筋笼吊装、安装的要求</w:t>
      </w:r>
      <w:bookmarkEnd w:id="678"/>
      <w:bookmarkEnd w:id="679"/>
      <w:r>
        <w:rPr>
          <w:rFonts w:hint="eastAsia"/>
          <w:color w:val="auto"/>
          <w:szCs w:val="21"/>
          <w:highlight w:val="none"/>
          <w:lang w:eastAsia="zh-CN"/>
        </w:rPr>
        <w:t>；</w:t>
      </w:r>
    </w:p>
    <w:p w14:paraId="413818AC">
      <w:pPr>
        <w:spacing w:line="360" w:lineRule="exact"/>
        <w:ind w:firstLine="422" w:firstLineChars="200"/>
        <w:rPr>
          <w:rFonts w:ascii="Times New Roman" w:hAnsi="Times New Roman"/>
          <w:color w:val="auto"/>
          <w:szCs w:val="21"/>
          <w:highlight w:val="none"/>
        </w:rPr>
      </w:pPr>
      <w:bookmarkStart w:id="680" w:name="_Toc5803"/>
      <w:bookmarkStart w:id="681" w:name="_Toc28995"/>
      <w:r>
        <w:rPr>
          <w:rFonts w:hint="eastAsia"/>
          <w:b/>
          <w:bCs/>
          <w:color w:val="auto"/>
          <w:szCs w:val="21"/>
          <w:highlight w:val="none"/>
          <w:lang w:val="en-US" w:eastAsia="zh-CN"/>
        </w:rPr>
        <w:t>4</w:t>
      </w:r>
      <w:r>
        <w:rPr>
          <w:rFonts w:hint="eastAsia"/>
          <w:color w:val="auto"/>
          <w:szCs w:val="21"/>
          <w:highlight w:val="none"/>
          <w:lang w:val="en-US" w:eastAsia="zh-CN"/>
        </w:rPr>
        <w:t xml:space="preserve">  </w:t>
      </w:r>
      <w:r>
        <w:rPr>
          <w:rFonts w:hint="eastAsia" w:ascii="Times New Roman" w:hAnsi="Times New Roman"/>
          <w:color w:val="auto"/>
          <w:szCs w:val="21"/>
          <w:highlight w:val="none"/>
        </w:rPr>
        <w:t>敷设在吊顶或楼地面架空层的给水管道应采取防腐蚀、隔声减噪和防结露等措施。</w:t>
      </w:r>
      <w:bookmarkEnd w:id="680"/>
      <w:bookmarkEnd w:id="681"/>
    </w:p>
    <w:p w14:paraId="5C9AC4F5">
      <w:pPr>
        <w:widowControl/>
        <w:spacing w:line="360" w:lineRule="exact"/>
        <w:rPr>
          <w:color w:val="auto"/>
          <w:szCs w:val="21"/>
          <w:highlight w:val="none"/>
        </w:rPr>
      </w:pPr>
      <w:bookmarkStart w:id="682" w:name="_Toc28705"/>
      <w:bookmarkStart w:id="683" w:name="_Toc2307"/>
      <w:bookmarkStart w:id="684" w:name="_Toc690"/>
      <w:bookmarkStart w:id="685" w:name="_Toc27125"/>
      <w:bookmarkStart w:id="686" w:name="_Toc15487"/>
      <w:r>
        <w:rPr>
          <w:rFonts w:hint="eastAsia"/>
          <w:b/>
          <w:bCs/>
          <w:color w:val="auto"/>
          <w:szCs w:val="21"/>
          <w:highlight w:val="none"/>
        </w:rPr>
        <w:t>7.</w:t>
      </w:r>
      <w:r>
        <w:rPr>
          <w:b/>
          <w:bCs/>
          <w:color w:val="auto"/>
          <w:szCs w:val="21"/>
          <w:highlight w:val="none"/>
        </w:rPr>
        <w:t xml:space="preserve">2.3 </w:t>
      </w:r>
      <w:r>
        <w:rPr>
          <w:color w:val="auto"/>
          <w:szCs w:val="21"/>
          <w:highlight w:val="none"/>
        </w:rPr>
        <w:t xml:space="preserve"> 排水设计应符合下列规定：</w:t>
      </w:r>
      <w:bookmarkEnd w:id="682"/>
      <w:bookmarkEnd w:id="683"/>
      <w:bookmarkEnd w:id="684"/>
      <w:bookmarkEnd w:id="685"/>
      <w:bookmarkEnd w:id="686"/>
    </w:p>
    <w:p w14:paraId="63F1B20B">
      <w:pPr>
        <w:spacing w:line="360" w:lineRule="exact"/>
        <w:ind w:firstLine="422" w:firstLineChars="200"/>
        <w:rPr>
          <w:rFonts w:ascii="Times New Roman" w:hAnsi="Times New Roman"/>
          <w:color w:val="auto"/>
          <w:szCs w:val="21"/>
          <w:highlight w:val="none"/>
        </w:rPr>
      </w:pPr>
      <w:bookmarkStart w:id="687" w:name="_Toc28142"/>
      <w:bookmarkStart w:id="688" w:name="_Toc24819"/>
      <w:r>
        <w:rPr>
          <w:rFonts w:ascii="Times New Roman" w:hAnsi="Times New Roman"/>
          <w:b/>
          <w:bCs/>
          <w:color w:val="auto"/>
          <w:szCs w:val="21"/>
          <w:highlight w:val="none"/>
        </w:rPr>
        <w:t>1</w:t>
      </w:r>
      <w:r>
        <w:rPr>
          <w:rFonts w:ascii="Times New Roman" w:hAnsi="Times New Roman"/>
          <w:color w:val="auto"/>
          <w:szCs w:val="21"/>
          <w:highlight w:val="none"/>
        </w:rPr>
        <w:t xml:space="preserve">  </w:t>
      </w:r>
      <w:r>
        <w:rPr>
          <w:rFonts w:hint="eastAsia" w:ascii="Times New Roman" w:hAnsi="Times New Roman"/>
          <w:color w:val="auto"/>
          <w:szCs w:val="21"/>
          <w:highlight w:val="none"/>
        </w:rPr>
        <w:t>卫生间优先采用同层排水技术；并应结合建筑层高、楼板跨度、卫生部品及管道</w:t>
      </w:r>
      <w:bookmarkEnd w:id="687"/>
      <w:bookmarkEnd w:id="688"/>
      <w:r>
        <w:rPr>
          <w:rFonts w:hint="eastAsia"/>
          <w:color w:val="auto"/>
          <w:szCs w:val="21"/>
          <w:highlight w:val="none"/>
          <w:lang w:eastAsia="zh-CN"/>
        </w:rPr>
        <w:t>；</w:t>
      </w:r>
    </w:p>
    <w:p w14:paraId="3062DC54">
      <w:pPr>
        <w:spacing w:line="360" w:lineRule="exact"/>
        <w:ind w:firstLine="420" w:firstLineChars="200"/>
        <w:rPr>
          <w:rFonts w:ascii="Times New Roman" w:hAnsi="Times New Roman"/>
          <w:color w:val="auto"/>
          <w:szCs w:val="21"/>
          <w:highlight w:val="none"/>
        </w:rPr>
      </w:pPr>
      <w:bookmarkStart w:id="689" w:name="_Toc27141"/>
      <w:bookmarkStart w:id="690" w:name="_Toc1612"/>
      <w:r>
        <w:rPr>
          <w:rFonts w:hint="eastAsia" w:ascii="Times New Roman" w:hAnsi="Times New Roman"/>
          <w:color w:val="auto"/>
          <w:szCs w:val="21"/>
          <w:highlight w:val="none"/>
        </w:rPr>
        <w:t>长度、坡度等因素综合确定方案。同层排水管道敷设在架空层时，宜设置积水排出装置；</w:t>
      </w:r>
      <w:bookmarkEnd w:id="689"/>
      <w:bookmarkEnd w:id="690"/>
    </w:p>
    <w:p w14:paraId="05A06CC4">
      <w:pPr>
        <w:spacing w:line="360" w:lineRule="exact"/>
        <w:ind w:firstLine="422" w:firstLineChars="200"/>
        <w:rPr>
          <w:rFonts w:ascii="Times New Roman" w:hAnsi="Times New Roman"/>
          <w:color w:val="auto"/>
          <w:szCs w:val="21"/>
          <w:highlight w:val="none"/>
        </w:rPr>
      </w:pPr>
      <w:bookmarkStart w:id="691" w:name="_Toc10022"/>
      <w:bookmarkStart w:id="692" w:name="_Toc8319"/>
      <w:r>
        <w:rPr>
          <w:rFonts w:ascii="Times New Roman" w:hAnsi="Times New Roman"/>
          <w:b/>
          <w:bCs/>
          <w:color w:val="auto"/>
          <w:szCs w:val="21"/>
          <w:highlight w:val="none"/>
        </w:rPr>
        <w:t>2</w:t>
      </w:r>
      <w:r>
        <w:rPr>
          <w:rFonts w:ascii="Times New Roman" w:hAnsi="Times New Roman"/>
          <w:color w:val="auto"/>
          <w:szCs w:val="21"/>
          <w:highlight w:val="none"/>
        </w:rPr>
        <w:t xml:space="preserve">  </w:t>
      </w:r>
      <w:r>
        <w:rPr>
          <w:rFonts w:hint="eastAsia" w:ascii="Times New Roman" w:hAnsi="Times New Roman"/>
          <w:color w:val="auto"/>
          <w:szCs w:val="21"/>
          <w:highlight w:val="none"/>
        </w:rPr>
        <w:t>卫生间排水立管设置于室内时，应设置于排水管道井中，管道井的设置应便于上下层管道连接和检修；</w:t>
      </w:r>
      <w:bookmarkEnd w:id="691"/>
      <w:bookmarkEnd w:id="692"/>
    </w:p>
    <w:p w14:paraId="097EDD3F">
      <w:pPr>
        <w:spacing w:line="360" w:lineRule="exact"/>
        <w:ind w:firstLine="422" w:firstLineChars="200"/>
        <w:rPr>
          <w:rFonts w:hint="eastAsia" w:ascii="Times New Roman" w:hAnsi="Times New Roman" w:eastAsia="宋体"/>
          <w:color w:val="auto"/>
          <w:szCs w:val="21"/>
          <w:highlight w:val="none"/>
          <w:lang w:eastAsia="zh-CN"/>
        </w:rPr>
      </w:pPr>
      <w:bookmarkStart w:id="693" w:name="_Toc7709"/>
      <w:bookmarkStart w:id="694" w:name="_Toc16197"/>
      <w:r>
        <w:rPr>
          <w:rFonts w:ascii="Times New Roman" w:hAnsi="Times New Roman"/>
          <w:b/>
          <w:bCs/>
          <w:color w:val="auto"/>
          <w:szCs w:val="21"/>
          <w:highlight w:val="none"/>
        </w:rPr>
        <w:t>3</w:t>
      </w:r>
      <w:r>
        <w:rPr>
          <w:rFonts w:ascii="Times New Roman" w:hAnsi="Times New Roman"/>
          <w:color w:val="auto"/>
          <w:szCs w:val="21"/>
          <w:highlight w:val="none"/>
        </w:rPr>
        <w:t xml:space="preserve">  </w:t>
      </w:r>
      <w:r>
        <w:rPr>
          <w:rFonts w:hint="eastAsia" w:ascii="Times New Roman" w:hAnsi="Times New Roman"/>
          <w:color w:val="auto"/>
          <w:szCs w:val="21"/>
          <w:highlight w:val="none"/>
        </w:rPr>
        <w:t>卫生间模块排水支管水平穿墙模时，应预留钢套管，接管方式应满足现场施工工序的要求</w:t>
      </w:r>
      <w:bookmarkEnd w:id="693"/>
      <w:bookmarkEnd w:id="694"/>
      <w:r>
        <w:rPr>
          <w:rFonts w:hint="eastAsia"/>
          <w:color w:val="auto"/>
          <w:szCs w:val="21"/>
          <w:highlight w:val="none"/>
          <w:lang w:eastAsia="zh-CN"/>
        </w:rPr>
        <w:t>；</w:t>
      </w:r>
    </w:p>
    <w:p w14:paraId="52694F68">
      <w:pPr>
        <w:spacing w:line="360" w:lineRule="exact"/>
        <w:ind w:firstLine="422" w:firstLineChars="200"/>
        <w:rPr>
          <w:rFonts w:ascii="Times New Roman" w:hAnsi="Times New Roman"/>
          <w:color w:val="auto"/>
          <w:szCs w:val="21"/>
          <w:highlight w:val="none"/>
        </w:rPr>
      </w:pPr>
      <w:bookmarkStart w:id="695" w:name="_Toc7511"/>
      <w:bookmarkStart w:id="696" w:name="_Toc16337"/>
      <w:bookmarkStart w:id="697" w:name="_Toc29430"/>
      <w:r>
        <w:rPr>
          <w:rFonts w:ascii="Times New Roman" w:hAnsi="Times New Roman"/>
          <w:b/>
          <w:bCs/>
          <w:color w:val="auto"/>
          <w:szCs w:val="21"/>
          <w:highlight w:val="none"/>
        </w:rPr>
        <w:t>4</w:t>
      </w:r>
      <w:r>
        <w:rPr>
          <w:rFonts w:ascii="Times New Roman" w:hAnsi="Times New Roman"/>
          <w:color w:val="auto"/>
          <w:szCs w:val="21"/>
          <w:highlight w:val="none"/>
        </w:rPr>
        <w:t xml:space="preserve">  </w:t>
      </w:r>
      <w:r>
        <w:rPr>
          <w:rFonts w:hint="eastAsia" w:ascii="Times New Roman" w:hAnsi="Times New Roman"/>
          <w:color w:val="auto"/>
          <w:szCs w:val="21"/>
          <w:highlight w:val="none"/>
        </w:rPr>
        <w:t>排水支管采用集成化的新技术、新产品时应有可靠依据。</w:t>
      </w:r>
      <w:bookmarkEnd w:id="695"/>
      <w:bookmarkEnd w:id="696"/>
      <w:bookmarkEnd w:id="697"/>
    </w:p>
    <w:p w14:paraId="2AD5CD10">
      <w:pPr>
        <w:pStyle w:val="3"/>
        <w:spacing w:before="166" w:beforeLines="50" w:after="166" w:afterLines="50" w:line="360" w:lineRule="auto"/>
        <w:jc w:val="center"/>
        <w:rPr>
          <w:rFonts w:ascii="Times New Roman" w:hAnsi="Times New Roman" w:eastAsia="黑体" w:cs="Times New Roman"/>
          <w:color w:val="auto"/>
          <w:sz w:val="24"/>
          <w:szCs w:val="24"/>
          <w:highlight w:val="none"/>
        </w:rPr>
      </w:pPr>
      <w:bookmarkStart w:id="698" w:name="_Toc24799"/>
      <w:bookmarkStart w:id="699" w:name="_Toc4357"/>
      <w:bookmarkStart w:id="700" w:name="_Toc32409"/>
      <w:bookmarkStart w:id="701" w:name="_Toc19837"/>
      <w:bookmarkStart w:id="702" w:name="_Toc13282"/>
      <w:bookmarkStart w:id="703" w:name="_Toc2480"/>
      <w:bookmarkStart w:id="704" w:name="_Toc16292"/>
      <w:bookmarkStart w:id="705" w:name="_Toc19970"/>
      <w:r>
        <w:rPr>
          <w:rFonts w:hint="eastAsia" w:ascii="Times New Roman" w:hAnsi="Times New Roman" w:eastAsia="黑体" w:cs="Times New Roman"/>
          <w:b/>
          <w:color w:val="auto"/>
          <w:sz w:val="24"/>
          <w:szCs w:val="24"/>
          <w:highlight w:val="none"/>
        </w:rPr>
        <w:t>7.</w:t>
      </w:r>
      <w:r>
        <w:rPr>
          <w:rFonts w:ascii="Times New Roman" w:hAnsi="Times New Roman" w:eastAsia="黑体" w:cs="Times New Roman"/>
          <w:b/>
          <w:color w:val="auto"/>
          <w:sz w:val="24"/>
          <w:szCs w:val="24"/>
          <w:highlight w:val="none"/>
        </w:rPr>
        <w:t xml:space="preserve">3 </w:t>
      </w:r>
      <w:r>
        <w:rPr>
          <w:rFonts w:ascii="Times New Roman" w:hAnsi="Times New Roman" w:eastAsia="黑体" w:cs="Times New Roman"/>
          <w:color w:val="auto"/>
          <w:sz w:val="24"/>
          <w:szCs w:val="24"/>
          <w:highlight w:val="none"/>
        </w:rPr>
        <w:t xml:space="preserve"> 通风、空调及燃气</w:t>
      </w:r>
      <w:bookmarkEnd w:id="666"/>
      <w:bookmarkEnd w:id="667"/>
      <w:r>
        <w:rPr>
          <w:rFonts w:ascii="Times New Roman" w:hAnsi="Times New Roman" w:eastAsia="黑体" w:cs="Times New Roman"/>
          <w:color w:val="auto"/>
          <w:sz w:val="24"/>
          <w:szCs w:val="24"/>
          <w:highlight w:val="none"/>
        </w:rPr>
        <w:t>系统</w:t>
      </w:r>
      <w:bookmarkEnd w:id="668"/>
      <w:bookmarkEnd w:id="698"/>
      <w:bookmarkEnd w:id="699"/>
      <w:bookmarkEnd w:id="700"/>
      <w:bookmarkEnd w:id="701"/>
      <w:bookmarkEnd w:id="702"/>
      <w:bookmarkEnd w:id="703"/>
      <w:bookmarkEnd w:id="704"/>
      <w:bookmarkEnd w:id="705"/>
    </w:p>
    <w:p w14:paraId="3ECDFBFB">
      <w:pPr>
        <w:widowControl/>
        <w:spacing w:line="360" w:lineRule="exact"/>
        <w:rPr>
          <w:color w:val="auto"/>
          <w:szCs w:val="21"/>
          <w:highlight w:val="none"/>
        </w:rPr>
      </w:pPr>
      <w:r>
        <w:rPr>
          <w:rFonts w:hint="eastAsia"/>
          <w:b/>
          <w:bCs/>
          <w:color w:val="auto"/>
          <w:szCs w:val="21"/>
          <w:highlight w:val="none"/>
        </w:rPr>
        <w:t>7.</w:t>
      </w:r>
      <w:r>
        <w:rPr>
          <w:b/>
          <w:bCs/>
          <w:color w:val="auto"/>
          <w:szCs w:val="21"/>
          <w:highlight w:val="none"/>
        </w:rPr>
        <w:t>3.1</w:t>
      </w:r>
      <w:r>
        <w:rPr>
          <w:b/>
          <w:color w:val="auto"/>
          <w:szCs w:val="21"/>
          <w:highlight w:val="none"/>
        </w:rPr>
        <w:t xml:space="preserve"> </w:t>
      </w:r>
      <w:r>
        <w:rPr>
          <w:color w:val="auto"/>
          <w:szCs w:val="21"/>
          <w:highlight w:val="none"/>
        </w:rPr>
        <w:t xml:space="preserve"> 混凝土模块化建筑的供暖、通风、空调设计应符合现行国家标准《民用建筑供暖通风与空气调节设计规范》GB 50736的有关规定。</w:t>
      </w:r>
    </w:p>
    <w:p w14:paraId="0987E51C">
      <w:pPr>
        <w:widowControl/>
        <w:spacing w:line="360" w:lineRule="exact"/>
        <w:rPr>
          <w:color w:val="auto"/>
          <w:szCs w:val="21"/>
          <w:highlight w:val="none"/>
        </w:rPr>
      </w:pPr>
      <w:bookmarkStart w:id="706" w:name="_Toc27271"/>
      <w:bookmarkStart w:id="707" w:name="_Toc17620"/>
      <w:bookmarkStart w:id="708" w:name="_Toc19712"/>
      <w:bookmarkStart w:id="709" w:name="_Toc31559"/>
      <w:bookmarkStart w:id="710" w:name="_Toc18621"/>
      <w:r>
        <w:rPr>
          <w:rFonts w:hint="eastAsia"/>
          <w:b/>
          <w:bCs/>
          <w:color w:val="auto"/>
          <w:szCs w:val="21"/>
          <w:highlight w:val="none"/>
        </w:rPr>
        <w:t>7.</w:t>
      </w:r>
      <w:r>
        <w:rPr>
          <w:b/>
          <w:bCs/>
          <w:color w:val="auto"/>
          <w:szCs w:val="21"/>
          <w:highlight w:val="none"/>
        </w:rPr>
        <w:t>3.2</w:t>
      </w:r>
      <w:r>
        <w:rPr>
          <w:b/>
          <w:color w:val="auto"/>
          <w:szCs w:val="21"/>
          <w:highlight w:val="none"/>
        </w:rPr>
        <w:t xml:space="preserve"> </w:t>
      </w:r>
      <w:r>
        <w:rPr>
          <w:color w:val="auto"/>
          <w:szCs w:val="21"/>
          <w:highlight w:val="none"/>
        </w:rPr>
        <w:t xml:space="preserve"> 通风与空调设备、管线设计应符合下列规定：</w:t>
      </w:r>
      <w:bookmarkEnd w:id="706"/>
      <w:bookmarkEnd w:id="707"/>
      <w:bookmarkEnd w:id="708"/>
      <w:bookmarkEnd w:id="709"/>
      <w:bookmarkEnd w:id="710"/>
    </w:p>
    <w:p w14:paraId="58CE5AF7">
      <w:pPr>
        <w:spacing w:line="360" w:lineRule="exact"/>
        <w:ind w:firstLine="420" w:firstLineChars="200"/>
        <w:rPr>
          <w:rFonts w:ascii="Times New Roman" w:hAnsi="Times New Roman"/>
          <w:color w:val="auto"/>
          <w:szCs w:val="21"/>
          <w:highlight w:val="none"/>
        </w:rPr>
      </w:pPr>
      <w:bookmarkStart w:id="711" w:name="_Toc21417"/>
      <w:bookmarkStart w:id="712" w:name="_Toc29691"/>
      <w:r>
        <w:rPr>
          <w:rFonts w:ascii="Times New Roman" w:hAnsi="Times New Roman"/>
          <w:color w:val="auto"/>
          <w:szCs w:val="21"/>
          <w:highlight w:val="none"/>
        </w:rPr>
        <w:t xml:space="preserve">1  </w:t>
      </w:r>
      <w:r>
        <w:rPr>
          <w:rFonts w:hint="eastAsia" w:ascii="Times New Roman" w:hAnsi="Times New Roman"/>
          <w:color w:val="auto"/>
          <w:szCs w:val="21"/>
          <w:highlight w:val="none"/>
        </w:rPr>
        <w:t>模块内通风与空调设备、管线应方便维修更换，维修更换时不应影响主体结构，并宜与主体结构分离；</w:t>
      </w:r>
      <w:bookmarkEnd w:id="711"/>
      <w:bookmarkEnd w:id="712"/>
    </w:p>
    <w:p w14:paraId="1F22735E">
      <w:pPr>
        <w:spacing w:line="360" w:lineRule="exact"/>
        <w:ind w:firstLine="422" w:firstLineChars="200"/>
        <w:rPr>
          <w:rFonts w:ascii="Times New Roman" w:hAnsi="Times New Roman"/>
          <w:color w:val="auto"/>
          <w:szCs w:val="21"/>
          <w:highlight w:val="none"/>
        </w:rPr>
      </w:pPr>
      <w:bookmarkStart w:id="713" w:name="_Toc1741"/>
      <w:bookmarkStart w:id="714" w:name="_Toc6909"/>
      <w:r>
        <w:rPr>
          <w:rFonts w:ascii="Times New Roman" w:hAnsi="Times New Roman"/>
          <w:b/>
          <w:bCs/>
          <w:color w:val="auto"/>
          <w:szCs w:val="21"/>
          <w:highlight w:val="none"/>
        </w:rPr>
        <w:t>2</w:t>
      </w:r>
      <w:r>
        <w:rPr>
          <w:rFonts w:ascii="Times New Roman" w:hAnsi="Times New Roman"/>
          <w:color w:val="auto"/>
          <w:szCs w:val="21"/>
          <w:highlight w:val="none"/>
        </w:rPr>
        <w:t xml:space="preserve">  </w:t>
      </w:r>
      <w:r>
        <w:rPr>
          <w:rFonts w:hint="eastAsia" w:ascii="Times New Roman" w:hAnsi="Times New Roman"/>
          <w:color w:val="auto"/>
          <w:szCs w:val="21"/>
          <w:highlight w:val="none"/>
        </w:rPr>
        <w:t>模块内通风与空调设备、管线应定位准确，并宜集中设置、减少平面交叉；</w:t>
      </w:r>
      <w:bookmarkEnd w:id="713"/>
      <w:bookmarkEnd w:id="714"/>
    </w:p>
    <w:p w14:paraId="4FA98D92">
      <w:pPr>
        <w:spacing w:line="360" w:lineRule="exact"/>
        <w:ind w:firstLine="422" w:firstLineChars="200"/>
        <w:rPr>
          <w:rFonts w:ascii="Times New Roman" w:hAnsi="Times New Roman"/>
          <w:color w:val="auto"/>
          <w:szCs w:val="21"/>
          <w:highlight w:val="none"/>
        </w:rPr>
      </w:pPr>
      <w:bookmarkStart w:id="715" w:name="_Toc3064"/>
      <w:bookmarkStart w:id="716" w:name="_Toc21482"/>
      <w:r>
        <w:rPr>
          <w:rFonts w:ascii="Times New Roman" w:hAnsi="Times New Roman"/>
          <w:b/>
          <w:bCs/>
          <w:color w:val="auto"/>
          <w:szCs w:val="21"/>
          <w:highlight w:val="none"/>
        </w:rPr>
        <w:t>3</w:t>
      </w:r>
      <w:r>
        <w:rPr>
          <w:rFonts w:ascii="Times New Roman" w:hAnsi="Times New Roman"/>
          <w:color w:val="auto"/>
          <w:szCs w:val="21"/>
          <w:highlight w:val="none"/>
        </w:rPr>
        <w:t xml:space="preserve">  </w:t>
      </w:r>
      <w:r>
        <w:rPr>
          <w:rFonts w:hint="eastAsia" w:ascii="Times New Roman" w:hAnsi="Times New Roman"/>
          <w:color w:val="auto"/>
          <w:szCs w:val="21"/>
          <w:highlight w:val="none"/>
        </w:rPr>
        <w:t>模块内通风与空调设备的安装及管线敷设宜在工厂内完成，当设备整体安装时，管线应与模块单元上的预埋件可靠连接，并宜采取隔振、隔音措施；</w:t>
      </w:r>
      <w:bookmarkEnd w:id="715"/>
      <w:bookmarkEnd w:id="716"/>
    </w:p>
    <w:p w14:paraId="3758EDB4">
      <w:pPr>
        <w:spacing w:line="360" w:lineRule="exact"/>
        <w:ind w:firstLine="422" w:firstLineChars="200"/>
        <w:rPr>
          <w:rFonts w:hint="eastAsia" w:ascii="Times New Roman" w:hAnsi="Times New Roman" w:eastAsia="宋体"/>
          <w:color w:val="auto"/>
          <w:szCs w:val="21"/>
          <w:highlight w:val="none"/>
          <w:lang w:eastAsia="zh-CN"/>
        </w:rPr>
      </w:pPr>
      <w:bookmarkStart w:id="717" w:name="_Toc28780"/>
      <w:bookmarkStart w:id="718" w:name="_Toc26795"/>
      <w:r>
        <w:rPr>
          <w:rFonts w:ascii="Times New Roman" w:hAnsi="Times New Roman"/>
          <w:b/>
          <w:bCs/>
          <w:color w:val="auto"/>
          <w:szCs w:val="21"/>
          <w:highlight w:val="none"/>
        </w:rPr>
        <w:t>4</w:t>
      </w:r>
      <w:r>
        <w:rPr>
          <w:rFonts w:ascii="Times New Roman" w:hAnsi="Times New Roman"/>
          <w:color w:val="auto"/>
          <w:szCs w:val="21"/>
          <w:highlight w:val="none"/>
        </w:rPr>
        <w:t xml:space="preserve">  </w:t>
      </w:r>
      <w:r>
        <w:rPr>
          <w:rFonts w:hint="eastAsia" w:ascii="Times New Roman" w:hAnsi="Times New Roman"/>
          <w:color w:val="auto"/>
          <w:szCs w:val="21"/>
          <w:highlight w:val="none"/>
        </w:rPr>
        <w:t>模块间管线连接应符合《通风与空调工程施工规范》</w:t>
      </w:r>
      <w:r>
        <w:rPr>
          <w:rFonts w:ascii="Times New Roman" w:hAnsi="Times New Roman"/>
          <w:color w:val="auto"/>
          <w:szCs w:val="21"/>
          <w:highlight w:val="none"/>
        </w:rPr>
        <w:t>GB 50738</w:t>
      </w:r>
      <w:r>
        <w:rPr>
          <w:rFonts w:hint="eastAsia" w:ascii="Times New Roman" w:hAnsi="Times New Roman"/>
          <w:color w:val="auto"/>
          <w:szCs w:val="21"/>
          <w:highlight w:val="none"/>
        </w:rPr>
        <w:t>、《通风与空调工程施工质量验收规范》</w:t>
      </w:r>
      <w:r>
        <w:rPr>
          <w:rFonts w:ascii="Times New Roman" w:hAnsi="Times New Roman"/>
          <w:color w:val="auto"/>
          <w:szCs w:val="21"/>
          <w:highlight w:val="none"/>
        </w:rPr>
        <w:t>GB 50243</w:t>
      </w:r>
      <w:r>
        <w:rPr>
          <w:rFonts w:hint="eastAsia" w:ascii="Times New Roman" w:hAnsi="Times New Roman"/>
          <w:color w:val="auto"/>
          <w:szCs w:val="21"/>
          <w:highlight w:val="none"/>
        </w:rPr>
        <w:t>等相关要求</w:t>
      </w:r>
      <w:bookmarkEnd w:id="717"/>
      <w:bookmarkEnd w:id="718"/>
      <w:r>
        <w:rPr>
          <w:rFonts w:hint="eastAsia"/>
          <w:color w:val="auto"/>
          <w:szCs w:val="21"/>
          <w:highlight w:val="none"/>
          <w:lang w:eastAsia="zh-CN"/>
        </w:rPr>
        <w:t>。</w:t>
      </w:r>
    </w:p>
    <w:p w14:paraId="54950B9E">
      <w:pPr>
        <w:widowControl/>
        <w:spacing w:line="360" w:lineRule="exact"/>
        <w:rPr>
          <w:color w:val="auto"/>
          <w:szCs w:val="21"/>
          <w:highlight w:val="none"/>
        </w:rPr>
      </w:pPr>
      <w:bookmarkStart w:id="719" w:name="_Toc3749"/>
      <w:bookmarkStart w:id="720" w:name="_Toc26385"/>
      <w:bookmarkStart w:id="721" w:name="_Toc24883"/>
      <w:r>
        <w:rPr>
          <w:rFonts w:hint="eastAsia"/>
          <w:b/>
          <w:bCs/>
          <w:color w:val="auto"/>
          <w:szCs w:val="21"/>
          <w:highlight w:val="none"/>
        </w:rPr>
        <w:t>7.</w:t>
      </w:r>
      <w:r>
        <w:rPr>
          <w:b/>
          <w:bCs/>
          <w:color w:val="auto"/>
          <w:szCs w:val="21"/>
          <w:highlight w:val="none"/>
        </w:rPr>
        <w:t>3.3</w:t>
      </w:r>
      <w:r>
        <w:rPr>
          <w:b/>
          <w:color w:val="auto"/>
          <w:szCs w:val="21"/>
          <w:highlight w:val="none"/>
        </w:rPr>
        <w:t xml:space="preserve"> </w:t>
      </w:r>
      <w:r>
        <w:rPr>
          <w:color w:val="auto"/>
          <w:szCs w:val="21"/>
          <w:highlight w:val="none"/>
        </w:rPr>
        <w:t xml:space="preserve"> 模块单元中管线的预留预埋应符合下列规定：</w:t>
      </w:r>
      <w:bookmarkEnd w:id="719"/>
      <w:bookmarkEnd w:id="720"/>
      <w:bookmarkEnd w:id="721"/>
    </w:p>
    <w:p w14:paraId="69ED3AA4">
      <w:pPr>
        <w:spacing w:line="360" w:lineRule="exact"/>
        <w:ind w:firstLine="422" w:firstLineChars="200"/>
        <w:rPr>
          <w:rFonts w:hint="eastAsia" w:ascii="Times New Roman" w:hAnsi="Times New Roman" w:eastAsia="宋体"/>
          <w:color w:val="auto"/>
          <w:szCs w:val="21"/>
          <w:highlight w:val="none"/>
          <w:lang w:eastAsia="zh-CN"/>
        </w:rPr>
      </w:pPr>
      <w:bookmarkStart w:id="722" w:name="_Toc4600"/>
      <w:bookmarkStart w:id="723" w:name="_Toc25362"/>
      <w:r>
        <w:rPr>
          <w:rFonts w:ascii="Times New Roman" w:hAnsi="Times New Roman"/>
          <w:b/>
          <w:bCs/>
          <w:color w:val="auto"/>
          <w:szCs w:val="21"/>
          <w:highlight w:val="none"/>
        </w:rPr>
        <w:t>1</w:t>
      </w:r>
      <w:r>
        <w:rPr>
          <w:rFonts w:ascii="Times New Roman" w:hAnsi="Times New Roman"/>
          <w:color w:val="auto"/>
          <w:szCs w:val="21"/>
          <w:highlight w:val="none"/>
        </w:rPr>
        <w:t xml:space="preserve">  </w:t>
      </w:r>
      <w:r>
        <w:rPr>
          <w:rFonts w:hint="eastAsia" w:ascii="Times New Roman" w:hAnsi="Times New Roman"/>
          <w:color w:val="auto"/>
          <w:szCs w:val="21"/>
          <w:highlight w:val="none"/>
        </w:rPr>
        <w:t>穿梁和剪力墙的套管采用国标普通焊接钢套管，穿非承重墙时套管采用塑料套管</w:t>
      </w:r>
      <w:bookmarkEnd w:id="722"/>
      <w:bookmarkEnd w:id="723"/>
      <w:r>
        <w:rPr>
          <w:rFonts w:hint="eastAsia"/>
          <w:color w:val="auto"/>
          <w:szCs w:val="21"/>
          <w:highlight w:val="none"/>
          <w:lang w:eastAsia="zh-CN"/>
        </w:rPr>
        <w:t>；</w:t>
      </w:r>
    </w:p>
    <w:p w14:paraId="726C5EB3">
      <w:pPr>
        <w:spacing w:line="360" w:lineRule="exact"/>
        <w:ind w:firstLine="422" w:firstLineChars="200"/>
        <w:rPr>
          <w:rFonts w:ascii="Times New Roman" w:hAnsi="Times New Roman"/>
          <w:color w:val="auto"/>
          <w:szCs w:val="21"/>
          <w:highlight w:val="none"/>
        </w:rPr>
      </w:pPr>
      <w:bookmarkStart w:id="724" w:name="_Toc16869"/>
      <w:bookmarkStart w:id="725" w:name="_Toc26827"/>
      <w:r>
        <w:rPr>
          <w:rFonts w:ascii="Times New Roman" w:hAnsi="Times New Roman"/>
          <w:b/>
          <w:bCs/>
          <w:color w:val="auto"/>
          <w:szCs w:val="21"/>
          <w:highlight w:val="none"/>
        </w:rPr>
        <w:t xml:space="preserve">2 </w:t>
      </w:r>
      <w:r>
        <w:rPr>
          <w:rFonts w:ascii="Times New Roman" w:hAnsi="Times New Roman"/>
          <w:color w:val="auto"/>
          <w:szCs w:val="21"/>
          <w:highlight w:val="none"/>
        </w:rPr>
        <w:t xml:space="preserve"> </w:t>
      </w:r>
      <w:r>
        <w:rPr>
          <w:rFonts w:hint="eastAsia" w:ascii="Times New Roman" w:hAnsi="Times New Roman"/>
          <w:color w:val="auto"/>
          <w:szCs w:val="21"/>
          <w:highlight w:val="none"/>
        </w:rPr>
        <w:t>预留预埋套管应遵守结构设计模数网格，预制构件上预留的孔洞、套管、坑槽应选择在对构件受力影响最小的部位，孔洞位置应考虑模数，避开钢筋。</w:t>
      </w:r>
      <w:bookmarkEnd w:id="724"/>
      <w:bookmarkEnd w:id="725"/>
    </w:p>
    <w:p w14:paraId="214FE910">
      <w:pPr>
        <w:widowControl/>
        <w:spacing w:line="360" w:lineRule="exact"/>
        <w:rPr>
          <w:color w:val="auto"/>
          <w:szCs w:val="21"/>
          <w:highlight w:val="none"/>
        </w:rPr>
      </w:pPr>
      <w:r>
        <w:rPr>
          <w:rFonts w:hint="eastAsia"/>
          <w:b/>
          <w:bCs/>
          <w:color w:val="auto"/>
          <w:szCs w:val="21"/>
          <w:highlight w:val="none"/>
        </w:rPr>
        <w:t>7.</w:t>
      </w:r>
      <w:r>
        <w:rPr>
          <w:b/>
          <w:bCs/>
          <w:color w:val="auto"/>
          <w:szCs w:val="21"/>
          <w:highlight w:val="none"/>
        </w:rPr>
        <w:t>3.4</w:t>
      </w:r>
      <w:r>
        <w:rPr>
          <w:b/>
          <w:color w:val="auto"/>
          <w:szCs w:val="21"/>
          <w:highlight w:val="none"/>
        </w:rPr>
        <w:t xml:space="preserve"> </w:t>
      </w:r>
      <w:r>
        <w:rPr>
          <w:color w:val="auto"/>
          <w:szCs w:val="21"/>
          <w:highlight w:val="none"/>
        </w:rPr>
        <w:t xml:space="preserve"> 燃气系统设计应符合现行国家标准《城镇燃气设计规范》GB 50028的有关规定。</w:t>
      </w:r>
    </w:p>
    <w:p w14:paraId="6BEC07D3">
      <w:pPr>
        <w:pStyle w:val="3"/>
        <w:spacing w:before="166" w:beforeLines="50" w:after="166" w:afterLines="50" w:line="360" w:lineRule="auto"/>
        <w:jc w:val="center"/>
        <w:rPr>
          <w:rFonts w:ascii="Times New Roman" w:hAnsi="Times New Roman" w:eastAsia="黑体" w:cs="Times New Roman"/>
          <w:color w:val="auto"/>
          <w:sz w:val="24"/>
          <w:szCs w:val="24"/>
          <w:highlight w:val="none"/>
        </w:rPr>
      </w:pPr>
      <w:bookmarkStart w:id="726" w:name="_Toc110952722"/>
      <w:bookmarkStart w:id="727" w:name="_Toc110958490"/>
      <w:bookmarkStart w:id="728" w:name="_Toc17306"/>
      <w:bookmarkStart w:id="729" w:name="_Toc4393"/>
      <w:bookmarkStart w:id="730" w:name="_Toc17260"/>
      <w:bookmarkStart w:id="731" w:name="_Toc2652"/>
      <w:bookmarkStart w:id="732" w:name="_Toc6324"/>
      <w:bookmarkStart w:id="733" w:name="_Toc3700"/>
      <w:bookmarkStart w:id="734" w:name="_Toc4507"/>
      <w:bookmarkStart w:id="735" w:name="_Toc18137"/>
      <w:bookmarkStart w:id="736" w:name="_Toc31038"/>
      <w:r>
        <w:rPr>
          <w:rFonts w:hint="eastAsia" w:ascii="Times New Roman" w:hAnsi="Times New Roman" w:eastAsia="黑体" w:cs="Times New Roman"/>
          <w:b/>
          <w:color w:val="auto"/>
          <w:sz w:val="24"/>
          <w:szCs w:val="24"/>
          <w:highlight w:val="none"/>
        </w:rPr>
        <w:t>7.</w:t>
      </w:r>
      <w:r>
        <w:rPr>
          <w:rFonts w:ascii="Times New Roman" w:hAnsi="Times New Roman" w:eastAsia="黑体" w:cs="Times New Roman"/>
          <w:b/>
          <w:color w:val="auto"/>
          <w:sz w:val="24"/>
          <w:szCs w:val="24"/>
          <w:highlight w:val="none"/>
        </w:rPr>
        <w:t xml:space="preserve">4 </w:t>
      </w:r>
      <w:r>
        <w:rPr>
          <w:rFonts w:ascii="Times New Roman" w:hAnsi="Times New Roman" w:eastAsia="黑体" w:cs="Times New Roman"/>
          <w:color w:val="auto"/>
          <w:sz w:val="24"/>
          <w:szCs w:val="24"/>
          <w:highlight w:val="none"/>
        </w:rPr>
        <w:t xml:space="preserve"> 电 气 系 统</w:t>
      </w:r>
      <w:bookmarkEnd w:id="726"/>
      <w:bookmarkEnd w:id="727"/>
      <w:bookmarkEnd w:id="728"/>
      <w:bookmarkEnd w:id="729"/>
      <w:bookmarkEnd w:id="730"/>
      <w:bookmarkEnd w:id="731"/>
      <w:bookmarkEnd w:id="732"/>
      <w:bookmarkEnd w:id="733"/>
      <w:bookmarkEnd w:id="734"/>
      <w:bookmarkEnd w:id="735"/>
      <w:bookmarkEnd w:id="736"/>
    </w:p>
    <w:p w14:paraId="4B9864F4">
      <w:pPr>
        <w:widowControl/>
        <w:spacing w:line="360" w:lineRule="exact"/>
        <w:rPr>
          <w:color w:val="auto"/>
          <w:szCs w:val="21"/>
          <w:highlight w:val="none"/>
        </w:rPr>
      </w:pPr>
      <w:bookmarkStart w:id="737" w:name="_Toc22308"/>
      <w:r>
        <w:rPr>
          <w:rFonts w:hint="eastAsia"/>
          <w:b/>
          <w:bCs/>
          <w:color w:val="auto"/>
          <w:szCs w:val="21"/>
          <w:highlight w:val="none"/>
        </w:rPr>
        <w:t>7.</w:t>
      </w:r>
      <w:r>
        <w:rPr>
          <w:b/>
          <w:bCs/>
          <w:color w:val="auto"/>
          <w:szCs w:val="21"/>
          <w:highlight w:val="none"/>
        </w:rPr>
        <w:t xml:space="preserve">4.1 </w:t>
      </w:r>
      <w:r>
        <w:rPr>
          <w:color w:val="auto"/>
          <w:szCs w:val="21"/>
          <w:highlight w:val="none"/>
        </w:rPr>
        <w:t xml:space="preserve"> 混凝土模块化建筑的电气及智能化设备和管线宜采用工厂预制与装配，其设计应满足工厂生产、施工安装及使用维护的要求，建筑的部件与电气设备及管线之间的连接应采用标准化接口，并便于安装维护。电气及智能化设计和设备选型，应符合现行国家标准的要求。</w:t>
      </w:r>
    </w:p>
    <w:p w14:paraId="44D6BC52">
      <w:pPr>
        <w:widowControl/>
        <w:spacing w:line="360" w:lineRule="exact"/>
        <w:rPr>
          <w:color w:val="auto"/>
          <w:szCs w:val="21"/>
          <w:highlight w:val="none"/>
        </w:rPr>
      </w:pPr>
      <w:bookmarkStart w:id="738" w:name="_Toc25746"/>
      <w:bookmarkStart w:id="739" w:name="_Toc2171"/>
      <w:r>
        <w:rPr>
          <w:rFonts w:hint="eastAsia"/>
          <w:b/>
          <w:bCs/>
          <w:color w:val="auto"/>
          <w:szCs w:val="21"/>
          <w:highlight w:val="none"/>
        </w:rPr>
        <w:t>7.</w:t>
      </w:r>
      <w:r>
        <w:rPr>
          <w:b/>
          <w:bCs/>
          <w:color w:val="auto"/>
          <w:szCs w:val="21"/>
          <w:highlight w:val="none"/>
        </w:rPr>
        <w:t>4.2</w:t>
      </w:r>
      <w:r>
        <w:rPr>
          <w:b/>
          <w:color w:val="auto"/>
          <w:szCs w:val="21"/>
          <w:highlight w:val="none"/>
        </w:rPr>
        <w:t xml:space="preserve"> </w:t>
      </w:r>
      <w:r>
        <w:rPr>
          <w:color w:val="auto"/>
          <w:szCs w:val="21"/>
          <w:highlight w:val="none"/>
        </w:rPr>
        <w:t xml:space="preserve"> 混凝土模块化建筑的电气设备与管线设计应符合下列规定：</w:t>
      </w:r>
      <w:bookmarkEnd w:id="738"/>
      <w:bookmarkEnd w:id="739"/>
    </w:p>
    <w:p w14:paraId="04B4FA1D">
      <w:pPr>
        <w:spacing w:line="360" w:lineRule="exact"/>
        <w:ind w:firstLine="422" w:firstLineChars="200"/>
        <w:rPr>
          <w:rFonts w:ascii="Times New Roman" w:hAnsi="Times New Roman"/>
          <w:color w:val="auto"/>
          <w:szCs w:val="21"/>
          <w:highlight w:val="none"/>
        </w:rPr>
      </w:pPr>
      <w:bookmarkStart w:id="740" w:name="_Toc30855"/>
      <w:bookmarkStart w:id="741" w:name="_Toc5441"/>
      <w:bookmarkStart w:id="742" w:name="_Toc24543"/>
      <w:bookmarkStart w:id="743" w:name="_Toc26240"/>
      <w:r>
        <w:rPr>
          <w:rFonts w:ascii="Times New Roman" w:hAnsi="Times New Roman"/>
          <w:b/>
          <w:bCs/>
          <w:color w:val="auto"/>
          <w:szCs w:val="21"/>
          <w:highlight w:val="none"/>
        </w:rPr>
        <w:t xml:space="preserve">1 </w:t>
      </w:r>
      <w:r>
        <w:rPr>
          <w:rFonts w:ascii="Times New Roman" w:hAnsi="Times New Roman"/>
          <w:color w:val="auto"/>
          <w:szCs w:val="21"/>
          <w:highlight w:val="none"/>
        </w:rPr>
        <w:t xml:space="preserve"> </w:t>
      </w:r>
      <w:bookmarkEnd w:id="740"/>
      <w:bookmarkStart w:id="744" w:name="_Hlk174365817"/>
      <w:r>
        <w:rPr>
          <w:rFonts w:hint="eastAsia" w:ascii="Times New Roman" w:hAnsi="Times New Roman"/>
          <w:color w:val="auto"/>
          <w:szCs w:val="21"/>
          <w:highlight w:val="none"/>
        </w:rPr>
        <w:t>当模块单元在工厂进行预制时，模块内的电气设备及管线宜在工厂内完成预制；</w:t>
      </w:r>
      <w:bookmarkEnd w:id="741"/>
      <w:bookmarkEnd w:id="742"/>
      <w:bookmarkEnd w:id="743"/>
      <w:bookmarkEnd w:id="744"/>
    </w:p>
    <w:p w14:paraId="6C3DA15A">
      <w:pPr>
        <w:spacing w:line="360" w:lineRule="exact"/>
        <w:ind w:firstLine="422" w:firstLineChars="200"/>
        <w:rPr>
          <w:rFonts w:ascii="Times New Roman" w:hAnsi="Times New Roman"/>
          <w:color w:val="auto"/>
          <w:szCs w:val="21"/>
          <w:highlight w:val="none"/>
        </w:rPr>
      </w:pPr>
      <w:bookmarkStart w:id="745" w:name="_Toc6330"/>
      <w:bookmarkStart w:id="746" w:name="_Toc15935"/>
      <w:bookmarkStart w:id="747" w:name="_Toc29458"/>
      <w:r>
        <w:rPr>
          <w:rFonts w:ascii="Times New Roman" w:hAnsi="Times New Roman"/>
          <w:b/>
          <w:bCs/>
          <w:color w:val="auto"/>
          <w:szCs w:val="21"/>
          <w:highlight w:val="none"/>
        </w:rPr>
        <w:t xml:space="preserve">2 </w:t>
      </w:r>
      <w:r>
        <w:rPr>
          <w:rFonts w:ascii="Times New Roman" w:hAnsi="Times New Roman"/>
          <w:color w:val="auto"/>
          <w:szCs w:val="21"/>
          <w:highlight w:val="none"/>
        </w:rPr>
        <w:t xml:space="preserve"> </w:t>
      </w:r>
      <w:r>
        <w:rPr>
          <w:rFonts w:hint="eastAsia" w:ascii="Times New Roman" w:hAnsi="Times New Roman"/>
          <w:color w:val="auto"/>
          <w:szCs w:val="21"/>
          <w:highlight w:val="none"/>
        </w:rPr>
        <w:t>设备与管线宜与主体结构相分离，应方便维修更换，且不应影响主体结构安全；当管线必须暗敷时，宜在结构现浇层或垫层内敷设；</w:t>
      </w:r>
      <w:bookmarkEnd w:id="745"/>
      <w:bookmarkEnd w:id="746"/>
      <w:bookmarkEnd w:id="747"/>
    </w:p>
    <w:p w14:paraId="6324835C">
      <w:pPr>
        <w:spacing w:line="360" w:lineRule="exact"/>
        <w:ind w:firstLine="422" w:firstLineChars="200"/>
        <w:rPr>
          <w:rFonts w:ascii="Times New Roman" w:hAnsi="Times New Roman"/>
          <w:color w:val="auto"/>
          <w:szCs w:val="21"/>
          <w:highlight w:val="none"/>
        </w:rPr>
      </w:pPr>
      <w:bookmarkStart w:id="748" w:name="_Toc23785"/>
      <w:bookmarkStart w:id="749" w:name="_Toc15870"/>
      <w:bookmarkStart w:id="750" w:name="_Toc23791"/>
      <w:r>
        <w:rPr>
          <w:rFonts w:ascii="Times New Roman" w:hAnsi="Times New Roman"/>
          <w:b/>
          <w:bCs/>
          <w:color w:val="auto"/>
          <w:szCs w:val="21"/>
          <w:highlight w:val="none"/>
        </w:rPr>
        <w:t>3</w:t>
      </w:r>
      <w:r>
        <w:rPr>
          <w:rFonts w:ascii="Times New Roman" w:hAnsi="Times New Roman"/>
          <w:color w:val="auto"/>
          <w:szCs w:val="21"/>
          <w:highlight w:val="none"/>
        </w:rPr>
        <w:t xml:space="preserve">  </w:t>
      </w:r>
      <w:r>
        <w:rPr>
          <w:rFonts w:hint="eastAsia" w:ascii="Times New Roman" w:hAnsi="Times New Roman"/>
          <w:color w:val="auto"/>
          <w:szCs w:val="21"/>
          <w:highlight w:val="none"/>
        </w:rPr>
        <w:t>电气与智能化管线应进行综合设计，集中设置、准确定位、减少平面交叉，同一部位严禁</w:t>
      </w:r>
      <w:r>
        <w:rPr>
          <w:rFonts w:ascii="Times New Roman" w:hAnsi="Times New Roman"/>
          <w:color w:val="auto"/>
          <w:szCs w:val="21"/>
          <w:highlight w:val="none"/>
        </w:rPr>
        <w:t>2</w:t>
      </w:r>
      <w:r>
        <w:rPr>
          <w:rFonts w:hint="eastAsia" w:ascii="Times New Roman" w:hAnsi="Times New Roman"/>
          <w:color w:val="auto"/>
          <w:szCs w:val="21"/>
          <w:highlight w:val="none"/>
        </w:rPr>
        <w:t>根以上管线交叉敷设；</w:t>
      </w:r>
      <w:bookmarkEnd w:id="748"/>
      <w:bookmarkEnd w:id="749"/>
      <w:bookmarkEnd w:id="750"/>
    </w:p>
    <w:p w14:paraId="662F64B8">
      <w:pPr>
        <w:spacing w:line="360" w:lineRule="exact"/>
        <w:ind w:firstLine="422" w:firstLineChars="200"/>
        <w:rPr>
          <w:rFonts w:ascii="Times New Roman" w:hAnsi="Times New Roman"/>
          <w:color w:val="auto"/>
          <w:szCs w:val="21"/>
          <w:highlight w:val="none"/>
        </w:rPr>
      </w:pPr>
      <w:bookmarkStart w:id="751" w:name="_Toc282"/>
      <w:bookmarkStart w:id="752" w:name="_Toc14036"/>
      <w:bookmarkStart w:id="753" w:name="_Toc21421"/>
      <w:r>
        <w:rPr>
          <w:rFonts w:ascii="Times New Roman" w:hAnsi="Times New Roman"/>
          <w:b/>
          <w:bCs/>
          <w:color w:val="auto"/>
          <w:szCs w:val="21"/>
          <w:highlight w:val="none"/>
        </w:rPr>
        <w:t>4</w:t>
      </w:r>
      <w:r>
        <w:rPr>
          <w:rFonts w:ascii="Times New Roman" w:hAnsi="Times New Roman"/>
          <w:color w:val="auto"/>
          <w:szCs w:val="21"/>
          <w:highlight w:val="none"/>
        </w:rPr>
        <w:t xml:space="preserve">  </w:t>
      </w:r>
      <w:r>
        <w:rPr>
          <w:rFonts w:hint="eastAsia" w:ascii="Times New Roman" w:hAnsi="Times New Roman"/>
          <w:color w:val="auto"/>
          <w:szCs w:val="21"/>
          <w:highlight w:val="none"/>
        </w:rPr>
        <w:t>电气与智能化管线宜采用同层敷设方式，结合装配式装修在架空层、吊顶、隔墙空腔内敷设，并减少上下模块间的竖向连接，竖向管线宜统一设置在预制板内或装饰墙体内集中引下，并保持安全间距；</w:t>
      </w:r>
      <w:bookmarkEnd w:id="751"/>
      <w:bookmarkEnd w:id="752"/>
      <w:bookmarkEnd w:id="753"/>
    </w:p>
    <w:p w14:paraId="4551343F">
      <w:pPr>
        <w:spacing w:line="360" w:lineRule="exact"/>
        <w:ind w:firstLine="422" w:firstLineChars="200"/>
        <w:rPr>
          <w:rFonts w:ascii="Times New Roman" w:hAnsi="Times New Roman"/>
          <w:color w:val="auto"/>
          <w:szCs w:val="21"/>
          <w:highlight w:val="none"/>
        </w:rPr>
      </w:pPr>
      <w:bookmarkStart w:id="754" w:name="_Toc10203"/>
      <w:bookmarkStart w:id="755" w:name="_Toc22535"/>
      <w:bookmarkStart w:id="756" w:name="_Toc20488"/>
      <w:r>
        <w:rPr>
          <w:rFonts w:ascii="Times New Roman" w:hAnsi="Times New Roman"/>
          <w:b/>
          <w:bCs/>
          <w:color w:val="auto"/>
          <w:szCs w:val="21"/>
          <w:highlight w:val="none"/>
        </w:rPr>
        <w:t>5</w:t>
      </w:r>
      <w:r>
        <w:rPr>
          <w:rFonts w:ascii="Times New Roman" w:hAnsi="Times New Roman"/>
          <w:color w:val="auto"/>
          <w:szCs w:val="21"/>
          <w:highlight w:val="none"/>
        </w:rPr>
        <w:t xml:space="preserve">  </w:t>
      </w:r>
      <w:r>
        <w:rPr>
          <w:rFonts w:hint="eastAsia" w:ascii="Times New Roman" w:hAnsi="Times New Roman"/>
          <w:color w:val="auto"/>
          <w:szCs w:val="21"/>
          <w:highlight w:val="none"/>
        </w:rPr>
        <w:t>设备与管线设计应与主体结构设计同步进行，预留预埋等应满足结构专业相关要求，不得在安装完成后的预制构件上剔槽沟槽、打孔开洞等；</w:t>
      </w:r>
      <w:bookmarkEnd w:id="754"/>
      <w:bookmarkEnd w:id="755"/>
      <w:bookmarkEnd w:id="756"/>
    </w:p>
    <w:p w14:paraId="77A85A6A">
      <w:pPr>
        <w:spacing w:line="360" w:lineRule="exact"/>
        <w:ind w:firstLine="422" w:firstLineChars="200"/>
        <w:rPr>
          <w:rFonts w:hint="eastAsia" w:ascii="Times New Roman" w:hAnsi="Times New Roman" w:eastAsia="宋体"/>
          <w:color w:val="auto"/>
          <w:szCs w:val="21"/>
          <w:highlight w:val="none"/>
          <w:lang w:eastAsia="zh-CN"/>
        </w:rPr>
      </w:pPr>
      <w:bookmarkStart w:id="757" w:name="_Toc113"/>
      <w:bookmarkStart w:id="758" w:name="_Toc22537"/>
      <w:bookmarkStart w:id="759" w:name="_Toc11833"/>
      <w:r>
        <w:rPr>
          <w:rFonts w:ascii="Times New Roman" w:hAnsi="Times New Roman"/>
          <w:b/>
          <w:bCs/>
          <w:color w:val="auto"/>
          <w:szCs w:val="21"/>
          <w:highlight w:val="none"/>
        </w:rPr>
        <w:t>6</w:t>
      </w:r>
      <w:r>
        <w:rPr>
          <w:rFonts w:ascii="Times New Roman" w:hAnsi="Times New Roman"/>
          <w:color w:val="auto"/>
          <w:szCs w:val="21"/>
          <w:highlight w:val="none"/>
        </w:rPr>
        <w:t xml:space="preserve">  </w:t>
      </w:r>
      <w:r>
        <w:rPr>
          <w:rFonts w:hint="eastAsia" w:ascii="Times New Roman" w:hAnsi="Times New Roman"/>
          <w:color w:val="auto"/>
          <w:szCs w:val="21"/>
          <w:highlight w:val="none"/>
        </w:rPr>
        <w:t>设备与管线穿越楼板和墙体时，应有防水、防火、隔声、密封等措施，防火封堵应满足现行国家标准《建筑设计防火规范》</w:t>
      </w:r>
      <w:r>
        <w:rPr>
          <w:rFonts w:ascii="Times New Roman" w:hAnsi="Times New Roman"/>
          <w:color w:val="auto"/>
          <w:szCs w:val="21"/>
          <w:highlight w:val="none"/>
        </w:rPr>
        <w:t>GB</w:t>
      </w:r>
      <w:r>
        <w:rPr>
          <w:rFonts w:hint="eastAsia"/>
          <w:color w:val="auto"/>
          <w:szCs w:val="21"/>
          <w:highlight w:val="none"/>
          <w:lang w:val="en-US" w:eastAsia="zh-CN"/>
        </w:rPr>
        <w:t xml:space="preserve"> </w:t>
      </w:r>
      <w:r>
        <w:rPr>
          <w:rFonts w:ascii="Times New Roman" w:hAnsi="Times New Roman"/>
          <w:color w:val="auto"/>
          <w:szCs w:val="21"/>
          <w:highlight w:val="none"/>
        </w:rPr>
        <w:t>50016</w:t>
      </w:r>
      <w:r>
        <w:rPr>
          <w:rFonts w:hint="eastAsia"/>
          <w:color w:val="auto"/>
          <w:szCs w:val="21"/>
          <w:highlight w:val="none"/>
          <w:lang w:val="en-US" w:eastAsia="zh-CN"/>
        </w:rPr>
        <w:t>和</w:t>
      </w:r>
      <w:r>
        <w:rPr>
          <w:rFonts w:hint="eastAsia" w:ascii="Times New Roman" w:hAnsi="Times New Roman"/>
          <w:color w:val="auto"/>
          <w:szCs w:val="21"/>
          <w:highlight w:val="none"/>
        </w:rPr>
        <w:t>《建筑防火通用规范》</w:t>
      </w:r>
      <w:r>
        <w:rPr>
          <w:rFonts w:ascii="Times New Roman" w:hAnsi="Times New Roman"/>
          <w:color w:val="auto"/>
          <w:szCs w:val="21"/>
          <w:highlight w:val="none"/>
        </w:rPr>
        <w:t>GB</w:t>
      </w:r>
      <w:r>
        <w:rPr>
          <w:rFonts w:hint="eastAsia"/>
          <w:color w:val="auto"/>
          <w:szCs w:val="21"/>
          <w:highlight w:val="none"/>
          <w:lang w:val="en-US" w:eastAsia="zh-CN"/>
        </w:rPr>
        <w:t xml:space="preserve"> </w:t>
      </w:r>
      <w:r>
        <w:rPr>
          <w:rFonts w:ascii="Times New Roman" w:hAnsi="Times New Roman"/>
          <w:color w:val="auto"/>
          <w:szCs w:val="21"/>
          <w:highlight w:val="none"/>
        </w:rPr>
        <w:t>55037</w:t>
      </w:r>
      <w:r>
        <w:rPr>
          <w:rFonts w:hint="eastAsia" w:ascii="Times New Roman" w:hAnsi="Times New Roman"/>
          <w:color w:val="auto"/>
          <w:szCs w:val="21"/>
          <w:highlight w:val="none"/>
        </w:rPr>
        <w:t>的相关要求</w:t>
      </w:r>
      <w:bookmarkEnd w:id="757"/>
      <w:bookmarkEnd w:id="758"/>
      <w:bookmarkEnd w:id="759"/>
      <w:r>
        <w:rPr>
          <w:rFonts w:hint="eastAsia"/>
          <w:color w:val="auto"/>
          <w:szCs w:val="21"/>
          <w:highlight w:val="none"/>
          <w:lang w:eastAsia="zh-CN"/>
        </w:rPr>
        <w:t>。</w:t>
      </w:r>
    </w:p>
    <w:p w14:paraId="2EE400D6">
      <w:pPr>
        <w:widowControl/>
        <w:spacing w:line="360" w:lineRule="exact"/>
        <w:rPr>
          <w:color w:val="auto"/>
          <w:szCs w:val="21"/>
          <w:highlight w:val="none"/>
        </w:rPr>
      </w:pPr>
      <w:bookmarkStart w:id="760" w:name="_Toc26910"/>
      <w:bookmarkStart w:id="761" w:name="_Toc15391"/>
      <w:bookmarkStart w:id="762" w:name="_Toc1646"/>
      <w:bookmarkStart w:id="763" w:name="_Toc32366"/>
      <w:bookmarkStart w:id="764" w:name="_Toc27220"/>
      <w:r>
        <w:rPr>
          <w:rFonts w:hint="eastAsia"/>
          <w:b/>
          <w:bCs/>
          <w:color w:val="auto"/>
          <w:szCs w:val="21"/>
          <w:highlight w:val="none"/>
        </w:rPr>
        <w:t>7.</w:t>
      </w:r>
      <w:r>
        <w:rPr>
          <w:b/>
          <w:bCs/>
          <w:color w:val="auto"/>
          <w:szCs w:val="21"/>
          <w:highlight w:val="none"/>
        </w:rPr>
        <w:t>4.3</w:t>
      </w:r>
      <w:r>
        <w:rPr>
          <w:b/>
          <w:color w:val="auto"/>
          <w:szCs w:val="21"/>
          <w:highlight w:val="none"/>
        </w:rPr>
        <w:t xml:space="preserve"> </w:t>
      </w:r>
      <w:r>
        <w:rPr>
          <w:color w:val="auto"/>
          <w:szCs w:val="21"/>
          <w:highlight w:val="none"/>
        </w:rPr>
        <w:t xml:space="preserve"> 混凝土模块化建筑的预留预埋应符合下列规定：</w:t>
      </w:r>
      <w:bookmarkEnd w:id="760"/>
      <w:bookmarkEnd w:id="761"/>
      <w:bookmarkEnd w:id="762"/>
      <w:bookmarkEnd w:id="763"/>
      <w:bookmarkEnd w:id="764"/>
    </w:p>
    <w:p w14:paraId="09C4BB80">
      <w:pPr>
        <w:spacing w:line="360" w:lineRule="exact"/>
        <w:ind w:firstLine="422" w:firstLineChars="200"/>
        <w:rPr>
          <w:rFonts w:ascii="Times New Roman" w:hAnsi="Times New Roman"/>
          <w:color w:val="auto"/>
          <w:szCs w:val="21"/>
          <w:highlight w:val="none"/>
        </w:rPr>
      </w:pPr>
      <w:bookmarkStart w:id="765" w:name="_Toc19498"/>
      <w:bookmarkStart w:id="766" w:name="_Toc157"/>
      <w:r>
        <w:rPr>
          <w:rFonts w:ascii="Times New Roman" w:hAnsi="Times New Roman"/>
          <w:b/>
          <w:bCs/>
          <w:color w:val="auto"/>
          <w:szCs w:val="21"/>
          <w:highlight w:val="none"/>
        </w:rPr>
        <w:t xml:space="preserve">1 </w:t>
      </w:r>
      <w:r>
        <w:rPr>
          <w:rFonts w:ascii="Times New Roman" w:hAnsi="Times New Roman"/>
          <w:color w:val="auto"/>
          <w:szCs w:val="21"/>
          <w:highlight w:val="none"/>
        </w:rPr>
        <w:t xml:space="preserve"> </w:t>
      </w:r>
      <w:r>
        <w:rPr>
          <w:rFonts w:hint="eastAsia" w:ascii="Times New Roman" w:hAnsi="Times New Roman"/>
          <w:color w:val="auto"/>
          <w:szCs w:val="21"/>
          <w:highlight w:val="none"/>
        </w:rPr>
        <w:t>混凝土模块化建筑的连接管、接线盒等应做适当预留，出线口和接线盒应准确定位，预留孔洞的大小应满足相应公差要求；</w:t>
      </w:r>
      <w:bookmarkEnd w:id="765"/>
      <w:bookmarkEnd w:id="766"/>
    </w:p>
    <w:p w14:paraId="0ED93EAC">
      <w:pPr>
        <w:spacing w:line="360" w:lineRule="exact"/>
        <w:ind w:firstLine="422" w:firstLineChars="200"/>
        <w:rPr>
          <w:rFonts w:ascii="Times New Roman" w:hAnsi="Times New Roman"/>
          <w:color w:val="auto"/>
          <w:szCs w:val="21"/>
          <w:highlight w:val="none"/>
        </w:rPr>
      </w:pPr>
      <w:bookmarkStart w:id="767" w:name="_Toc22853"/>
      <w:bookmarkStart w:id="768" w:name="_Toc14223"/>
      <w:bookmarkStart w:id="769" w:name="_Toc17885"/>
      <w:bookmarkStart w:id="770" w:name="_Toc22672"/>
      <w:bookmarkStart w:id="771" w:name="_Toc6210"/>
      <w:r>
        <w:rPr>
          <w:rFonts w:ascii="Times New Roman" w:hAnsi="Times New Roman"/>
          <w:b/>
          <w:bCs/>
          <w:color w:val="auto"/>
          <w:szCs w:val="21"/>
          <w:highlight w:val="none"/>
        </w:rPr>
        <w:t>2</w:t>
      </w:r>
      <w:r>
        <w:rPr>
          <w:rFonts w:ascii="Times New Roman" w:hAnsi="Times New Roman"/>
          <w:color w:val="auto"/>
          <w:szCs w:val="21"/>
          <w:highlight w:val="none"/>
        </w:rPr>
        <w:t xml:space="preserve">  </w:t>
      </w:r>
      <w:r>
        <w:rPr>
          <w:rFonts w:hint="eastAsia" w:ascii="Times New Roman" w:hAnsi="Times New Roman"/>
          <w:color w:val="auto"/>
          <w:szCs w:val="21"/>
          <w:highlight w:val="none"/>
        </w:rPr>
        <w:t>同一建筑的土建接口宜集中部位设置；</w:t>
      </w:r>
      <w:bookmarkEnd w:id="767"/>
      <w:bookmarkEnd w:id="768"/>
      <w:bookmarkEnd w:id="769"/>
      <w:bookmarkEnd w:id="770"/>
      <w:bookmarkEnd w:id="771"/>
    </w:p>
    <w:p w14:paraId="77A7952D">
      <w:pPr>
        <w:spacing w:line="360" w:lineRule="exact"/>
        <w:ind w:firstLine="422" w:firstLineChars="200"/>
        <w:rPr>
          <w:rFonts w:ascii="Times New Roman" w:hAnsi="Times New Roman"/>
          <w:color w:val="auto"/>
          <w:szCs w:val="21"/>
          <w:highlight w:val="none"/>
        </w:rPr>
      </w:pPr>
      <w:bookmarkStart w:id="772" w:name="_Toc27002"/>
      <w:bookmarkStart w:id="773" w:name="_Toc5626"/>
      <w:bookmarkStart w:id="774" w:name="_Toc4162"/>
      <w:r>
        <w:rPr>
          <w:rFonts w:ascii="Times New Roman" w:hAnsi="Times New Roman"/>
          <w:b/>
          <w:bCs/>
          <w:color w:val="auto"/>
          <w:szCs w:val="21"/>
          <w:highlight w:val="none"/>
        </w:rPr>
        <w:t>3</w:t>
      </w:r>
      <w:r>
        <w:rPr>
          <w:rFonts w:ascii="Times New Roman" w:hAnsi="Times New Roman"/>
          <w:color w:val="auto"/>
          <w:szCs w:val="21"/>
          <w:highlight w:val="none"/>
        </w:rPr>
        <w:t xml:space="preserve">  </w:t>
      </w:r>
      <w:r>
        <w:rPr>
          <w:rFonts w:hint="eastAsia" w:ascii="Times New Roman" w:hAnsi="Times New Roman"/>
          <w:color w:val="auto"/>
          <w:szCs w:val="21"/>
          <w:highlight w:val="none"/>
        </w:rPr>
        <w:t>叠合板现浇层内预埋管线需折线布置时，应在折弯点设置转接盒；</w:t>
      </w:r>
      <w:bookmarkEnd w:id="772"/>
      <w:bookmarkEnd w:id="773"/>
      <w:bookmarkEnd w:id="774"/>
    </w:p>
    <w:p w14:paraId="54466229">
      <w:pPr>
        <w:spacing w:line="360" w:lineRule="exact"/>
        <w:ind w:firstLine="422" w:firstLineChars="200"/>
        <w:rPr>
          <w:rFonts w:hint="eastAsia" w:ascii="Times New Roman" w:hAnsi="Times New Roman" w:eastAsia="宋体"/>
          <w:color w:val="auto"/>
          <w:szCs w:val="21"/>
          <w:highlight w:val="none"/>
          <w:lang w:eastAsia="zh-CN"/>
        </w:rPr>
      </w:pPr>
      <w:bookmarkStart w:id="775" w:name="_Toc25030"/>
      <w:bookmarkStart w:id="776" w:name="_Toc14129"/>
      <w:bookmarkStart w:id="777" w:name="_Toc4444"/>
      <w:r>
        <w:rPr>
          <w:rFonts w:ascii="Times New Roman" w:hAnsi="Times New Roman"/>
          <w:b/>
          <w:bCs/>
          <w:color w:val="auto"/>
          <w:szCs w:val="21"/>
          <w:highlight w:val="none"/>
        </w:rPr>
        <w:t>4</w:t>
      </w:r>
      <w:r>
        <w:rPr>
          <w:rFonts w:ascii="Times New Roman" w:hAnsi="Times New Roman"/>
          <w:color w:val="auto"/>
          <w:szCs w:val="21"/>
          <w:highlight w:val="none"/>
        </w:rPr>
        <w:t xml:space="preserve">  </w:t>
      </w:r>
      <w:r>
        <w:rPr>
          <w:rFonts w:hint="eastAsia" w:ascii="Times New Roman" w:hAnsi="Times New Roman"/>
          <w:color w:val="auto"/>
          <w:szCs w:val="21"/>
          <w:highlight w:val="none"/>
        </w:rPr>
        <w:t>孔洞及接线盒不应在模块单元受力部位和节点连接区域设置，隔墙两侧的电气设备不应直接连通设置</w:t>
      </w:r>
      <w:bookmarkEnd w:id="775"/>
      <w:bookmarkEnd w:id="776"/>
      <w:bookmarkEnd w:id="777"/>
      <w:r>
        <w:rPr>
          <w:rFonts w:hint="eastAsia"/>
          <w:color w:val="auto"/>
          <w:szCs w:val="21"/>
          <w:highlight w:val="none"/>
          <w:lang w:eastAsia="zh-CN"/>
        </w:rPr>
        <w:t>；</w:t>
      </w:r>
    </w:p>
    <w:p w14:paraId="6F7C82B0">
      <w:pPr>
        <w:spacing w:line="360" w:lineRule="exact"/>
        <w:ind w:firstLine="422" w:firstLineChars="200"/>
        <w:rPr>
          <w:rFonts w:ascii="Times New Roman" w:hAnsi="Times New Roman"/>
          <w:color w:val="auto"/>
          <w:szCs w:val="21"/>
          <w:highlight w:val="none"/>
        </w:rPr>
      </w:pPr>
      <w:bookmarkStart w:id="778" w:name="_Toc1493"/>
      <w:bookmarkStart w:id="779" w:name="_Toc21253"/>
      <w:r>
        <w:rPr>
          <w:rFonts w:hint="eastAsia"/>
          <w:b/>
          <w:bCs/>
          <w:color w:val="auto"/>
          <w:szCs w:val="21"/>
          <w:highlight w:val="none"/>
        </w:rPr>
        <w:t>5</w:t>
      </w:r>
      <w:r>
        <w:rPr>
          <w:rFonts w:ascii="Times New Roman" w:hAnsi="Times New Roman"/>
          <w:color w:val="auto"/>
          <w:szCs w:val="21"/>
          <w:highlight w:val="none"/>
        </w:rPr>
        <w:t xml:space="preserve">  </w:t>
      </w:r>
      <w:r>
        <w:rPr>
          <w:rFonts w:hint="eastAsia" w:ascii="Times New Roman" w:hAnsi="Times New Roman"/>
          <w:color w:val="auto"/>
          <w:szCs w:val="21"/>
          <w:highlight w:val="none"/>
        </w:rPr>
        <w:t>模块单元生产、运输、安装时，应做好安装盒、预留导管及导管连接头的保护，避免被破坏或杂物污染、封堵。</w:t>
      </w:r>
      <w:bookmarkEnd w:id="778"/>
      <w:bookmarkEnd w:id="779"/>
    </w:p>
    <w:p w14:paraId="0472E37C">
      <w:pPr>
        <w:widowControl/>
        <w:spacing w:line="360" w:lineRule="exact"/>
        <w:rPr>
          <w:color w:val="auto"/>
          <w:szCs w:val="21"/>
          <w:highlight w:val="none"/>
        </w:rPr>
      </w:pPr>
      <w:bookmarkStart w:id="780" w:name="_Toc3646"/>
      <w:bookmarkStart w:id="781" w:name="_Toc9040"/>
      <w:bookmarkStart w:id="782" w:name="_Toc18064"/>
      <w:bookmarkStart w:id="783" w:name="_Toc30474"/>
      <w:bookmarkStart w:id="784" w:name="_Toc5529"/>
      <w:r>
        <w:rPr>
          <w:rFonts w:hint="eastAsia"/>
          <w:b/>
          <w:bCs/>
          <w:color w:val="auto"/>
          <w:szCs w:val="21"/>
          <w:highlight w:val="none"/>
        </w:rPr>
        <w:t>7.</w:t>
      </w:r>
      <w:r>
        <w:rPr>
          <w:b/>
          <w:bCs/>
          <w:color w:val="auto"/>
          <w:szCs w:val="21"/>
          <w:highlight w:val="none"/>
        </w:rPr>
        <w:t>4.4</w:t>
      </w:r>
      <w:r>
        <w:rPr>
          <w:b/>
          <w:color w:val="auto"/>
          <w:szCs w:val="21"/>
          <w:highlight w:val="none"/>
        </w:rPr>
        <w:t xml:space="preserve"> </w:t>
      </w:r>
      <w:r>
        <w:rPr>
          <w:color w:val="auto"/>
          <w:szCs w:val="21"/>
          <w:highlight w:val="none"/>
        </w:rPr>
        <w:t xml:space="preserve"> 混凝土模块化建筑防雷及接地应符合下列规定：</w:t>
      </w:r>
      <w:bookmarkEnd w:id="780"/>
      <w:bookmarkEnd w:id="781"/>
      <w:bookmarkEnd w:id="782"/>
      <w:bookmarkEnd w:id="783"/>
      <w:bookmarkEnd w:id="784"/>
    </w:p>
    <w:p w14:paraId="52C2AC88">
      <w:pPr>
        <w:spacing w:line="360" w:lineRule="exact"/>
        <w:ind w:firstLine="422" w:firstLineChars="200"/>
        <w:rPr>
          <w:rFonts w:ascii="Times New Roman" w:hAnsi="Times New Roman"/>
          <w:color w:val="auto"/>
          <w:szCs w:val="21"/>
          <w:highlight w:val="none"/>
        </w:rPr>
      </w:pPr>
      <w:bookmarkStart w:id="785" w:name="_Toc21776"/>
      <w:bookmarkStart w:id="786" w:name="_Toc13941"/>
      <w:r>
        <w:rPr>
          <w:rFonts w:ascii="Times New Roman" w:hAnsi="Times New Roman"/>
          <w:b/>
          <w:bCs/>
          <w:color w:val="auto"/>
          <w:szCs w:val="21"/>
          <w:highlight w:val="none"/>
        </w:rPr>
        <w:t>1</w:t>
      </w:r>
      <w:r>
        <w:rPr>
          <w:rFonts w:ascii="Times New Roman" w:hAnsi="Times New Roman"/>
          <w:color w:val="auto"/>
          <w:szCs w:val="21"/>
          <w:highlight w:val="none"/>
        </w:rPr>
        <w:t xml:space="preserve">  </w:t>
      </w:r>
      <w:r>
        <w:rPr>
          <w:rFonts w:hint="eastAsia" w:ascii="Times New Roman" w:hAnsi="Times New Roman"/>
          <w:color w:val="auto"/>
          <w:szCs w:val="21"/>
          <w:highlight w:val="none"/>
        </w:rPr>
        <w:t>应优先利用模块内金属体做防雷引下线。作为专用防雷引下线的钢筋应上端与接闪器、下端与防雷接地装置可靠连接，结构施工时应做明显标记；</w:t>
      </w:r>
      <w:bookmarkEnd w:id="785"/>
      <w:bookmarkEnd w:id="786"/>
    </w:p>
    <w:p w14:paraId="421C69E5">
      <w:pPr>
        <w:spacing w:line="360" w:lineRule="exact"/>
        <w:ind w:firstLine="422" w:firstLineChars="200"/>
        <w:rPr>
          <w:rFonts w:ascii="Times New Roman" w:hAnsi="Times New Roman"/>
          <w:color w:val="auto"/>
          <w:szCs w:val="21"/>
          <w:highlight w:val="none"/>
        </w:rPr>
      </w:pPr>
      <w:bookmarkStart w:id="787" w:name="_Toc24109"/>
      <w:bookmarkStart w:id="788" w:name="_Toc30235"/>
      <w:r>
        <w:rPr>
          <w:rFonts w:ascii="Times New Roman" w:hAnsi="Times New Roman"/>
          <w:b/>
          <w:bCs/>
          <w:color w:val="auto"/>
          <w:szCs w:val="21"/>
          <w:highlight w:val="none"/>
        </w:rPr>
        <w:t>2</w:t>
      </w:r>
      <w:r>
        <w:rPr>
          <w:rFonts w:ascii="Times New Roman" w:hAnsi="Times New Roman"/>
          <w:color w:val="auto"/>
          <w:szCs w:val="21"/>
          <w:highlight w:val="none"/>
        </w:rPr>
        <w:t xml:space="preserve">  </w:t>
      </w:r>
      <w:r>
        <w:rPr>
          <w:rFonts w:hint="eastAsia" w:ascii="Times New Roman" w:hAnsi="Times New Roman"/>
          <w:color w:val="auto"/>
          <w:szCs w:val="21"/>
          <w:highlight w:val="none"/>
        </w:rPr>
        <w:t>当模块单元外墙上的金属管道、栏杆、门窗、金属围护部（构）件、金属遮阳部（构）件等金属物需要做防雷连接时，应通过与相关模块单元内部的金属件与防雷装置连接成电气通路；</w:t>
      </w:r>
      <w:bookmarkEnd w:id="787"/>
      <w:bookmarkEnd w:id="788"/>
    </w:p>
    <w:p w14:paraId="0CA1A21D">
      <w:pPr>
        <w:spacing w:line="360" w:lineRule="exact"/>
        <w:ind w:firstLine="422" w:firstLineChars="200"/>
        <w:rPr>
          <w:rFonts w:ascii="Times New Roman" w:hAnsi="Times New Roman"/>
          <w:color w:val="auto"/>
          <w:szCs w:val="21"/>
          <w:highlight w:val="none"/>
        </w:rPr>
      </w:pPr>
      <w:bookmarkStart w:id="789" w:name="_Toc30475"/>
      <w:bookmarkStart w:id="790" w:name="_Toc8605"/>
      <w:bookmarkStart w:id="791" w:name="_Toc26445"/>
      <w:bookmarkStart w:id="792" w:name="_Toc21892"/>
      <w:bookmarkStart w:id="793" w:name="_Toc6113"/>
      <w:r>
        <w:rPr>
          <w:rFonts w:ascii="Times New Roman" w:hAnsi="Times New Roman"/>
          <w:b/>
          <w:bCs/>
          <w:color w:val="auto"/>
          <w:szCs w:val="21"/>
          <w:highlight w:val="none"/>
        </w:rPr>
        <w:t>3</w:t>
      </w:r>
      <w:r>
        <w:rPr>
          <w:rFonts w:ascii="Times New Roman" w:hAnsi="Times New Roman"/>
          <w:color w:val="auto"/>
          <w:szCs w:val="21"/>
          <w:highlight w:val="none"/>
        </w:rPr>
        <w:t xml:space="preserve">  </w:t>
      </w:r>
      <w:r>
        <w:rPr>
          <w:rFonts w:hint="eastAsia" w:ascii="Times New Roman" w:hAnsi="Times New Roman"/>
          <w:color w:val="auto"/>
          <w:szCs w:val="21"/>
          <w:highlight w:val="none"/>
        </w:rPr>
        <w:t>共用接地装置电阻值应满足各种接地电阻要求的最小值；</w:t>
      </w:r>
      <w:bookmarkEnd w:id="789"/>
      <w:bookmarkEnd w:id="790"/>
      <w:bookmarkEnd w:id="791"/>
      <w:bookmarkEnd w:id="792"/>
      <w:bookmarkEnd w:id="793"/>
    </w:p>
    <w:p w14:paraId="7F05E10E">
      <w:pPr>
        <w:spacing w:line="360" w:lineRule="exact"/>
        <w:ind w:firstLine="422" w:firstLineChars="200"/>
        <w:rPr>
          <w:rFonts w:ascii="Times New Roman" w:hAnsi="Times New Roman"/>
          <w:color w:val="auto"/>
          <w:szCs w:val="21"/>
          <w:highlight w:val="none"/>
        </w:rPr>
      </w:pPr>
      <w:bookmarkStart w:id="794" w:name="_Toc14105"/>
      <w:bookmarkStart w:id="795" w:name="_Toc25181"/>
      <w:r>
        <w:rPr>
          <w:rFonts w:ascii="Times New Roman" w:hAnsi="Times New Roman"/>
          <w:b/>
          <w:bCs/>
          <w:color w:val="auto"/>
          <w:szCs w:val="21"/>
          <w:highlight w:val="none"/>
        </w:rPr>
        <w:t>4</w:t>
      </w:r>
      <w:r>
        <w:rPr>
          <w:rFonts w:ascii="Times New Roman" w:hAnsi="Times New Roman"/>
          <w:color w:val="auto"/>
          <w:szCs w:val="21"/>
          <w:highlight w:val="none"/>
        </w:rPr>
        <w:t xml:space="preserve">  </w:t>
      </w:r>
      <w:r>
        <w:rPr>
          <w:rFonts w:hint="eastAsia" w:ascii="Times New Roman" w:hAnsi="Times New Roman"/>
          <w:color w:val="auto"/>
          <w:szCs w:val="21"/>
          <w:highlight w:val="none"/>
        </w:rPr>
        <w:t>设置等电位联结的场所，各构件内的钢筋应做可靠的电气连接，并与等电位联结端子箱连通。</w:t>
      </w:r>
      <w:bookmarkEnd w:id="794"/>
      <w:bookmarkEnd w:id="795"/>
    </w:p>
    <w:p w14:paraId="0224C4E5">
      <w:pPr>
        <w:pStyle w:val="3"/>
        <w:spacing w:before="166" w:beforeLines="50" w:after="166" w:afterLines="50" w:line="360" w:lineRule="auto"/>
        <w:jc w:val="center"/>
        <w:rPr>
          <w:rFonts w:ascii="Times New Roman" w:hAnsi="Times New Roman" w:eastAsia="黑体" w:cs="Times New Roman"/>
          <w:color w:val="auto"/>
          <w:sz w:val="24"/>
          <w:szCs w:val="24"/>
          <w:highlight w:val="none"/>
        </w:rPr>
      </w:pPr>
      <w:bookmarkStart w:id="796" w:name="_Toc15756"/>
      <w:bookmarkStart w:id="797" w:name="_Toc17367"/>
      <w:bookmarkStart w:id="798" w:name="_Toc9609"/>
      <w:bookmarkStart w:id="799" w:name="_Toc24796"/>
      <w:bookmarkStart w:id="800" w:name="_Toc28267"/>
      <w:bookmarkStart w:id="801" w:name="_Toc6419"/>
      <w:bookmarkStart w:id="802" w:name="_Toc31901"/>
      <w:bookmarkStart w:id="803" w:name="_Toc7215"/>
      <w:r>
        <w:rPr>
          <w:rFonts w:hint="eastAsia" w:ascii="Times New Roman" w:hAnsi="Times New Roman" w:eastAsia="黑体" w:cs="Times New Roman"/>
          <w:b/>
          <w:color w:val="auto"/>
          <w:sz w:val="24"/>
          <w:szCs w:val="24"/>
          <w:highlight w:val="none"/>
        </w:rPr>
        <w:t>7.</w:t>
      </w:r>
      <w:r>
        <w:rPr>
          <w:rFonts w:ascii="Times New Roman" w:hAnsi="Times New Roman" w:eastAsia="黑体" w:cs="Times New Roman"/>
          <w:b/>
          <w:color w:val="auto"/>
          <w:sz w:val="24"/>
          <w:szCs w:val="24"/>
          <w:highlight w:val="none"/>
        </w:rPr>
        <w:t xml:space="preserve">5 </w:t>
      </w:r>
      <w:r>
        <w:rPr>
          <w:rFonts w:ascii="Times New Roman" w:hAnsi="Times New Roman" w:eastAsia="黑体" w:cs="Times New Roman"/>
          <w:color w:val="auto"/>
          <w:sz w:val="24"/>
          <w:szCs w:val="24"/>
          <w:highlight w:val="none"/>
        </w:rPr>
        <w:t xml:space="preserve"> 内 装 系 统</w:t>
      </w:r>
      <w:bookmarkEnd w:id="737"/>
      <w:bookmarkEnd w:id="796"/>
      <w:bookmarkEnd w:id="797"/>
      <w:bookmarkEnd w:id="798"/>
      <w:bookmarkEnd w:id="799"/>
      <w:bookmarkEnd w:id="800"/>
      <w:bookmarkEnd w:id="801"/>
      <w:bookmarkEnd w:id="802"/>
      <w:bookmarkEnd w:id="803"/>
    </w:p>
    <w:p w14:paraId="5ADC9D6F">
      <w:pPr>
        <w:widowControl/>
        <w:spacing w:line="360" w:lineRule="exact"/>
        <w:rPr>
          <w:color w:val="auto"/>
          <w:szCs w:val="21"/>
          <w:highlight w:val="none"/>
        </w:rPr>
      </w:pPr>
      <w:r>
        <w:rPr>
          <w:rFonts w:hint="eastAsia"/>
          <w:b/>
          <w:color w:val="auto"/>
          <w:szCs w:val="21"/>
          <w:highlight w:val="none"/>
        </w:rPr>
        <w:t>7.</w:t>
      </w:r>
      <w:r>
        <w:rPr>
          <w:b/>
          <w:color w:val="auto"/>
          <w:szCs w:val="21"/>
          <w:highlight w:val="none"/>
          <w:lang w:eastAsia="zh"/>
        </w:rPr>
        <w:t xml:space="preserve">5.1 </w:t>
      </w:r>
      <w:r>
        <w:rPr>
          <w:color w:val="auto"/>
          <w:szCs w:val="21"/>
          <w:highlight w:val="none"/>
          <w:lang w:eastAsia="zh"/>
        </w:rPr>
        <w:t xml:space="preserve"> </w:t>
      </w:r>
      <w:r>
        <w:rPr>
          <w:color w:val="auto"/>
          <w:szCs w:val="21"/>
          <w:highlight w:val="none"/>
        </w:rPr>
        <w:t>混凝土模块化建筑</w:t>
      </w:r>
      <w:r>
        <w:rPr>
          <w:color w:val="auto"/>
          <w:szCs w:val="21"/>
          <w:highlight w:val="none"/>
          <w:lang w:eastAsia="zh"/>
        </w:rPr>
        <w:t>内装系统</w:t>
      </w:r>
      <w:r>
        <w:rPr>
          <w:color w:val="auto"/>
          <w:szCs w:val="21"/>
          <w:highlight w:val="none"/>
        </w:rPr>
        <w:t>设计应与建筑设计同步协同进行，并应与结构系统、外围护系统及设备和管线系统进行一体化集成设计。</w:t>
      </w:r>
    </w:p>
    <w:p w14:paraId="2F1B8255">
      <w:pPr>
        <w:widowControl/>
        <w:spacing w:line="360" w:lineRule="exact"/>
        <w:rPr>
          <w:color w:val="auto"/>
          <w:szCs w:val="21"/>
          <w:highlight w:val="none"/>
        </w:rPr>
      </w:pPr>
      <w:bookmarkStart w:id="804" w:name="_Toc22470"/>
      <w:bookmarkStart w:id="805" w:name="_Toc6089"/>
      <w:bookmarkStart w:id="806" w:name="_Toc16277"/>
      <w:bookmarkStart w:id="807" w:name="_Toc28726"/>
      <w:r>
        <w:rPr>
          <w:rFonts w:hint="eastAsia"/>
          <w:b/>
          <w:color w:val="auto"/>
          <w:szCs w:val="21"/>
          <w:highlight w:val="none"/>
        </w:rPr>
        <w:t>7.</w:t>
      </w:r>
      <w:r>
        <w:rPr>
          <w:b/>
          <w:color w:val="auto"/>
          <w:szCs w:val="21"/>
          <w:highlight w:val="none"/>
        </w:rPr>
        <w:t xml:space="preserve">5.2 </w:t>
      </w:r>
      <w:r>
        <w:rPr>
          <w:color w:val="auto"/>
          <w:szCs w:val="21"/>
          <w:highlight w:val="none"/>
        </w:rPr>
        <w:t xml:space="preserve"> 内装系统宜采用装配式装修，并应符合下列规定：</w:t>
      </w:r>
      <w:bookmarkEnd w:id="804"/>
      <w:bookmarkEnd w:id="805"/>
      <w:bookmarkEnd w:id="806"/>
      <w:bookmarkEnd w:id="807"/>
    </w:p>
    <w:p w14:paraId="735A59F1">
      <w:pPr>
        <w:spacing w:line="360" w:lineRule="exact"/>
        <w:ind w:firstLine="422" w:firstLineChars="200"/>
        <w:rPr>
          <w:rFonts w:ascii="Times New Roman" w:hAnsi="Times New Roman"/>
          <w:color w:val="auto"/>
          <w:szCs w:val="21"/>
          <w:highlight w:val="none"/>
        </w:rPr>
      </w:pPr>
      <w:bookmarkStart w:id="808" w:name="_Toc12981"/>
      <w:bookmarkStart w:id="809" w:name="_Toc47"/>
      <w:bookmarkStart w:id="810" w:name="_Toc1101"/>
      <w:r>
        <w:rPr>
          <w:rFonts w:ascii="Times New Roman" w:hAnsi="Times New Roman"/>
          <w:b/>
          <w:bCs/>
          <w:color w:val="auto"/>
          <w:szCs w:val="21"/>
          <w:highlight w:val="none"/>
        </w:rPr>
        <w:t>1</w:t>
      </w:r>
      <w:r>
        <w:rPr>
          <w:rFonts w:ascii="Times New Roman" w:hAnsi="Times New Roman"/>
          <w:color w:val="auto"/>
          <w:szCs w:val="21"/>
          <w:highlight w:val="none"/>
        </w:rPr>
        <w:t xml:space="preserve">  </w:t>
      </w:r>
      <w:r>
        <w:rPr>
          <w:rFonts w:hint="eastAsia" w:ascii="Times New Roman" w:hAnsi="Times New Roman"/>
          <w:color w:val="auto"/>
          <w:szCs w:val="21"/>
          <w:highlight w:val="none"/>
        </w:rPr>
        <w:t>模块内部装修，除内部接口位置外，宜在工厂内完成；</w:t>
      </w:r>
      <w:bookmarkEnd w:id="808"/>
      <w:bookmarkEnd w:id="809"/>
      <w:bookmarkEnd w:id="810"/>
    </w:p>
    <w:p w14:paraId="6E1AA01D">
      <w:pPr>
        <w:spacing w:line="360" w:lineRule="exact"/>
        <w:ind w:firstLine="422" w:firstLineChars="200"/>
        <w:rPr>
          <w:rFonts w:ascii="Times New Roman" w:hAnsi="Times New Roman"/>
          <w:color w:val="auto"/>
          <w:szCs w:val="21"/>
          <w:highlight w:val="none"/>
        </w:rPr>
      </w:pPr>
      <w:bookmarkStart w:id="811" w:name="_Toc24130"/>
      <w:bookmarkStart w:id="812" w:name="_Toc10855"/>
      <w:r>
        <w:rPr>
          <w:rFonts w:ascii="Times New Roman" w:hAnsi="Times New Roman"/>
          <w:b/>
          <w:bCs/>
          <w:color w:val="auto"/>
          <w:szCs w:val="21"/>
          <w:highlight w:val="none"/>
          <w:lang w:eastAsia="zh"/>
        </w:rPr>
        <w:t xml:space="preserve">2 </w:t>
      </w:r>
      <w:r>
        <w:rPr>
          <w:rFonts w:ascii="Times New Roman" w:hAnsi="Times New Roman"/>
          <w:color w:val="auto"/>
          <w:szCs w:val="21"/>
          <w:highlight w:val="none"/>
          <w:lang w:eastAsia="zh"/>
        </w:rPr>
        <w:t xml:space="preserve"> </w:t>
      </w:r>
      <w:r>
        <w:rPr>
          <w:rFonts w:hint="eastAsia" w:ascii="Times New Roman" w:hAnsi="Times New Roman"/>
          <w:color w:val="auto"/>
          <w:szCs w:val="21"/>
          <w:highlight w:val="none"/>
        </w:rPr>
        <w:t>室内装饰装修设计宜与建筑设计同步进行，部品选型时应明确相关技术参数；</w:t>
      </w:r>
      <w:bookmarkEnd w:id="811"/>
      <w:bookmarkEnd w:id="812"/>
    </w:p>
    <w:p w14:paraId="79A850FA">
      <w:pPr>
        <w:spacing w:line="360" w:lineRule="exact"/>
        <w:ind w:firstLine="422" w:firstLineChars="200"/>
        <w:rPr>
          <w:rFonts w:hint="eastAsia" w:ascii="Times New Roman" w:hAnsi="Times New Roman" w:eastAsia="宋体"/>
          <w:color w:val="auto"/>
          <w:szCs w:val="21"/>
          <w:highlight w:val="none"/>
          <w:lang w:eastAsia="zh-CN"/>
        </w:rPr>
      </w:pPr>
      <w:bookmarkStart w:id="813" w:name="_Toc15101"/>
      <w:bookmarkStart w:id="814" w:name="_Toc3586"/>
      <w:r>
        <w:rPr>
          <w:rFonts w:ascii="Times New Roman" w:hAnsi="Times New Roman"/>
          <w:b/>
          <w:bCs/>
          <w:color w:val="auto"/>
          <w:szCs w:val="21"/>
          <w:highlight w:val="none"/>
          <w:lang w:eastAsia="zh"/>
        </w:rPr>
        <w:t>3</w:t>
      </w:r>
      <w:r>
        <w:rPr>
          <w:rFonts w:ascii="Times New Roman" w:hAnsi="Times New Roman"/>
          <w:color w:val="auto"/>
          <w:szCs w:val="21"/>
          <w:highlight w:val="none"/>
          <w:lang w:eastAsia="zh"/>
        </w:rPr>
        <w:t xml:space="preserve">  </w:t>
      </w:r>
      <w:r>
        <w:rPr>
          <w:rFonts w:hint="eastAsia" w:ascii="Times New Roman" w:hAnsi="Times New Roman"/>
          <w:color w:val="auto"/>
          <w:szCs w:val="21"/>
          <w:highlight w:val="none"/>
        </w:rPr>
        <w:t>按照室内装配式装修的设计、部品生产及施工，应满足参数化、模数化、通用化和协同一致的要求，同时，也要遵循少规格、多组合等原则满足多样化的需求</w:t>
      </w:r>
      <w:bookmarkEnd w:id="813"/>
      <w:bookmarkEnd w:id="814"/>
      <w:r>
        <w:rPr>
          <w:rFonts w:hint="eastAsia"/>
          <w:color w:val="auto"/>
          <w:szCs w:val="21"/>
          <w:highlight w:val="none"/>
          <w:lang w:eastAsia="zh-CN"/>
        </w:rPr>
        <w:t>；</w:t>
      </w:r>
    </w:p>
    <w:p w14:paraId="5E35E9AD">
      <w:pPr>
        <w:spacing w:line="360" w:lineRule="exact"/>
        <w:ind w:firstLine="422" w:firstLineChars="200"/>
        <w:rPr>
          <w:rFonts w:ascii="Times New Roman" w:hAnsi="Times New Roman"/>
          <w:color w:val="auto"/>
          <w:szCs w:val="21"/>
          <w:highlight w:val="none"/>
        </w:rPr>
      </w:pPr>
      <w:bookmarkStart w:id="815" w:name="_Toc10841"/>
      <w:bookmarkStart w:id="816" w:name="_Toc2393"/>
      <w:r>
        <w:rPr>
          <w:rFonts w:ascii="Times New Roman" w:hAnsi="Times New Roman"/>
          <w:b/>
          <w:bCs/>
          <w:color w:val="auto"/>
          <w:szCs w:val="21"/>
          <w:highlight w:val="none"/>
          <w:lang w:eastAsia="zh"/>
        </w:rPr>
        <w:t>4</w:t>
      </w:r>
      <w:r>
        <w:rPr>
          <w:rFonts w:ascii="Times New Roman" w:hAnsi="Times New Roman"/>
          <w:color w:val="auto"/>
          <w:szCs w:val="21"/>
          <w:highlight w:val="none"/>
        </w:rPr>
        <w:t xml:space="preserve">  </w:t>
      </w:r>
      <w:r>
        <w:rPr>
          <w:rFonts w:hint="eastAsia" w:ascii="Times New Roman" w:hAnsi="Times New Roman"/>
          <w:color w:val="auto"/>
          <w:szCs w:val="21"/>
          <w:highlight w:val="none"/>
        </w:rPr>
        <w:t>室内装配式装修设计应采用标准化构造节点及统一的连接方式，连接构造宜遵循可逆安装与无损拆除的设计原则，在建筑全寿命期满足易维护、可更换的要求；</w:t>
      </w:r>
      <w:bookmarkEnd w:id="815"/>
      <w:bookmarkEnd w:id="816"/>
    </w:p>
    <w:p w14:paraId="39F511E0">
      <w:pPr>
        <w:spacing w:line="360" w:lineRule="exact"/>
        <w:ind w:firstLine="422" w:firstLineChars="200"/>
        <w:rPr>
          <w:rFonts w:ascii="Times New Roman" w:hAnsi="Times New Roman"/>
          <w:color w:val="auto"/>
          <w:szCs w:val="21"/>
          <w:highlight w:val="none"/>
        </w:rPr>
      </w:pPr>
      <w:bookmarkStart w:id="817" w:name="_Toc10380"/>
      <w:bookmarkStart w:id="818" w:name="_Toc22169"/>
      <w:bookmarkStart w:id="819" w:name="_Toc30222"/>
      <w:r>
        <w:rPr>
          <w:rFonts w:ascii="Times New Roman" w:hAnsi="Times New Roman"/>
          <w:b/>
          <w:bCs/>
          <w:color w:val="auto"/>
          <w:szCs w:val="21"/>
          <w:highlight w:val="none"/>
          <w:lang w:eastAsia="zh"/>
        </w:rPr>
        <w:t>5</w:t>
      </w:r>
      <w:r>
        <w:rPr>
          <w:rFonts w:ascii="Times New Roman" w:hAnsi="Times New Roman"/>
          <w:color w:val="auto"/>
          <w:szCs w:val="21"/>
          <w:highlight w:val="none"/>
        </w:rPr>
        <w:t xml:space="preserve">  </w:t>
      </w:r>
      <w:r>
        <w:rPr>
          <w:rFonts w:hint="eastAsia" w:ascii="Times New Roman" w:hAnsi="Times New Roman"/>
          <w:color w:val="auto"/>
          <w:szCs w:val="21"/>
          <w:highlight w:val="none"/>
        </w:rPr>
        <w:t>室内装配式装修设计应遵循管线分离的原则；</w:t>
      </w:r>
      <w:bookmarkEnd w:id="817"/>
      <w:bookmarkEnd w:id="818"/>
      <w:bookmarkEnd w:id="819"/>
    </w:p>
    <w:p w14:paraId="6F19C25D">
      <w:pPr>
        <w:spacing w:line="360" w:lineRule="exact"/>
        <w:ind w:firstLine="422" w:firstLineChars="200"/>
        <w:rPr>
          <w:rFonts w:ascii="Times New Roman" w:hAnsi="Times New Roman"/>
          <w:color w:val="auto"/>
          <w:szCs w:val="21"/>
          <w:highlight w:val="none"/>
        </w:rPr>
      </w:pPr>
      <w:bookmarkStart w:id="820" w:name="_Toc17483"/>
      <w:bookmarkStart w:id="821" w:name="_Toc3635"/>
      <w:r>
        <w:rPr>
          <w:rFonts w:ascii="Times New Roman" w:hAnsi="Times New Roman"/>
          <w:b/>
          <w:bCs/>
          <w:color w:val="auto"/>
          <w:szCs w:val="21"/>
          <w:highlight w:val="none"/>
          <w:lang w:eastAsia="zh"/>
        </w:rPr>
        <w:t>6</w:t>
      </w:r>
      <w:r>
        <w:rPr>
          <w:rFonts w:ascii="Times New Roman" w:hAnsi="Times New Roman"/>
          <w:color w:val="auto"/>
          <w:szCs w:val="21"/>
          <w:highlight w:val="none"/>
        </w:rPr>
        <w:t xml:space="preserve">  </w:t>
      </w:r>
      <w:r>
        <w:rPr>
          <w:rFonts w:hint="eastAsia" w:ascii="Times New Roman" w:hAnsi="Times New Roman"/>
          <w:color w:val="auto"/>
          <w:szCs w:val="21"/>
          <w:highlight w:val="none"/>
        </w:rPr>
        <w:t>室内装配式装修施工图设计文件应采用建筑室内主体完成面和装修完成面尺寸标注；</w:t>
      </w:r>
      <w:bookmarkEnd w:id="820"/>
      <w:bookmarkEnd w:id="821"/>
    </w:p>
    <w:p w14:paraId="05527203">
      <w:pPr>
        <w:spacing w:line="360" w:lineRule="exact"/>
        <w:ind w:firstLine="422" w:firstLineChars="200"/>
        <w:rPr>
          <w:rFonts w:ascii="Times New Roman" w:hAnsi="Times New Roman"/>
          <w:color w:val="auto"/>
          <w:szCs w:val="21"/>
          <w:highlight w:val="none"/>
        </w:rPr>
      </w:pPr>
      <w:bookmarkStart w:id="822" w:name="_Toc31651"/>
      <w:bookmarkStart w:id="823" w:name="_Toc31866"/>
      <w:r>
        <w:rPr>
          <w:rFonts w:ascii="Times New Roman" w:hAnsi="Times New Roman"/>
          <w:b/>
          <w:bCs/>
          <w:color w:val="auto"/>
          <w:szCs w:val="21"/>
          <w:highlight w:val="none"/>
          <w:lang w:eastAsia="zh"/>
        </w:rPr>
        <w:t>7</w:t>
      </w:r>
      <w:r>
        <w:rPr>
          <w:rFonts w:ascii="Times New Roman" w:hAnsi="Times New Roman"/>
          <w:b/>
          <w:bCs/>
          <w:color w:val="auto"/>
          <w:szCs w:val="21"/>
          <w:highlight w:val="none"/>
        </w:rPr>
        <w:t xml:space="preserve"> </w:t>
      </w:r>
      <w:r>
        <w:rPr>
          <w:rFonts w:ascii="Times New Roman" w:hAnsi="Times New Roman"/>
          <w:color w:val="auto"/>
          <w:szCs w:val="21"/>
          <w:highlight w:val="none"/>
        </w:rPr>
        <w:t xml:space="preserve"> </w:t>
      </w:r>
      <w:r>
        <w:rPr>
          <w:rFonts w:hint="eastAsia" w:ascii="Times New Roman" w:hAnsi="Times New Roman"/>
          <w:color w:val="auto"/>
          <w:szCs w:val="21"/>
          <w:highlight w:val="none"/>
        </w:rPr>
        <w:t>室内装配式装修设计应采用建筑信息模型（</w:t>
      </w:r>
      <w:r>
        <w:rPr>
          <w:rFonts w:ascii="Times New Roman" w:hAnsi="Times New Roman"/>
          <w:color w:val="auto"/>
          <w:szCs w:val="21"/>
          <w:highlight w:val="none"/>
        </w:rPr>
        <w:t>BIM</w:t>
      </w:r>
      <w:r>
        <w:rPr>
          <w:rFonts w:hint="eastAsia" w:ascii="Times New Roman" w:hAnsi="Times New Roman"/>
          <w:color w:val="auto"/>
          <w:szCs w:val="21"/>
          <w:highlight w:val="none"/>
        </w:rPr>
        <w:t>），实现全过程信息化管理和专业协同。</w:t>
      </w:r>
      <w:bookmarkEnd w:id="822"/>
      <w:bookmarkEnd w:id="823"/>
    </w:p>
    <w:p w14:paraId="517DB6CE">
      <w:pPr>
        <w:widowControl/>
        <w:spacing w:line="360" w:lineRule="exact"/>
        <w:rPr>
          <w:color w:val="auto"/>
          <w:szCs w:val="21"/>
          <w:highlight w:val="none"/>
        </w:rPr>
      </w:pPr>
      <w:r>
        <w:rPr>
          <w:rFonts w:hint="eastAsia"/>
          <w:b/>
          <w:color w:val="auto"/>
          <w:szCs w:val="21"/>
          <w:highlight w:val="none"/>
        </w:rPr>
        <w:t>7.</w:t>
      </w:r>
      <w:r>
        <w:rPr>
          <w:b/>
          <w:color w:val="auto"/>
          <w:szCs w:val="21"/>
          <w:highlight w:val="none"/>
        </w:rPr>
        <w:t xml:space="preserve">5.3 </w:t>
      </w:r>
      <w:r>
        <w:rPr>
          <w:color w:val="auto"/>
          <w:szCs w:val="21"/>
          <w:highlight w:val="none"/>
        </w:rPr>
        <w:t xml:space="preserve"> 内装部品宜结合设备管线进行集成设计，内装部品的装配宜满足干式工法的要求。</w:t>
      </w:r>
    </w:p>
    <w:p w14:paraId="04718079">
      <w:pPr>
        <w:widowControl/>
        <w:spacing w:line="360" w:lineRule="exact"/>
        <w:rPr>
          <w:color w:val="auto"/>
          <w:szCs w:val="21"/>
          <w:highlight w:val="none"/>
        </w:rPr>
      </w:pPr>
      <w:r>
        <w:rPr>
          <w:rFonts w:hint="eastAsia"/>
          <w:b/>
          <w:color w:val="auto"/>
          <w:szCs w:val="21"/>
          <w:highlight w:val="none"/>
        </w:rPr>
        <w:t>7.</w:t>
      </w:r>
      <w:r>
        <w:rPr>
          <w:b/>
          <w:color w:val="auto"/>
          <w:szCs w:val="21"/>
          <w:highlight w:val="none"/>
        </w:rPr>
        <w:t>5.</w:t>
      </w:r>
      <w:r>
        <w:rPr>
          <w:b/>
          <w:color w:val="auto"/>
          <w:szCs w:val="21"/>
          <w:highlight w:val="none"/>
          <w:lang w:eastAsia="zh"/>
        </w:rPr>
        <w:t>4</w:t>
      </w:r>
      <w:r>
        <w:rPr>
          <w:b/>
          <w:color w:val="auto"/>
          <w:szCs w:val="21"/>
          <w:highlight w:val="none"/>
        </w:rPr>
        <w:t xml:space="preserve"> </w:t>
      </w:r>
      <w:r>
        <w:rPr>
          <w:color w:val="auto"/>
          <w:szCs w:val="21"/>
          <w:highlight w:val="none"/>
        </w:rPr>
        <w:t xml:space="preserve"> 模块单元内</w:t>
      </w:r>
      <w:r>
        <w:rPr>
          <w:color w:val="auto"/>
          <w:szCs w:val="21"/>
          <w:highlight w:val="none"/>
          <w:lang w:eastAsia="zh"/>
        </w:rPr>
        <w:t>的隔墙系统</w:t>
      </w:r>
      <w:r>
        <w:rPr>
          <w:color w:val="auto"/>
          <w:szCs w:val="21"/>
          <w:highlight w:val="none"/>
        </w:rPr>
        <w:t>应选用非砌筑免抹灰的轻质墙体，可选用龙骨隔墙、条板隔墙或其他干式工法施工的隔墙。不同设备管线安装于隔墙或墙面系统时，应采取必要的加固、隔声、减振和防火封堵措施，并满足以下要求：</w:t>
      </w:r>
    </w:p>
    <w:p w14:paraId="3AF33E20">
      <w:pPr>
        <w:spacing w:line="360" w:lineRule="exact"/>
        <w:ind w:firstLine="422" w:firstLineChars="200"/>
        <w:rPr>
          <w:rFonts w:hint="eastAsia" w:ascii="Times New Roman" w:hAnsi="Times New Roman" w:eastAsia="宋体"/>
          <w:color w:val="auto"/>
          <w:szCs w:val="21"/>
          <w:highlight w:val="none"/>
          <w:lang w:eastAsia="zh-CN"/>
        </w:rPr>
      </w:pPr>
      <w:bookmarkStart w:id="824" w:name="_Toc2909"/>
      <w:bookmarkStart w:id="825" w:name="_Toc23211"/>
      <w:r>
        <w:rPr>
          <w:rFonts w:ascii="Times New Roman" w:hAnsi="Times New Roman"/>
          <w:b/>
          <w:bCs/>
          <w:color w:val="auto"/>
          <w:szCs w:val="21"/>
          <w:highlight w:val="none"/>
        </w:rPr>
        <w:t>1</w:t>
      </w:r>
      <w:r>
        <w:rPr>
          <w:rFonts w:ascii="Times New Roman" w:hAnsi="Times New Roman"/>
          <w:color w:val="auto"/>
          <w:szCs w:val="21"/>
          <w:highlight w:val="none"/>
        </w:rPr>
        <w:t xml:space="preserve">  </w:t>
      </w:r>
      <w:r>
        <w:rPr>
          <w:rFonts w:hint="eastAsia" w:ascii="Times New Roman" w:hAnsi="Times New Roman"/>
          <w:color w:val="auto"/>
          <w:szCs w:val="21"/>
          <w:highlight w:val="none"/>
        </w:rPr>
        <w:t>新增隔墙的隔声性能不应低于现行国家标准《民用建筑隔声设计规范》</w:t>
      </w:r>
      <w:r>
        <w:rPr>
          <w:rFonts w:ascii="Times New Roman" w:hAnsi="Times New Roman"/>
          <w:color w:val="auto"/>
          <w:szCs w:val="21"/>
          <w:highlight w:val="none"/>
        </w:rPr>
        <w:t xml:space="preserve">GB 50118 </w:t>
      </w:r>
      <w:r>
        <w:rPr>
          <w:rFonts w:hint="eastAsia" w:ascii="Times New Roman" w:hAnsi="Times New Roman"/>
          <w:color w:val="auto"/>
          <w:szCs w:val="21"/>
          <w:highlight w:val="none"/>
        </w:rPr>
        <w:t>中对各类建筑围护结构隔声性能及绿色建筑对应的要求</w:t>
      </w:r>
      <w:bookmarkEnd w:id="824"/>
      <w:bookmarkEnd w:id="825"/>
      <w:r>
        <w:rPr>
          <w:rFonts w:hint="eastAsia"/>
          <w:color w:val="auto"/>
          <w:szCs w:val="21"/>
          <w:highlight w:val="none"/>
          <w:lang w:eastAsia="zh-CN"/>
        </w:rPr>
        <w:t>；</w:t>
      </w:r>
    </w:p>
    <w:p w14:paraId="67CACDD7">
      <w:pPr>
        <w:spacing w:line="360" w:lineRule="exact"/>
        <w:ind w:firstLine="422" w:firstLineChars="200"/>
        <w:rPr>
          <w:rFonts w:ascii="Times New Roman" w:hAnsi="Times New Roman"/>
          <w:color w:val="auto"/>
          <w:szCs w:val="21"/>
          <w:highlight w:val="none"/>
        </w:rPr>
      </w:pPr>
      <w:bookmarkStart w:id="826" w:name="_Toc27474"/>
      <w:bookmarkStart w:id="827" w:name="_Toc11453"/>
      <w:r>
        <w:rPr>
          <w:rFonts w:ascii="Times New Roman" w:hAnsi="Times New Roman"/>
          <w:b/>
          <w:bCs/>
          <w:color w:val="auto"/>
          <w:szCs w:val="21"/>
          <w:highlight w:val="none"/>
        </w:rPr>
        <w:t>2</w:t>
      </w:r>
      <w:r>
        <w:rPr>
          <w:rFonts w:ascii="Times New Roman" w:hAnsi="Times New Roman"/>
          <w:color w:val="auto"/>
          <w:szCs w:val="21"/>
          <w:highlight w:val="none"/>
        </w:rPr>
        <w:t xml:space="preserve">  </w:t>
      </w:r>
      <w:r>
        <w:rPr>
          <w:rFonts w:hint="eastAsia" w:ascii="Times New Roman" w:hAnsi="Times New Roman"/>
          <w:color w:val="auto"/>
          <w:szCs w:val="21"/>
          <w:highlight w:val="none"/>
        </w:rPr>
        <w:t>龙骨隔墙的构造组成和厚度应根据防火、隔声、空腔内设备管线安装等方面的要求确定；</w:t>
      </w:r>
      <w:bookmarkEnd w:id="826"/>
      <w:bookmarkEnd w:id="827"/>
    </w:p>
    <w:p w14:paraId="35823458">
      <w:pPr>
        <w:spacing w:line="360" w:lineRule="exact"/>
        <w:ind w:firstLine="422" w:firstLineChars="200"/>
        <w:rPr>
          <w:rFonts w:ascii="Times New Roman" w:hAnsi="Times New Roman"/>
          <w:color w:val="auto"/>
          <w:szCs w:val="21"/>
          <w:highlight w:val="none"/>
        </w:rPr>
      </w:pPr>
      <w:bookmarkStart w:id="828" w:name="_Toc31098"/>
      <w:bookmarkStart w:id="829" w:name="_Toc19651"/>
      <w:r>
        <w:rPr>
          <w:rFonts w:ascii="Times New Roman" w:hAnsi="Times New Roman"/>
          <w:b/>
          <w:bCs/>
          <w:color w:val="auto"/>
          <w:szCs w:val="21"/>
          <w:highlight w:val="none"/>
        </w:rPr>
        <w:t>3</w:t>
      </w:r>
      <w:r>
        <w:rPr>
          <w:rFonts w:ascii="Times New Roman" w:hAnsi="Times New Roman"/>
          <w:color w:val="auto"/>
          <w:szCs w:val="21"/>
          <w:highlight w:val="none"/>
        </w:rPr>
        <w:t xml:space="preserve">  </w:t>
      </w:r>
      <w:r>
        <w:rPr>
          <w:rFonts w:hint="eastAsia" w:ascii="Times New Roman" w:hAnsi="Times New Roman"/>
          <w:color w:val="auto"/>
          <w:szCs w:val="21"/>
          <w:highlight w:val="none"/>
        </w:rPr>
        <w:t>龙骨隔墙内的防火、保温、隔声填充材料宜选用岩棉、玻璃棉等不燃材料；</w:t>
      </w:r>
      <w:bookmarkEnd w:id="828"/>
      <w:bookmarkEnd w:id="829"/>
    </w:p>
    <w:p w14:paraId="124E0407">
      <w:pPr>
        <w:spacing w:line="360" w:lineRule="exact"/>
        <w:ind w:firstLine="422" w:firstLineChars="200"/>
        <w:rPr>
          <w:rFonts w:ascii="Times New Roman" w:hAnsi="Times New Roman"/>
          <w:color w:val="auto"/>
          <w:szCs w:val="21"/>
          <w:highlight w:val="none"/>
        </w:rPr>
      </w:pPr>
      <w:bookmarkStart w:id="830" w:name="_Toc28401"/>
      <w:bookmarkStart w:id="831" w:name="_Toc22808"/>
      <w:r>
        <w:rPr>
          <w:rFonts w:ascii="Times New Roman" w:hAnsi="Times New Roman"/>
          <w:b/>
          <w:bCs/>
          <w:color w:val="auto"/>
          <w:szCs w:val="21"/>
          <w:highlight w:val="none"/>
        </w:rPr>
        <w:t>4</w:t>
      </w:r>
      <w:r>
        <w:rPr>
          <w:rFonts w:ascii="Times New Roman" w:hAnsi="Times New Roman"/>
          <w:color w:val="auto"/>
          <w:szCs w:val="21"/>
          <w:highlight w:val="none"/>
        </w:rPr>
        <w:t xml:space="preserve">  </w:t>
      </w:r>
      <w:r>
        <w:rPr>
          <w:rFonts w:hint="eastAsia" w:ascii="Times New Roman" w:hAnsi="Times New Roman"/>
          <w:color w:val="auto"/>
          <w:szCs w:val="21"/>
          <w:highlight w:val="none"/>
        </w:rPr>
        <w:t>条板隔墙应根据使用功能和使用部位需求，确定墙体的材料和厚度；</w:t>
      </w:r>
      <w:bookmarkEnd w:id="830"/>
      <w:bookmarkEnd w:id="831"/>
    </w:p>
    <w:p w14:paraId="7684D136">
      <w:pPr>
        <w:spacing w:line="360" w:lineRule="exact"/>
        <w:ind w:firstLine="422" w:firstLineChars="200"/>
        <w:rPr>
          <w:rFonts w:ascii="Times New Roman" w:hAnsi="Times New Roman"/>
          <w:color w:val="auto"/>
          <w:szCs w:val="21"/>
          <w:highlight w:val="none"/>
        </w:rPr>
      </w:pPr>
      <w:bookmarkStart w:id="832" w:name="_Toc5527"/>
      <w:bookmarkStart w:id="833" w:name="_Toc31920"/>
      <w:r>
        <w:rPr>
          <w:rFonts w:ascii="Times New Roman" w:hAnsi="Times New Roman"/>
          <w:b/>
          <w:bCs/>
          <w:color w:val="auto"/>
          <w:szCs w:val="21"/>
          <w:highlight w:val="none"/>
        </w:rPr>
        <w:t>5</w:t>
      </w:r>
      <w:r>
        <w:rPr>
          <w:rFonts w:ascii="Times New Roman" w:hAnsi="Times New Roman"/>
          <w:color w:val="auto"/>
          <w:szCs w:val="21"/>
          <w:highlight w:val="none"/>
        </w:rPr>
        <w:t xml:space="preserve">  </w:t>
      </w:r>
      <w:r>
        <w:rPr>
          <w:rFonts w:hint="eastAsia" w:ascii="Times New Roman" w:hAnsi="Times New Roman"/>
          <w:color w:val="auto"/>
          <w:szCs w:val="21"/>
          <w:highlight w:val="none"/>
        </w:rPr>
        <w:t>隔墙和墙面宜采用集成饰面层的墙面，饰面层宜在工厂内完成；</w:t>
      </w:r>
      <w:bookmarkEnd w:id="832"/>
      <w:bookmarkEnd w:id="833"/>
    </w:p>
    <w:p w14:paraId="4B8C202D">
      <w:pPr>
        <w:spacing w:line="360" w:lineRule="exact"/>
        <w:ind w:firstLine="422" w:firstLineChars="200"/>
        <w:rPr>
          <w:rFonts w:ascii="Times New Roman" w:hAnsi="Times New Roman"/>
          <w:color w:val="auto"/>
          <w:szCs w:val="21"/>
          <w:highlight w:val="none"/>
        </w:rPr>
      </w:pPr>
      <w:bookmarkStart w:id="834" w:name="_Toc20159"/>
      <w:bookmarkStart w:id="835" w:name="_Toc6153"/>
      <w:r>
        <w:rPr>
          <w:rFonts w:ascii="Times New Roman" w:hAnsi="Times New Roman"/>
          <w:b/>
          <w:bCs/>
          <w:color w:val="auto"/>
          <w:szCs w:val="21"/>
          <w:highlight w:val="none"/>
        </w:rPr>
        <w:t>6</w:t>
      </w:r>
      <w:r>
        <w:rPr>
          <w:rFonts w:ascii="Times New Roman" w:hAnsi="Times New Roman"/>
          <w:color w:val="auto"/>
          <w:szCs w:val="21"/>
          <w:highlight w:val="none"/>
        </w:rPr>
        <w:t xml:space="preserve">  </w:t>
      </w:r>
      <w:r>
        <w:rPr>
          <w:rFonts w:hint="eastAsia" w:ascii="Times New Roman" w:hAnsi="Times New Roman"/>
          <w:color w:val="auto"/>
          <w:szCs w:val="21"/>
          <w:highlight w:val="none"/>
        </w:rPr>
        <w:t>隔墙及墙面系统需吊挂重物和设备时，应采取对应的加固或连接措施。</w:t>
      </w:r>
      <w:bookmarkEnd w:id="834"/>
      <w:bookmarkEnd w:id="835"/>
    </w:p>
    <w:p w14:paraId="10E07B3C">
      <w:pPr>
        <w:widowControl/>
        <w:spacing w:line="360" w:lineRule="exact"/>
        <w:rPr>
          <w:color w:val="auto"/>
          <w:szCs w:val="21"/>
          <w:highlight w:val="none"/>
        </w:rPr>
      </w:pPr>
      <w:r>
        <w:rPr>
          <w:rFonts w:hint="eastAsia"/>
          <w:b/>
          <w:color w:val="auto"/>
          <w:szCs w:val="21"/>
          <w:highlight w:val="none"/>
        </w:rPr>
        <w:t>7.</w:t>
      </w:r>
      <w:r>
        <w:rPr>
          <w:b/>
          <w:color w:val="auto"/>
          <w:szCs w:val="21"/>
          <w:highlight w:val="none"/>
        </w:rPr>
        <w:t>5.</w:t>
      </w:r>
      <w:r>
        <w:rPr>
          <w:b/>
          <w:color w:val="auto"/>
          <w:szCs w:val="21"/>
          <w:highlight w:val="none"/>
          <w:lang w:eastAsia="zh"/>
        </w:rPr>
        <w:t>5</w:t>
      </w:r>
      <w:r>
        <w:rPr>
          <w:b/>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模块单元内</w:t>
      </w:r>
      <w:r>
        <w:rPr>
          <w:color w:val="auto"/>
          <w:szCs w:val="21"/>
          <w:highlight w:val="none"/>
          <w:lang w:eastAsia="zh"/>
        </w:rPr>
        <w:t>的</w:t>
      </w:r>
      <w:r>
        <w:rPr>
          <w:color w:val="auto"/>
          <w:szCs w:val="21"/>
          <w:highlight w:val="none"/>
        </w:rPr>
        <w:t>吊顶系统可采用明龙骨、暗龙骨或无龙骨吊顶或其他干式工法的吊顶，根据房间的功能和装饰要求选择装饰面层材料和构造做法，宜选用带饰面的成品材料，并满足以下</w:t>
      </w:r>
      <w:r>
        <w:rPr>
          <w:rFonts w:hint="eastAsia"/>
          <w:color w:val="auto"/>
          <w:szCs w:val="21"/>
          <w:highlight w:val="none"/>
          <w:lang w:val="en-US" w:eastAsia="zh-CN"/>
        </w:rPr>
        <w:t>规定</w:t>
      </w:r>
      <w:r>
        <w:rPr>
          <w:color w:val="auto"/>
          <w:szCs w:val="21"/>
          <w:highlight w:val="none"/>
        </w:rPr>
        <w:t>：</w:t>
      </w:r>
    </w:p>
    <w:p w14:paraId="51CEEA82">
      <w:pPr>
        <w:spacing w:line="360" w:lineRule="exact"/>
        <w:ind w:firstLine="422" w:firstLineChars="200"/>
        <w:rPr>
          <w:rFonts w:ascii="Times New Roman" w:hAnsi="Times New Roman"/>
          <w:color w:val="auto"/>
          <w:szCs w:val="21"/>
          <w:highlight w:val="none"/>
        </w:rPr>
      </w:pPr>
      <w:bookmarkStart w:id="836" w:name="_Toc5046"/>
      <w:bookmarkStart w:id="837" w:name="_Toc21887"/>
      <w:r>
        <w:rPr>
          <w:rFonts w:ascii="Times New Roman" w:hAnsi="Times New Roman"/>
          <w:b/>
          <w:bCs/>
          <w:color w:val="auto"/>
          <w:szCs w:val="21"/>
          <w:highlight w:val="none"/>
        </w:rPr>
        <w:t>1</w:t>
      </w:r>
      <w:r>
        <w:rPr>
          <w:rFonts w:ascii="Times New Roman" w:hAnsi="Times New Roman"/>
          <w:color w:val="auto"/>
          <w:szCs w:val="21"/>
          <w:highlight w:val="none"/>
        </w:rPr>
        <w:t xml:space="preserve">  </w:t>
      </w:r>
      <w:r>
        <w:rPr>
          <w:rFonts w:hint="eastAsia" w:ascii="Times New Roman" w:hAnsi="Times New Roman"/>
          <w:color w:val="auto"/>
          <w:szCs w:val="21"/>
          <w:highlight w:val="none"/>
        </w:rPr>
        <w:t>吊顶系统排布应与空调末端、灯具、烟感器、检修口等设备的位置协同设计；</w:t>
      </w:r>
      <w:bookmarkEnd w:id="836"/>
      <w:bookmarkEnd w:id="837"/>
    </w:p>
    <w:p w14:paraId="5CEFA818">
      <w:pPr>
        <w:spacing w:line="360" w:lineRule="exact"/>
        <w:ind w:firstLine="422" w:firstLineChars="200"/>
        <w:rPr>
          <w:rFonts w:ascii="Times New Roman" w:hAnsi="Times New Roman"/>
          <w:color w:val="auto"/>
          <w:szCs w:val="21"/>
          <w:highlight w:val="none"/>
        </w:rPr>
      </w:pPr>
      <w:bookmarkStart w:id="838" w:name="_Toc28710"/>
      <w:bookmarkStart w:id="839" w:name="_Toc9488"/>
      <w:r>
        <w:rPr>
          <w:rFonts w:ascii="Times New Roman" w:hAnsi="Times New Roman"/>
          <w:b/>
          <w:bCs/>
          <w:color w:val="auto"/>
          <w:szCs w:val="21"/>
          <w:highlight w:val="none"/>
        </w:rPr>
        <w:t>2</w:t>
      </w:r>
      <w:r>
        <w:rPr>
          <w:rFonts w:ascii="Times New Roman" w:hAnsi="Times New Roman"/>
          <w:color w:val="auto"/>
          <w:szCs w:val="21"/>
          <w:highlight w:val="none"/>
        </w:rPr>
        <w:t xml:space="preserve">  </w:t>
      </w:r>
      <w:r>
        <w:rPr>
          <w:rFonts w:hint="eastAsia" w:ascii="Times New Roman" w:hAnsi="Times New Roman"/>
          <w:color w:val="auto"/>
          <w:szCs w:val="21"/>
          <w:highlight w:val="none"/>
        </w:rPr>
        <w:t>吊顶内敷设设备管线时，应在管线密集的位置设置检修口；</w:t>
      </w:r>
      <w:bookmarkEnd w:id="838"/>
      <w:bookmarkEnd w:id="839"/>
    </w:p>
    <w:p w14:paraId="04843CF7">
      <w:pPr>
        <w:spacing w:line="360" w:lineRule="exact"/>
        <w:ind w:firstLine="422" w:firstLineChars="200"/>
        <w:rPr>
          <w:rFonts w:ascii="Times New Roman" w:hAnsi="Times New Roman"/>
          <w:color w:val="auto"/>
          <w:szCs w:val="21"/>
          <w:highlight w:val="none"/>
        </w:rPr>
      </w:pPr>
      <w:bookmarkStart w:id="840" w:name="_Toc31628"/>
      <w:bookmarkStart w:id="841" w:name="_Toc6164"/>
      <w:r>
        <w:rPr>
          <w:rFonts w:ascii="Times New Roman" w:hAnsi="Times New Roman"/>
          <w:b/>
          <w:bCs/>
          <w:color w:val="auto"/>
          <w:szCs w:val="21"/>
          <w:highlight w:val="none"/>
        </w:rPr>
        <w:t>3</w:t>
      </w:r>
      <w:r>
        <w:rPr>
          <w:rFonts w:ascii="Times New Roman" w:hAnsi="Times New Roman"/>
          <w:color w:val="auto"/>
          <w:szCs w:val="21"/>
          <w:highlight w:val="none"/>
        </w:rPr>
        <w:t xml:space="preserve">  </w:t>
      </w:r>
      <w:r>
        <w:rPr>
          <w:rFonts w:hint="eastAsia" w:ascii="Times New Roman" w:hAnsi="Times New Roman"/>
          <w:color w:val="auto"/>
          <w:szCs w:val="21"/>
          <w:highlight w:val="none"/>
        </w:rPr>
        <w:t>吊顶龙骨及配件应采用金属材质；</w:t>
      </w:r>
      <w:bookmarkEnd w:id="840"/>
      <w:bookmarkEnd w:id="841"/>
    </w:p>
    <w:p w14:paraId="59F8E389">
      <w:pPr>
        <w:spacing w:line="360" w:lineRule="exact"/>
        <w:ind w:firstLine="422" w:firstLineChars="200"/>
        <w:rPr>
          <w:rFonts w:ascii="Times New Roman" w:hAnsi="Times New Roman"/>
          <w:color w:val="auto"/>
          <w:szCs w:val="21"/>
          <w:highlight w:val="none"/>
        </w:rPr>
      </w:pPr>
      <w:bookmarkStart w:id="842" w:name="_Toc6163"/>
      <w:bookmarkStart w:id="843" w:name="_Toc20843"/>
      <w:r>
        <w:rPr>
          <w:rFonts w:ascii="Times New Roman" w:hAnsi="Times New Roman"/>
          <w:b/>
          <w:bCs/>
          <w:color w:val="auto"/>
          <w:szCs w:val="21"/>
          <w:highlight w:val="none"/>
        </w:rPr>
        <w:t>4</w:t>
      </w:r>
      <w:r>
        <w:rPr>
          <w:rFonts w:ascii="Times New Roman" w:hAnsi="Times New Roman"/>
          <w:color w:val="auto"/>
          <w:szCs w:val="21"/>
          <w:highlight w:val="none"/>
        </w:rPr>
        <w:t xml:space="preserve">  </w:t>
      </w:r>
      <w:r>
        <w:rPr>
          <w:rFonts w:hint="eastAsia" w:ascii="Times New Roman" w:hAnsi="Times New Roman"/>
          <w:color w:val="auto"/>
          <w:szCs w:val="21"/>
          <w:highlight w:val="none"/>
        </w:rPr>
        <w:t>有声学设计要求的场所应选用吸音吊顶等做法，也可采用金属穿孔板结合吸声材料的做法；</w:t>
      </w:r>
      <w:bookmarkEnd w:id="842"/>
      <w:bookmarkEnd w:id="843"/>
    </w:p>
    <w:p w14:paraId="1035DD81">
      <w:pPr>
        <w:spacing w:line="360" w:lineRule="exact"/>
        <w:ind w:firstLine="422" w:firstLineChars="200"/>
        <w:rPr>
          <w:rFonts w:ascii="Times New Roman" w:hAnsi="Times New Roman"/>
          <w:color w:val="auto"/>
          <w:szCs w:val="21"/>
          <w:highlight w:val="none"/>
        </w:rPr>
      </w:pPr>
      <w:bookmarkStart w:id="844" w:name="_Toc8685"/>
      <w:bookmarkStart w:id="845" w:name="_Toc6404"/>
      <w:r>
        <w:rPr>
          <w:rFonts w:ascii="Times New Roman" w:hAnsi="Times New Roman"/>
          <w:b/>
          <w:bCs/>
          <w:color w:val="auto"/>
          <w:szCs w:val="21"/>
          <w:highlight w:val="none"/>
          <w:lang w:eastAsia="zh"/>
        </w:rPr>
        <w:t>5</w:t>
      </w:r>
      <w:r>
        <w:rPr>
          <w:rFonts w:ascii="Times New Roman" w:hAnsi="Times New Roman"/>
          <w:color w:val="auto"/>
          <w:szCs w:val="21"/>
          <w:highlight w:val="none"/>
          <w:lang w:eastAsia="zh"/>
        </w:rPr>
        <w:t xml:space="preserve">  </w:t>
      </w:r>
      <w:r>
        <w:rPr>
          <w:rFonts w:hint="eastAsia" w:ascii="Times New Roman" w:hAnsi="Times New Roman"/>
          <w:color w:val="auto"/>
          <w:szCs w:val="21"/>
          <w:highlight w:val="none"/>
        </w:rPr>
        <w:t>天花边沿处宜使用金属收口条或成品收口构件进行收口。</w:t>
      </w:r>
      <w:bookmarkEnd w:id="844"/>
      <w:bookmarkEnd w:id="845"/>
    </w:p>
    <w:p w14:paraId="247A683F">
      <w:pPr>
        <w:spacing w:line="360" w:lineRule="exact"/>
        <w:ind w:firstLine="422" w:firstLineChars="200"/>
        <w:rPr>
          <w:rFonts w:ascii="Times New Roman" w:hAnsi="Times New Roman"/>
          <w:color w:val="auto"/>
          <w:szCs w:val="21"/>
          <w:highlight w:val="none"/>
        </w:rPr>
      </w:pPr>
      <w:bookmarkStart w:id="846" w:name="_Toc9993"/>
      <w:bookmarkStart w:id="847" w:name="_Toc24782"/>
      <w:r>
        <w:rPr>
          <w:rFonts w:ascii="Times New Roman" w:hAnsi="Times New Roman"/>
          <w:b/>
          <w:bCs/>
          <w:color w:val="auto"/>
          <w:szCs w:val="21"/>
          <w:highlight w:val="none"/>
          <w:lang w:eastAsia="zh"/>
        </w:rPr>
        <w:t>6</w:t>
      </w:r>
      <w:r>
        <w:rPr>
          <w:rFonts w:ascii="Times New Roman" w:hAnsi="Times New Roman"/>
          <w:color w:val="auto"/>
          <w:szCs w:val="21"/>
          <w:highlight w:val="none"/>
        </w:rPr>
        <w:t xml:space="preserve">  </w:t>
      </w:r>
      <w:r>
        <w:rPr>
          <w:rFonts w:hint="eastAsia" w:ascii="Times New Roman" w:hAnsi="Times New Roman"/>
          <w:color w:val="auto"/>
          <w:szCs w:val="21"/>
          <w:highlight w:val="none"/>
        </w:rPr>
        <w:t>吊顶系统与墙或梁交接处，应设置伸缩缝隙或收口线脚；</w:t>
      </w:r>
      <w:bookmarkEnd w:id="846"/>
      <w:bookmarkEnd w:id="847"/>
    </w:p>
    <w:p w14:paraId="53ED156D">
      <w:pPr>
        <w:spacing w:line="360" w:lineRule="exact"/>
        <w:ind w:firstLine="422" w:firstLineChars="200"/>
        <w:rPr>
          <w:rFonts w:ascii="Times New Roman" w:hAnsi="Times New Roman"/>
          <w:color w:val="auto"/>
          <w:szCs w:val="21"/>
          <w:highlight w:val="none"/>
        </w:rPr>
      </w:pPr>
      <w:bookmarkStart w:id="848" w:name="_Toc19772"/>
      <w:bookmarkStart w:id="849" w:name="_Toc24846"/>
      <w:r>
        <w:rPr>
          <w:rFonts w:ascii="Times New Roman" w:hAnsi="Times New Roman"/>
          <w:b/>
          <w:bCs/>
          <w:color w:val="auto"/>
          <w:szCs w:val="21"/>
          <w:highlight w:val="none"/>
          <w:lang w:eastAsia="zh"/>
        </w:rPr>
        <w:t>7</w:t>
      </w:r>
      <w:r>
        <w:rPr>
          <w:rFonts w:ascii="Times New Roman" w:hAnsi="Times New Roman"/>
          <w:color w:val="auto"/>
          <w:szCs w:val="21"/>
          <w:highlight w:val="none"/>
        </w:rPr>
        <w:t xml:space="preserve">  </w:t>
      </w:r>
      <w:r>
        <w:rPr>
          <w:rFonts w:hint="eastAsia" w:ascii="Times New Roman" w:hAnsi="Times New Roman"/>
          <w:color w:val="auto"/>
          <w:szCs w:val="21"/>
          <w:highlight w:val="none"/>
        </w:rPr>
        <w:t>室内顶部大型或重型装饰装修部品部件或设备应与主体结构可靠连接。</w:t>
      </w:r>
      <w:bookmarkEnd w:id="848"/>
      <w:bookmarkEnd w:id="849"/>
    </w:p>
    <w:p w14:paraId="2393BA7E">
      <w:pPr>
        <w:widowControl/>
        <w:spacing w:line="360" w:lineRule="exact"/>
        <w:rPr>
          <w:color w:val="auto"/>
          <w:szCs w:val="21"/>
          <w:highlight w:val="none"/>
        </w:rPr>
      </w:pPr>
      <w:r>
        <w:rPr>
          <w:rFonts w:hint="eastAsia"/>
          <w:b/>
          <w:color w:val="auto"/>
          <w:szCs w:val="21"/>
          <w:highlight w:val="none"/>
        </w:rPr>
        <w:t>7.</w:t>
      </w:r>
      <w:r>
        <w:rPr>
          <w:b/>
          <w:color w:val="auto"/>
          <w:szCs w:val="21"/>
          <w:highlight w:val="none"/>
        </w:rPr>
        <w:t>5</w:t>
      </w:r>
      <w:r>
        <w:rPr>
          <w:b/>
          <w:color w:val="auto"/>
          <w:szCs w:val="21"/>
          <w:highlight w:val="none"/>
          <w:lang w:eastAsia="zh"/>
        </w:rPr>
        <w:t>.6</w:t>
      </w:r>
      <w:r>
        <w:rPr>
          <w:b/>
          <w:color w:val="auto"/>
          <w:szCs w:val="21"/>
          <w:highlight w:val="none"/>
        </w:rPr>
        <w:t xml:space="preserve"> </w:t>
      </w:r>
      <w:r>
        <w:rPr>
          <w:color w:val="auto"/>
          <w:szCs w:val="21"/>
          <w:highlight w:val="none"/>
        </w:rPr>
        <w:t xml:space="preserve"> 模块单元内</w:t>
      </w:r>
      <w:r>
        <w:rPr>
          <w:color w:val="auto"/>
          <w:szCs w:val="21"/>
          <w:highlight w:val="none"/>
          <w:lang w:eastAsia="zh"/>
        </w:rPr>
        <w:t>的</w:t>
      </w:r>
      <w:r>
        <w:rPr>
          <w:color w:val="auto"/>
          <w:szCs w:val="21"/>
          <w:highlight w:val="none"/>
        </w:rPr>
        <w:t>楼地面系统宜选用集成化部品，宜采用干式施工工法的饰面材料，并应符合下列规定：</w:t>
      </w:r>
    </w:p>
    <w:p w14:paraId="5EBBD06D">
      <w:pPr>
        <w:spacing w:line="360" w:lineRule="exact"/>
        <w:ind w:firstLine="420" w:firstLineChars="200"/>
        <w:rPr>
          <w:rFonts w:ascii="Times New Roman" w:hAnsi="Times New Roman"/>
          <w:color w:val="auto"/>
          <w:szCs w:val="21"/>
          <w:highlight w:val="none"/>
        </w:rPr>
      </w:pPr>
      <w:bookmarkStart w:id="850" w:name="_Toc11729"/>
      <w:bookmarkStart w:id="851" w:name="_Toc29460"/>
      <w:r>
        <w:rPr>
          <w:rFonts w:ascii="Times New Roman" w:hAnsi="Times New Roman"/>
          <w:color w:val="auto"/>
          <w:szCs w:val="21"/>
          <w:highlight w:val="none"/>
        </w:rPr>
        <w:t xml:space="preserve">1 </w:t>
      </w:r>
      <w:r>
        <w:rPr>
          <w:rFonts w:hint="eastAsia" w:ascii="Times New Roman" w:hAnsi="Times New Roman"/>
          <w:color w:val="auto"/>
          <w:szCs w:val="21"/>
          <w:highlight w:val="none"/>
        </w:rPr>
        <w:t>楼地面系统应与主体结构有可靠连接，且施工安装时不应破坏主体结构；</w:t>
      </w:r>
      <w:bookmarkEnd w:id="850"/>
      <w:bookmarkEnd w:id="851"/>
    </w:p>
    <w:p w14:paraId="6F8DF8E1">
      <w:pPr>
        <w:spacing w:line="360" w:lineRule="exact"/>
        <w:ind w:firstLine="420" w:firstLineChars="200"/>
        <w:rPr>
          <w:rFonts w:ascii="Times New Roman" w:hAnsi="Times New Roman"/>
          <w:color w:val="auto"/>
          <w:szCs w:val="21"/>
          <w:highlight w:val="none"/>
        </w:rPr>
      </w:pPr>
      <w:bookmarkStart w:id="852" w:name="_Toc26722"/>
      <w:bookmarkStart w:id="853" w:name="_Toc1717"/>
      <w:r>
        <w:rPr>
          <w:rFonts w:ascii="Times New Roman" w:hAnsi="Times New Roman"/>
          <w:color w:val="auto"/>
          <w:szCs w:val="21"/>
          <w:highlight w:val="none"/>
        </w:rPr>
        <w:t xml:space="preserve">2 </w:t>
      </w:r>
      <w:r>
        <w:rPr>
          <w:rFonts w:hint="eastAsia" w:ascii="Times New Roman" w:hAnsi="Times New Roman"/>
          <w:color w:val="auto"/>
          <w:szCs w:val="21"/>
          <w:highlight w:val="none"/>
        </w:rPr>
        <w:t>架空楼地面内架空高度应计算确定，满足管线排布、隔声构造的需要，并应设置检修口或便于拆装的构造。</w:t>
      </w:r>
      <w:bookmarkEnd w:id="852"/>
      <w:bookmarkEnd w:id="853"/>
    </w:p>
    <w:p w14:paraId="780E2175">
      <w:pPr>
        <w:spacing w:line="360" w:lineRule="exact"/>
        <w:ind w:firstLine="420" w:firstLineChars="200"/>
        <w:rPr>
          <w:rFonts w:ascii="Times New Roman" w:hAnsi="Times New Roman"/>
          <w:color w:val="auto"/>
          <w:szCs w:val="21"/>
          <w:highlight w:val="none"/>
        </w:rPr>
      </w:pPr>
      <w:bookmarkStart w:id="854" w:name="_Toc19296"/>
      <w:bookmarkStart w:id="855" w:name="_Toc28562"/>
      <w:r>
        <w:rPr>
          <w:rFonts w:ascii="Times New Roman" w:hAnsi="Times New Roman"/>
          <w:color w:val="auto"/>
          <w:szCs w:val="21"/>
          <w:highlight w:val="none"/>
          <w:lang w:eastAsia="zh"/>
        </w:rPr>
        <w:t>3</w:t>
      </w:r>
      <w:r>
        <w:rPr>
          <w:rFonts w:ascii="Times New Roman" w:hAnsi="Times New Roman"/>
          <w:color w:val="auto"/>
          <w:szCs w:val="21"/>
          <w:highlight w:val="none"/>
        </w:rPr>
        <w:t xml:space="preserve"> </w:t>
      </w:r>
      <w:r>
        <w:rPr>
          <w:rFonts w:hint="eastAsia" w:ascii="Times New Roman" w:hAnsi="Times New Roman"/>
          <w:color w:val="auto"/>
          <w:szCs w:val="21"/>
          <w:highlight w:val="none"/>
        </w:rPr>
        <w:t>潮湿区域楼地面系统宜采用防滑，防潮类部品，并宜在模块内完成防水处理。</w:t>
      </w:r>
      <w:bookmarkEnd w:id="854"/>
      <w:bookmarkEnd w:id="855"/>
    </w:p>
    <w:p w14:paraId="219AE6BE">
      <w:pPr>
        <w:widowControl/>
        <w:spacing w:line="360" w:lineRule="exact"/>
        <w:rPr>
          <w:color w:val="auto"/>
          <w:szCs w:val="21"/>
          <w:highlight w:val="none"/>
        </w:rPr>
      </w:pPr>
      <w:r>
        <w:rPr>
          <w:rFonts w:hint="eastAsia"/>
          <w:b/>
          <w:bCs/>
          <w:color w:val="auto"/>
          <w:szCs w:val="21"/>
          <w:highlight w:val="none"/>
        </w:rPr>
        <w:t>7.</w:t>
      </w:r>
      <w:r>
        <w:rPr>
          <w:b/>
          <w:bCs/>
          <w:color w:val="auto"/>
          <w:szCs w:val="21"/>
          <w:highlight w:val="none"/>
        </w:rPr>
        <w:t>5</w:t>
      </w:r>
      <w:r>
        <w:rPr>
          <w:b/>
          <w:bCs/>
          <w:color w:val="auto"/>
          <w:szCs w:val="21"/>
          <w:highlight w:val="none"/>
          <w:lang w:eastAsia="zh"/>
        </w:rPr>
        <w:t>.7</w:t>
      </w:r>
      <w:r>
        <w:rPr>
          <w:b/>
          <w:color w:val="auto"/>
          <w:szCs w:val="21"/>
          <w:highlight w:val="none"/>
        </w:rPr>
        <w:t xml:space="preserve"> </w:t>
      </w:r>
      <w:r>
        <w:rPr>
          <w:rFonts w:hint="eastAsia"/>
          <w:color w:val="auto"/>
          <w:szCs w:val="21"/>
          <w:highlight w:val="none"/>
          <w:lang w:val="en-US" w:eastAsia="zh-CN"/>
        </w:rPr>
        <w:t xml:space="preserve"> </w:t>
      </w:r>
      <w:r>
        <w:rPr>
          <w:color w:val="auto"/>
          <w:szCs w:val="21"/>
          <w:highlight w:val="none"/>
        </w:rPr>
        <w:t>多个模块单元拼接的区域，对于楼面装饰层的现场施工与接驳处理应预留相应的工作面，并应符合以下规定：</w:t>
      </w:r>
    </w:p>
    <w:p w14:paraId="48F28A24">
      <w:pPr>
        <w:spacing w:line="360" w:lineRule="exact"/>
        <w:ind w:firstLine="422" w:firstLineChars="200"/>
        <w:rPr>
          <w:rFonts w:ascii="Times New Roman" w:hAnsi="Times New Roman"/>
          <w:color w:val="auto"/>
          <w:szCs w:val="21"/>
          <w:highlight w:val="none"/>
        </w:rPr>
      </w:pPr>
      <w:bookmarkStart w:id="856" w:name="_Toc28685"/>
      <w:bookmarkStart w:id="857" w:name="_Toc7476"/>
      <w:r>
        <w:rPr>
          <w:rFonts w:ascii="Times New Roman" w:hAnsi="Times New Roman"/>
          <w:b/>
          <w:bCs/>
          <w:color w:val="auto"/>
          <w:szCs w:val="21"/>
          <w:highlight w:val="none"/>
        </w:rPr>
        <w:t>1</w:t>
      </w:r>
      <w:r>
        <w:rPr>
          <w:rFonts w:ascii="Times New Roman" w:hAnsi="Times New Roman"/>
          <w:color w:val="auto"/>
          <w:szCs w:val="21"/>
          <w:highlight w:val="none"/>
        </w:rPr>
        <w:t xml:space="preserve">  </w:t>
      </w:r>
      <w:r>
        <w:rPr>
          <w:rFonts w:hint="eastAsia" w:ascii="Times New Roman" w:hAnsi="Times New Roman"/>
          <w:color w:val="auto"/>
          <w:szCs w:val="21"/>
          <w:highlight w:val="none"/>
        </w:rPr>
        <w:t>使用地胶作为地面饰面时，宜在现场进行地面找平后铺贴；</w:t>
      </w:r>
      <w:bookmarkEnd w:id="856"/>
      <w:bookmarkEnd w:id="857"/>
    </w:p>
    <w:p w14:paraId="2CB4C3B9">
      <w:pPr>
        <w:spacing w:line="360" w:lineRule="exact"/>
        <w:ind w:firstLine="422" w:firstLineChars="200"/>
        <w:rPr>
          <w:rFonts w:ascii="Times New Roman" w:hAnsi="Times New Roman"/>
          <w:color w:val="auto"/>
          <w:szCs w:val="21"/>
          <w:highlight w:val="none"/>
        </w:rPr>
      </w:pPr>
      <w:bookmarkStart w:id="858" w:name="_Toc15443"/>
      <w:bookmarkStart w:id="859" w:name="_Toc3072"/>
      <w:r>
        <w:rPr>
          <w:rFonts w:ascii="Times New Roman" w:hAnsi="Times New Roman"/>
          <w:b/>
          <w:bCs/>
          <w:color w:val="auto"/>
          <w:szCs w:val="21"/>
          <w:highlight w:val="none"/>
        </w:rPr>
        <w:t>2</w:t>
      </w:r>
      <w:r>
        <w:rPr>
          <w:rFonts w:ascii="Times New Roman" w:hAnsi="Times New Roman"/>
          <w:color w:val="auto"/>
          <w:szCs w:val="21"/>
          <w:highlight w:val="none"/>
        </w:rPr>
        <w:t xml:space="preserve">  </w:t>
      </w:r>
      <w:r>
        <w:rPr>
          <w:rFonts w:hint="eastAsia" w:ascii="Times New Roman" w:hAnsi="Times New Roman"/>
          <w:color w:val="auto"/>
          <w:szCs w:val="21"/>
          <w:highlight w:val="none"/>
        </w:rPr>
        <w:t>使用瓷砖作为地面饰面时，可采用错缝对齐的铺贴形式；</w:t>
      </w:r>
      <w:bookmarkEnd w:id="858"/>
      <w:bookmarkEnd w:id="859"/>
    </w:p>
    <w:p w14:paraId="309B6425">
      <w:pPr>
        <w:spacing w:line="360" w:lineRule="exact"/>
        <w:ind w:firstLine="422" w:firstLineChars="200"/>
        <w:rPr>
          <w:rFonts w:ascii="Times New Roman" w:hAnsi="Times New Roman"/>
          <w:color w:val="auto"/>
          <w:szCs w:val="21"/>
          <w:highlight w:val="none"/>
        </w:rPr>
      </w:pPr>
      <w:bookmarkStart w:id="860" w:name="_Toc17784"/>
      <w:bookmarkStart w:id="861" w:name="_Toc12684"/>
      <w:r>
        <w:rPr>
          <w:rFonts w:ascii="Times New Roman" w:hAnsi="Times New Roman"/>
          <w:b/>
          <w:bCs/>
          <w:color w:val="auto"/>
          <w:szCs w:val="21"/>
          <w:highlight w:val="none"/>
        </w:rPr>
        <w:t>3</w:t>
      </w:r>
      <w:r>
        <w:rPr>
          <w:rFonts w:ascii="Times New Roman" w:hAnsi="Times New Roman"/>
          <w:color w:val="auto"/>
          <w:szCs w:val="21"/>
          <w:highlight w:val="none"/>
        </w:rPr>
        <w:t xml:space="preserve">  </w:t>
      </w:r>
      <w:r>
        <w:rPr>
          <w:rFonts w:hint="eastAsia" w:ascii="Times New Roman" w:hAnsi="Times New Roman"/>
          <w:color w:val="auto"/>
          <w:szCs w:val="21"/>
          <w:highlight w:val="none"/>
        </w:rPr>
        <w:t>多个模块的饰面材料拼接处宜设置门槛石、门套线；</w:t>
      </w:r>
      <w:bookmarkEnd w:id="860"/>
      <w:bookmarkEnd w:id="861"/>
    </w:p>
    <w:p w14:paraId="5B4FCC12">
      <w:pPr>
        <w:spacing w:line="360" w:lineRule="exact"/>
        <w:ind w:firstLine="422" w:firstLineChars="200"/>
        <w:rPr>
          <w:rFonts w:ascii="Times New Roman" w:hAnsi="Times New Roman"/>
          <w:color w:val="auto"/>
          <w:szCs w:val="21"/>
          <w:highlight w:val="none"/>
        </w:rPr>
      </w:pPr>
      <w:bookmarkStart w:id="862" w:name="_Toc14896"/>
      <w:bookmarkStart w:id="863" w:name="_Toc6139"/>
      <w:r>
        <w:rPr>
          <w:rFonts w:ascii="Times New Roman" w:hAnsi="Times New Roman"/>
          <w:b/>
          <w:bCs/>
          <w:color w:val="auto"/>
          <w:szCs w:val="21"/>
          <w:highlight w:val="none"/>
        </w:rPr>
        <w:t>4</w:t>
      </w:r>
      <w:r>
        <w:rPr>
          <w:rFonts w:ascii="Times New Roman" w:hAnsi="Times New Roman"/>
          <w:color w:val="auto"/>
          <w:szCs w:val="21"/>
          <w:highlight w:val="none"/>
        </w:rPr>
        <w:t xml:space="preserve">  </w:t>
      </w:r>
      <w:r>
        <w:rPr>
          <w:rFonts w:hint="eastAsia" w:ascii="Times New Roman" w:hAnsi="Times New Roman"/>
          <w:color w:val="auto"/>
          <w:szCs w:val="21"/>
          <w:highlight w:val="none"/>
        </w:rPr>
        <w:t>多个模块的饰面材料拼接处应进行防水防溢防渗措施处理；</w:t>
      </w:r>
      <w:bookmarkEnd w:id="862"/>
      <w:bookmarkEnd w:id="863"/>
    </w:p>
    <w:p w14:paraId="72EEBE33">
      <w:pPr>
        <w:spacing w:line="360" w:lineRule="exact"/>
        <w:ind w:firstLine="422" w:firstLineChars="200"/>
        <w:rPr>
          <w:rFonts w:ascii="Times New Roman" w:hAnsi="Times New Roman"/>
          <w:color w:val="auto"/>
          <w:szCs w:val="21"/>
          <w:highlight w:val="none"/>
        </w:rPr>
      </w:pPr>
      <w:bookmarkStart w:id="864" w:name="_Toc17414"/>
      <w:bookmarkStart w:id="865" w:name="_Toc25019"/>
      <w:r>
        <w:rPr>
          <w:rFonts w:ascii="Times New Roman" w:hAnsi="Times New Roman"/>
          <w:b/>
          <w:bCs/>
          <w:color w:val="auto"/>
          <w:szCs w:val="21"/>
          <w:highlight w:val="none"/>
        </w:rPr>
        <w:t>5</w:t>
      </w:r>
      <w:r>
        <w:rPr>
          <w:rFonts w:ascii="Times New Roman" w:hAnsi="Times New Roman"/>
          <w:color w:val="auto"/>
          <w:szCs w:val="21"/>
          <w:highlight w:val="none"/>
        </w:rPr>
        <w:t xml:space="preserve">  </w:t>
      </w:r>
      <w:r>
        <w:rPr>
          <w:rFonts w:hint="eastAsia" w:ascii="Times New Roman" w:hAnsi="Times New Roman"/>
          <w:color w:val="auto"/>
          <w:szCs w:val="21"/>
          <w:highlight w:val="none"/>
        </w:rPr>
        <w:t>装修施工宜采用具备一定容错的调平工艺。</w:t>
      </w:r>
      <w:bookmarkEnd w:id="864"/>
      <w:bookmarkEnd w:id="865"/>
      <w:r>
        <w:rPr>
          <w:rFonts w:ascii="Times New Roman" w:hAnsi="Times New Roman"/>
          <w:color w:val="auto"/>
          <w:szCs w:val="21"/>
          <w:highlight w:val="none"/>
        </w:rPr>
        <w:t xml:space="preserve"> </w:t>
      </w:r>
    </w:p>
    <w:p w14:paraId="5B74A1F7">
      <w:pPr>
        <w:widowControl/>
        <w:spacing w:line="360" w:lineRule="exact"/>
        <w:rPr>
          <w:color w:val="auto"/>
          <w:szCs w:val="21"/>
          <w:highlight w:val="none"/>
        </w:rPr>
      </w:pPr>
      <w:r>
        <w:rPr>
          <w:rFonts w:hint="eastAsia"/>
          <w:b/>
          <w:bCs/>
          <w:color w:val="auto"/>
          <w:szCs w:val="21"/>
          <w:highlight w:val="none"/>
        </w:rPr>
        <w:t>7.</w:t>
      </w:r>
      <w:r>
        <w:rPr>
          <w:b/>
          <w:bCs/>
          <w:color w:val="auto"/>
          <w:szCs w:val="21"/>
          <w:highlight w:val="none"/>
        </w:rPr>
        <w:t>5.</w:t>
      </w:r>
      <w:r>
        <w:rPr>
          <w:b/>
          <w:bCs/>
          <w:color w:val="auto"/>
          <w:szCs w:val="21"/>
          <w:highlight w:val="none"/>
          <w:lang w:eastAsia="zh"/>
        </w:rPr>
        <w:t>8</w:t>
      </w:r>
      <w:r>
        <w:rPr>
          <w:b/>
          <w:color w:val="auto"/>
          <w:szCs w:val="21"/>
          <w:highlight w:val="none"/>
        </w:rPr>
        <w:t xml:space="preserve"> </w:t>
      </w:r>
      <w:r>
        <w:rPr>
          <w:color w:val="auto"/>
          <w:szCs w:val="21"/>
          <w:highlight w:val="none"/>
        </w:rPr>
        <w:t xml:space="preserve"> 内装修设计应体现二次机电末端点位，并应符合下列规定：</w:t>
      </w:r>
    </w:p>
    <w:p w14:paraId="7E7E4895">
      <w:pPr>
        <w:spacing w:line="360" w:lineRule="exact"/>
        <w:ind w:firstLine="422" w:firstLineChars="200"/>
        <w:rPr>
          <w:rFonts w:ascii="Times New Roman" w:hAnsi="Times New Roman"/>
          <w:color w:val="auto"/>
          <w:szCs w:val="21"/>
          <w:highlight w:val="none"/>
        </w:rPr>
      </w:pPr>
      <w:bookmarkStart w:id="866" w:name="_Toc25905"/>
      <w:bookmarkStart w:id="867" w:name="_Toc23438"/>
      <w:r>
        <w:rPr>
          <w:rFonts w:ascii="Times New Roman" w:hAnsi="Times New Roman"/>
          <w:b/>
          <w:bCs/>
          <w:color w:val="auto"/>
          <w:szCs w:val="21"/>
          <w:highlight w:val="none"/>
        </w:rPr>
        <w:t>1</w:t>
      </w:r>
      <w:r>
        <w:rPr>
          <w:rFonts w:ascii="Times New Roman" w:hAnsi="Times New Roman"/>
          <w:color w:val="auto"/>
          <w:szCs w:val="21"/>
          <w:highlight w:val="none"/>
        </w:rPr>
        <w:t xml:space="preserve">  </w:t>
      </w:r>
      <w:r>
        <w:rPr>
          <w:rFonts w:hint="eastAsia" w:ascii="Times New Roman" w:hAnsi="Times New Roman"/>
          <w:color w:val="auto"/>
          <w:szCs w:val="21"/>
          <w:highlight w:val="none"/>
        </w:rPr>
        <w:t>内装修设计应在一次机电基础上进行深化设计和末端定位，并应符合机电消防相关要求；</w:t>
      </w:r>
      <w:bookmarkEnd w:id="866"/>
      <w:bookmarkEnd w:id="867"/>
    </w:p>
    <w:p w14:paraId="25175F44">
      <w:pPr>
        <w:spacing w:line="360" w:lineRule="exact"/>
        <w:ind w:firstLine="422" w:firstLineChars="200"/>
        <w:rPr>
          <w:rFonts w:ascii="Times New Roman" w:hAnsi="Times New Roman"/>
          <w:color w:val="auto"/>
          <w:szCs w:val="21"/>
          <w:highlight w:val="none"/>
        </w:rPr>
      </w:pPr>
      <w:bookmarkStart w:id="868" w:name="_Toc22543"/>
      <w:bookmarkStart w:id="869" w:name="_Toc2015"/>
      <w:r>
        <w:rPr>
          <w:rFonts w:ascii="Times New Roman" w:hAnsi="Times New Roman"/>
          <w:b/>
          <w:bCs/>
          <w:color w:val="auto"/>
          <w:szCs w:val="21"/>
          <w:highlight w:val="none"/>
        </w:rPr>
        <w:t>2</w:t>
      </w:r>
      <w:r>
        <w:rPr>
          <w:rFonts w:ascii="Times New Roman" w:hAnsi="Times New Roman"/>
          <w:color w:val="auto"/>
          <w:szCs w:val="21"/>
          <w:highlight w:val="none"/>
        </w:rPr>
        <w:t xml:space="preserve">  </w:t>
      </w:r>
      <w:r>
        <w:rPr>
          <w:rFonts w:hint="eastAsia" w:ascii="Times New Roman" w:hAnsi="Times New Roman"/>
          <w:color w:val="auto"/>
          <w:szCs w:val="21"/>
          <w:highlight w:val="none"/>
        </w:rPr>
        <w:t>内装修图纸应包含所有机电系统的平面图、尺寸图、连线图和综合点位图。</w:t>
      </w:r>
      <w:bookmarkEnd w:id="868"/>
      <w:bookmarkEnd w:id="869"/>
    </w:p>
    <w:p w14:paraId="42FB951F">
      <w:pPr>
        <w:spacing w:line="360" w:lineRule="exact"/>
        <w:rPr>
          <w:color w:val="auto"/>
          <w:highlight w:val="none"/>
          <w:lang w:bidi="ar"/>
        </w:rPr>
      </w:pPr>
      <w:r>
        <w:rPr>
          <w:color w:val="auto"/>
          <w:highlight w:val="none"/>
          <w:lang w:bidi="ar"/>
        </w:rPr>
        <w:br w:type="page"/>
      </w:r>
    </w:p>
    <w:p w14:paraId="68E7347C">
      <w:pPr>
        <w:pStyle w:val="2"/>
        <w:spacing w:before="166" w:beforeLines="50" w:after="166" w:afterLines="50" w:line="360" w:lineRule="auto"/>
        <w:jc w:val="center"/>
        <w:rPr>
          <w:rFonts w:eastAsia="黑体"/>
          <w:sz w:val="28"/>
          <w:szCs w:val="28"/>
          <w:highlight w:val="none"/>
        </w:rPr>
      </w:pPr>
      <w:bookmarkStart w:id="870" w:name="_Toc28545"/>
      <w:bookmarkStart w:id="871" w:name="_Toc9239"/>
      <w:bookmarkStart w:id="872" w:name="_Toc30429"/>
      <w:bookmarkStart w:id="873" w:name="_Toc5904"/>
      <w:bookmarkStart w:id="874" w:name="_Toc23938"/>
      <w:bookmarkStart w:id="875" w:name="_Toc450"/>
      <w:bookmarkStart w:id="876" w:name="_Toc579"/>
      <w:bookmarkStart w:id="877" w:name="_Toc15978"/>
      <w:bookmarkStart w:id="878" w:name="_Toc1718"/>
      <w:bookmarkStart w:id="879" w:name="_Toc21325"/>
      <w:bookmarkStart w:id="880" w:name="_Toc28751"/>
      <w:bookmarkStart w:id="881" w:name="_Toc29578"/>
      <w:bookmarkStart w:id="882" w:name="OLE_LINK24"/>
      <w:r>
        <w:rPr>
          <w:rFonts w:hint="eastAsia" w:eastAsia="黑体"/>
          <w:sz w:val="28"/>
          <w:szCs w:val="28"/>
          <w:highlight w:val="none"/>
        </w:rPr>
        <w:t>8  模块单元生产与运输</w:t>
      </w:r>
      <w:bookmarkEnd w:id="870"/>
      <w:bookmarkEnd w:id="871"/>
      <w:bookmarkEnd w:id="872"/>
      <w:bookmarkEnd w:id="873"/>
      <w:bookmarkEnd w:id="874"/>
      <w:bookmarkEnd w:id="875"/>
      <w:bookmarkEnd w:id="876"/>
      <w:bookmarkEnd w:id="877"/>
      <w:bookmarkEnd w:id="878"/>
      <w:bookmarkEnd w:id="879"/>
      <w:bookmarkEnd w:id="880"/>
      <w:bookmarkEnd w:id="881"/>
    </w:p>
    <w:p w14:paraId="440C2F9F">
      <w:pPr>
        <w:pStyle w:val="3"/>
        <w:spacing w:before="166" w:beforeLines="50" w:after="166" w:afterLines="50" w:line="360" w:lineRule="auto"/>
        <w:jc w:val="center"/>
        <w:rPr>
          <w:rFonts w:ascii="Times New Roman" w:hAnsi="Times New Roman" w:eastAsia="黑体" w:cs="Times New Roman"/>
          <w:sz w:val="24"/>
          <w:szCs w:val="24"/>
          <w:highlight w:val="none"/>
        </w:rPr>
      </w:pPr>
      <w:bookmarkStart w:id="883" w:name="_Toc13034"/>
      <w:bookmarkStart w:id="884" w:name="_Toc30578"/>
      <w:bookmarkStart w:id="885" w:name="_Toc10557"/>
      <w:bookmarkStart w:id="886" w:name="_Toc16757"/>
      <w:bookmarkStart w:id="887" w:name="_Toc9526"/>
      <w:bookmarkStart w:id="888" w:name="_Toc11774"/>
      <w:bookmarkStart w:id="889" w:name="_Toc8825"/>
      <w:bookmarkStart w:id="890" w:name="_Toc17565"/>
      <w:bookmarkStart w:id="891" w:name="_Toc645"/>
      <w:bookmarkStart w:id="892" w:name="_Toc6159"/>
      <w:bookmarkStart w:id="893" w:name="_Toc25433"/>
      <w:bookmarkStart w:id="894" w:name="_Toc10956"/>
      <w:r>
        <w:rPr>
          <w:rFonts w:hint="eastAsia" w:ascii="Times New Roman" w:hAnsi="Times New Roman" w:eastAsia="黑体" w:cs="Times New Roman"/>
          <w:b/>
          <w:sz w:val="24"/>
          <w:szCs w:val="24"/>
          <w:highlight w:val="none"/>
        </w:rPr>
        <w:t>8.</w:t>
      </w:r>
      <w:r>
        <w:rPr>
          <w:rFonts w:ascii="Times New Roman" w:hAnsi="Times New Roman" w:eastAsia="黑体" w:cs="Times New Roman"/>
          <w:b/>
          <w:sz w:val="24"/>
          <w:szCs w:val="24"/>
          <w:highlight w:val="none"/>
        </w:rPr>
        <w:t>1</w:t>
      </w:r>
      <w:r>
        <w:rPr>
          <w:rFonts w:hint="eastAsia" w:ascii="Times New Roman" w:hAnsi="Times New Roman" w:eastAsia="黑体" w:cs="Times New Roman"/>
          <w:b/>
          <w:sz w:val="24"/>
          <w:szCs w:val="24"/>
          <w:highlight w:val="none"/>
        </w:rPr>
        <w:t xml:space="preserve"> </w:t>
      </w:r>
      <w:r>
        <w:rPr>
          <w:rFonts w:hint="eastAsia" w:ascii="Times New Roman" w:hAnsi="Times New Roman" w:eastAsia="黑体" w:cs="Times New Roman"/>
          <w:sz w:val="24"/>
          <w:szCs w:val="24"/>
          <w:highlight w:val="none"/>
        </w:rPr>
        <w:t xml:space="preserve"> 一 般 规 定</w:t>
      </w:r>
      <w:bookmarkEnd w:id="883"/>
      <w:bookmarkEnd w:id="884"/>
      <w:bookmarkEnd w:id="885"/>
      <w:bookmarkEnd w:id="886"/>
      <w:bookmarkEnd w:id="887"/>
      <w:bookmarkEnd w:id="888"/>
      <w:bookmarkEnd w:id="889"/>
      <w:bookmarkEnd w:id="890"/>
      <w:bookmarkEnd w:id="891"/>
      <w:bookmarkEnd w:id="892"/>
      <w:bookmarkEnd w:id="893"/>
      <w:bookmarkEnd w:id="894"/>
    </w:p>
    <w:p w14:paraId="5FC0D81F">
      <w:pPr>
        <w:rPr>
          <w:highlight w:val="none"/>
        </w:rPr>
      </w:pPr>
      <w:r>
        <w:rPr>
          <w:rFonts w:hint="eastAsia"/>
          <w:b/>
          <w:highlight w:val="none"/>
        </w:rPr>
        <w:t>8.</w:t>
      </w:r>
      <w:r>
        <w:rPr>
          <w:b/>
          <w:highlight w:val="none"/>
        </w:rPr>
        <w:t>1</w:t>
      </w:r>
      <w:r>
        <w:rPr>
          <w:rFonts w:hint="eastAsia"/>
          <w:b/>
          <w:highlight w:val="none"/>
        </w:rPr>
        <w:t>.</w:t>
      </w:r>
      <w:r>
        <w:rPr>
          <w:b/>
          <w:highlight w:val="none"/>
        </w:rPr>
        <w:t xml:space="preserve">1  </w:t>
      </w:r>
      <w:r>
        <w:rPr>
          <w:rFonts w:hint="eastAsia"/>
          <w:highlight w:val="none"/>
        </w:rPr>
        <w:t>生产单位应具备保证产品质量要求的生产工艺设施、试验检测条件，建立完善的质量管理体系和制度，包括模块单元深化设计、预拌混凝土生产、混凝土预制构件生产、各种材料部品的进厂和加工安装等，并</w:t>
      </w:r>
      <w:r>
        <w:rPr>
          <w:rFonts w:hint="eastAsia"/>
          <w:highlight w:val="none"/>
          <w:lang w:val="en-US" w:eastAsia="zh-CN"/>
        </w:rPr>
        <w:t>应</w:t>
      </w:r>
      <w:r>
        <w:rPr>
          <w:rFonts w:hint="eastAsia"/>
          <w:highlight w:val="none"/>
        </w:rPr>
        <w:t>建立质量可追溯的信息化管理系统。</w:t>
      </w:r>
    </w:p>
    <w:p w14:paraId="517AE0AF">
      <w:pPr>
        <w:rPr>
          <w:highlight w:val="none"/>
        </w:rPr>
      </w:pPr>
      <w:r>
        <w:rPr>
          <w:rFonts w:hint="eastAsia"/>
          <w:b/>
          <w:highlight w:val="none"/>
        </w:rPr>
        <w:t>8.</w:t>
      </w:r>
      <w:r>
        <w:rPr>
          <w:b/>
          <w:highlight w:val="none"/>
        </w:rPr>
        <w:t>1</w:t>
      </w:r>
      <w:r>
        <w:rPr>
          <w:rFonts w:hint="eastAsia"/>
          <w:b/>
          <w:highlight w:val="none"/>
        </w:rPr>
        <w:t>.2</w:t>
      </w:r>
      <w:r>
        <w:rPr>
          <w:b/>
          <w:highlight w:val="none"/>
        </w:rPr>
        <w:t xml:space="preserve"> </w:t>
      </w:r>
      <w:r>
        <w:rPr>
          <w:highlight w:val="none"/>
        </w:rPr>
        <w:t xml:space="preserve"> </w:t>
      </w:r>
      <w:r>
        <w:rPr>
          <w:rFonts w:hint="eastAsia"/>
          <w:highlight w:val="none"/>
        </w:rPr>
        <w:t>生产单位应具备模块单元的深化设计能力，包括模具、吊装、钢筋等的深化设计，铝合金门窗、栏杆、机电、装修等专业的深化设计配合。</w:t>
      </w:r>
    </w:p>
    <w:p w14:paraId="6716B18D">
      <w:pPr>
        <w:rPr>
          <w:rFonts w:hint="eastAsia" w:eastAsia="宋体"/>
          <w:b/>
          <w:highlight w:val="none"/>
          <w:lang w:eastAsia="zh-CN"/>
        </w:rPr>
      </w:pPr>
      <w:r>
        <w:rPr>
          <w:rFonts w:hint="eastAsia" w:eastAsia="黑体"/>
          <w:b/>
          <w:highlight w:val="none"/>
        </w:rPr>
        <w:t>8.</w:t>
      </w:r>
      <w:r>
        <w:rPr>
          <w:rFonts w:eastAsia="黑体"/>
          <w:b/>
          <w:highlight w:val="none"/>
        </w:rPr>
        <w:t>1</w:t>
      </w:r>
      <w:r>
        <w:rPr>
          <w:rFonts w:hint="eastAsia"/>
          <w:b/>
          <w:highlight w:val="none"/>
        </w:rPr>
        <w:t>.</w:t>
      </w:r>
      <w:r>
        <w:rPr>
          <w:rFonts w:hint="eastAsia" w:eastAsia="黑体"/>
          <w:b/>
          <w:highlight w:val="none"/>
          <w:lang w:val="en-US" w:eastAsia="zh-CN"/>
        </w:rPr>
        <w:t>3</w:t>
      </w:r>
      <w:r>
        <w:rPr>
          <w:rFonts w:eastAsia="黑体"/>
          <w:b/>
          <w:highlight w:val="none"/>
        </w:rPr>
        <w:t xml:space="preserve">  </w:t>
      </w:r>
      <w:r>
        <w:rPr>
          <w:rFonts w:hint="eastAsia" w:eastAsia="黑体"/>
          <w:b/>
          <w:highlight w:val="none"/>
        </w:rPr>
        <w:t xml:space="preserve"> </w:t>
      </w:r>
      <w:r>
        <w:rPr>
          <w:rFonts w:hint="eastAsia"/>
          <w:b w:val="0"/>
          <w:highlight w:val="none"/>
          <w:lang w:val="en-US" w:eastAsia="zh-CN"/>
        </w:rPr>
        <w:t>模块单元</w:t>
      </w:r>
      <w:r>
        <w:rPr>
          <w:rFonts w:hint="eastAsia" w:eastAsia="宋体"/>
          <w:b w:val="0"/>
          <w:highlight w:val="none"/>
        </w:rPr>
        <w:t>生产前，应由建设单位组织设计、生产、施工单位进行设计文件交底和会审。必要时，应根据批准的设计文件、拟定的生产工艺、运输方案、吊装方案等编制加工详图</w:t>
      </w:r>
      <w:r>
        <w:rPr>
          <w:rFonts w:hint="eastAsia"/>
          <w:b w:val="0"/>
          <w:highlight w:val="none"/>
          <w:lang w:eastAsia="zh-CN"/>
        </w:rPr>
        <w:t>；</w:t>
      </w:r>
      <w:r>
        <w:rPr>
          <w:rFonts w:hint="eastAsia"/>
          <w:highlight w:val="none"/>
        </w:rPr>
        <w:t>生产单位</w:t>
      </w:r>
      <w:r>
        <w:rPr>
          <w:rFonts w:hint="eastAsia"/>
          <w:highlight w:val="none"/>
          <w:lang w:val="en-US" w:eastAsia="zh-CN"/>
        </w:rPr>
        <w:t>根据加工详图</w:t>
      </w:r>
      <w:r>
        <w:rPr>
          <w:rFonts w:hint="eastAsia"/>
          <w:highlight w:val="none"/>
        </w:rPr>
        <w:t>进行产品试制、制作样板，经建设、设计、施工和监理单位联合验收合格后方可实施批量生产。</w:t>
      </w:r>
    </w:p>
    <w:p w14:paraId="2D5A265F">
      <w:pPr>
        <w:rPr>
          <w:rFonts w:hint="eastAsia"/>
          <w:highlight w:val="none"/>
        </w:rPr>
      </w:pPr>
      <w:r>
        <w:rPr>
          <w:rFonts w:hint="eastAsia"/>
          <w:b/>
          <w:highlight w:val="none"/>
        </w:rPr>
        <w:t>8.</w:t>
      </w:r>
      <w:r>
        <w:rPr>
          <w:b/>
          <w:highlight w:val="none"/>
        </w:rPr>
        <w:t>1</w:t>
      </w:r>
      <w:r>
        <w:rPr>
          <w:rFonts w:hint="eastAsia"/>
          <w:b/>
          <w:highlight w:val="none"/>
        </w:rPr>
        <w:t>.</w:t>
      </w:r>
      <w:r>
        <w:rPr>
          <w:rFonts w:hint="eastAsia"/>
          <w:b/>
          <w:highlight w:val="none"/>
          <w:lang w:val="en-US" w:eastAsia="zh-CN"/>
        </w:rPr>
        <w:t>4</w:t>
      </w:r>
      <w:r>
        <w:rPr>
          <w:b/>
          <w:highlight w:val="none"/>
        </w:rPr>
        <w:t xml:space="preserve">  </w:t>
      </w:r>
      <w:r>
        <w:rPr>
          <w:rFonts w:hint="eastAsia"/>
          <w:highlight w:val="none"/>
          <w:lang w:val="en-US" w:eastAsia="zh-CN"/>
        </w:rPr>
        <w:t>模块单元</w:t>
      </w:r>
      <w:r>
        <w:rPr>
          <w:rFonts w:hint="eastAsia"/>
          <w:highlight w:val="none"/>
        </w:rPr>
        <w:t>生产前</w:t>
      </w:r>
      <w:r>
        <w:rPr>
          <w:rFonts w:hint="eastAsia"/>
          <w:highlight w:val="none"/>
          <w:lang w:eastAsia="zh-CN"/>
        </w:rPr>
        <w:t>，</w:t>
      </w:r>
      <w:r>
        <w:rPr>
          <w:rFonts w:hint="eastAsia"/>
          <w:highlight w:val="none"/>
          <w:lang w:val="en-US" w:eastAsia="zh-CN"/>
        </w:rPr>
        <w:t>生产单位</w:t>
      </w:r>
      <w:r>
        <w:rPr>
          <w:rFonts w:hint="eastAsia"/>
          <w:highlight w:val="none"/>
        </w:rPr>
        <w:t>应编制生产方案，生产方案宜包括模块单元生产计划及生产工艺、模具方案及计划、技术质量控制措施、成品存放、运输和保护方案等。</w:t>
      </w:r>
    </w:p>
    <w:p w14:paraId="62981C5D">
      <w:pPr>
        <w:rPr>
          <w:highlight w:val="none"/>
        </w:rPr>
      </w:pPr>
      <w:r>
        <w:rPr>
          <w:rFonts w:hint="eastAsia"/>
          <w:b/>
          <w:highlight w:val="none"/>
        </w:rPr>
        <w:t>8.</w:t>
      </w:r>
      <w:r>
        <w:rPr>
          <w:b/>
          <w:highlight w:val="none"/>
        </w:rPr>
        <w:t>1</w:t>
      </w:r>
      <w:r>
        <w:rPr>
          <w:rFonts w:hint="eastAsia"/>
          <w:b/>
          <w:highlight w:val="none"/>
        </w:rPr>
        <w:t>.</w:t>
      </w:r>
      <w:r>
        <w:rPr>
          <w:rFonts w:hint="eastAsia"/>
          <w:b/>
          <w:highlight w:val="none"/>
          <w:lang w:val="en-US" w:eastAsia="zh-CN"/>
        </w:rPr>
        <w:t>5</w:t>
      </w:r>
      <w:r>
        <w:rPr>
          <w:b/>
          <w:highlight w:val="none"/>
        </w:rPr>
        <w:t xml:space="preserve">  </w:t>
      </w:r>
      <w:r>
        <w:rPr>
          <w:rFonts w:hint="eastAsia"/>
          <w:highlight w:val="none"/>
        </w:rPr>
        <w:t>模块</w:t>
      </w:r>
      <w:r>
        <w:rPr>
          <w:rFonts w:hint="eastAsia"/>
          <w:highlight w:val="none"/>
          <w:lang w:val="en-US" w:eastAsia="zh-CN"/>
        </w:rPr>
        <w:t>单元</w:t>
      </w:r>
      <w:r>
        <w:rPr>
          <w:rFonts w:hint="eastAsia"/>
          <w:highlight w:val="none"/>
        </w:rPr>
        <w:t>生产中采用新技术、新工艺、新材料、新设备时，生产单位应制定专门的生产方案</w:t>
      </w:r>
      <w:r>
        <w:rPr>
          <w:rFonts w:hint="eastAsia"/>
          <w:highlight w:val="none"/>
          <w:lang w:eastAsia="zh-CN"/>
        </w:rPr>
        <w:t>；</w:t>
      </w:r>
      <w:r>
        <w:rPr>
          <w:rFonts w:hint="eastAsia"/>
          <w:highlight w:val="none"/>
        </w:rPr>
        <w:t>必要时</w:t>
      </w:r>
      <w:r>
        <w:rPr>
          <w:rFonts w:hint="eastAsia"/>
          <w:highlight w:val="none"/>
          <w:lang w:val="en-US" w:eastAsia="zh-CN"/>
        </w:rPr>
        <w:t>应</w:t>
      </w:r>
      <w:r>
        <w:rPr>
          <w:rFonts w:hint="eastAsia"/>
          <w:highlight w:val="none"/>
        </w:rPr>
        <w:t>进行样品试制，经检验合格后方可实施。</w:t>
      </w:r>
    </w:p>
    <w:p w14:paraId="1C5A1E39">
      <w:pPr>
        <w:rPr>
          <w:highlight w:val="none"/>
        </w:rPr>
      </w:pPr>
      <w:bookmarkStart w:id="895" w:name="_Toc7993"/>
      <w:bookmarkStart w:id="896" w:name="_Toc10610"/>
      <w:bookmarkStart w:id="897" w:name="_Toc15352"/>
      <w:r>
        <w:rPr>
          <w:rFonts w:hint="eastAsia"/>
          <w:b/>
          <w:highlight w:val="none"/>
        </w:rPr>
        <w:t>8.</w:t>
      </w:r>
      <w:r>
        <w:rPr>
          <w:b/>
          <w:highlight w:val="none"/>
        </w:rPr>
        <w:t>1</w:t>
      </w:r>
      <w:r>
        <w:rPr>
          <w:rFonts w:hint="eastAsia"/>
          <w:b/>
          <w:highlight w:val="none"/>
        </w:rPr>
        <w:t>.</w:t>
      </w:r>
      <w:r>
        <w:rPr>
          <w:rFonts w:hint="eastAsia"/>
          <w:b/>
          <w:highlight w:val="none"/>
          <w:lang w:val="en-US" w:eastAsia="zh-CN"/>
        </w:rPr>
        <w:t>6</w:t>
      </w:r>
      <w:r>
        <w:rPr>
          <w:b/>
          <w:highlight w:val="none"/>
        </w:rPr>
        <w:t xml:space="preserve">  </w:t>
      </w:r>
      <w:r>
        <w:rPr>
          <w:rFonts w:hint="eastAsia" w:eastAsia="宋体"/>
          <w:highlight w:val="none"/>
        </w:rPr>
        <w:t>采用模块化叠合剪力墙结构体系时</w:t>
      </w:r>
      <w:r>
        <w:rPr>
          <w:rFonts w:hint="eastAsia" w:eastAsia="宋体"/>
          <w:highlight w:val="none"/>
          <w:lang w:eastAsia="zh-CN"/>
        </w:rPr>
        <w:t>，</w:t>
      </w:r>
      <w:r>
        <w:rPr>
          <w:rFonts w:hint="eastAsia"/>
          <w:highlight w:val="none"/>
        </w:rPr>
        <w:t>模块</w:t>
      </w:r>
      <w:r>
        <w:rPr>
          <w:rFonts w:hint="eastAsia"/>
          <w:highlight w:val="none"/>
          <w:lang w:val="en-US" w:eastAsia="zh-CN"/>
        </w:rPr>
        <w:t>单元</w:t>
      </w:r>
      <w:r>
        <w:rPr>
          <w:rFonts w:hint="eastAsia"/>
          <w:highlight w:val="none"/>
        </w:rPr>
        <w:t>生产中所用的预制构件</w:t>
      </w:r>
      <w:r>
        <w:rPr>
          <w:rFonts w:hint="eastAsia"/>
          <w:highlight w:val="none"/>
          <w:lang w:val="en-US" w:eastAsia="zh-CN"/>
        </w:rPr>
        <w:t>质量</w:t>
      </w:r>
      <w:r>
        <w:rPr>
          <w:rFonts w:hint="eastAsia"/>
          <w:highlight w:val="none"/>
        </w:rPr>
        <w:t>应</w:t>
      </w:r>
      <w:r>
        <w:rPr>
          <w:rFonts w:hint="eastAsia"/>
          <w:highlight w:val="none"/>
          <w:lang w:val="en-US" w:eastAsia="zh-CN"/>
        </w:rPr>
        <w:t>符合</w:t>
      </w:r>
      <w:r>
        <w:rPr>
          <w:rFonts w:hint="eastAsia"/>
          <w:highlight w:val="none"/>
        </w:rPr>
        <w:t>设计要求及国家现行标准《装配式混凝土建筑技术标准》GB/T 51231的</w:t>
      </w:r>
      <w:r>
        <w:rPr>
          <w:rFonts w:hint="eastAsia"/>
          <w:highlight w:val="none"/>
          <w:lang w:val="en-US" w:eastAsia="zh-CN"/>
        </w:rPr>
        <w:t>有关规定</w:t>
      </w:r>
      <w:r>
        <w:rPr>
          <w:rFonts w:hint="eastAsia"/>
          <w:highlight w:val="none"/>
        </w:rPr>
        <w:t>。</w:t>
      </w:r>
    </w:p>
    <w:p w14:paraId="5DF83655">
      <w:pPr>
        <w:rPr>
          <w:highlight w:val="none"/>
        </w:rPr>
      </w:pPr>
      <w:r>
        <w:rPr>
          <w:rFonts w:hint="eastAsia"/>
          <w:b/>
          <w:highlight w:val="none"/>
        </w:rPr>
        <w:t>8.</w:t>
      </w:r>
      <w:r>
        <w:rPr>
          <w:b/>
          <w:highlight w:val="none"/>
        </w:rPr>
        <w:t>1</w:t>
      </w:r>
      <w:r>
        <w:rPr>
          <w:rFonts w:hint="eastAsia"/>
          <w:b/>
          <w:highlight w:val="none"/>
        </w:rPr>
        <w:t>.</w:t>
      </w:r>
      <w:r>
        <w:rPr>
          <w:rFonts w:hint="eastAsia"/>
          <w:b/>
          <w:highlight w:val="none"/>
          <w:lang w:val="en-US" w:eastAsia="zh-CN"/>
        </w:rPr>
        <w:t>7</w:t>
      </w:r>
      <w:r>
        <w:rPr>
          <w:b/>
          <w:highlight w:val="none"/>
        </w:rPr>
        <w:t xml:space="preserve">  </w:t>
      </w:r>
      <w:r>
        <w:rPr>
          <w:rFonts w:hint="eastAsia"/>
          <w:highlight w:val="none"/>
        </w:rPr>
        <w:t>模块单元生产中每道工序完成后，必须经</w:t>
      </w:r>
      <w:r>
        <w:rPr>
          <w:rFonts w:hint="eastAsia"/>
          <w:highlight w:val="none"/>
          <w:lang w:val="en-US" w:eastAsia="zh-CN"/>
        </w:rPr>
        <w:t>生产单位</w:t>
      </w:r>
      <w:r>
        <w:rPr>
          <w:rFonts w:hint="eastAsia"/>
          <w:highlight w:val="none"/>
        </w:rPr>
        <w:t>专业质检员及驻场监造人员验收合格，并形成隐蔽工程验收记录。</w:t>
      </w:r>
    </w:p>
    <w:p w14:paraId="7D72E1A3">
      <w:pPr>
        <w:rPr>
          <w:rFonts w:hint="eastAsia" w:ascii="宋体" w:hAnsi="宋体" w:cs="宋体"/>
          <w:bCs/>
          <w:highlight w:val="none"/>
        </w:rPr>
      </w:pPr>
      <w:r>
        <w:rPr>
          <w:b/>
          <w:highlight w:val="none"/>
        </w:rPr>
        <w:t>8.1.</w:t>
      </w:r>
      <w:r>
        <w:rPr>
          <w:rFonts w:hint="eastAsia"/>
          <w:b/>
          <w:highlight w:val="none"/>
          <w:lang w:val="en-US" w:eastAsia="zh-CN"/>
        </w:rPr>
        <w:t>8</w:t>
      </w:r>
      <w:r>
        <w:rPr>
          <w:rFonts w:hint="eastAsia" w:ascii="宋体" w:hAnsi="宋体" w:cs="宋体"/>
          <w:b/>
          <w:bCs/>
          <w:highlight w:val="none"/>
        </w:rPr>
        <w:t xml:space="preserve"> </w:t>
      </w:r>
      <w:r>
        <w:rPr>
          <w:rFonts w:hint="eastAsia" w:ascii="宋体" w:hAnsi="宋体" w:cs="宋体"/>
          <w:bCs/>
          <w:highlight w:val="none"/>
        </w:rPr>
        <w:t xml:space="preserve"> 模块组装前预制构件单元混凝土强度不应小于15MPa，模块组装完成后混凝土强度应满足图纸要求后方可出厂。</w:t>
      </w:r>
    </w:p>
    <w:bookmarkEnd w:id="895"/>
    <w:bookmarkEnd w:id="896"/>
    <w:bookmarkEnd w:id="897"/>
    <w:p w14:paraId="6AECD89F">
      <w:pPr>
        <w:pStyle w:val="3"/>
        <w:spacing w:before="166" w:beforeLines="50" w:after="166" w:afterLines="50" w:line="360" w:lineRule="auto"/>
        <w:jc w:val="center"/>
        <w:rPr>
          <w:rFonts w:hint="default" w:ascii="Times New Roman" w:hAnsi="Times New Roman" w:eastAsia="黑体" w:cs="Times New Roman"/>
          <w:sz w:val="24"/>
          <w:szCs w:val="24"/>
          <w:highlight w:val="none"/>
          <w:lang w:val="en-US" w:eastAsia="zh-CN"/>
        </w:rPr>
      </w:pPr>
      <w:bookmarkStart w:id="898" w:name="_Toc6149"/>
      <w:bookmarkStart w:id="899" w:name="_Toc19638"/>
      <w:bookmarkStart w:id="900" w:name="_Toc13661"/>
      <w:bookmarkStart w:id="901" w:name="_Toc23453"/>
      <w:bookmarkStart w:id="902" w:name="_Toc5672"/>
      <w:bookmarkStart w:id="903" w:name="_Toc26257"/>
      <w:bookmarkStart w:id="904" w:name="_Toc1482"/>
      <w:bookmarkStart w:id="905" w:name="_Toc7438"/>
      <w:bookmarkStart w:id="906" w:name="_Toc17941"/>
      <w:bookmarkStart w:id="907" w:name="_Toc21881"/>
      <w:bookmarkStart w:id="908" w:name="_Toc6123"/>
      <w:bookmarkStart w:id="909" w:name="_Toc10015"/>
      <w:r>
        <w:rPr>
          <w:rFonts w:hint="eastAsia" w:ascii="Times New Roman" w:hAnsi="Times New Roman" w:eastAsia="黑体" w:cs="Times New Roman"/>
          <w:b/>
          <w:sz w:val="24"/>
          <w:szCs w:val="24"/>
          <w:highlight w:val="none"/>
        </w:rPr>
        <w:t>8.</w:t>
      </w:r>
      <w:r>
        <w:rPr>
          <w:rFonts w:hint="eastAsia" w:ascii="Times New Roman" w:hAnsi="Times New Roman" w:eastAsia="黑体" w:cs="Times New Roman"/>
          <w:b/>
          <w:sz w:val="24"/>
          <w:szCs w:val="24"/>
          <w:highlight w:val="none"/>
          <w:lang w:val="en-US" w:eastAsia="zh-CN"/>
        </w:rPr>
        <w:t>2</w:t>
      </w:r>
      <w:r>
        <w:rPr>
          <w:rFonts w:hint="eastAsia" w:ascii="Times New Roman" w:hAnsi="Times New Roman" w:eastAsia="黑体" w:cs="Times New Roman"/>
          <w:b/>
          <w:sz w:val="24"/>
          <w:szCs w:val="24"/>
          <w:highlight w:val="none"/>
        </w:rPr>
        <w:t xml:space="preserve"> </w:t>
      </w:r>
      <w:r>
        <w:rPr>
          <w:rFonts w:hint="eastAsia" w:ascii="Times New Roman" w:hAnsi="Times New Roman" w:eastAsia="黑体" w:cs="Times New Roman"/>
          <w:sz w:val="24"/>
          <w:szCs w:val="24"/>
          <w:highlight w:val="none"/>
        </w:rPr>
        <w:t xml:space="preserve"> 模具</w:t>
      </w:r>
      <w:bookmarkEnd w:id="898"/>
      <w:bookmarkEnd w:id="899"/>
      <w:bookmarkEnd w:id="900"/>
      <w:bookmarkEnd w:id="901"/>
      <w:bookmarkEnd w:id="902"/>
      <w:bookmarkEnd w:id="903"/>
      <w:bookmarkEnd w:id="904"/>
      <w:r>
        <w:rPr>
          <w:rFonts w:hint="eastAsia" w:ascii="Times New Roman" w:hAnsi="Times New Roman" w:eastAsia="黑体" w:cs="Times New Roman"/>
          <w:sz w:val="24"/>
          <w:szCs w:val="24"/>
          <w:highlight w:val="none"/>
          <w:lang w:val="en-US" w:eastAsia="zh-CN"/>
        </w:rPr>
        <w:t>及预埋件</w:t>
      </w:r>
      <w:bookmarkEnd w:id="905"/>
      <w:bookmarkEnd w:id="906"/>
      <w:bookmarkEnd w:id="907"/>
      <w:bookmarkEnd w:id="908"/>
      <w:bookmarkEnd w:id="909"/>
    </w:p>
    <w:p w14:paraId="41A53A6F">
      <w:pPr>
        <w:rPr>
          <w:highlight w:val="none"/>
        </w:rPr>
      </w:pPr>
      <w:r>
        <w:rPr>
          <w:rFonts w:hint="eastAsia" w:eastAsia="黑体"/>
          <w:b/>
          <w:highlight w:val="none"/>
        </w:rPr>
        <w:t>8.</w:t>
      </w:r>
      <w:r>
        <w:rPr>
          <w:rFonts w:hint="eastAsia" w:eastAsia="黑体"/>
          <w:b/>
          <w:highlight w:val="none"/>
          <w:lang w:val="en-US" w:eastAsia="zh-CN"/>
        </w:rPr>
        <w:t>2</w:t>
      </w:r>
      <w:r>
        <w:rPr>
          <w:rFonts w:hint="eastAsia"/>
          <w:b/>
          <w:highlight w:val="none"/>
        </w:rPr>
        <w:t>.</w:t>
      </w:r>
      <w:r>
        <w:rPr>
          <w:rFonts w:eastAsia="黑体"/>
          <w:b/>
          <w:highlight w:val="none"/>
        </w:rPr>
        <w:t xml:space="preserve">1  </w:t>
      </w:r>
      <w:r>
        <w:rPr>
          <w:rFonts w:hint="eastAsia"/>
          <w:highlight w:val="none"/>
        </w:rPr>
        <w:t>模块生产应根据生产工艺、产品类型等制定模具方案，并应建立模具制作、验收、使用、维修、报废制度。</w:t>
      </w:r>
    </w:p>
    <w:p w14:paraId="2A60079A">
      <w:pPr>
        <w:rPr>
          <w:highlight w:val="none"/>
        </w:rPr>
      </w:pPr>
      <w:r>
        <w:rPr>
          <w:rFonts w:hint="eastAsia" w:eastAsia="黑体"/>
          <w:b/>
          <w:highlight w:val="none"/>
        </w:rPr>
        <w:t>8.</w:t>
      </w:r>
      <w:r>
        <w:rPr>
          <w:rFonts w:hint="eastAsia" w:eastAsia="黑体"/>
          <w:b/>
          <w:highlight w:val="none"/>
          <w:lang w:val="en-US" w:eastAsia="zh-CN"/>
        </w:rPr>
        <w:t>2</w:t>
      </w:r>
      <w:r>
        <w:rPr>
          <w:rFonts w:hint="eastAsia"/>
          <w:b/>
          <w:highlight w:val="none"/>
        </w:rPr>
        <w:t>.</w:t>
      </w:r>
      <w:r>
        <w:rPr>
          <w:rFonts w:hint="eastAsia" w:eastAsia="黑体"/>
          <w:b/>
          <w:highlight w:val="none"/>
        </w:rPr>
        <w:t>2</w:t>
      </w:r>
      <w:r>
        <w:rPr>
          <w:rFonts w:eastAsia="黑体"/>
          <w:b/>
          <w:highlight w:val="none"/>
        </w:rPr>
        <w:t xml:space="preserve">  </w:t>
      </w:r>
      <w:r>
        <w:rPr>
          <w:rFonts w:hint="eastAsia"/>
          <w:highlight w:val="none"/>
        </w:rPr>
        <w:t>模具应具有足够的强度、刚度和整体稳固性，并应符合下列规定：</w:t>
      </w:r>
    </w:p>
    <w:p w14:paraId="6C54258C">
      <w:pPr>
        <w:ind w:firstLine="422" w:firstLineChars="200"/>
        <w:rPr>
          <w:highlight w:val="none"/>
        </w:rPr>
      </w:pPr>
      <w:r>
        <w:rPr>
          <w:b/>
          <w:highlight w:val="none"/>
        </w:rPr>
        <w:t xml:space="preserve">1  </w:t>
      </w:r>
      <w:r>
        <w:rPr>
          <w:rFonts w:hint="eastAsia"/>
          <w:highlight w:val="none"/>
        </w:rPr>
        <w:t>模具应装拆方便，并应满足预制模块质量、生产工艺和周转次数等要求。</w:t>
      </w:r>
    </w:p>
    <w:p w14:paraId="4EE4F603">
      <w:pPr>
        <w:ind w:firstLine="422" w:firstLineChars="200"/>
        <w:rPr>
          <w:highlight w:val="none"/>
        </w:rPr>
      </w:pPr>
      <w:bookmarkStart w:id="910" w:name="_Toc27857"/>
      <w:bookmarkStart w:id="911" w:name="_Toc9811"/>
      <w:r>
        <w:rPr>
          <w:b/>
          <w:highlight w:val="none"/>
        </w:rPr>
        <w:t xml:space="preserve">2  </w:t>
      </w:r>
      <w:r>
        <w:rPr>
          <w:rFonts w:hint="eastAsia"/>
          <w:highlight w:val="none"/>
        </w:rPr>
        <w:t>模具应制作样板，经检验合格后批量制作</w:t>
      </w:r>
      <w:bookmarkEnd w:id="910"/>
      <w:bookmarkEnd w:id="911"/>
      <w:r>
        <w:rPr>
          <w:rFonts w:hint="eastAsia"/>
          <w:highlight w:val="none"/>
        </w:rPr>
        <w:t>。</w:t>
      </w:r>
    </w:p>
    <w:p w14:paraId="628FA6F8">
      <w:pPr>
        <w:ind w:firstLine="422" w:firstLineChars="200"/>
        <w:rPr>
          <w:highlight w:val="none"/>
        </w:rPr>
      </w:pPr>
      <w:r>
        <w:rPr>
          <w:b/>
          <w:highlight w:val="none"/>
        </w:rPr>
        <w:t xml:space="preserve">3  </w:t>
      </w:r>
      <w:r>
        <w:rPr>
          <w:rFonts w:hint="eastAsia"/>
          <w:highlight w:val="none"/>
        </w:rPr>
        <w:t>模具各部件之间应连接牢固，接缝紧密，附带的埋件或工装应定位准确，安装牢固。</w:t>
      </w:r>
    </w:p>
    <w:p w14:paraId="6AC10C76">
      <w:pPr>
        <w:ind w:firstLine="422" w:firstLineChars="200"/>
        <w:rPr>
          <w:highlight w:val="none"/>
        </w:rPr>
      </w:pPr>
      <w:r>
        <w:rPr>
          <w:b/>
          <w:highlight w:val="none"/>
        </w:rPr>
        <w:t xml:space="preserve">4  </w:t>
      </w:r>
      <w:r>
        <w:rPr>
          <w:rFonts w:hint="eastAsia"/>
          <w:highlight w:val="none"/>
        </w:rPr>
        <w:t>用作底模的台座、胎模应平整光洁，不得有下沉、裂缝、起砂和起鼓。</w:t>
      </w:r>
    </w:p>
    <w:p w14:paraId="71E5FFCD">
      <w:pPr>
        <w:ind w:firstLine="422" w:firstLineChars="200"/>
        <w:rPr>
          <w:highlight w:val="none"/>
        </w:rPr>
      </w:pPr>
      <w:bookmarkStart w:id="912" w:name="_Toc25637"/>
      <w:bookmarkStart w:id="913" w:name="_Toc8079"/>
      <w:r>
        <w:rPr>
          <w:b/>
          <w:highlight w:val="none"/>
        </w:rPr>
        <w:t xml:space="preserve">5  </w:t>
      </w:r>
      <w:r>
        <w:rPr>
          <w:rFonts w:hint="eastAsia"/>
          <w:highlight w:val="none"/>
        </w:rPr>
        <w:t>对于高度大于</w:t>
      </w:r>
      <w:r>
        <w:rPr>
          <w:highlight w:val="none"/>
        </w:rPr>
        <w:t>2m</w:t>
      </w:r>
      <w:r>
        <w:rPr>
          <w:rFonts w:hint="eastAsia"/>
          <w:highlight w:val="none"/>
        </w:rPr>
        <w:t>的模具应满足高空作业的安全要求</w:t>
      </w:r>
      <w:bookmarkEnd w:id="912"/>
      <w:bookmarkEnd w:id="913"/>
      <w:r>
        <w:rPr>
          <w:rFonts w:hint="eastAsia"/>
          <w:highlight w:val="none"/>
        </w:rPr>
        <w:t>。</w:t>
      </w:r>
    </w:p>
    <w:p w14:paraId="33AD5696">
      <w:pPr>
        <w:ind w:firstLine="422" w:firstLineChars="200"/>
        <w:rPr>
          <w:highlight w:val="none"/>
        </w:rPr>
      </w:pPr>
      <w:r>
        <w:rPr>
          <w:rFonts w:hint="eastAsia"/>
          <w:b/>
          <w:highlight w:val="none"/>
        </w:rPr>
        <w:t>6</w:t>
      </w:r>
      <w:r>
        <w:rPr>
          <w:b/>
          <w:highlight w:val="none"/>
        </w:rPr>
        <w:t xml:space="preserve">  </w:t>
      </w:r>
      <w:r>
        <w:rPr>
          <w:rFonts w:hint="eastAsia"/>
          <w:highlight w:val="none"/>
        </w:rPr>
        <w:t>模具应采取防止变形和锈蚀的措施，侧模、预埋件和预留孔洞定位措施应定期进行检查。</w:t>
      </w:r>
    </w:p>
    <w:p w14:paraId="080C4FC0">
      <w:pPr>
        <w:rPr>
          <w:highlight w:val="none"/>
        </w:rPr>
      </w:pPr>
      <w:r>
        <w:rPr>
          <w:rFonts w:hint="eastAsia" w:eastAsia="黑体"/>
          <w:b/>
          <w:highlight w:val="none"/>
        </w:rPr>
        <w:t>8.</w:t>
      </w:r>
      <w:r>
        <w:rPr>
          <w:rFonts w:hint="eastAsia" w:eastAsia="黑体"/>
          <w:b/>
          <w:highlight w:val="none"/>
          <w:lang w:val="en-US" w:eastAsia="zh-CN"/>
        </w:rPr>
        <w:t>2</w:t>
      </w:r>
      <w:r>
        <w:rPr>
          <w:rFonts w:hint="eastAsia"/>
          <w:b/>
          <w:highlight w:val="none"/>
        </w:rPr>
        <w:t>.</w:t>
      </w:r>
      <w:r>
        <w:rPr>
          <w:rFonts w:hint="eastAsia" w:eastAsia="黑体"/>
          <w:b/>
          <w:highlight w:val="none"/>
        </w:rPr>
        <w:t>3</w:t>
      </w:r>
      <w:r>
        <w:rPr>
          <w:rFonts w:eastAsia="黑体"/>
          <w:b/>
          <w:highlight w:val="none"/>
        </w:rPr>
        <w:t xml:space="preserve">  </w:t>
      </w:r>
      <w:r>
        <w:rPr>
          <w:rFonts w:hint="eastAsia"/>
          <w:highlight w:val="none"/>
        </w:rPr>
        <w:t>除设计有特殊要求外，模具尺寸偏差和检验方法应符合表8.</w:t>
      </w:r>
      <w:r>
        <w:rPr>
          <w:rFonts w:hint="eastAsia"/>
          <w:highlight w:val="none"/>
          <w:lang w:val="en-US" w:eastAsia="zh-CN"/>
        </w:rPr>
        <w:t>2</w:t>
      </w:r>
      <w:r>
        <w:rPr>
          <w:rFonts w:hint="eastAsia"/>
          <w:highlight w:val="none"/>
        </w:rPr>
        <w:t>.3的规定。</w:t>
      </w:r>
    </w:p>
    <w:p w14:paraId="4195792E">
      <w:pPr>
        <w:pStyle w:val="50"/>
        <w:rPr>
          <w:highlight w:val="none"/>
        </w:rPr>
      </w:pPr>
      <w:r>
        <w:rPr>
          <w:rFonts w:hint="eastAsia"/>
          <w:highlight w:val="none"/>
        </w:rPr>
        <w:t>表</w:t>
      </w:r>
      <w:r>
        <w:rPr>
          <w:rFonts w:hint="eastAsia"/>
          <w:b/>
          <w:highlight w:val="none"/>
        </w:rPr>
        <w:t>8.</w:t>
      </w:r>
      <w:r>
        <w:rPr>
          <w:rFonts w:hint="eastAsia"/>
          <w:b/>
          <w:highlight w:val="none"/>
          <w:lang w:val="en-US" w:eastAsia="zh-CN"/>
        </w:rPr>
        <w:t>2</w:t>
      </w:r>
      <w:r>
        <w:rPr>
          <w:rFonts w:hint="eastAsia"/>
          <w:b/>
          <w:highlight w:val="none"/>
        </w:rPr>
        <w:t xml:space="preserve">.3 </w:t>
      </w:r>
      <w:r>
        <w:rPr>
          <w:highlight w:val="none"/>
        </w:rPr>
        <w:t xml:space="preserve"> </w:t>
      </w:r>
      <w:r>
        <w:rPr>
          <w:rFonts w:hint="eastAsia"/>
          <w:highlight w:val="none"/>
        </w:rPr>
        <w:t>混凝土模块模具尺寸的允许偏差和检验方法</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751"/>
        <w:gridCol w:w="1151"/>
        <w:gridCol w:w="1394"/>
        <w:gridCol w:w="2839"/>
      </w:tblGrid>
      <w:tr w14:paraId="1BE7877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5" w:hRule="atLeast"/>
        </w:trPr>
        <w:tc>
          <w:tcPr>
            <w:tcW w:w="1550" w:type="pct"/>
            <w:gridSpan w:val="2"/>
            <w:tcBorders>
              <w:top w:val="single" w:color="auto" w:sz="12" w:space="0"/>
              <w:left w:val="single" w:color="auto" w:sz="12" w:space="0"/>
              <w:bottom w:val="single" w:color="000000" w:sz="4" w:space="0"/>
              <w:right w:val="single" w:color="000000" w:sz="4" w:space="0"/>
            </w:tcBorders>
            <w:vAlign w:val="center"/>
          </w:tcPr>
          <w:p w14:paraId="4B44AF3F">
            <w:pPr>
              <w:pStyle w:val="49"/>
              <w:jc w:val="center"/>
              <w:rPr>
                <w:rFonts w:hint="eastAsia"/>
                <w:highlight w:val="none"/>
              </w:rPr>
            </w:pPr>
            <w:r>
              <w:rPr>
                <w:rFonts w:hint="eastAsia"/>
                <w:highlight w:val="none"/>
              </w:rPr>
              <w:t>检验项目及内容</w:t>
            </w:r>
          </w:p>
        </w:tc>
        <w:tc>
          <w:tcPr>
            <w:tcW w:w="1136" w:type="pct"/>
            <w:tcBorders>
              <w:top w:val="single" w:color="auto" w:sz="12" w:space="0"/>
              <w:left w:val="single" w:color="000000" w:sz="4" w:space="0"/>
              <w:bottom w:val="single" w:color="000000" w:sz="4" w:space="0"/>
              <w:right w:val="single" w:color="000000" w:sz="4" w:space="0"/>
            </w:tcBorders>
            <w:vAlign w:val="center"/>
          </w:tcPr>
          <w:p w14:paraId="38B14182">
            <w:pPr>
              <w:pStyle w:val="49"/>
              <w:jc w:val="center"/>
              <w:rPr>
                <w:rFonts w:hint="eastAsia"/>
                <w:highlight w:val="none"/>
              </w:rPr>
            </w:pPr>
            <w:r>
              <w:rPr>
                <w:rFonts w:hint="eastAsia"/>
                <w:highlight w:val="none"/>
              </w:rPr>
              <w:t>允许偏差(mm)</w:t>
            </w:r>
          </w:p>
        </w:tc>
        <w:tc>
          <w:tcPr>
            <w:tcW w:w="2313" w:type="pct"/>
            <w:tcBorders>
              <w:top w:val="single" w:color="auto" w:sz="12" w:space="0"/>
              <w:left w:val="single" w:color="000000" w:sz="4" w:space="0"/>
              <w:bottom w:val="single" w:color="000000" w:sz="4" w:space="0"/>
              <w:right w:val="single" w:color="auto" w:sz="12" w:space="0"/>
            </w:tcBorders>
            <w:vAlign w:val="center"/>
          </w:tcPr>
          <w:p w14:paraId="702639C9">
            <w:pPr>
              <w:pStyle w:val="49"/>
              <w:jc w:val="center"/>
              <w:rPr>
                <w:rFonts w:hint="eastAsia"/>
                <w:highlight w:val="none"/>
              </w:rPr>
            </w:pPr>
            <w:r>
              <w:rPr>
                <w:rFonts w:hint="eastAsia"/>
                <w:highlight w:val="none"/>
              </w:rPr>
              <w:t>检验方法</w:t>
            </w:r>
          </w:p>
        </w:tc>
      </w:tr>
      <w:tr w14:paraId="6908F14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90" w:hRule="atLeast"/>
        </w:trPr>
        <w:tc>
          <w:tcPr>
            <w:tcW w:w="612" w:type="pct"/>
            <w:vMerge w:val="restart"/>
            <w:tcBorders>
              <w:top w:val="single" w:color="000000" w:sz="4" w:space="0"/>
              <w:left w:val="single" w:color="auto" w:sz="12" w:space="0"/>
              <w:bottom w:val="single" w:color="000000" w:sz="4" w:space="0"/>
              <w:right w:val="single" w:color="000000" w:sz="4" w:space="0"/>
            </w:tcBorders>
            <w:vAlign w:val="center"/>
          </w:tcPr>
          <w:p w14:paraId="1159895C">
            <w:pPr>
              <w:pStyle w:val="49"/>
              <w:jc w:val="center"/>
              <w:rPr>
                <w:rFonts w:hint="eastAsia"/>
                <w:highlight w:val="none"/>
              </w:rPr>
            </w:pPr>
            <w:r>
              <w:rPr>
                <w:rFonts w:hint="eastAsia"/>
                <w:highlight w:val="none"/>
              </w:rPr>
              <w:t>长度</w:t>
            </w:r>
          </w:p>
        </w:tc>
        <w:tc>
          <w:tcPr>
            <w:tcW w:w="938" w:type="pct"/>
            <w:tcBorders>
              <w:top w:val="single" w:color="000000" w:sz="4" w:space="0"/>
              <w:left w:val="single" w:color="000000" w:sz="4" w:space="0"/>
              <w:bottom w:val="single" w:color="000000" w:sz="4" w:space="0"/>
              <w:right w:val="single" w:color="000000" w:sz="4" w:space="0"/>
            </w:tcBorders>
            <w:vAlign w:val="center"/>
          </w:tcPr>
          <w:p w14:paraId="7A8CAC96">
            <w:pPr>
              <w:pStyle w:val="49"/>
              <w:jc w:val="center"/>
              <w:rPr>
                <w:rFonts w:hint="eastAsia"/>
                <w:highlight w:val="none"/>
              </w:rPr>
            </w:pPr>
            <w:r>
              <w:rPr>
                <w:rFonts w:hint="eastAsia"/>
                <w:highlight w:val="none"/>
              </w:rPr>
              <w:t>≤6m</w:t>
            </w:r>
          </w:p>
        </w:tc>
        <w:tc>
          <w:tcPr>
            <w:tcW w:w="1136" w:type="pct"/>
            <w:tcBorders>
              <w:top w:val="single" w:color="000000" w:sz="4" w:space="0"/>
              <w:left w:val="single" w:color="000000" w:sz="4" w:space="0"/>
              <w:bottom w:val="single" w:color="000000" w:sz="4" w:space="0"/>
              <w:right w:val="single" w:color="000000" w:sz="4" w:space="0"/>
            </w:tcBorders>
            <w:vAlign w:val="center"/>
          </w:tcPr>
          <w:p w14:paraId="2C3FCD66">
            <w:pPr>
              <w:pStyle w:val="49"/>
              <w:jc w:val="center"/>
              <w:rPr>
                <w:rFonts w:hint="eastAsia"/>
                <w:highlight w:val="none"/>
              </w:rPr>
            </w:pPr>
            <w:r>
              <w:rPr>
                <w:rFonts w:hint="eastAsia"/>
                <w:highlight w:val="none"/>
              </w:rPr>
              <w:t>0，-2</w:t>
            </w:r>
          </w:p>
        </w:tc>
        <w:tc>
          <w:tcPr>
            <w:tcW w:w="2313" w:type="pct"/>
            <w:vMerge w:val="restart"/>
            <w:tcBorders>
              <w:top w:val="single" w:color="000000" w:sz="4" w:space="0"/>
              <w:left w:val="single" w:color="000000" w:sz="4" w:space="0"/>
              <w:bottom w:val="single" w:color="000000" w:sz="4" w:space="0"/>
              <w:right w:val="single" w:color="auto" w:sz="12" w:space="0"/>
            </w:tcBorders>
            <w:vAlign w:val="center"/>
          </w:tcPr>
          <w:p w14:paraId="19383E5F">
            <w:pPr>
              <w:pStyle w:val="49"/>
              <w:jc w:val="center"/>
              <w:rPr>
                <w:rFonts w:hint="eastAsia"/>
                <w:highlight w:val="none"/>
              </w:rPr>
            </w:pPr>
            <w:r>
              <w:rPr>
                <w:rFonts w:hint="eastAsia"/>
                <w:highlight w:val="none"/>
              </w:rPr>
              <w:t>用钢尺量平行构件高度方向，取其中偏差绝对值较大处</w:t>
            </w:r>
          </w:p>
        </w:tc>
      </w:tr>
      <w:tr w14:paraId="228BF58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3" w:hRule="atLeast"/>
        </w:trPr>
        <w:tc>
          <w:tcPr>
            <w:tcW w:w="612" w:type="pct"/>
            <w:vMerge w:val="continue"/>
            <w:tcBorders>
              <w:top w:val="single" w:color="000000" w:sz="4" w:space="0"/>
              <w:left w:val="single" w:color="auto" w:sz="12" w:space="0"/>
              <w:bottom w:val="single" w:color="000000" w:sz="4" w:space="0"/>
              <w:right w:val="single" w:color="000000" w:sz="4" w:space="0"/>
            </w:tcBorders>
            <w:vAlign w:val="center"/>
          </w:tcPr>
          <w:p w14:paraId="31ED91F3">
            <w:pPr>
              <w:pStyle w:val="49"/>
              <w:jc w:val="center"/>
              <w:rPr>
                <w:rFonts w:hint="eastAsia"/>
                <w:highlight w:val="none"/>
              </w:rPr>
            </w:pPr>
          </w:p>
        </w:tc>
        <w:tc>
          <w:tcPr>
            <w:tcW w:w="938" w:type="pct"/>
            <w:tcBorders>
              <w:top w:val="single" w:color="000000" w:sz="4" w:space="0"/>
              <w:left w:val="single" w:color="000000" w:sz="4" w:space="0"/>
              <w:bottom w:val="single" w:color="000000" w:sz="4" w:space="0"/>
              <w:right w:val="single" w:color="000000" w:sz="4" w:space="0"/>
            </w:tcBorders>
            <w:vAlign w:val="center"/>
          </w:tcPr>
          <w:p w14:paraId="6218EE90">
            <w:pPr>
              <w:pStyle w:val="49"/>
              <w:jc w:val="center"/>
              <w:rPr>
                <w:rFonts w:hint="eastAsia"/>
                <w:highlight w:val="none"/>
              </w:rPr>
            </w:pPr>
            <w:r>
              <w:rPr>
                <w:rFonts w:hint="eastAsia"/>
                <w:highlight w:val="none"/>
              </w:rPr>
              <w:t>&gt;6m且≤12m</w:t>
            </w:r>
          </w:p>
        </w:tc>
        <w:tc>
          <w:tcPr>
            <w:tcW w:w="1136" w:type="pct"/>
            <w:tcBorders>
              <w:top w:val="single" w:color="000000" w:sz="4" w:space="0"/>
              <w:left w:val="single" w:color="000000" w:sz="4" w:space="0"/>
              <w:bottom w:val="single" w:color="000000" w:sz="4" w:space="0"/>
              <w:right w:val="single" w:color="000000" w:sz="4" w:space="0"/>
            </w:tcBorders>
            <w:vAlign w:val="center"/>
          </w:tcPr>
          <w:p w14:paraId="58674BEB">
            <w:pPr>
              <w:pStyle w:val="49"/>
              <w:jc w:val="center"/>
              <w:rPr>
                <w:rFonts w:hint="eastAsia"/>
                <w:highlight w:val="none"/>
              </w:rPr>
            </w:pPr>
            <w:r>
              <w:rPr>
                <w:rFonts w:hint="eastAsia"/>
                <w:highlight w:val="none"/>
              </w:rPr>
              <w:t>0，-3</w:t>
            </w:r>
          </w:p>
        </w:tc>
        <w:tc>
          <w:tcPr>
            <w:tcW w:w="2313" w:type="pct"/>
            <w:vMerge w:val="continue"/>
            <w:tcBorders>
              <w:top w:val="single" w:color="000000" w:sz="4" w:space="0"/>
              <w:left w:val="single" w:color="000000" w:sz="4" w:space="0"/>
              <w:bottom w:val="single" w:color="000000" w:sz="4" w:space="0"/>
              <w:right w:val="single" w:color="auto" w:sz="12" w:space="0"/>
            </w:tcBorders>
            <w:vAlign w:val="center"/>
          </w:tcPr>
          <w:p w14:paraId="6C2C9288">
            <w:pPr>
              <w:pStyle w:val="49"/>
              <w:jc w:val="center"/>
              <w:rPr>
                <w:rFonts w:hint="eastAsia"/>
                <w:highlight w:val="none"/>
              </w:rPr>
            </w:pPr>
          </w:p>
        </w:tc>
      </w:tr>
      <w:tr w14:paraId="74DA336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612" w:type="pct"/>
            <w:vMerge w:val="continue"/>
            <w:tcBorders>
              <w:top w:val="single" w:color="000000" w:sz="4" w:space="0"/>
              <w:left w:val="single" w:color="auto" w:sz="12" w:space="0"/>
              <w:bottom w:val="single" w:color="000000" w:sz="4" w:space="0"/>
              <w:right w:val="single" w:color="000000" w:sz="4" w:space="0"/>
            </w:tcBorders>
            <w:vAlign w:val="center"/>
          </w:tcPr>
          <w:p w14:paraId="42D40AE3">
            <w:pPr>
              <w:pStyle w:val="49"/>
              <w:jc w:val="center"/>
              <w:rPr>
                <w:rFonts w:hint="eastAsia"/>
                <w:highlight w:val="none"/>
              </w:rPr>
            </w:pPr>
          </w:p>
        </w:tc>
        <w:tc>
          <w:tcPr>
            <w:tcW w:w="938" w:type="pct"/>
            <w:tcBorders>
              <w:top w:val="single" w:color="000000" w:sz="4" w:space="0"/>
              <w:left w:val="single" w:color="000000" w:sz="4" w:space="0"/>
              <w:bottom w:val="single" w:color="000000" w:sz="4" w:space="0"/>
              <w:right w:val="single" w:color="000000" w:sz="4" w:space="0"/>
            </w:tcBorders>
            <w:vAlign w:val="center"/>
          </w:tcPr>
          <w:p w14:paraId="64525DDB">
            <w:pPr>
              <w:pStyle w:val="49"/>
              <w:jc w:val="center"/>
              <w:rPr>
                <w:rFonts w:hint="eastAsia"/>
                <w:highlight w:val="none"/>
              </w:rPr>
            </w:pPr>
            <w:r>
              <w:rPr>
                <w:rFonts w:hint="eastAsia"/>
                <w:highlight w:val="none"/>
              </w:rPr>
              <w:t>&gt;12m</w:t>
            </w:r>
          </w:p>
        </w:tc>
        <w:tc>
          <w:tcPr>
            <w:tcW w:w="1136" w:type="pct"/>
            <w:tcBorders>
              <w:top w:val="single" w:color="000000" w:sz="4" w:space="0"/>
              <w:left w:val="single" w:color="000000" w:sz="4" w:space="0"/>
              <w:bottom w:val="single" w:color="000000" w:sz="4" w:space="0"/>
              <w:right w:val="single" w:color="000000" w:sz="4" w:space="0"/>
            </w:tcBorders>
            <w:vAlign w:val="center"/>
          </w:tcPr>
          <w:p w14:paraId="2B33799D">
            <w:pPr>
              <w:pStyle w:val="49"/>
              <w:jc w:val="center"/>
              <w:rPr>
                <w:rFonts w:hint="eastAsia"/>
                <w:highlight w:val="none"/>
              </w:rPr>
            </w:pPr>
            <w:r>
              <w:rPr>
                <w:rFonts w:hint="eastAsia"/>
                <w:highlight w:val="none"/>
              </w:rPr>
              <w:t>0，-4</w:t>
            </w:r>
          </w:p>
        </w:tc>
        <w:tc>
          <w:tcPr>
            <w:tcW w:w="2313" w:type="pct"/>
            <w:vMerge w:val="continue"/>
            <w:tcBorders>
              <w:top w:val="single" w:color="000000" w:sz="4" w:space="0"/>
              <w:left w:val="single" w:color="000000" w:sz="4" w:space="0"/>
              <w:bottom w:val="single" w:color="000000" w:sz="4" w:space="0"/>
              <w:right w:val="single" w:color="auto" w:sz="12" w:space="0"/>
            </w:tcBorders>
            <w:vAlign w:val="center"/>
          </w:tcPr>
          <w:p w14:paraId="7175DC02">
            <w:pPr>
              <w:pStyle w:val="49"/>
              <w:jc w:val="center"/>
              <w:rPr>
                <w:rFonts w:hint="eastAsia"/>
                <w:highlight w:val="none"/>
              </w:rPr>
            </w:pPr>
          </w:p>
        </w:tc>
      </w:tr>
    </w:tbl>
    <w:p w14:paraId="40C0D387">
      <w:pPr>
        <w:jc w:val="center"/>
        <w:rPr>
          <w:sz w:val="18"/>
          <w:szCs w:val="18"/>
          <w:highlight w:val="none"/>
        </w:rPr>
      </w:pPr>
      <w:r>
        <w:rPr>
          <w:rFonts w:hint="eastAsia" w:ascii="黑体" w:hAnsi="黑体" w:eastAsia="黑体" w:cs="黑体"/>
          <w:sz w:val="18"/>
          <w:szCs w:val="18"/>
          <w:highlight w:val="none"/>
          <w:lang w:val="en-US" w:eastAsia="zh-CN"/>
        </w:rPr>
        <w:t>续</w:t>
      </w:r>
      <w:r>
        <w:rPr>
          <w:rFonts w:hint="eastAsia" w:ascii="黑体" w:hAnsi="黑体" w:eastAsia="黑体" w:cs="黑体"/>
          <w:sz w:val="18"/>
          <w:szCs w:val="18"/>
          <w:highlight w:val="none"/>
        </w:rPr>
        <w:t>表</w:t>
      </w:r>
      <w:r>
        <w:rPr>
          <w:rFonts w:hint="eastAsia"/>
          <w:b/>
          <w:sz w:val="18"/>
          <w:szCs w:val="18"/>
          <w:highlight w:val="none"/>
        </w:rPr>
        <w:t>8.</w:t>
      </w:r>
      <w:r>
        <w:rPr>
          <w:rFonts w:hint="eastAsia"/>
          <w:b/>
          <w:sz w:val="18"/>
          <w:szCs w:val="18"/>
          <w:highlight w:val="none"/>
          <w:lang w:val="en-US" w:eastAsia="zh-CN"/>
        </w:rPr>
        <w:t>2</w:t>
      </w:r>
      <w:r>
        <w:rPr>
          <w:rFonts w:hint="eastAsia"/>
          <w:b/>
          <w:sz w:val="18"/>
          <w:szCs w:val="18"/>
          <w:highlight w:val="none"/>
        </w:rPr>
        <w:t>.3</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751"/>
        <w:gridCol w:w="1151"/>
        <w:gridCol w:w="1394"/>
        <w:gridCol w:w="2839"/>
      </w:tblGrid>
      <w:tr w14:paraId="5FD08B4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5" w:hRule="atLeast"/>
        </w:trPr>
        <w:tc>
          <w:tcPr>
            <w:tcW w:w="1550" w:type="pct"/>
            <w:gridSpan w:val="2"/>
            <w:tcBorders>
              <w:top w:val="single" w:color="auto" w:sz="12" w:space="0"/>
              <w:left w:val="single" w:color="auto" w:sz="12" w:space="0"/>
              <w:bottom w:val="single" w:color="000000" w:sz="4" w:space="0"/>
              <w:right w:val="single" w:color="000000" w:sz="4" w:space="0"/>
            </w:tcBorders>
            <w:vAlign w:val="center"/>
          </w:tcPr>
          <w:p w14:paraId="5C0996DA">
            <w:pPr>
              <w:pStyle w:val="49"/>
              <w:jc w:val="center"/>
              <w:rPr>
                <w:rFonts w:hint="eastAsia"/>
                <w:highlight w:val="none"/>
              </w:rPr>
            </w:pPr>
            <w:r>
              <w:rPr>
                <w:rFonts w:hint="eastAsia"/>
                <w:highlight w:val="none"/>
              </w:rPr>
              <w:t>检验项目及内容</w:t>
            </w:r>
          </w:p>
        </w:tc>
        <w:tc>
          <w:tcPr>
            <w:tcW w:w="1136" w:type="pct"/>
            <w:tcBorders>
              <w:top w:val="single" w:color="auto" w:sz="12" w:space="0"/>
              <w:left w:val="single" w:color="000000" w:sz="4" w:space="0"/>
              <w:bottom w:val="single" w:color="000000" w:sz="4" w:space="0"/>
              <w:right w:val="single" w:color="000000" w:sz="4" w:space="0"/>
            </w:tcBorders>
            <w:vAlign w:val="center"/>
          </w:tcPr>
          <w:p w14:paraId="72AEBAA9">
            <w:pPr>
              <w:pStyle w:val="49"/>
              <w:jc w:val="center"/>
              <w:rPr>
                <w:rFonts w:hint="eastAsia"/>
                <w:highlight w:val="none"/>
              </w:rPr>
            </w:pPr>
            <w:r>
              <w:rPr>
                <w:rFonts w:hint="eastAsia"/>
                <w:highlight w:val="none"/>
              </w:rPr>
              <w:t>允许偏差(mm)</w:t>
            </w:r>
          </w:p>
        </w:tc>
        <w:tc>
          <w:tcPr>
            <w:tcW w:w="2313" w:type="pct"/>
            <w:tcBorders>
              <w:top w:val="single" w:color="auto" w:sz="12" w:space="0"/>
              <w:left w:val="single" w:color="000000" w:sz="4" w:space="0"/>
              <w:bottom w:val="single" w:color="000000" w:sz="4" w:space="0"/>
              <w:right w:val="single" w:color="auto" w:sz="12" w:space="0"/>
            </w:tcBorders>
            <w:vAlign w:val="center"/>
          </w:tcPr>
          <w:p w14:paraId="4A107179">
            <w:pPr>
              <w:pStyle w:val="49"/>
              <w:jc w:val="center"/>
              <w:rPr>
                <w:rFonts w:hint="eastAsia"/>
                <w:highlight w:val="none"/>
              </w:rPr>
            </w:pPr>
            <w:r>
              <w:rPr>
                <w:rFonts w:hint="eastAsia"/>
                <w:highlight w:val="none"/>
              </w:rPr>
              <w:t>检验方法</w:t>
            </w:r>
          </w:p>
        </w:tc>
      </w:tr>
      <w:tr w14:paraId="1998A53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5" w:hRule="atLeast"/>
        </w:trPr>
        <w:tc>
          <w:tcPr>
            <w:tcW w:w="612" w:type="pct"/>
            <w:vMerge w:val="restart"/>
            <w:tcBorders>
              <w:top w:val="single" w:color="000000" w:sz="4" w:space="0"/>
              <w:left w:val="single" w:color="auto" w:sz="12" w:space="0"/>
              <w:bottom w:val="single" w:color="000000" w:sz="4" w:space="0"/>
              <w:right w:val="single" w:color="000000" w:sz="4" w:space="0"/>
            </w:tcBorders>
            <w:vAlign w:val="center"/>
          </w:tcPr>
          <w:p w14:paraId="004B5A63">
            <w:pPr>
              <w:pStyle w:val="49"/>
              <w:jc w:val="center"/>
              <w:rPr>
                <w:rFonts w:hint="eastAsia"/>
                <w:highlight w:val="none"/>
              </w:rPr>
            </w:pPr>
            <w:r>
              <w:rPr>
                <w:rFonts w:hint="eastAsia"/>
                <w:highlight w:val="none"/>
              </w:rPr>
              <w:t>截面尺寸</w:t>
            </w:r>
          </w:p>
        </w:tc>
        <w:tc>
          <w:tcPr>
            <w:tcW w:w="938" w:type="pct"/>
            <w:tcBorders>
              <w:top w:val="single" w:color="000000" w:sz="4" w:space="0"/>
              <w:left w:val="single" w:color="000000" w:sz="4" w:space="0"/>
              <w:bottom w:val="single" w:color="000000" w:sz="4" w:space="0"/>
              <w:right w:val="single" w:color="000000" w:sz="4" w:space="0"/>
            </w:tcBorders>
            <w:vAlign w:val="center"/>
          </w:tcPr>
          <w:p w14:paraId="5AAD8896">
            <w:pPr>
              <w:pStyle w:val="49"/>
              <w:jc w:val="center"/>
              <w:rPr>
                <w:rFonts w:hint="eastAsia"/>
                <w:highlight w:val="none"/>
              </w:rPr>
            </w:pPr>
            <w:r>
              <w:rPr>
                <w:rFonts w:hint="eastAsia"/>
                <w:highlight w:val="none"/>
              </w:rPr>
              <w:t>墙板</w:t>
            </w:r>
          </w:p>
        </w:tc>
        <w:tc>
          <w:tcPr>
            <w:tcW w:w="1136" w:type="pct"/>
            <w:tcBorders>
              <w:top w:val="single" w:color="000000" w:sz="4" w:space="0"/>
              <w:left w:val="single" w:color="000000" w:sz="4" w:space="0"/>
              <w:bottom w:val="single" w:color="000000" w:sz="4" w:space="0"/>
              <w:right w:val="single" w:color="000000" w:sz="4" w:space="0"/>
            </w:tcBorders>
            <w:vAlign w:val="center"/>
          </w:tcPr>
          <w:p w14:paraId="004197A5">
            <w:pPr>
              <w:pStyle w:val="49"/>
              <w:jc w:val="center"/>
              <w:rPr>
                <w:rFonts w:hint="eastAsia"/>
                <w:highlight w:val="none"/>
              </w:rPr>
            </w:pPr>
            <w:r>
              <w:rPr>
                <w:rFonts w:hint="eastAsia"/>
                <w:highlight w:val="none"/>
              </w:rPr>
              <w:t>0，-2</w:t>
            </w:r>
          </w:p>
        </w:tc>
        <w:tc>
          <w:tcPr>
            <w:tcW w:w="2313" w:type="pct"/>
            <w:vMerge w:val="restart"/>
            <w:tcBorders>
              <w:top w:val="single" w:color="000000" w:sz="4" w:space="0"/>
              <w:left w:val="single" w:color="000000" w:sz="4" w:space="0"/>
              <w:bottom w:val="single" w:color="000000" w:sz="4" w:space="0"/>
              <w:right w:val="single" w:color="auto" w:sz="12" w:space="0"/>
            </w:tcBorders>
            <w:vAlign w:val="center"/>
          </w:tcPr>
          <w:p w14:paraId="11678395">
            <w:pPr>
              <w:pStyle w:val="49"/>
              <w:jc w:val="center"/>
              <w:rPr>
                <w:rFonts w:hint="eastAsia"/>
                <w:highlight w:val="none"/>
              </w:rPr>
            </w:pPr>
            <w:r>
              <w:rPr>
                <w:rFonts w:hint="eastAsia"/>
                <w:highlight w:val="none"/>
              </w:rPr>
              <w:t>用钢尺测量两端或中部，取其中偏差绝对值较大处</w:t>
            </w:r>
          </w:p>
        </w:tc>
      </w:tr>
      <w:tr w14:paraId="152B877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612" w:type="pct"/>
            <w:vMerge w:val="continue"/>
            <w:tcBorders>
              <w:top w:val="single" w:color="000000" w:sz="4" w:space="0"/>
              <w:left w:val="single" w:color="auto" w:sz="12" w:space="0"/>
              <w:bottom w:val="single" w:color="000000" w:sz="4" w:space="0"/>
              <w:right w:val="single" w:color="000000" w:sz="4" w:space="0"/>
            </w:tcBorders>
            <w:vAlign w:val="center"/>
          </w:tcPr>
          <w:p w14:paraId="49CAB09D">
            <w:pPr>
              <w:pStyle w:val="49"/>
              <w:jc w:val="center"/>
              <w:rPr>
                <w:rFonts w:hint="eastAsia"/>
                <w:highlight w:val="none"/>
              </w:rPr>
            </w:pPr>
          </w:p>
        </w:tc>
        <w:tc>
          <w:tcPr>
            <w:tcW w:w="938" w:type="pct"/>
            <w:tcBorders>
              <w:top w:val="single" w:color="000000" w:sz="4" w:space="0"/>
              <w:left w:val="single" w:color="000000" w:sz="4" w:space="0"/>
              <w:bottom w:val="single" w:color="000000" w:sz="4" w:space="0"/>
              <w:right w:val="single" w:color="000000" w:sz="4" w:space="0"/>
            </w:tcBorders>
            <w:vAlign w:val="center"/>
          </w:tcPr>
          <w:p w14:paraId="2F00D629">
            <w:pPr>
              <w:pStyle w:val="49"/>
              <w:jc w:val="center"/>
              <w:rPr>
                <w:rFonts w:hint="eastAsia"/>
                <w:highlight w:val="none"/>
              </w:rPr>
            </w:pPr>
            <w:r>
              <w:rPr>
                <w:rFonts w:hint="eastAsia"/>
                <w:highlight w:val="none"/>
              </w:rPr>
              <w:t>其他构件</w:t>
            </w:r>
          </w:p>
        </w:tc>
        <w:tc>
          <w:tcPr>
            <w:tcW w:w="1136" w:type="pct"/>
            <w:tcBorders>
              <w:top w:val="single" w:color="000000" w:sz="4" w:space="0"/>
              <w:left w:val="single" w:color="000000" w:sz="4" w:space="0"/>
              <w:bottom w:val="single" w:color="000000" w:sz="4" w:space="0"/>
              <w:right w:val="single" w:color="000000" w:sz="4" w:space="0"/>
            </w:tcBorders>
            <w:vAlign w:val="center"/>
          </w:tcPr>
          <w:p w14:paraId="5E6D1F65">
            <w:pPr>
              <w:pStyle w:val="49"/>
              <w:jc w:val="center"/>
              <w:rPr>
                <w:rFonts w:hint="eastAsia"/>
                <w:highlight w:val="none"/>
              </w:rPr>
            </w:pPr>
            <w:r>
              <w:rPr>
                <w:rFonts w:hint="eastAsia"/>
                <w:highlight w:val="none"/>
              </w:rPr>
              <w:t>0，-3</w:t>
            </w:r>
          </w:p>
        </w:tc>
        <w:tc>
          <w:tcPr>
            <w:tcW w:w="2313" w:type="pct"/>
            <w:vMerge w:val="continue"/>
            <w:tcBorders>
              <w:top w:val="single" w:color="000000" w:sz="4" w:space="0"/>
              <w:left w:val="single" w:color="000000" w:sz="4" w:space="0"/>
              <w:bottom w:val="single" w:color="000000" w:sz="4" w:space="0"/>
              <w:right w:val="single" w:color="auto" w:sz="12" w:space="0"/>
            </w:tcBorders>
            <w:vAlign w:val="center"/>
          </w:tcPr>
          <w:p w14:paraId="54F0ECA8">
            <w:pPr>
              <w:pStyle w:val="49"/>
              <w:jc w:val="center"/>
              <w:rPr>
                <w:rFonts w:hint="eastAsia"/>
                <w:highlight w:val="none"/>
              </w:rPr>
            </w:pPr>
          </w:p>
        </w:tc>
      </w:tr>
      <w:tr w14:paraId="2572BBE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1550" w:type="pct"/>
            <w:gridSpan w:val="2"/>
            <w:tcBorders>
              <w:top w:val="single" w:color="000000" w:sz="4" w:space="0"/>
              <w:left w:val="single" w:color="auto" w:sz="12" w:space="0"/>
              <w:bottom w:val="single" w:color="000000" w:sz="4" w:space="0"/>
              <w:right w:val="single" w:color="000000" w:sz="4" w:space="0"/>
            </w:tcBorders>
            <w:vAlign w:val="center"/>
          </w:tcPr>
          <w:p w14:paraId="13F81A8E">
            <w:pPr>
              <w:pStyle w:val="49"/>
              <w:jc w:val="center"/>
              <w:rPr>
                <w:rFonts w:hint="eastAsia"/>
                <w:highlight w:val="none"/>
                <w:lang w:val="en-US" w:eastAsia="zh-CN"/>
              </w:rPr>
            </w:pPr>
            <w:r>
              <w:rPr>
                <w:rFonts w:hint="eastAsia"/>
                <w:highlight w:val="none"/>
              </w:rPr>
              <w:t>对角线</w:t>
            </w:r>
            <w:r>
              <w:rPr>
                <w:rFonts w:hint="eastAsia"/>
                <w:highlight w:val="none"/>
                <w:lang w:val="en-US" w:eastAsia="zh-CN"/>
              </w:rPr>
              <w:t>差</w:t>
            </w:r>
          </w:p>
        </w:tc>
        <w:tc>
          <w:tcPr>
            <w:tcW w:w="1136" w:type="pct"/>
            <w:tcBorders>
              <w:top w:val="single" w:color="000000" w:sz="4" w:space="0"/>
              <w:left w:val="single" w:color="000000" w:sz="4" w:space="0"/>
              <w:bottom w:val="single" w:color="000000" w:sz="4" w:space="0"/>
              <w:right w:val="single" w:color="000000" w:sz="4" w:space="0"/>
            </w:tcBorders>
            <w:vAlign w:val="center"/>
          </w:tcPr>
          <w:p w14:paraId="5AD51405">
            <w:pPr>
              <w:pStyle w:val="49"/>
              <w:jc w:val="center"/>
              <w:rPr>
                <w:rFonts w:hint="eastAsia"/>
                <w:highlight w:val="none"/>
              </w:rPr>
            </w:pPr>
            <w:r>
              <w:rPr>
                <w:rFonts w:hint="eastAsia"/>
                <w:highlight w:val="none"/>
              </w:rPr>
              <w:t>3</w:t>
            </w:r>
          </w:p>
        </w:tc>
        <w:tc>
          <w:tcPr>
            <w:tcW w:w="2313" w:type="pct"/>
            <w:tcBorders>
              <w:top w:val="single" w:color="000000" w:sz="4" w:space="0"/>
              <w:left w:val="single" w:color="000000" w:sz="4" w:space="0"/>
              <w:bottom w:val="single" w:color="000000" w:sz="4" w:space="0"/>
              <w:right w:val="single" w:color="auto" w:sz="12" w:space="0"/>
            </w:tcBorders>
            <w:vAlign w:val="center"/>
          </w:tcPr>
          <w:p w14:paraId="35DC5A01">
            <w:pPr>
              <w:pStyle w:val="49"/>
              <w:jc w:val="center"/>
              <w:rPr>
                <w:rFonts w:hint="eastAsia"/>
                <w:highlight w:val="none"/>
              </w:rPr>
            </w:pPr>
            <w:r>
              <w:rPr>
                <w:rFonts w:hint="eastAsia"/>
                <w:highlight w:val="none"/>
              </w:rPr>
              <w:t>用钢尺量纵、横两个方向对角线</w:t>
            </w:r>
          </w:p>
        </w:tc>
      </w:tr>
      <w:tr w14:paraId="5FE254F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1550" w:type="pct"/>
            <w:gridSpan w:val="2"/>
            <w:tcBorders>
              <w:top w:val="single" w:color="000000" w:sz="4" w:space="0"/>
              <w:left w:val="single" w:color="auto" w:sz="12" w:space="0"/>
              <w:bottom w:val="single" w:color="000000" w:sz="4" w:space="0"/>
              <w:right w:val="single" w:color="000000" w:sz="4" w:space="0"/>
            </w:tcBorders>
            <w:vAlign w:val="center"/>
          </w:tcPr>
          <w:p w14:paraId="2A3B4A4A">
            <w:pPr>
              <w:pStyle w:val="49"/>
              <w:jc w:val="center"/>
              <w:rPr>
                <w:rFonts w:hint="eastAsia"/>
                <w:highlight w:val="none"/>
              </w:rPr>
            </w:pPr>
            <w:r>
              <w:rPr>
                <w:rFonts w:hint="eastAsia"/>
                <w:highlight w:val="none"/>
              </w:rPr>
              <w:t>侧向弯曲</w:t>
            </w:r>
          </w:p>
        </w:tc>
        <w:tc>
          <w:tcPr>
            <w:tcW w:w="1136" w:type="pct"/>
            <w:tcBorders>
              <w:top w:val="single" w:color="000000" w:sz="4" w:space="0"/>
              <w:left w:val="single" w:color="000000" w:sz="4" w:space="0"/>
              <w:bottom w:val="single" w:color="000000" w:sz="4" w:space="0"/>
              <w:right w:val="single" w:color="000000" w:sz="4" w:space="0"/>
            </w:tcBorders>
            <w:vAlign w:val="center"/>
          </w:tcPr>
          <w:p w14:paraId="781FD301">
            <w:pPr>
              <w:pStyle w:val="49"/>
              <w:jc w:val="center"/>
              <w:rPr>
                <w:rFonts w:hint="eastAsia"/>
                <w:highlight w:val="none"/>
              </w:rPr>
            </w:pPr>
            <w:r>
              <w:rPr>
                <w:rFonts w:hint="eastAsia"/>
                <w:highlight w:val="none"/>
              </w:rPr>
              <w:t>l/1500且≤5</w:t>
            </w:r>
          </w:p>
        </w:tc>
        <w:tc>
          <w:tcPr>
            <w:tcW w:w="2313" w:type="pct"/>
            <w:tcBorders>
              <w:top w:val="single" w:color="000000" w:sz="4" w:space="0"/>
              <w:left w:val="single" w:color="000000" w:sz="4" w:space="0"/>
              <w:bottom w:val="single" w:color="000000" w:sz="4" w:space="0"/>
              <w:right w:val="single" w:color="auto" w:sz="12" w:space="0"/>
            </w:tcBorders>
            <w:vAlign w:val="center"/>
          </w:tcPr>
          <w:p w14:paraId="0B578A9D">
            <w:pPr>
              <w:pStyle w:val="49"/>
              <w:jc w:val="center"/>
              <w:rPr>
                <w:rFonts w:hint="eastAsia"/>
                <w:highlight w:val="none"/>
              </w:rPr>
            </w:pPr>
            <w:r>
              <w:rPr>
                <w:rFonts w:hint="eastAsia"/>
                <w:highlight w:val="none"/>
              </w:rPr>
              <w:t>拉线，用钢尺测量侧向弯曲最大处</w:t>
            </w:r>
          </w:p>
        </w:tc>
      </w:tr>
      <w:tr w14:paraId="72D7C26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1550" w:type="pct"/>
            <w:gridSpan w:val="2"/>
            <w:tcBorders>
              <w:top w:val="single" w:color="000000" w:sz="4" w:space="0"/>
              <w:left w:val="single" w:color="auto" w:sz="12" w:space="0"/>
              <w:bottom w:val="single" w:color="000000" w:sz="4" w:space="0"/>
              <w:right w:val="single" w:color="000000" w:sz="4" w:space="0"/>
            </w:tcBorders>
            <w:vAlign w:val="center"/>
          </w:tcPr>
          <w:p w14:paraId="7E3A692A">
            <w:pPr>
              <w:pStyle w:val="49"/>
              <w:jc w:val="center"/>
              <w:rPr>
                <w:rFonts w:hint="eastAsia"/>
                <w:highlight w:val="none"/>
              </w:rPr>
            </w:pPr>
            <w:r>
              <w:rPr>
                <w:rFonts w:hint="eastAsia"/>
                <w:highlight w:val="none"/>
              </w:rPr>
              <w:t>翘曲</w:t>
            </w:r>
          </w:p>
        </w:tc>
        <w:tc>
          <w:tcPr>
            <w:tcW w:w="1136" w:type="pct"/>
            <w:tcBorders>
              <w:top w:val="single" w:color="000000" w:sz="4" w:space="0"/>
              <w:left w:val="single" w:color="000000" w:sz="4" w:space="0"/>
              <w:bottom w:val="single" w:color="000000" w:sz="4" w:space="0"/>
              <w:right w:val="single" w:color="000000" w:sz="4" w:space="0"/>
            </w:tcBorders>
            <w:vAlign w:val="center"/>
          </w:tcPr>
          <w:p w14:paraId="0B53910E">
            <w:pPr>
              <w:pStyle w:val="49"/>
              <w:jc w:val="center"/>
              <w:rPr>
                <w:rFonts w:hint="eastAsia"/>
                <w:highlight w:val="none"/>
              </w:rPr>
            </w:pPr>
            <w:r>
              <w:rPr>
                <w:rFonts w:hint="eastAsia"/>
                <w:highlight w:val="none"/>
              </w:rPr>
              <w:t>l/1500</w:t>
            </w:r>
          </w:p>
        </w:tc>
        <w:tc>
          <w:tcPr>
            <w:tcW w:w="2313" w:type="pct"/>
            <w:tcBorders>
              <w:top w:val="single" w:color="000000" w:sz="4" w:space="0"/>
              <w:left w:val="single" w:color="000000" w:sz="4" w:space="0"/>
              <w:bottom w:val="single" w:color="000000" w:sz="4" w:space="0"/>
              <w:right w:val="single" w:color="auto" w:sz="12" w:space="0"/>
            </w:tcBorders>
            <w:vAlign w:val="center"/>
          </w:tcPr>
          <w:p w14:paraId="59D0678E">
            <w:pPr>
              <w:pStyle w:val="49"/>
              <w:jc w:val="center"/>
              <w:rPr>
                <w:rFonts w:hint="eastAsia"/>
                <w:highlight w:val="none"/>
              </w:rPr>
            </w:pPr>
            <w:r>
              <w:rPr>
                <w:rFonts w:hint="eastAsia"/>
                <w:highlight w:val="none"/>
              </w:rPr>
              <w:t>对角拉线测量交点间距离值的两倍</w:t>
            </w:r>
          </w:p>
        </w:tc>
      </w:tr>
      <w:tr w14:paraId="14A1BF2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505" w:hRule="atLeast"/>
        </w:trPr>
        <w:tc>
          <w:tcPr>
            <w:tcW w:w="1550" w:type="pct"/>
            <w:gridSpan w:val="2"/>
            <w:tcBorders>
              <w:top w:val="single" w:color="000000" w:sz="4" w:space="0"/>
              <w:left w:val="single" w:color="auto" w:sz="12" w:space="0"/>
              <w:bottom w:val="single" w:color="000000" w:sz="4" w:space="0"/>
              <w:right w:val="single" w:color="000000" w:sz="4" w:space="0"/>
            </w:tcBorders>
            <w:vAlign w:val="center"/>
          </w:tcPr>
          <w:p w14:paraId="6796A91A">
            <w:pPr>
              <w:pStyle w:val="49"/>
              <w:jc w:val="center"/>
              <w:rPr>
                <w:rFonts w:hint="eastAsia"/>
                <w:highlight w:val="none"/>
              </w:rPr>
            </w:pPr>
            <w:r>
              <w:rPr>
                <w:rFonts w:hint="eastAsia"/>
                <w:highlight w:val="none"/>
              </w:rPr>
              <w:t>底模表面平整度</w:t>
            </w:r>
          </w:p>
        </w:tc>
        <w:tc>
          <w:tcPr>
            <w:tcW w:w="1136" w:type="pct"/>
            <w:tcBorders>
              <w:top w:val="single" w:color="000000" w:sz="4" w:space="0"/>
              <w:left w:val="single" w:color="000000" w:sz="4" w:space="0"/>
              <w:bottom w:val="single" w:color="000000" w:sz="4" w:space="0"/>
              <w:right w:val="single" w:color="000000" w:sz="4" w:space="0"/>
            </w:tcBorders>
            <w:vAlign w:val="center"/>
          </w:tcPr>
          <w:p w14:paraId="308FE6F5">
            <w:pPr>
              <w:pStyle w:val="49"/>
              <w:jc w:val="center"/>
              <w:rPr>
                <w:rFonts w:hint="eastAsia"/>
                <w:highlight w:val="none"/>
              </w:rPr>
            </w:pPr>
            <w:r>
              <w:rPr>
                <w:rFonts w:hint="eastAsia"/>
                <w:highlight w:val="none"/>
              </w:rPr>
              <w:t>2</w:t>
            </w:r>
          </w:p>
        </w:tc>
        <w:tc>
          <w:tcPr>
            <w:tcW w:w="2313" w:type="pct"/>
            <w:tcBorders>
              <w:top w:val="single" w:color="000000" w:sz="4" w:space="0"/>
              <w:left w:val="single" w:color="000000" w:sz="4" w:space="0"/>
              <w:bottom w:val="single" w:color="000000" w:sz="4" w:space="0"/>
              <w:right w:val="single" w:color="auto" w:sz="12" w:space="0"/>
            </w:tcBorders>
            <w:vAlign w:val="center"/>
          </w:tcPr>
          <w:p w14:paraId="535F7C3E">
            <w:pPr>
              <w:pStyle w:val="49"/>
              <w:jc w:val="center"/>
              <w:rPr>
                <w:rFonts w:hint="eastAsia"/>
                <w:highlight w:val="none"/>
              </w:rPr>
            </w:pPr>
            <w:r>
              <w:rPr>
                <w:rFonts w:hint="eastAsia"/>
                <w:highlight w:val="none"/>
              </w:rPr>
              <w:t>用2m靠尺和塞尺检查</w:t>
            </w:r>
          </w:p>
        </w:tc>
      </w:tr>
      <w:tr w14:paraId="50C4193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1550" w:type="pct"/>
            <w:gridSpan w:val="2"/>
            <w:tcBorders>
              <w:top w:val="single" w:color="000000" w:sz="4" w:space="0"/>
              <w:left w:val="single" w:color="auto" w:sz="12" w:space="0"/>
              <w:bottom w:val="single" w:color="000000" w:sz="4" w:space="0"/>
              <w:right w:val="single" w:color="000000" w:sz="4" w:space="0"/>
            </w:tcBorders>
            <w:vAlign w:val="center"/>
          </w:tcPr>
          <w:p w14:paraId="0233038F">
            <w:pPr>
              <w:pStyle w:val="49"/>
              <w:jc w:val="center"/>
              <w:rPr>
                <w:rFonts w:hint="eastAsia"/>
                <w:highlight w:val="none"/>
              </w:rPr>
            </w:pPr>
            <w:r>
              <w:rPr>
                <w:rFonts w:hint="eastAsia"/>
                <w:highlight w:val="none"/>
              </w:rPr>
              <w:t>组装缝隙</w:t>
            </w:r>
          </w:p>
        </w:tc>
        <w:tc>
          <w:tcPr>
            <w:tcW w:w="1136" w:type="pct"/>
            <w:tcBorders>
              <w:top w:val="single" w:color="000000" w:sz="4" w:space="0"/>
              <w:left w:val="single" w:color="000000" w:sz="4" w:space="0"/>
              <w:bottom w:val="single" w:color="000000" w:sz="4" w:space="0"/>
              <w:right w:val="single" w:color="000000" w:sz="4" w:space="0"/>
            </w:tcBorders>
            <w:vAlign w:val="center"/>
          </w:tcPr>
          <w:p w14:paraId="6C9F71EF">
            <w:pPr>
              <w:pStyle w:val="49"/>
              <w:jc w:val="center"/>
              <w:rPr>
                <w:rFonts w:hint="eastAsia"/>
                <w:highlight w:val="none"/>
              </w:rPr>
            </w:pPr>
            <w:r>
              <w:rPr>
                <w:rFonts w:hint="eastAsia"/>
                <w:highlight w:val="none"/>
              </w:rPr>
              <w:t>1</w:t>
            </w:r>
          </w:p>
        </w:tc>
        <w:tc>
          <w:tcPr>
            <w:tcW w:w="2313" w:type="pct"/>
            <w:tcBorders>
              <w:top w:val="single" w:color="000000" w:sz="4" w:space="0"/>
              <w:left w:val="single" w:color="000000" w:sz="4" w:space="0"/>
              <w:bottom w:val="single" w:color="000000" w:sz="4" w:space="0"/>
              <w:right w:val="single" w:color="auto" w:sz="12" w:space="0"/>
            </w:tcBorders>
            <w:vAlign w:val="center"/>
          </w:tcPr>
          <w:p w14:paraId="00004C97">
            <w:pPr>
              <w:pStyle w:val="49"/>
              <w:jc w:val="center"/>
              <w:rPr>
                <w:rFonts w:hint="eastAsia"/>
                <w:highlight w:val="none"/>
              </w:rPr>
            </w:pPr>
            <w:r>
              <w:rPr>
                <w:rFonts w:hint="eastAsia"/>
                <w:highlight w:val="none"/>
              </w:rPr>
              <w:t>用塞片或塞尺量</w:t>
            </w:r>
          </w:p>
        </w:tc>
      </w:tr>
      <w:tr w14:paraId="7F0339B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1550" w:type="pct"/>
            <w:gridSpan w:val="2"/>
            <w:tcBorders>
              <w:top w:val="single" w:color="000000" w:sz="4" w:space="0"/>
              <w:left w:val="single" w:color="auto" w:sz="12" w:space="0"/>
              <w:bottom w:val="single" w:color="auto" w:sz="12" w:space="0"/>
              <w:right w:val="single" w:color="000000" w:sz="4" w:space="0"/>
            </w:tcBorders>
            <w:vAlign w:val="center"/>
          </w:tcPr>
          <w:p w14:paraId="5498ED53">
            <w:pPr>
              <w:pStyle w:val="49"/>
              <w:jc w:val="center"/>
              <w:rPr>
                <w:rFonts w:hint="eastAsia"/>
                <w:highlight w:val="none"/>
              </w:rPr>
            </w:pPr>
            <w:r>
              <w:rPr>
                <w:rFonts w:hint="eastAsia"/>
                <w:highlight w:val="none"/>
              </w:rPr>
              <w:t>端模与侧模高低差</w:t>
            </w:r>
          </w:p>
        </w:tc>
        <w:tc>
          <w:tcPr>
            <w:tcW w:w="1136" w:type="pct"/>
            <w:tcBorders>
              <w:top w:val="single" w:color="000000" w:sz="4" w:space="0"/>
              <w:left w:val="single" w:color="000000" w:sz="4" w:space="0"/>
              <w:bottom w:val="single" w:color="auto" w:sz="12" w:space="0"/>
              <w:right w:val="single" w:color="000000" w:sz="4" w:space="0"/>
            </w:tcBorders>
            <w:vAlign w:val="center"/>
          </w:tcPr>
          <w:p w14:paraId="6C4AD355">
            <w:pPr>
              <w:pStyle w:val="49"/>
              <w:jc w:val="center"/>
              <w:rPr>
                <w:rFonts w:hint="eastAsia"/>
                <w:highlight w:val="none"/>
              </w:rPr>
            </w:pPr>
            <w:r>
              <w:rPr>
                <w:rFonts w:hint="eastAsia"/>
                <w:highlight w:val="none"/>
              </w:rPr>
              <w:t>1</w:t>
            </w:r>
          </w:p>
        </w:tc>
        <w:tc>
          <w:tcPr>
            <w:tcW w:w="2313" w:type="pct"/>
            <w:tcBorders>
              <w:top w:val="single" w:color="000000" w:sz="4" w:space="0"/>
              <w:left w:val="single" w:color="000000" w:sz="4" w:space="0"/>
              <w:bottom w:val="single" w:color="auto" w:sz="12" w:space="0"/>
              <w:right w:val="single" w:color="auto" w:sz="12" w:space="0"/>
            </w:tcBorders>
            <w:vAlign w:val="center"/>
          </w:tcPr>
          <w:p w14:paraId="6A468464">
            <w:pPr>
              <w:pStyle w:val="49"/>
              <w:jc w:val="center"/>
              <w:rPr>
                <w:rFonts w:hint="eastAsia"/>
                <w:highlight w:val="none"/>
              </w:rPr>
            </w:pPr>
            <w:r>
              <w:rPr>
                <w:rFonts w:hint="eastAsia"/>
                <w:highlight w:val="none"/>
              </w:rPr>
              <w:t>用钢尺量</w:t>
            </w:r>
          </w:p>
        </w:tc>
      </w:tr>
    </w:tbl>
    <w:p w14:paraId="6407C2BB">
      <w:pPr>
        <w:pStyle w:val="52"/>
        <w:rPr>
          <w:rFonts w:hint="eastAsia" w:eastAsia="宋体"/>
          <w:sz w:val="18"/>
          <w:szCs w:val="18"/>
          <w:highlight w:val="none"/>
          <w:lang w:eastAsia="zh-CN"/>
        </w:rPr>
      </w:pPr>
      <w:r>
        <w:rPr>
          <w:rFonts w:hint="eastAsia"/>
          <w:sz w:val="18"/>
          <w:szCs w:val="18"/>
          <w:highlight w:val="none"/>
        </w:rPr>
        <w:t>注：</w:t>
      </w:r>
      <w:r>
        <w:rPr>
          <w:rFonts w:hint="eastAsia"/>
          <w:i/>
          <w:sz w:val="18"/>
          <w:szCs w:val="18"/>
          <w:highlight w:val="none"/>
        </w:rPr>
        <w:t>l</w:t>
      </w:r>
      <w:r>
        <w:rPr>
          <w:rFonts w:hint="eastAsia"/>
          <w:sz w:val="18"/>
          <w:szCs w:val="18"/>
          <w:highlight w:val="none"/>
        </w:rPr>
        <w:t>为模具与混凝土接触面中最长边的尺寸</w:t>
      </w:r>
      <w:r>
        <w:rPr>
          <w:rFonts w:hint="eastAsia"/>
          <w:sz w:val="18"/>
          <w:szCs w:val="18"/>
          <w:highlight w:val="none"/>
          <w:lang w:eastAsia="zh-CN"/>
        </w:rPr>
        <w:t>。</w:t>
      </w:r>
    </w:p>
    <w:p w14:paraId="73A42559">
      <w:pPr>
        <w:rPr>
          <w:highlight w:val="none"/>
        </w:rPr>
      </w:pPr>
      <w:r>
        <w:rPr>
          <w:rFonts w:hint="eastAsia" w:eastAsia="黑体"/>
          <w:b/>
          <w:highlight w:val="none"/>
        </w:rPr>
        <w:t>8.</w:t>
      </w:r>
      <w:r>
        <w:rPr>
          <w:rFonts w:hint="eastAsia" w:eastAsia="黑体"/>
          <w:b/>
          <w:highlight w:val="none"/>
          <w:lang w:val="en-US" w:eastAsia="zh-CN"/>
        </w:rPr>
        <w:t>2</w:t>
      </w:r>
      <w:r>
        <w:rPr>
          <w:rFonts w:hint="eastAsia"/>
          <w:b/>
          <w:highlight w:val="none"/>
        </w:rPr>
        <w:t>.</w:t>
      </w:r>
      <w:r>
        <w:rPr>
          <w:rFonts w:hint="eastAsia" w:eastAsia="黑体"/>
          <w:b/>
          <w:highlight w:val="none"/>
        </w:rPr>
        <w:t>4</w:t>
      </w:r>
      <w:r>
        <w:rPr>
          <w:rFonts w:eastAsia="黑体"/>
          <w:b/>
          <w:highlight w:val="none"/>
        </w:rPr>
        <w:t xml:space="preserve">  </w:t>
      </w:r>
      <w:r>
        <w:rPr>
          <w:rFonts w:hint="eastAsia"/>
          <w:highlight w:val="none"/>
        </w:rPr>
        <w:t>模块上的预埋件和预留孔洞宜通过模具进行定位，并安装牢固，其安装偏差应符合表8.</w:t>
      </w:r>
      <w:r>
        <w:rPr>
          <w:rFonts w:hint="eastAsia"/>
          <w:highlight w:val="none"/>
          <w:lang w:val="en-US" w:eastAsia="zh-CN"/>
        </w:rPr>
        <w:t>2</w:t>
      </w:r>
      <w:r>
        <w:rPr>
          <w:rFonts w:hint="eastAsia"/>
          <w:highlight w:val="none"/>
        </w:rPr>
        <w:t>.4的规定。</w:t>
      </w:r>
    </w:p>
    <w:p w14:paraId="2F19CF0E">
      <w:pPr>
        <w:widowControl/>
        <w:jc w:val="center"/>
        <w:rPr>
          <w:highlight w:val="none"/>
        </w:rPr>
      </w:pPr>
      <w:r>
        <w:rPr>
          <w:rFonts w:hint="eastAsia" w:eastAsia="黑体"/>
          <w:kern w:val="0"/>
          <w:sz w:val="18"/>
          <w:szCs w:val="21"/>
          <w:highlight w:val="none"/>
        </w:rPr>
        <w:t>表</w:t>
      </w:r>
      <w:r>
        <w:rPr>
          <w:rFonts w:hint="eastAsia" w:eastAsia="黑体"/>
          <w:b/>
          <w:kern w:val="0"/>
          <w:sz w:val="18"/>
          <w:szCs w:val="21"/>
          <w:highlight w:val="none"/>
        </w:rPr>
        <w:t>8.</w:t>
      </w:r>
      <w:r>
        <w:rPr>
          <w:rFonts w:hint="eastAsia" w:eastAsia="黑体"/>
          <w:b/>
          <w:kern w:val="0"/>
          <w:sz w:val="18"/>
          <w:szCs w:val="21"/>
          <w:highlight w:val="none"/>
          <w:lang w:val="en-US" w:eastAsia="zh-CN"/>
        </w:rPr>
        <w:t>2</w:t>
      </w:r>
      <w:r>
        <w:rPr>
          <w:rFonts w:hint="eastAsia" w:eastAsia="黑体"/>
          <w:b/>
          <w:kern w:val="0"/>
          <w:sz w:val="18"/>
          <w:szCs w:val="21"/>
          <w:highlight w:val="none"/>
        </w:rPr>
        <w:t xml:space="preserve">.4 </w:t>
      </w:r>
      <w:r>
        <w:rPr>
          <w:rFonts w:hint="eastAsia" w:eastAsia="黑体"/>
          <w:kern w:val="0"/>
          <w:sz w:val="18"/>
          <w:szCs w:val="21"/>
          <w:highlight w:val="none"/>
        </w:rPr>
        <w:t xml:space="preserve"> 模具上预埋件、预留孔洞安装允许偏差</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1115"/>
        <w:gridCol w:w="1544"/>
        <w:gridCol w:w="945"/>
        <w:gridCol w:w="1972"/>
      </w:tblGrid>
      <w:tr w14:paraId="3C5379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454" w:type="pct"/>
            <w:vAlign w:val="center"/>
          </w:tcPr>
          <w:p w14:paraId="10A82A52">
            <w:pPr>
              <w:pStyle w:val="49"/>
              <w:rPr>
                <w:highlight w:val="none"/>
              </w:rPr>
            </w:pPr>
            <w:r>
              <w:rPr>
                <w:rFonts w:hint="eastAsia"/>
                <w:highlight w:val="none"/>
              </w:rPr>
              <w:t>项次</w:t>
            </w:r>
          </w:p>
        </w:tc>
        <w:tc>
          <w:tcPr>
            <w:tcW w:w="2167" w:type="pct"/>
            <w:gridSpan w:val="2"/>
            <w:vAlign w:val="center"/>
          </w:tcPr>
          <w:p w14:paraId="1BEFFDF2">
            <w:pPr>
              <w:pStyle w:val="49"/>
              <w:rPr>
                <w:highlight w:val="none"/>
              </w:rPr>
            </w:pPr>
            <w:r>
              <w:rPr>
                <w:rFonts w:hint="eastAsia"/>
                <w:highlight w:val="none"/>
              </w:rPr>
              <w:t>检测项目及内容</w:t>
            </w:r>
          </w:p>
        </w:tc>
        <w:tc>
          <w:tcPr>
            <w:tcW w:w="770" w:type="pct"/>
            <w:vAlign w:val="center"/>
          </w:tcPr>
          <w:p w14:paraId="5BAD361F">
            <w:pPr>
              <w:pStyle w:val="49"/>
              <w:rPr>
                <w:highlight w:val="none"/>
              </w:rPr>
            </w:pPr>
            <w:r>
              <w:rPr>
                <w:rFonts w:hint="eastAsia"/>
                <w:highlight w:val="none"/>
              </w:rPr>
              <w:t>允许偏差</w:t>
            </w:r>
            <w:r>
              <w:rPr>
                <w:highlight w:val="none"/>
              </w:rPr>
              <w:t>(mm)</w:t>
            </w:r>
          </w:p>
        </w:tc>
        <w:tc>
          <w:tcPr>
            <w:tcW w:w="1607" w:type="pct"/>
            <w:vAlign w:val="center"/>
          </w:tcPr>
          <w:p w14:paraId="2C5D1088">
            <w:pPr>
              <w:pStyle w:val="49"/>
              <w:rPr>
                <w:highlight w:val="none"/>
              </w:rPr>
            </w:pPr>
            <w:r>
              <w:rPr>
                <w:rFonts w:hint="eastAsia"/>
                <w:highlight w:val="none"/>
              </w:rPr>
              <w:t>检验方法</w:t>
            </w:r>
          </w:p>
        </w:tc>
      </w:tr>
      <w:tr w14:paraId="0A03AE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454" w:type="pct"/>
            <w:vMerge w:val="restart"/>
            <w:vAlign w:val="center"/>
          </w:tcPr>
          <w:p w14:paraId="4BAC376A">
            <w:pPr>
              <w:pStyle w:val="49"/>
              <w:rPr>
                <w:highlight w:val="none"/>
              </w:rPr>
            </w:pPr>
            <w:r>
              <w:rPr>
                <w:highlight w:val="none"/>
              </w:rPr>
              <w:t>1</w:t>
            </w:r>
          </w:p>
        </w:tc>
        <w:tc>
          <w:tcPr>
            <w:tcW w:w="909" w:type="pct"/>
            <w:vMerge w:val="restart"/>
            <w:vAlign w:val="center"/>
          </w:tcPr>
          <w:p w14:paraId="5405D7DD">
            <w:pPr>
              <w:pStyle w:val="49"/>
              <w:rPr>
                <w:highlight w:val="none"/>
              </w:rPr>
            </w:pPr>
            <w:r>
              <w:rPr>
                <w:rFonts w:hint="eastAsia"/>
                <w:highlight w:val="none"/>
              </w:rPr>
              <w:t>预埋钢板、建筑幕墙用槽式预埋组件</w:t>
            </w:r>
          </w:p>
        </w:tc>
        <w:tc>
          <w:tcPr>
            <w:tcW w:w="1258" w:type="pct"/>
            <w:vAlign w:val="center"/>
          </w:tcPr>
          <w:p w14:paraId="07A552FC">
            <w:pPr>
              <w:pStyle w:val="49"/>
              <w:rPr>
                <w:highlight w:val="none"/>
              </w:rPr>
            </w:pPr>
            <w:r>
              <w:rPr>
                <w:rFonts w:hint="eastAsia"/>
                <w:highlight w:val="none"/>
              </w:rPr>
              <w:t>中心线位置</w:t>
            </w:r>
          </w:p>
        </w:tc>
        <w:tc>
          <w:tcPr>
            <w:tcW w:w="770" w:type="pct"/>
            <w:vAlign w:val="center"/>
          </w:tcPr>
          <w:p w14:paraId="3C39DC1D">
            <w:pPr>
              <w:pStyle w:val="49"/>
              <w:rPr>
                <w:highlight w:val="none"/>
              </w:rPr>
            </w:pPr>
            <w:r>
              <w:rPr>
                <w:highlight w:val="none"/>
              </w:rPr>
              <w:t>3</w:t>
            </w:r>
          </w:p>
        </w:tc>
        <w:tc>
          <w:tcPr>
            <w:tcW w:w="1607" w:type="pct"/>
            <w:vAlign w:val="center"/>
          </w:tcPr>
          <w:p w14:paraId="3E7E934D">
            <w:pPr>
              <w:pStyle w:val="49"/>
              <w:jc w:val="left"/>
              <w:rPr>
                <w:highlight w:val="none"/>
              </w:rPr>
            </w:pPr>
            <w:r>
              <w:rPr>
                <w:rFonts w:hint="eastAsia"/>
                <w:highlight w:val="none"/>
              </w:rPr>
              <w:t>用尺量测纵横两个方向的中心线位置，取其中较大值</w:t>
            </w:r>
          </w:p>
        </w:tc>
      </w:tr>
      <w:tr w14:paraId="45E03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pct"/>
            <w:vMerge w:val="continue"/>
            <w:vAlign w:val="center"/>
          </w:tcPr>
          <w:p w14:paraId="733173EC">
            <w:pPr>
              <w:pStyle w:val="49"/>
              <w:rPr>
                <w:highlight w:val="none"/>
              </w:rPr>
            </w:pPr>
          </w:p>
        </w:tc>
        <w:tc>
          <w:tcPr>
            <w:tcW w:w="909" w:type="pct"/>
            <w:vMerge w:val="continue"/>
            <w:vAlign w:val="center"/>
          </w:tcPr>
          <w:p w14:paraId="523C4B52">
            <w:pPr>
              <w:pStyle w:val="49"/>
              <w:rPr>
                <w:highlight w:val="none"/>
              </w:rPr>
            </w:pPr>
          </w:p>
        </w:tc>
        <w:tc>
          <w:tcPr>
            <w:tcW w:w="1258" w:type="pct"/>
            <w:vAlign w:val="center"/>
          </w:tcPr>
          <w:p w14:paraId="613DB716">
            <w:pPr>
              <w:pStyle w:val="49"/>
              <w:rPr>
                <w:highlight w:val="none"/>
              </w:rPr>
            </w:pPr>
            <w:r>
              <w:rPr>
                <w:rFonts w:hint="eastAsia"/>
                <w:highlight w:val="none"/>
              </w:rPr>
              <w:t>平面高差</w:t>
            </w:r>
          </w:p>
        </w:tc>
        <w:tc>
          <w:tcPr>
            <w:tcW w:w="770" w:type="pct"/>
            <w:vAlign w:val="center"/>
          </w:tcPr>
          <w:p w14:paraId="4ED60431">
            <w:pPr>
              <w:pStyle w:val="49"/>
              <w:rPr>
                <w:highlight w:val="none"/>
              </w:rPr>
            </w:pPr>
            <w:r>
              <w:rPr>
                <w:highlight w:val="none"/>
              </w:rPr>
              <w:t>±2</w:t>
            </w:r>
          </w:p>
        </w:tc>
        <w:tc>
          <w:tcPr>
            <w:tcW w:w="1607" w:type="pct"/>
            <w:vAlign w:val="center"/>
          </w:tcPr>
          <w:p w14:paraId="636C1923">
            <w:pPr>
              <w:pStyle w:val="49"/>
              <w:jc w:val="left"/>
              <w:rPr>
                <w:highlight w:val="none"/>
              </w:rPr>
            </w:pPr>
            <w:r>
              <w:rPr>
                <w:rFonts w:hint="eastAsia"/>
                <w:highlight w:val="none"/>
              </w:rPr>
              <w:t>用钢直尺和塞尺检查</w:t>
            </w:r>
          </w:p>
        </w:tc>
      </w:tr>
      <w:tr w14:paraId="7F56F9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4" w:type="pct"/>
            <w:vAlign w:val="center"/>
          </w:tcPr>
          <w:p w14:paraId="1065AC14">
            <w:pPr>
              <w:pStyle w:val="49"/>
              <w:rPr>
                <w:highlight w:val="none"/>
              </w:rPr>
            </w:pPr>
            <w:r>
              <w:rPr>
                <w:highlight w:val="none"/>
              </w:rPr>
              <w:t>2</w:t>
            </w:r>
          </w:p>
        </w:tc>
        <w:tc>
          <w:tcPr>
            <w:tcW w:w="2167" w:type="pct"/>
            <w:gridSpan w:val="2"/>
            <w:vAlign w:val="center"/>
          </w:tcPr>
          <w:p w14:paraId="082D87F9">
            <w:pPr>
              <w:pStyle w:val="49"/>
              <w:rPr>
                <w:highlight w:val="none"/>
              </w:rPr>
            </w:pPr>
            <w:r>
              <w:rPr>
                <w:rFonts w:hint="eastAsia"/>
                <w:highlight w:val="none"/>
              </w:rPr>
              <w:t>预埋管、电线盒、电线管水平和垂直方向的中心线位置偏移、预留孔（或波纹管）</w:t>
            </w:r>
          </w:p>
        </w:tc>
        <w:tc>
          <w:tcPr>
            <w:tcW w:w="770" w:type="pct"/>
            <w:vAlign w:val="center"/>
          </w:tcPr>
          <w:p w14:paraId="72030DF9">
            <w:pPr>
              <w:pStyle w:val="49"/>
              <w:rPr>
                <w:highlight w:val="none"/>
              </w:rPr>
            </w:pPr>
            <w:r>
              <w:rPr>
                <w:highlight w:val="none"/>
              </w:rPr>
              <w:t>2</w:t>
            </w:r>
          </w:p>
        </w:tc>
        <w:tc>
          <w:tcPr>
            <w:tcW w:w="1607" w:type="pct"/>
            <w:vAlign w:val="center"/>
          </w:tcPr>
          <w:p w14:paraId="23799943">
            <w:pPr>
              <w:pStyle w:val="49"/>
              <w:jc w:val="left"/>
              <w:rPr>
                <w:highlight w:val="none"/>
              </w:rPr>
            </w:pPr>
            <w:r>
              <w:rPr>
                <w:rFonts w:hint="eastAsia"/>
                <w:highlight w:val="none"/>
              </w:rPr>
              <w:t>用尺量测纵横两个方向的中心线位置，取其中较大值</w:t>
            </w:r>
          </w:p>
        </w:tc>
      </w:tr>
    </w:tbl>
    <w:p w14:paraId="61232E78">
      <w:pPr>
        <w:jc w:val="center"/>
        <w:rPr>
          <w:highlight w:val="none"/>
        </w:rPr>
      </w:pPr>
      <w:r>
        <w:rPr>
          <w:rFonts w:hint="eastAsia" w:eastAsia="黑体"/>
          <w:kern w:val="0"/>
          <w:sz w:val="18"/>
          <w:szCs w:val="21"/>
          <w:highlight w:val="none"/>
          <w:lang w:val="en-US" w:eastAsia="zh-CN"/>
        </w:rPr>
        <w:t>续</w:t>
      </w:r>
      <w:r>
        <w:rPr>
          <w:rFonts w:hint="eastAsia" w:eastAsia="黑体"/>
          <w:kern w:val="0"/>
          <w:sz w:val="18"/>
          <w:szCs w:val="21"/>
          <w:highlight w:val="none"/>
        </w:rPr>
        <w:t>表</w:t>
      </w:r>
      <w:r>
        <w:rPr>
          <w:rFonts w:hint="eastAsia" w:eastAsia="黑体"/>
          <w:b/>
          <w:kern w:val="0"/>
          <w:sz w:val="18"/>
          <w:szCs w:val="21"/>
          <w:highlight w:val="none"/>
        </w:rPr>
        <w:t>8.</w:t>
      </w:r>
      <w:r>
        <w:rPr>
          <w:rFonts w:hint="eastAsia" w:eastAsia="黑体"/>
          <w:b/>
          <w:kern w:val="0"/>
          <w:sz w:val="18"/>
          <w:szCs w:val="21"/>
          <w:highlight w:val="none"/>
          <w:lang w:val="en-US" w:eastAsia="zh-CN"/>
        </w:rPr>
        <w:t>2</w:t>
      </w:r>
      <w:r>
        <w:rPr>
          <w:rFonts w:hint="eastAsia" w:eastAsia="黑体"/>
          <w:b/>
          <w:kern w:val="0"/>
          <w:sz w:val="18"/>
          <w:szCs w:val="21"/>
          <w:highlight w:val="none"/>
        </w:rPr>
        <w:t>.4</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1115"/>
        <w:gridCol w:w="1544"/>
        <w:gridCol w:w="945"/>
        <w:gridCol w:w="1972"/>
      </w:tblGrid>
      <w:tr w14:paraId="062F42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557" w:type="dxa"/>
            <w:vAlign w:val="center"/>
          </w:tcPr>
          <w:p w14:paraId="0A0217FD">
            <w:pPr>
              <w:pStyle w:val="49"/>
              <w:rPr>
                <w:highlight w:val="none"/>
              </w:rPr>
            </w:pPr>
            <w:r>
              <w:rPr>
                <w:rFonts w:hint="eastAsia"/>
                <w:highlight w:val="none"/>
              </w:rPr>
              <w:t>项次</w:t>
            </w:r>
          </w:p>
        </w:tc>
        <w:tc>
          <w:tcPr>
            <w:tcW w:w="2659" w:type="dxa"/>
            <w:gridSpan w:val="2"/>
            <w:vAlign w:val="center"/>
          </w:tcPr>
          <w:p w14:paraId="4550B27E">
            <w:pPr>
              <w:pStyle w:val="49"/>
              <w:rPr>
                <w:rFonts w:hint="eastAsia"/>
                <w:highlight w:val="none"/>
              </w:rPr>
            </w:pPr>
            <w:r>
              <w:rPr>
                <w:rFonts w:hint="eastAsia"/>
                <w:highlight w:val="none"/>
              </w:rPr>
              <w:t>检测项目及内容</w:t>
            </w:r>
          </w:p>
        </w:tc>
        <w:tc>
          <w:tcPr>
            <w:tcW w:w="945" w:type="dxa"/>
            <w:vAlign w:val="center"/>
          </w:tcPr>
          <w:p w14:paraId="271FBF72">
            <w:pPr>
              <w:pStyle w:val="49"/>
              <w:rPr>
                <w:highlight w:val="none"/>
              </w:rPr>
            </w:pPr>
            <w:r>
              <w:rPr>
                <w:rFonts w:hint="eastAsia"/>
                <w:highlight w:val="none"/>
              </w:rPr>
              <w:t>允许偏差</w:t>
            </w:r>
            <w:r>
              <w:rPr>
                <w:highlight w:val="none"/>
              </w:rPr>
              <w:t>(mm)</w:t>
            </w:r>
          </w:p>
        </w:tc>
        <w:tc>
          <w:tcPr>
            <w:tcW w:w="1972" w:type="dxa"/>
            <w:vAlign w:val="center"/>
          </w:tcPr>
          <w:p w14:paraId="614202DD">
            <w:pPr>
              <w:pStyle w:val="49"/>
              <w:rPr>
                <w:rFonts w:hint="eastAsia"/>
                <w:highlight w:val="none"/>
              </w:rPr>
            </w:pPr>
            <w:r>
              <w:rPr>
                <w:rFonts w:hint="eastAsia"/>
                <w:highlight w:val="none"/>
              </w:rPr>
              <w:t>检验方法</w:t>
            </w:r>
          </w:p>
        </w:tc>
      </w:tr>
      <w:tr w14:paraId="771C9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4" w:type="pct"/>
            <w:vMerge w:val="restart"/>
            <w:vAlign w:val="center"/>
          </w:tcPr>
          <w:p w14:paraId="4E8C9BEB">
            <w:pPr>
              <w:pStyle w:val="49"/>
              <w:rPr>
                <w:highlight w:val="none"/>
              </w:rPr>
            </w:pPr>
            <w:r>
              <w:rPr>
                <w:highlight w:val="none"/>
              </w:rPr>
              <w:t>3</w:t>
            </w:r>
          </w:p>
        </w:tc>
        <w:tc>
          <w:tcPr>
            <w:tcW w:w="909" w:type="pct"/>
            <w:vMerge w:val="restart"/>
            <w:vAlign w:val="center"/>
          </w:tcPr>
          <w:p w14:paraId="016F8825">
            <w:pPr>
              <w:pStyle w:val="49"/>
              <w:rPr>
                <w:highlight w:val="none"/>
              </w:rPr>
            </w:pPr>
            <w:r>
              <w:rPr>
                <w:rFonts w:hint="eastAsia"/>
                <w:highlight w:val="none"/>
              </w:rPr>
              <w:t>插筋</w:t>
            </w:r>
          </w:p>
        </w:tc>
        <w:tc>
          <w:tcPr>
            <w:tcW w:w="1258" w:type="pct"/>
            <w:vAlign w:val="center"/>
          </w:tcPr>
          <w:p w14:paraId="1661A771">
            <w:pPr>
              <w:pStyle w:val="49"/>
              <w:rPr>
                <w:highlight w:val="none"/>
              </w:rPr>
            </w:pPr>
            <w:r>
              <w:rPr>
                <w:rFonts w:hint="eastAsia"/>
                <w:highlight w:val="none"/>
              </w:rPr>
              <w:t>中心线位置</w:t>
            </w:r>
          </w:p>
        </w:tc>
        <w:tc>
          <w:tcPr>
            <w:tcW w:w="770" w:type="pct"/>
            <w:vAlign w:val="center"/>
          </w:tcPr>
          <w:p w14:paraId="3B2BF0C9">
            <w:pPr>
              <w:pStyle w:val="49"/>
              <w:rPr>
                <w:highlight w:val="none"/>
              </w:rPr>
            </w:pPr>
            <w:r>
              <w:rPr>
                <w:highlight w:val="none"/>
              </w:rPr>
              <w:t>3</w:t>
            </w:r>
          </w:p>
        </w:tc>
        <w:tc>
          <w:tcPr>
            <w:tcW w:w="1607" w:type="pct"/>
            <w:vAlign w:val="center"/>
          </w:tcPr>
          <w:p w14:paraId="63215203">
            <w:pPr>
              <w:pStyle w:val="49"/>
              <w:jc w:val="left"/>
              <w:rPr>
                <w:highlight w:val="none"/>
              </w:rPr>
            </w:pPr>
            <w:r>
              <w:rPr>
                <w:rFonts w:hint="eastAsia"/>
                <w:highlight w:val="none"/>
              </w:rPr>
              <w:t>用尺量测纵横两个方向的中心线位置，取其中较大值</w:t>
            </w:r>
          </w:p>
        </w:tc>
      </w:tr>
      <w:tr w14:paraId="330BE1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54" w:type="pct"/>
            <w:vMerge w:val="continue"/>
            <w:vAlign w:val="center"/>
          </w:tcPr>
          <w:p w14:paraId="2E726EB1">
            <w:pPr>
              <w:pStyle w:val="49"/>
              <w:rPr>
                <w:highlight w:val="none"/>
              </w:rPr>
            </w:pPr>
          </w:p>
        </w:tc>
        <w:tc>
          <w:tcPr>
            <w:tcW w:w="909" w:type="pct"/>
            <w:vMerge w:val="continue"/>
            <w:vAlign w:val="center"/>
          </w:tcPr>
          <w:p w14:paraId="28F2E60B">
            <w:pPr>
              <w:pStyle w:val="49"/>
              <w:rPr>
                <w:highlight w:val="none"/>
              </w:rPr>
            </w:pPr>
          </w:p>
        </w:tc>
        <w:tc>
          <w:tcPr>
            <w:tcW w:w="1258" w:type="pct"/>
            <w:vAlign w:val="center"/>
          </w:tcPr>
          <w:p w14:paraId="07D1A190">
            <w:pPr>
              <w:pStyle w:val="49"/>
              <w:rPr>
                <w:highlight w:val="none"/>
              </w:rPr>
            </w:pPr>
            <w:r>
              <w:rPr>
                <w:rFonts w:hint="eastAsia"/>
                <w:highlight w:val="none"/>
              </w:rPr>
              <w:t>外露长度</w:t>
            </w:r>
          </w:p>
        </w:tc>
        <w:tc>
          <w:tcPr>
            <w:tcW w:w="770" w:type="pct"/>
            <w:vAlign w:val="center"/>
          </w:tcPr>
          <w:p w14:paraId="62DFE5A9">
            <w:pPr>
              <w:pStyle w:val="49"/>
              <w:rPr>
                <w:highlight w:val="none"/>
              </w:rPr>
            </w:pPr>
            <w:r>
              <w:rPr>
                <w:highlight w:val="none"/>
              </w:rPr>
              <w:t>+</w:t>
            </w:r>
            <w:r>
              <w:rPr>
                <w:rFonts w:hint="eastAsia"/>
                <w:highlight w:val="none"/>
              </w:rPr>
              <w:t>5，</w:t>
            </w:r>
            <w:r>
              <w:rPr>
                <w:highlight w:val="none"/>
              </w:rPr>
              <w:t>0</w:t>
            </w:r>
          </w:p>
        </w:tc>
        <w:tc>
          <w:tcPr>
            <w:tcW w:w="1607" w:type="pct"/>
            <w:vAlign w:val="center"/>
          </w:tcPr>
          <w:p w14:paraId="1D241B2D">
            <w:pPr>
              <w:pStyle w:val="49"/>
              <w:jc w:val="left"/>
              <w:rPr>
                <w:highlight w:val="none"/>
              </w:rPr>
            </w:pPr>
            <w:r>
              <w:rPr>
                <w:rFonts w:hint="eastAsia"/>
                <w:highlight w:val="none"/>
              </w:rPr>
              <w:t>用尺量测</w:t>
            </w:r>
          </w:p>
        </w:tc>
      </w:tr>
      <w:tr w14:paraId="20441A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4" w:type="pct"/>
            <w:vMerge w:val="restart"/>
            <w:vAlign w:val="center"/>
          </w:tcPr>
          <w:p w14:paraId="2BA94C3E">
            <w:pPr>
              <w:pStyle w:val="49"/>
              <w:rPr>
                <w:highlight w:val="none"/>
              </w:rPr>
            </w:pPr>
            <w:r>
              <w:rPr>
                <w:highlight w:val="none"/>
              </w:rPr>
              <w:t>4</w:t>
            </w:r>
          </w:p>
        </w:tc>
        <w:tc>
          <w:tcPr>
            <w:tcW w:w="909" w:type="pct"/>
            <w:vMerge w:val="restart"/>
            <w:vAlign w:val="center"/>
          </w:tcPr>
          <w:p w14:paraId="581A6290">
            <w:pPr>
              <w:pStyle w:val="49"/>
              <w:rPr>
                <w:highlight w:val="none"/>
              </w:rPr>
            </w:pPr>
            <w:r>
              <w:rPr>
                <w:rFonts w:hint="eastAsia"/>
                <w:highlight w:val="none"/>
              </w:rPr>
              <w:t>吊环</w:t>
            </w:r>
          </w:p>
        </w:tc>
        <w:tc>
          <w:tcPr>
            <w:tcW w:w="1258" w:type="pct"/>
            <w:vAlign w:val="center"/>
          </w:tcPr>
          <w:p w14:paraId="3E14AE9D">
            <w:pPr>
              <w:pStyle w:val="49"/>
              <w:rPr>
                <w:highlight w:val="none"/>
              </w:rPr>
            </w:pPr>
            <w:r>
              <w:rPr>
                <w:rFonts w:hint="eastAsia"/>
                <w:highlight w:val="none"/>
              </w:rPr>
              <w:t>中心线位置</w:t>
            </w:r>
          </w:p>
        </w:tc>
        <w:tc>
          <w:tcPr>
            <w:tcW w:w="770" w:type="pct"/>
            <w:vAlign w:val="center"/>
          </w:tcPr>
          <w:p w14:paraId="0F1F9252">
            <w:pPr>
              <w:pStyle w:val="49"/>
              <w:rPr>
                <w:highlight w:val="none"/>
              </w:rPr>
            </w:pPr>
            <w:r>
              <w:rPr>
                <w:highlight w:val="none"/>
              </w:rPr>
              <w:t>3</w:t>
            </w:r>
          </w:p>
        </w:tc>
        <w:tc>
          <w:tcPr>
            <w:tcW w:w="1607" w:type="pct"/>
            <w:vAlign w:val="center"/>
          </w:tcPr>
          <w:p w14:paraId="6A75B1B3">
            <w:pPr>
              <w:pStyle w:val="49"/>
              <w:jc w:val="left"/>
              <w:rPr>
                <w:highlight w:val="none"/>
              </w:rPr>
            </w:pPr>
            <w:r>
              <w:rPr>
                <w:rFonts w:hint="eastAsia"/>
                <w:highlight w:val="none"/>
              </w:rPr>
              <w:t>用尺量测纵横两个方向的中心线位置，取其较大值</w:t>
            </w:r>
          </w:p>
        </w:tc>
      </w:tr>
      <w:tr w14:paraId="22E353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1" w:hRule="atLeast"/>
          <w:jc w:val="center"/>
        </w:trPr>
        <w:tc>
          <w:tcPr>
            <w:tcW w:w="454" w:type="pct"/>
            <w:vMerge w:val="continue"/>
            <w:vAlign w:val="center"/>
          </w:tcPr>
          <w:p w14:paraId="7745603E">
            <w:pPr>
              <w:pStyle w:val="49"/>
              <w:rPr>
                <w:highlight w:val="none"/>
              </w:rPr>
            </w:pPr>
          </w:p>
        </w:tc>
        <w:tc>
          <w:tcPr>
            <w:tcW w:w="909" w:type="pct"/>
            <w:vMerge w:val="continue"/>
            <w:vAlign w:val="center"/>
          </w:tcPr>
          <w:p w14:paraId="4E6EEFD5">
            <w:pPr>
              <w:pStyle w:val="49"/>
              <w:rPr>
                <w:highlight w:val="none"/>
              </w:rPr>
            </w:pPr>
          </w:p>
        </w:tc>
        <w:tc>
          <w:tcPr>
            <w:tcW w:w="1258" w:type="pct"/>
            <w:vAlign w:val="center"/>
          </w:tcPr>
          <w:p w14:paraId="007B7201">
            <w:pPr>
              <w:pStyle w:val="49"/>
              <w:rPr>
                <w:highlight w:val="none"/>
              </w:rPr>
            </w:pPr>
            <w:r>
              <w:rPr>
                <w:rFonts w:hint="eastAsia"/>
                <w:highlight w:val="none"/>
              </w:rPr>
              <w:t>外露长度</w:t>
            </w:r>
          </w:p>
        </w:tc>
        <w:tc>
          <w:tcPr>
            <w:tcW w:w="770" w:type="pct"/>
            <w:vAlign w:val="center"/>
          </w:tcPr>
          <w:p w14:paraId="7FEA0093">
            <w:pPr>
              <w:pStyle w:val="49"/>
              <w:rPr>
                <w:highlight w:val="none"/>
              </w:rPr>
            </w:pPr>
            <w:r>
              <w:rPr>
                <w:highlight w:val="none"/>
              </w:rPr>
              <w:t>0</w:t>
            </w:r>
            <w:r>
              <w:rPr>
                <w:rFonts w:hint="eastAsia"/>
                <w:highlight w:val="none"/>
              </w:rPr>
              <w:t>，</w:t>
            </w:r>
            <w:r>
              <w:rPr>
                <w:highlight w:val="none"/>
              </w:rPr>
              <w:t>-5</w:t>
            </w:r>
          </w:p>
        </w:tc>
        <w:tc>
          <w:tcPr>
            <w:tcW w:w="1607" w:type="pct"/>
            <w:vAlign w:val="center"/>
          </w:tcPr>
          <w:p w14:paraId="40CD567C">
            <w:pPr>
              <w:pStyle w:val="49"/>
              <w:jc w:val="left"/>
              <w:rPr>
                <w:highlight w:val="none"/>
              </w:rPr>
            </w:pPr>
            <w:r>
              <w:rPr>
                <w:rFonts w:hint="eastAsia"/>
                <w:highlight w:val="none"/>
              </w:rPr>
              <w:t>用尺量测</w:t>
            </w:r>
          </w:p>
        </w:tc>
      </w:tr>
      <w:tr w14:paraId="1469E3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4" w:type="pct"/>
            <w:vMerge w:val="restart"/>
            <w:vAlign w:val="center"/>
          </w:tcPr>
          <w:p w14:paraId="57EE80DA">
            <w:pPr>
              <w:pStyle w:val="49"/>
              <w:rPr>
                <w:highlight w:val="none"/>
              </w:rPr>
            </w:pPr>
            <w:r>
              <w:rPr>
                <w:highlight w:val="none"/>
              </w:rPr>
              <w:t>5</w:t>
            </w:r>
          </w:p>
        </w:tc>
        <w:tc>
          <w:tcPr>
            <w:tcW w:w="909" w:type="pct"/>
            <w:vMerge w:val="restart"/>
            <w:vAlign w:val="center"/>
          </w:tcPr>
          <w:p w14:paraId="09AC2942">
            <w:pPr>
              <w:pStyle w:val="49"/>
              <w:rPr>
                <w:highlight w:val="none"/>
              </w:rPr>
            </w:pPr>
            <w:r>
              <w:rPr>
                <w:rFonts w:hint="eastAsia"/>
                <w:highlight w:val="none"/>
              </w:rPr>
              <w:t>预埋螺栓</w:t>
            </w:r>
          </w:p>
        </w:tc>
        <w:tc>
          <w:tcPr>
            <w:tcW w:w="1258" w:type="pct"/>
            <w:vAlign w:val="center"/>
          </w:tcPr>
          <w:p w14:paraId="22C22BA5">
            <w:pPr>
              <w:pStyle w:val="49"/>
              <w:rPr>
                <w:highlight w:val="none"/>
              </w:rPr>
            </w:pPr>
            <w:r>
              <w:rPr>
                <w:rFonts w:hint="eastAsia"/>
                <w:highlight w:val="none"/>
              </w:rPr>
              <w:t>中心线位置</w:t>
            </w:r>
          </w:p>
        </w:tc>
        <w:tc>
          <w:tcPr>
            <w:tcW w:w="770" w:type="pct"/>
            <w:vAlign w:val="center"/>
          </w:tcPr>
          <w:p w14:paraId="3CCE40E5">
            <w:pPr>
              <w:pStyle w:val="49"/>
              <w:rPr>
                <w:highlight w:val="none"/>
              </w:rPr>
            </w:pPr>
            <w:r>
              <w:rPr>
                <w:highlight w:val="none"/>
              </w:rPr>
              <w:t>2</w:t>
            </w:r>
          </w:p>
        </w:tc>
        <w:tc>
          <w:tcPr>
            <w:tcW w:w="1607" w:type="pct"/>
            <w:vAlign w:val="center"/>
          </w:tcPr>
          <w:p w14:paraId="54415F89">
            <w:pPr>
              <w:pStyle w:val="49"/>
              <w:jc w:val="left"/>
              <w:rPr>
                <w:highlight w:val="none"/>
              </w:rPr>
            </w:pPr>
            <w:r>
              <w:rPr>
                <w:rFonts w:hint="eastAsia"/>
                <w:highlight w:val="none"/>
              </w:rPr>
              <w:t>用尺量测纵横两个方向的中心线位置，取其较大值</w:t>
            </w:r>
          </w:p>
        </w:tc>
      </w:tr>
      <w:tr w14:paraId="23E008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54" w:type="pct"/>
            <w:vMerge w:val="continue"/>
            <w:vAlign w:val="center"/>
          </w:tcPr>
          <w:p w14:paraId="0F84E550">
            <w:pPr>
              <w:pStyle w:val="49"/>
              <w:rPr>
                <w:highlight w:val="none"/>
              </w:rPr>
            </w:pPr>
          </w:p>
        </w:tc>
        <w:tc>
          <w:tcPr>
            <w:tcW w:w="909" w:type="pct"/>
            <w:vMerge w:val="continue"/>
            <w:vAlign w:val="center"/>
          </w:tcPr>
          <w:p w14:paraId="1AAF5DF0">
            <w:pPr>
              <w:pStyle w:val="49"/>
              <w:rPr>
                <w:highlight w:val="none"/>
              </w:rPr>
            </w:pPr>
          </w:p>
        </w:tc>
        <w:tc>
          <w:tcPr>
            <w:tcW w:w="1258" w:type="pct"/>
            <w:vAlign w:val="center"/>
          </w:tcPr>
          <w:p w14:paraId="76DB1613">
            <w:pPr>
              <w:pStyle w:val="49"/>
              <w:rPr>
                <w:highlight w:val="none"/>
              </w:rPr>
            </w:pPr>
            <w:r>
              <w:rPr>
                <w:rFonts w:hint="eastAsia"/>
                <w:highlight w:val="none"/>
              </w:rPr>
              <w:t>外露长度</w:t>
            </w:r>
          </w:p>
        </w:tc>
        <w:tc>
          <w:tcPr>
            <w:tcW w:w="770" w:type="pct"/>
            <w:vAlign w:val="center"/>
          </w:tcPr>
          <w:p w14:paraId="5D452C08">
            <w:pPr>
              <w:pStyle w:val="49"/>
              <w:rPr>
                <w:highlight w:val="none"/>
              </w:rPr>
            </w:pPr>
            <w:r>
              <w:rPr>
                <w:highlight w:val="none"/>
              </w:rPr>
              <w:t>+5</w:t>
            </w:r>
            <w:r>
              <w:rPr>
                <w:rFonts w:hint="eastAsia"/>
                <w:highlight w:val="none"/>
              </w:rPr>
              <w:t>，</w:t>
            </w:r>
            <w:r>
              <w:rPr>
                <w:highlight w:val="none"/>
              </w:rPr>
              <w:t>0</w:t>
            </w:r>
          </w:p>
        </w:tc>
        <w:tc>
          <w:tcPr>
            <w:tcW w:w="1607" w:type="pct"/>
            <w:vAlign w:val="center"/>
          </w:tcPr>
          <w:p w14:paraId="226C6DE3">
            <w:pPr>
              <w:pStyle w:val="49"/>
              <w:jc w:val="left"/>
              <w:rPr>
                <w:highlight w:val="none"/>
              </w:rPr>
            </w:pPr>
            <w:r>
              <w:rPr>
                <w:rFonts w:hint="eastAsia"/>
                <w:highlight w:val="none"/>
              </w:rPr>
              <w:t>用尺量测</w:t>
            </w:r>
          </w:p>
        </w:tc>
      </w:tr>
      <w:tr w14:paraId="729101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4" w:type="pct"/>
            <w:vMerge w:val="restart"/>
            <w:vAlign w:val="center"/>
          </w:tcPr>
          <w:p w14:paraId="7490B365">
            <w:pPr>
              <w:pStyle w:val="49"/>
              <w:rPr>
                <w:highlight w:val="none"/>
              </w:rPr>
            </w:pPr>
            <w:r>
              <w:rPr>
                <w:highlight w:val="none"/>
              </w:rPr>
              <w:t>6</w:t>
            </w:r>
          </w:p>
        </w:tc>
        <w:tc>
          <w:tcPr>
            <w:tcW w:w="909" w:type="pct"/>
            <w:vMerge w:val="restart"/>
            <w:vAlign w:val="center"/>
          </w:tcPr>
          <w:p w14:paraId="5F7DEF56">
            <w:pPr>
              <w:pStyle w:val="49"/>
              <w:rPr>
                <w:highlight w:val="none"/>
              </w:rPr>
            </w:pPr>
            <w:r>
              <w:rPr>
                <w:rFonts w:hint="eastAsia"/>
                <w:highlight w:val="none"/>
              </w:rPr>
              <w:t>预埋螺母</w:t>
            </w:r>
          </w:p>
        </w:tc>
        <w:tc>
          <w:tcPr>
            <w:tcW w:w="1258" w:type="pct"/>
            <w:vAlign w:val="center"/>
          </w:tcPr>
          <w:p w14:paraId="767AD302">
            <w:pPr>
              <w:pStyle w:val="49"/>
              <w:rPr>
                <w:highlight w:val="none"/>
              </w:rPr>
            </w:pPr>
            <w:r>
              <w:rPr>
                <w:rFonts w:hint="eastAsia"/>
                <w:highlight w:val="none"/>
              </w:rPr>
              <w:t>中心线位置</w:t>
            </w:r>
          </w:p>
        </w:tc>
        <w:tc>
          <w:tcPr>
            <w:tcW w:w="770" w:type="pct"/>
            <w:vAlign w:val="center"/>
          </w:tcPr>
          <w:p w14:paraId="737B2C08">
            <w:pPr>
              <w:pStyle w:val="49"/>
              <w:rPr>
                <w:highlight w:val="none"/>
              </w:rPr>
            </w:pPr>
            <w:r>
              <w:rPr>
                <w:highlight w:val="none"/>
              </w:rPr>
              <w:t>2</w:t>
            </w:r>
          </w:p>
        </w:tc>
        <w:tc>
          <w:tcPr>
            <w:tcW w:w="1607" w:type="pct"/>
            <w:vAlign w:val="center"/>
          </w:tcPr>
          <w:p w14:paraId="69C9B301">
            <w:pPr>
              <w:pStyle w:val="49"/>
              <w:jc w:val="left"/>
              <w:rPr>
                <w:highlight w:val="none"/>
              </w:rPr>
            </w:pPr>
            <w:r>
              <w:rPr>
                <w:rFonts w:hint="eastAsia"/>
                <w:highlight w:val="none"/>
              </w:rPr>
              <w:t>用尺量测纵横两个方向的中心线位置，取其较大值</w:t>
            </w:r>
          </w:p>
        </w:tc>
      </w:tr>
      <w:tr w14:paraId="1FA9C8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54" w:type="pct"/>
            <w:vMerge w:val="continue"/>
            <w:vAlign w:val="center"/>
          </w:tcPr>
          <w:p w14:paraId="677D564D">
            <w:pPr>
              <w:pStyle w:val="49"/>
              <w:rPr>
                <w:highlight w:val="none"/>
              </w:rPr>
            </w:pPr>
          </w:p>
        </w:tc>
        <w:tc>
          <w:tcPr>
            <w:tcW w:w="909" w:type="pct"/>
            <w:vMerge w:val="continue"/>
            <w:vAlign w:val="center"/>
          </w:tcPr>
          <w:p w14:paraId="3536C871">
            <w:pPr>
              <w:pStyle w:val="49"/>
              <w:rPr>
                <w:highlight w:val="none"/>
              </w:rPr>
            </w:pPr>
          </w:p>
        </w:tc>
        <w:tc>
          <w:tcPr>
            <w:tcW w:w="1258" w:type="pct"/>
            <w:vAlign w:val="center"/>
          </w:tcPr>
          <w:p w14:paraId="0725A604">
            <w:pPr>
              <w:pStyle w:val="49"/>
              <w:rPr>
                <w:highlight w:val="none"/>
              </w:rPr>
            </w:pPr>
            <w:r>
              <w:rPr>
                <w:rFonts w:hint="eastAsia"/>
                <w:highlight w:val="none"/>
              </w:rPr>
              <w:t>平面高差</w:t>
            </w:r>
          </w:p>
        </w:tc>
        <w:tc>
          <w:tcPr>
            <w:tcW w:w="770" w:type="pct"/>
            <w:vAlign w:val="center"/>
          </w:tcPr>
          <w:p w14:paraId="307E0635">
            <w:pPr>
              <w:pStyle w:val="49"/>
              <w:rPr>
                <w:highlight w:val="none"/>
              </w:rPr>
            </w:pPr>
            <w:r>
              <w:rPr>
                <w:highlight w:val="none"/>
              </w:rPr>
              <w:t>±1</w:t>
            </w:r>
          </w:p>
        </w:tc>
        <w:tc>
          <w:tcPr>
            <w:tcW w:w="1607" w:type="pct"/>
            <w:vAlign w:val="center"/>
          </w:tcPr>
          <w:p w14:paraId="673BF74C">
            <w:pPr>
              <w:pStyle w:val="49"/>
              <w:jc w:val="left"/>
              <w:rPr>
                <w:highlight w:val="none"/>
              </w:rPr>
            </w:pPr>
            <w:r>
              <w:rPr>
                <w:rFonts w:hint="eastAsia"/>
                <w:highlight w:val="none"/>
              </w:rPr>
              <w:t>用钢直尺和塞尺检查</w:t>
            </w:r>
          </w:p>
        </w:tc>
      </w:tr>
      <w:tr w14:paraId="2252A1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454" w:type="pct"/>
            <w:vMerge w:val="restart"/>
            <w:vAlign w:val="center"/>
          </w:tcPr>
          <w:p w14:paraId="563CBAB5">
            <w:pPr>
              <w:pStyle w:val="49"/>
              <w:rPr>
                <w:highlight w:val="none"/>
              </w:rPr>
            </w:pPr>
            <w:r>
              <w:rPr>
                <w:highlight w:val="none"/>
              </w:rPr>
              <w:t>7</w:t>
            </w:r>
          </w:p>
        </w:tc>
        <w:tc>
          <w:tcPr>
            <w:tcW w:w="909" w:type="pct"/>
            <w:vMerge w:val="restart"/>
            <w:vAlign w:val="center"/>
          </w:tcPr>
          <w:p w14:paraId="177AD5FE">
            <w:pPr>
              <w:pStyle w:val="49"/>
              <w:rPr>
                <w:highlight w:val="none"/>
              </w:rPr>
            </w:pPr>
            <w:r>
              <w:rPr>
                <w:rFonts w:hint="eastAsia"/>
                <w:highlight w:val="none"/>
              </w:rPr>
              <w:t>预留洞</w:t>
            </w:r>
          </w:p>
        </w:tc>
        <w:tc>
          <w:tcPr>
            <w:tcW w:w="1258" w:type="pct"/>
            <w:vAlign w:val="center"/>
          </w:tcPr>
          <w:p w14:paraId="3D077C94">
            <w:pPr>
              <w:pStyle w:val="49"/>
              <w:rPr>
                <w:highlight w:val="none"/>
              </w:rPr>
            </w:pPr>
            <w:r>
              <w:rPr>
                <w:rFonts w:hint="eastAsia"/>
                <w:highlight w:val="none"/>
              </w:rPr>
              <w:t>中心线位置</w:t>
            </w:r>
          </w:p>
        </w:tc>
        <w:tc>
          <w:tcPr>
            <w:tcW w:w="770" w:type="pct"/>
            <w:vAlign w:val="center"/>
          </w:tcPr>
          <w:p w14:paraId="319D878B">
            <w:pPr>
              <w:pStyle w:val="49"/>
              <w:rPr>
                <w:highlight w:val="none"/>
              </w:rPr>
            </w:pPr>
            <w:r>
              <w:rPr>
                <w:highlight w:val="none"/>
              </w:rPr>
              <w:t>3</w:t>
            </w:r>
          </w:p>
        </w:tc>
        <w:tc>
          <w:tcPr>
            <w:tcW w:w="1607" w:type="pct"/>
            <w:vAlign w:val="center"/>
          </w:tcPr>
          <w:p w14:paraId="5C67EB87">
            <w:pPr>
              <w:pStyle w:val="49"/>
              <w:jc w:val="left"/>
              <w:rPr>
                <w:highlight w:val="none"/>
              </w:rPr>
            </w:pPr>
            <w:r>
              <w:rPr>
                <w:rFonts w:hint="eastAsia"/>
                <w:highlight w:val="none"/>
              </w:rPr>
              <w:t>用尺量测纵横两个方向的中心线位置，取其较大值</w:t>
            </w:r>
          </w:p>
        </w:tc>
      </w:tr>
      <w:tr w14:paraId="31F6A6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454" w:type="pct"/>
            <w:vMerge w:val="continue"/>
            <w:vAlign w:val="center"/>
          </w:tcPr>
          <w:p w14:paraId="6A7BB7EB">
            <w:pPr>
              <w:pStyle w:val="49"/>
              <w:rPr>
                <w:highlight w:val="none"/>
              </w:rPr>
            </w:pPr>
          </w:p>
        </w:tc>
        <w:tc>
          <w:tcPr>
            <w:tcW w:w="909" w:type="pct"/>
            <w:vMerge w:val="continue"/>
            <w:vAlign w:val="center"/>
          </w:tcPr>
          <w:p w14:paraId="7ABAC109">
            <w:pPr>
              <w:pStyle w:val="49"/>
              <w:rPr>
                <w:highlight w:val="none"/>
              </w:rPr>
            </w:pPr>
          </w:p>
        </w:tc>
        <w:tc>
          <w:tcPr>
            <w:tcW w:w="1258" w:type="pct"/>
            <w:vAlign w:val="center"/>
          </w:tcPr>
          <w:p w14:paraId="7DD103DA">
            <w:pPr>
              <w:pStyle w:val="49"/>
              <w:rPr>
                <w:highlight w:val="none"/>
              </w:rPr>
            </w:pPr>
            <w:r>
              <w:rPr>
                <w:rFonts w:hint="eastAsia"/>
                <w:highlight w:val="none"/>
              </w:rPr>
              <w:t>尺寸</w:t>
            </w:r>
          </w:p>
        </w:tc>
        <w:tc>
          <w:tcPr>
            <w:tcW w:w="770" w:type="pct"/>
            <w:vAlign w:val="center"/>
          </w:tcPr>
          <w:p w14:paraId="5957BA19">
            <w:pPr>
              <w:pStyle w:val="49"/>
              <w:rPr>
                <w:highlight w:val="none"/>
              </w:rPr>
            </w:pPr>
            <w:r>
              <w:rPr>
                <w:highlight w:val="none"/>
              </w:rPr>
              <w:t>+3</w:t>
            </w:r>
            <w:r>
              <w:rPr>
                <w:rFonts w:hint="eastAsia"/>
                <w:highlight w:val="none"/>
              </w:rPr>
              <w:t>，</w:t>
            </w:r>
            <w:r>
              <w:rPr>
                <w:highlight w:val="none"/>
              </w:rPr>
              <w:t>0</w:t>
            </w:r>
          </w:p>
        </w:tc>
        <w:tc>
          <w:tcPr>
            <w:tcW w:w="1607" w:type="pct"/>
            <w:vAlign w:val="center"/>
          </w:tcPr>
          <w:p w14:paraId="40F4575C">
            <w:pPr>
              <w:pStyle w:val="49"/>
              <w:jc w:val="left"/>
              <w:rPr>
                <w:highlight w:val="none"/>
              </w:rPr>
            </w:pPr>
            <w:r>
              <w:rPr>
                <w:rFonts w:hint="eastAsia"/>
                <w:highlight w:val="none"/>
              </w:rPr>
              <w:t>用尺量测纵横两个方向的尺寸，取其较大值</w:t>
            </w:r>
          </w:p>
        </w:tc>
      </w:tr>
      <w:tr w14:paraId="7487D6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4" w:type="pct"/>
            <w:vMerge w:val="restart"/>
            <w:vAlign w:val="center"/>
          </w:tcPr>
          <w:p w14:paraId="219A9DB7">
            <w:pPr>
              <w:pStyle w:val="49"/>
              <w:rPr>
                <w:highlight w:val="none"/>
              </w:rPr>
            </w:pPr>
            <w:r>
              <w:rPr>
                <w:highlight w:val="none"/>
              </w:rPr>
              <w:t>8</w:t>
            </w:r>
          </w:p>
        </w:tc>
        <w:tc>
          <w:tcPr>
            <w:tcW w:w="909" w:type="pct"/>
            <w:vMerge w:val="restart"/>
            <w:vAlign w:val="center"/>
          </w:tcPr>
          <w:p w14:paraId="74515E18">
            <w:pPr>
              <w:pStyle w:val="49"/>
              <w:rPr>
                <w:highlight w:val="none"/>
              </w:rPr>
            </w:pPr>
            <w:r>
              <w:rPr>
                <w:rFonts w:hint="eastAsia"/>
                <w:highlight w:val="none"/>
              </w:rPr>
              <w:t>预埋连接件及连接钢筋</w:t>
            </w:r>
          </w:p>
        </w:tc>
        <w:tc>
          <w:tcPr>
            <w:tcW w:w="1258" w:type="pct"/>
            <w:vAlign w:val="center"/>
          </w:tcPr>
          <w:p w14:paraId="5EEAB671">
            <w:pPr>
              <w:pStyle w:val="49"/>
              <w:rPr>
                <w:highlight w:val="none"/>
              </w:rPr>
            </w:pPr>
            <w:r>
              <w:rPr>
                <w:rFonts w:hint="eastAsia"/>
                <w:highlight w:val="none"/>
              </w:rPr>
              <w:t>预埋连接件中心线位置</w:t>
            </w:r>
          </w:p>
        </w:tc>
        <w:tc>
          <w:tcPr>
            <w:tcW w:w="770" w:type="pct"/>
            <w:vAlign w:val="center"/>
          </w:tcPr>
          <w:p w14:paraId="25E55D89">
            <w:pPr>
              <w:pStyle w:val="49"/>
              <w:rPr>
                <w:highlight w:val="none"/>
              </w:rPr>
            </w:pPr>
            <w:r>
              <w:rPr>
                <w:highlight w:val="none"/>
              </w:rPr>
              <w:t>1</w:t>
            </w:r>
          </w:p>
        </w:tc>
        <w:tc>
          <w:tcPr>
            <w:tcW w:w="1607" w:type="pct"/>
            <w:vAlign w:val="center"/>
          </w:tcPr>
          <w:p w14:paraId="7D5B5FFF">
            <w:pPr>
              <w:pStyle w:val="49"/>
              <w:jc w:val="left"/>
              <w:rPr>
                <w:highlight w:val="none"/>
              </w:rPr>
            </w:pPr>
            <w:r>
              <w:rPr>
                <w:rFonts w:hint="eastAsia"/>
                <w:highlight w:val="none"/>
              </w:rPr>
              <w:t>用尺量测纵横两个方向的中心线位置，取其较大值</w:t>
            </w:r>
          </w:p>
        </w:tc>
      </w:tr>
      <w:tr w14:paraId="3C9DD7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454" w:type="pct"/>
            <w:vMerge w:val="continue"/>
            <w:vAlign w:val="center"/>
          </w:tcPr>
          <w:p w14:paraId="0677FD31">
            <w:pPr>
              <w:pStyle w:val="49"/>
              <w:rPr>
                <w:highlight w:val="none"/>
              </w:rPr>
            </w:pPr>
          </w:p>
        </w:tc>
        <w:tc>
          <w:tcPr>
            <w:tcW w:w="909" w:type="pct"/>
            <w:vMerge w:val="continue"/>
            <w:vAlign w:val="center"/>
          </w:tcPr>
          <w:p w14:paraId="6A1AAE7D">
            <w:pPr>
              <w:pStyle w:val="49"/>
              <w:rPr>
                <w:highlight w:val="none"/>
              </w:rPr>
            </w:pPr>
          </w:p>
        </w:tc>
        <w:tc>
          <w:tcPr>
            <w:tcW w:w="1258" w:type="pct"/>
            <w:vAlign w:val="center"/>
          </w:tcPr>
          <w:p w14:paraId="1F6724EA">
            <w:pPr>
              <w:pStyle w:val="49"/>
              <w:rPr>
                <w:highlight w:val="none"/>
              </w:rPr>
            </w:pPr>
            <w:r>
              <w:rPr>
                <w:rFonts w:hint="eastAsia"/>
                <w:highlight w:val="none"/>
              </w:rPr>
              <w:t>连接钢筋中心线位置</w:t>
            </w:r>
          </w:p>
        </w:tc>
        <w:tc>
          <w:tcPr>
            <w:tcW w:w="770" w:type="pct"/>
            <w:vAlign w:val="center"/>
          </w:tcPr>
          <w:p w14:paraId="5884A90E">
            <w:pPr>
              <w:pStyle w:val="49"/>
              <w:rPr>
                <w:highlight w:val="none"/>
              </w:rPr>
            </w:pPr>
            <w:r>
              <w:rPr>
                <w:highlight w:val="none"/>
              </w:rPr>
              <w:t>1</w:t>
            </w:r>
          </w:p>
        </w:tc>
        <w:tc>
          <w:tcPr>
            <w:tcW w:w="1607" w:type="pct"/>
            <w:vAlign w:val="center"/>
          </w:tcPr>
          <w:p w14:paraId="151F4932">
            <w:pPr>
              <w:pStyle w:val="49"/>
              <w:jc w:val="left"/>
              <w:rPr>
                <w:highlight w:val="none"/>
              </w:rPr>
            </w:pPr>
            <w:r>
              <w:rPr>
                <w:rFonts w:hint="eastAsia"/>
                <w:highlight w:val="none"/>
              </w:rPr>
              <w:t>用尺量测纵横两个方向的中心线位置，取其较大值</w:t>
            </w:r>
          </w:p>
        </w:tc>
      </w:tr>
      <w:tr w14:paraId="0BA7DC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54" w:type="pct"/>
            <w:vMerge w:val="continue"/>
            <w:vAlign w:val="center"/>
          </w:tcPr>
          <w:p w14:paraId="63AE690F">
            <w:pPr>
              <w:pStyle w:val="49"/>
              <w:rPr>
                <w:highlight w:val="none"/>
              </w:rPr>
            </w:pPr>
          </w:p>
        </w:tc>
        <w:tc>
          <w:tcPr>
            <w:tcW w:w="909" w:type="pct"/>
            <w:vMerge w:val="continue"/>
            <w:vAlign w:val="center"/>
          </w:tcPr>
          <w:p w14:paraId="0B176337">
            <w:pPr>
              <w:pStyle w:val="49"/>
              <w:rPr>
                <w:highlight w:val="none"/>
              </w:rPr>
            </w:pPr>
          </w:p>
        </w:tc>
        <w:tc>
          <w:tcPr>
            <w:tcW w:w="1258" w:type="pct"/>
            <w:vAlign w:val="center"/>
          </w:tcPr>
          <w:p w14:paraId="2AF37210">
            <w:pPr>
              <w:pStyle w:val="49"/>
              <w:rPr>
                <w:highlight w:val="none"/>
              </w:rPr>
            </w:pPr>
            <w:r>
              <w:rPr>
                <w:rFonts w:hint="eastAsia"/>
                <w:highlight w:val="none"/>
              </w:rPr>
              <w:t>连接钢筋外露长度</w:t>
            </w:r>
          </w:p>
        </w:tc>
        <w:tc>
          <w:tcPr>
            <w:tcW w:w="770" w:type="pct"/>
            <w:vAlign w:val="center"/>
          </w:tcPr>
          <w:p w14:paraId="5EBA603D">
            <w:pPr>
              <w:pStyle w:val="49"/>
              <w:rPr>
                <w:highlight w:val="none"/>
              </w:rPr>
            </w:pPr>
            <w:r>
              <w:rPr>
                <w:highlight w:val="none"/>
              </w:rPr>
              <w:t>+5</w:t>
            </w:r>
            <w:r>
              <w:rPr>
                <w:rFonts w:hint="eastAsia"/>
                <w:highlight w:val="none"/>
              </w:rPr>
              <w:t>，</w:t>
            </w:r>
            <w:r>
              <w:rPr>
                <w:highlight w:val="none"/>
              </w:rPr>
              <w:t>0</w:t>
            </w:r>
          </w:p>
        </w:tc>
        <w:tc>
          <w:tcPr>
            <w:tcW w:w="1607" w:type="pct"/>
            <w:vAlign w:val="center"/>
          </w:tcPr>
          <w:p w14:paraId="74D59ECE">
            <w:pPr>
              <w:pStyle w:val="49"/>
              <w:jc w:val="left"/>
              <w:rPr>
                <w:highlight w:val="none"/>
              </w:rPr>
            </w:pPr>
            <w:r>
              <w:rPr>
                <w:rFonts w:hint="eastAsia"/>
                <w:highlight w:val="none"/>
              </w:rPr>
              <w:t>用尺量测</w:t>
            </w:r>
          </w:p>
        </w:tc>
      </w:tr>
    </w:tbl>
    <w:p w14:paraId="2A4DA9B9">
      <w:pPr>
        <w:rPr>
          <w:highlight w:val="none"/>
        </w:rPr>
      </w:pPr>
      <w:r>
        <w:rPr>
          <w:rFonts w:hint="eastAsia" w:eastAsia="黑体"/>
          <w:b/>
          <w:highlight w:val="none"/>
        </w:rPr>
        <w:t>8.</w:t>
      </w:r>
      <w:r>
        <w:rPr>
          <w:rFonts w:hint="eastAsia" w:eastAsia="黑体"/>
          <w:b/>
          <w:highlight w:val="none"/>
          <w:lang w:val="en-US" w:eastAsia="zh-CN"/>
        </w:rPr>
        <w:t>2</w:t>
      </w:r>
      <w:r>
        <w:rPr>
          <w:rFonts w:hint="eastAsia"/>
          <w:b/>
          <w:highlight w:val="none"/>
        </w:rPr>
        <w:t>.</w:t>
      </w:r>
      <w:r>
        <w:rPr>
          <w:rFonts w:hint="eastAsia" w:eastAsia="黑体"/>
          <w:b/>
          <w:highlight w:val="none"/>
        </w:rPr>
        <w:t>5</w:t>
      </w:r>
      <w:r>
        <w:rPr>
          <w:rFonts w:eastAsia="黑体"/>
          <w:b/>
          <w:highlight w:val="none"/>
        </w:rPr>
        <w:t xml:space="preserve">  </w:t>
      </w:r>
      <w:r>
        <w:rPr>
          <w:rFonts w:hint="eastAsia"/>
          <w:highlight w:val="none"/>
        </w:rPr>
        <w:t>预制模块中预埋门窗框时，应在模具上设置限位装置进行固定，并应逐件检验。门窗框安装偏差和检验方法应符合表8.</w:t>
      </w:r>
      <w:r>
        <w:rPr>
          <w:rFonts w:hint="eastAsia"/>
          <w:highlight w:val="none"/>
          <w:lang w:val="en-US" w:eastAsia="zh-CN"/>
        </w:rPr>
        <w:t>2</w:t>
      </w:r>
      <w:r>
        <w:rPr>
          <w:rFonts w:hint="eastAsia"/>
          <w:highlight w:val="none"/>
        </w:rPr>
        <w:t>.</w:t>
      </w:r>
      <w:r>
        <w:rPr>
          <w:highlight w:val="none"/>
        </w:rPr>
        <w:t>5</w:t>
      </w:r>
      <w:r>
        <w:rPr>
          <w:rFonts w:hint="eastAsia"/>
          <w:highlight w:val="none"/>
        </w:rPr>
        <w:t>的规定。</w:t>
      </w:r>
    </w:p>
    <w:p w14:paraId="3FDB66F6">
      <w:pPr>
        <w:pStyle w:val="50"/>
        <w:rPr>
          <w:rFonts w:hint="eastAsia"/>
          <w:highlight w:val="none"/>
        </w:rPr>
      </w:pPr>
    </w:p>
    <w:p w14:paraId="4F0E19D9">
      <w:pPr>
        <w:pStyle w:val="50"/>
        <w:rPr>
          <w:rFonts w:hint="eastAsia"/>
          <w:highlight w:val="none"/>
        </w:rPr>
      </w:pPr>
    </w:p>
    <w:p w14:paraId="38573F1A">
      <w:pPr>
        <w:pStyle w:val="50"/>
        <w:rPr>
          <w:highlight w:val="none"/>
        </w:rPr>
      </w:pPr>
      <w:r>
        <w:rPr>
          <w:rFonts w:hint="eastAsia"/>
          <w:highlight w:val="none"/>
        </w:rPr>
        <w:t>表</w:t>
      </w:r>
      <w:r>
        <w:rPr>
          <w:rFonts w:hint="eastAsia"/>
          <w:b/>
          <w:highlight w:val="none"/>
        </w:rPr>
        <w:t>8.</w:t>
      </w:r>
      <w:r>
        <w:rPr>
          <w:rFonts w:hint="eastAsia"/>
          <w:b/>
          <w:highlight w:val="none"/>
          <w:lang w:val="en-US" w:eastAsia="zh-CN"/>
        </w:rPr>
        <w:t>2</w:t>
      </w:r>
      <w:r>
        <w:rPr>
          <w:rFonts w:hint="eastAsia"/>
          <w:b/>
          <w:highlight w:val="none"/>
        </w:rPr>
        <w:t>.5</w:t>
      </w:r>
      <w:r>
        <w:rPr>
          <w:b/>
          <w:highlight w:val="none"/>
        </w:rPr>
        <w:t xml:space="preserve"> </w:t>
      </w:r>
      <w:r>
        <w:rPr>
          <w:highlight w:val="none"/>
        </w:rPr>
        <w:t xml:space="preserve"> </w:t>
      </w:r>
      <w:r>
        <w:rPr>
          <w:rFonts w:hint="eastAsia"/>
          <w:highlight w:val="none"/>
        </w:rPr>
        <w:t>门窗框安装允许偏差和检验方法</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1249"/>
        <w:gridCol w:w="1497"/>
        <w:gridCol w:w="2121"/>
      </w:tblGrid>
      <w:tr w14:paraId="5F897F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blHeader/>
          <w:jc w:val="center"/>
        </w:trPr>
        <w:tc>
          <w:tcPr>
            <w:tcW w:w="2050" w:type="pct"/>
            <w:gridSpan w:val="2"/>
            <w:vAlign w:val="center"/>
          </w:tcPr>
          <w:p w14:paraId="2DA9ADE9">
            <w:pPr>
              <w:pStyle w:val="49"/>
              <w:rPr>
                <w:highlight w:val="none"/>
              </w:rPr>
            </w:pPr>
            <w:r>
              <w:rPr>
                <w:rFonts w:hint="eastAsia"/>
                <w:highlight w:val="none"/>
              </w:rPr>
              <w:t>项目</w:t>
            </w:r>
          </w:p>
        </w:tc>
        <w:tc>
          <w:tcPr>
            <w:tcW w:w="1220" w:type="pct"/>
            <w:vAlign w:val="center"/>
          </w:tcPr>
          <w:p w14:paraId="4DD687D7">
            <w:pPr>
              <w:pStyle w:val="49"/>
              <w:rPr>
                <w:highlight w:val="none"/>
              </w:rPr>
            </w:pPr>
            <w:r>
              <w:rPr>
                <w:rFonts w:hint="eastAsia"/>
                <w:highlight w:val="none"/>
              </w:rPr>
              <w:t>允许偏差</w:t>
            </w:r>
          </w:p>
          <w:p w14:paraId="21A7BCD3">
            <w:pPr>
              <w:pStyle w:val="49"/>
              <w:rPr>
                <w:highlight w:val="none"/>
              </w:rPr>
            </w:pPr>
            <w:r>
              <w:rPr>
                <w:highlight w:val="none"/>
              </w:rPr>
              <w:t>(mm)</w:t>
            </w:r>
          </w:p>
        </w:tc>
        <w:tc>
          <w:tcPr>
            <w:tcW w:w="1729" w:type="pct"/>
            <w:vAlign w:val="center"/>
          </w:tcPr>
          <w:p w14:paraId="1C41D8B0">
            <w:pPr>
              <w:pStyle w:val="49"/>
              <w:rPr>
                <w:highlight w:val="none"/>
              </w:rPr>
            </w:pPr>
            <w:r>
              <w:rPr>
                <w:rFonts w:hint="eastAsia"/>
                <w:highlight w:val="none"/>
              </w:rPr>
              <w:t>检验方法</w:t>
            </w:r>
          </w:p>
        </w:tc>
      </w:tr>
      <w:tr w14:paraId="20ADB2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1032" w:type="pct"/>
            <w:vMerge w:val="restart"/>
            <w:vAlign w:val="center"/>
          </w:tcPr>
          <w:p w14:paraId="68E7802C">
            <w:pPr>
              <w:pStyle w:val="49"/>
              <w:rPr>
                <w:highlight w:val="none"/>
              </w:rPr>
            </w:pPr>
            <w:r>
              <w:rPr>
                <w:rFonts w:hint="eastAsia"/>
                <w:highlight w:val="none"/>
              </w:rPr>
              <w:t>锚固脚片</w:t>
            </w:r>
          </w:p>
        </w:tc>
        <w:tc>
          <w:tcPr>
            <w:tcW w:w="1018" w:type="pct"/>
            <w:vAlign w:val="center"/>
          </w:tcPr>
          <w:p w14:paraId="0DA817C4">
            <w:pPr>
              <w:pStyle w:val="49"/>
              <w:rPr>
                <w:highlight w:val="none"/>
              </w:rPr>
            </w:pPr>
            <w:r>
              <w:rPr>
                <w:rFonts w:hint="eastAsia"/>
                <w:highlight w:val="none"/>
              </w:rPr>
              <w:t>中心线位置</w:t>
            </w:r>
          </w:p>
        </w:tc>
        <w:tc>
          <w:tcPr>
            <w:tcW w:w="1220" w:type="pct"/>
            <w:vAlign w:val="center"/>
          </w:tcPr>
          <w:p w14:paraId="71EA56B3">
            <w:pPr>
              <w:pStyle w:val="49"/>
              <w:rPr>
                <w:highlight w:val="none"/>
              </w:rPr>
            </w:pPr>
            <w:r>
              <w:rPr>
                <w:highlight w:val="none"/>
              </w:rPr>
              <w:t>5</w:t>
            </w:r>
          </w:p>
        </w:tc>
        <w:tc>
          <w:tcPr>
            <w:tcW w:w="1729" w:type="pct"/>
            <w:vAlign w:val="center"/>
          </w:tcPr>
          <w:p w14:paraId="1A9CDA9D">
            <w:pPr>
              <w:pStyle w:val="49"/>
              <w:rPr>
                <w:highlight w:val="none"/>
              </w:rPr>
            </w:pPr>
            <w:r>
              <w:rPr>
                <w:rFonts w:hint="eastAsia"/>
                <w:highlight w:val="none"/>
              </w:rPr>
              <w:t>钢尺检查</w:t>
            </w:r>
          </w:p>
        </w:tc>
      </w:tr>
      <w:tr w14:paraId="4B7E2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032" w:type="pct"/>
            <w:vMerge w:val="continue"/>
            <w:vAlign w:val="center"/>
          </w:tcPr>
          <w:p w14:paraId="2C8CE4E7">
            <w:pPr>
              <w:pStyle w:val="49"/>
              <w:rPr>
                <w:highlight w:val="none"/>
              </w:rPr>
            </w:pPr>
          </w:p>
        </w:tc>
        <w:tc>
          <w:tcPr>
            <w:tcW w:w="1018" w:type="pct"/>
            <w:vAlign w:val="center"/>
          </w:tcPr>
          <w:p w14:paraId="7D9D35F1">
            <w:pPr>
              <w:pStyle w:val="49"/>
              <w:rPr>
                <w:highlight w:val="none"/>
              </w:rPr>
            </w:pPr>
            <w:r>
              <w:rPr>
                <w:rFonts w:hint="eastAsia"/>
                <w:highlight w:val="none"/>
              </w:rPr>
              <w:t>外露长度</w:t>
            </w:r>
          </w:p>
        </w:tc>
        <w:tc>
          <w:tcPr>
            <w:tcW w:w="1220" w:type="pct"/>
            <w:vAlign w:val="center"/>
          </w:tcPr>
          <w:p w14:paraId="4BB0153C">
            <w:pPr>
              <w:pStyle w:val="49"/>
              <w:rPr>
                <w:highlight w:val="none"/>
              </w:rPr>
            </w:pPr>
            <w:r>
              <w:rPr>
                <w:highlight w:val="none"/>
              </w:rPr>
              <w:t>+5</w:t>
            </w:r>
            <w:r>
              <w:rPr>
                <w:rFonts w:hint="eastAsia"/>
                <w:highlight w:val="none"/>
              </w:rPr>
              <w:t>，</w:t>
            </w:r>
            <w:r>
              <w:rPr>
                <w:highlight w:val="none"/>
              </w:rPr>
              <w:t>0</w:t>
            </w:r>
          </w:p>
        </w:tc>
        <w:tc>
          <w:tcPr>
            <w:tcW w:w="1729" w:type="pct"/>
            <w:vAlign w:val="center"/>
          </w:tcPr>
          <w:p w14:paraId="33EE9E8F">
            <w:pPr>
              <w:pStyle w:val="49"/>
              <w:rPr>
                <w:highlight w:val="none"/>
              </w:rPr>
            </w:pPr>
            <w:r>
              <w:rPr>
                <w:rFonts w:hint="eastAsia"/>
                <w:highlight w:val="none"/>
              </w:rPr>
              <w:t>钢尺检查</w:t>
            </w:r>
          </w:p>
        </w:tc>
      </w:tr>
      <w:tr w14:paraId="1B537F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050" w:type="pct"/>
            <w:gridSpan w:val="2"/>
            <w:vAlign w:val="center"/>
          </w:tcPr>
          <w:p w14:paraId="48BEE57D">
            <w:pPr>
              <w:pStyle w:val="49"/>
              <w:rPr>
                <w:highlight w:val="none"/>
              </w:rPr>
            </w:pPr>
            <w:r>
              <w:rPr>
                <w:rFonts w:hint="eastAsia"/>
                <w:highlight w:val="none"/>
              </w:rPr>
              <w:t>门窗框位置</w:t>
            </w:r>
          </w:p>
        </w:tc>
        <w:tc>
          <w:tcPr>
            <w:tcW w:w="1220" w:type="pct"/>
            <w:vAlign w:val="center"/>
          </w:tcPr>
          <w:p w14:paraId="0A4F49BD">
            <w:pPr>
              <w:pStyle w:val="49"/>
              <w:rPr>
                <w:highlight w:val="none"/>
              </w:rPr>
            </w:pPr>
            <w:r>
              <w:rPr>
                <w:highlight w:val="none"/>
              </w:rPr>
              <w:t>2</w:t>
            </w:r>
          </w:p>
        </w:tc>
        <w:tc>
          <w:tcPr>
            <w:tcW w:w="1729" w:type="pct"/>
            <w:vAlign w:val="center"/>
          </w:tcPr>
          <w:p w14:paraId="601BC434">
            <w:pPr>
              <w:pStyle w:val="49"/>
              <w:rPr>
                <w:highlight w:val="none"/>
              </w:rPr>
            </w:pPr>
            <w:r>
              <w:rPr>
                <w:rFonts w:hint="eastAsia"/>
                <w:highlight w:val="none"/>
              </w:rPr>
              <w:t>钢尺检查</w:t>
            </w:r>
          </w:p>
        </w:tc>
      </w:tr>
      <w:tr w14:paraId="5FCC53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050" w:type="pct"/>
            <w:gridSpan w:val="2"/>
            <w:vAlign w:val="center"/>
          </w:tcPr>
          <w:p w14:paraId="419D8D79">
            <w:pPr>
              <w:pStyle w:val="49"/>
              <w:rPr>
                <w:highlight w:val="none"/>
              </w:rPr>
            </w:pPr>
            <w:r>
              <w:rPr>
                <w:rFonts w:hint="eastAsia"/>
                <w:highlight w:val="none"/>
              </w:rPr>
              <w:t>门窗框高、宽</w:t>
            </w:r>
          </w:p>
        </w:tc>
        <w:tc>
          <w:tcPr>
            <w:tcW w:w="1220" w:type="pct"/>
            <w:vAlign w:val="center"/>
          </w:tcPr>
          <w:p w14:paraId="76421780">
            <w:pPr>
              <w:pStyle w:val="49"/>
              <w:rPr>
                <w:highlight w:val="none"/>
              </w:rPr>
            </w:pPr>
            <w:r>
              <w:rPr>
                <w:highlight w:val="none"/>
              </w:rPr>
              <w:t>±2</w:t>
            </w:r>
          </w:p>
        </w:tc>
        <w:tc>
          <w:tcPr>
            <w:tcW w:w="1729" w:type="pct"/>
            <w:vAlign w:val="center"/>
          </w:tcPr>
          <w:p w14:paraId="3543C44C">
            <w:pPr>
              <w:pStyle w:val="49"/>
              <w:rPr>
                <w:highlight w:val="none"/>
              </w:rPr>
            </w:pPr>
            <w:r>
              <w:rPr>
                <w:rFonts w:hint="eastAsia"/>
                <w:highlight w:val="none"/>
              </w:rPr>
              <w:t>钢尺检查</w:t>
            </w:r>
          </w:p>
        </w:tc>
      </w:tr>
      <w:tr w14:paraId="267D82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050" w:type="pct"/>
            <w:gridSpan w:val="2"/>
            <w:vAlign w:val="center"/>
          </w:tcPr>
          <w:p w14:paraId="1DB435ED">
            <w:pPr>
              <w:pStyle w:val="49"/>
              <w:rPr>
                <w:highlight w:val="none"/>
              </w:rPr>
            </w:pPr>
            <w:r>
              <w:rPr>
                <w:rFonts w:hint="eastAsia"/>
                <w:highlight w:val="none"/>
              </w:rPr>
              <w:t>门窗框对角线</w:t>
            </w:r>
          </w:p>
        </w:tc>
        <w:tc>
          <w:tcPr>
            <w:tcW w:w="1220" w:type="pct"/>
            <w:vAlign w:val="center"/>
          </w:tcPr>
          <w:p w14:paraId="4E4CD0BE">
            <w:pPr>
              <w:pStyle w:val="49"/>
              <w:rPr>
                <w:highlight w:val="none"/>
              </w:rPr>
            </w:pPr>
            <w:r>
              <w:rPr>
                <w:highlight w:val="none"/>
              </w:rPr>
              <w:t>±2</w:t>
            </w:r>
          </w:p>
        </w:tc>
        <w:tc>
          <w:tcPr>
            <w:tcW w:w="1729" w:type="pct"/>
            <w:vAlign w:val="center"/>
          </w:tcPr>
          <w:p w14:paraId="23EAAC64">
            <w:pPr>
              <w:pStyle w:val="49"/>
              <w:rPr>
                <w:highlight w:val="none"/>
              </w:rPr>
            </w:pPr>
            <w:r>
              <w:rPr>
                <w:rFonts w:hint="eastAsia"/>
                <w:highlight w:val="none"/>
              </w:rPr>
              <w:t>钢尺检查</w:t>
            </w:r>
          </w:p>
        </w:tc>
      </w:tr>
      <w:tr w14:paraId="3C3C6A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050" w:type="pct"/>
            <w:gridSpan w:val="2"/>
            <w:vAlign w:val="center"/>
          </w:tcPr>
          <w:p w14:paraId="1D480A21">
            <w:pPr>
              <w:pStyle w:val="49"/>
              <w:rPr>
                <w:highlight w:val="none"/>
              </w:rPr>
            </w:pPr>
            <w:r>
              <w:rPr>
                <w:rFonts w:hint="eastAsia"/>
                <w:highlight w:val="none"/>
              </w:rPr>
              <w:t>门窗框的平整度</w:t>
            </w:r>
          </w:p>
        </w:tc>
        <w:tc>
          <w:tcPr>
            <w:tcW w:w="1220" w:type="pct"/>
            <w:vAlign w:val="center"/>
          </w:tcPr>
          <w:p w14:paraId="3E42F20C">
            <w:pPr>
              <w:pStyle w:val="49"/>
              <w:rPr>
                <w:highlight w:val="none"/>
              </w:rPr>
            </w:pPr>
            <w:r>
              <w:rPr>
                <w:highlight w:val="none"/>
              </w:rPr>
              <w:t>2</w:t>
            </w:r>
          </w:p>
        </w:tc>
        <w:tc>
          <w:tcPr>
            <w:tcW w:w="1729" w:type="pct"/>
            <w:vAlign w:val="center"/>
          </w:tcPr>
          <w:p w14:paraId="0E58419C">
            <w:pPr>
              <w:pStyle w:val="49"/>
              <w:rPr>
                <w:highlight w:val="none"/>
              </w:rPr>
            </w:pPr>
            <w:r>
              <w:rPr>
                <w:rFonts w:hint="eastAsia"/>
                <w:highlight w:val="none"/>
              </w:rPr>
              <w:t>钢尺检查</w:t>
            </w:r>
          </w:p>
        </w:tc>
      </w:tr>
    </w:tbl>
    <w:p w14:paraId="0D76FA5D">
      <w:pPr>
        <w:pStyle w:val="3"/>
        <w:spacing w:before="166" w:beforeLines="50" w:after="166" w:afterLines="50" w:line="360" w:lineRule="auto"/>
        <w:jc w:val="center"/>
        <w:rPr>
          <w:rFonts w:hint="default" w:ascii="Times New Roman" w:hAnsi="Times New Roman" w:eastAsia="黑体" w:cs="Times New Roman"/>
          <w:sz w:val="24"/>
          <w:szCs w:val="24"/>
          <w:highlight w:val="none"/>
          <w:lang w:val="en-US" w:eastAsia="zh-CN"/>
        </w:rPr>
      </w:pPr>
      <w:bookmarkStart w:id="914" w:name="_Toc16610"/>
      <w:bookmarkStart w:id="915" w:name="_Toc18398"/>
      <w:bookmarkStart w:id="916" w:name="_Toc19102"/>
      <w:bookmarkStart w:id="917" w:name="_Toc424"/>
      <w:bookmarkStart w:id="918" w:name="_Toc10325"/>
      <w:bookmarkStart w:id="919" w:name="_Toc7450"/>
      <w:bookmarkStart w:id="920" w:name="_Toc21506"/>
      <w:bookmarkStart w:id="921" w:name="_Toc14362"/>
      <w:bookmarkStart w:id="922" w:name="_Toc20016"/>
      <w:bookmarkStart w:id="923" w:name="_Toc10314"/>
      <w:bookmarkStart w:id="924" w:name="_Toc21154"/>
      <w:bookmarkStart w:id="925" w:name="_Toc7926"/>
      <w:r>
        <w:rPr>
          <w:rFonts w:hint="eastAsia" w:ascii="Times New Roman" w:hAnsi="Times New Roman" w:eastAsia="黑体" w:cs="Times New Roman"/>
          <w:b/>
          <w:sz w:val="24"/>
          <w:szCs w:val="24"/>
          <w:highlight w:val="none"/>
        </w:rPr>
        <w:t>8.</w:t>
      </w:r>
      <w:r>
        <w:rPr>
          <w:rFonts w:hint="eastAsia" w:ascii="Times New Roman" w:hAnsi="Times New Roman" w:eastAsia="黑体" w:cs="Times New Roman"/>
          <w:b/>
          <w:sz w:val="24"/>
          <w:szCs w:val="24"/>
          <w:highlight w:val="none"/>
          <w:lang w:val="en-US" w:eastAsia="zh-CN"/>
        </w:rPr>
        <w:t>3</w:t>
      </w:r>
      <w:r>
        <w:rPr>
          <w:rFonts w:hint="eastAsia" w:ascii="Times New Roman" w:hAnsi="Times New Roman" w:eastAsia="黑体" w:cs="Times New Roman"/>
          <w:b/>
          <w:sz w:val="24"/>
          <w:szCs w:val="24"/>
          <w:highlight w:val="none"/>
        </w:rPr>
        <w:t xml:space="preserve"> </w:t>
      </w:r>
      <w:r>
        <w:rPr>
          <w:rFonts w:hint="eastAsia" w:ascii="Times New Roman" w:hAnsi="Times New Roman" w:eastAsia="黑体" w:cs="Times New Roman"/>
          <w:sz w:val="24"/>
          <w:szCs w:val="24"/>
          <w:highlight w:val="none"/>
        </w:rPr>
        <w:t xml:space="preserve"> 钢筋</w:t>
      </w:r>
      <w:bookmarkEnd w:id="914"/>
      <w:bookmarkEnd w:id="915"/>
      <w:bookmarkEnd w:id="916"/>
      <w:bookmarkEnd w:id="917"/>
      <w:bookmarkEnd w:id="918"/>
      <w:bookmarkEnd w:id="919"/>
      <w:bookmarkEnd w:id="920"/>
      <w:r>
        <w:rPr>
          <w:rFonts w:hint="eastAsia" w:ascii="Times New Roman" w:hAnsi="Times New Roman" w:eastAsia="黑体" w:cs="Times New Roman"/>
          <w:sz w:val="24"/>
          <w:szCs w:val="24"/>
          <w:highlight w:val="none"/>
          <w:lang w:val="en-US" w:eastAsia="zh-CN"/>
        </w:rPr>
        <w:t>加工及安装</w:t>
      </w:r>
      <w:bookmarkEnd w:id="921"/>
      <w:bookmarkEnd w:id="922"/>
      <w:bookmarkEnd w:id="923"/>
      <w:bookmarkEnd w:id="924"/>
      <w:bookmarkEnd w:id="925"/>
    </w:p>
    <w:p w14:paraId="2D272AA0">
      <w:pPr>
        <w:rPr>
          <w:highlight w:val="none"/>
        </w:rPr>
      </w:pPr>
      <w:r>
        <w:rPr>
          <w:rFonts w:hint="eastAsia"/>
          <w:b/>
          <w:highlight w:val="none"/>
        </w:rPr>
        <w:t>8.</w:t>
      </w:r>
      <w:r>
        <w:rPr>
          <w:rFonts w:hint="eastAsia"/>
          <w:b/>
          <w:highlight w:val="none"/>
          <w:lang w:val="en-US" w:eastAsia="zh-CN"/>
        </w:rPr>
        <w:t>3</w:t>
      </w:r>
      <w:r>
        <w:rPr>
          <w:rFonts w:hint="eastAsia"/>
          <w:b/>
          <w:highlight w:val="none"/>
        </w:rPr>
        <w:t>.</w:t>
      </w:r>
      <w:r>
        <w:rPr>
          <w:b/>
          <w:highlight w:val="none"/>
        </w:rPr>
        <w:t xml:space="preserve">1  </w:t>
      </w:r>
      <w:r>
        <w:rPr>
          <w:rFonts w:hint="eastAsia"/>
          <w:highlight w:val="none"/>
        </w:rPr>
        <w:t>钢筋应符合现行国家标准《混凝土结构工程施工规范》</w:t>
      </w:r>
      <w:r>
        <w:rPr>
          <w:highlight w:val="none"/>
        </w:rPr>
        <w:t>GB 50666</w:t>
      </w:r>
      <w:r>
        <w:rPr>
          <w:rFonts w:hint="eastAsia"/>
          <w:highlight w:val="none"/>
        </w:rPr>
        <w:t>的有关规定，并宜采用自动化机械设备加工。</w:t>
      </w:r>
    </w:p>
    <w:p w14:paraId="5FFEE37A">
      <w:pPr>
        <w:rPr>
          <w:highlight w:val="none"/>
        </w:rPr>
      </w:pPr>
      <w:r>
        <w:rPr>
          <w:rFonts w:hint="eastAsia"/>
          <w:b/>
          <w:highlight w:val="none"/>
        </w:rPr>
        <w:t>8.</w:t>
      </w:r>
      <w:r>
        <w:rPr>
          <w:rFonts w:hint="eastAsia"/>
          <w:b/>
          <w:highlight w:val="none"/>
          <w:lang w:val="en-US" w:eastAsia="zh-CN"/>
        </w:rPr>
        <w:t>3</w:t>
      </w:r>
      <w:r>
        <w:rPr>
          <w:rFonts w:hint="eastAsia"/>
          <w:b/>
          <w:highlight w:val="none"/>
        </w:rPr>
        <w:t>.</w:t>
      </w:r>
      <w:r>
        <w:rPr>
          <w:b/>
          <w:highlight w:val="none"/>
        </w:rPr>
        <w:t xml:space="preserve">2  </w:t>
      </w:r>
      <w:r>
        <w:rPr>
          <w:rFonts w:hint="eastAsia"/>
          <w:highlight w:val="none"/>
        </w:rPr>
        <w:t>钢筋连接除应符合现行国家标准《混凝土结构工程施工规范》</w:t>
      </w:r>
      <w:r>
        <w:rPr>
          <w:highlight w:val="none"/>
        </w:rPr>
        <w:t>GB 50666</w:t>
      </w:r>
      <w:r>
        <w:rPr>
          <w:rFonts w:hint="eastAsia"/>
          <w:highlight w:val="none"/>
        </w:rPr>
        <w:t>的有关规定外，并应符合下列规定：</w:t>
      </w:r>
    </w:p>
    <w:p w14:paraId="1DBFFA1B">
      <w:pPr>
        <w:ind w:firstLine="422" w:firstLineChars="200"/>
        <w:rPr>
          <w:highlight w:val="none"/>
        </w:rPr>
      </w:pPr>
      <w:r>
        <w:rPr>
          <w:b/>
          <w:highlight w:val="none"/>
        </w:rPr>
        <w:t xml:space="preserve">1  </w:t>
      </w:r>
      <w:r>
        <w:rPr>
          <w:rFonts w:hint="eastAsia"/>
          <w:highlight w:val="none"/>
        </w:rPr>
        <w:t>钢筋接头的方式、位置、同一截面受力钢筋的接头百分率、钢筋的搭接长度及锚固长度等应符合设计要求和国家现行有关标准的规定；</w:t>
      </w:r>
    </w:p>
    <w:p w14:paraId="2A8B117F">
      <w:pPr>
        <w:ind w:firstLine="422" w:firstLineChars="200"/>
        <w:rPr>
          <w:highlight w:val="none"/>
        </w:rPr>
      </w:pPr>
      <w:r>
        <w:rPr>
          <w:b/>
          <w:highlight w:val="none"/>
        </w:rPr>
        <w:t xml:space="preserve">2  </w:t>
      </w:r>
      <w:r>
        <w:rPr>
          <w:rFonts w:hint="eastAsia"/>
          <w:highlight w:val="none"/>
        </w:rPr>
        <w:t>钢筋焊接接头和机械连接接头均应进行工艺检验，合格后方可进行模块单元生产；</w:t>
      </w:r>
    </w:p>
    <w:p w14:paraId="51CAB7EA">
      <w:pPr>
        <w:ind w:firstLine="422" w:firstLineChars="200"/>
        <w:rPr>
          <w:highlight w:val="none"/>
        </w:rPr>
      </w:pPr>
      <w:bookmarkStart w:id="926" w:name="_Toc31937"/>
      <w:bookmarkStart w:id="927" w:name="_Toc23684"/>
      <w:r>
        <w:rPr>
          <w:b/>
          <w:highlight w:val="none"/>
        </w:rPr>
        <w:t xml:space="preserve">3  </w:t>
      </w:r>
      <w:r>
        <w:rPr>
          <w:rFonts w:hint="eastAsia"/>
          <w:highlight w:val="none"/>
        </w:rPr>
        <w:t>钢筋焊接接头和机械连接接头应全数检查外观质量；</w:t>
      </w:r>
      <w:bookmarkEnd w:id="926"/>
      <w:bookmarkEnd w:id="927"/>
    </w:p>
    <w:p w14:paraId="69A69E5A">
      <w:pPr>
        <w:ind w:firstLine="422" w:firstLineChars="200"/>
        <w:rPr>
          <w:highlight w:val="none"/>
        </w:rPr>
      </w:pPr>
      <w:r>
        <w:rPr>
          <w:b/>
          <w:highlight w:val="none"/>
        </w:rPr>
        <w:t xml:space="preserve">4  </w:t>
      </w:r>
      <w:r>
        <w:rPr>
          <w:rFonts w:hint="eastAsia"/>
          <w:highlight w:val="none"/>
        </w:rPr>
        <w:t>焊接接头、钢筋机械连接接头力学性能应符合现行行业标准《钢筋焊接及验收规程》</w:t>
      </w:r>
      <w:r>
        <w:rPr>
          <w:highlight w:val="none"/>
        </w:rPr>
        <w:t>JGJ 18</w:t>
      </w:r>
      <w:r>
        <w:rPr>
          <w:rFonts w:hint="eastAsia"/>
          <w:highlight w:val="none"/>
        </w:rPr>
        <w:t>和《钢筋机械连接技术规程》</w:t>
      </w:r>
      <w:r>
        <w:rPr>
          <w:highlight w:val="none"/>
        </w:rPr>
        <w:t>JGJ 107</w:t>
      </w:r>
      <w:r>
        <w:rPr>
          <w:rFonts w:hint="eastAsia"/>
          <w:highlight w:val="none"/>
        </w:rPr>
        <w:t>的有关规定。</w:t>
      </w:r>
    </w:p>
    <w:p w14:paraId="6C1533FD">
      <w:pPr>
        <w:rPr>
          <w:highlight w:val="none"/>
        </w:rPr>
      </w:pPr>
      <w:r>
        <w:rPr>
          <w:rFonts w:hint="eastAsia"/>
          <w:b/>
          <w:highlight w:val="none"/>
        </w:rPr>
        <w:t>8.</w:t>
      </w:r>
      <w:r>
        <w:rPr>
          <w:rFonts w:hint="eastAsia"/>
          <w:b/>
          <w:highlight w:val="none"/>
          <w:lang w:val="en-US" w:eastAsia="zh-CN"/>
        </w:rPr>
        <w:t>3</w:t>
      </w:r>
      <w:r>
        <w:rPr>
          <w:rFonts w:hint="eastAsia"/>
          <w:b/>
          <w:highlight w:val="none"/>
        </w:rPr>
        <w:t>.</w:t>
      </w:r>
      <w:r>
        <w:rPr>
          <w:b/>
          <w:highlight w:val="none"/>
        </w:rPr>
        <w:t xml:space="preserve">3  </w:t>
      </w:r>
      <w:r>
        <w:rPr>
          <w:rFonts w:hint="eastAsia"/>
          <w:highlight w:val="none"/>
        </w:rPr>
        <w:t>钢筋网片、钢筋骨架和钢筋桁架等半成品应检查合格后进行安装，并应符合下列规定：</w:t>
      </w:r>
    </w:p>
    <w:p w14:paraId="3370E061">
      <w:pPr>
        <w:ind w:firstLine="422" w:firstLineChars="200"/>
        <w:rPr>
          <w:szCs w:val="24"/>
          <w:highlight w:val="none"/>
        </w:rPr>
      </w:pPr>
      <w:r>
        <w:rPr>
          <w:b/>
          <w:szCs w:val="24"/>
          <w:highlight w:val="none"/>
        </w:rPr>
        <w:t xml:space="preserve">1  </w:t>
      </w:r>
      <w:r>
        <w:rPr>
          <w:rFonts w:hint="eastAsia"/>
          <w:szCs w:val="24"/>
          <w:highlight w:val="none"/>
        </w:rPr>
        <w:t>钢筋表面不得有油污，不应严重锈蚀；</w:t>
      </w:r>
    </w:p>
    <w:p w14:paraId="07BEFFAA">
      <w:pPr>
        <w:ind w:firstLine="422" w:firstLineChars="200"/>
        <w:rPr>
          <w:szCs w:val="24"/>
          <w:highlight w:val="none"/>
        </w:rPr>
      </w:pPr>
      <w:r>
        <w:rPr>
          <w:b/>
          <w:szCs w:val="24"/>
          <w:highlight w:val="none"/>
        </w:rPr>
        <w:t xml:space="preserve">2  </w:t>
      </w:r>
      <w:r>
        <w:rPr>
          <w:rFonts w:hint="eastAsia"/>
          <w:szCs w:val="24"/>
          <w:highlight w:val="none"/>
        </w:rPr>
        <w:t>钢筋网片和钢筋骨架宜采用专用吊具进行吊运；</w:t>
      </w:r>
    </w:p>
    <w:p w14:paraId="18919B10">
      <w:pPr>
        <w:ind w:firstLine="422" w:firstLineChars="200"/>
        <w:rPr>
          <w:szCs w:val="24"/>
          <w:highlight w:val="none"/>
        </w:rPr>
      </w:pPr>
      <w:r>
        <w:rPr>
          <w:b/>
          <w:szCs w:val="24"/>
          <w:highlight w:val="none"/>
        </w:rPr>
        <w:t xml:space="preserve">3  </w:t>
      </w:r>
      <w:r>
        <w:rPr>
          <w:rFonts w:hint="eastAsia"/>
          <w:szCs w:val="24"/>
          <w:highlight w:val="none"/>
        </w:rPr>
        <w:t>保护层垫块间距应满足钢筋限位及变形控制要求，钢筋绑扎丝甩扣应弯向构件内侧。垫块宜与钢筋骨架或网片绑扎牢固，按梅花状布置。</w:t>
      </w:r>
    </w:p>
    <w:p w14:paraId="2C628959">
      <w:pPr>
        <w:rPr>
          <w:highlight w:val="none"/>
        </w:rPr>
      </w:pPr>
      <w:r>
        <w:rPr>
          <w:rFonts w:hint="eastAsia"/>
          <w:b/>
          <w:highlight w:val="none"/>
        </w:rPr>
        <w:t>8.</w:t>
      </w:r>
      <w:r>
        <w:rPr>
          <w:rFonts w:hint="eastAsia"/>
          <w:b/>
          <w:highlight w:val="none"/>
          <w:lang w:val="en-US" w:eastAsia="zh-CN"/>
        </w:rPr>
        <w:t>3</w:t>
      </w:r>
      <w:r>
        <w:rPr>
          <w:rFonts w:hint="eastAsia"/>
          <w:b/>
          <w:highlight w:val="none"/>
        </w:rPr>
        <w:t>.</w:t>
      </w:r>
      <w:r>
        <w:rPr>
          <w:b/>
          <w:highlight w:val="none"/>
        </w:rPr>
        <w:t xml:space="preserve">4  </w:t>
      </w:r>
      <w:r>
        <w:rPr>
          <w:rFonts w:hint="eastAsia"/>
          <w:highlight w:val="none"/>
        </w:rPr>
        <w:t>当采用钢筋焊接网片时，钢筋焊接网片应符合现行国家标准《钢筋混凝土用钢第3部分：钢筋焊接网》GB/T 1497.3的有关规定。</w:t>
      </w:r>
    </w:p>
    <w:p w14:paraId="0F789276">
      <w:pPr>
        <w:rPr>
          <w:highlight w:val="none"/>
        </w:rPr>
      </w:pPr>
      <w:r>
        <w:rPr>
          <w:rFonts w:hint="eastAsia"/>
          <w:b/>
          <w:highlight w:val="none"/>
        </w:rPr>
        <w:t>8.</w:t>
      </w:r>
      <w:r>
        <w:rPr>
          <w:rFonts w:hint="eastAsia"/>
          <w:b/>
          <w:highlight w:val="none"/>
          <w:lang w:val="en-US" w:eastAsia="zh-CN"/>
        </w:rPr>
        <w:t>3</w:t>
      </w:r>
      <w:r>
        <w:rPr>
          <w:rFonts w:hint="eastAsia"/>
          <w:b/>
          <w:highlight w:val="none"/>
        </w:rPr>
        <w:t>.5</w:t>
      </w:r>
      <w:r>
        <w:rPr>
          <w:b/>
          <w:highlight w:val="none"/>
        </w:rPr>
        <w:t xml:space="preserve">  </w:t>
      </w:r>
      <w:r>
        <w:rPr>
          <w:rFonts w:hint="eastAsia"/>
          <w:highlight w:val="none"/>
        </w:rPr>
        <w:t>钢筋加工安装允许偏差应符合表8.</w:t>
      </w:r>
      <w:r>
        <w:rPr>
          <w:rFonts w:hint="eastAsia"/>
          <w:highlight w:val="none"/>
          <w:lang w:val="en-US" w:eastAsia="zh-CN"/>
        </w:rPr>
        <w:t>3</w:t>
      </w:r>
      <w:r>
        <w:rPr>
          <w:rFonts w:hint="eastAsia"/>
          <w:highlight w:val="none"/>
        </w:rPr>
        <w:t>.5的规定。</w:t>
      </w:r>
    </w:p>
    <w:p w14:paraId="22EBD9A0">
      <w:pPr>
        <w:pStyle w:val="50"/>
        <w:rPr>
          <w:highlight w:val="none"/>
        </w:rPr>
      </w:pPr>
      <w:r>
        <w:rPr>
          <w:rFonts w:hint="eastAsia"/>
          <w:highlight w:val="none"/>
        </w:rPr>
        <w:t>表</w:t>
      </w:r>
      <w:r>
        <w:rPr>
          <w:rFonts w:hint="eastAsia"/>
          <w:b/>
          <w:highlight w:val="none"/>
        </w:rPr>
        <w:t>8.</w:t>
      </w:r>
      <w:r>
        <w:rPr>
          <w:rFonts w:hint="eastAsia"/>
          <w:b/>
          <w:highlight w:val="none"/>
          <w:lang w:val="en-US" w:eastAsia="zh-CN"/>
        </w:rPr>
        <w:t>3</w:t>
      </w:r>
      <w:r>
        <w:rPr>
          <w:rFonts w:hint="eastAsia"/>
          <w:b/>
          <w:highlight w:val="none"/>
        </w:rPr>
        <w:t xml:space="preserve">.5 </w:t>
      </w:r>
      <w:r>
        <w:rPr>
          <w:rFonts w:hint="eastAsia"/>
          <w:highlight w:val="none"/>
        </w:rPr>
        <w:t>钢筋加工安装允许偏差</w:t>
      </w:r>
    </w:p>
    <w:tbl>
      <w:tblPr>
        <w:tblStyle w:val="25"/>
        <w:tblW w:w="4999"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32"/>
        <w:gridCol w:w="1820"/>
        <w:gridCol w:w="1417"/>
        <w:gridCol w:w="2265"/>
      </w:tblGrid>
      <w:tr w14:paraId="0396502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443" w:hRule="atLeast"/>
          <w:jc w:val="center"/>
        </w:trPr>
        <w:tc>
          <w:tcPr>
            <w:tcW w:w="1998" w:type="pct"/>
            <w:gridSpan w:val="2"/>
            <w:tcBorders>
              <w:tl2br w:val="nil"/>
              <w:tr2bl w:val="nil"/>
            </w:tcBorders>
            <w:vAlign w:val="center"/>
          </w:tcPr>
          <w:p w14:paraId="5DCE1C5A">
            <w:pPr>
              <w:pStyle w:val="49"/>
              <w:rPr>
                <w:highlight w:val="none"/>
              </w:rPr>
            </w:pPr>
            <w:r>
              <w:rPr>
                <w:rFonts w:hint="eastAsia"/>
                <w:highlight w:val="none"/>
              </w:rPr>
              <w:t>项目</w:t>
            </w:r>
          </w:p>
        </w:tc>
        <w:tc>
          <w:tcPr>
            <w:tcW w:w="1155" w:type="pct"/>
            <w:tcBorders>
              <w:tl2br w:val="nil"/>
              <w:tr2bl w:val="nil"/>
            </w:tcBorders>
            <w:vAlign w:val="center"/>
          </w:tcPr>
          <w:p w14:paraId="03DC34B6">
            <w:pPr>
              <w:pStyle w:val="49"/>
              <w:rPr>
                <w:highlight w:val="none"/>
              </w:rPr>
            </w:pPr>
            <w:r>
              <w:rPr>
                <w:rFonts w:hint="eastAsia"/>
                <w:highlight w:val="none"/>
              </w:rPr>
              <w:t>允许偏差</w:t>
            </w:r>
            <w:r>
              <w:rPr>
                <w:rFonts w:hint="eastAsia"/>
                <w:highlight w:val="none"/>
                <w:lang w:eastAsia="zh-CN"/>
              </w:rPr>
              <w:t>（</w:t>
            </w:r>
            <w:r>
              <w:rPr>
                <w:rFonts w:hint="eastAsia"/>
                <w:highlight w:val="none"/>
                <w:lang w:val="en-US" w:eastAsia="zh-CN"/>
              </w:rPr>
              <w:t>mm</w:t>
            </w:r>
            <w:r>
              <w:rPr>
                <w:rFonts w:hint="eastAsia"/>
                <w:highlight w:val="none"/>
                <w:lang w:eastAsia="zh-CN"/>
              </w:rPr>
              <w:t>）</w:t>
            </w:r>
          </w:p>
        </w:tc>
        <w:tc>
          <w:tcPr>
            <w:tcW w:w="1846" w:type="pct"/>
            <w:tcBorders>
              <w:tl2br w:val="nil"/>
              <w:tr2bl w:val="nil"/>
            </w:tcBorders>
            <w:vAlign w:val="center"/>
          </w:tcPr>
          <w:p w14:paraId="3A0DDEBC">
            <w:pPr>
              <w:pStyle w:val="49"/>
              <w:rPr>
                <w:rFonts w:hint="eastAsia"/>
                <w:highlight w:val="none"/>
              </w:rPr>
            </w:pPr>
            <w:r>
              <w:rPr>
                <w:rFonts w:hint="eastAsia"/>
                <w:highlight w:val="none"/>
              </w:rPr>
              <w:t>检验方法</w:t>
            </w:r>
          </w:p>
        </w:tc>
      </w:tr>
      <w:tr w14:paraId="5709196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3" w:hRule="atLeast"/>
          <w:jc w:val="center"/>
        </w:trPr>
        <w:tc>
          <w:tcPr>
            <w:tcW w:w="515" w:type="pct"/>
            <w:vMerge w:val="restart"/>
            <w:tcBorders>
              <w:tl2br w:val="nil"/>
              <w:tr2bl w:val="nil"/>
            </w:tcBorders>
            <w:vAlign w:val="center"/>
          </w:tcPr>
          <w:p w14:paraId="2EA7550D">
            <w:pPr>
              <w:pStyle w:val="49"/>
              <w:rPr>
                <w:highlight w:val="none"/>
              </w:rPr>
            </w:pPr>
            <w:r>
              <w:rPr>
                <w:rFonts w:hint="eastAsia"/>
                <w:highlight w:val="none"/>
              </w:rPr>
              <w:t>钢筋</w:t>
            </w:r>
          </w:p>
          <w:p w14:paraId="52C55D0E">
            <w:pPr>
              <w:pStyle w:val="49"/>
              <w:rPr>
                <w:highlight w:val="none"/>
              </w:rPr>
            </w:pPr>
            <w:r>
              <w:rPr>
                <w:rFonts w:hint="eastAsia"/>
                <w:highlight w:val="none"/>
              </w:rPr>
              <w:t>网片</w:t>
            </w:r>
          </w:p>
        </w:tc>
        <w:tc>
          <w:tcPr>
            <w:tcW w:w="1483" w:type="pct"/>
            <w:tcBorders>
              <w:tl2br w:val="nil"/>
              <w:tr2bl w:val="nil"/>
            </w:tcBorders>
            <w:vAlign w:val="center"/>
          </w:tcPr>
          <w:p w14:paraId="710704FB">
            <w:pPr>
              <w:pStyle w:val="49"/>
              <w:rPr>
                <w:highlight w:val="none"/>
              </w:rPr>
            </w:pPr>
            <w:r>
              <w:rPr>
                <w:rFonts w:hint="eastAsia"/>
                <w:highlight w:val="none"/>
              </w:rPr>
              <w:t>长、宽</w:t>
            </w:r>
          </w:p>
        </w:tc>
        <w:tc>
          <w:tcPr>
            <w:tcW w:w="1155" w:type="pct"/>
            <w:tcBorders>
              <w:tl2br w:val="nil"/>
              <w:tr2bl w:val="nil"/>
            </w:tcBorders>
            <w:vAlign w:val="center"/>
          </w:tcPr>
          <w:p w14:paraId="716AACFD">
            <w:pPr>
              <w:pStyle w:val="49"/>
              <w:rPr>
                <w:highlight w:val="none"/>
              </w:rPr>
            </w:pPr>
            <w:r>
              <w:rPr>
                <w:rFonts w:hint="eastAsia"/>
                <w:highlight w:val="none"/>
              </w:rPr>
              <w:t>±5</w:t>
            </w:r>
          </w:p>
        </w:tc>
        <w:tc>
          <w:tcPr>
            <w:tcW w:w="1846" w:type="pct"/>
            <w:tcBorders>
              <w:tl2br w:val="nil"/>
              <w:tr2bl w:val="nil"/>
            </w:tcBorders>
            <w:vAlign w:val="center"/>
          </w:tcPr>
          <w:p w14:paraId="25C0C062">
            <w:pPr>
              <w:pStyle w:val="49"/>
              <w:rPr>
                <w:highlight w:val="none"/>
              </w:rPr>
            </w:pPr>
            <w:r>
              <w:rPr>
                <w:rFonts w:hint="eastAsia"/>
                <w:highlight w:val="none"/>
              </w:rPr>
              <w:t>钢尺检查</w:t>
            </w:r>
          </w:p>
        </w:tc>
      </w:tr>
      <w:tr w14:paraId="1686BD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00" w:hRule="atLeast"/>
          <w:jc w:val="center"/>
        </w:trPr>
        <w:tc>
          <w:tcPr>
            <w:tcW w:w="515" w:type="pct"/>
            <w:vMerge w:val="continue"/>
            <w:tcBorders>
              <w:tl2br w:val="nil"/>
              <w:tr2bl w:val="nil"/>
            </w:tcBorders>
            <w:vAlign w:val="center"/>
          </w:tcPr>
          <w:p w14:paraId="75389C6C">
            <w:pPr>
              <w:pStyle w:val="49"/>
              <w:rPr>
                <w:highlight w:val="none"/>
              </w:rPr>
            </w:pPr>
          </w:p>
        </w:tc>
        <w:tc>
          <w:tcPr>
            <w:tcW w:w="1483" w:type="pct"/>
            <w:tcBorders>
              <w:tl2br w:val="nil"/>
              <w:tr2bl w:val="nil"/>
            </w:tcBorders>
            <w:vAlign w:val="center"/>
          </w:tcPr>
          <w:p w14:paraId="04DF9F56">
            <w:pPr>
              <w:pStyle w:val="49"/>
              <w:rPr>
                <w:highlight w:val="none"/>
              </w:rPr>
            </w:pPr>
            <w:r>
              <w:rPr>
                <w:rFonts w:hint="eastAsia"/>
                <w:highlight w:val="none"/>
              </w:rPr>
              <w:t>网眼尺寸</w:t>
            </w:r>
          </w:p>
        </w:tc>
        <w:tc>
          <w:tcPr>
            <w:tcW w:w="1155" w:type="pct"/>
            <w:tcBorders>
              <w:tl2br w:val="nil"/>
              <w:tr2bl w:val="nil"/>
            </w:tcBorders>
            <w:vAlign w:val="center"/>
          </w:tcPr>
          <w:p w14:paraId="262167B2">
            <w:pPr>
              <w:pStyle w:val="49"/>
              <w:rPr>
                <w:highlight w:val="none"/>
              </w:rPr>
            </w:pPr>
            <w:r>
              <w:rPr>
                <w:rFonts w:hint="eastAsia"/>
                <w:highlight w:val="none"/>
              </w:rPr>
              <w:t>±5</w:t>
            </w:r>
          </w:p>
        </w:tc>
        <w:tc>
          <w:tcPr>
            <w:tcW w:w="1846" w:type="pct"/>
            <w:tcBorders>
              <w:tl2br w:val="nil"/>
              <w:tr2bl w:val="nil"/>
            </w:tcBorders>
            <w:vAlign w:val="center"/>
          </w:tcPr>
          <w:p w14:paraId="04930BE3">
            <w:pPr>
              <w:pStyle w:val="49"/>
              <w:rPr>
                <w:highlight w:val="none"/>
              </w:rPr>
            </w:pPr>
            <w:r>
              <w:rPr>
                <w:rFonts w:hint="eastAsia"/>
                <w:highlight w:val="none"/>
              </w:rPr>
              <w:t>钢尺量连续三档，取最大值</w:t>
            </w:r>
          </w:p>
        </w:tc>
      </w:tr>
      <w:tr w14:paraId="0317C70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7" w:hRule="atLeast"/>
          <w:jc w:val="center"/>
        </w:trPr>
        <w:tc>
          <w:tcPr>
            <w:tcW w:w="515" w:type="pct"/>
            <w:vMerge w:val="restart"/>
            <w:tcBorders>
              <w:tl2br w:val="nil"/>
              <w:tr2bl w:val="nil"/>
            </w:tcBorders>
            <w:vAlign w:val="center"/>
          </w:tcPr>
          <w:p w14:paraId="631FC15E">
            <w:pPr>
              <w:pStyle w:val="49"/>
              <w:rPr>
                <w:highlight w:val="none"/>
              </w:rPr>
            </w:pPr>
            <w:r>
              <w:rPr>
                <w:rFonts w:hint="eastAsia"/>
                <w:highlight w:val="none"/>
              </w:rPr>
              <w:t>钢筋</w:t>
            </w:r>
          </w:p>
          <w:p w14:paraId="75DAF2B8">
            <w:pPr>
              <w:pStyle w:val="49"/>
              <w:rPr>
                <w:highlight w:val="none"/>
              </w:rPr>
            </w:pPr>
            <w:r>
              <w:rPr>
                <w:rFonts w:hint="eastAsia"/>
                <w:highlight w:val="none"/>
              </w:rPr>
              <w:t>骨架</w:t>
            </w:r>
          </w:p>
        </w:tc>
        <w:tc>
          <w:tcPr>
            <w:tcW w:w="1483" w:type="pct"/>
            <w:tcBorders>
              <w:tl2br w:val="nil"/>
              <w:tr2bl w:val="nil"/>
            </w:tcBorders>
            <w:vAlign w:val="center"/>
          </w:tcPr>
          <w:p w14:paraId="092B2560">
            <w:pPr>
              <w:pStyle w:val="49"/>
              <w:rPr>
                <w:highlight w:val="none"/>
              </w:rPr>
            </w:pPr>
            <w:r>
              <w:rPr>
                <w:rFonts w:hint="eastAsia"/>
                <w:highlight w:val="none"/>
              </w:rPr>
              <w:t>长</w:t>
            </w:r>
          </w:p>
        </w:tc>
        <w:tc>
          <w:tcPr>
            <w:tcW w:w="1155" w:type="pct"/>
            <w:tcBorders>
              <w:tl2br w:val="nil"/>
              <w:tr2bl w:val="nil"/>
            </w:tcBorders>
            <w:vAlign w:val="center"/>
          </w:tcPr>
          <w:p w14:paraId="05931E50">
            <w:pPr>
              <w:pStyle w:val="49"/>
              <w:rPr>
                <w:highlight w:val="none"/>
              </w:rPr>
            </w:pPr>
            <w:r>
              <w:rPr>
                <w:rFonts w:hint="eastAsia"/>
                <w:highlight w:val="none"/>
              </w:rPr>
              <w:t>±10</w:t>
            </w:r>
          </w:p>
        </w:tc>
        <w:tc>
          <w:tcPr>
            <w:tcW w:w="1846" w:type="pct"/>
            <w:tcBorders>
              <w:tl2br w:val="nil"/>
              <w:tr2bl w:val="nil"/>
            </w:tcBorders>
            <w:vAlign w:val="center"/>
          </w:tcPr>
          <w:p w14:paraId="16362AA4">
            <w:pPr>
              <w:pStyle w:val="49"/>
              <w:rPr>
                <w:highlight w:val="none"/>
              </w:rPr>
            </w:pPr>
            <w:r>
              <w:rPr>
                <w:rFonts w:hint="eastAsia"/>
                <w:highlight w:val="none"/>
              </w:rPr>
              <w:t>钢尺检查</w:t>
            </w:r>
          </w:p>
        </w:tc>
      </w:tr>
      <w:tr w14:paraId="71001E2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3" w:hRule="atLeast"/>
          <w:jc w:val="center"/>
        </w:trPr>
        <w:tc>
          <w:tcPr>
            <w:tcW w:w="515" w:type="pct"/>
            <w:vMerge w:val="continue"/>
            <w:tcBorders>
              <w:tl2br w:val="nil"/>
              <w:tr2bl w:val="nil"/>
            </w:tcBorders>
            <w:vAlign w:val="center"/>
          </w:tcPr>
          <w:p w14:paraId="305E9F4C">
            <w:pPr>
              <w:pStyle w:val="49"/>
              <w:rPr>
                <w:highlight w:val="none"/>
              </w:rPr>
            </w:pPr>
          </w:p>
        </w:tc>
        <w:tc>
          <w:tcPr>
            <w:tcW w:w="1483" w:type="pct"/>
            <w:tcBorders>
              <w:tl2br w:val="nil"/>
              <w:tr2bl w:val="nil"/>
            </w:tcBorders>
            <w:vAlign w:val="center"/>
          </w:tcPr>
          <w:p w14:paraId="14CBEF8A">
            <w:pPr>
              <w:pStyle w:val="49"/>
              <w:rPr>
                <w:highlight w:val="none"/>
              </w:rPr>
            </w:pPr>
            <w:r>
              <w:rPr>
                <w:rFonts w:hint="eastAsia"/>
                <w:highlight w:val="none"/>
              </w:rPr>
              <w:t>宽</w:t>
            </w:r>
          </w:p>
        </w:tc>
        <w:tc>
          <w:tcPr>
            <w:tcW w:w="1155" w:type="pct"/>
            <w:tcBorders>
              <w:tl2br w:val="nil"/>
              <w:tr2bl w:val="nil"/>
            </w:tcBorders>
            <w:vAlign w:val="center"/>
          </w:tcPr>
          <w:p w14:paraId="2E55C210">
            <w:pPr>
              <w:pStyle w:val="49"/>
              <w:rPr>
                <w:highlight w:val="none"/>
              </w:rPr>
            </w:pPr>
            <w:r>
              <w:rPr>
                <w:rFonts w:hint="eastAsia"/>
                <w:highlight w:val="none"/>
              </w:rPr>
              <w:t>±5</w:t>
            </w:r>
          </w:p>
        </w:tc>
        <w:tc>
          <w:tcPr>
            <w:tcW w:w="1846" w:type="pct"/>
            <w:tcBorders>
              <w:tl2br w:val="nil"/>
              <w:tr2bl w:val="nil"/>
            </w:tcBorders>
            <w:vAlign w:val="center"/>
          </w:tcPr>
          <w:p w14:paraId="429E8BD5">
            <w:pPr>
              <w:pStyle w:val="49"/>
              <w:rPr>
                <w:highlight w:val="none"/>
              </w:rPr>
            </w:pPr>
            <w:r>
              <w:rPr>
                <w:rFonts w:hint="eastAsia"/>
                <w:highlight w:val="none"/>
              </w:rPr>
              <w:t>钢尺检查</w:t>
            </w:r>
          </w:p>
        </w:tc>
      </w:tr>
      <w:tr w14:paraId="0EFBB5D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02" w:hRule="atLeast"/>
          <w:jc w:val="center"/>
        </w:trPr>
        <w:tc>
          <w:tcPr>
            <w:tcW w:w="515" w:type="pct"/>
            <w:vMerge w:val="continue"/>
            <w:tcBorders>
              <w:tl2br w:val="nil"/>
              <w:tr2bl w:val="nil"/>
            </w:tcBorders>
            <w:vAlign w:val="center"/>
          </w:tcPr>
          <w:p w14:paraId="20B0E486">
            <w:pPr>
              <w:pStyle w:val="49"/>
              <w:rPr>
                <w:highlight w:val="none"/>
              </w:rPr>
            </w:pPr>
          </w:p>
        </w:tc>
        <w:tc>
          <w:tcPr>
            <w:tcW w:w="1483" w:type="pct"/>
            <w:tcBorders>
              <w:tl2br w:val="nil"/>
              <w:tr2bl w:val="nil"/>
            </w:tcBorders>
            <w:vAlign w:val="center"/>
          </w:tcPr>
          <w:p w14:paraId="738E017A">
            <w:pPr>
              <w:pStyle w:val="49"/>
              <w:rPr>
                <w:highlight w:val="none"/>
              </w:rPr>
            </w:pPr>
            <w:r>
              <w:rPr>
                <w:rFonts w:hint="eastAsia"/>
                <w:highlight w:val="none"/>
              </w:rPr>
              <w:t>厚</w:t>
            </w:r>
          </w:p>
        </w:tc>
        <w:tc>
          <w:tcPr>
            <w:tcW w:w="1155" w:type="pct"/>
            <w:tcBorders>
              <w:tl2br w:val="nil"/>
              <w:tr2bl w:val="nil"/>
            </w:tcBorders>
            <w:vAlign w:val="center"/>
          </w:tcPr>
          <w:p w14:paraId="732B863A">
            <w:pPr>
              <w:pStyle w:val="49"/>
              <w:rPr>
                <w:highlight w:val="none"/>
              </w:rPr>
            </w:pPr>
            <w:r>
              <w:rPr>
                <w:rFonts w:hint="eastAsia"/>
                <w:highlight w:val="none"/>
              </w:rPr>
              <w:t>0，-5</w:t>
            </w:r>
          </w:p>
        </w:tc>
        <w:tc>
          <w:tcPr>
            <w:tcW w:w="1846" w:type="pct"/>
            <w:tcBorders>
              <w:tl2br w:val="nil"/>
              <w:tr2bl w:val="nil"/>
            </w:tcBorders>
            <w:vAlign w:val="center"/>
          </w:tcPr>
          <w:p w14:paraId="13BED23F">
            <w:pPr>
              <w:pStyle w:val="49"/>
              <w:rPr>
                <w:highlight w:val="none"/>
              </w:rPr>
            </w:pPr>
            <w:r>
              <w:rPr>
                <w:rFonts w:hint="eastAsia"/>
                <w:highlight w:val="none"/>
              </w:rPr>
              <w:t>钢尺检查</w:t>
            </w:r>
          </w:p>
        </w:tc>
      </w:tr>
      <w:tr w14:paraId="726B166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52" w:hRule="atLeast"/>
          <w:jc w:val="center"/>
        </w:trPr>
        <w:tc>
          <w:tcPr>
            <w:tcW w:w="515" w:type="pct"/>
            <w:vMerge w:val="continue"/>
            <w:tcBorders>
              <w:tl2br w:val="nil"/>
              <w:tr2bl w:val="nil"/>
            </w:tcBorders>
            <w:vAlign w:val="center"/>
          </w:tcPr>
          <w:p w14:paraId="444058C6">
            <w:pPr>
              <w:pStyle w:val="49"/>
              <w:rPr>
                <w:highlight w:val="none"/>
              </w:rPr>
            </w:pPr>
          </w:p>
        </w:tc>
        <w:tc>
          <w:tcPr>
            <w:tcW w:w="1483" w:type="pct"/>
            <w:tcBorders>
              <w:tl2br w:val="nil"/>
              <w:tr2bl w:val="nil"/>
            </w:tcBorders>
            <w:vAlign w:val="center"/>
          </w:tcPr>
          <w:p w14:paraId="03524821">
            <w:pPr>
              <w:pStyle w:val="49"/>
              <w:rPr>
                <w:highlight w:val="none"/>
              </w:rPr>
            </w:pPr>
            <w:r>
              <w:rPr>
                <w:rFonts w:hint="eastAsia"/>
                <w:highlight w:val="none"/>
              </w:rPr>
              <w:t>钢筋间距</w:t>
            </w:r>
          </w:p>
        </w:tc>
        <w:tc>
          <w:tcPr>
            <w:tcW w:w="1155" w:type="pct"/>
            <w:tcBorders>
              <w:tl2br w:val="nil"/>
              <w:tr2bl w:val="nil"/>
            </w:tcBorders>
            <w:vAlign w:val="center"/>
          </w:tcPr>
          <w:p w14:paraId="1D7D2325">
            <w:pPr>
              <w:pStyle w:val="49"/>
              <w:rPr>
                <w:highlight w:val="none"/>
              </w:rPr>
            </w:pPr>
            <w:r>
              <w:rPr>
                <w:rFonts w:hint="eastAsia"/>
                <w:highlight w:val="none"/>
              </w:rPr>
              <w:t>±5</w:t>
            </w:r>
          </w:p>
        </w:tc>
        <w:tc>
          <w:tcPr>
            <w:tcW w:w="1846" w:type="pct"/>
            <w:tcBorders>
              <w:tl2br w:val="nil"/>
              <w:tr2bl w:val="nil"/>
            </w:tcBorders>
            <w:vAlign w:val="center"/>
          </w:tcPr>
          <w:p w14:paraId="1237E5EE">
            <w:pPr>
              <w:pStyle w:val="49"/>
              <w:rPr>
                <w:highlight w:val="none"/>
              </w:rPr>
            </w:pPr>
            <w:r>
              <w:rPr>
                <w:rFonts w:hint="eastAsia"/>
                <w:highlight w:val="none"/>
              </w:rPr>
              <w:t>钢尺量两端，中间各一点</w:t>
            </w:r>
          </w:p>
        </w:tc>
      </w:tr>
      <w:tr w14:paraId="7291C96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15" w:type="pct"/>
            <w:vMerge w:val="restart"/>
            <w:tcBorders>
              <w:tl2br w:val="nil"/>
              <w:tr2bl w:val="nil"/>
            </w:tcBorders>
            <w:vAlign w:val="center"/>
          </w:tcPr>
          <w:p w14:paraId="08C62109">
            <w:pPr>
              <w:pStyle w:val="49"/>
              <w:rPr>
                <w:highlight w:val="none"/>
              </w:rPr>
            </w:pPr>
            <w:r>
              <w:rPr>
                <w:rFonts w:hint="eastAsia"/>
                <w:highlight w:val="none"/>
              </w:rPr>
              <w:t>受力</w:t>
            </w:r>
          </w:p>
          <w:p w14:paraId="1B10F8C0">
            <w:pPr>
              <w:pStyle w:val="49"/>
              <w:rPr>
                <w:highlight w:val="none"/>
              </w:rPr>
            </w:pPr>
            <w:r>
              <w:rPr>
                <w:rFonts w:hint="eastAsia"/>
                <w:highlight w:val="none"/>
              </w:rPr>
              <w:t>钢筋</w:t>
            </w:r>
          </w:p>
        </w:tc>
        <w:tc>
          <w:tcPr>
            <w:tcW w:w="1483" w:type="pct"/>
            <w:tcBorders>
              <w:tl2br w:val="nil"/>
              <w:tr2bl w:val="nil"/>
            </w:tcBorders>
            <w:vAlign w:val="center"/>
          </w:tcPr>
          <w:p w14:paraId="719F4398">
            <w:pPr>
              <w:pStyle w:val="49"/>
              <w:rPr>
                <w:highlight w:val="none"/>
              </w:rPr>
            </w:pPr>
            <w:r>
              <w:rPr>
                <w:rFonts w:hint="eastAsia"/>
                <w:highlight w:val="none"/>
              </w:rPr>
              <w:t>位置</w:t>
            </w:r>
          </w:p>
        </w:tc>
        <w:tc>
          <w:tcPr>
            <w:tcW w:w="1155" w:type="pct"/>
            <w:tcBorders>
              <w:tl2br w:val="nil"/>
              <w:tr2bl w:val="nil"/>
            </w:tcBorders>
            <w:vAlign w:val="center"/>
          </w:tcPr>
          <w:p w14:paraId="33841B8B">
            <w:pPr>
              <w:pStyle w:val="49"/>
              <w:rPr>
                <w:highlight w:val="none"/>
              </w:rPr>
            </w:pPr>
            <w:r>
              <w:rPr>
                <w:rFonts w:hint="eastAsia"/>
                <w:highlight w:val="none"/>
              </w:rPr>
              <w:t>±5</w:t>
            </w:r>
          </w:p>
        </w:tc>
        <w:tc>
          <w:tcPr>
            <w:tcW w:w="1846" w:type="pct"/>
            <w:vMerge w:val="restart"/>
            <w:tcBorders>
              <w:tl2br w:val="nil"/>
              <w:tr2bl w:val="nil"/>
            </w:tcBorders>
            <w:vAlign w:val="center"/>
          </w:tcPr>
          <w:p w14:paraId="46B455D6">
            <w:pPr>
              <w:pStyle w:val="49"/>
              <w:rPr>
                <w:highlight w:val="none"/>
              </w:rPr>
            </w:pPr>
            <w:r>
              <w:rPr>
                <w:rFonts w:hint="eastAsia"/>
                <w:highlight w:val="none"/>
              </w:rPr>
              <w:t>钢尺量两端，中间各一点，取最大值</w:t>
            </w:r>
          </w:p>
        </w:tc>
      </w:tr>
      <w:tr w14:paraId="4736D9E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3" w:hRule="atLeast"/>
          <w:jc w:val="center"/>
        </w:trPr>
        <w:tc>
          <w:tcPr>
            <w:tcW w:w="515" w:type="pct"/>
            <w:vMerge w:val="continue"/>
            <w:tcBorders>
              <w:tl2br w:val="nil"/>
              <w:tr2bl w:val="nil"/>
            </w:tcBorders>
            <w:vAlign w:val="center"/>
          </w:tcPr>
          <w:p w14:paraId="0B6682F2">
            <w:pPr>
              <w:pStyle w:val="49"/>
              <w:rPr>
                <w:highlight w:val="none"/>
              </w:rPr>
            </w:pPr>
          </w:p>
        </w:tc>
        <w:tc>
          <w:tcPr>
            <w:tcW w:w="1483" w:type="pct"/>
            <w:tcBorders>
              <w:tl2br w:val="nil"/>
              <w:tr2bl w:val="nil"/>
            </w:tcBorders>
            <w:vAlign w:val="center"/>
          </w:tcPr>
          <w:p w14:paraId="5FC1FDB4">
            <w:pPr>
              <w:pStyle w:val="49"/>
              <w:rPr>
                <w:highlight w:val="none"/>
              </w:rPr>
            </w:pPr>
            <w:r>
              <w:rPr>
                <w:rFonts w:hint="eastAsia"/>
                <w:highlight w:val="none"/>
              </w:rPr>
              <w:t>排距</w:t>
            </w:r>
          </w:p>
        </w:tc>
        <w:tc>
          <w:tcPr>
            <w:tcW w:w="1155" w:type="pct"/>
            <w:tcBorders>
              <w:tl2br w:val="nil"/>
              <w:tr2bl w:val="nil"/>
            </w:tcBorders>
            <w:vAlign w:val="center"/>
          </w:tcPr>
          <w:p w14:paraId="75F6B9AF">
            <w:pPr>
              <w:pStyle w:val="49"/>
              <w:rPr>
                <w:highlight w:val="none"/>
              </w:rPr>
            </w:pPr>
            <w:r>
              <w:rPr>
                <w:rFonts w:hint="eastAsia"/>
                <w:highlight w:val="none"/>
              </w:rPr>
              <w:t>±5</w:t>
            </w:r>
          </w:p>
        </w:tc>
        <w:tc>
          <w:tcPr>
            <w:tcW w:w="1846" w:type="pct"/>
            <w:vMerge w:val="continue"/>
            <w:tcBorders>
              <w:tl2br w:val="nil"/>
              <w:tr2bl w:val="nil"/>
            </w:tcBorders>
            <w:vAlign w:val="center"/>
          </w:tcPr>
          <w:p w14:paraId="6213FE3D">
            <w:pPr>
              <w:pStyle w:val="49"/>
              <w:rPr>
                <w:highlight w:val="none"/>
              </w:rPr>
            </w:pPr>
          </w:p>
        </w:tc>
      </w:tr>
      <w:tr w14:paraId="0BAEFD8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7" w:hRule="atLeast"/>
          <w:jc w:val="center"/>
        </w:trPr>
        <w:tc>
          <w:tcPr>
            <w:tcW w:w="515" w:type="pct"/>
            <w:tcBorders>
              <w:tl2br w:val="nil"/>
              <w:tr2bl w:val="nil"/>
            </w:tcBorders>
            <w:vAlign w:val="center"/>
          </w:tcPr>
          <w:p w14:paraId="4387C3F9">
            <w:pPr>
              <w:pStyle w:val="49"/>
              <w:rPr>
                <w:highlight w:val="none"/>
              </w:rPr>
            </w:pPr>
            <w:r>
              <w:rPr>
                <w:rFonts w:hint="eastAsia"/>
                <w:highlight w:val="none"/>
              </w:rPr>
              <w:t>受力</w:t>
            </w:r>
          </w:p>
          <w:p w14:paraId="5EC356A4">
            <w:pPr>
              <w:pStyle w:val="49"/>
              <w:rPr>
                <w:highlight w:val="none"/>
              </w:rPr>
            </w:pPr>
            <w:r>
              <w:rPr>
                <w:rFonts w:hint="eastAsia"/>
                <w:highlight w:val="none"/>
              </w:rPr>
              <w:t>钢筋</w:t>
            </w:r>
          </w:p>
        </w:tc>
        <w:tc>
          <w:tcPr>
            <w:tcW w:w="1483" w:type="pct"/>
            <w:tcBorders>
              <w:tl2br w:val="nil"/>
              <w:tr2bl w:val="nil"/>
            </w:tcBorders>
            <w:vAlign w:val="center"/>
          </w:tcPr>
          <w:p w14:paraId="6A7B4453">
            <w:pPr>
              <w:pStyle w:val="49"/>
              <w:rPr>
                <w:highlight w:val="none"/>
              </w:rPr>
            </w:pPr>
            <w:r>
              <w:rPr>
                <w:rFonts w:hint="eastAsia"/>
                <w:highlight w:val="none"/>
              </w:rPr>
              <w:t>楼板、外墙板、楼梯、阳台板</w:t>
            </w:r>
          </w:p>
        </w:tc>
        <w:tc>
          <w:tcPr>
            <w:tcW w:w="1155" w:type="pct"/>
            <w:tcBorders>
              <w:tl2br w:val="nil"/>
              <w:tr2bl w:val="nil"/>
            </w:tcBorders>
            <w:vAlign w:val="center"/>
          </w:tcPr>
          <w:p w14:paraId="52278A06">
            <w:pPr>
              <w:pStyle w:val="49"/>
              <w:rPr>
                <w:highlight w:val="none"/>
              </w:rPr>
            </w:pPr>
            <w:r>
              <w:rPr>
                <w:rFonts w:hint="eastAsia"/>
                <w:highlight w:val="none"/>
              </w:rPr>
              <w:t>±3</w:t>
            </w:r>
          </w:p>
        </w:tc>
        <w:tc>
          <w:tcPr>
            <w:tcW w:w="1846" w:type="pct"/>
            <w:tcBorders>
              <w:tl2br w:val="nil"/>
              <w:tr2bl w:val="nil"/>
            </w:tcBorders>
            <w:vAlign w:val="center"/>
          </w:tcPr>
          <w:p w14:paraId="0D4A3AE4">
            <w:pPr>
              <w:pStyle w:val="49"/>
              <w:rPr>
                <w:highlight w:val="none"/>
              </w:rPr>
            </w:pPr>
            <w:r>
              <w:rPr>
                <w:rFonts w:hint="eastAsia"/>
                <w:highlight w:val="none"/>
              </w:rPr>
              <w:t>钢尺检查</w:t>
            </w:r>
          </w:p>
        </w:tc>
      </w:tr>
      <w:tr w14:paraId="22035E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50" w:hRule="atLeast"/>
          <w:jc w:val="center"/>
        </w:trPr>
        <w:tc>
          <w:tcPr>
            <w:tcW w:w="1998" w:type="pct"/>
            <w:gridSpan w:val="2"/>
            <w:tcBorders>
              <w:tl2br w:val="nil"/>
              <w:tr2bl w:val="nil"/>
            </w:tcBorders>
            <w:vAlign w:val="center"/>
          </w:tcPr>
          <w:p w14:paraId="31474EF6">
            <w:pPr>
              <w:pStyle w:val="49"/>
              <w:rPr>
                <w:highlight w:val="none"/>
              </w:rPr>
            </w:pPr>
            <w:r>
              <w:rPr>
                <w:rFonts w:hint="eastAsia"/>
                <w:highlight w:val="none"/>
              </w:rPr>
              <w:t>绑扎钢筋、横向钢筋间距</w:t>
            </w:r>
          </w:p>
        </w:tc>
        <w:tc>
          <w:tcPr>
            <w:tcW w:w="1155" w:type="pct"/>
            <w:tcBorders>
              <w:tl2br w:val="nil"/>
              <w:tr2bl w:val="nil"/>
            </w:tcBorders>
            <w:vAlign w:val="center"/>
          </w:tcPr>
          <w:p w14:paraId="632B4C07">
            <w:pPr>
              <w:pStyle w:val="49"/>
              <w:rPr>
                <w:highlight w:val="none"/>
              </w:rPr>
            </w:pPr>
            <w:r>
              <w:rPr>
                <w:rFonts w:hint="eastAsia"/>
                <w:highlight w:val="none"/>
              </w:rPr>
              <w:t>±5</w:t>
            </w:r>
          </w:p>
        </w:tc>
        <w:tc>
          <w:tcPr>
            <w:tcW w:w="1846" w:type="pct"/>
            <w:tcBorders>
              <w:tl2br w:val="nil"/>
              <w:tr2bl w:val="nil"/>
            </w:tcBorders>
            <w:vAlign w:val="center"/>
          </w:tcPr>
          <w:p w14:paraId="52D12C90">
            <w:pPr>
              <w:pStyle w:val="49"/>
              <w:rPr>
                <w:highlight w:val="none"/>
              </w:rPr>
            </w:pPr>
            <w:r>
              <w:rPr>
                <w:rFonts w:hint="eastAsia"/>
                <w:highlight w:val="none"/>
              </w:rPr>
              <w:t>钢尺量连续三档，取最大值</w:t>
            </w:r>
          </w:p>
        </w:tc>
      </w:tr>
      <w:tr w14:paraId="679D733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78" w:hRule="atLeast"/>
          <w:jc w:val="center"/>
        </w:trPr>
        <w:tc>
          <w:tcPr>
            <w:tcW w:w="1998" w:type="pct"/>
            <w:gridSpan w:val="2"/>
            <w:tcBorders>
              <w:tl2br w:val="nil"/>
              <w:tr2bl w:val="nil"/>
            </w:tcBorders>
            <w:vAlign w:val="center"/>
          </w:tcPr>
          <w:p w14:paraId="665577D9">
            <w:pPr>
              <w:pStyle w:val="49"/>
              <w:rPr>
                <w:highlight w:val="none"/>
              </w:rPr>
            </w:pPr>
            <w:r>
              <w:rPr>
                <w:rFonts w:hint="eastAsia"/>
                <w:highlight w:val="none"/>
              </w:rPr>
              <w:t>箍筋间距</w:t>
            </w:r>
          </w:p>
        </w:tc>
        <w:tc>
          <w:tcPr>
            <w:tcW w:w="1155" w:type="pct"/>
            <w:tcBorders>
              <w:tl2br w:val="nil"/>
              <w:tr2bl w:val="nil"/>
            </w:tcBorders>
            <w:vAlign w:val="center"/>
          </w:tcPr>
          <w:p w14:paraId="0FD4A8FA">
            <w:pPr>
              <w:pStyle w:val="49"/>
              <w:rPr>
                <w:highlight w:val="none"/>
              </w:rPr>
            </w:pPr>
            <w:r>
              <w:rPr>
                <w:rFonts w:hint="eastAsia"/>
                <w:highlight w:val="none"/>
              </w:rPr>
              <w:t>±5</w:t>
            </w:r>
          </w:p>
        </w:tc>
        <w:tc>
          <w:tcPr>
            <w:tcW w:w="1846" w:type="pct"/>
            <w:tcBorders>
              <w:tl2br w:val="nil"/>
              <w:tr2bl w:val="nil"/>
            </w:tcBorders>
            <w:vAlign w:val="center"/>
          </w:tcPr>
          <w:p w14:paraId="05AB01D0">
            <w:pPr>
              <w:pStyle w:val="49"/>
              <w:rPr>
                <w:highlight w:val="none"/>
              </w:rPr>
            </w:pPr>
            <w:r>
              <w:rPr>
                <w:rFonts w:hint="eastAsia"/>
                <w:highlight w:val="none"/>
              </w:rPr>
              <w:t>钢尺量连续三档，取最大值</w:t>
            </w:r>
          </w:p>
        </w:tc>
      </w:tr>
      <w:tr w14:paraId="52A6F76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87" w:hRule="atLeast"/>
          <w:jc w:val="center"/>
        </w:trPr>
        <w:tc>
          <w:tcPr>
            <w:tcW w:w="1998" w:type="pct"/>
            <w:gridSpan w:val="2"/>
            <w:tcBorders>
              <w:tl2br w:val="nil"/>
              <w:tr2bl w:val="nil"/>
            </w:tcBorders>
            <w:vAlign w:val="center"/>
          </w:tcPr>
          <w:p w14:paraId="2536478B">
            <w:pPr>
              <w:pStyle w:val="49"/>
              <w:rPr>
                <w:highlight w:val="none"/>
              </w:rPr>
            </w:pPr>
            <w:r>
              <w:rPr>
                <w:rFonts w:hint="eastAsia"/>
                <w:highlight w:val="none"/>
              </w:rPr>
              <w:t>钢筋弯起点位置</w:t>
            </w:r>
          </w:p>
        </w:tc>
        <w:tc>
          <w:tcPr>
            <w:tcW w:w="1155" w:type="pct"/>
            <w:tcBorders>
              <w:tl2br w:val="nil"/>
              <w:tr2bl w:val="nil"/>
            </w:tcBorders>
            <w:vAlign w:val="center"/>
          </w:tcPr>
          <w:p w14:paraId="2EA9C8FF">
            <w:pPr>
              <w:pStyle w:val="49"/>
              <w:rPr>
                <w:highlight w:val="none"/>
              </w:rPr>
            </w:pPr>
            <w:r>
              <w:rPr>
                <w:rFonts w:hint="eastAsia"/>
                <w:highlight w:val="none"/>
              </w:rPr>
              <w:t>±10</w:t>
            </w:r>
          </w:p>
        </w:tc>
        <w:tc>
          <w:tcPr>
            <w:tcW w:w="1846" w:type="pct"/>
            <w:tcBorders>
              <w:tl2br w:val="nil"/>
              <w:tr2bl w:val="nil"/>
            </w:tcBorders>
            <w:vAlign w:val="center"/>
          </w:tcPr>
          <w:p w14:paraId="4F41BC57">
            <w:pPr>
              <w:pStyle w:val="49"/>
              <w:rPr>
                <w:highlight w:val="none"/>
              </w:rPr>
            </w:pPr>
            <w:r>
              <w:rPr>
                <w:rFonts w:hint="eastAsia"/>
                <w:highlight w:val="none"/>
              </w:rPr>
              <w:t>钢尺检查</w:t>
            </w:r>
          </w:p>
        </w:tc>
      </w:tr>
    </w:tbl>
    <w:p w14:paraId="68EF8FA3">
      <w:pPr>
        <w:pStyle w:val="3"/>
        <w:spacing w:before="166" w:beforeLines="50" w:after="166" w:afterLines="50" w:line="360" w:lineRule="auto"/>
        <w:jc w:val="center"/>
        <w:rPr>
          <w:rFonts w:ascii="Times New Roman" w:hAnsi="Times New Roman" w:eastAsia="黑体" w:cs="Times New Roman"/>
          <w:sz w:val="24"/>
          <w:szCs w:val="24"/>
          <w:highlight w:val="none"/>
        </w:rPr>
      </w:pPr>
      <w:bookmarkStart w:id="928" w:name="_Toc17093"/>
      <w:bookmarkStart w:id="929" w:name="_Toc6745"/>
      <w:bookmarkStart w:id="930" w:name="_Toc2141"/>
      <w:bookmarkStart w:id="931" w:name="_Toc3182"/>
      <w:bookmarkStart w:id="932" w:name="_Toc23601"/>
      <w:bookmarkStart w:id="933" w:name="_Toc25290"/>
      <w:bookmarkStart w:id="934" w:name="_Toc8180"/>
      <w:bookmarkStart w:id="935" w:name="_Toc3230"/>
      <w:bookmarkStart w:id="936" w:name="_Toc20178"/>
      <w:bookmarkStart w:id="937" w:name="_Toc31210"/>
      <w:bookmarkStart w:id="938" w:name="_Toc8506"/>
      <w:bookmarkStart w:id="939" w:name="_Toc23312"/>
      <w:r>
        <w:rPr>
          <w:rFonts w:hint="eastAsia" w:ascii="Times New Roman" w:hAnsi="Times New Roman" w:eastAsia="黑体" w:cs="Times New Roman"/>
          <w:b/>
          <w:sz w:val="24"/>
          <w:szCs w:val="24"/>
          <w:highlight w:val="none"/>
        </w:rPr>
        <w:t>8.</w:t>
      </w:r>
      <w:r>
        <w:rPr>
          <w:rFonts w:hint="eastAsia" w:ascii="Times New Roman" w:hAnsi="Times New Roman" w:eastAsia="黑体" w:cs="Times New Roman"/>
          <w:b/>
          <w:sz w:val="24"/>
          <w:szCs w:val="24"/>
          <w:highlight w:val="none"/>
          <w:lang w:val="en-US" w:eastAsia="zh-CN"/>
        </w:rPr>
        <w:t>4</w:t>
      </w:r>
      <w:r>
        <w:rPr>
          <w:rFonts w:hint="eastAsia" w:ascii="Times New Roman" w:hAnsi="Times New Roman" w:eastAsia="黑体" w:cs="Times New Roman"/>
          <w:b/>
          <w:sz w:val="24"/>
          <w:szCs w:val="24"/>
          <w:highlight w:val="none"/>
        </w:rPr>
        <w:t xml:space="preserve"> </w:t>
      </w:r>
      <w:r>
        <w:rPr>
          <w:rFonts w:hint="eastAsia" w:ascii="Times New Roman" w:hAnsi="Times New Roman" w:eastAsia="黑体" w:cs="Times New Roman"/>
          <w:sz w:val="24"/>
          <w:szCs w:val="24"/>
          <w:highlight w:val="none"/>
        </w:rPr>
        <w:t xml:space="preserve"> 成型、养护及脱模</w:t>
      </w:r>
      <w:bookmarkEnd w:id="928"/>
      <w:bookmarkEnd w:id="929"/>
      <w:bookmarkEnd w:id="930"/>
      <w:bookmarkEnd w:id="931"/>
      <w:bookmarkEnd w:id="932"/>
      <w:bookmarkEnd w:id="933"/>
      <w:bookmarkEnd w:id="934"/>
      <w:bookmarkEnd w:id="935"/>
      <w:bookmarkEnd w:id="936"/>
    </w:p>
    <w:p w14:paraId="5634E7BC">
      <w:pPr>
        <w:jc w:val="left"/>
        <w:rPr>
          <w:highlight w:val="none"/>
        </w:rPr>
      </w:pPr>
      <w:r>
        <w:rPr>
          <w:rFonts w:hint="eastAsia" w:eastAsia="黑体"/>
          <w:b/>
          <w:highlight w:val="none"/>
        </w:rPr>
        <w:t>8.</w:t>
      </w:r>
      <w:r>
        <w:rPr>
          <w:rFonts w:hint="eastAsia" w:eastAsia="黑体"/>
          <w:b/>
          <w:highlight w:val="none"/>
          <w:lang w:val="en-US" w:eastAsia="zh-CN"/>
        </w:rPr>
        <w:t>4</w:t>
      </w:r>
      <w:r>
        <w:rPr>
          <w:rFonts w:hint="eastAsia"/>
          <w:b/>
          <w:highlight w:val="none"/>
        </w:rPr>
        <w:t>.</w:t>
      </w:r>
      <w:r>
        <w:rPr>
          <w:rFonts w:eastAsia="黑体"/>
          <w:b/>
          <w:highlight w:val="none"/>
        </w:rPr>
        <w:t xml:space="preserve">1  </w:t>
      </w:r>
      <w:r>
        <w:rPr>
          <w:rFonts w:hint="eastAsia"/>
          <w:highlight w:val="none"/>
        </w:rPr>
        <w:t>模块单元的成型、养护及脱模应符合现行国家标准《混凝土结构工程施工规范》</w:t>
      </w:r>
      <w:r>
        <w:rPr>
          <w:highlight w:val="none"/>
        </w:rPr>
        <w:t>GB 50666</w:t>
      </w:r>
      <w:r>
        <w:rPr>
          <w:rFonts w:hint="eastAsia"/>
          <w:highlight w:val="none"/>
        </w:rPr>
        <w:t>的有关规定。</w:t>
      </w:r>
    </w:p>
    <w:p w14:paraId="7A777431">
      <w:pPr>
        <w:rPr>
          <w:highlight w:val="none"/>
        </w:rPr>
      </w:pPr>
      <w:r>
        <w:rPr>
          <w:rFonts w:hint="eastAsia" w:eastAsia="黑体"/>
          <w:b/>
          <w:highlight w:val="none"/>
        </w:rPr>
        <w:t>8.</w:t>
      </w:r>
      <w:r>
        <w:rPr>
          <w:rFonts w:hint="eastAsia" w:eastAsia="黑体"/>
          <w:b/>
          <w:highlight w:val="none"/>
          <w:lang w:val="en-US" w:eastAsia="zh-CN"/>
        </w:rPr>
        <w:t>4</w:t>
      </w:r>
      <w:r>
        <w:rPr>
          <w:rFonts w:hint="eastAsia"/>
          <w:b/>
          <w:highlight w:val="none"/>
        </w:rPr>
        <w:t>.</w:t>
      </w:r>
      <w:r>
        <w:rPr>
          <w:rFonts w:eastAsia="黑体"/>
          <w:b/>
          <w:highlight w:val="none"/>
        </w:rPr>
        <w:t xml:space="preserve">2  </w:t>
      </w:r>
      <w:r>
        <w:rPr>
          <w:rFonts w:hint="eastAsia"/>
          <w:highlight w:val="none"/>
        </w:rPr>
        <w:t>混凝土浇筑时应布料均衡，浇筑和振捣应采取防止模具、钢筋、预埋件及其定位件移位的措施。</w:t>
      </w:r>
    </w:p>
    <w:p w14:paraId="1B0D1B10">
      <w:pPr>
        <w:rPr>
          <w:highlight w:val="none"/>
        </w:rPr>
      </w:pPr>
      <w:r>
        <w:rPr>
          <w:rFonts w:hint="eastAsia"/>
          <w:b/>
          <w:highlight w:val="none"/>
        </w:rPr>
        <w:t>8.</w:t>
      </w:r>
      <w:r>
        <w:rPr>
          <w:rFonts w:hint="eastAsia"/>
          <w:b/>
          <w:highlight w:val="none"/>
          <w:lang w:val="en-US" w:eastAsia="zh-CN"/>
        </w:rPr>
        <w:t>4</w:t>
      </w:r>
      <w:r>
        <w:rPr>
          <w:rFonts w:hint="eastAsia"/>
          <w:b/>
          <w:highlight w:val="none"/>
        </w:rPr>
        <w:t>.</w:t>
      </w:r>
      <w:r>
        <w:rPr>
          <w:b/>
          <w:highlight w:val="none"/>
        </w:rPr>
        <w:t xml:space="preserve">3 </w:t>
      </w:r>
      <w:r>
        <w:rPr>
          <w:highlight w:val="none"/>
        </w:rPr>
        <w:t xml:space="preserve"> </w:t>
      </w:r>
      <w:r>
        <w:rPr>
          <w:rFonts w:hint="eastAsia"/>
          <w:highlight w:val="none"/>
        </w:rPr>
        <w:t>混凝土浇筑应保证混凝土的均匀性和密实性。模块单元应根据形状、规格和材料等确定浇筑次数，宜分层浇筑。</w:t>
      </w:r>
    </w:p>
    <w:p w14:paraId="427BA136">
      <w:pPr>
        <w:rPr>
          <w:highlight w:val="none"/>
        </w:rPr>
      </w:pPr>
      <w:r>
        <w:rPr>
          <w:rFonts w:hint="eastAsia" w:eastAsia="黑体"/>
          <w:b/>
          <w:highlight w:val="none"/>
        </w:rPr>
        <w:t>8.</w:t>
      </w:r>
      <w:r>
        <w:rPr>
          <w:rFonts w:hint="eastAsia" w:eastAsia="黑体"/>
          <w:b/>
          <w:highlight w:val="none"/>
          <w:lang w:val="en-US" w:eastAsia="zh-CN"/>
        </w:rPr>
        <w:t>4</w:t>
      </w:r>
      <w:r>
        <w:rPr>
          <w:rFonts w:hint="eastAsia"/>
          <w:b/>
          <w:highlight w:val="none"/>
        </w:rPr>
        <w:t>.</w:t>
      </w:r>
      <w:r>
        <w:rPr>
          <w:rFonts w:eastAsia="黑体"/>
          <w:b/>
          <w:highlight w:val="none"/>
        </w:rPr>
        <w:t xml:space="preserve">4  </w:t>
      </w:r>
      <w:r>
        <w:rPr>
          <w:rFonts w:hint="eastAsia"/>
          <w:highlight w:val="none"/>
        </w:rPr>
        <w:t>当模块单元生产需要多次浇筑时，应符合下列</w:t>
      </w:r>
      <w:r>
        <w:rPr>
          <w:highlight w:val="none"/>
        </w:rPr>
        <w:t>规定</w:t>
      </w:r>
      <w:r>
        <w:rPr>
          <w:rFonts w:hint="eastAsia"/>
          <w:highlight w:val="none"/>
        </w:rPr>
        <w:t>：</w:t>
      </w:r>
    </w:p>
    <w:p w14:paraId="2EE29394">
      <w:pPr>
        <w:ind w:firstLine="422" w:firstLineChars="200"/>
        <w:rPr>
          <w:highlight w:val="none"/>
        </w:rPr>
      </w:pPr>
      <w:r>
        <w:rPr>
          <w:rFonts w:hint="eastAsia"/>
          <w:b/>
          <w:bCs/>
          <w:highlight w:val="none"/>
        </w:rPr>
        <w:t>1</w:t>
      </w:r>
      <w:r>
        <w:rPr>
          <w:highlight w:val="none"/>
        </w:rPr>
        <w:t xml:space="preserve">  </w:t>
      </w:r>
      <w:r>
        <w:rPr>
          <w:rFonts w:hint="eastAsia"/>
          <w:highlight w:val="none"/>
        </w:rPr>
        <w:t>结合面应为粗糙面，并应清除浮浆、松动石子、软弱混凝土层；</w:t>
      </w:r>
    </w:p>
    <w:p w14:paraId="7CF92E1F">
      <w:pPr>
        <w:ind w:firstLine="422" w:firstLineChars="200"/>
        <w:rPr>
          <w:highlight w:val="none"/>
        </w:rPr>
      </w:pPr>
      <w:r>
        <w:rPr>
          <w:rFonts w:hint="eastAsia"/>
          <w:b/>
          <w:bCs/>
          <w:highlight w:val="none"/>
        </w:rPr>
        <w:t>2</w:t>
      </w:r>
      <w:r>
        <w:rPr>
          <w:highlight w:val="none"/>
        </w:rPr>
        <w:t xml:space="preserve">  </w:t>
      </w:r>
      <w:r>
        <w:rPr>
          <w:rFonts w:hint="eastAsia"/>
          <w:highlight w:val="none"/>
        </w:rPr>
        <w:t>结合面处应洒水湿润，但不应有积水；</w:t>
      </w:r>
    </w:p>
    <w:p w14:paraId="6C5FBE18">
      <w:pPr>
        <w:ind w:firstLine="422" w:firstLineChars="200"/>
        <w:rPr>
          <w:highlight w:val="none"/>
        </w:rPr>
      </w:pPr>
      <w:r>
        <w:rPr>
          <w:rFonts w:hint="eastAsia"/>
          <w:b/>
          <w:bCs/>
          <w:highlight w:val="none"/>
        </w:rPr>
        <w:t>3</w:t>
      </w:r>
      <w:r>
        <w:rPr>
          <w:highlight w:val="none"/>
        </w:rPr>
        <w:t xml:space="preserve">  </w:t>
      </w:r>
      <w:r>
        <w:rPr>
          <w:rFonts w:hint="eastAsia"/>
          <w:highlight w:val="none"/>
        </w:rPr>
        <w:t>后浇混凝土强度等级及性能应符合设计要求，宜采用减少收缩的技术措施。</w:t>
      </w:r>
    </w:p>
    <w:p w14:paraId="1F3B5A14">
      <w:pPr>
        <w:rPr>
          <w:highlight w:val="none"/>
        </w:rPr>
      </w:pPr>
      <w:r>
        <w:rPr>
          <w:rFonts w:hint="eastAsia"/>
          <w:b/>
          <w:highlight w:val="none"/>
        </w:rPr>
        <w:t>8.</w:t>
      </w:r>
      <w:r>
        <w:rPr>
          <w:rFonts w:hint="eastAsia"/>
          <w:b/>
          <w:highlight w:val="none"/>
          <w:lang w:val="en-US" w:eastAsia="zh-CN"/>
        </w:rPr>
        <w:t>4</w:t>
      </w:r>
      <w:r>
        <w:rPr>
          <w:rFonts w:hint="eastAsia"/>
          <w:b/>
          <w:highlight w:val="none"/>
        </w:rPr>
        <w:t>.</w:t>
      </w:r>
      <w:r>
        <w:rPr>
          <w:b/>
          <w:highlight w:val="none"/>
        </w:rPr>
        <w:t xml:space="preserve">5  </w:t>
      </w:r>
      <w:r>
        <w:rPr>
          <w:rFonts w:hint="eastAsia"/>
          <w:highlight w:val="none"/>
        </w:rPr>
        <w:t>混凝土模块粗糙面成型应符合下列规定：</w:t>
      </w:r>
    </w:p>
    <w:p w14:paraId="785C595F">
      <w:pPr>
        <w:ind w:firstLine="422" w:firstLineChars="200"/>
        <w:rPr>
          <w:highlight w:val="none"/>
        </w:rPr>
      </w:pPr>
      <w:r>
        <w:rPr>
          <w:b/>
          <w:highlight w:val="none"/>
        </w:rPr>
        <w:t xml:space="preserve">1  </w:t>
      </w:r>
      <w:r>
        <w:rPr>
          <w:rFonts w:hint="eastAsia"/>
          <w:highlight w:val="none"/>
        </w:rPr>
        <w:t>模块粗糙面可采用模板面预涂缓凝剂工艺，骨料可采用高压水冲洗露出或具有粗糙度的成品模板自成粗糙度工艺；</w:t>
      </w:r>
      <w:r>
        <w:rPr>
          <w:rFonts w:hint="eastAsia"/>
          <w:szCs w:val="24"/>
          <w:highlight w:val="none"/>
        </w:rPr>
        <w:t>露骨料粗糙度应符合设计文件及国家现行有关标准的规定。</w:t>
      </w:r>
    </w:p>
    <w:p w14:paraId="3FCFCC4B">
      <w:pPr>
        <w:ind w:firstLine="422" w:firstLineChars="200"/>
        <w:rPr>
          <w:highlight w:val="none"/>
        </w:rPr>
      </w:pPr>
      <w:r>
        <w:rPr>
          <w:b/>
          <w:highlight w:val="none"/>
        </w:rPr>
        <w:t xml:space="preserve">2  </w:t>
      </w:r>
      <w:r>
        <w:rPr>
          <w:rFonts w:hint="eastAsia"/>
          <w:highlight w:val="none"/>
        </w:rPr>
        <w:t>模块粗糙面也可在混凝土初凝前进行拉毛处理。</w:t>
      </w:r>
    </w:p>
    <w:p w14:paraId="1F55351B">
      <w:pPr>
        <w:rPr>
          <w:highlight w:val="none"/>
        </w:rPr>
      </w:pPr>
      <w:r>
        <w:rPr>
          <w:rFonts w:hint="eastAsia" w:eastAsia="黑体"/>
          <w:b/>
          <w:highlight w:val="none"/>
        </w:rPr>
        <w:t>8.</w:t>
      </w:r>
      <w:r>
        <w:rPr>
          <w:rFonts w:hint="eastAsia" w:eastAsia="黑体"/>
          <w:b/>
          <w:highlight w:val="none"/>
          <w:lang w:val="en-US" w:eastAsia="zh-CN"/>
        </w:rPr>
        <w:t>4</w:t>
      </w:r>
      <w:r>
        <w:rPr>
          <w:rFonts w:hint="eastAsia"/>
          <w:b/>
          <w:highlight w:val="none"/>
        </w:rPr>
        <w:t>.</w:t>
      </w:r>
      <w:r>
        <w:rPr>
          <w:rFonts w:eastAsia="黑体"/>
          <w:b/>
          <w:highlight w:val="none"/>
        </w:rPr>
        <w:t xml:space="preserve">6  </w:t>
      </w:r>
      <w:r>
        <w:rPr>
          <w:rFonts w:hint="eastAsia"/>
          <w:highlight w:val="none"/>
        </w:rPr>
        <w:t>混凝土振捣应符合下列规定：</w:t>
      </w:r>
    </w:p>
    <w:p w14:paraId="07B845BC">
      <w:pPr>
        <w:ind w:firstLine="422" w:firstLineChars="200"/>
        <w:rPr>
          <w:highlight w:val="none"/>
        </w:rPr>
      </w:pPr>
      <w:r>
        <w:rPr>
          <w:b/>
          <w:highlight w:val="none"/>
        </w:rPr>
        <w:t>1</w:t>
      </w:r>
      <w:r>
        <w:rPr>
          <w:highlight w:val="none"/>
        </w:rPr>
        <w:t xml:space="preserve">  </w:t>
      </w:r>
      <w:r>
        <w:rPr>
          <w:rFonts w:hint="eastAsia"/>
          <w:highlight w:val="none"/>
        </w:rPr>
        <w:t>混凝土振捣应能使模具或模板内各个部位混凝土密实、均匀，不应漏振、欠振、过振；</w:t>
      </w:r>
    </w:p>
    <w:p w14:paraId="0FDFA9B0">
      <w:pPr>
        <w:ind w:firstLine="422" w:firstLineChars="200"/>
        <w:rPr>
          <w:highlight w:val="none"/>
        </w:rPr>
      </w:pPr>
      <w:r>
        <w:rPr>
          <w:b/>
          <w:highlight w:val="none"/>
        </w:rPr>
        <w:t>2</w:t>
      </w:r>
      <w:r>
        <w:rPr>
          <w:highlight w:val="none"/>
        </w:rPr>
        <w:t xml:space="preserve">  </w:t>
      </w:r>
      <w:r>
        <w:rPr>
          <w:rFonts w:hint="eastAsia"/>
          <w:highlight w:val="none"/>
        </w:rPr>
        <w:t>混凝土振捣宜采用插入式振动棒、平板振动器、附着振动器或其他机械振捣方式</w:t>
      </w:r>
      <w:r>
        <w:rPr>
          <w:rFonts w:hint="eastAsia"/>
          <w:highlight w:val="none"/>
          <w:lang w:eastAsia="zh-CN"/>
        </w:rPr>
        <w:t>；</w:t>
      </w:r>
      <w:r>
        <w:rPr>
          <w:rFonts w:hint="eastAsia"/>
          <w:highlight w:val="none"/>
        </w:rPr>
        <w:t>振捣方式和振捣设备应根据混凝土品种、工作性、模块预制部位的规格和形状等因素确定。</w:t>
      </w:r>
    </w:p>
    <w:p w14:paraId="47BEB0C4">
      <w:pPr>
        <w:rPr>
          <w:highlight w:val="none"/>
        </w:rPr>
      </w:pPr>
      <w:r>
        <w:rPr>
          <w:rFonts w:hint="eastAsia"/>
          <w:b/>
          <w:highlight w:val="none"/>
        </w:rPr>
        <w:t>8.</w:t>
      </w:r>
      <w:r>
        <w:rPr>
          <w:rFonts w:hint="eastAsia"/>
          <w:b/>
          <w:highlight w:val="none"/>
          <w:lang w:val="en-US" w:eastAsia="zh-CN"/>
        </w:rPr>
        <w:t>4</w:t>
      </w:r>
      <w:r>
        <w:rPr>
          <w:rFonts w:hint="eastAsia"/>
          <w:b/>
          <w:highlight w:val="none"/>
        </w:rPr>
        <w:t>.</w:t>
      </w:r>
      <w:r>
        <w:rPr>
          <w:b/>
          <w:highlight w:val="none"/>
        </w:rPr>
        <w:t xml:space="preserve">7  </w:t>
      </w:r>
      <w:r>
        <w:rPr>
          <w:rFonts w:hint="eastAsia"/>
          <w:highlight w:val="none"/>
        </w:rPr>
        <w:t>模块单元养护宜根据模块特点和生产任务量选择适宜的养护方式。</w:t>
      </w:r>
    </w:p>
    <w:p w14:paraId="5B938842">
      <w:pPr>
        <w:rPr>
          <w:highlight w:val="none"/>
        </w:rPr>
      </w:pPr>
      <w:r>
        <w:rPr>
          <w:rFonts w:hint="eastAsia"/>
          <w:b/>
          <w:highlight w:val="none"/>
        </w:rPr>
        <w:t>8.</w:t>
      </w:r>
      <w:r>
        <w:rPr>
          <w:rFonts w:hint="eastAsia"/>
          <w:b/>
          <w:highlight w:val="none"/>
          <w:lang w:val="en-US" w:eastAsia="zh-CN"/>
        </w:rPr>
        <w:t>4</w:t>
      </w:r>
      <w:r>
        <w:rPr>
          <w:rFonts w:hint="eastAsia"/>
          <w:b/>
          <w:highlight w:val="none"/>
        </w:rPr>
        <w:t>.</w:t>
      </w:r>
      <w:r>
        <w:rPr>
          <w:b/>
          <w:highlight w:val="none"/>
        </w:rPr>
        <w:t xml:space="preserve">8  </w:t>
      </w:r>
      <w:r>
        <w:rPr>
          <w:rFonts w:hint="eastAsia"/>
          <w:highlight w:val="none"/>
        </w:rPr>
        <w:t>模块单元脱模起吊时，应符合下列规定：</w:t>
      </w:r>
    </w:p>
    <w:p w14:paraId="054AD39C">
      <w:pPr>
        <w:ind w:firstLine="422" w:firstLineChars="200"/>
        <w:rPr>
          <w:highlight w:val="none"/>
        </w:rPr>
      </w:pPr>
      <w:r>
        <w:rPr>
          <w:rFonts w:hint="eastAsia"/>
          <w:b/>
          <w:highlight w:val="none"/>
        </w:rPr>
        <w:t>1</w:t>
      </w:r>
      <w:r>
        <w:rPr>
          <w:highlight w:val="none"/>
        </w:rPr>
        <w:t xml:space="preserve">  </w:t>
      </w:r>
      <w:r>
        <w:rPr>
          <w:rFonts w:hint="eastAsia"/>
          <w:highlight w:val="none"/>
        </w:rPr>
        <w:t>模块单元脱模混凝土强度应经设计验算确定；</w:t>
      </w:r>
    </w:p>
    <w:p w14:paraId="06FFAA87">
      <w:pPr>
        <w:ind w:firstLine="422" w:firstLineChars="200"/>
        <w:rPr>
          <w:highlight w:val="none"/>
        </w:rPr>
      </w:pPr>
      <w:r>
        <w:rPr>
          <w:rFonts w:hint="eastAsia"/>
          <w:b/>
          <w:highlight w:val="none"/>
        </w:rPr>
        <w:t>2</w:t>
      </w:r>
      <w:r>
        <w:rPr>
          <w:highlight w:val="none"/>
        </w:rPr>
        <w:t xml:space="preserve">  </w:t>
      </w:r>
      <w:r>
        <w:rPr>
          <w:rFonts w:hint="eastAsia"/>
          <w:highlight w:val="none"/>
        </w:rPr>
        <w:t>对于设有门洞、窗洞等较大洞口的模块单元，脱模起吊时应进行加固；</w:t>
      </w:r>
    </w:p>
    <w:p w14:paraId="510132AB">
      <w:pPr>
        <w:ind w:firstLine="422" w:firstLineChars="200"/>
        <w:rPr>
          <w:highlight w:val="none"/>
        </w:rPr>
      </w:pPr>
      <w:r>
        <w:rPr>
          <w:rFonts w:hint="eastAsia"/>
          <w:b/>
          <w:highlight w:val="none"/>
        </w:rPr>
        <w:t>3</w:t>
      </w:r>
      <w:r>
        <w:rPr>
          <w:highlight w:val="none"/>
        </w:rPr>
        <w:t xml:space="preserve">  </w:t>
      </w:r>
      <w:r>
        <w:rPr>
          <w:rFonts w:hint="eastAsia"/>
          <w:highlight w:val="none"/>
        </w:rPr>
        <w:t>模块单元的脱模起吊应采用平衡吊架。</w:t>
      </w:r>
    </w:p>
    <w:p w14:paraId="28AA896E">
      <w:pPr>
        <w:rPr>
          <w:szCs w:val="24"/>
          <w:highlight w:val="none"/>
        </w:rPr>
      </w:pPr>
      <w:r>
        <w:rPr>
          <w:rFonts w:hint="eastAsia"/>
          <w:b/>
          <w:highlight w:val="none"/>
        </w:rPr>
        <w:t>8.</w:t>
      </w:r>
      <w:r>
        <w:rPr>
          <w:rFonts w:hint="eastAsia"/>
          <w:b/>
          <w:highlight w:val="none"/>
          <w:lang w:val="en-US" w:eastAsia="zh-CN"/>
        </w:rPr>
        <w:t>4</w:t>
      </w:r>
      <w:r>
        <w:rPr>
          <w:rFonts w:hint="eastAsia"/>
          <w:b/>
          <w:szCs w:val="24"/>
          <w:highlight w:val="none"/>
        </w:rPr>
        <w:t>.</w:t>
      </w:r>
      <w:r>
        <w:rPr>
          <w:b/>
          <w:szCs w:val="24"/>
          <w:highlight w:val="none"/>
        </w:rPr>
        <w:t xml:space="preserve">9  </w:t>
      </w:r>
      <w:r>
        <w:rPr>
          <w:rFonts w:hint="eastAsia"/>
          <w:szCs w:val="24"/>
          <w:highlight w:val="none"/>
        </w:rPr>
        <w:t>混凝土强度检查数量与检验方法应符合现行国家标准《混凝土强度检验评定标准》</w:t>
      </w:r>
      <w:r>
        <w:rPr>
          <w:szCs w:val="24"/>
          <w:highlight w:val="none"/>
        </w:rPr>
        <w:t>GB/T 50107</w:t>
      </w:r>
      <w:r>
        <w:rPr>
          <w:rFonts w:hint="eastAsia"/>
          <w:szCs w:val="24"/>
          <w:highlight w:val="none"/>
        </w:rPr>
        <w:t>有关规定。</w:t>
      </w:r>
    </w:p>
    <w:p w14:paraId="7AD07492">
      <w:pPr>
        <w:rPr>
          <w:szCs w:val="24"/>
          <w:highlight w:val="none"/>
        </w:rPr>
      </w:pPr>
      <w:r>
        <w:rPr>
          <w:rFonts w:hint="eastAsia"/>
          <w:b/>
          <w:highlight w:val="none"/>
        </w:rPr>
        <w:t>8.</w:t>
      </w:r>
      <w:r>
        <w:rPr>
          <w:rFonts w:hint="eastAsia"/>
          <w:b/>
          <w:szCs w:val="24"/>
          <w:highlight w:val="none"/>
          <w:lang w:val="en-US" w:eastAsia="zh-CN"/>
        </w:rPr>
        <w:t>4</w:t>
      </w:r>
      <w:r>
        <w:rPr>
          <w:rFonts w:hint="eastAsia"/>
          <w:b/>
          <w:szCs w:val="24"/>
          <w:highlight w:val="none"/>
        </w:rPr>
        <w:t>.10</w:t>
      </w:r>
      <w:r>
        <w:rPr>
          <w:b/>
          <w:szCs w:val="24"/>
          <w:highlight w:val="none"/>
        </w:rPr>
        <w:t xml:space="preserve">  </w:t>
      </w:r>
      <w:r>
        <w:rPr>
          <w:rFonts w:hint="eastAsia"/>
          <w:bCs/>
          <w:szCs w:val="24"/>
          <w:highlight w:val="none"/>
        </w:rPr>
        <w:t>模块构件组装的钢筋连接部位施工，应符合现行国家标准《混凝土结构工程施工规范》GB50666相关规定。</w:t>
      </w:r>
    </w:p>
    <w:p w14:paraId="6524EDB4">
      <w:pPr>
        <w:rPr>
          <w:highlight w:val="none"/>
        </w:rPr>
      </w:pPr>
      <w:r>
        <w:rPr>
          <w:rFonts w:hint="eastAsia"/>
          <w:b/>
          <w:highlight w:val="none"/>
        </w:rPr>
        <w:t>8.</w:t>
      </w:r>
      <w:r>
        <w:rPr>
          <w:rFonts w:hint="eastAsia"/>
          <w:b/>
          <w:szCs w:val="24"/>
          <w:highlight w:val="none"/>
          <w:lang w:val="en-US" w:eastAsia="zh-CN"/>
        </w:rPr>
        <w:t>4</w:t>
      </w:r>
      <w:r>
        <w:rPr>
          <w:rFonts w:hint="eastAsia"/>
          <w:b/>
          <w:szCs w:val="24"/>
          <w:highlight w:val="none"/>
        </w:rPr>
        <w:t>.1</w:t>
      </w:r>
      <w:r>
        <w:rPr>
          <w:rFonts w:hint="eastAsia"/>
          <w:b/>
          <w:szCs w:val="24"/>
          <w:highlight w:val="none"/>
          <w:lang w:val="en-US" w:eastAsia="zh-CN"/>
        </w:rPr>
        <w:t xml:space="preserve">1  </w:t>
      </w:r>
      <w:r>
        <w:rPr>
          <w:rFonts w:hint="eastAsia"/>
          <w:highlight w:val="none"/>
        </w:rPr>
        <w:t>灌浆料、封浆料性能试验方法应符合现行</w:t>
      </w:r>
      <w:r>
        <w:rPr>
          <w:rFonts w:hint="eastAsia"/>
          <w:highlight w:val="none"/>
          <w:lang w:val="en-US" w:eastAsia="zh-CN"/>
        </w:rPr>
        <w:t>国家</w:t>
      </w:r>
      <w:r>
        <w:rPr>
          <w:rFonts w:hint="eastAsia"/>
          <w:highlight w:val="none"/>
        </w:rPr>
        <w:t>标准《水泥基灌浆材料应用技术规范》GB/T 50448的</w:t>
      </w:r>
      <w:r>
        <w:rPr>
          <w:rFonts w:hint="eastAsia"/>
          <w:bCs/>
          <w:szCs w:val="24"/>
          <w:highlight w:val="none"/>
        </w:rPr>
        <w:t>相关规定</w:t>
      </w:r>
      <w:r>
        <w:rPr>
          <w:rFonts w:hint="eastAsia"/>
          <w:highlight w:val="none"/>
        </w:rPr>
        <w:t>。</w:t>
      </w:r>
    </w:p>
    <w:p w14:paraId="230CDC3D">
      <w:pPr>
        <w:pStyle w:val="3"/>
        <w:spacing w:before="166" w:beforeLines="50" w:after="166" w:afterLines="50" w:line="360" w:lineRule="auto"/>
        <w:jc w:val="center"/>
        <w:rPr>
          <w:rFonts w:ascii="Times New Roman" w:hAnsi="Times New Roman" w:eastAsia="黑体" w:cs="Times New Roman"/>
          <w:sz w:val="24"/>
          <w:szCs w:val="24"/>
          <w:highlight w:val="none"/>
        </w:rPr>
      </w:pPr>
      <w:bookmarkStart w:id="940" w:name="_Toc25057"/>
      <w:bookmarkStart w:id="941" w:name="_Toc25928"/>
      <w:bookmarkStart w:id="942" w:name="_Toc21309"/>
      <w:bookmarkStart w:id="943" w:name="_Toc1539"/>
      <w:bookmarkStart w:id="944" w:name="_Toc24564"/>
      <w:bookmarkStart w:id="945" w:name="_Toc26094"/>
      <w:bookmarkStart w:id="946" w:name="_Toc19984"/>
      <w:bookmarkStart w:id="947" w:name="_Toc20996"/>
      <w:bookmarkStart w:id="948" w:name="_Toc23156"/>
      <w:r>
        <w:rPr>
          <w:rFonts w:hint="eastAsia" w:ascii="Times New Roman" w:hAnsi="Times New Roman" w:eastAsia="黑体" w:cs="Times New Roman"/>
          <w:b/>
          <w:sz w:val="24"/>
          <w:szCs w:val="24"/>
          <w:highlight w:val="none"/>
        </w:rPr>
        <w:t>8.</w:t>
      </w:r>
      <w:r>
        <w:rPr>
          <w:rFonts w:hint="eastAsia" w:ascii="Times New Roman" w:hAnsi="Times New Roman" w:eastAsia="黑体" w:cs="Times New Roman"/>
          <w:b/>
          <w:sz w:val="24"/>
          <w:szCs w:val="24"/>
          <w:highlight w:val="none"/>
          <w:lang w:val="en-US" w:eastAsia="zh-CN"/>
        </w:rPr>
        <w:t>5</w:t>
      </w:r>
      <w:r>
        <w:rPr>
          <w:rFonts w:hint="eastAsia" w:ascii="Times New Roman" w:hAnsi="Times New Roman" w:eastAsia="黑体" w:cs="Times New Roman"/>
          <w:b/>
          <w:sz w:val="24"/>
          <w:szCs w:val="24"/>
          <w:highlight w:val="none"/>
        </w:rPr>
        <w:t xml:space="preserve"> </w:t>
      </w:r>
      <w:r>
        <w:rPr>
          <w:rFonts w:hint="eastAsia" w:ascii="Times New Roman" w:hAnsi="Times New Roman" w:eastAsia="黑体" w:cs="Times New Roman"/>
          <w:sz w:val="24"/>
          <w:szCs w:val="24"/>
          <w:highlight w:val="none"/>
        </w:rPr>
        <w:t xml:space="preserve"> 设备管线安装及装修</w:t>
      </w:r>
      <w:bookmarkEnd w:id="937"/>
      <w:bookmarkEnd w:id="938"/>
      <w:bookmarkEnd w:id="939"/>
      <w:bookmarkEnd w:id="940"/>
      <w:bookmarkEnd w:id="941"/>
      <w:bookmarkEnd w:id="942"/>
      <w:bookmarkEnd w:id="943"/>
      <w:bookmarkEnd w:id="944"/>
      <w:bookmarkEnd w:id="945"/>
      <w:bookmarkEnd w:id="946"/>
      <w:bookmarkEnd w:id="947"/>
      <w:bookmarkEnd w:id="948"/>
    </w:p>
    <w:p w14:paraId="0B520745">
      <w:pPr>
        <w:rPr>
          <w:highlight w:val="none"/>
        </w:rPr>
      </w:pPr>
      <w:r>
        <w:rPr>
          <w:rFonts w:hint="eastAsia"/>
          <w:b/>
          <w:highlight w:val="none"/>
        </w:rPr>
        <w:t>8.</w:t>
      </w:r>
      <w:r>
        <w:rPr>
          <w:rFonts w:hint="eastAsia"/>
          <w:b/>
          <w:highlight w:val="none"/>
          <w:lang w:val="en-US" w:eastAsia="zh-CN"/>
        </w:rPr>
        <w:t>5</w:t>
      </w:r>
      <w:r>
        <w:rPr>
          <w:rFonts w:hint="eastAsia"/>
          <w:b/>
          <w:highlight w:val="none"/>
        </w:rPr>
        <w:t>.</w:t>
      </w:r>
      <w:r>
        <w:rPr>
          <w:b/>
          <w:highlight w:val="none"/>
        </w:rPr>
        <w:t xml:space="preserve">1  </w:t>
      </w:r>
      <w:r>
        <w:rPr>
          <w:rFonts w:hint="eastAsia"/>
          <w:highlight w:val="none"/>
        </w:rPr>
        <w:t>模块的设备管线安装前，应按设计图纸核对预留预埋套管、线盒、预留孔洞及开槽的定位和尺寸，并应区分模块工厂集成部分和现场施工部分。</w:t>
      </w:r>
    </w:p>
    <w:p w14:paraId="518A7B1B">
      <w:pPr>
        <w:rPr>
          <w:highlight w:val="none"/>
        </w:rPr>
      </w:pPr>
      <w:r>
        <w:rPr>
          <w:rFonts w:hint="eastAsia"/>
          <w:b/>
          <w:highlight w:val="none"/>
        </w:rPr>
        <w:t>8.</w:t>
      </w:r>
      <w:r>
        <w:rPr>
          <w:rFonts w:hint="eastAsia"/>
          <w:b/>
          <w:highlight w:val="none"/>
          <w:lang w:val="en-US" w:eastAsia="zh-CN"/>
        </w:rPr>
        <w:t>5</w:t>
      </w:r>
      <w:r>
        <w:rPr>
          <w:rFonts w:hint="eastAsia"/>
          <w:b/>
          <w:highlight w:val="none"/>
        </w:rPr>
        <w:t>.</w:t>
      </w:r>
      <w:r>
        <w:rPr>
          <w:b/>
          <w:highlight w:val="none"/>
        </w:rPr>
        <w:t xml:space="preserve">2  </w:t>
      </w:r>
      <w:r>
        <w:rPr>
          <w:rFonts w:hint="eastAsia"/>
          <w:highlight w:val="none"/>
        </w:rPr>
        <w:t>设备管线（暖通、消防、机电、给排水）的安装以及室内外装修（装饰装修、门窗）应符合国家现行标准的</w:t>
      </w:r>
      <w:r>
        <w:rPr>
          <w:highlight w:val="none"/>
        </w:rPr>
        <w:t>有关</w:t>
      </w:r>
      <w:r>
        <w:rPr>
          <w:rFonts w:hint="eastAsia"/>
          <w:highlight w:val="none"/>
        </w:rPr>
        <w:t>规定。</w:t>
      </w:r>
    </w:p>
    <w:p w14:paraId="49135906">
      <w:pPr>
        <w:rPr>
          <w:highlight w:val="none"/>
        </w:rPr>
      </w:pPr>
      <w:r>
        <w:rPr>
          <w:rFonts w:hint="eastAsia"/>
          <w:b/>
          <w:highlight w:val="none"/>
        </w:rPr>
        <w:t>8.</w:t>
      </w:r>
      <w:r>
        <w:rPr>
          <w:rFonts w:hint="eastAsia"/>
          <w:b/>
          <w:highlight w:val="none"/>
          <w:lang w:val="en-US" w:eastAsia="zh-CN"/>
        </w:rPr>
        <w:t>5</w:t>
      </w:r>
      <w:r>
        <w:rPr>
          <w:rFonts w:hint="eastAsia"/>
          <w:b/>
          <w:highlight w:val="none"/>
        </w:rPr>
        <w:t>.</w:t>
      </w:r>
      <w:r>
        <w:rPr>
          <w:b/>
          <w:highlight w:val="none"/>
        </w:rPr>
        <w:t xml:space="preserve">3  </w:t>
      </w:r>
      <w:r>
        <w:rPr>
          <w:rFonts w:hint="eastAsia"/>
          <w:highlight w:val="none"/>
        </w:rPr>
        <w:t>相邻模块之间的机电管线连接，宜采用接缝两边预留过路箱的方式。</w:t>
      </w:r>
    </w:p>
    <w:p w14:paraId="50831326">
      <w:pPr>
        <w:rPr>
          <w:highlight w:val="none"/>
        </w:rPr>
      </w:pPr>
      <w:r>
        <w:rPr>
          <w:rFonts w:hint="eastAsia"/>
          <w:b/>
          <w:highlight w:val="none"/>
        </w:rPr>
        <w:t>8.</w:t>
      </w:r>
      <w:r>
        <w:rPr>
          <w:rFonts w:hint="eastAsia"/>
          <w:b/>
          <w:highlight w:val="none"/>
          <w:lang w:val="en-US" w:eastAsia="zh-CN"/>
        </w:rPr>
        <w:t>5</w:t>
      </w:r>
      <w:r>
        <w:rPr>
          <w:rFonts w:hint="eastAsia"/>
          <w:b/>
          <w:highlight w:val="none"/>
        </w:rPr>
        <w:t>.</w:t>
      </w:r>
      <w:r>
        <w:rPr>
          <w:b/>
          <w:highlight w:val="none"/>
        </w:rPr>
        <w:t xml:space="preserve">4  </w:t>
      </w:r>
      <w:r>
        <w:rPr>
          <w:rFonts w:hint="eastAsia"/>
          <w:kern w:val="0"/>
          <w:szCs w:val="24"/>
          <w:highlight w:val="none"/>
          <w:lang w:bidi="ar"/>
        </w:rPr>
        <w:t>设备与管线的现场连接安装应符合现行国家标准《建筑给水排水及采暖工程施工质量验收规范》</w:t>
      </w:r>
      <w:r>
        <w:rPr>
          <w:kern w:val="0"/>
          <w:szCs w:val="24"/>
          <w:highlight w:val="none"/>
          <w:lang w:bidi="ar"/>
        </w:rPr>
        <w:t>GB 50242</w:t>
      </w:r>
      <w:r>
        <w:rPr>
          <w:rFonts w:hint="eastAsia"/>
          <w:kern w:val="0"/>
          <w:szCs w:val="24"/>
          <w:highlight w:val="none"/>
          <w:lang w:bidi="ar"/>
        </w:rPr>
        <w:t>和《通风与空调工程施工质量验收规范》</w:t>
      </w:r>
      <w:r>
        <w:rPr>
          <w:kern w:val="0"/>
          <w:szCs w:val="24"/>
          <w:highlight w:val="none"/>
          <w:lang w:bidi="ar"/>
        </w:rPr>
        <w:t>GB 50243</w:t>
      </w:r>
      <w:r>
        <w:rPr>
          <w:rFonts w:hint="eastAsia"/>
          <w:kern w:val="0"/>
          <w:szCs w:val="24"/>
          <w:highlight w:val="none"/>
          <w:lang w:bidi="ar"/>
        </w:rPr>
        <w:t>的有关规定，并应符合下列规定：</w:t>
      </w:r>
    </w:p>
    <w:p w14:paraId="1198C186">
      <w:pPr>
        <w:ind w:firstLine="422" w:firstLineChars="200"/>
        <w:rPr>
          <w:highlight w:val="none"/>
        </w:rPr>
      </w:pPr>
      <w:r>
        <w:rPr>
          <w:b/>
          <w:bCs/>
          <w:kern w:val="0"/>
          <w:szCs w:val="24"/>
          <w:highlight w:val="none"/>
          <w:lang w:bidi="ar"/>
        </w:rPr>
        <w:t xml:space="preserve">1 </w:t>
      </w:r>
      <w:r>
        <w:rPr>
          <w:rFonts w:hint="eastAsia"/>
          <w:kern w:val="0"/>
          <w:szCs w:val="24"/>
          <w:highlight w:val="none"/>
          <w:lang w:bidi="ar"/>
        </w:rPr>
        <w:t>模块之间水管的连接应在模块拼装完成后实施，并应分别进行排水管灌水及通球试验，给水管道的严密性及强度试验；</w:t>
      </w:r>
    </w:p>
    <w:p w14:paraId="417C6E8C">
      <w:pPr>
        <w:ind w:firstLine="422" w:firstLineChars="200"/>
        <w:rPr>
          <w:kern w:val="0"/>
          <w:szCs w:val="24"/>
          <w:highlight w:val="none"/>
          <w:lang w:bidi="ar"/>
        </w:rPr>
      </w:pPr>
      <w:bookmarkStart w:id="949" w:name="_Toc25041"/>
      <w:bookmarkStart w:id="950" w:name="_Toc10652"/>
      <w:r>
        <w:rPr>
          <w:b/>
          <w:bCs/>
          <w:kern w:val="0"/>
          <w:szCs w:val="24"/>
          <w:highlight w:val="none"/>
          <w:lang w:bidi="ar"/>
        </w:rPr>
        <w:t xml:space="preserve">2  </w:t>
      </w:r>
      <w:r>
        <w:rPr>
          <w:rFonts w:hint="eastAsia"/>
          <w:kern w:val="0"/>
          <w:szCs w:val="24"/>
          <w:highlight w:val="none"/>
          <w:lang w:bidi="ar"/>
        </w:rPr>
        <w:t>模块间风管的现场连接宜采用法兰连接；</w:t>
      </w:r>
      <w:bookmarkEnd w:id="949"/>
      <w:bookmarkEnd w:id="950"/>
    </w:p>
    <w:p w14:paraId="742F11FE">
      <w:pPr>
        <w:ind w:firstLine="422" w:firstLineChars="200"/>
        <w:jc w:val="left"/>
        <w:rPr>
          <w:kern w:val="0"/>
          <w:szCs w:val="24"/>
          <w:highlight w:val="none"/>
          <w:lang w:bidi="ar"/>
        </w:rPr>
      </w:pPr>
      <w:r>
        <w:rPr>
          <w:b/>
          <w:kern w:val="0"/>
          <w:szCs w:val="24"/>
          <w:highlight w:val="none"/>
          <w:lang w:bidi="ar"/>
        </w:rPr>
        <w:t>3</w:t>
      </w:r>
      <w:r>
        <w:rPr>
          <w:rFonts w:hint="eastAsia"/>
          <w:kern w:val="0"/>
          <w:szCs w:val="24"/>
          <w:highlight w:val="none"/>
          <w:lang w:bidi="ar"/>
        </w:rPr>
        <w:t xml:space="preserve">  模块单元中机电管线及设备固定在模块顶板时，固定件不得穿透模块顶板，出厂前应进行淋水实验，不渗水、漏水为合格。</w:t>
      </w:r>
    </w:p>
    <w:p w14:paraId="069760F9">
      <w:pPr>
        <w:pStyle w:val="8"/>
        <w:rPr>
          <w:highlight w:val="none"/>
        </w:rPr>
      </w:pPr>
      <w:r>
        <w:rPr>
          <w:rFonts w:hint="eastAsia"/>
          <w:b/>
          <w:highlight w:val="none"/>
        </w:rPr>
        <w:t>8.</w:t>
      </w:r>
      <w:r>
        <w:rPr>
          <w:rFonts w:hint="eastAsia"/>
          <w:b/>
          <w:highlight w:val="none"/>
          <w:lang w:val="en-US" w:eastAsia="zh-CN"/>
        </w:rPr>
        <w:t>5</w:t>
      </w:r>
      <w:r>
        <w:rPr>
          <w:rFonts w:hint="eastAsia"/>
          <w:b/>
          <w:highlight w:val="none"/>
        </w:rPr>
        <w:t>.</w:t>
      </w:r>
      <w:r>
        <w:rPr>
          <w:b/>
          <w:highlight w:val="none"/>
        </w:rPr>
        <w:t xml:space="preserve">5  </w:t>
      </w:r>
      <w:r>
        <w:rPr>
          <w:rFonts w:hint="eastAsia"/>
          <w:highlight w:val="none"/>
        </w:rPr>
        <w:t>针对模块单元设备与管线工程中的工序隐蔽，应经专业质检员检验合格方可进入下道工序，模块单元出厂前应经必要的功能试验及检测。</w:t>
      </w:r>
    </w:p>
    <w:p w14:paraId="316224FA">
      <w:pPr>
        <w:rPr>
          <w:highlight w:val="none"/>
        </w:rPr>
      </w:pPr>
      <w:r>
        <w:rPr>
          <w:rFonts w:hint="eastAsia"/>
          <w:b/>
          <w:highlight w:val="none"/>
        </w:rPr>
        <w:t>8.</w:t>
      </w:r>
      <w:r>
        <w:rPr>
          <w:rFonts w:hint="eastAsia"/>
          <w:b/>
          <w:highlight w:val="none"/>
          <w:lang w:val="en-US" w:eastAsia="zh-CN"/>
        </w:rPr>
        <w:t>5</w:t>
      </w:r>
      <w:r>
        <w:rPr>
          <w:rFonts w:hint="eastAsia"/>
          <w:b/>
          <w:highlight w:val="none"/>
        </w:rPr>
        <w:t>.</w:t>
      </w:r>
      <w:r>
        <w:rPr>
          <w:b/>
          <w:highlight w:val="none"/>
        </w:rPr>
        <w:t xml:space="preserve">6  </w:t>
      </w:r>
      <w:r>
        <w:rPr>
          <w:highlight w:val="none"/>
        </w:rPr>
        <w:t>内装</w:t>
      </w:r>
      <w:r>
        <w:rPr>
          <w:rFonts w:hint="eastAsia"/>
          <w:highlight w:val="none"/>
        </w:rPr>
        <w:t>装修</w:t>
      </w:r>
      <w:r>
        <w:rPr>
          <w:highlight w:val="none"/>
        </w:rPr>
        <w:t>的安装次序</w:t>
      </w:r>
      <w:r>
        <w:rPr>
          <w:rFonts w:hint="eastAsia"/>
          <w:highlight w:val="none"/>
        </w:rPr>
        <w:t>宜按</w:t>
      </w:r>
      <w:r>
        <w:rPr>
          <w:highlight w:val="none"/>
        </w:rPr>
        <w:t>楼地面系统，轻质隔墙系统，吊顶系统的安装次序相配合。</w:t>
      </w:r>
    </w:p>
    <w:p w14:paraId="6EB58448">
      <w:pPr>
        <w:rPr>
          <w:highlight w:val="none"/>
        </w:rPr>
      </w:pPr>
      <w:r>
        <w:rPr>
          <w:rFonts w:hint="eastAsia"/>
          <w:b/>
          <w:highlight w:val="none"/>
        </w:rPr>
        <w:t>8.</w:t>
      </w:r>
      <w:r>
        <w:rPr>
          <w:rFonts w:hint="eastAsia"/>
          <w:b/>
          <w:highlight w:val="none"/>
          <w:lang w:val="en-US" w:eastAsia="zh-CN"/>
        </w:rPr>
        <w:t>5</w:t>
      </w:r>
      <w:r>
        <w:rPr>
          <w:rFonts w:hint="eastAsia"/>
          <w:b/>
          <w:highlight w:val="none"/>
        </w:rPr>
        <w:t>.</w:t>
      </w:r>
      <w:r>
        <w:rPr>
          <w:b/>
          <w:highlight w:val="none"/>
        </w:rPr>
        <w:t xml:space="preserve">7  </w:t>
      </w:r>
      <w:r>
        <w:rPr>
          <w:rFonts w:hint="eastAsia"/>
          <w:highlight w:val="none"/>
        </w:rPr>
        <w:t>模块装修宜在接缝位置两侧预留一段不装修区域，拼装后装修。</w:t>
      </w:r>
    </w:p>
    <w:p w14:paraId="137DAE2D">
      <w:pPr>
        <w:rPr>
          <w:highlight w:val="none"/>
        </w:rPr>
      </w:pPr>
      <w:bookmarkStart w:id="951" w:name="_Toc1684"/>
      <w:bookmarkStart w:id="952" w:name="_Toc14052"/>
      <w:r>
        <w:rPr>
          <w:rFonts w:hint="eastAsia"/>
          <w:b/>
          <w:highlight w:val="none"/>
        </w:rPr>
        <w:t>8.</w:t>
      </w:r>
      <w:r>
        <w:rPr>
          <w:rFonts w:hint="eastAsia"/>
          <w:b/>
          <w:highlight w:val="none"/>
          <w:lang w:val="en-US" w:eastAsia="zh-CN"/>
        </w:rPr>
        <w:t>5</w:t>
      </w:r>
      <w:r>
        <w:rPr>
          <w:rFonts w:hint="eastAsia"/>
          <w:b/>
          <w:highlight w:val="none"/>
        </w:rPr>
        <w:t>.</w:t>
      </w:r>
      <w:r>
        <w:rPr>
          <w:b/>
          <w:highlight w:val="none"/>
        </w:rPr>
        <w:t xml:space="preserve">8  </w:t>
      </w:r>
      <w:r>
        <w:rPr>
          <w:rFonts w:hint="eastAsia"/>
          <w:highlight w:val="none"/>
        </w:rPr>
        <w:t>模块装修应不影响临时支撑构件的拆卸。</w:t>
      </w:r>
      <w:bookmarkEnd w:id="951"/>
      <w:bookmarkEnd w:id="952"/>
    </w:p>
    <w:p w14:paraId="1E45618D">
      <w:pPr>
        <w:rPr>
          <w:highlight w:val="none"/>
        </w:rPr>
      </w:pPr>
      <w:bookmarkStart w:id="953" w:name="_Toc21429"/>
      <w:bookmarkStart w:id="954" w:name="_Toc15956"/>
      <w:r>
        <w:rPr>
          <w:rFonts w:hint="eastAsia"/>
          <w:b/>
          <w:highlight w:val="none"/>
        </w:rPr>
        <w:t>8.</w:t>
      </w:r>
      <w:r>
        <w:rPr>
          <w:rFonts w:hint="eastAsia"/>
          <w:b/>
          <w:highlight w:val="none"/>
          <w:lang w:val="en-US" w:eastAsia="zh-CN"/>
        </w:rPr>
        <w:t>5</w:t>
      </w:r>
      <w:r>
        <w:rPr>
          <w:rFonts w:hint="eastAsia"/>
          <w:b/>
          <w:highlight w:val="none"/>
        </w:rPr>
        <w:t>.9</w:t>
      </w:r>
      <w:r>
        <w:rPr>
          <w:b/>
          <w:highlight w:val="none"/>
        </w:rPr>
        <w:t xml:space="preserve">  </w:t>
      </w:r>
      <w:r>
        <w:rPr>
          <w:rFonts w:hint="eastAsia"/>
          <w:highlight w:val="none"/>
        </w:rPr>
        <w:t>装饰悬挂件应有悬挂技术措施，应符合设计要求。</w:t>
      </w:r>
      <w:bookmarkEnd w:id="953"/>
      <w:bookmarkEnd w:id="954"/>
    </w:p>
    <w:p w14:paraId="7F36BC87">
      <w:pPr>
        <w:rPr>
          <w:highlight w:val="none"/>
        </w:rPr>
      </w:pPr>
      <w:bookmarkStart w:id="955" w:name="_Toc12973"/>
      <w:bookmarkStart w:id="956" w:name="_Toc18296"/>
      <w:r>
        <w:rPr>
          <w:rFonts w:hint="eastAsia"/>
          <w:b/>
          <w:highlight w:val="none"/>
        </w:rPr>
        <w:t>8.</w:t>
      </w:r>
      <w:r>
        <w:rPr>
          <w:rFonts w:hint="eastAsia"/>
          <w:b/>
          <w:highlight w:val="none"/>
          <w:lang w:val="en-US" w:eastAsia="zh-CN"/>
        </w:rPr>
        <w:t>5</w:t>
      </w:r>
      <w:r>
        <w:rPr>
          <w:rFonts w:hint="eastAsia"/>
          <w:b/>
          <w:highlight w:val="none"/>
        </w:rPr>
        <w:t>.10</w:t>
      </w:r>
      <w:r>
        <w:rPr>
          <w:b/>
          <w:highlight w:val="none"/>
        </w:rPr>
        <w:t xml:space="preserve">  </w:t>
      </w:r>
      <w:r>
        <w:rPr>
          <w:rFonts w:hint="eastAsia"/>
          <w:highlight w:val="none"/>
        </w:rPr>
        <w:t>模块内电气系统、电气装置等的检测还应符合现行国家标准《建筑电气工程施工质量验收规范》GB50303的有关规定。</w:t>
      </w:r>
      <w:bookmarkEnd w:id="955"/>
      <w:bookmarkEnd w:id="956"/>
    </w:p>
    <w:p w14:paraId="647D2944">
      <w:pPr>
        <w:rPr>
          <w:highlight w:val="none"/>
        </w:rPr>
      </w:pPr>
      <w:r>
        <w:rPr>
          <w:rFonts w:hint="eastAsia"/>
          <w:b/>
          <w:highlight w:val="none"/>
        </w:rPr>
        <w:t>8.</w:t>
      </w:r>
      <w:r>
        <w:rPr>
          <w:rFonts w:hint="eastAsia"/>
          <w:b/>
          <w:bCs/>
          <w:highlight w:val="none"/>
          <w:lang w:val="en-US" w:eastAsia="zh-CN"/>
        </w:rPr>
        <w:t>5</w:t>
      </w:r>
      <w:r>
        <w:rPr>
          <w:b/>
          <w:bCs/>
          <w:highlight w:val="none"/>
        </w:rPr>
        <w:t>.</w:t>
      </w:r>
      <w:r>
        <w:rPr>
          <w:rFonts w:hint="eastAsia"/>
          <w:b/>
          <w:bCs/>
          <w:highlight w:val="none"/>
        </w:rPr>
        <w:t>11</w:t>
      </w:r>
      <w:r>
        <w:rPr>
          <w:b/>
          <w:bCs/>
          <w:highlight w:val="none"/>
        </w:rPr>
        <w:t xml:space="preserve">  </w:t>
      </w:r>
      <w:r>
        <w:rPr>
          <w:rFonts w:hint="eastAsia"/>
          <w:highlight w:val="none"/>
        </w:rPr>
        <w:t>模块单元的装修质量检验应包括墙面、地面、天花、机电和门窗等内容。</w:t>
      </w:r>
    </w:p>
    <w:p w14:paraId="02CB0495">
      <w:pPr>
        <w:rPr>
          <w:highlight w:val="none"/>
        </w:rPr>
      </w:pPr>
      <w:r>
        <w:rPr>
          <w:rFonts w:hint="eastAsia"/>
          <w:b/>
          <w:highlight w:val="none"/>
        </w:rPr>
        <w:t>8.</w:t>
      </w:r>
      <w:r>
        <w:rPr>
          <w:rFonts w:hint="eastAsia"/>
          <w:b/>
          <w:bCs/>
          <w:highlight w:val="none"/>
          <w:lang w:val="en-US" w:eastAsia="zh-CN"/>
        </w:rPr>
        <w:t>5</w:t>
      </w:r>
      <w:r>
        <w:rPr>
          <w:b/>
          <w:bCs/>
          <w:highlight w:val="none"/>
        </w:rPr>
        <w:t>.</w:t>
      </w:r>
      <w:r>
        <w:rPr>
          <w:rFonts w:hint="eastAsia"/>
          <w:b/>
          <w:bCs/>
          <w:highlight w:val="none"/>
        </w:rPr>
        <w:t>12</w:t>
      </w:r>
      <w:r>
        <w:rPr>
          <w:b/>
          <w:bCs/>
          <w:highlight w:val="none"/>
        </w:rPr>
        <w:t xml:space="preserve">  </w:t>
      </w:r>
      <w:r>
        <w:rPr>
          <w:rFonts w:hint="eastAsia"/>
          <w:highlight w:val="none"/>
        </w:rPr>
        <w:t>内、外面砖或石材饰面与模块单元混凝土的粘结强度应符合现行行业标准《建筑工程饰面砖粘结强度检验标准》JGJ110和《外墙饰面砖工程施工及验收规程》JGJ126的有关规定，并应满足下列要求：</w:t>
      </w:r>
    </w:p>
    <w:p w14:paraId="408CC351">
      <w:pPr>
        <w:ind w:firstLine="422" w:firstLineChars="200"/>
        <w:rPr>
          <w:kern w:val="0"/>
          <w:szCs w:val="24"/>
          <w:highlight w:val="none"/>
          <w:lang w:bidi="ar"/>
        </w:rPr>
      </w:pPr>
      <w:r>
        <w:rPr>
          <w:rFonts w:hint="eastAsia"/>
          <w:b/>
          <w:bCs/>
          <w:kern w:val="0"/>
          <w:szCs w:val="24"/>
          <w:highlight w:val="none"/>
          <w:lang w:bidi="ar"/>
        </w:rPr>
        <w:t>1</w:t>
      </w:r>
      <w:r>
        <w:rPr>
          <w:rFonts w:hint="eastAsia"/>
          <w:kern w:val="0"/>
          <w:szCs w:val="24"/>
          <w:highlight w:val="none"/>
          <w:lang w:bidi="ar"/>
        </w:rPr>
        <w:t xml:space="preserve"> </w:t>
      </w:r>
      <w:r>
        <w:rPr>
          <w:rFonts w:hint="eastAsia"/>
          <w:kern w:val="0"/>
          <w:szCs w:val="24"/>
          <w:highlight w:val="none"/>
          <w:lang w:val="en-US" w:eastAsia="zh-CN" w:bidi="ar"/>
        </w:rPr>
        <w:t xml:space="preserve"> </w:t>
      </w:r>
      <w:r>
        <w:rPr>
          <w:rFonts w:hint="eastAsia"/>
          <w:kern w:val="0"/>
          <w:szCs w:val="24"/>
          <w:highlight w:val="none"/>
          <w:lang w:bidi="ar"/>
        </w:rPr>
        <w:t>模块铺装应提前进行深化设计，铺贴应对缝，勾缝顺直；</w:t>
      </w:r>
    </w:p>
    <w:p w14:paraId="4BC523F3">
      <w:pPr>
        <w:ind w:firstLine="422" w:firstLineChars="200"/>
        <w:rPr>
          <w:kern w:val="0"/>
          <w:szCs w:val="24"/>
          <w:highlight w:val="none"/>
          <w:lang w:bidi="ar"/>
        </w:rPr>
      </w:pPr>
      <w:r>
        <w:rPr>
          <w:rFonts w:hint="eastAsia"/>
          <w:b/>
          <w:bCs/>
          <w:kern w:val="0"/>
          <w:szCs w:val="24"/>
          <w:highlight w:val="none"/>
          <w:lang w:bidi="ar"/>
        </w:rPr>
        <w:t>2</w:t>
      </w:r>
      <w:r>
        <w:rPr>
          <w:rFonts w:hint="eastAsia"/>
          <w:kern w:val="0"/>
          <w:szCs w:val="24"/>
          <w:highlight w:val="none"/>
          <w:lang w:bidi="ar"/>
        </w:rPr>
        <w:t xml:space="preserve"> </w:t>
      </w:r>
      <w:r>
        <w:rPr>
          <w:rFonts w:hint="eastAsia"/>
          <w:kern w:val="0"/>
          <w:szCs w:val="24"/>
          <w:highlight w:val="none"/>
          <w:lang w:val="en-US" w:eastAsia="zh-CN" w:bidi="ar"/>
        </w:rPr>
        <w:t xml:space="preserve"> </w:t>
      </w:r>
      <w:r>
        <w:rPr>
          <w:rFonts w:hint="eastAsia"/>
          <w:kern w:val="0"/>
          <w:szCs w:val="24"/>
          <w:highlight w:val="none"/>
          <w:lang w:bidi="ar"/>
        </w:rPr>
        <w:t>地面铺贴应考虑坡度要求，地漏位置宜位于瓷砖中间，并顺对角线切割找坡；</w:t>
      </w:r>
    </w:p>
    <w:p w14:paraId="63C1DDAD">
      <w:pPr>
        <w:ind w:firstLine="422" w:firstLineChars="200"/>
        <w:rPr>
          <w:kern w:val="0"/>
          <w:szCs w:val="24"/>
          <w:highlight w:val="none"/>
          <w:lang w:bidi="ar"/>
        </w:rPr>
      </w:pPr>
      <w:r>
        <w:rPr>
          <w:rFonts w:hint="eastAsia"/>
          <w:b/>
          <w:bCs/>
          <w:kern w:val="0"/>
          <w:szCs w:val="24"/>
          <w:highlight w:val="none"/>
          <w:lang w:bidi="ar"/>
        </w:rPr>
        <w:t>3</w:t>
      </w:r>
      <w:r>
        <w:rPr>
          <w:rFonts w:hint="eastAsia"/>
          <w:kern w:val="0"/>
          <w:szCs w:val="24"/>
          <w:highlight w:val="none"/>
          <w:lang w:bidi="ar"/>
        </w:rPr>
        <w:t xml:space="preserve"> </w:t>
      </w:r>
      <w:r>
        <w:rPr>
          <w:rFonts w:hint="eastAsia"/>
          <w:kern w:val="0"/>
          <w:szCs w:val="24"/>
          <w:highlight w:val="none"/>
          <w:lang w:val="en-US" w:eastAsia="zh-CN" w:bidi="ar"/>
        </w:rPr>
        <w:t xml:space="preserve"> </w:t>
      </w:r>
      <w:r>
        <w:rPr>
          <w:rFonts w:hint="eastAsia"/>
          <w:kern w:val="0"/>
          <w:szCs w:val="24"/>
          <w:highlight w:val="none"/>
          <w:lang w:bidi="ar"/>
        </w:rPr>
        <w:t>瓷砖位置预留洞应采用专用开孔器，并用胶泥封堵；</w:t>
      </w:r>
    </w:p>
    <w:p w14:paraId="2D1C5F91">
      <w:pPr>
        <w:ind w:firstLine="422" w:firstLineChars="200"/>
        <w:rPr>
          <w:kern w:val="0"/>
          <w:szCs w:val="24"/>
          <w:highlight w:val="none"/>
          <w:lang w:bidi="ar"/>
        </w:rPr>
      </w:pPr>
      <w:r>
        <w:rPr>
          <w:rFonts w:hint="eastAsia"/>
          <w:b/>
          <w:bCs/>
          <w:kern w:val="0"/>
          <w:szCs w:val="24"/>
          <w:highlight w:val="none"/>
          <w:lang w:bidi="ar"/>
        </w:rPr>
        <w:t>4</w:t>
      </w:r>
      <w:r>
        <w:rPr>
          <w:rFonts w:hint="eastAsia"/>
          <w:kern w:val="0"/>
          <w:szCs w:val="24"/>
          <w:highlight w:val="none"/>
          <w:lang w:bidi="ar"/>
        </w:rPr>
        <w:t xml:space="preserve"> </w:t>
      </w:r>
      <w:r>
        <w:rPr>
          <w:rFonts w:hint="eastAsia"/>
          <w:kern w:val="0"/>
          <w:szCs w:val="24"/>
          <w:highlight w:val="none"/>
          <w:lang w:val="en-US" w:eastAsia="zh-CN" w:bidi="ar"/>
        </w:rPr>
        <w:t xml:space="preserve"> </w:t>
      </w:r>
      <w:r>
        <w:rPr>
          <w:rFonts w:hint="eastAsia"/>
          <w:kern w:val="0"/>
          <w:szCs w:val="24"/>
          <w:highlight w:val="none"/>
          <w:lang w:bidi="ar"/>
        </w:rPr>
        <w:t>收边收口应顺直，填缝饱满。</w:t>
      </w:r>
    </w:p>
    <w:p w14:paraId="70B2FD8C">
      <w:pPr>
        <w:rPr>
          <w:highlight w:val="none"/>
        </w:rPr>
      </w:pPr>
      <w:r>
        <w:rPr>
          <w:rFonts w:hint="eastAsia"/>
          <w:b/>
          <w:highlight w:val="none"/>
        </w:rPr>
        <w:t>8.</w:t>
      </w:r>
      <w:r>
        <w:rPr>
          <w:rFonts w:hint="eastAsia"/>
          <w:b/>
          <w:bCs/>
          <w:highlight w:val="none"/>
          <w:lang w:val="en-US" w:eastAsia="zh-CN"/>
        </w:rPr>
        <w:t>5</w:t>
      </w:r>
      <w:r>
        <w:rPr>
          <w:b/>
          <w:bCs/>
          <w:highlight w:val="none"/>
        </w:rPr>
        <w:t>.</w:t>
      </w:r>
      <w:r>
        <w:rPr>
          <w:rFonts w:hint="eastAsia"/>
          <w:b/>
          <w:bCs/>
          <w:highlight w:val="none"/>
        </w:rPr>
        <w:t>13</w:t>
      </w:r>
      <w:r>
        <w:rPr>
          <w:b/>
          <w:highlight w:val="none"/>
        </w:rPr>
        <w:t xml:space="preserve"> </w:t>
      </w:r>
      <w:r>
        <w:rPr>
          <w:highlight w:val="none"/>
        </w:rPr>
        <w:t xml:space="preserve"> </w:t>
      </w:r>
      <w:r>
        <w:rPr>
          <w:rFonts w:hint="eastAsia"/>
          <w:highlight w:val="none"/>
        </w:rPr>
        <w:t>卫浴及厨房模块单元应进行蓄水试验，其排水坡度、通风装置、安装及检修用管道空间、地面防水层均应符合设计要求和</w:t>
      </w:r>
      <w:r>
        <w:rPr>
          <w:rFonts w:hint="eastAsia"/>
          <w:highlight w:val="none"/>
          <w:lang w:eastAsia="zh-CN"/>
        </w:rPr>
        <w:t>本标准</w:t>
      </w:r>
      <w:r>
        <w:rPr>
          <w:rFonts w:hint="eastAsia"/>
          <w:highlight w:val="none"/>
        </w:rPr>
        <w:t>的有关规定。</w:t>
      </w:r>
    </w:p>
    <w:p w14:paraId="14B01272">
      <w:pPr>
        <w:rPr>
          <w:highlight w:val="none"/>
        </w:rPr>
      </w:pPr>
      <w:r>
        <w:rPr>
          <w:rFonts w:hint="eastAsia"/>
          <w:b/>
          <w:highlight w:val="none"/>
        </w:rPr>
        <w:t>8.</w:t>
      </w:r>
      <w:r>
        <w:rPr>
          <w:rFonts w:hint="eastAsia"/>
          <w:b/>
          <w:bCs/>
          <w:highlight w:val="none"/>
          <w:lang w:val="en-US" w:eastAsia="zh-CN"/>
        </w:rPr>
        <w:t>5</w:t>
      </w:r>
      <w:r>
        <w:rPr>
          <w:b/>
          <w:bCs/>
          <w:highlight w:val="none"/>
        </w:rPr>
        <w:t>.</w:t>
      </w:r>
      <w:r>
        <w:rPr>
          <w:rFonts w:hint="eastAsia"/>
          <w:b/>
          <w:bCs/>
          <w:highlight w:val="none"/>
        </w:rPr>
        <w:t>14</w:t>
      </w:r>
      <w:r>
        <w:rPr>
          <w:b/>
          <w:highlight w:val="none"/>
        </w:rPr>
        <w:t xml:space="preserve"> </w:t>
      </w:r>
      <w:r>
        <w:rPr>
          <w:highlight w:val="none"/>
        </w:rPr>
        <w:t xml:space="preserve"> </w:t>
      </w:r>
      <w:r>
        <w:rPr>
          <w:rFonts w:hint="eastAsia"/>
          <w:highlight w:val="none"/>
        </w:rPr>
        <w:t>模块单元出厂前应对有防水要求的外墙、外窗、门进行淋水试验。</w:t>
      </w:r>
    </w:p>
    <w:p w14:paraId="688B62FC">
      <w:pPr>
        <w:rPr>
          <w:highlight w:val="none"/>
        </w:rPr>
      </w:pPr>
      <w:r>
        <w:rPr>
          <w:rFonts w:hint="eastAsia"/>
          <w:b/>
          <w:highlight w:val="none"/>
        </w:rPr>
        <w:t>8.</w:t>
      </w:r>
      <w:r>
        <w:rPr>
          <w:rFonts w:hint="eastAsia"/>
          <w:b/>
          <w:bCs/>
          <w:highlight w:val="none"/>
          <w:lang w:val="en-US" w:eastAsia="zh-CN"/>
        </w:rPr>
        <w:t>5</w:t>
      </w:r>
      <w:r>
        <w:rPr>
          <w:b/>
          <w:bCs/>
          <w:highlight w:val="none"/>
        </w:rPr>
        <w:t>.</w:t>
      </w:r>
      <w:r>
        <w:rPr>
          <w:rFonts w:hint="eastAsia"/>
          <w:b/>
          <w:bCs/>
          <w:highlight w:val="none"/>
        </w:rPr>
        <w:t>15</w:t>
      </w:r>
      <w:r>
        <w:rPr>
          <w:b/>
          <w:highlight w:val="none"/>
        </w:rPr>
        <w:t xml:space="preserve"> </w:t>
      </w:r>
      <w:r>
        <w:rPr>
          <w:highlight w:val="none"/>
        </w:rPr>
        <w:t xml:space="preserve"> </w:t>
      </w:r>
      <w:r>
        <w:rPr>
          <w:rFonts w:hint="eastAsia"/>
          <w:highlight w:val="none"/>
        </w:rPr>
        <w:t>外立面涂料应满足《建筑装饰装修工程质量验收标准》</w:t>
      </w:r>
      <w:r>
        <w:rPr>
          <w:highlight w:val="none"/>
        </w:rPr>
        <w:t>GB50210</w:t>
      </w:r>
      <w:r>
        <w:rPr>
          <w:rFonts w:hint="eastAsia"/>
          <w:highlight w:val="none"/>
        </w:rPr>
        <w:t>等要求。</w:t>
      </w:r>
    </w:p>
    <w:p w14:paraId="49AECE7F">
      <w:pPr>
        <w:rPr>
          <w:highlight w:val="none"/>
        </w:rPr>
      </w:pPr>
      <w:r>
        <w:rPr>
          <w:rFonts w:hint="eastAsia"/>
          <w:b/>
          <w:highlight w:val="none"/>
        </w:rPr>
        <w:t>8.</w:t>
      </w:r>
      <w:r>
        <w:rPr>
          <w:rFonts w:hint="eastAsia"/>
          <w:b/>
          <w:bCs/>
          <w:highlight w:val="none"/>
          <w:lang w:val="en-US" w:eastAsia="zh-CN"/>
        </w:rPr>
        <w:t>5</w:t>
      </w:r>
      <w:r>
        <w:rPr>
          <w:b/>
          <w:bCs/>
          <w:highlight w:val="none"/>
        </w:rPr>
        <w:t>.</w:t>
      </w:r>
      <w:r>
        <w:rPr>
          <w:rFonts w:hint="eastAsia"/>
          <w:b/>
          <w:bCs/>
          <w:highlight w:val="none"/>
        </w:rPr>
        <w:t>16</w:t>
      </w:r>
      <w:r>
        <w:rPr>
          <w:b/>
          <w:highlight w:val="none"/>
        </w:rPr>
        <w:t xml:space="preserve"> </w:t>
      </w:r>
      <w:r>
        <w:rPr>
          <w:highlight w:val="none"/>
        </w:rPr>
        <w:t xml:space="preserve"> </w:t>
      </w:r>
      <w:r>
        <w:rPr>
          <w:rFonts w:hint="eastAsia"/>
          <w:highlight w:val="none"/>
        </w:rPr>
        <w:t>幕墙及门窗栏杆应满足《建筑装饰装修工程质量验收标准》</w:t>
      </w:r>
      <w:r>
        <w:rPr>
          <w:highlight w:val="none"/>
        </w:rPr>
        <w:t>GB50210</w:t>
      </w:r>
      <w:r>
        <w:rPr>
          <w:rFonts w:hint="eastAsia"/>
          <w:highlight w:val="none"/>
        </w:rPr>
        <w:t>、《金属与石材幕墙工程技术规范》</w:t>
      </w:r>
      <w:r>
        <w:rPr>
          <w:highlight w:val="none"/>
        </w:rPr>
        <w:t>JGJ133</w:t>
      </w:r>
      <w:r>
        <w:rPr>
          <w:rFonts w:hint="eastAsia"/>
          <w:highlight w:val="none"/>
        </w:rPr>
        <w:t>等要求，幕墙工程观感检验应符合下列规定：</w:t>
      </w:r>
    </w:p>
    <w:p w14:paraId="13301449">
      <w:pPr>
        <w:ind w:firstLine="422" w:firstLineChars="200"/>
        <w:jc w:val="left"/>
        <w:rPr>
          <w:kern w:val="0"/>
          <w:szCs w:val="24"/>
          <w:highlight w:val="none"/>
          <w:lang w:bidi="ar"/>
        </w:rPr>
      </w:pPr>
      <w:r>
        <w:rPr>
          <w:b/>
          <w:bCs/>
          <w:kern w:val="0"/>
          <w:szCs w:val="24"/>
          <w:highlight w:val="none"/>
          <w:lang w:bidi="ar"/>
        </w:rPr>
        <w:t>1</w:t>
      </w:r>
      <w:r>
        <w:rPr>
          <w:kern w:val="0"/>
          <w:szCs w:val="24"/>
          <w:highlight w:val="none"/>
          <w:lang w:bidi="ar"/>
        </w:rPr>
        <w:t xml:space="preserve"> </w:t>
      </w:r>
      <w:r>
        <w:rPr>
          <w:rFonts w:hint="eastAsia"/>
          <w:kern w:val="0"/>
          <w:szCs w:val="24"/>
          <w:highlight w:val="none"/>
          <w:lang w:val="en-US" w:eastAsia="zh-CN" w:bidi="ar"/>
        </w:rPr>
        <w:t xml:space="preserve"> </w:t>
      </w:r>
      <w:r>
        <w:rPr>
          <w:kern w:val="0"/>
          <w:szCs w:val="24"/>
          <w:highlight w:val="none"/>
          <w:lang w:bidi="ar"/>
        </w:rPr>
        <w:t>幕墙外露框应横平竖直，造型应符合设计要求；</w:t>
      </w:r>
    </w:p>
    <w:p w14:paraId="3120AAF2">
      <w:pPr>
        <w:ind w:firstLine="422" w:firstLineChars="200"/>
        <w:jc w:val="left"/>
        <w:rPr>
          <w:kern w:val="0"/>
          <w:szCs w:val="24"/>
          <w:highlight w:val="none"/>
          <w:lang w:bidi="ar"/>
        </w:rPr>
      </w:pPr>
      <w:r>
        <w:rPr>
          <w:b/>
          <w:bCs/>
          <w:kern w:val="0"/>
          <w:szCs w:val="24"/>
          <w:highlight w:val="none"/>
          <w:lang w:bidi="ar"/>
        </w:rPr>
        <w:t>2</w:t>
      </w:r>
      <w:r>
        <w:rPr>
          <w:kern w:val="0"/>
          <w:szCs w:val="24"/>
          <w:highlight w:val="none"/>
          <w:lang w:bidi="ar"/>
        </w:rPr>
        <w:t xml:space="preserve"> </w:t>
      </w:r>
      <w:r>
        <w:rPr>
          <w:rFonts w:hint="eastAsia"/>
          <w:kern w:val="0"/>
          <w:szCs w:val="24"/>
          <w:highlight w:val="none"/>
          <w:lang w:val="en-US" w:eastAsia="zh-CN" w:bidi="ar"/>
        </w:rPr>
        <w:t xml:space="preserve"> </w:t>
      </w:r>
      <w:r>
        <w:rPr>
          <w:kern w:val="0"/>
          <w:szCs w:val="24"/>
          <w:highlight w:val="none"/>
          <w:lang w:bidi="ar"/>
        </w:rPr>
        <w:t>幕墙的胶缝应横平竖直，表面应光滑无污染；</w:t>
      </w:r>
    </w:p>
    <w:p w14:paraId="5EA4021D">
      <w:pPr>
        <w:ind w:firstLine="422" w:firstLineChars="200"/>
        <w:jc w:val="left"/>
        <w:rPr>
          <w:kern w:val="0"/>
          <w:szCs w:val="24"/>
          <w:highlight w:val="none"/>
          <w:lang w:bidi="ar"/>
        </w:rPr>
      </w:pPr>
      <w:r>
        <w:rPr>
          <w:b/>
          <w:bCs/>
          <w:kern w:val="0"/>
          <w:szCs w:val="24"/>
          <w:highlight w:val="none"/>
          <w:lang w:bidi="ar"/>
        </w:rPr>
        <w:t>3</w:t>
      </w:r>
      <w:r>
        <w:rPr>
          <w:kern w:val="0"/>
          <w:szCs w:val="24"/>
          <w:highlight w:val="none"/>
          <w:lang w:bidi="ar"/>
        </w:rPr>
        <w:t xml:space="preserve"> </w:t>
      </w:r>
      <w:r>
        <w:rPr>
          <w:rFonts w:hint="eastAsia"/>
          <w:kern w:val="0"/>
          <w:szCs w:val="24"/>
          <w:highlight w:val="none"/>
          <w:lang w:val="en-US" w:eastAsia="zh-CN" w:bidi="ar"/>
        </w:rPr>
        <w:t xml:space="preserve"> </w:t>
      </w:r>
      <w:r>
        <w:rPr>
          <w:kern w:val="0"/>
          <w:szCs w:val="24"/>
          <w:highlight w:val="none"/>
          <w:lang w:bidi="ar"/>
        </w:rPr>
        <w:t>铝合金板应无脱膜现象，颜色应均匀，其色差可同色板相差一级；</w:t>
      </w:r>
    </w:p>
    <w:p w14:paraId="2F25C367">
      <w:pPr>
        <w:ind w:firstLine="422" w:firstLineChars="200"/>
        <w:jc w:val="left"/>
        <w:rPr>
          <w:kern w:val="0"/>
          <w:szCs w:val="24"/>
          <w:highlight w:val="none"/>
          <w:lang w:bidi="ar"/>
        </w:rPr>
      </w:pPr>
      <w:r>
        <w:rPr>
          <w:b/>
          <w:bCs/>
          <w:kern w:val="0"/>
          <w:szCs w:val="24"/>
          <w:highlight w:val="none"/>
          <w:lang w:bidi="ar"/>
        </w:rPr>
        <w:t>4</w:t>
      </w:r>
      <w:r>
        <w:rPr>
          <w:kern w:val="0"/>
          <w:szCs w:val="24"/>
          <w:highlight w:val="none"/>
          <w:lang w:bidi="ar"/>
        </w:rPr>
        <w:t xml:space="preserve"> </w:t>
      </w:r>
      <w:r>
        <w:rPr>
          <w:rFonts w:hint="eastAsia"/>
          <w:kern w:val="0"/>
          <w:szCs w:val="24"/>
          <w:highlight w:val="none"/>
          <w:lang w:val="en-US" w:eastAsia="zh-CN" w:bidi="ar"/>
        </w:rPr>
        <w:t xml:space="preserve"> </w:t>
      </w:r>
      <w:r>
        <w:rPr>
          <w:kern w:val="0"/>
          <w:szCs w:val="24"/>
          <w:highlight w:val="none"/>
          <w:lang w:bidi="ar"/>
        </w:rPr>
        <w:t>缝的处理，应保持外观效果的一致性，并应符合设计要求；</w:t>
      </w:r>
    </w:p>
    <w:p w14:paraId="09617DC9">
      <w:pPr>
        <w:ind w:firstLine="422" w:firstLineChars="200"/>
        <w:jc w:val="left"/>
        <w:rPr>
          <w:kern w:val="0"/>
          <w:szCs w:val="24"/>
          <w:highlight w:val="none"/>
          <w:lang w:bidi="ar"/>
        </w:rPr>
      </w:pPr>
      <w:r>
        <w:rPr>
          <w:b/>
          <w:bCs/>
          <w:kern w:val="0"/>
          <w:szCs w:val="24"/>
          <w:highlight w:val="none"/>
          <w:lang w:bidi="ar"/>
        </w:rPr>
        <w:t>5</w:t>
      </w:r>
      <w:r>
        <w:rPr>
          <w:kern w:val="0"/>
          <w:szCs w:val="24"/>
          <w:highlight w:val="none"/>
          <w:lang w:bidi="ar"/>
        </w:rPr>
        <w:t xml:space="preserve"> </w:t>
      </w:r>
      <w:r>
        <w:rPr>
          <w:rFonts w:hint="eastAsia"/>
          <w:kern w:val="0"/>
          <w:szCs w:val="24"/>
          <w:highlight w:val="none"/>
          <w:lang w:val="en-US" w:eastAsia="zh-CN" w:bidi="ar"/>
        </w:rPr>
        <w:t xml:space="preserve"> </w:t>
      </w:r>
      <w:r>
        <w:rPr>
          <w:kern w:val="0"/>
          <w:szCs w:val="24"/>
          <w:highlight w:val="none"/>
          <w:lang w:bidi="ar"/>
        </w:rPr>
        <w:t>金属板材表面应平整，站在距幕墙表面 3m 处肉眼观察时不应有可觉察的变形、波纹或局部压砸等缺陷。</w:t>
      </w:r>
    </w:p>
    <w:p w14:paraId="25D40AD6">
      <w:pPr>
        <w:pStyle w:val="3"/>
        <w:spacing w:before="166" w:beforeLines="50" w:after="166" w:afterLines="50" w:line="360" w:lineRule="auto"/>
        <w:jc w:val="center"/>
        <w:rPr>
          <w:rFonts w:ascii="Times New Roman" w:hAnsi="Times New Roman" w:eastAsia="黑体" w:cs="Times New Roman"/>
          <w:sz w:val="24"/>
          <w:szCs w:val="24"/>
          <w:highlight w:val="none"/>
        </w:rPr>
      </w:pPr>
      <w:bookmarkStart w:id="957" w:name="_Toc6597"/>
      <w:bookmarkStart w:id="958" w:name="_Toc17178"/>
      <w:bookmarkStart w:id="959" w:name="_Toc1275"/>
      <w:bookmarkStart w:id="960" w:name="_Toc2387"/>
      <w:bookmarkStart w:id="961" w:name="_Toc4943"/>
      <w:bookmarkStart w:id="962" w:name="_Toc16687"/>
      <w:bookmarkStart w:id="963" w:name="_Toc17051"/>
      <w:bookmarkStart w:id="964" w:name="_Toc30448"/>
      <w:bookmarkStart w:id="965" w:name="_Toc29102"/>
      <w:bookmarkStart w:id="966" w:name="_Toc28919"/>
      <w:bookmarkStart w:id="967" w:name="_Toc23916"/>
      <w:bookmarkStart w:id="968" w:name="_Toc28086"/>
      <w:r>
        <w:rPr>
          <w:rFonts w:hint="eastAsia" w:ascii="Times New Roman" w:hAnsi="Times New Roman" w:eastAsia="黑体" w:cs="Times New Roman"/>
          <w:b/>
          <w:sz w:val="24"/>
          <w:szCs w:val="24"/>
          <w:highlight w:val="none"/>
        </w:rPr>
        <w:t>8.</w:t>
      </w:r>
      <w:r>
        <w:rPr>
          <w:rFonts w:hint="eastAsia" w:ascii="Times New Roman" w:hAnsi="Times New Roman" w:eastAsia="黑体" w:cs="Times New Roman"/>
          <w:b/>
          <w:sz w:val="24"/>
          <w:szCs w:val="24"/>
          <w:highlight w:val="none"/>
          <w:lang w:val="en-US" w:eastAsia="zh-CN"/>
        </w:rPr>
        <w:t>6</w:t>
      </w:r>
      <w:r>
        <w:rPr>
          <w:rFonts w:hint="eastAsia" w:ascii="Times New Roman" w:hAnsi="Times New Roman" w:eastAsia="黑体" w:cs="Times New Roman"/>
          <w:b/>
          <w:sz w:val="24"/>
          <w:szCs w:val="24"/>
          <w:highlight w:val="none"/>
        </w:rPr>
        <w:t xml:space="preserve"> </w:t>
      </w:r>
      <w:r>
        <w:rPr>
          <w:rFonts w:hint="eastAsia" w:ascii="Times New Roman" w:hAnsi="Times New Roman" w:eastAsia="黑体" w:cs="Times New Roman"/>
          <w:sz w:val="24"/>
          <w:szCs w:val="24"/>
          <w:highlight w:val="none"/>
        </w:rPr>
        <w:t xml:space="preserve"> 模块单元检验</w:t>
      </w:r>
      <w:bookmarkEnd w:id="957"/>
      <w:bookmarkEnd w:id="958"/>
      <w:bookmarkEnd w:id="959"/>
      <w:bookmarkEnd w:id="960"/>
      <w:bookmarkEnd w:id="961"/>
      <w:bookmarkEnd w:id="962"/>
      <w:bookmarkEnd w:id="963"/>
      <w:bookmarkEnd w:id="964"/>
      <w:bookmarkEnd w:id="965"/>
      <w:bookmarkEnd w:id="966"/>
      <w:bookmarkEnd w:id="967"/>
      <w:bookmarkEnd w:id="968"/>
    </w:p>
    <w:p w14:paraId="610C2F96">
      <w:pPr>
        <w:rPr>
          <w:highlight w:val="none"/>
        </w:rPr>
      </w:pPr>
      <w:bookmarkStart w:id="969" w:name="_Toc4927"/>
      <w:bookmarkStart w:id="970" w:name="_Toc23489"/>
      <w:r>
        <w:rPr>
          <w:rFonts w:hint="eastAsia"/>
          <w:b/>
          <w:highlight w:val="none"/>
        </w:rPr>
        <w:t>8.</w:t>
      </w:r>
      <w:r>
        <w:rPr>
          <w:rFonts w:hint="eastAsia"/>
          <w:b/>
          <w:highlight w:val="none"/>
          <w:lang w:val="en-US" w:eastAsia="zh-CN"/>
        </w:rPr>
        <w:t>6</w:t>
      </w:r>
      <w:r>
        <w:rPr>
          <w:rFonts w:hint="eastAsia"/>
          <w:b/>
          <w:highlight w:val="none"/>
        </w:rPr>
        <w:t>.1</w:t>
      </w:r>
      <w:r>
        <w:rPr>
          <w:b/>
          <w:highlight w:val="none"/>
        </w:rPr>
        <w:t xml:space="preserve">  </w:t>
      </w:r>
      <w:r>
        <w:rPr>
          <w:rFonts w:hint="eastAsia"/>
          <w:highlight w:val="none"/>
        </w:rPr>
        <w:t>模块单元的出厂检验应包括下列内容：</w:t>
      </w:r>
      <w:bookmarkEnd w:id="969"/>
      <w:bookmarkEnd w:id="970"/>
    </w:p>
    <w:p w14:paraId="33A41AB0">
      <w:pPr>
        <w:ind w:firstLine="422" w:firstLineChars="200"/>
        <w:rPr>
          <w:highlight w:val="none"/>
        </w:rPr>
      </w:pPr>
      <w:bookmarkStart w:id="971" w:name="OLE_LINK11"/>
      <w:r>
        <w:rPr>
          <w:rFonts w:hint="eastAsia"/>
          <w:b/>
          <w:highlight w:val="none"/>
        </w:rPr>
        <w:t>1</w:t>
      </w:r>
      <w:r>
        <w:rPr>
          <w:highlight w:val="none"/>
        </w:rPr>
        <w:t xml:space="preserve">  </w:t>
      </w:r>
      <w:r>
        <w:rPr>
          <w:rFonts w:hint="eastAsia"/>
          <w:highlight w:val="none"/>
        </w:rPr>
        <w:t>模块单元的预制构件的质量检验；</w:t>
      </w:r>
    </w:p>
    <w:bookmarkEnd w:id="971"/>
    <w:p w14:paraId="19E379AD">
      <w:pPr>
        <w:ind w:firstLine="422" w:firstLineChars="200"/>
        <w:rPr>
          <w:highlight w:val="none"/>
        </w:rPr>
      </w:pPr>
      <w:r>
        <w:rPr>
          <w:rFonts w:hint="eastAsia"/>
          <w:b/>
          <w:highlight w:val="none"/>
        </w:rPr>
        <w:t>2</w:t>
      </w:r>
      <w:r>
        <w:rPr>
          <w:highlight w:val="none"/>
        </w:rPr>
        <w:t xml:space="preserve">  </w:t>
      </w:r>
      <w:r>
        <w:rPr>
          <w:rFonts w:hint="eastAsia"/>
          <w:highlight w:val="none"/>
        </w:rPr>
        <w:t>模块单元的外观质量检验；</w:t>
      </w:r>
    </w:p>
    <w:p w14:paraId="122526C8">
      <w:pPr>
        <w:ind w:firstLine="422" w:firstLineChars="200"/>
        <w:rPr>
          <w:highlight w:val="none"/>
        </w:rPr>
      </w:pPr>
      <w:r>
        <w:rPr>
          <w:rFonts w:hint="eastAsia"/>
          <w:b/>
          <w:highlight w:val="none"/>
        </w:rPr>
        <w:t>3</w:t>
      </w:r>
      <w:r>
        <w:rPr>
          <w:highlight w:val="none"/>
        </w:rPr>
        <w:t xml:space="preserve">  </w:t>
      </w:r>
      <w:r>
        <w:rPr>
          <w:rFonts w:hint="eastAsia"/>
          <w:highlight w:val="none"/>
        </w:rPr>
        <w:t>模块单元的淋水试验；</w:t>
      </w:r>
    </w:p>
    <w:p w14:paraId="49D4DA5B">
      <w:pPr>
        <w:ind w:firstLine="422" w:firstLineChars="200"/>
        <w:rPr>
          <w:highlight w:val="none"/>
        </w:rPr>
      </w:pPr>
      <w:r>
        <w:rPr>
          <w:rFonts w:hint="eastAsia"/>
          <w:b/>
          <w:highlight w:val="none"/>
        </w:rPr>
        <w:t>4</w:t>
      </w:r>
      <w:r>
        <w:rPr>
          <w:highlight w:val="none"/>
        </w:rPr>
        <w:t xml:space="preserve">  </w:t>
      </w:r>
      <w:r>
        <w:rPr>
          <w:rFonts w:hint="eastAsia"/>
          <w:highlight w:val="none"/>
        </w:rPr>
        <w:t>模块单元的使用功能检验；</w:t>
      </w:r>
    </w:p>
    <w:p w14:paraId="785298CA">
      <w:pPr>
        <w:ind w:firstLine="422" w:firstLineChars="200"/>
        <w:rPr>
          <w:highlight w:val="none"/>
        </w:rPr>
      </w:pPr>
      <w:r>
        <w:rPr>
          <w:rFonts w:hint="eastAsia"/>
          <w:b/>
          <w:highlight w:val="none"/>
        </w:rPr>
        <w:t>5</w:t>
      </w:r>
      <w:r>
        <w:rPr>
          <w:highlight w:val="none"/>
        </w:rPr>
        <w:t xml:space="preserve">  </w:t>
      </w:r>
      <w:r>
        <w:rPr>
          <w:rFonts w:hint="eastAsia"/>
          <w:highlight w:val="none"/>
        </w:rPr>
        <w:t>模块单元的生产过程资料检验，包括包括钢筋、混凝土、金属波纹管、灌浆套筒、机电、装饰装修等材料检验报告以及各工序验收核查记录等。</w:t>
      </w:r>
    </w:p>
    <w:p w14:paraId="6B66CCD6">
      <w:pPr>
        <w:rPr>
          <w:highlight w:val="none"/>
        </w:rPr>
      </w:pPr>
      <w:r>
        <w:rPr>
          <w:rFonts w:hint="eastAsia"/>
          <w:b/>
          <w:highlight w:val="none"/>
        </w:rPr>
        <w:t>8.</w:t>
      </w:r>
      <w:r>
        <w:rPr>
          <w:rFonts w:hint="eastAsia"/>
          <w:b/>
          <w:highlight w:val="none"/>
          <w:lang w:val="en-US" w:eastAsia="zh-CN"/>
        </w:rPr>
        <w:t>6</w:t>
      </w:r>
      <w:r>
        <w:rPr>
          <w:rFonts w:hint="eastAsia"/>
          <w:b/>
          <w:highlight w:val="none"/>
        </w:rPr>
        <w:t>.</w:t>
      </w:r>
      <w:r>
        <w:rPr>
          <w:b/>
          <w:highlight w:val="none"/>
        </w:rPr>
        <w:t xml:space="preserve">2  </w:t>
      </w:r>
      <w:r>
        <w:rPr>
          <w:rFonts w:hint="eastAsia"/>
          <w:highlight w:val="none"/>
        </w:rPr>
        <w:t>模块单元生产时应采取措施避免出现外观质量缺陷。外观质量缺陷根据其影响结构性能、安装和使用功能的严重程度，可按现行</w:t>
      </w:r>
      <w:r>
        <w:rPr>
          <w:highlight w:val="none"/>
        </w:rPr>
        <w:t>国家标准</w:t>
      </w:r>
      <w:r>
        <w:rPr>
          <w:rFonts w:hint="eastAsia"/>
          <w:highlight w:val="none"/>
        </w:rPr>
        <w:t>《混凝土结构工程施工质量验收规范》G</w:t>
      </w:r>
      <w:r>
        <w:rPr>
          <w:highlight w:val="none"/>
        </w:rPr>
        <w:t>B 50204</w:t>
      </w:r>
      <w:r>
        <w:rPr>
          <w:rFonts w:hint="eastAsia"/>
          <w:highlight w:val="none"/>
        </w:rPr>
        <w:t>的有关规定执行，划分为严重缺陷和一般缺陷。</w:t>
      </w:r>
    </w:p>
    <w:p w14:paraId="0B76274C">
      <w:pPr>
        <w:rPr>
          <w:highlight w:val="none"/>
        </w:rPr>
      </w:pPr>
      <w:r>
        <w:rPr>
          <w:rFonts w:hint="eastAsia"/>
          <w:b/>
          <w:highlight w:val="none"/>
        </w:rPr>
        <w:t>8.</w:t>
      </w:r>
      <w:r>
        <w:rPr>
          <w:rFonts w:hint="eastAsia"/>
          <w:b/>
          <w:highlight w:val="none"/>
          <w:lang w:val="en-US" w:eastAsia="zh-CN"/>
        </w:rPr>
        <w:t>6</w:t>
      </w:r>
      <w:r>
        <w:rPr>
          <w:rFonts w:hint="eastAsia"/>
          <w:b/>
          <w:highlight w:val="none"/>
        </w:rPr>
        <w:t>.</w:t>
      </w:r>
      <w:r>
        <w:rPr>
          <w:b/>
          <w:highlight w:val="none"/>
        </w:rPr>
        <w:t xml:space="preserve">3  </w:t>
      </w:r>
      <w:r>
        <w:rPr>
          <w:rFonts w:hint="eastAsia"/>
          <w:highlight w:val="none"/>
        </w:rPr>
        <w:t>模块单元出厂前应及时对其外观质量进行全数目测检查。模块单元外观质量不应有缺陷，对已经出现的严重缺陷应制定技术处理方案进行处理并重新检验，对出现的一般缺陷应进行修整并达到合格。</w:t>
      </w:r>
    </w:p>
    <w:p w14:paraId="1C06BAC2">
      <w:pPr>
        <w:rPr>
          <w:highlight w:val="none"/>
        </w:rPr>
      </w:pPr>
      <w:r>
        <w:rPr>
          <w:rFonts w:hint="eastAsia"/>
          <w:b/>
          <w:highlight w:val="none"/>
        </w:rPr>
        <w:t>8.</w:t>
      </w:r>
      <w:r>
        <w:rPr>
          <w:rFonts w:hint="eastAsia"/>
          <w:b/>
          <w:highlight w:val="none"/>
          <w:lang w:val="en-US" w:eastAsia="zh-CN"/>
        </w:rPr>
        <w:t>6</w:t>
      </w:r>
      <w:r>
        <w:rPr>
          <w:rFonts w:hint="eastAsia"/>
          <w:b/>
          <w:highlight w:val="none"/>
        </w:rPr>
        <w:t>.</w:t>
      </w:r>
      <w:r>
        <w:rPr>
          <w:b/>
          <w:highlight w:val="none"/>
        </w:rPr>
        <w:t xml:space="preserve">4  </w:t>
      </w:r>
      <w:r>
        <w:rPr>
          <w:rFonts w:hint="eastAsia"/>
          <w:highlight w:val="none"/>
        </w:rPr>
        <w:t>模块单元不应有影响结构性能、安装和使用功能的尺寸偏差。对超过尺寸允许偏差且影响结构性能和安装、使用功能的部位应经设计单位认可，制定技术处理方案进行处理，并重新检查验收。</w:t>
      </w:r>
    </w:p>
    <w:p w14:paraId="5A447759">
      <w:pPr>
        <w:rPr>
          <w:highlight w:val="none"/>
        </w:rPr>
      </w:pPr>
      <w:r>
        <w:rPr>
          <w:rFonts w:hint="eastAsia"/>
          <w:b/>
          <w:highlight w:val="none"/>
        </w:rPr>
        <w:t>8.</w:t>
      </w:r>
      <w:r>
        <w:rPr>
          <w:rFonts w:hint="eastAsia"/>
          <w:b/>
          <w:szCs w:val="24"/>
          <w:highlight w:val="none"/>
          <w:lang w:val="en-US" w:eastAsia="zh-CN"/>
        </w:rPr>
        <w:t>6</w:t>
      </w:r>
      <w:r>
        <w:rPr>
          <w:rFonts w:hint="eastAsia"/>
          <w:b/>
          <w:szCs w:val="24"/>
          <w:highlight w:val="none"/>
        </w:rPr>
        <w:t>.</w:t>
      </w:r>
      <w:r>
        <w:rPr>
          <w:b/>
          <w:szCs w:val="24"/>
          <w:highlight w:val="none"/>
        </w:rPr>
        <w:t xml:space="preserve">5  </w:t>
      </w:r>
      <w:r>
        <w:rPr>
          <w:rFonts w:hint="eastAsia"/>
          <w:szCs w:val="24"/>
          <w:highlight w:val="none"/>
        </w:rPr>
        <w:t>模块单元</w:t>
      </w:r>
      <w:r>
        <w:rPr>
          <w:rFonts w:hint="eastAsia"/>
          <w:szCs w:val="24"/>
          <w:highlight w:val="none"/>
          <w:lang w:eastAsia="zh-CN"/>
        </w:rPr>
        <w:t>（</w:t>
      </w:r>
      <w:r>
        <w:rPr>
          <w:rFonts w:hint="eastAsia"/>
          <w:szCs w:val="24"/>
          <w:highlight w:val="none"/>
          <w:lang w:val="en-US" w:eastAsia="zh-CN"/>
        </w:rPr>
        <w:t>图8.6.5</w:t>
      </w:r>
      <w:r>
        <w:rPr>
          <w:rFonts w:hint="eastAsia"/>
          <w:szCs w:val="24"/>
          <w:highlight w:val="none"/>
          <w:lang w:eastAsia="zh-CN"/>
        </w:rPr>
        <w:t>）</w:t>
      </w:r>
      <w:r>
        <w:rPr>
          <w:rFonts w:hint="eastAsia"/>
          <w:szCs w:val="24"/>
          <w:highlight w:val="none"/>
        </w:rPr>
        <w:t>的预制构件的尺寸偏差和检验方法应满足</w:t>
      </w:r>
      <w:r>
        <w:rPr>
          <w:rFonts w:hint="eastAsia"/>
          <w:szCs w:val="24"/>
          <w:highlight w:val="none"/>
          <w:lang w:val="en-US" w:eastAsia="zh-CN"/>
        </w:rPr>
        <w:t>现行行业标准《装配式混凝土结构技术规程》JGJ 1</w:t>
      </w:r>
      <w:r>
        <w:rPr>
          <w:rFonts w:hint="eastAsia"/>
          <w:szCs w:val="24"/>
          <w:highlight w:val="none"/>
        </w:rPr>
        <w:t>的</w:t>
      </w:r>
      <w:r>
        <w:rPr>
          <w:rFonts w:hint="eastAsia"/>
          <w:szCs w:val="24"/>
          <w:highlight w:val="none"/>
          <w:lang w:val="en-US" w:eastAsia="zh-CN"/>
        </w:rPr>
        <w:t>有关</w:t>
      </w:r>
      <w:r>
        <w:rPr>
          <w:rFonts w:hint="eastAsia"/>
          <w:szCs w:val="24"/>
          <w:highlight w:val="none"/>
        </w:rPr>
        <w:t>要求，模块的整体尺寸偏差和检验方法，应符合表8.</w:t>
      </w:r>
      <w:r>
        <w:rPr>
          <w:rFonts w:hint="eastAsia"/>
          <w:szCs w:val="24"/>
          <w:highlight w:val="none"/>
          <w:lang w:val="en-US" w:eastAsia="zh-CN"/>
        </w:rPr>
        <w:t>6</w:t>
      </w:r>
      <w:r>
        <w:rPr>
          <w:rFonts w:hint="eastAsia"/>
          <w:szCs w:val="24"/>
          <w:highlight w:val="none"/>
        </w:rPr>
        <w:t>.</w:t>
      </w:r>
      <w:r>
        <w:rPr>
          <w:szCs w:val="24"/>
          <w:highlight w:val="none"/>
        </w:rPr>
        <w:t>5</w:t>
      </w:r>
      <w:r>
        <w:rPr>
          <w:rFonts w:hint="eastAsia"/>
          <w:szCs w:val="24"/>
          <w:highlight w:val="none"/>
        </w:rPr>
        <w:t>的规定。</w:t>
      </w:r>
    </w:p>
    <w:p w14:paraId="53B93905">
      <w:pPr>
        <w:ind w:firstLine="420" w:firstLineChars="200"/>
        <w:rPr>
          <w:szCs w:val="24"/>
          <w:highlight w:val="none"/>
        </w:rPr>
      </w:pPr>
      <w:r>
        <w:rPr>
          <w:rFonts w:hint="eastAsia"/>
          <w:szCs w:val="24"/>
          <w:highlight w:val="none"/>
        </w:rPr>
        <w:t>检查数量：同种类型的模块单元不超过</w:t>
      </w:r>
      <w:r>
        <w:rPr>
          <w:szCs w:val="24"/>
          <w:highlight w:val="none"/>
        </w:rPr>
        <w:t>10</w:t>
      </w:r>
      <w:r>
        <w:rPr>
          <w:rFonts w:hint="eastAsia"/>
          <w:szCs w:val="24"/>
          <w:highlight w:val="none"/>
        </w:rPr>
        <w:t>个为一批，每批检查1个。</w:t>
      </w:r>
    </w:p>
    <w:p w14:paraId="7EC2E6DC">
      <w:pPr>
        <w:jc w:val="center"/>
        <w:rPr>
          <w:highlight w:val="none"/>
        </w:rPr>
      </w:pPr>
    </w:p>
    <w:p w14:paraId="36E63A2F">
      <w:pPr>
        <w:pStyle w:val="50"/>
        <w:rPr>
          <w:rFonts w:hint="eastAsia"/>
          <w:highlight w:val="none"/>
        </w:rPr>
      </w:pPr>
      <w:r>
        <w:rPr>
          <w:highlight w:val="none"/>
        </w:rPr>
        <w:drawing>
          <wp:inline distT="0" distB="0" distL="114300" distR="114300">
            <wp:extent cx="1845945" cy="1028065"/>
            <wp:effectExtent l="0" t="0" r="1905" b="63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36"/>
                    <a:stretch>
                      <a:fillRect/>
                    </a:stretch>
                  </pic:blipFill>
                  <pic:spPr>
                    <a:xfrm>
                      <a:off x="0" y="0"/>
                      <a:ext cx="1845945" cy="1028065"/>
                    </a:xfrm>
                    <a:prstGeom prst="rect">
                      <a:avLst/>
                    </a:prstGeom>
                    <a:noFill/>
                    <a:ln>
                      <a:noFill/>
                    </a:ln>
                  </pic:spPr>
                </pic:pic>
              </a:graphicData>
            </a:graphic>
          </wp:inline>
        </w:drawing>
      </w:r>
    </w:p>
    <w:p w14:paraId="0D492CD3">
      <w:pPr>
        <w:pStyle w:val="50"/>
        <w:rPr>
          <w:highlight w:val="none"/>
        </w:rPr>
      </w:pPr>
      <w:r>
        <w:rPr>
          <w:rFonts w:hint="eastAsia"/>
          <w:highlight w:val="none"/>
        </w:rPr>
        <w:t>图</w:t>
      </w:r>
      <w:r>
        <w:rPr>
          <w:rFonts w:hint="eastAsia"/>
          <w:b/>
          <w:highlight w:val="none"/>
        </w:rPr>
        <w:t>8.</w:t>
      </w:r>
      <w:r>
        <w:rPr>
          <w:rFonts w:hint="eastAsia"/>
          <w:b/>
          <w:highlight w:val="none"/>
          <w:lang w:val="en-US" w:eastAsia="zh-CN"/>
        </w:rPr>
        <w:t>6</w:t>
      </w:r>
      <w:r>
        <w:rPr>
          <w:rFonts w:hint="eastAsia"/>
          <w:b/>
          <w:highlight w:val="none"/>
        </w:rPr>
        <w:t>.</w:t>
      </w:r>
      <w:r>
        <w:rPr>
          <w:b/>
          <w:highlight w:val="none"/>
        </w:rPr>
        <w:t xml:space="preserve">5 </w:t>
      </w:r>
      <w:r>
        <w:rPr>
          <w:highlight w:val="none"/>
        </w:rPr>
        <w:t xml:space="preserve"> </w:t>
      </w:r>
      <w:r>
        <w:rPr>
          <w:rFonts w:hint="eastAsia"/>
          <w:highlight w:val="none"/>
        </w:rPr>
        <w:t>模块单元示意图</w:t>
      </w:r>
    </w:p>
    <w:p w14:paraId="1505A493">
      <w:pPr>
        <w:pStyle w:val="50"/>
        <w:rPr>
          <w:highlight w:val="none"/>
        </w:rPr>
      </w:pPr>
      <w:r>
        <w:rPr>
          <w:rFonts w:hint="eastAsia"/>
          <w:highlight w:val="none"/>
        </w:rPr>
        <w:t>表</w:t>
      </w:r>
      <w:r>
        <w:rPr>
          <w:rFonts w:hint="eastAsia"/>
          <w:b/>
          <w:highlight w:val="none"/>
        </w:rPr>
        <w:t>8.</w:t>
      </w:r>
      <w:r>
        <w:rPr>
          <w:rFonts w:hint="eastAsia"/>
          <w:b/>
          <w:highlight w:val="none"/>
          <w:lang w:val="en-US" w:eastAsia="zh-CN"/>
        </w:rPr>
        <w:t>6</w:t>
      </w:r>
      <w:r>
        <w:rPr>
          <w:rFonts w:hint="eastAsia"/>
          <w:b/>
          <w:highlight w:val="none"/>
        </w:rPr>
        <w:t>.</w:t>
      </w:r>
      <w:r>
        <w:rPr>
          <w:b/>
          <w:highlight w:val="none"/>
        </w:rPr>
        <w:t xml:space="preserve">5 </w:t>
      </w:r>
      <w:r>
        <w:rPr>
          <w:highlight w:val="none"/>
        </w:rPr>
        <w:t xml:space="preserve"> </w:t>
      </w:r>
      <w:r>
        <w:rPr>
          <w:rFonts w:hint="eastAsia"/>
          <w:highlight w:val="none"/>
        </w:rPr>
        <w:t>模块单元尺寸允许偏差及检验方法</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2147"/>
        <w:gridCol w:w="1230"/>
        <w:gridCol w:w="946"/>
        <w:gridCol w:w="1098"/>
      </w:tblGrid>
      <w:tr w14:paraId="6E4971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333" w:type="pct"/>
            <w:gridSpan w:val="3"/>
            <w:vAlign w:val="center"/>
          </w:tcPr>
          <w:p w14:paraId="2E968783">
            <w:pPr>
              <w:pStyle w:val="49"/>
              <w:rPr>
                <w:highlight w:val="none"/>
              </w:rPr>
            </w:pPr>
            <w:r>
              <w:rPr>
                <w:rFonts w:hint="eastAsia" w:ascii="宋体" w:hAnsi="宋体"/>
                <w:highlight w:val="none"/>
              </w:rPr>
              <w:t>项</w:t>
            </w:r>
            <w:r>
              <w:rPr>
                <w:highlight w:val="none"/>
              </w:rPr>
              <w:t xml:space="preserve">  </w:t>
            </w:r>
            <w:r>
              <w:rPr>
                <w:rFonts w:hint="eastAsia" w:ascii="宋体" w:hAnsi="宋体"/>
                <w:highlight w:val="none"/>
              </w:rPr>
              <w:t>目</w:t>
            </w:r>
          </w:p>
        </w:tc>
        <w:tc>
          <w:tcPr>
            <w:tcW w:w="771" w:type="pct"/>
            <w:vAlign w:val="center"/>
          </w:tcPr>
          <w:p w14:paraId="0C3DC860">
            <w:pPr>
              <w:pStyle w:val="49"/>
              <w:rPr>
                <w:highlight w:val="none"/>
              </w:rPr>
            </w:pPr>
            <w:r>
              <w:rPr>
                <w:rFonts w:hint="eastAsia" w:ascii="宋体" w:hAnsi="宋体"/>
                <w:highlight w:val="none"/>
              </w:rPr>
              <w:t>允许偏差</w:t>
            </w:r>
            <w:r>
              <w:rPr>
                <w:highlight w:val="none"/>
              </w:rPr>
              <w:t>(mm)</w:t>
            </w:r>
          </w:p>
        </w:tc>
        <w:tc>
          <w:tcPr>
            <w:tcW w:w="895" w:type="pct"/>
            <w:vAlign w:val="center"/>
          </w:tcPr>
          <w:p w14:paraId="3F0FE4AE">
            <w:pPr>
              <w:pStyle w:val="49"/>
              <w:rPr>
                <w:highlight w:val="none"/>
              </w:rPr>
            </w:pPr>
            <w:r>
              <w:rPr>
                <w:rFonts w:hint="eastAsia" w:ascii="宋体" w:hAnsi="宋体"/>
                <w:highlight w:val="none"/>
              </w:rPr>
              <w:t>检验方法</w:t>
            </w:r>
          </w:p>
        </w:tc>
      </w:tr>
      <w:tr w14:paraId="70E0F6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80" w:type="pct"/>
            <w:vMerge w:val="restart"/>
            <w:vAlign w:val="center"/>
          </w:tcPr>
          <w:p w14:paraId="748D060F">
            <w:pPr>
              <w:pStyle w:val="49"/>
              <w:rPr>
                <w:highlight w:val="none"/>
              </w:rPr>
            </w:pPr>
            <w:r>
              <w:rPr>
                <w:rFonts w:hint="eastAsia" w:ascii="宋体" w:hAnsi="宋体"/>
                <w:highlight w:val="none"/>
              </w:rPr>
              <w:t>长度</w:t>
            </w:r>
          </w:p>
        </w:tc>
        <w:tc>
          <w:tcPr>
            <w:tcW w:w="1750" w:type="pct"/>
            <w:vMerge w:val="restart"/>
            <w:vAlign w:val="center"/>
          </w:tcPr>
          <w:p w14:paraId="3F741771">
            <w:pPr>
              <w:pStyle w:val="49"/>
              <w:rPr>
                <w:highlight w:val="none"/>
              </w:rPr>
            </w:pPr>
            <w:r>
              <w:rPr>
                <w:highlight w:val="none"/>
              </w:rPr>
              <w:t>AB</w:t>
            </w:r>
            <w:r>
              <w:rPr>
                <w:rFonts w:hint="eastAsia" w:ascii="宋体" w:hAnsi="宋体"/>
                <w:highlight w:val="none"/>
              </w:rPr>
              <w:t>、</w:t>
            </w:r>
            <w:r>
              <w:rPr>
                <w:highlight w:val="none"/>
              </w:rPr>
              <w:t>A'B'</w:t>
            </w:r>
            <w:r>
              <w:rPr>
                <w:rFonts w:hint="eastAsia" w:ascii="宋体" w:hAnsi="宋体"/>
                <w:highlight w:val="none"/>
              </w:rPr>
              <w:t>、</w:t>
            </w:r>
            <w:r>
              <w:rPr>
                <w:highlight w:val="none"/>
              </w:rPr>
              <w:t>CD</w:t>
            </w:r>
            <w:r>
              <w:rPr>
                <w:rFonts w:hint="eastAsia" w:ascii="宋体" w:hAnsi="宋体"/>
                <w:highlight w:val="none"/>
              </w:rPr>
              <w:t>、</w:t>
            </w:r>
            <w:r>
              <w:rPr>
                <w:highlight w:val="none"/>
              </w:rPr>
              <w:t>C'D'</w:t>
            </w:r>
          </w:p>
        </w:tc>
        <w:tc>
          <w:tcPr>
            <w:tcW w:w="1002" w:type="pct"/>
            <w:vAlign w:val="center"/>
          </w:tcPr>
          <w:p w14:paraId="3DAD4BFB">
            <w:pPr>
              <w:pStyle w:val="49"/>
              <w:rPr>
                <w:highlight w:val="none"/>
              </w:rPr>
            </w:pPr>
            <w:r>
              <w:rPr>
                <w:rFonts w:hint="eastAsia" w:ascii="等线" w:hAnsi="等线"/>
                <w:highlight w:val="none"/>
              </w:rPr>
              <w:t>≤</w:t>
            </w:r>
            <w:r>
              <w:rPr>
                <w:highlight w:val="none"/>
              </w:rPr>
              <w:t>6m</w:t>
            </w:r>
          </w:p>
        </w:tc>
        <w:tc>
          <w:tcPr>
            <w:tcW w:w="771" w:type="pct"/>
            <w:vAlign w:val="center"/>
          </w:tcPr>
          <w:p w14:paraId="7B49AFC1">
            <w:pPr>
              <w:pStyle w:val="49"/>
              <w:rPr>
                <w:highlight w:val="none"/>
              </w:rPr>
            </w:pPr>
            <w:r>
              <w:rPr>
                <w:highlight w:val="none"/>
              </w:rPr>
              <w:t>-5</w:t>
            </w:r>
            <w:r>
              <w:rPr>
                <w:rFonts w:hint="eastAsia" w:ascii="宋体" w:hAnsi="宋体"/>
                <w:highlight w:val="none"/>
              </w:rPr>
              <w:t>，0</w:t>
            </w:r>
          </w:p>
        </w:tc>
        <w:tc>
          <w:tcPr>
            <w:tcW w:w="895" w:type="pct"/>
            <w:vMerge w:val="restart"/>
            <w:vAlign w:val="center"/>
          </w:tcPr>
          <w:p w14:paraId="7CBAF277">
            <w:pPr>
              <w:pStyle w:val="49"/>
              <w:spacing w:line="240" w:lineRule="exact"/>
              <w:rPr>
                <w:highlight w:val="none"/>
              </w:rPr>
            </w:pPr>
            <w:bookmarkStart w:id="972" w:name="OLE_LINK19"/>
            <w:r>
              <w:rPr>
                <w:rFonts w:hint="eastAsia" w:ascii="宋体" w:hAnsi="宋体"/>
                <w:highlight w:val="none"/>
              </w:rPr>
              <w:t>尺量检查</w:t>
            </w:r>
            <w:bookmarkEnd w:id="972"/>
          </w:p>
        </w:tc>
      </w:tr>
      <w:tr w14:paraId="318672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80" w:type="pct"/>
            <w:vMerge w:val="continue"/>
            <w:vAlign w:val="center"/>
          </w:tcPr>
          <w:p w14:paraId="7D68CF06">
            <w:pPr>
              <w:pStyle w:val="49"/>
              <w:rPr>
                <w:highlight w:val="none"/>
              </w:rPr>
            </w:pPr>
          </w:p>
        </w:tc>
        <w:tc>
          <w:tcPr>
            <w:tcW w:w="1750" w:type="pct"/>
            <w:vMerge w:val="continue"/>
            <w:vAlign w:val="center"/>
          </w:tcPr>
          <w:p w14:paraId="74D551C7">
            <w:pPr>
              <w:pStyle w:val="49"/>
              <w:rPr>
                <w:highlight w:val="none"/>
              </w:rPr>
            </w:pPr>
          </w:p>
        </w:tc>
        <w:tc>
          <w:tcPr>
            <w:tcW w:w="1002" w:type="pct"/>
            <w:vAlign w:val="center"/>
          </w:tcPr>
          <w:p w14:paraId="17403EA1">
            <w:pPr>
              <w:pStyle w:val="49"/>
              <w:rPr>
                <w:highlight w:val="none"/>
              </w:rPr>
            </w:pPr>
            <w:r>
              <w:rPr>
                <w:highlight w:val="none"/>
              </w:rPr>
              <w:t>&gt;6m</w:t>
            </w:r>
          </w:p>
        </w:tc>
        <w:tc>
          <w:tcPr>
            <w:tcW w:w="771" w:type="pct"/>
            <w:vAlign w:val="center"/>
          </w:tcPr>
          <w:p w14:paraId="4DECD0B5">
            <w:pPr>
              <w:pStyle w:val="49"/>
              <w:rPr>
                <w:highlight w:val="none"/>
              </w:rPr>
            </w:pPr>
            <w:r>
              <w:rPr>
                <w:highlight w:val="none"/>
              </w:rPr>
              <w:t>-</w:t>
            </w:r>
            <w:r>
              <w:rPr>
                <w:rFonts w:hint="eastAsia"/>
                <w:highlight w:val="none"/>
                <w:lang w:val="en-US" w:eastAsia="zh-CN"/>
              </w:rPr>
              <w:t>8</w:t>
            </w:r>
            <w:r>
              <w:rPr>
                <w:rFonts w:hint="eastAsia" w:ascii="宋体" w:hAnsi="宋体"/>
                <w:highlight w:val="none"/>
              </w:rPr>
              <w:t>，</w:t>
            </w:r>
            <w:r>
              <w:rPr>
                <w:rFonts w:hint="eastAsia"/>
                <w:highlight w:val="none"/>
              </w:rPr>
              <w:t>+2</w:t>
            </w:r>
          </w:p>
        </w:tc>
        <w:tc>
          <w:tcPr>
            <w:tcW w:w="895" w:type="pct"/>
            <w:vMerge w:val="continue"/>
            <w:vAlign w:val="center"/>
          </w:tcPr>
          <w:p w14:paraId="392F5673">
            <w:pPr>
              <w:pStyle w:val="49"/>
              <w:spacing w:line="240" w:lineRule="exact"/>
              <w:rPr>
                <w:highlight w:val="none"/>
              </w:rPr>
            </w:pPr>
          </w:p>
        </w:tc>
      </w:tr>
    </w:tbl>
    <w:p w14:paraId="31BF2D6B">
      <w:pPr>
        <w:rPr>
          <w:highlight w:val="none"/>
        </w:rPr>
      </w:pPr>
    </w:p>
    <w:p w14:paraId="0035DB1D">
      <w:pPr>
        <w:jc w:val="center"/>
        <w:rPr>
          <w:sz w:val="18"/>
          <w:szCs w:val="18"/>
          <w:highlight w:val="none"/>
        </w:rPr>
      </w:pPr>
      <w:r>
        <w:rPr>
          <w:rFonts w:hint="eastAsia" w:ascii="黑体" w:hAnsi="黑体" w:eastAsia="黑体" w:cs="黑体"/>
          <w:sz w:val="18"/>
          <w:szCs w:val="18"/>
          <w:highlight w:val="none"/>
          <w:lang w:val="en-US" w:eastAsia="zh-CN"/>
        </w:rPr>
        <w:t>续</w:t>
      </w:r>
      <w:r>
        <w:rPr>
          <w:rFonts w:hint="eastAsia" w:ascii="黑体" w:hAnsi="黑体" w:eastAsia="黑体" w:cs="黑体"/>
          <w:sz w:val="18"/>
          <w:szCs w:val="18"/>
          <w:highlight w:val="none"/>
        </w:rPr>
        <w:t>表</w:t>
      </w:r>
      <w:r>
        <w:rPr>
          <w:rFonts w:hint="eastAsia"/>
          <w:b/>
          <w:sz w:val="18"/>
          <w:szCs w:val="18"/>
          <w:highlight w:val="none"/>
        </w:rPr>
        <w:t>8.</w:t>
      </w:r>
      <w:r>
        <w:rPr>
          <w:rFonts w:hint="eastAsia"/>
          <w:b/>
          <w:sz w:val="18"/>
          <w:szCs w:val="18"/>
          <w:highlight w:val="none"/>
          <w:lang w:val="en-US" w:eastAsia="zh-CN"/>
        </w:rPr>
        <w:t>6</w:t>
      </w:r>
      <w:r>
        <w:rPr>
          <w:rFonts w:hint="eastAsia"/>
          <w:b/>
          <w:sz w:val="18"/>
          <w:szCs w:val="18"/>
          <w:highlight w:val="none"/>
        </w:rPr>
        <w:t>.</w:t>
      </w:r>
      <w:r>
        <w:rPr>
          <w:b/>
          <w:sz w:val="18"/>
          <w:szCs w:val="18"/>
          <w:highlight w:val="none"/>
        </w:rPr>
        <w:t>5</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2147"/>
        <w:gridCol w:w="1230"/>
        <w:gridCol w:w="946"/>
        <w:gridCol w:w="1098"/>
      </w:tblGrid>
      <w:tr w14:paraId="25CB96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83" w:hRule="atLeast"/>
          <w:jc w:val="center"/>
        </w:trPr>
        <w:tc>
          <w:tcPr>
            <w:tcW w:w="4089" w:type="dxa"/>
            <w:gridSpan w:val="3"/>
            <w:vAlign w:val="center"/>
          </w:tcPr>
          <w:p w14:paraId="0086CC78">
            <w:pPr>
              <w:pStyle w:val="49"/>
              <w:rPr>
                <w:highlight w:val="none"/>
              </w:rPr>
            </w:pPr>
            <w:r>
              <w:rPr>
                <w:rFonts w:hint="eastAsia" w:ascii="宋体" w:hAnsi="宋体"/>
                <w:highlight w:val="none"/>
              </w:rPr>
              <w:t>项</w:t>
            </w:r>
            <w:r>
              <w:rPr>
                <w:highlight w:val="none"/>
              </w:rPr>
              <w:t xml:space="preserve">  </w:t>
            </w:r>
            <w:r>
              <w:rPr>
                <w:rFonts w:hint="eastAsia" w:ascii="宋体" w:hAnsi="宋体"/>
                <w:highlight w:val="none"/>
              </w:rPr>
              <w:t>目</w:t>
            </w:r>
          </w:p>
        </w:tc>
        <w:tc>
          <w:tcPr>
            <w:tcW w:w="946" w:type="dxa"/>
            <w:vAlign w:val="center"/>
          </w:tcPr>
          <w:p w14:paraId="054A1E90">
            <w:pPr>
              <w:pStyle w:val="49"/>
              <w:rPr>
                <w:highlight w:val="none"/>
              </w:rPr>
            </w:pPr>
            <w:r>
              <w:rPr>
                <w:rFonts w:hint="eastAsia" w:ascii="宋体" w:hAnsi="宋体"/>
                <w:highlight w:val="none"/>
              </w:rPr>
              <w:t>允许偏差</w:t>
            </w:r>
            <w:r>
              <w:rPr>
                <w:highlight w:val="none"/>
              </w:rPr>
              <w:t>(mm)</w:t>
            </w:r>
          </w:p>
        </w:tc>
        <w:tc>
          <w:tcPr>
            <w:tcW w:w="1098" w:type="dxa"/>
            <w:vAlign w:val="center"/>
          </w:tcPr>
          <w:p w14:paraId="55EBC950">
            <w:pPr>
              <w:pStyle w:val="49"/>
              <w:rPr>
                <w:rFonts w:hint="eastAsia" w:ascii="宋体" w:hAnsi="宋体"/>
                <w:highlight w:val="none"/>
              </w:rPr>
            </w:pPr>
            <w:r>
              <w:rPr>
                <w:rFonts w:hint="eastAsia" w:ascii="宋体" w:hAnsi="宋体"/>
                <w:highlight w:val="none"/>
              </w:rPr>
              <w:t>检验方法</w:t>
            </w:r>
          </w:p>
        </w:tc>
      </w:tr>
      <w:tr w14:paraId="0ADBC6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580" w:type="pct"/>
            <w:vAlign w:val="center"/>
          </w:tcPr>
          <w:p w14:paraId="36AA193A">
            <w:pPr>
              <w:pStyle w:val="49"/>
              <w:rPr>
                <w:highlight w:val="none"/>
              </w:rPr>
            </w:pPr>
            <w:r>
              <w:rPr>
                <w:rFonts w:hint="eastAsia" w:ascii="宋体" w:hAnsi="宋体"/>
                <w:highlight w:val="none"/>
              </w:rPr>
              <w:t>宽度</w:t>
            </w:r>
          </w:p>
        </w:tc>
        <w:tc>
          <w:tcPr>
            <w:tcW w:w="2753" w:type="pct"/>
            <w:gridSpan w:val="2"/>
            <w:vAlign w:val="center"/>
          </w:tcPr>
          <w:p w14:paraId="6224E9ED">
            <w:pPr>
              <w:pStyle w:val="49"/>
              <w:rPr>
                <w:highlight w:val="none"/>
              </w:rPr>
            </w:pPr>
            <w:r>
              <w:rPr>
                <w:highlight w:val="none"/>
              </w:rPr>
              <w:t>AC</w:t>
            </w:r>
            <w:r>
              <w:rPr>
                <w:rFonts w:hint="eastAsia" w:ascii="宋体" w:hAnsi="宋体"/>
                <w:highlight w:val="none"/>
              </w:rPr>
              <w:t>、</w:t>
            </w:r>
            <w:r>
              <w:rPr>
                <w:highlight w:val="none"/>
              </w:rPr>
              <w:t>A'C'</w:t>
            </w:r>
            <w:r>
              <w:rPr>
                <w:rFonts w:hint="eastAsia" w:ascii="宋体" w:hAnsi="宋体"/>
                <w:highlight w:val="none"/>
              </w:rPr>
              <w:t>、</w:t>
            </w:r>
            <w:r>
              <w:rPr>
                <w:highlight w:val="none"/>
              </w:rPr>
              <w:t>BD</w:t>
            </w:r>
            <w:r>
              <w:rPr>
                <w:rFonts w:hint="eastAsia" w:ascii="宋体" w:hAnsi="宋体"/>
                <w:highlight w:val="none"/>
              </w:rPr>
              <w:t>、</w:t>
            </w:r>
            <w:r>
              <w:rPr>
                <w:highlight w:val="none"/>
              </w:rPr>
              <w:t>B'D'</w:t>
            </w:r>
          </w:p>
        </w:tc>
        <w:tc>
          <w:tcPr>
            <w:tcW w:w="771" w:type="pct"/>
            <w:vAlign w:val="center"/>
          </w:tcPr>
          <w:p w14:paraId="70DB91F6">
            <w:pPr>
              <w:pStyle w:val="49"/>
              <w:rPr>
                <w:highlight w:val="none"/>
              </w:rPr>
            </w:pPr>
            <w:bookmarkStart w:id="973" w:name="OLE_LINK16"/>
            <w:r>
              <w:rPr>
                <w:highlight w:val="none"/>
              </w:rPr>
              <w:t>-5</w:t>
            </w:r>
            <w:r>
              <w:rPr>
                <w:rFonts w:hint="eastAsia" w:ascii="宋体" w:hAnsi="宋体"/>
                <w:highlight w:val="none"/>
              </w:rPr>
              <w:t>，</w:t>
            </w:r>
            <w:bookmarkEnd w:id="973"/>
            <w:r>
              <w:rPr>
                <w:rFonts w:hint="eastAsia"/>
                <w:highlight w:val="none"/>
              </w:rPr>
              <w:t>0</w:t>
            </w:r>
          </w:p>
        </w:tc>
        <w:tc>
          <w:tcPr>
            <w:tcW w:w="895" w:type="pct"/>
            <w:vMerge w:val="restart"/>
            <w:vAlign w:val="center"/>
          </w:tcPr>
          <w:p w14:paraId="66737EB2">
            <w:pPr>
              <w:pStyle w:val="49"/>
              <w:spacing w:line="240" w:lineRule="exact"/>
              <w:rPr>
                <w:highlight w:val="none"/>
              </w:rPr>
            </w:pPr>
            <w:bookmarkStart w:id="974" w:name="OLE_LINK17"/>
            <w:r>
              <w:rPr>
                <w:rFonts w:hint="eastAsia" w:ascii="宋体" w:hAnsi="宋体"/>
                <w:highlight w:val="none"/>
              </w:rPr>
              <w:t>钢尺量一端及中部，取其中偏差绝对值较大处</w:t>
            </w:r>
            <w:bookmarkEnd w:id="974"/>
          </w:p>
        </w:tc>
      </w:tr>
      <w:tr w14:paraId="73EF61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80" w:type="pct"/>
            <w:vAlign w:val="center"/>
          </w:tcPr>
          <w:p w14:paraId="3724D887">
            <w:pPr>
              <w:pStyle w:val="49"/>
              <w:rPr>
                <w:highlight w:val="none"/>
              </w:rPr>
            </w:pPr>
            <w:r>
              <w:rPr>
                <w:rFonts w:hint="eastAsia" w:ascii="宋体" w:hAnsi="宋体"/>
                <w:highlight w:val="none"/>
              </w:rPr>
              <w:t>高度</w:t>
            </w:r>
          </w:p>
        </w:tc>
        <w:tc>
          <w:tcPr>
            <w:tcW w:w="2753" w:type="pct"/>
            <w:gridSpan w:val="2"/>
            <w:vAlign w:val="center"/>
          </w:tcPr>
          <w:p w14:paraId="41D77670">
            <w:pPr>
              <w:pStyle w:val="49"/>
              <w:rPr>
                <w:highlight w:val="none"/>
              </w:rPr>
            </w:pPr>
            <w:r>
              <w:rPr>
                <w:highlight w:val="none"/>
              </w:rPr>
              <w:t>AA'</w:t>
            </w:r>
            <w:r>
              <w:rPr>
                <w:rFonts w:hint="eastAsia" w:ascii="宋体" w:hAnsi="宋体"/>
                <w:highlight w:val="none"/>
              </w:rPr>
              <w:t>、</w:t>
            </w:r>
            <w:r>
              <w:rPr>
                <w:highlight w:val="none"/>
              </w:rPr>
              <w:t>BB'</w:t>
            </w:r>
            <w:r>
              <w:rPr>
                <w:rFonts w:hint="eastAsia" w:ascii="宋体" w:hAnsi="宋体"/>
                <w:highlight w:val="none"/>
              </w:rPr>
              <w:t>、</w:t>
            </w:r>
            <w:r>
              <w:rPr>
                <w:highlight w:val="none"/>
              </w:rPr>
              <w:t>CC'</w:t>
            </w:r>
            <w:r>
              <w:rPr>
                <w:rFonts w:hint="eastAsia" w:ascii="宋体" w:hAnsi="宋体"/>
                <w:highlight w:val="none"/>
              </w:rPr>
              <w:t>、</w:t>
            </w:r>
            <w:r>
              <w:rPr>
                <w:highlight w:val="none"/>
              </w:rPr>
              <w:t>DD'</w:t>
            </w:r>
          </w:p>
        </w:tc>
        <w:tc>
          <w:tcPr>
            <w:tcW w:w="771" w:type="pct"/>
            <w:vAlign w:val="center"/>
          </w:tcPr>
          <w:p w14:paraId="52A1E9D7">
            <w:pPr>
              <w:pStyle w:val="49"/>
              <w:rPr>
                <w:highlight w:val="none"/>
              </w:rPr>
            </w:pPr>
            <w:r>
              <w:rPr>
                <w:highlight w:val="none"/>
              </w:rPr>
              <w:t>-</w:t>
            </w:r>
            <w:r>
              <w:rPr>
                <w:rFonts w:hint="eastAsia"/>
                <w:highlight w:val="none"/>
              </w:rPr>
              <w:t>5</w:t>
            </w:r>
            <w:r>
              <w:rPr>
                <w:rFonts w:hint="eastAsia" w:ascii="宋体" w:hAnsi="宋体"/>
                <w:highlight w:val="none"/>
              </w:rPr>
              <w:t>，</w:t>
            </w:r>
            <w:r>
              <w:rPr>
                <w:rFonts w:hint="eastAsia"/>
                <w:highlight w:val="none"/>
              </w:rPr>
              <w:t>0</w:t>
            </w:r>
          </w:p>
        </w:tc>
        <w:tc>
          <w:tcPr>
            <w:tcW w:w="895" w:type="pct"/>
            <w:vMerge w:val="continue"/>
            <w:vAlign w:val="center"/>
          </w:tcPr>
          <w:p w14:paraId="3B636295">
            <w:pPr>
              <w:pStyle w:val="49"/>
              <w:spacing w:line="240" w:lineRule="exact"/>
              <w:rPr>
                <w:highlight w:val="none"/>
              </w:rPr>
            </w:pPr>
          </w:p>
        </w:tc>
      </w:tr>
      <w:tr w14:paraId="29B75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80" w:type="pct"/>
            <w:vMerge w:val="restart"/>
            <w:vAlign w:val="center"/>
          </w:tcPr>
          <w:p w14:paraId="51618518">
            <w:pPr>
              <w:pStyle w:val="49"/>
              <w:rPr>
                <w:highlight w:val="none"/>
              </w:rPr>
            </w:pPr>
            <w:r>
              <w:rPr>
                <w:rFonts w:hint="eastAsia" w:ascii="宋体" w:hAnsi="宋体"/>
                <w:highlight w:val="none"/>
              </w:rPr>
              <w:t>对角线差</w:t>
            </w:r>
          </w:p>
        </w:tc>
        <w:tc>
          <w:tcPr>
            <w:tcW w:w="1750" w:type="pct"/>
            <w:vMerge w:val="restart"/>
            <w:vAlign w:val="center"/>
          </w:tcPr>
          <w:p w14:paraId="38D80ADE">
            <w:pPr>
              <w:pStyle w:val="49"/>
              <w:rPr>
                <w:rFonts w:hint="eastAsia" w:ascii="等线" w:hAnsi="等线"/>
                <w:highlight w:val="none"/>
              </w:rPr>
            </w:pPr>
            <w:r>
              <w:rPr>
                <w:rFonts w:hint="eastAsia" w:ascii="宋体" w:hAnsi="宋体"/>
                <w:highlight w:val="none"/>
              </w:rPr>
              <w:t>│</w:t>
            </w:r>
            <w:r>
              <w:rPr>
                <w:highlight w:val="none"/>
              </w:rPr>
              <w:t>AD-BC</w:t>
            </w:r>
            <w:r>
              <w:rPr>
                <w:rFonts w:hint="eastAsia" w:ascii="等线" w:hAnsi="等线"/>
                <w:highlight w:val="none"/>
              </w:rPr>
              <w:t>│、│</w:t>
            </w:r>
            <w:r>
              <w:rPr>
                <w:highlight w:val="none"/>
              </w:rPr>
              <w:t>A'D'-B'C'</w:t>
            </w:r>
            <w:r>
              <w:rPr>
                <w:rFonts w:hint="eastAsia" w:ascii="等线" w:hAnsi="等线"/>
                <w:highlight w:val="none"/>
              </w:rPr>
              <w:t>│</w:t>
            </w:r>
          </w:p>
          <w:p w14:paraId="4E1F71AC">
            <w:pPr>
              <w:pStyle w:val="49"/>
              <w:rPr>
                <w:rFonts w:hint="eastAsia" w:ascii="等线" w:hAnsi="等线"/>
                <w:highlight w:val="none"/>
              </w:rPr>
            </w:pPr>
            <w:r>
              <w:rPr>
                <w:rFonts w:hint="eastAsia" w:ascii="等线" w:hAnsi="等线"/>
                <w:highlight w:val="none"/>
              </w:rPr>
              <w:t>│</w:t>
            </w:r>
            <w:r>
              <w:rPr>
                <w:highlight w:val="none"/>
              </w:rPr>
              <w:t>AB'-A'B</w:t>
            </w:r>
            <w:r>
              <w:rPr>
                <w:rFonts w:hint="eastAsia" w:ascii="等线" w:hAnsi="等线"/>
                <w:highlight w:val="none"/>
              </w:rPr>
              <w:t>│、│</w:t>
            </w:r>
            <w:r>
              <w:rPr>
                <w:highlight w:val="none"/>
              </w:rPr>
              <w:t>CD'-C'D</w:t>
            </w:r>
            <w:r>
              <w:rPr>
                <w:rFonts w:hint="eastAsia" w:ascii="等线" w:hAnsi="等线"/>
                <w:highlight w:val="none"/>
              </w:rPr>
              <w:t>│</w:t>
            </w:r>
          </w:p>
          <w:p w14:paraId="440ABEED">
            <w:pPr>
              <w:pStyle w:val="49"/>
              <w:rPr>
                <w:highlight w:val="none"/>
              </w:rPr>
            </w:pPr>
            <w:r>
              <w:rPr>
                <w:rFonts w:hint="eastAsia" w:ascii="等线" w:hAnsi="等线"/>
                <w:highlight w:val="none"/>
              </w:rPr>
              <w:t>│</w:t>
            </w:r>
            <w:r>
              <w:rPr>
                <w:highlight w:val="none"/>
              </w:rPr>
              <w:t>AC'-A'C</w:t>
            </w:r>
            <w:r>
              <w:rPr>
                <w:rFonts w:hint="eastAsia" w:ascii="等线" w:hAnsi="等线"/>
                <w:highlight w:val="none"/>
              </w:rPr>
              <w:t>│、│</w:t>
            </w:r>
            <w:r>
              <w:rPr>
                <w:highlight w:val="none"/>
              </w:rPr>
              <w:t>BD'-B'D</w:t>
            </w:r>
            <w:r>
              <w:rPr>
                <w:rFonts w:hint="eastAsia" w:ascii="等线" w:hAnsi="等线"/>
                <w:highlight w:val="none"/>
              </w:rPr>
              <w:t>│</w:t>
            </w:r>
          </w:p>
        </w:tc>
        <w:tc>
          <w:tcPr>
            <w:tcW w:w="1002" w:type="pct"/>
            <w:vMerge w:val="restart"/>
            <w:vAlign w:val="center"/>
          </w:tcPr>
          <w:p w14:paraId="07EABF28">
            <w:pPr>
              <w:pStyle w:val="49"/>
              <w:rPr>
                <w:rFonts w:hint="eastAsia" w:ascii="宋体" w:hAnsi="宋体"/>
                <w:highlight w:val="none"/>
              </w:rPr>
            </w:pPr>
            <w:r>
              <w:rPr>
                <w:rFonts w:hint="eastAsia" w:ascii="宋体" w:hAnsi="宋体"/>
                <w:highlight w:val="none"/>
              </w:rPr>
              <w:t>对角线长度</w:t>
            </w:r>
          </w:p>
          <w:p w14:paraId="7C85FD54">
            <w:pPr>
              <w:pStyle w:val="49"/>
              <w:rPr>
                <w:highlight w:val="none"/>
              </w:rPr>
            </w:pPr>
            <w:r>
              <w:rPr>
                <w:rFonts w:hint="eastAsia" w:ascii="等线" w:hAnsi="等线"/>
                <w:highlight w:val="none"/>
              </w:rPr>
              <w:t>≤</w:t>
            </w:r>
            <w:r>
              <w:rPr>
                <w:sz w:val="16"/>
                <w:szCs w:val="25"/>
                <w:highlight w:val="none"/>
              </w:rPr>
              <w:t>6</w:t>
            </w:r>
            <w:r>
              <w:rPr>
                <w:highlight w:val="none"/>
              </w:rPr>
              <w:t>m</w:t>
            </w:r>
          </w:p>
        </w:tc>
        <w:tc>
          <w:tcPr>
            <w:tcW w:w="771" w:type="pct"/>
            <w:vMerge w:val="restart"/>
            <w:vAlign w:val="center"/>
          </w:tcPr>
          <w:p w14:paraId="243E8F15">
            <w:pPr>
              <w:pStyle w:val="49"/>
              <w:rPr>
                <w:highlight w:val="none"/>
              </w:rPr>
            </w:pPr>
            <w:r>
              <w:rPr>
                <w:highlight w:val="none"/>
              </w:rPr>
              <w:t>8</w:t>
            </w:r>
          </w:p>
        </w:tc>
        <w:tc>
          <w:tcPr>
            <w:tcW w:w="895" w:type="pct"/>
            <w:vMerge w:val="restart"/>
            <w:vAlign w:val="center"/>
          </w:tcPr>
          <w:p w14:paraId="2383C0AE">
            <w:pPr>
              <w:pStyle w:val="49"/>
              <w:spacing w:line="240" w:lineRule="exact"/>
              <w:rPr>
                <w:highlight w:val="none"/>
              </w:rPr>
            </w:pPr>
            <w:r>
              <w:rPr>
                <w:rFonts w:hint="eastAsia" w:ascii="宋体" w:hAnsi="宋体"/>
                <w:highlight w:val="none"/>
              </w:rPr>
              <w:t>钢尺量两个对角线的长度，取其绝对值的差值</w:t>
            </w:r>
          </w:p>
        </w:tc>
      </w:tr>
      <w:tr w14:paraId="2CBA98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80" w:type="pct"/>
            <w:vMerge w:val="continue"/>
            <w:vAlign w:val="center"/>
          </w:tcPr>
          <w:p w14:paraId="0252D8C9">
            <w:pPr>
              <w:pStyle w:val="49"/>
              <w:rPr>
                <w:highlight w:val="none"/>
              </w:rPr>
            </w:pPr>
          </w:p>
        </w:tc>
        <w:tc>
          <w:tcPr>
            <w:tcW w:w="1750" w:type="pct"/>
            <w:vMerge w:val="continue"/>
            <w:vAlign w:val="center"/>
          </w:tcPr>
          <w:p w14:paraId="5FA4F685">
            <w:pPr>
              <w:pStyle w:val="49"/>
              <w:rPr>
                <w:highlight w:val="none"/>
              </w:rPr>
            </w:pPr>
          </w:p>
        </w:tc>
        <w:tc>
          <w:tcPr>
            <w:tcW w:w="1002" w:type="pct"/>
            <w:vMerge w:val="continue"/>
            <w:vAlign w:val="center"/>
          </w:tcPr>
          <w:p w14:paraId="21A01A59">
            <w:pPr>
              <w:pStyle w:val="49"/>
              <w:rPr>
                <w:highlight w:val="none"/>
              </w:rPr>
            </w:pPr>
          </w:p>
        </w:tc>
        <w:tc>
          <w:tcPr>
            <w:tcW w:w="771" w:type="pct"/>
            <w:vMerge w:val="continue"/>
            <w:vAlign w:val="center"/>
          </w:tcPr>
          <w:p w14:paraId="671DBCF8">
            <w:pPr>
              <w:pStyle w:val="49"/>
              <w:rPr>
                <w:highlight w:val="none"/>
              </w:rPr>
            </w:pPr>
          </w:p>
        </w:tc>
        <w:tc>
          <w:tcPr>
            <w:tcW w:w="895" w:type="pct"/>
            <w:vMerge w:val="continue"/>
            <w:vAlign w:val="center"/>
          </w:tcPr>
          <w:p w14:paraId="1ABCC5D2">
            <w:pPr>
              <w:pStyle w:val="49"/>
              <w:spacing w:line="240" w:lineRule="exact"/>
              <w:rPr>
                <w:highlight w:val="none"/>
              </w:rPr>
            </w:pPr>
          </w:p>
        </w:tc>
      </w:tr>
      <w:tr w14:paraId="26EA05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80" w:type="pct"/>
            <w:vMerge w:val="continue"/>
            <w:vAlign w:val="center"/>
          </w:tcPr>
          <w:p w14:paraId="5B09D7B6">
            <w:pPr>
              <w:pStyle w:val="49"/>
              <w:rPr>
                <w:highlight w:val="none"/>
              </w:rPr>
            </w:pPr>
          </w:p>
        </w:tc>
        <w:tc>
          <w:tcPr>
            <w:tcW w:w="1750" w:type="pct"/>
            <w:vMerge w:val="continue"/>
            <w:vAlign w:val="center"/>
          </w:tcPr>
          <w:p w14:paraId="127A8925">
            <w:pPr>
              <w:pStyle w:val="49"/>
              <w:rPr>
                <w:highlight w:val="none"/>
              </w:rPr>
            </w:pPr>
          </w:p>
        </w:tc>
        <w:tc>
          <w:tcPr>
            <w:tcW w:w="1002" w:type="pct"/>
            <w:vAlign w:val="center"/>
          </w:tcPr>
          <w:p w14:paraId="75D2C64B">
            <w:pPr>
              <w:pStyle w:val="49"/>
              <w:rPr>
                <w:rFonts w:hint="eastAsia" w:ascii="宋体" w:hAnsi="宋体"/>
                <w:highlight w:val="none"/>
              </w:rPr>
            </w:pPr>
            <w:r>
              <w:rPr>
                <w:rFonts w:hint="eastAsia" w:ascii="宋体" w:hAnsi="宋体"/>
                <w:highlight w:val="none"/>
              </w:rPr>
              <w:t>对角线长度</w:t>
            </w:r>
          </w:p>
          <w:p w14:paraId="78345173">
            <w:pPr>
              <w:pStyle w:val="49"/>
              <w:rPr>
                <w:highlight w:val="none"/>
              </w:rPr>
            </w:pPr>
            <w:r>
              <w:rPr>
                <w:highlight w:val="none"/>
              </w:rPr>
              <w:t>&gt;6m</w:t>
            </w:r>
          </w:p>
        </w:tc>
        <w:tc>
          <w:tcPr>
            <w:tcW w:w="771" w:type="pct"/>
            <w:vAlign w:val="center"/>
          </w:tcPr>
          <w:p w14:paraId="0AAEE7FD">
            <w:pPr>
              <w:pStyle w:val="49"/>
              <w:rPr>
                <w:highlight w:val="none"/>
              </w:rPr>
            </w:pPr>
            <w:r>
              <w:rPr>
                <w:highlight w:val="none"/>
              </w:rPr>
              <w:t>12</w:t>
            </w:r>
          </w:p>
        </w:tc>
        <w:tc>
          <w:tcPr>
            <w:tcW w:w="895" w:type="pct"/>
            <w:vMerge w:val="continue"/>
            <w:vAlign w:val="center"/>
          </w:tcPr>
          <w:p w14:paraId="43BCE7D7">
            <w:pPr>
              <w:pStyle w:val="49"/>
              <w:spacing w:line="240" w:lineRule="exact"/>
              <w:rPr>
                <w:highlight w:val="none"/>
              </w:rPr>
            </w:pPr>
          </w:p>
        </w:tc>
      </w:tr>
      <w:tr w14:paraId="4921E3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80" w:type="pct"/>
            <w:vMerge w:val="restart"/>
            <w:vAlign w:val="center"/>
          </w:tcPr>
          <w:p w14:paraId="0104E28D">
            <w:pPr>
              <w:pStyle w:val="49"/>
              <w:rPr>
                <w:rFonts w:hint="eastAsia" w:ascii="宋体" w:hAnsi="宋体"/>
                <w:highlight w:val="none"/>
              </w:rPr>
            </w:pPr>
            <w:r>
              <w:rPr>
                <w:rFonts w:hint="eastAsia"/>
                <w:highlight w:val="none"/>
              </w:rPr>
              <w:t>内部 净空</w:t>
            </w:r>
          </w:p>
        </w:tc>
        <w:tc>
          <w:tcPr>
            <w:tcW w:w="2753" w:type="pct"/>
            <w:gridSpan w:val="2"/>
            <w:vAlign w:val="center"/>
          </w:tcPr>
          <w:p w14:paraId="1D496C38">
            <w:pPr>
              <w:pStyle w:val="49"/>
              <w:rPr>
                <w:rFonts w:hint="eastAsia" w:ascii="宋体" w:hAnsi="宋体"/>
                <w:highlight w:val="none"/>
              </w:rPr>
            </w:pPr>
            <w:r>
              <w:rPr>
                <w:rFonts w:hint="eastAsia" w:ascii="宋体" w:hAnsi="宋体"/>
                <w:highlight w:val="none"/>
              </w:rPr>
              <w:t>长度</w:t>
            </w:r>
          </w:p>
        </w:tc>
        <w:tc>
          <w:tcPr>
            <w:tcW w:w="771" w:type="pct"/>
            <w:vAlign w:val="center"/>
          </w:tcPr>
          <w:p w14:paraId="0C6E71BA">
            <w:pPr>
              <w:pStyle w:val="49"/>
              <w:rPr>
                <w:highlight w:val="none"/>
              </w:rPr>
            </w:pPr>
            <w:r>
              <w:rPr>
                <w:highlight w:val="none"/>
              </w:rPr>
              <w:t>-10</w:t>
            </w:r>
            <w:r>
              <w:rPr>
                <w:rFonts w:hint="eastAsia" w:ascii="宋体" w:hAnsi="宋体"/>
                <w:highlight w:val="none"/>
              </w:rPr>
              <w:t>，</w:t>
            </w:r>
            <w:r>
              <w:rPr>
                <w:highlight w:val="none"/>
              </w:rPr>
              <w:t>+2</w:t>
            </w:r>
          </w:p>
        </w:tc>
        <w:tc>
          <w:tcPr>
            <w:tcW w:w="895" w:type="pct"/>
            <w:vMerge w:val="restart"/>
            <w:vAlign w:val="center"/>
          </w:tcPr>
          <w:p w14:paraId="1A3EE2A2">
            <w:pPr>
              <w:pStyle w:val="49"/>
              <w:spacing w:line="240" w:lineRule="exact"/>
              <w:rPr>
                <w:highlight w:val="none"/>
              </w:rPr>
            </w:pPr>
            <w:r>
              <w:rPr>
                <w:rFonts w:hint="eastAsia" w:ascii="宋体" w:hAnsi="宋体"/>
                <w:highlight w:val="none"/>
              </w:rPr>
              <w:t>钢尺量一端及中部，取其中偏差绝对值较大处</w:t>
            </w:r>
          </w:p>
        </w:tc>
      </w:tr>
      <w:tr w14:paraId="609CC8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80" w:type="pct"/>
            <w:vMerge w:val="continue"/>
            <w:vAlign w:val="center"/>
          </w:tcPr>
          <w:p w14:paraId="076AD759">
            <w:pPr>
              <w:pStyle w:val="49"/>
              <w:rPr>
                <w:rFonts w:hint="eastAsia" w:ascii="宋体" w:hAnsi="宋体"/>
                <w:highlight w:val="none"/>
              </w:rPr>
            </w:pPr>
          </w:p>
        </w:tc>
        <w:tc>
          <w:tcPr>
            <w:tcW w:w="2753" w:type="pct"/>
            <w:gridSpan w:val="2"/>
            <w:vAlign w:val="center"/>
          </w:tcPr>
          <w:p w14:paraId="0AC4F9DD">
            <w:pPr>
              <w:pStyle w:val="49"/>
              <w:rPr>
                <w:rFonts w:hint="eastAsia" w:ascii="宋体" w:hAnsi="宋体"/>
                <w:highlight w:val="none"/>
              </w:rPr>
            </w:pPr>
            <w:r>
              <w:rPr>
                <w:rFonts w:hint="eastAsia" w:ascii="宋体" w:hAnsi="宋体"/>
                <w:highlight w:val="none"/>
              </w:rPr>
              <w:t>宽度</w:t>
            </w:r>
          </w:p>
        </w:tc>
        <w:tc>
          <w:tcPr>
            <w:tcW w:w="771" w:type="pct"/>
            <w:vAlign w:val="center"/>
          </w:tcPr>
          <w:p w14:paraId="4C6B6796">
            <w:pPr>
              <w:pStyle w:val="49"/>
              <w:rPr>
                <w:highlight w:val="none"/>
              </w:rPr>
            </w:pPr>
            <w:r>
              <w:rPr>
                <w:highlight w:val="none"/>
              </w:rPr>
              <w:t>-5</w:t>
            </w:r>
            <w:r>
              <w:rPr>
                <w:rFonts w:hint="eastAsia" w:ascii="宋体" w:hAnsi="宋体"/>
                <w:highlight w:val="none"/>
              </w:rPr>
              <w:t>，</w:t>
            </w:r>
            <w:r>
              <w:rPr>
                <w:highlight w:val="none"/>
              </w:rPr>
              <w:t>+2</w:t>
            </w:r>
          </w:p>
        </w:tc>
        <w:tc>
          <w:tcPr>
            <w:tcW w:w="895" w:type="pct"/>
            <w:vMerge w:val="continue"/>
            <w:vAlign w:val="center"/>
          </w:tcPr>
          <w:p w14:paraId="64A920CF">
            <w:pPr>
              <w:pStyle w:val="49"/>
              <w:spacing w:line="240" w:lineRule="exact"/>
              <w:rPr>
                <w:highlight w:val="none"/>
              </w:rPr>
            </w:pPr>
          </w:p>
        </w:tc>
      </w:tr>
      <w:tr w14:paraId="1E694C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80" w:type="pct"/>
            <w:vMerge w:val="continue"/>
            <w:vAlign w:val="center"/>
          </w:tcPr>
          <w:p w14:paraId="782C6614">
            <w:pPr>
              <w:pStyle w:val="49"/>
              <w:rPr>
                <w:rFonts w:hint="eastAsia" w:ascii="宋体" w:hAnsi="宋体"/>
                <w:highlight w:val="none"/>
              </w:rPr>
            </w:pPr>
          </w:p>
        </w:tc>
        <w:tc>
          <w:tcPr>
            <w:tcW w:w="2753" w:type="pct"/>
            <w:gridSpan w:val="2"/>
            <w:vAlign w:val="center"/>
          </w:tcPr>
          <w:p w14:paraId="3869AA84">
            <w:pPr>
              <w:pStyle w:val="49"/>
              <w:rPr>
                <w:rFonts w:hint="eastAsia" w:ascii="宋体" w:hAnsi="宋体"/>
                <w:highlight w:val="none"/>
              </w:rPr>
            </w:pPr>
            <w:r>
              <w:rPr>
                <w:rFonts w:hint="eastAsia" w:ascii="宋体" w:hAnsi="宋体"/>
                <w:highlight w:val="none"/>
              </w:rPr>
              <w:t>高度</w:t>
            </w:r>
          </w:p>
        </w:tc>
        <w:tc>
          <w:tcPr>
            <w:tcW w:w="771" w:type="pct"/>
            <w:vAlign w:val="center"/>
          </w:tcPr>
          <w:p w14:paraId="5D07F7A5">
            <w:pPr>
              <w:pStyle w:val="49"/>
              <w:rPr>
                <w:highlight w:val="none"/>
              </w:rPr>
            </w:pPr>
            <w:r>
              <w:rPr>
                <w:highlight w:val="none"/>
              </w:rPr>
              <w:t>-5</w:t>
            </w:r>
            <w:r>
              <w:rPr>
                <w:rFonts w:hint="eastAsia" w:ascii="宋体" w:hAnsi="宋体"/>
                <w:highlight w:val="none"/>
              </w:rPr>
              <w:t>，</w:t>
            </w:r>
            <w:r>
              <w:rPr>
                <w:highlight w:val="none"/>
              </w:rPr>
              <w:t>+2</w:t>
            </w:r>
          </w:p>
        </w:tc>
        <w:tc>
          <w:tcPr>
            <w:tcW w:w="895" w:type="pct"/>
            <w:vMerge w:val="continue"/>
            <w:vAlign w:val="center"/>
          </w:tcPr>
          <w:p w14:paraId="484DCB79">
            <w:pPr>
              <w:pStyle w:val="49"/>
              <w:spacing w:line="240" w:lineRule="exact"/>
              <w:rPr>
                <w:highlight w:val="none"/>
              </w:rPr>
            </w:pPr>
          </w:p>
        </w:tc>
      </w:tr>
      <w:tr w14:paraId="6F6B7F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80" w:type="pct"/>
            <w:vMerge w:val="restart"/>
            <w:vAlign w:val="center"/>
          </w:tcPr>
          <w:p w14:paraId="0D7BA414">
            <w:pPr>
              <w:pStyle w:val="49"/>
              <w:rPr>
                <w:highlight w:val="none"/>
              </w:rPr>
            </w:pPr>
            <w:r>
              <w:rPr>
                <w:rFonts w:hint="eastAsia" w:ascii="宋体" w:hAnsi="宋体"/>
                <w:highlight w:val="none"/>
              </w:rPr>
              <w:t>表面平整度</w:t>
            </w:r>
          </w:p>
        </w:tc>
        <w:tc>
          <w:tcPr>
            <w:tcW w:w="2753" w:type="pct"/>
            <w:gridSpan w:val="2"/>
            <w:vAlign w:val="center"/>
          </w:tcPr>
          <w:p w14:paraId="087D99F5">
            <w:pPr>
              <w:pStyle w:val="49"/>
              <w:rPr>
                <w:highlight w:val="none"/>
              </w:rPr>
            </w:pPr>
            <w:r>
              <w:rPr>
                <w:rFonts w:hint="eastAsia" w:ascii="宋体" w:hAnsi="宋体"/>
                <w:highlight w:val="none"/>
              </w:rPr>
              <w:t>内表面</w:t>
            </w:r>
          </w:p>
        </w:tc>
        <w:tc>
          <w:tcPr>
            <w:tcW w:w="771" w:type="pct"/>
            <w:vAlign w:val="center"/>
          </w:tcPr>
          <w:p w14:paraId="2300585B">
            <w:pPr>
              <w:pStyle w:val="49"/>
              <w:rPr>
                <w:highlight w:val="none"/>
              </w:rPr>
            </w:pPr>
            <w:r>
              <w:rPr>
                <w:highlight w:val="none"/>
              </w:rPr>
              <w:t>4</w:t>
            </w:r>
          </w:p>
        </w:tc>
        <w:tc>
          <w:tcPr>
            <w:tcW w:w="895" w:type="pct"/>
            <w:vMerge w:val="restart"/>
            <w:vAlign w:val="center"/>
          </w:tcPr>
          <w:p w14:paraId="1B895F04">
            <w:pPr>
              <w:pStyle w:val="49"/>
              <w:spacing w:line="240" w:lineRule="exact"/>
              <w:rPr>
                <w:highlight w:val="none"/>
              </w:rPr>
            </w:pPr>
            <w:r>
              <w:rPr>
                <w:highlight w:val="none"/>
              </w:rPr>
              <w:t>2m</w:t>
            </w:r>
            <w:r>
              <w:rPr>
                <w:rFonts w:hint="eastAsia" w:ascii="宋体" w:hAnsi="宋体"/>
                <w:highlight w:val="none"/>
              </w:rPr>
              <w:t>靠尺和塞尺检查</w:t>
            </w:r>
          </w:p>
        </w:tc>
      </w:tr>
      <w:tr w14:paraId="51DCF9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80" w:type="pct"/>
            <w:vMerge w:val="continue"/>
            <w:vAlign w:val="center"/>
          </w:tcPr>
          <w:p w14:paraId="7DE6C179">
            <w:pPr>
              <w:pStyle w:val="49"/>
              <w:rPr>
                <w:highlight w:val="none"/>
              </w:rPr>
            </w:pPr>
          </w:p>
        </w:tc>
        <w:tc>
          <w:tcPr>
            <w:tcW w:w="2753" w:type="pct"/>
            <w:gridSpan w:val="2"/>
            <w:vAlign w:val="center"/>
          </w:tcPr>
          <w:p w14:paraId="6E25192C">
            <w:pPr>
              <w:pStyle w:val="49"/>
              <w:rPr>
                <w:highlight w:val="none"/>
              </w:rPr>
            </w:pPr>
            <w:r>
              <w:rPr>
                <w:rFonts w:hint="eastAsia" w:ascii="宋体" w:hAnsi="宋体"/>
                <w:highlight w:val="none"/>
              </w:rPr>
              <w:t>外表面</w:t>
            </w:r>
          </w:p>
        </w:tc>
        <w:tc>
          <w:tcPr>
            <w:tcW w:w="771" w:type="pct"/>
            <w:vAlign w:val="center"/>
          </w:tcPr>
          <w:p w14:paraId="5217AA61">
            <w:pPr>
              <w:pStyle w:val="49"/>
              <w:rPr>
                <w:highlight w:val="none"/>
              </w:rPr>
            </w:pPr>
            <w:r>
              <w:rPr>
                <w:highlight w:val="none"/>
              </w:rPr>
              <w:t>4</w:t>
            </w:r>
          </w:p>
        </w:tc>
        <w:tc>
          <w:tcPr>
            <w:tcW w:w="895" w:type="pct"/>
            <w:vMerge w:val="continue"/>
            <w:vAlign w:val="center"/>
          </w:tcPr>
          <w:p w14:paraId="14BD3F80">
            <w:pPr>
              <w:pStyle w:val="49"/>
              <w:spacing w:line="240" w:lineRule="exact"/>
              <w:rPr>
                <w:highlight w:val="none"/>
              </w:rPr>
            </w:pPr>
          </w:p>
        </w:tc>
      </w:tr>
      <w:tr w14:paraId="1CB464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30" w:hRule="atLeast"/>
          <w:jc w:val="center"/>
        </w:trPr>
        <w:tc>
          <w:tcPr>
            <w:tcW w:w="580" w:type="pct"/>
            <w:vMerge w:val="restart"/>
            <w:vAlign w:val="center"/>
          </w:tcPr>
          <w:p w14:paraId="6B65E8E1">
            <w:pPr>
              <w:pStyle w:val="49"/>
              <w:rPr>
                <w:highlight w:val="none"/>
              </w:rPr>
            </w:pPr>
            <w:r>
              <w:rPr>
                <w:rFonts w:hint="eastAsia" w:ascii="宋体" w:hAnsi="宋体"/>
                <w:highlight w:val="none"/>
              </w:rPr>
              <w:t>垂直度</w:t>
            </w:r>
          </w:p>
        </w:tc>
        <w:tc>
          <w:tcPr>
            <w:tcW w:w="1750" w:type="pct"/>
            <w:vMerge w:val="restart"/>
            <w:vAlign w:val="center"/>
          </w:tcPr>
          <w:p w14:paraId="1C9361E1">
            <w:pPr>
              <w:pStyle w:val="49"/>
              <w:rPr>
                <w:highlight w:val="none"/>
              </w:rPr>
            </w:pPr>
            <w:r>
              <w:rPr>
                <w:rFonts w:hint="eastAsia" w:ascii="宋体" w:hAnsi="宋体"/>
                <w:highlight w:val="none"/>
              </w:rPr>
              <w:t>柱、墙板</w:t>
            </w:r>
          </w:p>
        </w:tc>
        <w:tc>
          <w:tcPr>
            <w:tcW w:w="1002" w:type="pct"/>
            <w:vAlign w:val="center"/>
          </w:tcPr>
          <w:p w14:paraId="4535F69C">
            <w:pPr>
              <w:pStyle w:val="49"/>
              <w:rPr>
                <w:highlight w:val="none"/>
              </w:rPr>
            </w:pPr>
            <w:bookmarkStart w:id="975" w:name="OLE_LINK18"/>
            <w:r>
              <w:rPr>
                <w:rFonts w:hint="eastAsia" w:ascii="等线" w:hAnsi="等线"/>
                <w:highlight w:val="none"/>
              </w:rPr>
              <w:t>≤</w:t>
            </w:r>
            <w:r>
              <w:rPr>
                <w:highlight w:val="none"/>
              </w:rPr>
              <w:t>3m</w:t>
            </w:r>
            <w:bookmarkEnd w:id="975"/>
          </w:p>
        </w:tc>
        <w:tc>
          <w:tcPr>
            <w:tcW w:w="771" w:type="pct"/>
            <w:vAlign w:val="center"/>
          </w:tcPr>
          <w:p w14:paraId="58E61058">
            <w:pPr>
              <w:pStyle w:val="49"/>
              <w:rPr>
                <w:highlight w:val="none"/>
              </w:rPr>
            </w:pPr>
            <w:r>
              <w:rPr>
                <w:highlight w:val="none"/>
              </w:rPr>
              <w:t>4</w:t>
            </w:r>
          </w:p>
        </w:tc>
        <w:tc>
          <w:tcPr>
            <w:tcW w:w="895" w:type="pct"/>
            <w:vMerge w:val="restart"/>
            <w:vAlign w:val="center"/>
          </w:tcPr>
          <w:p w14:paraId="1631BDCB">
            <w:pPr>
              <w:pStyle w:val="49"/>
              <w:spacing w:line="240" w:lineRule="exact"/>
              <w:rPr>
                <w:highlight w:val="none"/>
              </w:rPr>
            </w:pPr>
            <w:r>
              <w:rPr>
                <w:rFonts w:hint="eastAsia" w:ascii="宋体" w:hAnsi="宋体"/>
                <w:highlight w:val="none"/>
              </w:rPr>
              <w:t>2m垂直检测尺或吊线、钢尺量测</w:t>
            </w:r>
          </w:p>
        </w:tc>
      </w:tr>
      <w:tr w14:paraId="1931EB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80" w:type="pct"/>
            <w:vMerge w:val="continue"/>
            <w:vAlign w:val="center"/>
          </w:tcPr>
          <w:p w14:paraId="5D325F56">
            <w:pPr>
              <w:pStyle w:val="49"/>
              <w:rPr>
                <w:rFonts w:hint="eastAsia" w:ascii="宋体" w:hAnsi="宋体"/>
                <w:highlight w:val="none"/>
              </w:rPr>
            </w:pPr>
          </w:p>
        </w:tc>
        <w:tc>
          <w:tcPr>
            <w:tcW w:w="1750" w:type="pct"/>
            <w:vMerge w:val="continue"/>
            <w:vAlign w:val="center"/>
          </w:tcPr>
          <w:p w14:paraId="5DEF0AE5">
            <w:pPr>
              <w:pStyle w:val="49"/>
              <w:rPr>
                <w:rFonts w:hint="eastAsia" w:ascii="宋体" w:hAnsi="宋体"/>
                <w:highlight w:val="none"/>
              </w:rPr>
            </w:pPr>
          </w:p>
        </w:tc>
        <w:tc>
          <w:tcPr>
            <w:tcW w:w="1002" w:type="pct"/>
            <w:vAlign w:val="center"/>
          </w:tcPr>
          <w:p w14:paraId="79CDFAFA">
            <w:pPr>
              <w:pStyle w:val="49"/>
              <w:rPr>
                <w:rFonts w:hint="eastAsia" w:ascii="等线" w:hAnsi="等线"/>
                <w:highlight w:val="none"/>
              </w:rPr>
            </w:pPr>
            <w:r>
              <w:rPr>
                <w:highlight w:val="none"/>
              </w:rPr>
              <w:t>&gt;3m</w:t>
            </w:r>
          </w:p>
        </w:tc>
        <w:tc>
          <w:tcPr>
            <w:tcW w:w="771" w:type="pct"/>
            <w:vAlign w:val="center"/>
          </w:tcPr>
          <w:p w14:paraId="715068F7">
            <w:pPr>
              <w:pStyle w:val="49"/>
              <w:rPr>
                <w:highlight w:val="none"/>
              </w:rPr>
            </w:pPr>
            <w:r>
              <w:rPr>
                <w:highlight w:val="none"/>
              </w:rPr>
              <w:t>5</w:t>
            </w:r>
          </w:p>
        </w:tc>
        <w:tc>
          <w:tcPr>
            <w:tcW w:w="895" w:type="pct"/>
            <w:vMerge w:val="continue"/>
            <w:vAlign w:val="center"/>
          </w:tcPr>
          <w:p w14:paraId="2AFC4976">
            <w:pPr>
              <w:pStyle w:val="49"/>
              <w:rPr>
                <w:rFonts w:hint="eastAsia" w:ascii="宋体" w:hAnsi="宋体"/>
                <w:highlight w:val="none"/>
              </w:rPr>
            </w:pPr>
          </w:p>
        </w:tc>
      </w:tr>
      <w:tr w14:paraId="455861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80" w:type="pct"/>
            <w:vMerge w:val="restart"/>
            <w:vAlign w:val="center"/>
          </w:tcPr>
          <w:p w14:paraId="280E7D35">
            <w:pPr>
              <w:pStyle w:val="49"/>
              <w:rPr>
                <w:rFonts w:hint="eastAsia" w:ascii="宋体" w:hAnsi="宋体"/>
                <w:highlight w:val="none"/>
              </w:rPr>
            </w:pPr>
            <w:r>
              <w:rPr>
                <w:rFonts w:hint="eastAsia" w:ascii="宋体" w:hAnsi="宋体"/>
                <w:highlight w:val="none"/>
              </w:rPr>
              <w:t>设备 安装</w:t>
            </w:r>
          </w:p>
        </w:tc>
        <w:tc>
          <w:tcPr>
            <w:tcW w:w="2753" w:type="pct"/>
            <w:gridSpan w:val="2"/>
            <w:vAlign w:val="center"/>
          </w:tcPr>
          <w:p w14:paraId="2FA0F026">
            <w:pPr>
              <w:pStyle w:val="49"/>
              <w:rPr>
                <w:highlight w:val="none"/>
              </w:rPr>
            </w:pPr>
            <w:r>
              <w:rPr>
                <w:rFonts w:hint="eastAsia" w:ascii="宋体" w:hAnsi="宋体"/>
                <w:highlight w:val="none"/>
              </w:rPr>
              <w:t>预留点位定位尺寸</w:t>
            </w:r>
          </w:p>
        </w:tc>
        <w:tc>
          <w:tcPr>
            <w:tcW w:w="771" w:type="pct"/>
            <w:vAlign w:val="center"/>
          </w:tcPr>
          <w:p w14:paraId="6ABC0D6D">
            <w:pPr>
              <w:pStyle w:val="49"/>
              <w:rPr>
                <w:highlight w:val="none"/>
              </w:rPr>
            </w:pPr>
            <w:r>
              <w:rPr>
                <w:rFonts w:hint="eastAsia" w:ascii="等线" w:hAnsi="等线"/>
                <w:highlight w:val="none"/>
              </w:rPr>
              <w:t>≤</w:t>
            </w:r>
            <w:r>
              <w:rPr>
                <w:highlight w:val="none"/>
              </w:rPr>
              <w:t>3</w:t>
            </w:r>
          </w:p>
        </w:tc>
        <w:tc>
          <w:tcPr>
            <w:tcW w:w="895" w:type="pct"/>
            <w:vAlign w:val="center"/>
          </w:tcPr>
          <w:p w14:paraId="05C37145">
            <w:pPr>
              <w:pStyle w:val="49"/>
              <w:rPr>
                <w:rFonts w:hint="eastAsia" w:ascii="宋体" w:hAnsi="宋体"/>
                <w:highlight w:val="none"/>
              </w:rPr>
            </w:pPr>
            <w:r>
              <w:rPr>
                <w:rFonts w:hint="eastAsia" w:ascii="宋体" w:hAnsi="宋体"/>
                <w:highlight w:val="none"/>
              </w:rPr>
              <w:t>尺量检查</w:t>
            </w:r>
          </w:p>
        </w:tc>
      </w:tr>
      <w:tr w14:paraId="30160D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80" w:type="pct"/>
            <w:vMerge w:val="continue"/>
            <w:vAlign w:val="center"/>
          </w:tcPr>
          <w:p w14:paraId="08BB506E">
            <w:pPr>
              <w:pStyle w:val="49"/>
              <w:rPr>
                <w:rFonts w:hint="eastAsia" w:ascii="宋体" w:hAnsi="宋体"/>
                <w:highlight w:val="none"/>
              </w:rPr>
            </w:pPr>
          </w:p>
        </w:tc>
        <w:tc>
          <w:tcPr>
            <w:tcW w:w="2753" w:type="pct"/>
            <w:gridSpan w:val="2"/>
            <w:vAlign w:val="center"/>
          </w:tcPr>
          <w:p w14:paraId="0968F132">
            <w:pPr>
              <w:pStyle w:val="49"/>
              <w:rPr>
                <w:highlight w:val="none"/>
              </w:rPr>
            </w:pPr>
            <w:r>
              <w:rPr>
                <w:rFonts w:hint="eastAsia" w:ascii="宋体" w:hAnsi="宋体"/>
                <w:highlight w:val="none"/>
              </w:rPr>
              <w:t>设备标高</w:t>
            </w:r>
          </w:p>
        </w:tc>
        <w:tc>
          <w:tcPr>
            <w:tcW w:w="771" w:type="pct"/>
            <w:vAlign w:val="center"/>
          </w:tcPr>
          <w:p w14:paraId="77536FE6">
            <w:pPr>
              <w:pStyle w:val="49"/>
              <w:rPr>
                <w:highlight w:val="none"/>
              </w:rPr>
            </w:pPr>
            <w:r>
              <w:rPr>
                <w:rFonts w:hint="eastAsia" w:ascii="等线" w:hAnsi="等线"/>
                <w:highlight w:val="none"/>
              </w:rPr>
              <w:t>≤</w:t>
            </w:r>
            <w:r>
              <w:rPr>
                <w:rFonts w:hint="eastAsia"/>
                <w:highlight w:val="none"/>
              </w:rPr>
              <w:t>10</w:t>
            </w:r>
          </w:p>
        </w:tc>
        <w:tc>
          <w:tcPr>
            <w:tcW w:w="895" w:type="pct"/>
            <w:vAlign w:val="center"/>
          </w:tcPr>
          <w:p w14:paraId="1B0D5B30">
            <w:pPr>
              <w:pStyle w:val="49"/>
              <w:rPr>
                <w:rFonts w:hint="eastAsia" w:ascii="宋体" w:hAnsi="宋体"/>
                <w:highlight w:val="none"/>
              </w:rPr>
            </w:pPr>
            <w:r>
              <w:rPr>
                <w:rFonts w:hint="eastAsia" w:ascii="宋体" w:hAnsi="宋体"/>
                <w:highlight w:val="none"/>
              </w:rPr>
              <w:t>尺量检查</w:t>
            </w:r>
          </w:p>
        </w:tc>
      </w:tr>
      <w:tr w14:paraId="0F8E5F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80" w:type="pct"/>
            <w:vMerge w:val="continue"/>
            <w:vAlign w:val="center"/>
          </w:tcPr>
          <w:p w14:paraId="00F27B35">
            <w:pPr>
              <w:pStyle w:val="49"/>
              <w:rPr>
                <w:rFonts w:hint="eastAsia" w:ascii="宋体" w:hAnsi="宋体"/>
                <w:highlight w:val="none"/>
              </w:rPr>
            </w:pPr>
          </w:p>
        </w:tc>
        <w:tc>
          <w:tcPr>
            <w:tcW w:w="2753" w:type="pct"/>
            <w:gridSpan w:val="2"/>
            <w:vAlign w:val="center"/>
          </w:tcPr>
          <w:p w14:paraId="70DA20D6">
            <w:pPr>
              <w:pStyle w:val="49"/>
              <w:rPr>
                <w:highlight w:val="none"/>
              </w:rPr>
            </w:pPr>
            <w:r>
              <w:rPr>
                <w:rFonts w:hint="eastAsia" w:ascii="宋体" w:hAnsi="宋体"/>
                <w:highlight w:val="none"/>
              </w:rPr>
              <w:t>设备支吊架位置</w:t>
            </w:r>
          </w:p>
        </w:tc>
        <w:tc>
          <w:tcPr>
            <w:tcW w:w="771" w:type="pct"/>
            <w:vAlign w:val="center"/>
          </w:tcPr>
          <w:p w14:paraId="3CEA5AFC">
            <w:pPr>
              <w:pStyle w:val="49"/>
              <w:rPr>
                <w:highlight w:val="none"/>
              </w:rPr>
            </w:pPr>
            <w:r>
              <w:rPr>
                <w:rFonts w:hint="eastAsia" w:ascii="等线" w:hAnsi="等线"/>
                <w:highlight w:val="none"/>
              </w:rPr>
              <w:t>≤</w:t>
            </w:r>
            <w:r>
              <w:rPr>
                <w:rFonts w:hint="eastAsia"/>
                <w:highlight w:val="none"/>
              </w:rPr>
              <w:t>10</w:t>
            </w:r>
          </w:p>
        </w:tc>
        <w:tc>
          <w:tcPr>
            <w:tcW w:w="895" w:type="pct"/>
            <w:vAlign w:val="center"/>
          </w:tcPr>
          <w:p w14:paraId="57407378">
            <w:pPr>
              <w:pStyle w:val="49"/>
              <w:rPr>
                <w:rFonts w:hint="eastAsia" w:ascii="宋体" w:hAnsi="宋体"/>
                <w:highlight w:val="none"/>
              </w:rPr>
            </w:pPr>
            <w:r>
              <w:rPr>
                <w:rFonts w:hint="eastAsia" w:ascii="宋体" w:hAnsi="宋体"/>
                <w:highlight w:val="none"/>
              </w:rPr>
              <w:t>尺量检查</w:t>
            </w:r>
          </w:p>
        </w:tc>
      </w:tr>
    </w:tbl>
    <w:p w14:paraId="763A1AFF">
      <w:pPr>
        <w:pStyle w:val="52"/>
        <w:rPr>
          <w:rFonts w:hint="eastAsia"/>
          <w:b/>
          <w:szCs w:val="24"/>
          <w:highlight w:val="none"/>
        </w:rPr>
      </w:pPr>
      <w:r>
        <w:rPr>
          <w:rFonts w:hint="eastAsia"/>
          <w:sz w:val="18"/>
          <w:szCs w:val="18"/>
          <w:highlight w:val="none"/>
        </w:rPr>
        <w:t>注：</w:t>
      </w:r>
      <w:r>
        <w:rPr>
          <w:rFonts w:hint="eastAsia"/>
          <w:iCs/>
          <w:sz w:val="18"/>
          <w:szCs w:val="18"/>
          <w:highlight w:val="none"/>
        </w:rPr>
        <w:t>表格中所检查的模块单元尺寸为模块单元装修前的尺寸。</w:t>
      </w:r>
    </w:p>
    <w:p w14:paraId="6CF33DF1">
      <w:pPr>
        <w:rPr>
          <w:szCs w:val="24"/>
          <w:highlight w:val="none"/>
        </w:rPr>
      </w:pPr>
      <w:r>
        <w:rPr>
          <w:rFonts w:hint="eastAsia"/>
          <w:b/>
          <w:szCs w:val="24"/>
          <w:highlight w:val="none"/>
        </w:rPr>
        <w:t>8.</w:t>
      </w:r>
      <w:r>
        <w:rPr>
          <w:rFonts w:hint="eastAsia"/>
          <w:b/>
          <w:szCs w:val="24"/>
          <w:highlight w:val="none"/>
          <w:lang w:val="en-US" w:eastAsia="zh-CN"/>
        </w:rPr>
        <w:t>6</w:t>
      </w:r>
      <w:r>
        <w:rPr>
          <w:rFonts w:hint="eastAsia"/>
          <w:b/>
          <w:szCs w:val="24"/>
          <w:highlight w:val="none"/>
        </w:rPr>
        <w:t>.</w:t>
      </w:r>
      <w:r>
        <w:rPr>
          <w:b/>
          <w:szCs w:val="24"/>
          <w:highlight w:val="none"/>
        </w:rPr>
        <w:t xml:space="preserve">6  </w:t>
      </w:r>
      <w:r>
        <w:rPr>
          <w:rFonts w:hint="eastAsia"/>
          <w:szCs w:val="24"/>
          <w:highlight w:val="none"/>
        </w:rPr>
        <w:t>模块单元的对拉孔、设备孔、门窗口、预埋件、预留插筋、键槽的位置和检验方法应符合表8.</w:t>
      </w:r>
      <w:r>
        <w:rPr>
          <w:rFonts w:hint="eastAsia"/>
          <w:szCs w:val="24"/>
          <w:highlight w:val="none"/>
          <w:lang w:val="en-US" w:eastAsia="zh-CN"/>
        </w:rPr>
        <w:t>6</w:t>
      </w:r>
      <w:r>
        <w:rPr>
          <w:rFonts w:hint="eastAsia"/>
          <w:szCs w:val="24"/>
          <w:highlight w:val="none"/>
        </w:rPr>
        <w:t>.</w:t>
      </w:r>
      <w:r>
        <w:rPr>
          <w:szCs w:val="24"/>
          <w:highlight w:val="none"/>
        </w:rPr>
        <w:t>6</w:t>
      </w:r>
      <w:r>
        <w:rPr>
          <w:rFonts w:hint="eastAsia"/>
          <w:szCs w:val="24"/>
          <w:highlight w:val="none"/>
        </w:rPr>
        <w:t>的规定。</w:t>
      </w:r>
    </w:p>
    <w:p w14:paraId="587CEC80">
      <w:pPr>
        <w:ind w:firstLine="420" w:firstLineChars="200"/>
        <w:rPr>
          <w:rFonts w:hint="default" w:eastAsia="宋体"/>
          <w:szCs w:val="24"/>
          <w:highlight w:val="none"/>
          <w:lang w:val="en-US" w:eastAsia="zh-CN"/>
        </w:rPr>
      </w:pPr>
      <w:r>
        <w:rPr>
          <w:rFonts w:hint="eastAsia"/>
          <w:szCs w:val="24"/>
          <w:highlight w:val="none"/>
        </w:rPr>
        <w:t>检查数量：全数检查</w:t>
      </w:r>
      <w:r>
        <w:rPr>
          <w:rFonts w:hint="eastAsia"/>
          <w:szCs w:val="24"/>
          <w:highlight w:val="none"/>
          <w:lang w:eastAsia="zh-CN"/>
        </w:rPr>
        <w:t>。</w:t>
      </w:r>
      <w:r>
        <w:rPr>
          <w:rFonts w:hint="eastAsia"/>
          <w:szCs w:val="24"/>
          <w:highlight w:val="none"/>
          <w:lang w:val="en-US" w:eastAsia="zh-CN"/>
        </w:rPr>
        <w:t xml:space="preserve">  </w:t>
      </w:r>
    </w:p>
    <w:p w14:paraId="4B3E3AF4">
      <w:pPr>
        <w:pStyle w:val="50"/>
        <w:rPr>
          <w:rFonts w:hint="eastAsia"/>
          <w:highlight w:val="none"/>
        </w:rPr>
      </w:pPr>
    </w:p>
    <w:p w14:paraId="7922DDC9">
      <w:pPr>
        <w:pStyle w:val="50"/>
        <w:rPr>
          <w:rFonts w:hint="eastAsia"/>
          <w:highlight w:val="none"/>
        </w:rPr>
      </w:pPr>
    </w:p>
    <w:p w14:paraId="6F3D951D">
      <w:pPr>
        <w:pStyle w:val="50"/>
        <w:rPr>
          <w:rFonts w:hint="eastAsia"/>
          <w:highlight w:val="none"/>
        </w:rPr>
      </w:pPr>
    </w:p>
    <w:p w14:paraId="66CE95C3">
      <w:pPr>
        <w:pStyle w:val="50"/>
        <w:rPr>
          <w:highlight w:val="none"/>
        </w:rPr>
      </w:pPr>
      <w:r>
        <w:rPr>
          <w:rFonts w:hint="eastAsia"/>
          <w:highlight w:val="none"/>
        </w:rPr>
        <w:t>表</w:t>
      </w:r>
      <w:r>
        <w:rPr>
          <w:rFonts w:hint="eastAsia"/>
          <w:b/>
          <w:highlight w:val="none"/>
        </w:rPr>
        <w:t>8.</w:t>
      </w:r>
      <w:r>
        <w:rPr>
          <w:rFonts w:hint="eastAsia"/>
          <w:b/>
          <w:highlight w:val="none"/>
          <w:lang w:val="en-US" w:eastAsia="zh-CN"/>
        </w:rPr>
        <w:t>6</w:t>
      </w:r>
      <w:r>
        <w:rPr>
          <w:rFonts w:hint="eastAsia"/>
          <w:b/>
          <w:highlight w:val="none"/>
        </w:rPr>
        <w:t>.</w:t>
      </w:r>
      <w:r>
        <w:rPr>
          <w:b/>
          <w:highlight w:val="none"/>
        </w:rPr>
        <w:t xml:space="preserve">6 </w:t>
      </w:r>
      <w:r>
        <w:rPr>
          <w:highlight w:val="none"/>
        </w:rPr>
        <w:t xml:space="preserve"> </w:t>
      </w:r>
      <w:r>
        <w:rPr>
          <w:rFonts w:hint="eastAsia"/>
          <w:highlight w:val="none"/>
        </w:rPr>
        <w:t>模块单元尺寸允许偏差及检验方法</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3376"/>
        <w:gridCol w:w="946"/>
        <w:gridCol w:w="1098"/>
      </w:tblGrid>
      <w:tr w14:paraId="1B04E9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blHeader/>
          <w:jc w:val="center"/>
        </w:trPr>
        <w:tc>
          <w:tcPr>
            <w:tcW w:w="3333" w:type="pct"/>
            <w:gridSpan w:val="2"/>
            <w:vAlign w:val="center"/>
          </w:tcPr>
          <w:p w14:paraId="4CEF1C14">
            <w:pPr>
              <w:pStyle w:val="49"/>
              <w:rPr>
                <w:highlight w:val="none"/>
              </w:rPr>
            </w:pPr>
            <w:r>
              <w:rPr>
                <w:rFonts w:hint="eastAsia"/>
                <w:highlight w:val="none"/>
              </w:rPr>
              <w:t>项</w:t>
            </w:r>
            <w:r>
              <w:rPr>
                <w:highlight w:val="none"/>
              </w:rPr>
              <w:t xml:space="preserve">  </w:t>
            </w:r>
            <w:r>
              <w:rPr>
                <w:rFonts w:hint="eastAsia"/>
                <w:highlight w:val="none"/>
              </w:rPr>
              <w:t>目</w:t>
            </w:r>
          </w:p>
        </w:tc>
        <w:tc>
          <w:tcPr>
            <w:tcW w:w="771" w:type="pct"/>
            <w:vAlign w:val="center"/>
          </w:tcPr>
          <w:p w14:paraId="056D5C68">
            <w:pPr>
              <w:pStyle w:val="49"/>
              <w:rPr>
                <w:highlight w:val="none"/>
              </w:rPr>
            </w:pPr>
            <w:r>
              <w:rPr>
                <w:rFonts w:hint="eastAsia"/>
                <w:highlight w:val="none"/>
              </w:rPr>
              <w:t>允许偏差</w:t>
            </w:r>
            <w:r>
              <w:rPr>
                <w:highlight w:val="none"/>
              </w:rPr>
              <w:t>(mm)</w:t>
            </w:r>
          </w:p>
        </w:tc>
        <w:tc>
          <w:tcPr>
            <w:tcW w:w="895" w:type="pct"/>
            <w:vAlign w:val="center"/>
          </w:tcPr>
          <w:p w14:paraId="127D9665">
            <w:pPr>
              <w:pStyle w:val="49"/>
              <w:rPr>
                <w:highlight w:val="none"/>
              </w:rPr>
            </w:pPr>
            <w:r>
              <w:rPr>
                <w:rFonts w:hint="eastAsia"/>
                <w:highlight w:val="none"/>
              </w:rPr>
              <w:t>检验方法</w:t>
            </w:r>
          </w:p>
        </w:tc>
      </w:tr>
      <w:tr w14:paraId="1F1193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81" w:type="pct"/>
            <w:vMerge w:val="restart"/>
            <w:vAlign w:val="center"/>
          </w:tcPr>
          <w:p w14:paraId="5AB7FE79">
            <w:pPr>
              <w:pStyle w:val="49"/>
              <w:rPr>
                <w:highlight w:val="none"/>
              </w:rPr>
            </w:pPr>
            <w:r>
              <w:rPr>
                <w:rFonts w:hint="eastAsia"/>
                <w:highlight w:val="none"/>
              </w:rPr>
              <w:t>对拉孔</w:t>
            </w:r>
          </w:p>
        </w:tc>
        <w:tc>
          <w:tcPr>
            <w:tcW w:w="2752" w:type="pct"/>
            <w:vAlign w:val="center"/>
          </w:tcPr>
          <w:p w14:paraId="4C4E27BB">
            <w:pPr>
              <w:pStyle w:val="49"/>
              <w:rPr>
                <w:highlight w:val="none"/>
              </w:rPr>
            </w:pPr>
            <w:r>
              <w:rPr>
                <w:rFonts w:hint="eastAsia"/>
                <w:highlight w:val="none"/>
              </w:rPr>
              <w:t>中心线位置</w:t>
            </w:r>
          </w:p>
        </w:tc>
        <w:tc>
          <w:tcPr>
            <w:tcW w:w="771" w:type="pct"/>
            <w:vAlign w:val="center"/>
          </w:tcPr>
          <w:p w14:paraId="69D5F6EF">
            <w:pPr>
              <w:pStyle w:val="49"/>
              <w:rPr>
                <w:highlight w:val="none"/>
              </w:rPr>
            </w:pPr>
            <w:r>
              <w:rPr>
                <w:highlight w:val="none"/>
              </w:rPr>
              <w:t>3</w:t>
            </w:r>
          </w:p>
        </w:tc>
        <w:tc>
          <w:tcPr>
            <w:tcW w:w="895" w:type="pct"/>
            <w:vMerge w:val="restart"/>
            <w:vAlign w:val="center"/>
          </w:tcPr>
          <w:p w14:paraId="6D1E2711">
            <w:pPr>
              <w:pStyle w:val="49"/>
              <w:rPr>
                <w:highlight w:val="none"/>
              </w:rPr>
            </w:pPr>
            <w:r>
              <w:rPr>
                <w:rFonts w:hint="eastAsia"/>
                <w:highlight w:val="none"/>
              </w:rPr>
              <w:t>尺量检查</w:t>
            </w:r>
          </w:p>
        </w:tc>
      </w:tr>
      <w:tr w14:paraId="6A6287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81" w:type="pct"/>
            <w:vMerge w:val="continue"/>
            <w:vAlign w:val="center"/>
          </w:tcPr>
          <w:p w14:paraId="68F5AD18">
            <w:pPr>
              <w:pStyle w:val="49"/>
              <w:rPr>
                <w:highlight w:val="none"/>
              </w:rPr>
            </w:pPr>
          </w:p>
        </w:tc>
        <w:tc>
          <w:tcPr>
            <w:tcW w:w="2752" w:type="pct"/>
            <w:vAlign w:val="center"/>
          </w:tcPr>
          <w:p w14:paraId="189C58EC">
            <w:pPr>
              <w:pStyle w:val="49"/>
              <w:rPr>
                <w:highlight w:val="none"/>
              </w:rPr>
            </w:pPr>
            <w:r>
              <w:rPr>
                <w:rFonts w:hint="eastAsia"/>
                <w:highlight w:val="none"/>
              </w:rPr>
              <w:t>孔尺寸</w:t>
            </w:r>
          </w:p>
        </w:tc>
        <w:tc>
          <w:tcPr>
            <w:tcW w:w="771" w:type="pct"/>
            <w:vAlign w:val="center"/>
          </w:tcPr>
          <w:p w14:paraId="0A8930CD">
            <w:pPr>
              <w:pStyle w:val="49"/>
              <w:rPr>
                <w:highlight w:val="none"/>
              </w:rPr>
            </w:pPr>
            <w:r>
              <w:rPr>
                <w:highlight w:val="none"/>
              </w:rPr>
              <w:t>+5</w:t>
            </w:r>
            <w:r>
              <w:rPr>
                <w:rFonts w:hint="eastAsia"/>
                <w:highlight w:val="none"/>
              </w:rPr>
              <w:t>，0</w:t>
            </w:r>
          </w:p>
        </w:tc>
        <w:tc>
          <w:tcPr>
            <w:tcW w:w="895" w:type="pct"/>
            <w:vMerge w:val="continue"/>
            <w:vAlign w:val="center"/>
          </w:tcPr>
          <w:p w14:paraId="071B52E0">
            <w:pPr>
              <w:pStyle w:val="49"/>
              <w:rPr>
                <w:highlight w:val="none"/>
              </w:rPr>
            </w:pPr>
          </w:p>
        </w:tc>
      </w:tr>
      <w:tr w14:paraId="3F313D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81" w:type="pct"/>
            <w:vMerge w:val="restart"/>
            <w:vAlign w:val="center"/>
          </w:tcPr>
          <w:p w14:paraId="5C725D36">
            <w:pPr>
              <w:pStyle w:val="49"/>
              <w:rPr>
                <w:highlight w:val="none"/>
              </w:rPr>
            </w:pPr>
            <w:r>
              <w:rPr>
                <w:rFonts w:hint="eastAsia"/>
                <w:highlight w:val="none"/>
              </w:rPr>
              <w:t>设备孔</w:t>
            </w:r>
          </w:p>
        </w:tc>
        <w:tc>
          <w:tcPr>
            <w:tcW w:w="2752" w:type="pct"/>
            <w:vAlign w:val="center"/>
          </w:tcPr>
          <w:p w14:paraId="7E148435">
            <w:pPr>
              <w:pStyle w:val="49"/>
              <w:rPr>
                <w:highlight w:val="none"/>
              </w:rPr>
            </w:pPr>
            <w:r>
              <w:rPr>
                <w:rFonts w:hint="eastAsia"/>
                <w:highlight w:val="none"/>
              </w:rPr>
              <w:t>中心线位置</w:t>
            </w:r>
          </w:p>
        </w:tc>
        <w:tc>
          <w:tcPr>
            <w:tcW w:w="771" w:type="pct"/>
            <w:vAlign w:val="center"/>
          </w:tcPr>
          <w:p w14:paraId="22F3AE17">
            <w:pPr>
              <w:pStyle w:val="49"/>
              <w:rPr>
                <w:highlight w:val="none"/>
              </w:rPr>
            </w:pPr>
            <w:r>
              <w:rPr>
                <w:highlight w:val="none"/>
              </w:rPr>
              <w:t>10</w:t>
            </w:r>
          </w:p>
        </w:tc>
        <w:tc>
          <w:tcPr>
            <w:tcW w:w="895" w:type="pct"/>
            <w:vMerge w:val="restart"/>
            <w:vAlign w:val="center"/>
          </w:tcPr>
          <w:p w14:paraId="7EA72F10">
            <w:pPr>
              <w:pStyle w:val="49"/>
              <w:rPr>
                <w:highlight w:val="none"/>
              </w:rPr>
            </w:pPr>
            <w:r>
              <w:rPr>
                <w:rFonts w:hint="eastAsia"/>
                <w:highlight w:val="none"/>
              </w:rPr>
              <w:t>尺量检查</w:t>
            </w:r>
          </w:p>
        </w:tc>
      </w:tr>
      <w:tr w14:paraId="2DE9B4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81" w:type="pct"/>
            <w:vMerge w:val="continue"/>
            <w:vAlign w:val="center"/>
          </w:tcPr>
          <w:p w14:paraId="7EAF2055">
            <w:pPr>
              <w:pStyle w:val="49"/>
              <w:rPr>
                <w:highlight w:val="none"/>
              </w:rPr>
            </w:pPr>
          </w:p>
        </w:tc>
        <w:tc>
          <w:tcPr>
            <w:tcW w:w="2752" w:type="pct"/>
            <w:vAlign w:val="center"/>
          </w:tcPr>
          <w:p w14:paraId="61417AFD">
            <w:pPr>
              <w:pStyle w:val="49"/>
              <w:rPr>
                <w:highlight w:val="none"/>
              </w:rPr>
            </w:pPr>
            <w:r>
              <w:rPr>
                <w:rFonts w:hint="eastAsia"/>
                <w:highlight w:val="none"/>
              </w:rPr>
              <w:t>洞口尺寸、深度</w:t>
            </w:r>
          </w:p>
        </w:tc>
        <w:tc>
          <w:tcPr>
            <w:tcW w:w="771" w:type="pct"/>
            <w:vAlign w:val="center"/>
          </w:tcPr>
          <w:p w14:paraId="327A61BB">
            <w:pPr>
              <w:pStyle w:val="49"/>
              <w:rPr>
                <w:highlight w:val="none"/>
              </w:rPr>
            </w:pPr>
            <w:r>
              <w:rPr>
                <w:highlight w:val="none"/>
              </w:rPr>
              <w:t>±10</w:t>
            </w:r>
          </w:p>
        </w:tc>
        <w:tc>
          <w:tcPr>
            <w:tcW w:w="895" w:type="pct"/>
            <w:vMerge w:val="continue"/>
            <w:vAlign w:val="center"/>
          </w:tcPr>
          <w:p w14:paraId="6C1EDD6B">
            <w:pPr>
              <w:pStyle w:val="49"/>
              <w:rPr>
                <w:highlight w:val="none"/>
              </w:rPr>
            </w:pPr>
          </w:p>
        </w:tc>
      </w:tr>
      <w:tr w14:paraId="29739F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81" w:type="pct"/>
            <w:vMerge w:val="restart"/>
            <w:vAlign w:val="center"/>
          </w:tcPr>
          <w:p w14:paraId="11EC101F">
            <w:pPr>
              <w:pStyle w:val="49"/>
              <w:rPr>
                <w:highlight w:val="none"/>
              </w:rPr>
            </w:pPr>
            <w:r>
              <w:rPr>
                <w:rFonts w:hint="eastAsia"/>
                <w:highlight w:val="none"/>
              </w:rPr>
              <w:t>门窗口</w:t>
            </w:r>
          </w:p>
        </w:tc>
        <w:tc>
          <w:tcPr>
            <w:tcW w:w="2752" w:type="pct"/>
            <w:vAlign w:val="center"/>
          </w:tcPr>
          <w:p w14:paraId="198DD0D7">
            <w:pPr>
              <w:pStyle w:val="49"/>
              <w:rPr>
                <w:highlight w:val="none"/>
              </w:rPr>
            </w:pPr>
            <w:r>
              <w:rPr>
                <w:rFonts w:hint="eastAsia"/>
                <w:highlight w:val="none"/>
              </w:rPr>
              <w:t>中心线位置</w:t>
            </w:r>
          </w:p>
        </w:tc>
        <w:tc>
          <w:tcPr>
            <w:tcW w:w="771" w:type="pct"/>
            <w:vAlign w:val="center"/>
          </w:tcPr>
          <w:p w14:paraId="414F8EC7">
            <w:pPr>
              <w:pStyle w:val="49"/>
              <w:rPr>
                <w:highlight w:val="none"/>
              </w:rPr>
            </w:pPr>
            <w:r>
              <w:rPr>
                <w:highlight w:val="none"/>
              </w:rPr>
              <w:t>5</w:t>
            </w:r>
          </w:p>
        </w:tc>
        <w:tc>
          <w:tcPr>
            <w:tcW w:w="895" w:type="pct"/>
            <w:vMerge w:val="restart"/>
            <w:vAlign w:val="center"/>
          </w:tcPr>
          <w:p w14:paraId="5F6DD0DC">
            <w:pPr>
              <w:pStyle w:val="49"/>
              <w:rPr>
                <w:highlight w:val="none"/>
              </w:rPr>
            </w:pPr>
            <w:r>
              <w:rPr>
                <w:rFonts w:hint="eastAsia"/>
                <w:highlight w:val="none"/>
              </w:rPr>
              <w:t>尺量检查</w:t>
            </w:r>
          </w:p>
        </w:tc>
      </w:tr>
      <w:tr w14:paraId="4C9C31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81" w:type="pct"/>
            <w:vMerge w:val="continue"/>
            <w:vAlign w:val="center"/>
          </w:tcPr>
          <w:p w14:paraId="6FAD9755">
            <w:pPr>
              <w:pStyle w:val="49"/>
              <w:rPr>
                <w:highlight w:val="none"/>
              </w:rPr>
            </w:pPr>
          </w:p>
        </w:tc>
        <w:tc>
          <w:tcPr>
            <w:tcW w:w="2752" w:type="pct"/>
            <w:vAlign w:val="center"/>
          </w:tcPr>
          <w:p w14:paraId="1C3CF041">
            <w:pPr>
              <w:pStyle w:val="49"/>
              <w:rPr>
                <w:highlight w:val="none"/>
              </w:rPr>
            </w:pPr>
            <w:r>
              <w:rPr>
                <w:rFonts w:hint="eastAsia"/>
                <w:highlight w:val="none"/>
              </w:rPr>
              <w:t>宽度、高度</w:t>
            </w:r>
          </w:p>
        </w:tc>
        <w:tc>
          <w:tcPr>
            <w:tcW w:w="771" w:type="pct"/>
            <w:vAlign w:val="center"/>
          </w:tcPr>
          <w:p w14:paraId="1EE13EC3">
            <w:pPr>
              <w:pStyle w:val="49"/>
              <w:rPr>
                <w:highlight w:val="none"/>
              </w:rPr>
            </w:pPr>
            <w:r>
              <w:rPr>
                <w:highlight w:val="none"/>
              </w:rPr>
              <w:t>±3</w:t>
            </w:r>
          </w:p>
        </w:tc>
        <w:tc>
          <w:tcPr>
            <w:tcW w:w="895" w:type="pct"/>
            <w:vMerge w:val="continue"/>
            <w:vAlign w:val="center"/>
          </w:tcPr>
          <w:p w14:paraId="26C561D3">
            <w:pPr>
              <w:pStyle w:val="49"/>
              <w:rPr>
                <w:highlight w:val="none"/>
              </w:rPr>
            </w:pPr>
          </w:p>
        </w:tc>
      </w:tr>
      <w:tr w14:paraId="3AA37A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81" w:type="pct"/>
            <w:vMerge w:val="restart"/>
            <w:vAlign w:val="center"/>
          </w:tcPr>
          <w:p w14:paraId="1A4BC3C0">
            <w:pPr>
              <w:pStyle w:val="49"/>
              <w:rPr>
                <w:highlight w:val="none"/>
              </w:rPr>
            </w:pPr>
            <w:r>
              <w:rPr>
                <w:rFonts w:hint="eastAsia"/>
                <w:highlight w:val="none"/>
              </w:rPr>
              <w:t>预埋件</w:t>
            </w:r>
          </w:p>
        </w:tc>
        <w:tc>
          <w:tcPr>
            <w:tcW w:w="2752" w:type="pct"/>
            <w:vAlign w:val="center"/>
          </w:tcPr>
          <w:p w14:paraId="5F70C2DE">
            <w:pPr>
              <w:pStyle w:val="49"/>
              <w:rPr>
                <w:highlight w:val="none"/>
              </w:rPr>
            </w:pPr>
            <w:r>
              <w:rPr>
                <w:rFonts w:hint="eastAsia"/>
                <w:highlight w:val="none"/>
              </w:rPr>
              <w:t>预埋件锚板中心线位置</w:t>
            </w:r>
          </w:p>
        </w:tc>
        <w:tc>
          <w:tcPr>
            <w:tcW w:w="771" w:type="pct"/>
            <w:vAlign w:val="center"/>
          </w:tcPr>
          <w:p w14:paraId="040EC7FD">
            <w:pPr>
              <w:pStyle w:val="49"/>
              <w:rPr>
                <w:highlight w:val="none"/>
              </w:rPr>
            </w:pPr>
            <w:r>
              <w:rPr>
                <w:highlight w:val="none"/>
              </w:rPr>
              <w:t>5</w:t>
            </w:r>
          </w:p>
        </w:tc>
        <w:tc>
          <w:tcPr>
            <w:tcW w:w="895" w:type="pct"/>
            <w:vMerge w:val="restart"/>
            <w:vAlign w:val="center"/>
          </w:tcPr>
          <w:p w14:paraId="1BE5DBB1">
            <w:pPr>
              <w:pStyle w:val="49"/>
              <w:rPr>
                <w:highlight w:val="none"/>
              </w:rPr>
            </w:pPr>
            <w:r>
              <w:rPr>
                <w:rFonts w:hint="eastAsia"/>
                <w:highlight w:val="none"/>
              </w:rPr>
              <w:t>尺量检查</w:t>
            </w:r>
          </w:p>
        </w:tc>
      </w:tr>
      <w:tr w14:paraId="5CA3EBD5">
        <w:tblPrEx>
          <w:tblCellMar>
            <w:top w:w="0" w:type="dxa"/>
            <w:left w:w="108" w:type="dxa"/>
            <w:bottom w:w="0" w:type="dxa"/>
            <w:right w:w="108" w:type="dxa"/>
          </w:tblCellMar>
        </w:tblPrEx>
        <w:trPr>
          <w:trHeight w:val="333" w:hRule="atLeast"/>
          <w:jc w:val="center"/>
        </w:trPr>
        <w:tc>
          <w:tcPr>
            <w:tcW w:w="581" w:type="pct"/>
            <w:vMerge w:val="continue"/>
            <w:vAlign w:val="center"/>
          </w:tcPr>
          <w:p w14:paraId="611BE79F">
            <w:pPr>
              <w:pStyle w:val="49"/>
              <w:rPr>
                <w:highlight w:val="none"/>
              </w:rPr>
            </w:pPr>
          </w:p>
        </w:tc>
        <w:tc>
          <w:tcPr>
            <w:tcW w:w="2752" w:type="pct"/>
            <w:vMerge w:val="restart"/>
            <w:vAlign w:val="center"/>
          </w:tcPr>
          <w:p w14:paraId="20C3211D">
            <w:pPr>
              <w:pStyle w:val="49"/>
              <w:rPr>
                <w:highlight w:val="none"/>
              </w:rPr>
            </w:pPr>
            <w:r>
              <w:rPr>
                <w:rFonts w:hint="eastAsia"/>
                <w:highlight w:val="none"/>
              </w:rPr>
              <w:t>预埋件锚板与混凝土面</w:t>
            </w:r>
          </w:p>
          <w:p w14:paraId="43E657D9">
            <w:pPr>
              <w:pStyle w:val="49"/>
              <w:rPr>
                <w:highlight w:val="none"/>
              </w:rPr>
            </w:pPr>
            <w:r>
              <w:rPr>
                <w:rFonts w:hint="eastAsia"/>
                <w:highlight w:val="none"/>
              </w:rPr>
              <w:t>平面高差</w:t>
            </w:r>
          </w:p>
        </w:tc>
        <w:tc>
          <w:tcPr>
            <w:tcW w:w="771" w:type="pct"/>
            <w:vMerge w:val="restart"/>
            <w:vAlign w:val="center"/>
          </w:tcPr>
          <w:p w14:paraId="7D26DABA">
            <w:pPr>
              <w:pStyle w:val="49"/>
              <w:rPr>
                <w:highlight w:val="none"/>
              </w:rPr>
            </w:pPr>
            <w:r>
              <w:rPr>
                <w:highlight w:val="none"/>
              </w:rPr>
              <w:t>0</w:t>
            </w:r>
            <w:r>
              <w:rPr>
                <w:rFonts w:hint="eastAsia"/>
                <w:highlight w:val="none"/>
              </w:rPr>
              <w:t>，</w:t>
            </w:r>
            <w:r>
              <w:rPr>
                <w:highlight w:val="none"/>
              </w:rPr>
              <w:t>-5</w:t>
            </w:r>
          </w:p>
        </w:tc>
        <w:tc>
          <w:tcPr>
            <w:tcW w:w="895" w:type="pct"/>
            <w:vMerge w:val="continue"/>
            <w:vAlign w:val="center"/>
          </w:tcPr>
          <w:p w14:paraId="56D360C7">
            <w:pPr>
              <w:pStyle w:val="49"/>
              <w:rPr>
                <w:highlight w:val="none"/>
              </w:rPr>
            </w:pPr>
          </w:p>
        </w:tc>
      </w:tr>
      <w:tr w14:paraId="443707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81" w:type="pct"/>
            <w:vMerge w:val="continue"/>
            <w:vAlign w:val="center"/>
          </w:tcPr>
          <w:p w14:paraId="21A13478">
            <w:pPr>
              <w:pStyle w:val="49"/>
              <w:rPr>
                <w:highlight w:val="none"/>
              </w:rPr>
            </w:pPr>
          </w:p>
        </w:tc>
        <w:tc>
          <w:tcPr>
            <w:tcW w:w="2752" w:type="pct"/>
            <w:vMerge w:val="continue"/>
            <w:vAlign w:val="center"/>
          </w:tcPr>
          <w:p w14:paraId="0F960042">
            <w:pPr>
              <w:pStyle w:val="49"/>
              <w:rPr>
                <w:highlight w:val="none"/>
              </w:rPr>
            </w:pPr>
          </w:p>
        </w:tc>
        <w:tc>
          <w:tcPr>
            <w:tcW w:w="771" w:type="pct"/>
            <w:vMerge w:val="continue"/>
            <w:vAlign w:val="center"/>
          </w:tcPr>
          <w:p w14:paraId="00B05A1D">
            <w:pPr>
              <w:pStyle w:val="49"/>
              <w:rPr>
                <w:highlight w:val="none"/>
              </w:rPr>
            </w:pPr>
          </w:p>
        </w:tc>
        <w:tc>
          <w:tcPr>
            <w:tcW w:w="895" w:type="pct"/>
            <w:vMerge w:val="continue"/>
            <w:vAlign w:val="center"/>
          </w:tcPr>
          <w:p w14:paraId="29F0E196">
            <w:pPr>
              <w:pStyle w:val="49"/>
              <w:rPr>
                <w:highlight w:val="none"/>
              </w:rPr>
            </w:pPr>
          </w:p>
        </w:tc>
      </w:tr>
      <w:tr w14:paraId="78C514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81" w:type="pct"/>
            <w:vMerge w:val="continue"/>
            <w:vAlign w:val="center"/>
          </w:tcPr>
          <w:p w14:paraId="41431E95">
            <w:pPr>
              <w:pStyle w:val="49"/>
              <w:rPr>
                <w:highlight w:val="none"/>
              </w:rPr>
            </w:pPr>
          </w:p>
        </w:tc>
        <w:tc>
          <w:tcPr>
            <w:tcW w:w="2752" w:type="pct"/>
            <w:vAlign w:val="center"/>
          </w:tcPr>
          <w:p w14:paraId="39CBCE3D">
            <w:pPr>
              <w:pStyle w:val="49"/>
              <w:rPr>
                <w:highlight w:val="none"/>
              </w:rPr>
            </w:pPr>
            <w:r>
              <w:rPr>
                <w:rFonts w:hint="eastAsia"/>
                <w:highlight w:val="none"/>
              </w:rPr>
              <w:t>预埋螺栓中心线位置</w:t>
            </w:r>
          </w:p>
        </w:tc>
        <w:tc>
          <w:tcPr>
            <w:tcW w:w="771" w:type="pct"/>
            <w:vAlign w:val="center"/>
          </w:tcPr>
          <w:p w14:paraId="009239C8">
            <w:pPr>
              <w:pStyle w:val="49"/>
              <w:rPr>
                <w:highlight w:val="none"/>
              </w:rPr>
            </w:pPr>
            <w:r>
              <w:rPr>
                <w:highlight w:val="none"/>
              </w:rPr>
              <w:t>2</w:t>
            </w:r>
          </w:p>
        </w:tc>
        <w:tc>
          <w:tcPr>
            <w:tcW w:w="895" w:type="pct"/>
            <w:vMerge w:val="continue"/>
            <w:vAlign w:val="center"/>
          </w:tcPr>
          <w:p w14:paraId="51EECC28">
            <w:pPr>
              <w:pStyle w:val="49"/>
              <w:rPr>
                <w:highlight w:val="none"/>
              </w:rPr>
            </w:pPr>
          </w:p>
        </w:tc>
      </w:tr>
      <w:tr w14:paraId="70D120F2">
        <w:tblPrEx>
          <w:tblCellMar>
            <w:top w:w="0" w:type="dxa"/>
            <w:left w:w="108" w:type="dxa"/>
            <w:bottom w:w="0" w:type="dxa"/>
            <w:right w:w="108" w:type="dxa"/>
          </w:tblCellMar>
        </w:tblPrEx>
        <w:trPr>
          <w:trHeight w:val="313" w:hRule="atLeast"/>
          <w:jc w:val="center"/>
        </w:trPr>
        <w:tc>
          <w:tcPr>
            <w:tcW w:w="581" w:type="pct"/>
            <w:vMerge w:val="continue"/>
            <w:vAlign w:val="center"/>
          </w:tcPr>
          <w:p w14:paraId="0D70C418">
            <w:pPr>
              <w:pStyle w:val="49"/>
              <w:rPr>
                <w:highlight w:val="none"/>
              </w:rPr>
            </w:pPr>
          </w:p>
        </w:tc>
        <w:tc>
          <w:tcPr>
            <w:tcW w:w="2752" w:type="pct"/>
            <w:vAlign w:val="center"/>
          </w:tcPr>
          <w:p w14:paraId="33FC2080">
            <w:pPr>
              <w:pStyle w:val="49"/>
              <w:rPr>
                <w:highlight w:val="none"/>
              </w:rPr>
            </w:pPr>
            <w:r>
              <w:rPr>
                <w:rFonts w:hint="eastAsia"/>
                <w:highlight w:val="none"/>
              </w:rPr>
              <w:t>预埋螺栓外露长度</w:t>
            </w:r>
          </w:p>
        </w:tc>
        <w:tc>
          <w:tcPr>
            <w:tcW w:w="771" w:type="pct"/>
            <w:vAlign w:val="center"/>
          </w:tcPr>
          <w:p w14:paraId="650D9AC0">
            <w:pPr>
              <w:pStyle w:val="49"/>
              <w:rPr>
                <w:highlight w:val="none"/>
              </w:rPr>
            </w:pPr>
            <w:r>
              <w:rPr>
                <w:highlight w:val="none"/>
              </w:rPr>
              <w:t>+10</w:t>
            </w:r>
            <w:r>
              <w:rPr>
                <w:rFonts w:hint="eastAsia"/>
                <w:highlight w:val="none"/>
              </w:rPr>
              <w:t>，</w:t>
            </w:r>
            <w:r>
              <w:rPr>
                <w:highlight w:val="none"/>
              </w:rPr>
              <w:t>-5</w:t>
            </w:r>
          </w:p>
        </w:tc>
        <w:tc>
          <w:tcPr>
            <w:tcW w:w="895" w:type="pct"/>
            <w:vMerge w:val="continue"/>
            <w:vAlign w:val="center"/>
          </w:tcPr>
          <w:p w14:paraId="206797D2">
            <w:pPr>
              <w:pStyle w:val="49"/>
              <w:rPr>
                <w:highlight w:val="none"/>
              </w:rPr>
            </w:pPr>
          </w:p>
        </w:tc>
      </w:tr>
      <w:tr w14:paraId="37ABF1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81" w:type="pct"/>
            <w:vMerge w:val="continue"/>
            <w:vAlign w:val="center"/>
          </w:tcPr>
          <w:p w14:paraId="2FE55A11">
            <w:pPr>
              <w:pStyle w:val="49"/>
              <w:rPr>
                <w:highlight w:val="none"/>
              </w:rPr>
            </w:pPr>
          </w:p>
        </w:tc>
        <w:tc>
          <w:tcPr>
            <w:tcW w:w="2752" w:type="pct"/>
            <w:vAlign w:val="center"/>
          </w:tcPr>
          <w:p w14:paraId="110EFBB4">
            <w:pPr>
              <w:pStyle w:val="49"/>
              <w:rPr>
                <w:highlight w:val="none"/>
              </w:rPr>
            </w:pPr>
            <w:r>
              <w:rPr>
                <w:rFonts w:hint="eastAsia"/>
                <w:highlight w:val="none"/>
              </w:rPr>
              <w:t>预埋套筒、螺母中心线位置</w:t>
            </w:r>
          </w:p>
        </w:tc>
        <w:tc>
          <w:tcPr>
            <w:tcW w:w="771" w:type="pct"/>
            <w:vAlign w:val="center"/>
          </w:tcPr>
          <w:p w14:paraId="73B66504">
            <w:pPr>
              <w:pStyle w:val="49"/>
              <w:rPr>
                <w:highlight w:val="none"/>
              </w:rPr>
            </w:pPr>
            <w:r>
              <w:rPr>
                <w:highlight w:val="none"/>
              </w:rPr>
              <w:t>2</w:t>
            </w:r>
          </w:p>
        </w:tc>
        <w:tc>
          <w:tcPr>
            <w:tcW w:w="895" w:type="pct"/>
            <w:vMerge w:val="continue"/>
            <w:vAlign w:val="center"/>
          </w:tcPr>
          <w:p w14:paraId="1262E276">
            <w:pPr>
              <w:pStyle w:val="49"/>
              <w:rPr>
                <w:highlight w:val="none"/>
              </w:rPr>
            </w:pPr>
          </w:p>
        </w:tc>
      </w:tr>
      <w:tr w14:paraId="47C29D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81" w:type="pct"/>
            <w:vMerge w:val="continue"/>
            <w:vAlign w:val="center"/>
          </w:tcPr>
          <w:p w14:paraId="6263B7CC">
            <w:pPr>
              <w:pStyle w:val="49"/>
              <w:rPr>
                <w:highlight w:val="none"/>
              </w:rPr>
            </w:pPr>
          </w:p>
        </w:tc>
        <w:tc>
          <w:tcPr>
            <w:tcW w:w="2752" w:type="pct"/>
            <w:vMerge w:val="restart"/>
            <w:vAlign w:val="center"/>
          </w:tcPr>
          <w:p w14:paraId="273CE83A">
            <w:pPr>
              <w:pStyle w:val="49"/>
              <w:rPr>
                <w:highlight w:val="none"/>
              </w:rPr>
            </w:pPr>
            <w:r>
              <w:rPr>
                <w:rFonts w:hint="eastAsia"/>
                <w:highlight w:val="none"/>
              </w:rPr>
              <w:t>预埋套筒、螺母与</w:t>
            </w:r>
          </w:p>
          <w:p w14:paraId="27EEE476">
            <w:pPr>
              <w:pStyle w:val="49"/>
              <w:rPr>
                <w:highlight w:val="none"/>
              </w:rPr>
            </w:pPr>
            <w:r>
              <w:rPr>
                <w:rFonts w:hint="eastAsia"/>
                <w:highlight w:val="none"/>
              </w:rPr>
              <w:t>混凝土面平面高差</w:t>
            </w:r>
          </w:p>
        </w:tc>
        <w:tc>
          <w:tcPr>
            <w:tcW w:w="771" w:type="pct"/>
            <w:vMerge w:val="restart"/>
            <w:vAlign w:val="center"/>
          </w:tcPr>
          <w:p w14:paraId="44335FBC">
            <w:pPr>
              <w:pStyle w:val="49"/>
              <w:rPr>
                <w:highlight w:val="none"/>
              </w:rPr>
            </w:pPr>
            <w:r>
              <w:rPr>
                <w:highlight w:val="none"/>
              </w:rPr>
              <w:t>0</w:t>
            </w:r>
            <w:r>
              <w:rPr>
                <w:rFonts w:hint="eastAsia"/>
                <w:highlight w:val="none"/>
              </w:rPr>
              <w:t>，</w:t>
            </w:r>
            <w:r>
              <w:rPr>
                <w:highlight w:val="none"/>
              </w:rPr>
              <w:t>-5</w:t>
            </w:r>
          </w:p>
        </w:tc>
        <w:tc>
          <w:tcPr>
            <w:tcW w:w="895" w:type="pct"/>
            <w:vMerge w:val="continue"/>
            <w:vAlign w:val="center"/>
          </w:tcPr>
          <w:p w14:paraId="74582A10">
            <w:pPr>
              <w:pStyle w:val="49"/>
              <w:rPr>
                <w:highlight w:val="none"/>
              </w:rPr>
            </w:pPr>
          </w:p>
        </w:tc>
      </w:tr>
      <w:tr w14:paraId="77966467">
        <w:tblPrEx>
          <w:tblCellMar>
            <w:top w:w="0" w:type="dxa"/>
            <w:left w:w="108" w:type="dxa"/>
            <w:bottom w:w="0" w:type="dxa"/>
            <w:right w:w="108" w:type="dxa"/>
          </w:tblCellMar>
        </w:tblPrEx>
        <w:trPr>
          <w:trHeight w:val="333" w:hRule="atLeast"/>
          <w:jc w:val="center"/>
        </w:trPr>
        <w:tc>
          <w:tcPr>
            <w:tcW w:w="581" w:type="pct"/>
            <w:vMerge w:val="continue"/>
            <w:vAlign w:val="center"/>
          </w:tcPr>
          <w:p w14:paraId="55577500">
            <w:pPr>
              <w:pStyle w:val="49"/>
              <w:rPr>
                <w:highlight w:val="none"/>
              </w:rPr>
            </w:pPr>
          </w:p>
        </w:tc>
        <w:tc>
          <w:tcPr>
            <w:tcW w:w="2752" w:type="pct"/>
            <w:vMerge w:val="continue"/>
            <w:vAlign w:val="center"/>
          </w:tcPr>
          <w:p w14:paraId="03B330F9">
            <w:pPr>
              <w:pStyle w:val="49"/>
              <w:rPr>
                <w:highlight w:val="none"/>
              </w:rPr>
            </w:pPr>
          </w:p>
        </w:tc>
        <w:tc>
          <w:tcPr>
            <w:tcW w:w="771" w:type="pct"/>
            <w:vMerge w:val="continue"/>
            <w:vAlign w:val="center"/>
          </w:tcPr>
          <w:p w14:paraId="48742940">
            <w:pPr>
              <w:pStyle w:val="49"/>
              <w:rPr>
                <w:highlight w:val="none"/>
              </w:rPr>
            </w:pPr>
          </w:p>
        </w:tc>
        <w:tc>
          <w:tcPr>
            <w:tcW w:w="895" w:type="pct"/>
            <w:vMerge w:val="continue"/>
            <w:vAlign w:val="center"/>
          </w:tcPr>
          <w:p w14:paraId="2BBFA526">
            <w:pPr>
              <w:pStyle w:val="49"/>
              <w:rPr>
                <w:highlight w:val="none"/>
              </w:rPr>
            </w:pPr>
          </w:p>
        </w:tc>
      </w:tr>
      <w:tr w14:paraId="20C427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81" w:type="pct"/>
            <w:vMerge w:val="continue"/>
            <w:vAlign w:val="center"/>
          </w:tcPr>
          <w:p w14:paraId="12F31477">
            <w:pPr>
              <w:pStyle w:val="49"/>
              <w:rPr>
                <w:highlight w:val="none"/>
              </w:rPr>
            </w:pPr>
          </w:p>
        </w:tc>
        <w:tc>
          <w:tcPr>
            <w:tcW w:w="2752" w:type="pct"/>
            <w:vMerge w:val="restart"/>
            <w:vAlign w:val="center"/>
          </w:tcPr>
          <w:p w14:paraId="51502003">
            <w:pPr>
              <w:pStyle w:val="49"/>
              <w:rPr>
                <w:highlight w:val="none"/>
              </w:rPr>
            </w:pPr>
            <w:r>
              <w:rPr>
                <w:rFonts w:hint="eastAsia"/>
                <w:highlight w:val="none"/>
              </w:rPr>
              <w:t>线管、电盒、木砖、吊环在</w:t>
            </w:r>
          </w:p>
          <w:p w14:paraId="2FA30691">
            <w:pPr>
              <w:pStyle w:val="49"/>
              <w:rPr>
                <w:highlight w:val="none"/>
              </w:rPr>
            </w:pPr>
            <w:r>
              <w:rPr>
                <w:rFonts w:hint="eastAsia"/>
                <w:highlight w:val="none"/>
              </w:rPr>
              <w:t>构件平面的中心线位置偏差</w:t>
            </w:r>
          </w:p>
        </w:tc>
        <w:tc>
          <w:tcPr>
            <w:tcW w:w="771" w:type="pct"/>
            <w:vMerge w:val="restart"/>
            <w:vAlign w:val="center"/>
          </w:tcPr>
          <w:p w14:paraId="2E6E1A42">
            <w:pPr>
              <w:pStyle w:val="49"/>
              <w:rPr>
                <w:highlight w:val="none"/>
              </w:rPr>
            </w:pPr>
            <w:r>
              <w:rPr>
                <w:highlight w:val="none"/>
              </w:rPr>
              <w:t>20</w:t>
            </w:r>
          </w:p>
        </w:tc>
        <w:tc>
          <w:tcPr>
            <w:tcW w:w="895" w:type="pct"/>
            <w:vMerge w:val="continue"/>
            <w:vAlign w:val="center"/>
          </w:tcPr>
          <w:p w14:paraId="73BA7A88">
            <w:pPr>
              <w:pStyle w:val="49"/>
              <w:rPr>
                <w:highlight w:val="none"/>
              </w:rPr>
            </w:pPr>
          </w:p>
        </w:tc>
      </w:tr>
      <w:tr w14:paraId="0234C4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81" w:type="pct"/>
            <w:vMerge w:val="continue"/>
            <w:vAlign w:val="center"/>
          </w:tcPr>
          <w:p w14:paraId="75BC1022">
            <w:pPr>
              <w:pStyle w:val="49"/>
              <w:rPr>
                <w:highlight w:val="none"/>
              </w:rPr>
            </w:pPr>
          </w:p>
        </w:tc>
        <w:tc>
          <w:tcPr>
            <w:tcW w:w="2752" w:type="pct"/>
            <w:vMerge w:val="continue"/>
            <w:vAlign w:val="center"/>
          </w:tcPr>
          <w:p w14:paraId="7C3777EF">
            <w:pPr>
              <w:pStyle w:val="49"/>
              <w:rPr>
                <w:highlight w:val="none"/>
              </w:rPr>
            </w:pPr>
          </w:p>
        </w:tc>
        <w:tc>
          <w:tcPr>
            <w:tcW w:w="771" w:type="pct"/>
            <w:vMerge w:val="continue"/>
            <w:vAlign w:val="center"/>
          </w:tcPr>
          <w:p w14:paraId="6B6DFBA7">
            <w:pPr>
              <w:pStyle w:val="49"/>
              <w:rPr>
                <w:highlight w:val="none"/>
              </w:rPr>
            </w:pPr>
          </w:p>
        </w:tc>
        <w:tc>
          <w:tcPr>
            <w:tcW w:w="895" w:type="pct"/>
            <w:vMerge w:val="continue"/>
            <w:vAlign w:val="center"/>
          </w:tcPr>
          <w:p w14:paraId="018B04B2">
            <w:pPr>
              <w:pStyle w:val="49"/>
              <w:rPr>
                <w:highlight w:val="none"/>
              </w:rPr>
            </w:pPr>
          </w:p>
        </w:tc>
      </w:tr>
      <w:tr w14:paraId="3A3D3A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81" w:type="pct"/>
            <w:vMerge w:val="continue"/>
            <w:vAlign w:val="center"/>
          </w:tcPr>
          <w:p w14:paraId="6FBEA6B8">
            <w:pPr>
              <w:pStyle w:val="49"/>
              <w:rPr>
                <w:highlight w:val="none"/>
              </w:rPr>
            </w:pPr>
          </w:p>
        </w:tc>
        <w:tc>
          <w:tcPr>
            <w:tcW w:w="2752" w:type="pct"/>
            <w:vMerge w:val="restart"/>
            <w:vAlign w:val="center"/>
          </w:tcPr>
          <w:p w14:paraId="052D2737">
            <w:pPr>
              <w:pStyle w:val="49"/>
              <w:rPr>
                <w:highlight w:val="none"/>
              </w:rPr>
            </w:pPr>
            <w:r>
              <w:rPr>
                <w:rFonts w:hint="eastAsia"/>
                <w:highlight w:val="none"/>
              </w:rPr>
              <w:t>线管、电盒、木砖、吊环在</w:t>
            </w:r>
          </w:p>
          <w:p w14:paraId="67CEEA5D">
            <w:pPr>
              <w:pStyle w:val="49"/>
              <w:rPr>
                <w:highlight w:val="none"/>
              </w:rPr>
            </w:pPr>
            <w:r>
              <w:rPr>
                <w:rFonts w:hint="eastAsia"/>
                <w:highlight w:val="none"/>
              </w:rPr>
              <w:t>构件表面混凝土高差</w:t>
            </w:r>
          </w:p>
        </w:tc>
        <w:tc>
          <w:tcPr>
            <w:tcW w:w="771" w:type="pct"/>
            <w:vMerge w:val="restart"/>
            <w:vAlign w:val="center"/>
          </w:tcPr>
          <w:p w14:paraId="2F524480">
            <w:pPr>
              <w:pStyle w:val="49"/>
              <w:rPr>
                <w:highlight w:val="none"/>
              </w:rPr>
            </w:pPr>
            <w:r>
              <w:rPr>
                <w:highlight w:val="none"/>
              </w:rPr>
              <w:t>0</w:t>
            </w:r>
            <w:r>
              <w:rPr>
                <w:rFonts w:hint="eastAsia"/>
                <w:highlight w:val="none"/>
              </w:rPr>
              <w:t>，</w:t>
            </w:r>
            <w:r>
              <w:rPr>
                <w:highlight w:val="none"/>
              </w:rPr>
              <w:t>-10</w:t>
            </w:r>
          </w:p>
        </w:tc>
        <w:tc>
          <w:tcPr>
            <w:tcW w:w="895" w:type="pct"/>
            <w:vMerge w:val="continue"/>
            <w:vAlign w:val="center"/>
          </w:tcPr>
          <w:p w14:paraId="50782B3E">
            <w:pPr>
              <w:pStyle w:val="49"/>
              <w:rPr>
                <w:highlight w:val="none"/>
              </w:rPr>
            </w:pPr>
          </w:p>
        </w:tc>
      </w:tr>
      <w:tr w14:paraId="1AD9D4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81" w:type="pct"/>
            <w:vMerge w:val="continue"/>
            <w:tcBorders>
              <w:bottom w:val="single" w:color="auto" w:sz="4" w:space="0"/>
            </w:tcBorders>
            <w:vAlign w:val="center"/>
          </w:tcPr>
          <w:p w14:paraId="3E35B11A">
            <w:pPr>
              <w:pStyle w:val="49"/>
              <w:rPr>
                <w:highlight w:val="none"/>
              </w:rPr>
            </w:pPr>
          </w:p>
        </w:tc>
        <w:tc>
          <w:tcPr>
            <w:tcW w:w="2752" w:type="pct"/>
            <w:vMerge w:val="continue"/>
            <w:vAlign w:val="center"/>
          </w:tcPr>
          <w:p w14:paraId="3A9646B5">
            <w:pPr>
              <w:pStyle w:val="49"/>
              <w:rPr>
                <w:highlight w:val="none"/>
              </w:rPr>
            </w:pPr>
          </w:p>
        </w:tc>
        <w:tc>
          <w:tcPr>
            <w:tcW w:w="771" w:type="pct"/>
            <w:vMerge w:val="continue"/>
            <w:vAlign w:val="center"/>
          </w:tcPr>
          <w:p w14:paraId="00CA6D81">
            <w:pPr>
              <w:pStyle w:val="49"/>
              <w:rPr>
                <w:highlight w:val="none"/>
              </w:rPr>
            </w:pPr>
          </w:p>
        </w:tc>
        <w:tc>
          <w:tcPr>
            <w:tcW w:w="895" w:type="pct"/>
            <w:vMerge w:val="continue"/>
            <w:vAlign w:val="center"/>
          </w:tcPr>
          <w:p w14:paraId="60317422">
            <w:pPr>
              <w:pStyle w:val="49"/>
              <w:rPr>
                <w:highlight w:val="none"/>
              </w:rPr>
            </w:pPr>
          </w:p>
        </w:tc>
      </w:tr>
      <w:tr w14:paraId="32F751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81" w:type="pct"/>
            <w:vMerge w:val="restart"/>
            <w:tcBorders>
              <w:top w:val="single" w:color="auto" w:sz="4" w:space="0"/>
              <w:bottom w:val="single" w:color="auto" w:sz="4" w:space="0"/>
            </w:tcBorders>
            <w:vAlign w:val="center"/>
          </w:tcPr>
          <w:p w14:paraId="2488DE36">
            <w:pPr>
              <w:pStyle w:val="49"/>
              <w:rPr>
                <w:highlight w:val="none"/>
              </w:rPr>
            </w:pPr>
            <w:r>
              <w:rPr>
                <w:rFonts w:hint="eastAsia"/>
                <w:highlight w:val="none"/>
              </w:rPr>
              <w:t>预留插筋</w:t>
            </w:r>
          </w:p>
        </w:tc>
        <w:tc>
          <w:tcPr>
            <w:tcW w:w="2752" w:type="pct"/>
            <w:tcBorders>
              <w:top w:val="single" w:color="auto" w:sz="4" w:space="0"/>
              <w:bottom w:val="single" w:color="auto" w:sz="4" w:space="0"/>
            </w:tcBorders>
            <w:vAlign w:val="center"/>
          </w:tcPr>
          <w:p w14:paraId="5596690D">
            <w:pPr>
              <w:pStyle w:val="49"/>
              <w:rPr>
                <w:highlight w:val="none"/>
              </w:rPr>
            </w:pPr>
            <w:r>
              <w:rPr>
                <w:rFonts w:hint="eastAsia"/>
                <w:highlight w:val="none"/>
              </w:rPr>
              <w:t>中心线位置</w:t>
            </w:r>
          </w:p>
        </w:tc>
        <w:tc>
          <w:tcPr>
            <w:tcW w:w="771" w:type="pct"/>
            <w:tcBorders>
              <w:top w:val="single" w:color="auto" w:sz="4" w:space="0"/>
              <w:bottom w:val="single" w:color="auto" w:sz="4" w:space="0"/>
            </w:tcBorders>
            <w:vAlign w:val="center"/>
          </w:tcPr>
          <w:p w14:paraId="38FFEC89">
            <w:pPr>
              <w:pStyle w:val="49"/>
              <w:rPr>
                <w:highlight w:val="none"/>
              </w:rPr>
            </w:pPr>
            <w:r>
              <w:rPr>
                <w:highlight w:val="none"/>
              </w:rPr>
              <w:t>3</w:t>
            </w:r>
          </w:p>
        </w:tc>
        <w:tc>
          <w:tcPr>
            <w:tcW w:w="895" w:type="pct"/>
            <w:vMerge w:val="restart"/>
            <w:tcBorders>
              <w:top w:val="single" w:color="auto" w:sz="4" w:space="0"/>
              <w:bottom w:val="single" w:color="auto" w:sz="4" w:space="0"/>
            </w:tcBorders>
            <w:vAlign w:val="center"/>
          </w:tcPr>
          <w:p w14:paraId="20D7CEE9">
            <w:pPr>
              <w:pStyle w:val="49"/>
              <w:rPr>
                <w:highlight w:val="none"/>
              </w:rPr>
            </w:pPr>
            <w:r>
              <w:rPr>
                <w:rFonts w:hint="eastAsia"/>
                <w:highlight w:val="none"/>
              </w:rPr>
              <w:t>尺量检查</w:t>
            </w:r>
          </w:p>
        </w:tc>
      </w:tr>
      <w:tr w14:paraId="701482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81" w:type="pct"/>
            <w:vMerge w:val="continue"/>
            <w:tcBorders>
              <w:top w:val="single" w:color="auto" w:sz="4" w:space="0"/>
              <w:bottom w:val="single" w:color="auto" w:sz="4" w:space="0"/>
            </w:tcBorders>
            <w:vAlign w:val="center"/>
          </w:tcPr>
          <w:p w14:paraId="0AEBC502">
            <w:pPr>
              <w:pStyle w:val="49"/>
              <w:rPr>
                <w:highlight w:val="none"/>
              </w:rPr>
            </w:pPr>
          </w:p>
        </w:tc>
        <w:tc>
          <w:tcPr>
            <w:tcW w:w="2752" w:type="pct"/>
            <w:tcBorders>
              <w:top w:val="single" w:color="auto" w:sz="4" w:space="0"/>
              <w:bottom w:val="single" w:color="auto" w:sz="4" w:space="0"/>
            </w:tcBorders>
            <w:vAlign w:val="center"/>
          </w:tcPr>
          <w:p w14:paraId="004BE6F0">
            <w:pPr>
              <w:pStyle w:val="49"/>
              <w:rPr>
                <w:highlight w:val="none"/>
              </w:rPr>
            </w:pPr>
            <w:r>
              <w:rPr>
                <w:rFonts w:hint="eastAsia"/>
                <w:highlight w:val="none"/>
              </w:rPr>
              <w:t>外露长度</w:t>
            </w:r>
          </w:p>
        </w:tc>
        <w:tc>
          <w:tcPr>
            <w:tcW w:w="771" w:type="pct"/>
            <w:tcBorders>
              <w:top w:val="single" w:color="auto" w:sz="4" w:space="0"/>
              <w:bottom w:val="single" w:color="auto" w:sz="4" w:space="0"/>
            </w:tcBorders>
            <w:vAlign w:val="center"/>
          </w:tcPr>
          <w:p w14:paraId="32CE5D53">
            <w:pPr>
              <w:pStyle w:val="49"/>
              <w:rPr>
                <w:highlight w:val="none"/>
              </w:rPr>
            </w:pPr>
            <w:r>
              <w:rPr>
                <w:highlight w:val="none"/>
              </w:rPr>
              <w:t>+5</w:t>
            </w:r>
            <w:r>
              <w:rPr>
                <w:rFonts w:hint="eastAsia"/>
                <w:highlight w:val="none"/>
              </w:rPr>
              <w:t>，</w:t>
            </w:r>
            <w:r>
              <w:rPr>
                <w:highlight w:val="none"/>
              </w:rPr>
              <w:t>-5</w:t>
            </w:r>
          </w:p>
        </w:tc>
        <w:tc>
          <w:tcPr>
            <w:tcW w:w="895" w:type="pct"/>
            <w:vMerge w:val="continue"/>
            <w:tcBorders>
              <w:top w:val="single" w:color="auto" w:sz="4" w:space="0"/>
              <w:bottom w:val="single" w:color="auto" w:sz="4" w:space="0"/>
            </w:tcBorders>
            <w:vAlign w:val="center"/>
          </w:tcPr>
          <w:p w14:paraId="41171ABA">
            <w:pPr>
              <w:pStyle w:val="49"/>
              <w:rPr>
                <w:highlight w:val="none"/>
              </w:rPr>
            </w:pPr>
          </w:p>
        </w:tc>
      </w:tr>
      <w:tr w14:paraId="5AF582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81" w:type="pct"/>
            <w:vMerge w:val="restart"/>
            <w:tcBorders>
              <w:top w:val="single" w:color="auto" w:sz="4" w:space="0"/>
            </w:tcBorders>
            <w:vAlign w:val="center"/>
          </w:tcPr>
          <w:p w14:paraId="3EA21CEB">
            <w:pPr>
              <w:pStyle w:val="49"/>
              <w:rPr>
                <w:highlight w:val="none"/>
              </w:rPr>
            </w:pPr>
            <w:r>
              <w:rPr>
                <w:rFonts w:hint="eastAsia"/>
                <w:highlight w:val="none"/>
              </w:rPr>
              <w:t>键槽</w:t>
            </w:r>
          </w:p>
        </w:tc>
        <w:tc>
          <w:tcPr>
            <w:tcW w:w="2752" w:type="pct"/>
            <w:tcBorders>
              <w:top w:val="single" w:color="auto" w:sz="4" w:space="0"/>
              <w:bottom w:val="single" w:color="auto" w:sz="4" w:space="0"/>
            </w:tcBorders>
            <w:vAlign w:val="center"/>
          </w:tcPr>
          <w:p w14:paraId="12725842">
            <w:pPr>
              <w:pStyle w:val="49"/>
              <w:rPr>
                <w:highlight w:val="none"/>
              </w:rPr>
            </w:pPr>
            <w:r>
              <w:rPr>
                <w:rFonts w:hint="eastAsia"/>
                <w:highlight w:val="none"/>
              </w:rPr>
              <w:t>中心线位置</w:t>
            </w:r>
          </w:p>
        </w:tc>
        <w:tc>
          <w:tcPr>
            <w:tcW w:w="771" w:type="pct"/>
            <w:tcBorders>
              <w:top w:val="single" w:color="auto" w:sz="4" w:space="0"/>
              <w:bottom w:val="single" w:color="auto" w:sz="4" w:space="0"/>
            </w:tcBorders>
            <w:vAlign w:val="center"/>
          </w:tcPr>
          <w:p w14:paraId="20370B46">
            <w:pPr>
              <w:pStyle w:val="49"/>
              <w:rPr>
                <w:highlight w:val="none"/>
              </w:rPr>
            </w:pPr>
            <w:r>
              <w:rPr>
                <w:highlight w:val="none"/>
              </w:rPr>
              <w:t>5</w:t>
            </w:r>
          </w:p>
        </w:tc>
        <w:tc>
          <w:tcPr>
            <w:tcW w:w="895" w:type="pct"/>
            <w:vMerge w:val="restart"/>
            <w:tcBorders>
              <w:top w:val="single" w:color="auto" w:sz="4" w:space="0"/>
            </w:tcBorders>
            <w:vAlign w:val="center"/>
          </w:tcPr>
          <w:p w14:paraId="285A506F">
            <w:pPr>
              <w:pStyle w:val="49"/>
              <w:rPr>
                <w:highlight w:val="none"/>
              </w:rPr>
            </w:pPr>
            <w:r>
              <w:rPr>
                <w:rFonts w:hint="eastAsia"/>
                <w:highlight w:val="none"/>
              </w:rPr>
              <w:t>尺量检查</w:t>
            </w:r>
          </w:p>
        </w:tc>
      </w:tr>
      <w:tr w14:paraId="623DF3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81" w:type="pct"/>
            <w:vMerge w:val="continue"/>
            <w:tcBorders>
              <w:bottom w:val="single" w:color="auto" w:sz="12" w:space="0"/>
            </w:tcBorders>
            <w:vAlign w:val="center"/>
          </w:tcPr>
          <w:p w14:paraId="230F3F65">
            <w:pPr>
              <w:pStyle w:val="49"/>
              <w:rPr>
                <w:highlight w:val="none"/>
              </w:rPr>
            </w:pPr>
          </w:p>
        </w:tc>
        <w:tc>
          <w:tcPr>
            <w:tcW w:w="2752" w:type="pct"/>
            <w:tcBorders>
              <w:top w:val="single" w:color="auto" w:sz="4" w:space="0"/>
              <w:bottom w:val="single" w:color="auto" w:sz="12" w:space="0"/>
            </w:tcBorders>
            <w:vAlign w:val="center"/>
          </w:tcPr>
          <w:p w14:paraId="1357BFBD">
            <w:pPr>
              <w:pStyle w:val="49"/>
              <w:rPr>
                <w:highlight w:val="none"/>
              </w:rPr>
            </w:pPr>
            <w:r>
              <w:rPr>
                <w:rFonts w:hint="eastAsia"/>
                <w:highlight w:val="none"/>
              </w:rPr>
              <w:t>长度、宽度、深度</w:t>
            </w:r>
          </w:p>
        </w:tc>
        <w:tc>
          <w:tcPr>
            <w:tcW w:w="771" w:type="pct"/>
            <w:tcBorders>
              <w:top w:val="single" w:color="auto" w:sz="4" w:space="0"/>
              <w:bottom w:val="single" w:color="auto" w:sz="12" w:space="0"/>
            </w:tcBorders>
            <w:vAlign w:val="center"/>
          </w:tcPr>
          <w:p w14:paraId="1D24ABC9">
            <w:pPr>
              <w:pStyle w:val="49"/>
              <w:rPr>
                <w:highlight w:val="none"/>
              </w:rPr>
            </w:pPr>
            <w:r>
              <w:rPr>
                <w:highlight w:val="none"/>
              </w:rPr>
              <w:t>±5</w:t>
            </w:r>
          </w:p>
        </w:tc>
        <w:tc>
          <w:tcPr>
            <w:tcW w:w="895" w:type="pct"/>
            <w:vMerge w:val="continue"/>
            <w:tcBorders>
              <w:bottom w:val="single" w:color="auto" w:sz="12" w:space="0"/>
            </w:tcBorders>
            <w:vAlign w:val="center"/>
          </w:tcPr>
          <w:p w14:paraId="793BBAF9">
            <w:pPr>
              <w:pStyle w:val="49"/>
              <w:rPr>
                <w:highlight w:val="none"/>
              </w:rPr>
            </w:pPr>
          </w:p>
        </w:tc>
      </w:tr>
    </w:tbl>
    <w:p w14:paraId="520B107B">
      <w:pPr>
        <w:pStyle w:val="52"/>
        <w:rPr>
          <w:iCs/>
          <w:sz w:val="18"/>
          <w:szCs w:val="18"/>
          <w:highlight w:val="none"/>
        </w:rPr>
      </w:pPr>
      <w:r>
        <w:rPr>
          <w:rFonts w:hint="eastAsia"/>
          <w:sz w:val="18"/>
          <w:szCs w:val="18"/>
          <w:highlight w:val="none"/>
        </w:rPr>
        <w:t>注：</w:t>
      </w:r>
      <w:r>
        <w:rPr>
          <w:rFonts w:hint="eastAsia"/>
          <w:iCs/>
          <w:sz w:val="18"/>
          <w:szCs w:val="18"/>
          <w:highlight w:val="none"/>
        </w:rPr>
        <w:t>检查中心线、螺栓和孔道位置偏差时，应沿纵横两个方向量测，并取其中偏差较大值。</w:t>
      </w:r>
    </w:p>
    <w:p w14:paraId="1CDFB884">
      <w:pPr>
        <w:rPr>
          <w:szCs w:val="24"/>
          <w:highlight w:val="none"/>
        </w:rPr>
      </w:pPr>
      <w:r>
        <w:rPr>
          <w:rFonts w:hint="eastAsia"/>
          <w:b/>
          <w:highlight w:val="none"/>
        </w:rPr>
        <w:t>8.</w:t>
      </w:r>
      <w:r>
        <w:rPr>
          <w:rFonts w:hint="eastAsia"/>
          <w:b/>
          <w:bCs/>
          <w:szCs w:val="24"/>
          <w:highlight w:val="none"/>
          <w:lang w:val="en-US" w:eastAsia="zh-CN"/>
        </w:rPr>
        <w:t>6</w:t>
      </w:r>
      <w:r>
        <w:rPr>
          <w:rFonts w:hint="eastAsia"/>
          <w:b/>
          <w:bCs/>
          <w:szCs w:val="24"/>
          <w:highlight w:val="none"/>
        </w:rPr>
        <w:t>.7</w:t>
      </w:r>
      <w:r>
        <w:rPr>
          <w:rFonts w:hint="eastAsia"/>
          <w:b/>
          <w:szCs w:val="24"/>
          <w:highlight w:val="none"/>
        </w:rPr>
        <w:t xml:space="preserve"> </w:t>
      </w:r>
      <w:r>
        <w:rPr>
          <w:rFonts w:hint="eastAsia"/>
          <w:szCs w:val="24"/>
          <w:highlight w:val="none"/>
        </w:rPr>
        <w:t xml:space="preserve"> 模块单元尺寸偏差满足要求后，可进行模块装修作业，模块装饰构件的尺寸偏差和检验方法应符合表8.</w:t>
      </w:r>
      <w:r>
        <w:rPr>
          <w:rFonts w:hint="eastAsia"/>
          <w:szCs w:val="24"/>
          <w:highlight w:val="none"/>
          <w:lang w:val="en-US" w:eastAsia="zh-CN"/>
        </w:rPr>
        <w:t>6</w:t>
      </w:r>
      <w:r>
        <w:rPr>
          <w:rFonts w:hint="eastAsia"/>
          <w:szCs w:val="24"/>
          <w:highlight w:val="none"/>
        </w:rPr>
        <w:t>.7的规定。</w:t>
      </w:r>
    </w:p>
    <w:p w14:paraId="4507079C">
      <w:pPr>
        <w:pStyle w:val="50"/>
        <w:rPr>
          <w:highlight w:val="none"/>
        </w:rPr>
      </w:pPr>
      <w:r>
        <w:rPr>
          <w:rFonts w:hint="eastAsia"/>
          <w:highlight w:val="none"/>
        </w:rPr>
        <w:t>表</w:t>
      </w:r>
      <w:r>
        <w:rPr>
          <w:rFonts w:hint="eastAsia"/>
          <w:b/>
          <w:highlight w:val="none"/>
        </w:rPr>
        <w:t>8.</w:t>
      </w:r>
      <w:r>
        <w:rPr>
          <w:rFonts w:hint="eastAsia"/>
          <w:b/>
          <w:highlight w:val="none"/>
          <w:lang w:val="en-US" w:eastAsia="zh-CN"/>
        </w:rPr>
        <w:t>6</w:t>
      </w:r>
      <w:r>
        <w:rPr>
          <w:rFonts w:hint="eastAsia"/>
          <w:b/>
          <w:highlight w:val="none"/>
        </w:rPr>
        <w:t>.7</w:t>
      </w:r>
      <w:r>
        <w:rPr>
          <w:rFonts w:hint="eastAsia"/>
          <w:b/>
          <w:highlight w:val="none"/>
          <w:lang w:val="en-US" w:eastAsia="zh-CN"/>
        </w:rPr>
        <w:t xml:space="preserve">  </w:t>
      </w:r>
      <w:r>
        <w:rPr>
          <w:rFonts w:hint="eastAsia"/>
          <w:highlight w:val="none"/>
        </w:rPr>
        <w:t>模块装饰检查验收标准</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675"/>
        <w:gridCol w:w="1364"/>
        <w:gridCol w:w="914"/>
        <w:gridCol w:w="1509"/>
      </w:tblGrid>
      <w:tr w14:paraId="0B7801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12" w:type="pct"/>
            <w:gridSpan w:val="2"/>
            <w:tcBorders>
              <w:tl2br w:val="nil"/>
              <w:tr2bl w:val="nil"/>
            </w:tcBorders>
            <w:vAlign w:val="center"/>
          </w:tcPr>
          <w:p w14:paraId="3FBA8A0C">
            <w:pPr>
              <w:pStyle w:val="49"/>
              <w:rPr>
                <w:highlight w:val="none"/>
              </w:rPr>
            </w:pPr>
            <w:r>
              <w:rPr>
                <w:rFonts w:hint="eastAsia"/>
                <w:highlight w:val="none"/>
              </w:rPr>
              <w:t>项目</w:t>
            </w:r>
          </w:p>
        </w:tc>
        <w:tc>
          <w:tcPr>
            <w:tcW w:w="1112" w:type="pct"/>
            <w:tcBorders>
              <w:tl2br w:val="nil"/>
              <w:tr2bl w:val="nil"/>
            </w:tcBorders>
            <w:vAlign w:val="center"/>
          </w:tcPr>
          <w:p w14:paraId="4E1BFDAF">
            <w:pPr>
              <w:pStyle w:val="49"/>
              <w:rPr>
                <w:highlight w:val="none"/>
              </w:rPr>
            </w:pPr>
            <w:r>
              <w:rPr>
                <w:rFonts w:hint="eastAsia"/>
                <w:highlight w:val="none"/>
              </w:rPr>
              <w:t>合格标准及允许偏差</w:t>
            </w:r>
          </w:p>
        </w:tc>
        <w:tc>
          <w:tcPr>
            <w:tcW w:w="745" w:type="pct"/>
            <w:tcBorders>
              <w:tl2br w:val="nil"/>
              <w:tr2bl w:val="nil"/>
            </w:tcBorders>
            <w:vAlign w:val="center"/>
          </w:tcPr>
          <w:p w14:paraId="0DC188E7">
            <w:pPr>
              <w:pStyle w:val="49"/>
              <w:rPr>
                <w:highlight w:val="none"/>
              </w:rPr>
            </w:pPr>
            <w:r>
              <w:rPr>
                <w:rFonts w:hint="eastAsia"/>
                <w:highlight w:val="none"/>
              </w:rPr>
              <w:t>抽检数量</w:t>
            </w:r>
          </w:p>
        </w:tc>
        <w:tc>
          <w:tcPr>
            <w:tcW w:w="1230" w:type="pct"/>
            <w:tcBorders>
              <w:tl2br w:val="nil"/>
              <w:tr2bl w:val="nil"/>
            </w:tcBorders>
            <w:vAlign w:val="center"/>
          </w:tcPr>
          <w:p w14:paraId="0A9FD1A9">
            <w:pPr>
              <w:pStyle w:val="49"/>
              <w:rPr>
                <w:highlight w:val="none"/>
              </w:rPr>
            </w:pPr>
            <w:r>
              <w:rPr>
                <w:rFonts w:hint="eastAsia"/>
                <w:highlight w:val="none"/>
              </w:rPr>
              <w:t>检验方法</w:t>
            </w:r>
          </w:p>
        </w:tc>
      </w:tr>
      <w:tr w14:paraId="748636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restart"/>
            <w:tcBorders>
              <w:tl2br w:val="nil"/>
              <w:tr2bl w:val="nil"/>
            </w:tcBorders>
            <w:vAlign w:val="center"/>
          </w:tcPr>
          <w:p w14:paraId="2AB918F0">
            <w:pPr>
              <w:pStyle w:val="49"/>
              <w:rPr>
                <w:highlight w:val="none"/>
              </w:rPr>
            </w:pPr>
            <w:r>
              <w:rPr>
                <w:rFonts w:hint="eastAsia"/>
                <w:highlight w:val="none"/>
              </w:rPr>
              <w:t>吊顶</w:t>
            </w:r>
          </w:p>
        </w:tc>
        <w:tc>
          <w:tcPr>
            <w:tcW w:w="1365" w:type="pct"/>
            <w:tcBorders>
              <w:tl2br w:val="nil"/>
              <w:tr2bl w:val="nil"/>
            </w:tcBorders>
            <w:vAlign w:val="center"/>
          </w:tcPr>
          <w:p w14:paraId="363A9D4D">
            <w:pPr>
              <w:pStyle w:val="49"/>
              <w:rPr>
                <w:highlight w:val="none"/>
              </w:rPr>
            </w:pPr>
            <w:r>
              <w:rPr>
                <w:rFonts w:hint="eastAsia"/>
                <w:highlight w:val="none"/>
              </w:rPr>
              <w:t>表面平整度</w:t>
            </w:r>
          </w:p>
        </w:tc>
        <w:tc>
          <w:tcPr>
            <w:tcW w:w="1112" w:type="pct"/>
            <w:tcBorders>
              <w:tl2br w:val="nil"/>
              <w:tr2bl w:val="nil"/>
            </w:tcBorders>
            <w:vAlign w:val="center"/>
          </w:tcPr>
          <w:p w14:paraId="2395E558">
            <w:pPr>
              <w:pStyle w:val="49"/>
              <w:rPr>
                <w:highlight w:val="none"/>
              </w:rPr>
            </w:pPr>
            <w:r>
              <w:rPr>
                <w:highlight w:val="none"/>
              </w:rPr>
              <w:t>3</w:t>
            </w:r>
            <w:r>
              <w:rPr>
                <w:rFonts w:hint="eastAsia"/>
                <w:highlight w:val="none"/>
              </w:rPr>
              <w:t>mm</w:t>
            </w:r>
          </w:p>
        </w:tc>
        <w:tc>
          <w:tcPr>
            <w:tcW w:w="745" w:type="pct"/>
            <w:vMerge w:val="restart"/>
            <w:tcBorders>
              <w:tl2br w:val="nil"/>
              <w:tr2bl w:val="nil"/>
            </w:tcBorders>
            <w:vAlign w:val="center"/>
          </w:tcPr>
          <w:p w14:paraId="4B707E44">
            <w:pPr>
              <w:pStyle w:val="49"/>
              <w:rPr>
                <w:highlight w:val="none"/>
              </w:rPr>
            </w:pPr>
            <w:r>
              <w:rPr>
                <w:rFonts w:hint="eastAsia"/>
                <w:highlight w:val="none"/>
              </w:rPr>
              <w:t>全数检查</w:t>
            </w:r>
          </w:p>
        </w:tc>
        <w:tc>
          <w:tcPr>
            <w:tcW w:w="1230" w:type="pct"/>
            <w:vMerge w:val="restart"/>
            <w:tcBorders>
              <w:tl2br w:val="nil"/>
              <w:tr2bl w:val="nil"/>
            </w:tcBorders>
            <w:vAlign w:val="center"/>
          </w:tcPr>
          <w:p w14:paraId="3B042AC2">
            <w:pPr>
              <w:pStyle w:val="49"/>
              <w:rPr>
                <w:highlight w:val="none"/>
              </w:rPr>
            </w:pPr>
            <w:r>
              <w:rPr>
                <w:rFonts w:hint="eastAsia"/>
                <w:highlight w:val="none"/>
              </w:rPr>
              <w:t>靠尺、塞尺和钢尺</w:t>
            </w:r>
          </w:p>
        </w:tc>
      </w:tr>
      <w:tr w14:paraId="3A2642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continue"/>
            <w:tcBorders>
              <w:tl2br w:val="nil"/>
              <w:tr2bl w:val="nil"/>
            </w:tcBorders>
            <w:vAlign w:val="center"/>
          </w:tcPr>
          <w:p w14:paraId="55FE1ABA">
            <w:pPr>
              <w:pStyle w:val="49"/>
              <w:rPr>
                <w:highlight w:val="none"/>
              </w:rPr>
            </w:pPr>
          </w:p>
        </w:tc>
        <w:tc>
          <w:tcPr>
            <w:tcW w:w="1365" w:type="pct"/>
            <w:tcBorders>
              <w:tl2br w:val="nil"/>
              <w:tr2bl w:val="nil"/>
            </w:tcBorders>
            <w:vAlign w:val="center"/>
          </w:tcPr>
          <w:p w14:paraId="73B853C5">
            <w:pPr>
              <w:pStyle w:val="49"/>
              <w:rPr>
                <w:highlight w:val="none"/>
              </w:rPr>
            </w:pPr>
            <w:r>
              <w:rPr>
                <w:rFonts w:hint="eastAsia"/>
                <w:highlight w:val="none"/>
              </w:rPr>
              <w:t>接缝直线度</w:t>
            </w:r>
          </w:p>
        </w:tc>
        <w:tc>
          <w:tcPr>
            <w:tcW w:w="1112" w:type="pct"/>
            <w:tcBorders>
              <w:tl2br w:val="nil"/>
              <w:tr2bl w:val="nil"/>
            </w:tcBorders>
            <w:vAlign w:val="center"/>
          </w:tcPr>
          <w:p w14:paraId="35A94DC1">
            <w:pPr>
              <w:pStyle w:val="49"/>
              <w:rPr>
                <w:highlight w:val="none"/>
              </w:rPr>
            </w:pPr>
            <w:r>
              <w:rPr>
                <w:highlight w:val="none"/>
              </w:rPr>
              <w:t>3</w:t>
            </w:r>
            <w:r>
              <w:rPr>
                <w:rFonts w:hint="eastAsia"/>
                <w:highlight w:val="none"/>
              </w:rPr>
              <w:t>mm</w:t>
            </w:r>
          </w:p>
        </w:tc>
        <w:tc>
          <w:tcPr>
            <w:tcW w:w="745" w:type="pct"/>
            <w:vMerge w:val="continue"/>
            <w:tcBorders>
              <w:tl2br w:val="nil"/>
              <w:tr2bl w:val="nil"/>
            </w:tcBorders>
            <w:vAlign w:val="center"/>
          </w:tcPr>
          <w:p w14:paraId="444B44AB">
            <w:pPr>
              <w:pStyle w:val="49"/>
              <w:rPr>
                <w:highlight w:val="none"/>
              </w:rPr>
            </w:pPr>
          </w:p>
        </w:tc>
        <w:tc>
          <w:tcPr>
            <w:tcW w:w="1230" w:type="pct"/>
            <w:vMerge w:val="continue"/>
            <w:tcBorders>
              <w:tl2br w:val="nil"/>
              <w:tr2bl w:val="nil"/>
            </w:tcBorders>
            <w:vAlign w:val="center"/>
          </w:tcPr>
          <w:p w14:paraId="4F8057FB">
            <w:pPr>
              <w:pStyle w:val="49"/>
              <w:rPr>
                <w:highlight w:val="none"/>
              </w:rPr>
            </w:pPr>
          </w:p>
        </w:tc>
      </w:tr>
      <w:tr w14:paraId="182DE3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continue"/>
            <w:tcBorders>
              <w:tl2br w:val="nil"/>
              <w:tr2bl w:val="nil"/>
            </w:tcBorders>
            <w:vAlign w:val="center"/>
          </w:tcPr>
          <w:p w14:paraId="1B90E6A8">
            <w:pPr>
              <w:pStyle w:val="49"/>
              <w:rPr>
                <w:highlight w:val="none"/>
              </w:rPr>
            </w:pPr>
          </w:p>
        </w:tc>
        <w:tc>
          <w:tcPr>
            <w:tcW w:w="1365" w:type="pct"/>
            <w:tcBorders>
              <w:tl2br w:val="nil"/>
              <w:tr2bl w:val="nil"/>
            </w:tcBorders>
            <w:vAlign w:val="center"/>
          </w:tcPr>
          <w:p w14:paraId="683F0F0C">
            <w:pPr>
              <w:pStyle w:val="49"/>
              <w:rPr>
                <w:highlight w:val="none"/>
              </w:rPr>
            </w:pPr>
            <w:r>
              <w:rPr>
                <w:rFonts w:hint="eastAsia"/>
                <w:highlight w:val="none"/>
              </w:rPr>
              <w:t>接缝高低差</w:t>
            </w:r>
          </w:p>
        </w:tc>
        <w:tc>
          <w:tcPr>
            <w:tcW w:w="1112" w:type="pct"/>
            <w:tcBorders>
              <w:tl2br w:val="nil"/>
              <w:tr2bl w:val="nil"/>
            </w:tcBorders>
            <w:vAlign w:val="center"/>
          </w:tcPr>
          <w:p w14:paraId="6C73E2CB">
            <w:pPr>
              <w:pStyle w:val="49"/>
              <w:rPr>
                <w:highlight w:val="none"/>
              </w:rPr>
            </w:pPr>
            <w:r>
              <w:rPr>
                <w:highlight w:val="none"/>
              </w:rPr>
              <w:t>1</w:t>
            </w:r>
            <w:r>
              <w:rPr>
                <w:rFonts w:hint="eastAsia"/>
                <w:highlight w:val="none"/>
              </w:rPr>
              <w:t>mm</w:t>
            </w:r>
          </w:p>
        </w:tc>
        <w:tc>
          <w:tcPr>
            <w:tcW w:w="745" w:type="pct"/>
            <w:vMerge w:val="continue"/>
            <w:tcBorders>
              <w:tl2br w:val="nil"/>
              <w:tr2bl w:val="nil"/>
            </w:tcBorders>
            <w:vAlign w:val="center"/>
          </w:tcPr>
          <w:p w14:paraId="4678A776">
            <w:pPr>
              <w:pStyle w:val="49"/>
              <w:rPr>
                <w:highlight w:val="none"/>
              </w:rPr>
            </w:pPr>
          </w:p>
        </w:tc>
        <w:tc>
          <w:tcPr>
            <w:tcW w:w="1230" w:type="pct"/>
            <w:vMerge w:val="continue"/>
            <w:tcBorders>
              <w:tl2br w:val="nil"/>
              <w:tr2bl w:val="nil"/>
            </w:tcBorders>
            <w:vAlign w:val="center"/>
          </w:tcPr>
          <w:p w14:paraId="53E20A4C">
            <w:pPr>
              <w:pStyle w:val="49"/>
              <w:rPr>
                <w:highlight w:val="none"/>
              </w:rPr>
            </w:pPr>
          </w:p>
        </w:tc>
      </w:tr>
      <w:tr w14:paraId="1BAF98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restart"/>
            <w:tcBorders>
              <w:tl2br w:val="nil"/>
              <w:tr2bl w:val="nil"/>
            </w:tcBorders>
            <w:vAlign w:val="center"/>
          </w:tcPr>
          <w:p w14:paraId="1769B010">
            <w:pPr>
              <w:pStyle w:val="49"/>
              <w:rPr>
                <w:highlight w:val="none"/>
              </w:rPr>
            </w:pPr>
            <w:r>
              <w:rPr>
                <w:rFonts w:hint="eastAsia"/>
                <w:highlight w:val="none"/>
              </w:rPr>
              <w:t>饰面板</w:t>
            </w:r>
          </w:p>
        </w:tc>
        <w:tc>
          <w:tcPr>
            <w:tcW w:w="1365" w:type="pct"/>
            <w:tcBorders>
              <w:tl2br w:val="nil"/>
              <w:tr2bl w:val="nil"/>
            </w:tcBorders>
            <w:vAlign w:val="center"/>
          </w:tcPr>
          <w:p w14:paraId="7621E5EC">
            <w:pPr>
              <w:pStyle w:val="49"/>
              <w:rPr>
                <w:highlight w:val="none"/>
              </w:rPr>
            </w:pPr>
            <w:r>
              <w:rPr>
                <w:rFonts w:hint="eastAsia"/>
                <w:highlight w:val="none"/>
              </w:rPr>
              <w:t>表面平整度</w:t>
            </w:r>
          </w:p>
        </w:tc>
        <w:tc>
          <w:tcPr>
            <w:tcW w:w="1112" w:type="pct"/>
            <w:tcBorders>
              <w:tl2br w:val="nil"/>
              <w:tr2bl w:val="nil"/>
            </w:tcBorders>
            <w:vAlign w:val="center"/>
          </w:tcPr>
          <w:p w14:paraId="7174F8E1">
            <w:pPr>
              <w:pStyle w:val="49"/>
              <w:rPr>
                <w:highlight w:val="none"/>
              </w:rPr>
            </w:pPr>
            <w:r>
              <w:rPr>
                <w:highlight w:val="none"/>
              </w:rPr>
              <w:t>3</w:t>
            </w:r>
            <w:r>
              <w:rPr>
                <w:rFonts w:hint="eastAsia"/>
                <w:highlight w:val="none"/>
              </w:rPr>
              <w:t>mm</w:t>
            </w:r>
          </w:p>
        </w:tc>
        <w:tc>
          <w:tcPr>
            <w:tcW w:w="745" w:type="pct"/>
            <w:tcBorders>
              <w:tl2br w:val="nil"/>
              <w:tr2bl w:val="nil"/>
            </w:tcBorders>
            <w:vAlign w:val="center"/>
          </w:tcPr>
          <w:p w14:paraId="590D9717">
            <w:pPr>
              <w:pStyle w:val="49"/>
              <w:rPr>
                <w:highlight w:val="none"/>
              </w:rPr>
            </w:pPr>
            <w:r>
              <w:rPr>
                <w:rFonts w:hint="eastAsia"/>
                <w:highlight w:val="none"/>
              </w:rPr>
              <w:t>全数检查</w:t>
            </w:r>
          </w:p>
        </w:tc>
        <w:tc>
          <w:tcPr>
            <w:tcW w:w="1230" w:type="pct"/>
            <w:vMerge w:val="restart"/>
            <w:tcBorders>
              <w:tl2br w:val="nil"/>
              <w:tr2bl w:val="nil"/>
            </w:tcBorders>
            <w:vAlign w:val="center"/>
          </w:tcPr>
          <w:p w14:paraId="0A15A1FF">
            <w:pPr>
              <w:pStyle w:val="49"/>
              <w:rPr>
                <w:highlight w:val="none"/>
              </w:rPr>
            </w:pPr>
            <w:r>
              <w:rPr>
                <w:rFonts w:hint="eastAsia"/>
                <w:highlight w:val="none"/>
              </w:rPr>
              <w:t>观察，钢尺、塞尺或直角尺检查</w:t>
            </w:r>
          </w:p>
        </w:tc>
      </w:tr>
      <w:tr w14:paraId="5967F1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continue"/>
            <w:tcBorders>
              <w:tl2br w:val="nil"/>
              <w:tr2bl w:val="nil"/>
            </w:tcBorders>
            <w:vAlign w:val="center"/>
          </w:tcPr>
          <w:p w14:paraId="364A3765">
            <w:pPr>
              <w:pStyle w:val="49"/>
              <w:rPr>
                <w:highlight w:val="none"/>
              </w:rPr>
            </w:pPr>
          </w:p>
        </w:tc>
        <w:tc>
          <w:tcPr>
            <w:tcW w:w="1365" w:type="pct"/>
            <w:tcBorders>
              <w:tl2br w:val="nil"/>
              <w:tr2bl w:val="nil"/>
            </w:tcBorders>
            <w:vAlign w:val="center"/>
          </w:tcPr>
          <w:p w14:paraId="1B7FA731">
            <w:pPr>
              <w:pStyle w:val="49"/>
              <w:rPr>
                <w:highlight w:val="none"/>
              </w:rPr>
            </w:pPr>
            <w:r>
              <w:rPr>
                <w:rFonts w:hint="eastAsia"/>
                <w:highlight w:val="none"/>
              </w:rPr>
              <w:t>立面垂直度</w:t>
            </w:r>
          </w:p>
        </w:tc>
        <w:tc>
          <w:tcPr>
            <w:tcW w:w="1112" w:type="pct"/>
            <w:tcBorders>
              <w:tl2br w:val="nil"/>
              <w:tr2bl w:val="nil"/>
            </w:tcBorders>
            <w:vAlign w:val="center"/>
          </w:tcPr>
          <w:p w14:paraId="42E6067B">
            <w:pPr>
              <w:pStyle w:val="49"/>
              <w:rPr>
                <w:highlight w:val="none"/>
              </w:rPr>
            </w:pPr>
            <w:r>
              <w:rPr>
                <w:highlight w:val="none"/>
              </w:rPr>
              <w:t>3</w:t>
            </w:r>
            <w:r>
              <w:rPr>
                <w:rFonts w:hint="eastAsia"/>
                <w:highlight w:val="none"/>
              </w:rPr>
              <w:t>mm</w:t>
            </w:r>
          </w:p>
        </w:tc>
        <w:tc>
          <w:tcPr>
            <w:tcW w:w="745" w:type="pct"/>
            <w:tcBorders>
              <w:tl2br w:val="nil"/>
              <w:tr2bl w:val="nil"/>
            </w:tcBorders>
            <w:vAlign w:val="center"/>
          </w:tcPr>
          <w:p w14:paraId="3A9B7CF2">
            <w:pPr>
              <w:pStyle w:val="49"/>
              <w:rPr>
                <w:highlight w:val="none"/>
              </w:rPr>
            </w:pPr>
            <w:r>
              <w:rPr>
                <w:rFonts w:hint="eastAsia"/>
                <w:highlight w:val="none"/>
              </w:rPr>
              <w:t>全数检查</w:t>
            </w:r>
          </w:p>
        </w:tc>
        <w:tc>
          <w:tcPr>
            <w:tcW w:w="1230" w:type="pct"/>
            <w:vMerge w:val="continue"/>
            <w:tcBorders>
              <w:tl2br w:val="nil"/>
              <w:tr2bl w:val="nil"/>
            </w:tcBorders>
            <w:vAlign w:val="center"/>
          </w:tcPr>
          <w:p w14:paraId="6BA47072">
            <w:pPr>
              <w:pStyle w:val="49"/>
              <w:rPr>
                <w:highlight w:val="none"/>
              </w:rPr>
            </w:pPr>
          </w:p>
        </w:tc>
      </w:tr>
      <w:tr w14:paraId="69B637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continue"/>
            <w:tcBorders>
              <w:tl2br w:val="nil"/>
              <w:tr2bl w:val="nil"/>
            </w:tcBorders>
            <w:vAlign w:val="center"/>
          </w:tcPr>
          <w:p w14:paraId="41C73393">
            <w:pPr>
              <w:pStyle w:val="49"/>
              <w:rPr>
                <w:highlight w:val="none"/>
              </w:rPr>
            </w:pPr>
          </w:p>
        </w:tc>
        <w:tc>
          <w:tcPr>
            <w:tcW w:w="1365" w:type="pct"/>
            <w:tcBorders>
              <w:tl2br w:val="nil"/>
              <w:tr2bl w:val="nil"/>
            </w:tcBorders>
            <w:vAlign w:val="center"/>
          </w:tcPr>
          <w:p w14:paraId="76057C1B">
            <w:pPr>
              <w:pStyle w:val="49"/>
              <w:rPr>
                <w:highlight w:val="none"/>
              </w:rPr>
            </w:pPr>
            <w:r>
              <w:rPr>
                <w:rFonts w:hint="eastAsia"/>
                <w:highlight w:val="none"/>
              </w:rPr>
              <w:t>接缝高低差</w:t>
            </w:r>
          </w:p>
        </w:tc>
        <w:tc>
          <w:tcPr>
            <w:tcW w:w="1112" w:type="pct"/>
            <w:tcBorders>
              <w:tl2br w:val="nil"/>
              <w:tr2bl w:val="nil"/>
            </w:tcBorders>
            <w:vAlign w:val="center"/>
          </w:tcPr>
          <w:p w14:paraId="78A3B9CC">
            <w:pPr>
              <w:pStyle w:val="49"/>
              <w:rPr>
                <w:highlight w:val="none"/>
              </w:rPr>
            </w:pPr>
            <w:r>
              <w:rPr>
                <w:highlight w:val="none"/>
              </w:rPr>
              <w:t>1</w:t>
            </w:r>
            <w:r>
              <w:rPr>
                <w:rFonts w:hint="eastAsia"/>
                <w:highlight w:val="none"/>
              </w:rPr>
              <w:t>mm</w:t>
            </w:r>
          </w:p>
        </w:tc>
        <w:tc>
          <w:tcPr>
            <w:tcW w:w="745" w:type="pct"/>
            <w:tcBorders>
              <w:tl2br w:val="nil"/>
              <w:tr2bl w:val="nil"/>
            </w:tcBorders>
            <w:vAlign w:val="center"/>
          </w:tcPr>
          <w:p w14:paraId="4929B817">
            <w:pPr>
              <w:pStyle w:val="49"/>
              <w:rPr>
                <w:highlight w:val="none"/>
              </w:rPr>
            </w:pPr>
            <w:r>
              <w:rPr>
                <w:rFonts w:hint="eastAsia"/>
                <w:highlight w:val="none"/>
              </w:rPr>
              <w:t>全数检查</w:t>
            </w:r>
          </w:p>
        </w:tc>
        <w:tc>
          <w:tcPr>
            <w:tcW w:w="1230" w:type="pct"/>
            <w:vMerge w:val="continue"/>
            <w:tcBorders>
              <w:tl2br w:val="nil"/>
              <w:tr2bl w:val="nil"/>
            </w:tcBorders>
            <w:vAlign w:val="center"/>
          </w:tcPr>
          <w:p w14:paraId="257F23F3">
            <w:pPr>
              <w:pStyle w:val="49"/>
              <w:rPr>
                <w:highlight w:val="none"/>
              </w:rPr>
            </w:pPr>
          </w:p>
        </w:tc>
      </w:tr>
      <w:tr w14:paraId="0521BB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continue"/>
            <w:tcBorders>
              <w:tl2br w:val="nil"/>
              <w:tr2bl w:val="nil"/>
            </w:tcBorders>
            <w:vAlign w:val="center"/>
          </w:tcPr>
          <w:p w14:paraId="729EB175">
            <w:pPr>
              <w:pStyle w:val="49"/>
              <w:rPr>
                <w:highlight w:val="none"/>
              </w:rPr>
            </w:pPr>
          </w:p>
        </w:tc>
        <w:tc>
          <w:tcPr>
            <w:tcW w:w="1365" w:type="pct"/>
            <w:tcBorders>
              <w:tl2br w:val="nil"/>
              <w:tr2bl w:val="nil"/>
            </w:tcBorders>
            <w:vAlign w:val="center"/>
          </w:tcPr>
          <w:p w14:paraId="133DD79C">
            <w:pPr>
              <w:pStyle w:val="49"/>
              <w:rPr>
                <w:highlight w:val="none"/>
              </w:rPr>
            </w:pPr>
            <w:r>
              <w:rPr>
                <w:rFonts w:hint="eastAsia"/>
                <w:highlight w:val="none"/>
              </w:rPr>
              <w:t>阴阳角方正</w:t>
            </w:r>
          </w:p>
        </w:tc>
        <w:tc>
          <w:tcPr>
            <w:tcW w:w="1112" w:type="pct"/>
            <w:tcBorders>
              <w:tl2br w:val="nil"/>
              <w:tr2bl w:val="nil"/>
            </w:tcBorders>
            <w:vAlign w:val="center"/>
          </w:tcPr>
          <w:p w14:paraId="2426BC06">
            <w:pPr>
              <w:pStyle w:val="49"/>
              <w:rPr>
                <w:highlight w:val="none"/>
              </w:rPr>
            </w:pPr>
            <w:r>
              <w:rPr>
                <w:highlight w:val="none"/>
              </w:rPr>
              <w:t>3</w:t>
            </w:r>
            <w:r>
              <w:rPr>
                <w:rFonts w:hint="eastAsia"/>
                <w:highlight w:val="none"/>
              </w:rPr>
              <w:t>mm</w:t>
            </w:r>
          </w:p>
        </w:tc>
        <w:tc>
          <w:tcPr>
            <w:tcW w:w="745" w:type="pct"/>
            <w:tcBorders>
              <w:tl2br w:val="nil"/>
              <w:tr2bl w:val="nil"/>
            </w:tcBorders>
            <w:vAlign w:val="center"/>
          </w:tcPr>
          <w:p w14:paraId="5DC67459">
            <w:pPr>
              <w:pStyle w:val="49"/>
              <w:rPr>
                <w:highlight w:val="none"/>
              </w:rPr>
            </w:pPr>
            <w:r>
              <w:rPr>
                <w:rFonts w:hint="eastAsia"/>
                <w:highlight w:val="none"/>
              </w:rPr>
              <w:t>全数检查</w:t>
            </w:r>
          </w:p>
        </w:tc>
        <w:tc>
          <w:tcPr>
            <w:tcW w:w="1230" w:type="pct"/>
            <w:vMerge w:val="continue"/>
            <w:tcBorders>
              <w:tl2br w:val="nil"/>
              <w:tr2bl w:val="nil"/>
            </w:tcBorders>
            <w:vAlign w:val="center"/>
          </w:tcPr>
          <w:p w14:paraId="69C2BF9A">
            <w:pPr>
              <w:pStyle w:val="49"/>
              <w:rPr>
                <w:highlight w:val="none"/>
              </w:rPr>
            </w:pPr>
          </w:p>
        </w:tc>
      </w:tr>
      <w:tr w14:paraId="1F08A0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continue"/>
            <w:tcBorders>
              <w:tl2br w:val="nil"/>
              <w:tr2bl w:val="nil"/>
            </w:tcBorders>
            <w:vAlign w:val="center"/>
          </w:tcPr>
          <w:p w14:paraId="3BFAD938">
            <w:pPr>
              <w:pStyle w:val="49"/>
              <w:rPr>
                <w:highlight w:val="none"/>
              </w:rPr>
            </w:pPr>
          </w:p>
        </w:tc>
        <w:tc>
          <w:tcPr>
            <w:tcW w:w="1365" w:type="pct"/>
            <w:tcBorders>
              <w:tl2br w:val="nil"/>
              <w:tr2bl w:val="nil"/>
            </w:tcBorders>
            <w:vAlign w:val="center"/>
          </w:tcPr>
          <w:p w14:paraId="4B71603F">
            <w:pPr>
              <w:pStyle w:val="49"/>
              <w:rPr>
                <w:highlight w:val="none"/>
              </w:rPr>
            </w:pPr>
            <w:r>
              <w:rPr>
                <w:rFonts w:hint="eastAsia"/>
                <w:highlight w:val="none"/>
              </w:rPr>
              <w:t>压条直线度</w:t>
            </w:r>
          </w:p>
        </w:tc>
        <w:tc>
          <w:tcPr>
            <w:tcW w:w="1112" w:type="pct"/>
            <w:tcBorders>
              <w:tl2br w:val="nil"/>
              <w:tr2bl w:val="nil"/>
            </w:tcBorders>
            <w:vAlign w:val="center"/>
          </w:tcPr>
          <w:p w14:paraId="55E3CB1D">
            <w:pPr>
              <w:pStyle w:val="49"/>
              <w:rPr>
                <w:highlight w:val="none"/>
              </w:rPr>
            </w:pPr>
            <w:r>
              <w:rPr>
                <w:highlight w:val="none"/>
              </w:rPr>
              <w:t>3</w:t>
            </w:r>
            <w:r>
              <w:rPr>
                <w:rFonts w:hint="eastAsia"/>
                <w:highlight w:val="none"/>
              </w:rPr>
              <w:t>mm</w:t>
            </w:r>
          </w:p>
        </w:tc>
        <w:tc>
          <w:tcPr>
            <w:tcW w:w="745" w:type="pct"/>
            <w:tcBorders>
              <w:tl2br w:val="nil"/>
              <w:tr2bl w:val="nil"/>
            </w:tcBorders>
            <w:vAlign w:val="center"/>
          </w:tcPr>
          <w:p w14:paraId="01718EA6">
            <w:pPr>
              <w:pStyle w:val="49"/>
              <w:rPr>
                <w:highlight w:val="none"/>
              </w:rPr>
            </w:pPr>
            <w:r>
              <w:rPr>
                <w:rFonts w:hint="eastAsia"/>
                <w:highlight w:val="none"/>
              </w:rPr>
              <w:t>全数检查</w:t>
            </w:r>
          </w:p>
        </w:tc>
        <w:tc>
          <w:tcPr>
            <w:tcW w:w="1230" w:type="pct"/>
            <w:vMerge w:val="continue"/>
            <w:tcBorders>
              <w:tl2br w:val="nil"/>
              <w:tr2bl w:val="nil"/>
            </w:tcBorders>
            <w:vAlign w:val="center"/>
          </w:tcPr>
          <w:p w14:paraId="319D3960">
            <w:pPr>
              <w:pStyle w:val="49"/>
              <w:rPr>
                <w:highlight w:val="none"/>
              </w:rPr>
            </w:pPr>
          </w:p>
        </w:tc>
      </w:tr>
      <w:tr w14:paraId="65749D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continue"/>
            <w:tcBorders>
              <w:tl2br w:val="nil"/>
              <w:tr2bl w:val="nil"/>
            </w:tcBorders>
            <w:vAlign w:val="center"/>
          </w:tcPr>
          <w:p w14:paraId="7F9950CE">
            <w:pPr>
              <w:pStyle w:val="49"/>
              <w:rPr>
                <w:highlight w:val="none"/>
              </w:rPr>
            </w:pPr>
          </w:p>
        </w:tc>
        <w:tc>
          <w:tcPr>
            <w:tcW w:w="1365" w:type="pct"/>
            <w:tcBorders>
              <w:tl2br w:val="nil"/>
              <w:tr2bl w:val="nil"/>
            </w:tcBorders>
            <w:vAlign w:val="center"/>
          </w:tcPr>
          <w:p w14:paraId="0D13C053">
            <w:pPr>
              <w:pStyle w:val="49"/>
              <w:rPr>
                <w:highlight w:val="none"/>
              </w:rPr>
            </w:pPr>
            <w:r>
              <w:rPr>
                <w:rFonts w:hint="eastAsia"/>
                <w:highlight w:val="none"/>
              </w:rPr>
              <w:t>接缝高地差</w:t>
            </w:r>
          </w:p>
        </w:tc>
        <w:tc>
          <w:tcPr>
            <w:tcW w:w="1112" w:type="pct"/>
            <w:tcBorders>
              <w:tl2br w:val="nil"/>
              <w:tr2bl w:val="nil"/>
            </w:tcBorders>
            <w:vAlign w:val="center"/>
          </w:tcPr>
          <w:p w14:paraId="20AB70C0">
            <w:pPr>
              <w:pStyle w:val="49"/>
              <w:rPr>
                <w:highlight w:val="none"/>
              </w:rPr>
            </w:pPr>
            <w:r>
              <w:rPr>
                <w:highlight w:val="none"/>
              </w:rPr>
              <w:t>3</w:t>
            </w:r>
            <w:r>
              <w:rPr>
                <w:rFonts w:hint="eastAsia"/>
                <w:highlight w:val="none"/>
              </w:rPr>
              <w:t>mm</w:t>
            </w:r>
          </w:p>
        </w:tc>
        <w:tc>
          <w:tcPr>
            <w:tcW w:w="745" w:type="pct"/>
            <w:tcBorders>
              <w:tl2br w:val="nil"/>
              <w:tr2bl w:val="nil"/>
            </w:tcBorders>
            <w:vAlign w:val="center"/>
          </w:tcPr>
          <w:p w14:paraId="42E39FC8">
            <w:pPr>
              <w:pStyle w:val="49"/>
              <w:rPr>
                <w:highlight w:val="none"/>
              </w:rPr>
            </w:pPr>
            <w:r>
              <w:rPr>
                <w:rFonts w:hint="eastAsia"/>
                <w:highlight w:val="none"/>
              </w:rPr>
              <w:t>全数检查</w:t>
            </w:r>
          </w:p>
        </w:tc>
        <w:tc>
          <w:tcPr>
            <w:tcW w:w="1230" w:type="pct"/>
            <w:vMerge w:val="continue"/>
            <w:tcBorders>
              <w:tl2br w:val="nil"/>
              <w:tr2bl w:val="nil"/>
            </w:tcBorders>
            <w:vAlign w:val="center"/>
          </w:tcPr>
          <w:p w14:paraId="7FD2FFAE">
            <w:pPr>
              <w:pStyle w:val="49"/>
              <w:rPr>
                <w:highlight w:val="none"/>
              </w:rPr>
            </w:pPr>
          </w:p>
        </w:tc>
      </w:tr>
      <w:tr w14:paraId="0395D8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restart"/>
            <w:tcBorders>
              <w:tl2br w:val="nil"/>
              <w:tr2bl w:val="nil"/>
            </w:tcBorders>
            <w:vAlign w:val="center"/>
          </w:tcPr>
          <w:p w14:paraId="1D7E556C">
            <w:pPr>
              <w:pStyle w:val="49"/>
              <w:rPr>
                <w:highlight w:val="none"/>
              </w:rPr>
            </w:pPr>
            <w:r>
              <w:rPr>
                <w:rFonts w:hint="eastAsia"/>
                <w:highlight w:val="none"/>
              </w:rPr>
              <w:t>抹灰(腻子)</w:t>
            </w:r>
          </w:p>
        </w:tc>
        <w:tc>
          <w:tcPr>
            <w:tcW w:w="1365" w:type="pct"/>
            <w:tcBorders>
              <w:tl2br w:val="nil"/>
              <w:tr2bl w:val="nil"/>
            </w:tcBorders>
            <w:vAlign w:val="center"/>
          </w:tcPr>
          <w:p w14:paraId="0C781ACF">
            <w:pPr>
              <w:pStyle w:val="49"/>
              <w:rPr>
                <w:highlight w:val="none"/>
              </w:rPr>
            </w:pPr>
            <w:r>
              <w:rPr>
                <w:rFonts w:hint="eastAsia"/>
                <w:highlight w:val="none"/>
              </w:rPr>
              <w:t>立面垂直度</w:t>
            </w:r>
          </w:p>
        </w:tc>
        <w:tc>
          <w:tcPr>
            <w:tcW w:w="1112" w:type="pct"/>
            <w:tcBorders>
              <w:tl2br w:val="nil"/>
              <w:tr2bl w:val="nil"/>
            </w:tcBorders>
            <w:vAlign w:val="center"/>
          </w:tcPr>
          <w:p w14:paraId="2A1EB3EA">
            <w:pPr>
              <w:pStyle w:val="49"/>
              <w:rPr>
                <w:highlight w:val="none"/>
              </w:rPr>
            </w:pPr>
            <w:r>
              <w:rPr>
                <w:highlight w:val="none"/>
              </w:rPr>
              <w:t>4</w:t>
            </w:r>
            <w:r>
              <w:rPr>
                <w:rFonts w:hint="eastAsia"/>
                <w:highlight w:val="none"/>
              </w:rPr>
              <w:t>mm</w:t>
            </w:r>
          </w:p>
        </w:tc>
        <w:tc>
          <w:tcPr>
            <w:tcW w:w="745" w:type="pct"/>
            <w:tcBorders>
              <w:tl2br w:val="nil"/>
              <w:tr2bl w:val="nil"/>
            </w:tcBorders>
            <w:vAlign w:val="center"/>
          </w:tcPr>
          <w:p w14:paraId="5603C5D8">
            <w:pPr>
              <w:pStyle w:val="49"/>
              <w:rPr>
                <w:highlight w:val="none"/>
              </w:rPr>
            </w:pPr>
            <w:r>
              <w:rPr>
                <w:rFonts w:hint="eastAsia"/>
                <w:highlight w:val="none"/>
              </w:rPr>
              <w:t>全数检查</w:t>
            </w:r>
          </w:p>
        </w:tc>
        <w:tc>
          <w:tcPr>
            <w:tcW w:w="1230" w:type="pct"/>
            <w:vMerge w:val="restart"/>
            <w:tcBorders>
              <w:tl2br w:val="nil"/>
              <w:tr2bl w:val="nil"/>
            </w:tcBorders>
            <w:vAlign w:val="center"/>
          </w:tcPr>
          <w:p w14:paraId="365E38B4">
            <w:pPr>
              <w:pStyle w:val="49"/>
              <w:rPr>
                <w:highlight w:val="none"/>
              </w:rPr>
            </w:pPr>
            <w:r>
              <w:rPr>
                <w:rFonts w:hint="eastAsia"/>
                <w:highlight w:val="none"/>
              </w:rPr>
              <w:t>观察，钢尺、塞尺或直角尺检查</w:t>
            </w:r>
          </w:p>
        </w:tc>
      </w:tr>
      <w:tr w14:paraId="5F8F93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continue"/>
            <w:tcBorders>
              <w:tl2br w:val="nil"/>
              <w:tr2bl w:val="nil"/>
            </w:tcBorders>
            <w:vAlign w:val="center"/>
          </w:tcPr>
          <w:p w14:paraId="57B59DC5">
            <w:pPr>
              <w:pStyle w:val="49"/>
              <w:rPr>
                <w:highlight w:val="none"/>
              </w:rPr>
            </w:pPr>
          </w:p>
        </w:tc>
        <w:tc>
          <w:tcPr>
            <w:tcW w:w="1365" w:type="pct"/>
            <w:tcBorders>
              <w:tl2br w:val="nil"/>
              <w:tr2bl w:val="nil"/>
            </w:tcBorders>
            <w:vAlign w:val="center"/>
          </w:tcPr>
          <w:p w14:paraId="61FC7D1A">
            <w:pPr>
              <w:pStyle w:val="49"/>
              <w:rPr>
                <w:highlight w:val="none"/>
              </w:rPr>
            </w:pPr>
            <w:r>
              <w:rPr>
                <w:rFonts w:hint="eastAsia"/>
                <w:highlight w:val="none"/>
              </w:rPr>
              <w:t>表面平整度</w:t>
            </w:r>
          </w:p>
        </w:tc>
        <w:tc>
          <w:tcPr>
            <w:tcW w:w="1112" w:type="pct"/>
            <w:tcBorders>
              <w:tl2br w:val="nil"/>
              <w:tr2bl w:val="nil"/>
            </w:tcBorders>
            <w:vAlign w:val="center"/>
          </w:tcPr>
          <w:p w14:paraId="50365836">
            <w:pPr>
              <w:pStyle w:val="49"/>
              <w:rPr>
                <w:highlight w:val="none"/>
              </w:rPr>
            </w:pPr>
            <w:r>
              <w:rPr>
                <w:highlight w:val="none"/>
              </w:rPr>
              <w:t>4</w:t>
            </w:r>
            <w:r>
              <w:rPr>
                <w:rFonts w:hint="eastAsia"/>
                <w:highlight w:val="none"/>
              </w:rPr>
              <w:t>mm</w:t>
            </w:r>
          </w:p>
        </w:tc>
        <w:tc>
          <w:tcPr>
            <w:tcW w:w="745" w:type="pct"/>
            <w:tcBorders>
              <w:tl2br w:val="nil"/>
              <w:tr2bl w:val="nil"/>
            </w:tcBorders>
            <w:vAlign w:val="center"/>
          </w:tcPr>
          <w:p w14:paraId="7B13BE83">
            <w:pPr>
              <w:pStyle w:val="49"/>
              <w:rPr>
                <w:highlight w:val="none"/>
              </w:rPr>
            </w:pPr>
            <w:r>
              <w:rPr>
                <w:rFonts w:hint="eastAsia"/>
                <w:highlight w:val="none"/>
              </w:rPr>
              <w:t>全数检查</w:t>
            </w:r>
          </w:p>
        </w:tc>
        <w:tc>
          <w:tcPr>
            <w:tcW w:w="1230" w:type="pct"/>
            <w:vMerge w:val="continue"/>
            <w:tcBorders>
              <w:tl2br w:val="nil"/>
              <w:tr2bl w:val="nil"/>
            </w:tcBorders>
            <w:vAlign w:val="center"/>
          </w:tcPr>
          <w:p w14:paraId="4795DF96">
            <w:pPr>
              <w:pStyle w:val="49"/>
              <w:rPr>
                <w:highlight w:val="none"/>
              </w:rPr>
            </w:pPr>
          </w:p>
        </w:tc>
      </w:tr>
      <w:tr w14:paraId="097B87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continue"/>
            <w:tcBorders>
              <w:tl2br w:val="nil"/>
              <w:tr2bl w:val="nil"/>
            </w:tcBorders>
            <w:vAlign w:val="center"/>
          </w:tcPr>
          <w:p w14:paraId="01BCDC0D">
            <w:pPr>
              <w:pStyle w:val="49"/>
              <w:rPr>
                <w:highlight w:val="none"/>
              </w:rPr>
            </w:pPr>
          </w:p>
        </w:tc>
        <w:tc>
          <w:tcPr>
            <w:tcW w:w="1365" w:type="pct"/>
            <w:tcBorders>
              <w:tl2br w:val="nil"/>
              <w:tr2bl w:val="nil"/>
            </w:tcBorders>
            <w:vAlign w:val="center"/>
          </w:tcPr>
          <w:p w14:paraId="768371F5">
            <w:pPr>
              <w:pStyle w:val="49"/>
              <w:rPr>
                <w:highlight w:val="none"/>
              </w:rPr>
            </w:pPr>
            <w:r>
              <w:rPr>
                <w:rFonts w:hint="eastAsia"/>
                <w:highlight w:val="none"/>
              </w:rPr>
              <w:t>阴阳角方正</w:t>
            </w:r>
          </w:p>
        </w:tc>
        <w:tc>
          <w:tcPr>
            <w:tcW w:w="1112" w:type="pct"/>
            <w:tcBorders>
              <w:tl2br w:val="nil"/>
              <w:tr2bl w:val="nil"/>
            </w:tcBorders>
            <w:vAlign w:val="center"/>
          </w:tcPr>
          <w:p w14:paraId="6A2C7E07">
            <w:pPr>
              <w:pStyle w:val="49"/>
              <w:rPr>
                <w:highlight w:val="none"/>
              </w:rPr>
            </w:pPr>
            <w:r>
              <w:rPr>
                <w:highlight w:val="none"/>
              </w:rPr>
              <w:t>4</w:t>
            </w:r>
            <w:r>
              <w:rPr>
                <w:rFonts w:hint="eastAsia"/>
                <w:highlight w:val="none"/>
              </w:rPr>
              <w:t>mm</w:t>
            </w:r>
          </w:p>
        </w:tc>
        <w:tc>
          <w:tcPr>
            <w:tcW w:w="745" w:type="pct"/>
            <w:tcBorders>
              <w:tl2br w:val="nil"/>
              <w:tr2bl w:val="nil"/>
            </w:tcBorders>
            <w:vAlign w:val="center"/>
          </w:tcPr>
          <w:p w14:paraId="500EF351">
            <w:pPr>
              <w:pStyle w:val="49"/>
              <w:rPr>
                <w:highlight w:val="none"/>
              </w:rPr>
            </w:pPr>
            <w:r>
              <w:rPr>
                <w:rFonts w:hint="eastAsia"/>
                <w:highlight w:val="none"/>
              </w:rPr>
              <w:t>全数检查</w:t>
            </w:r>
          </w:p>
        </w:tc>
        <w:tc>
          <w:tcPr>
            <w:tcW w:w="1230" w:type="pct"/>
            <w:vMerge w:val="continue"/>
            <w:tcBorders>
              <w:tl2br w:val="nil"/>
              <w:tr2bl w:val="nil"/>
            </w:tcBorders>
            <w:vAlign w:val="center"/>
          </w:tcPr>
          <w:p w14:paraId="0DFE2339">
            <w:pPr>
              <w:pStyle w:val="49"/>
              <w:rPr>
                <w:highlight w:val="none"/>
              </w:rPr>
            </w:pPr>
          </w:p>
        </w:tc>
      </w:tr>
      <w:tr w14:paraId="7E8294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continue"/>
            <w:tcBorders>
              <w:tl2br w:val="nil"/>
              <w:tr2bl w:val="nil"/>
            </w:tcBorders>
            <w:vAlign w:val="center"/>
          </w:tcPr>
          <w:p w14:paraId="5FD9921A">
            <w:pPr>
              <w:pStyle w:val="49"/>
              <w:rPr>
                <w:highlight w:val="none"/>
              </w:rPr>
            </w:pPr>
          </w:p>
        </w:tc>
        <w:tc>
          <w:tcPr>
            <w:tcW w:w="1365" w:type="pct"/>
            <w:tcBorders>
              <w:tl2br w:val="nil"/>
              <w:tr2bl w:val="nil"/>
            </w:tcBorders>
            <w:vAlign w:val="center"/>
          </w:tcPr>
          <w:p w14:paraId="138C0D1F">
            <w:pPr>
              <w:pStyle w:val="49"/>
              <w:rPr>
                <w:highlight w:val="none"/>
              </w:rPr>
            </w:pPr>
            <w:r>
              <w:rPr>
                <w:rFonts w:hint="eastAsia"/>
                <w:highlight w:val="none"/>
              </w:rPr>
              <w:t>分格条(缝)直线度</w:t>
            </w:r>
          </w:p>
        </w:tc>
        <w:tc>
          <w:tcPr>
            <w:tcW w:w="1112" w:type="pct"/>
            <w:tcBorders>
              <w:tl2br w:val="nil"/>
              <w:tr2bl w:val="nil"/>
            </w:tcBorders>
            <w:vAlign w:val="center"/>
          </w:tcPr>
          <w:p w14:paraId="1654E9A3">
            <w:pPr>
              <w:pStyle w:val="49"/>
              <w:rPr>
                <w:highlight w:val="none"/>
              </w:rPr>
            </w:pPr>
            <w:r>
              <w:rPr>
                <w:highlight w:val="none"/>
              </w:rPr>
              <w:t>4</w:t>
            </w:r>
            <w:r>
              <w:rPr>
                <w:rFonts w:hint="eastAsia"/>
                <w:highlight w:val="none"/>
              </w:rPr>
              <w:t>mm</w:t>
            </w:r>
          </w:p>
        </w:tc>
        <w:tc>
          <w:tcPr>
            <w:tcW w:w="745" w:type="pct"/>
            <w:tcBorders>
              <w:tl2br w:val="nil"/>
              <w:tr2bl w:val="nil"/>
            </w:tcBorders>
            <w:vAlign w:val="center"/>
          </w:tcPr>
          <w:p w14:paraId="6DB2924E">
            <w:pPr>
              <w:pStyle w:val="49"/>
              <w:rPr>
                <w:highlight w:val="none"/>
              </w:rPr>
            </w:pPr>
            <w:r>
              <w:rPr>
                <w:rFonts w:hint="eastAsia"/>
                <w:highlight w:val="none"/>
              </w:rPr>
              <w:t>全数检查</w:t>
            </w:r>
          </w:p>
        </w:tc>
        <w:tc>
          <w:tcPr>
            <w:tcW w:w="1230" w:type="pct"/>
            <w:vMerge w:val="continue"/>
            <w:tcBorders>
              <w:tl2br w:val="nil"/>
              <w:tr2bl w:val="nil"/>
            </w:tcBorders>
            <w:vAlign w:val="center"/>
          </w:tcPr>
          <w:p w14:paraId="1C33C1D2">
            <w:pPr>
              <w:pStyle w:val="49"/>
              <w:rPr>
                <w:highlight w:val="none"/>
              </w:rPr>
            </w:pPr>
          </w:p>
        </w:tc>
      </w:tr>
      <w:tr w14:paraId="283D96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continue"/>
            <w:tcBorders>
              <w:tl2br w:val="nil"/>
              <w:tr2bl w:val="nil"/>
            </w:tcBorders>
            <w:vAlign w:val="center"/>
          </w:tcPr>
          <w:p w14:paraId="654C8530">
            <w:pPr>
              <w:pStyle w:val="49"/>
              <w:rPr>
                <w:highlight w:val="none"/>
              </w:rPr>
            </w:pPr>
          </w:p>
        </w:tc>
        <w:tc>
          <w:tcPr>
            <w:tcW w:w="1365" w:type="pct"/>
            <w:tcBorders>
              <w:tl2br w:val="nil"/>
              <w:tr2bl w:val="nil"/>
            </w:tcBorders>
            <w:vAlign w:val="center"/>
          </w:tcPr>
          <w:p w14:paraId="057FB1D3">
            <w:pPr>
              <w:pStyle w:val="49"/>
              <w:rPr>
                <w:highlight w:val="none"/>
              </w:rPr>
            </w:pPr>
            <w:r>
              <w:rPr>
                <w:rFonts w:hint="eastAsia"/>
                <w:highlight w:val="none"/>
              </w:rPr>
              <w:t>墙裙勒脚上口直线度</w:t>
            </w:r>
          </w:p>
        </w:tc>
        <w:tc>
          <w:tcPr>
            <w:tcW w:w="1112" w:type="pct"/>
            <w:tcBorders>
              <w:tl2br w:val="nil"/>
              <w:tr2bl w:val="nil"/>
            </w:tcBorders>
            <w:vAlign w:val="center"/>
          </w:tcPr>
          <w:p w14:paraId="7FEDE891">
            <w:pPr>
              <w:pStyle w:val="49"/>
              <w:rPr>
                <w:highlight w:val="none"/>
              </w:rPr>
            </w:pPr>
            <w:r>
              <w:rPr>
                <w:highlight w:val="none"/>
              </w:rPr>
              <w:t>4</w:t>
            </w:r>
            <w:r>
              <w:rPr>
                <w:rFonts w:hint="eastAsia"/>
                <w:highlight w:val="none"/>
              </w:rPr>
              <w:t>mm</w:t>
            </w:r>
          </w:p>
        </w:tc>
        <w:tc>
          <w:tcPr>
            <w:tcW w:w="745" w:type="pct"/>
            <w:tcBorders>
              <w:tl2br w:val="nil"/>
              <w:tr2bl w:val="nil"/>
            </w:tcBorders>
            <w:vAlign w:val="center"/>
          </w:tcPr>
          <w:p w14:paraId="1BB5FBF7">
            <w:pPr>
              <w:pStyle w:val="49"/>
              <w:rPr>
                <w:highlight w:val="none"/>
              </w:rPr>
            </w:pPr>
            <w:r>
              <w:rPr>
                <w:rFonts w:hint="eastAsia"/>
                <w:highlight w:val="none"/>
              </w:rPr>
              <w:t>全数检查</w:t>
            </w:r>
          </w:p>
        </w:tc>
        <w:tc>
          <w:tcPr>
            <w:tcW w:w="1230" w:type="pct"/>
            <w:vMerge w:val="continue"/>
            <w:tcBorders>
              <w:tl2br w:val="nil"/>
              <w:tr2bl w:val="nil"/>
            </w:tcBorders>
            <w:vAlign w:val="center"/>
          </w:tcPr>
          <w:p w14:paraId="26C2E9BF">
            <w:pPr>
              <w:pStyle w:val="49"/>
              <w:rPr>
                <w:highlight w:val="none"/>
              </w:rPr>
            </w:pPr>
          </w:p>
        </w:tc>
      </w:tr>
      <w:tr w14:paraId="42C3CB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restart"/>
            <w:tcBorders>
              <w:tl2br w:val="nil"/>
              <w:tr2bl w:val="nil"/>
            </w:tcBorders>
            <w:vAlign w:val="center"/>
          </w:tcPr>
          <w:p w14:paraId="43B66E4D">
            <w:pPr>
              <w:pStyle w:val="49"/>
              <w:rPr>
                <w:highlight w:val="none"/>
              </w:rPr>
            </w:pPr>
            <w:r>
              <w:rPr>
                <w:rFonts w:hint="eastAsia"/>
                <w:highlight w:val="none"/>
              </w:rPr>
              <w:t>铺贴瓷砖</w:t>
            </w:r>
          </w:p>
        </w:tc>
        <w:tc>
          <w:tcPr>
            <w:tcW w:w="1365" w:type="pct"/>
            <w:tcBorders>
              <w:tl2br w:val="nil"/>
              <w:tr2bl w:val="nil"/>
            </w:tcBorders>
            <w:vAlign w:val="center"/>
          </w:tcPr>
          <w:p w14:paraId="40D9DFF7">
            <w:pPr>
              <w:pStyle w:val="49"/>
              <w:rPr>
                <w:highlight w:val="none"/>
              </w:rPr>
            </w:pPr>
            <w:r>
              <w:rPr>
                <w:rFonts w:hint="eastAsia"/>
                <w:highlight w:val="none"/>
              </w:rPr>
              <w:t>立面垂直度</w:t>
            </w:r>
          </w:p>
        </w:tc>
        <w:tc>
          <w:tcPr>
            <w:tcW w:w="1112" w:type="pct"/>
            <w:tcBorders>
              <w:tl2br w:val="nil"/>
              <w:tr2bl w:val="nil"/>
            </w:tcBorders>
            <w:vAlign w:val="center"/>
          </w:tcPr>
          <w:p w14:paraId="08A9D03B">
            <w:pPr>
              <w:pStyle w:val="49"/>
              <w:rPr>
                <w:highlight w:val="none"/>
              </w:rPr>
            </w:pPr>
            <w:r>
              <w:rPr>
                <w:highlight w:val="none"/>
              </w:rPr>
              <w:t>2</w:t>
            </w:r>
            <w:r>
              <w:rPr>
                <w:rFonts w:hint="eastAsia"/>
                <w:highlight w:val="none"/>
              </w:rPr>
              <w:t>mm</w:t>
            </w:r>
          </w:p>
        </w:tc>
        <w:tc>
          <w:tcPr>
            <w:tcW w:w="745" w:type="pct"/>
            <w:tcBorders>
              <w:tl2br w:val="nil"/>
              <w:tr2bl w:val="nil"/>
            </w:tcBorders>
            <w:vAlign w:val="center"/>
          </w:tcPr>
          <w:p w14:paraId="544C7980">
            <w:pPr>
              <w:pStyle w:val="49"/>
              <w:rPr>
                <w:highlight w:val="none"/>
              </w:rPr>
            </w:pPr>
            <w:r>
              <w:rPr>
                <w:rFonts w:hint="eastAsia"/>
                <w:highlight w:val="none"/>
              </w:rPr>
              <w:t>全数检查</w:t>
            </w:r>
          </w:p>
        </w:tc>
        <w:tc>
          <w:tcPr>
            <w:tcW w:w="1230" w:type="pct"/>
            <w:vMerge w:val="restart"/>
            <w:tcBorders>
              <w:tl2br w:val="nil"/>
              <w:tr2bl w:val="nil"/>
            </w:tcBorders>
            <w:vAlign w:val="center"/>
          </w:tcPr>
          <w:p w14:paraId="3E5B2489">
            <w:pPr>
              <w:pStyle w:val="49"/>
              <w:rPr>
                <w:highlight w:val="none"/>
              </w:rPr>
            </w:pPr>
            <w:r>
              <w:rPr>
                <w:rFonts w:hint="eastAsia"/>
                <w:highlight w:val="none"/>
              </w:rPr>
              <w:t>观察，钢尺、塞尺或直角尺检查</w:t>
            </w:r>
          </w:p>
        </w:tc>
      </w:tr>
      <w:tr w14:paraId="509F36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continue"/>
            <w:tcBorders>
              <w:tl2br w:val="nil"/>
              <w:tr2bl w:val="nil"/>
            </w:tcBorders>
            <w:vAlign w:val="center"/>
          </w:tcPr>
          <w:p w14:paraId="34AEEEC3">
            <w:pPr>
              <w:pStyle w:val="49"/>
              <w:rPr>
                <w:highlight w:val="none"/>
              </w:rPr>
            </w:pPr>
          </w:p>
        </w:tc>
        <w:tc>
          <w:tcPr>
            <w:tcW w:w="1365" w:type="pct"/>
            <w:tcBorders>
              <w:tl2br w:val="nil"/>
              <w:tr2bl w:val="nil"/>
            </w:tcBorders>
            <w:vAlign w:val="center"/>
          </w:tcPr>
          <w:p w14:paraId="0E40CB00">
            <w:pPr>
              <w:pStyle w:val="49"/>
              <w:rPr>
                <w:highlight w:val="none"/>
              </w:rPr>
            </w:pPr>
            <w:r>
              <w:rPr>
                <w:rFonts w:hint="eastAsia"/>
                <w:highlight w:val="none"/>
              </w:rPr>
              <w:t>表面平整度</w:t>
            </w:r>
          </w:p>
        </w:tc>
        <w:tc>
          <w:tcPr>
            <w:tcW w:w="1112" w:type="pct"/>
            <w:tcBorders>
              <w:tl2br w:val="nil"/>
              <w:tr2bl w:val="nil"/>
            </w:tcBorders>
            <w:vAlign w:val="center"/>
          </w:tcPr>
          <w:p w14:paraId="6B554548">
            <w:pPr>
              <w:pStyle w:val="49"/>
              <w:rPr>
                <w:highlight w:val="none"/>
              </w:rPr>
            </w:pPr>
            <w:r>
              <w:rPr>
                <w:highlight w:val="none"/>
              </w:rPr>
              <w:t>3</w:t>
            </w:r>
            <w:r>
              <w:rPr>
                <w:rFonts w:hint="eastAsia"/>
                <w:highlight w:val="none"/>
              </w:rPr>
              <w:t>mm</w:t>
            </w:r>
          </w:p>
        </w:tc>
        <w:tc>
          <w:tcPr>
            <w:tcW w:w="745" w:type="pct"/>
            <w:tcBorders>
              <w:tl2br w:val="nil"/>
              <w:tr2bl w:val="nil"/>
            </w:tcBorders>
            <w:vAlign w:val="center"/>
          </w:tcPr>
          <w:p w14:paraId="61BDC431">
            <w:pPr>
              <w:pStyle w:val="49"/>
              <w:rPr>
                <w:highlight w:val="none"/>
              </w:rPr>
            </w:pPr>
            <w:r>
              <w:rPr>
                <w:rFonts w:hint="eastAsia"/>
                <w:highlight w:val="none"/>
              </w:rPr>
              <w:t>全数检查</w:t>
            </w:r>
          </w:p>
        </w:tc>
        <w:tc>
          <w:tcPr>
            <w:tcW w:w="1230" w:type="pct"/>
            <w:vMerge w:val="continue"/>
            <w:tcBorders>
              <w:tl2br w:val="nil"/>
              <w:tr2bl w:val="nil"/>
            </w:tcBorders>
            <w:vAlign w:val="center"/>
          </w:tcPr>
          <w:p w14:paraId="22D630D8">
            <w:pPr>
              <w:pStyle w:val="49"/>
              <w:rPr>
                <w:highlight w:val="none"/>
              </w:rPr>
            </w:pPr>
          </w:p>
        </w:tc>
      </w:tr>
      <w:tr w14:paraId="6E45CA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continue"/>
            <w:tcBorders>
              <w:tl2br w:val="nil"/>
              <w:tr2bl w:val="nil"/>
            </w:tcBorders>
            <w:vAlign w:val="center"/>
          </w:tcPr>
          <w:p w14:paraId="55B667A9">
            <w:pPr>
              <w:pStyle w:val="49"/>
              <w:rPr>
                <w:highlight w:val="none"/>
              </w:rPr>
            </w:pPr>
          </w:p>
        </w:tc>
        <w:tc>
          <w:tcPr>
            <w:tcW w:w="1365" w:type="pct"/>
            <w:tcBorders>
              <w:tl2br w:val="nil"/>
              <w:tr2bl w:val="nil"/>
            </w:tcBorders>
            <w:vAlign w:val="center"/>
          </w:tcPr>
          <w:p w14:paraId="6B6E9F53">
            <w:pPr>
              <w:pStyle w:val="49"/>
              <w:rPr>
                <w:highlight w:val="none"/>
              </w:rPr>
            </w:pPr>
            <w:r>
              <w:rPr>
                <w:rFonts w:hint="eastAsia"/>
                <w:highlight w:val="none"/>
              </w:rPr>
              <w:t>阴阳角方正</w:t>
            </w:r>
          </w:p>
        </w:tc>
        <w:tc>
          <w:tcPr>
            <w:tcW w:w="1112" w:type="pct"/>
            <w:tcBorders>
              <w:tl2br w:val="nil"/>
              <w:tr2bl w:val="nil"/>
            </w:tcBorders>
            <w:vAlign w:val="center"/>
          </w:tcPr>
          <w:p w14:paraId="0A153DB9">
            <w:pPr>
              <w:pStyle w:val="49"/>
              <w:rPr>
                <w:highlight w:val="none"/>
              </w:rPr>
            </w:pPr>
            <w:r>
              <w:rPr>
                <w:highlight w:val="none"/>
              </w:rPr>
              <w:t>3</w:t>
            </w:r>
            <w:r>
              <w:rPr>
                <w:rFonts w:hint="eastAsia"/>
                <w:highlight w:val="none"/>
              </w:rPr>
              <w:t>mm</w:t>
            </w:r>
          </w:p>
        </w:tc>
        <w:tc>
          <w:tcPr>
            <w:tcW w:w="745" w:type="pct"/>
            <w:tcBorders>
              <w:tl2br w:val="nil"/>
              <w:tr2bl w:val="nil"/>
            </w:tcBorders>
            <w:vAlign w:val="center"/>
          </w:tcPr>
          <w:p w14:paraId="2C6C405B">
            <w:pPr>
              <w:pStyle w:val="49"/>
              <w:rPr>
                <w:highlight w:val="none"/>
              </w:rPr>
            </w:pPr>
            <w:r>
              <w:rPr>
                <w:rFonts w:hint="eastAsia"/>
                <w:highlight w:val="none"/>
              </w:rPr>
              <w:t>全数检查</w:t>
            </w:r>
          </w:p>
        </w:tc>
        <w:tc>
          <w:tcPr>
            <w:tcW w:w="1230" w:type="pct"/>
            <w:vMerge w:val="continue"/>
            <w:tcBorders>
              <w:tl2br w:val="nil"/>
              <w:tr2bl w:val="nil"/>
            </w:tcBorders>
            <w:vAlign w:val="center"/>
          </w:tcPr>
          <w:p w14:paraId="00B3D972">
            <w:pPr>
              <w:pStyle w:val="49"/>
              <w:rPr>
                <w:highlight w:val="none"/>
              </w:rPr>
            </w:pPr>
          </w:p>
        </w:tc>
      </w:tr>
      <w:tr w14:paraId="38E0F2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47" w:type="pct"/>
            <w:vMerge w:val="continue"/>
            <w:tcBorders>
              <w:tl2br w:val="nil"/>
              <w:tr2bl w:val="nil"/>
            </w:tcBorders>
            <w:vAlign w:val="center"/>
          </w:tcPr>
          <w:p w14:paraId="2AEFF5D8">
            <w:pPr>
              <w:pStyle w:val="49"/>
              <w:rPr>
                <w:highlight w:val="none"/>
              </w:rPr>
            </w:pPr>
          </w:p>
        </w:tc>
        <w:tc>
          <w:tcPr>
            <w:tcW w:w="1365" w:type="pct"/>
            <w:tcBorders>
              <w:tl2br w:val="nil"/>
              <w:tr2bl w:val="nil"/>
            </w:tcBorders>
            <w:vAlign w:val="center"/>
          </w:tcPr>
          <w:p w14:paraId="3E338484">
            <w:pPr>
              <w:pStyle w:val="49"/>
              <w:rPr>
                <w:highlight w:val="none"/>
              </w:rPr>
            </w:pPr>
            <w:r>
              <w:rPr>
                <w:rFonts w:hint="eastAsia"/>
                <w:highlight w:val="none"/>
              </w:rPr>
              <w:t>接缝直线度</w:t>
            </w:r>
          </w:p>
        </w:tc>
        <w:tc>
          <w:tcPr>
            <w:tcW w:w="1112" w:type="pct"/>
            <w:tcBorders>
              <w:tl2br w:val="nil"/>
              <w:tr2bl w:val="nil"/>
            </w:tcBorders>
            <w:vAlign w:val="center"/>
          </w:tcPr>
          <w:p w14:paraId="6928E2C0">
            <w:pPr>
              <w:pStyle w:val="49"/>
              <w:rPr>
                <w:highlight w:val="none"/>
              </w:rPr>
            </w:pPr>
            <w:r>
              <w:rPr>
                <w:highlight w:val="none"/>
              </w:rPr>
              <w:t>2</w:t>
            </w:r>
            <w:r>
              <w:rPr>
                <w:rFonts w:hint="eastAsia"/>
                <w:highlight w:val="none"/>
              </w:rPr>
              <w:t>mm</w:t>
            </w:r>
          </w:p>
        </w:tc>
        <w:tc>
          <w:tcPr>
            <w:tcW w:w="745" w:type="pct"/>
            <w:tcBorders>
              <w:tl2br w:val="nil"/>
              <w:tr2bl w:val="nil"/>
            </w:tcBorders>
            <w:vAlign w:val="center"/>
          </w:tcPr>
          <w:p w14:paraId="5CD8BAE5">
            <w:pPr>
              <w:pStyle w:val="49"/>
              <w:rPr>
                <w:highlight w:val="none"/>
              </w:rPr>
            </w:pPr>
            <w:r>
              <w:rPr>
                <w:rFonts w:hint="eastAsia"/>
                <w:highlight w:val="none"/>
              </w:rPr>
              <w:t>全数检查</w:t>
            </w:r>
          </w:p>
        </w:tc>
        <w:tc>
          <w:tcPr>
            <w:tcW w:w="1230" w:type="pct"/>
            <w:vMerge w:val="continue"/>
            <w:tcBorders>
              <w:tl2br w:val="nil"/>
              <w:tr2bl w:val="nil"/>
            </w:tcBorders>
            <w:vAlign w:val="center"/>
          </w:tcPr>
          <w:p w14:paraId="618A7991">
            <w:pPr>
              <w:pStyle w:val="49"/>
              <w:rPr>
                <w:highlight w:val="none"/>
              </w:rPr>
            </w:pPr>
          </w:p>
        </w:tc>
      </w:tr>
      <w:tr w14:paraId="422EAC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continue"/>
            <w:tcBorders>
              <w:tl2br w:val="nil"/>
              <w:tr2bl w:val="nil"/>
            </w:tcBorders>
            <w:vAlign w:val="center"/>
          </w:tcPr>
          <w:p w14:paraId="7E0E514B">
            <w:pPr>
              <w:pStyle w:val="49"/>
              <w:rPr>
                <w:highlight w:val="none"/>
              </w:rPr>
            </w:pPr>
          </w:p>
        </w:tc>
        <w:tc>
          <w:tcPr>
            <w:tcW w:w="1365" w:type="pct"/>
            <w:tcBorders>
              <w:tl2br w:val="nil"/>
              <w:tr2bl w:val="nil"/>
            </w:tcBorders>
            <w:vAlign w:val="center"/>
          </w:tcPr>
          <w:p w14:paraId="431B4885">
            <w:pPr>
              <w:pStyle w:val="49"/>
              <w:rPr>
                <w:highlight w:val="none"/>
              </w:rPr>
            </w:pPr>
            <w:r>
              <w:rPr>
                <w:rFonts w:hint="eastAsia"/>
                <w:highlight w:val="none"/>
              </w:rPr>
              <w:t>接缝高低差</w:t>
            </w:r>
          </w:p>
        </w:tc>
        <w:tc>
          <w:tcPr>
            <w:tcW w:w="1112" w:type="pct"/>
            <w:tcBorders>
              <w:tl2br w:val="nil"/>
              <w:tr2bl w:val="nil"/>
            </w:tcBorders>
            <w:vAlign w:val="center"/>
          </w:tcPr>
          <w:p w14:paraId="1C9366FD">
            <w:pPr>
              <w:pStyle w:val="49"/>
              <w:rPr>
                <w:highlight w:val="none"/>
              </w:rPr>
            </w:pPr>
            <w:r>
              <w:rPr>
                <w:highlight w:val="none"/>
              </w:rPr>
              <w:t>0.5</w:t>
            </w:r>
            <w:r>
              <w:rPr>
                <w:rFonts w:hint="eastAsia"/>
                <w:highlight w:val="none"/>
              </w:rPr>
              <w:t>mm</w:t>
            </w:r>
          </w:p>
        </w:tc>
        <w:tc>
          <w:tcPr>
            <w:tcW w:w="745" w:type="pct"/>
            <w:tcBorders>
              <w:tl2br w:val="nil"/>
              <w:tr2bl w:val="nil"/>
            </w:tcBorders>
            <w:vAlign w:val="center"/>
          </w:tcPr>
          <w:p w14:paraId="7AA9D54D">
            <w:pPr>
              <w:pStyle w:val="49"/>
              <w:rPr>
                <w:highlight w:val="none"/>
              </w:rPr>
            </w:pPr>
            <w:r>
              <w:rPr>
                <w:rFonts w:hint="eastAsia"/>
                <w:highlight w:val="none"/>
              </w:rPr>
              <w:t>全数检查</w:t>
            </w:r>
          </w:p>
        </w:tc>
        <w:tc>
          <w:tcPr>
            <w:tcW w:w="1230" w:type="pct"/>
            <w:vMerge w:val="continue"/>
            <w:tcBorders>
              <w:tl2br w:val="nil"/>
              <w:tr2bl w:val="nil"/>
            </w:tcBorders>
            <w:vAlign w:val="center"/>
          </w:tcPr>
          <w:p w14:paraId="4BD99103">
            <w:pPr>
              <w:pStyle w:val="49"/>
              <w:rPr>
                <w:highlight w:val="none"/>
              </w:rPr>
            </w:pPr>
          </w:p>
        </w:tc>
      </w:tr>
      <w:tr w14:paraId="54A926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continue"/>
            <w:tcBorders>
              <w:tl2br w:val="nil"/>
              <w:tr2bl w:val="nil"/>
            </w:tcBorders>
            <w:vAlign w:val="center"/>
          </w:tcPr>
          <w:p w14:paraId="70B93F68">
            <w:pPr>
              <w:pStyle w:val="49"/>
              <w:rPr>
                <w:highlight w:val="none"/>
              </w:rPr>
            </w:pPr>
          </w:p>
        </w:tc>
        <w:tc>
          <w:tcPr>
            <w:tcW w:w="1365" w:type="pct"/>
            <w:tcBorders>
              <w:tl2br w:val="nil"/>
              <w:tr2bl w:val="nil"/>
            </w:tcBorders>
            <w:vAlign w:val="center"/>
          </w:tcPr>
          <w:p w14:paraId="76EB515D">
            <w:pPr>
              <w:pStyle w:val="49"/>
              <w:rPr>
                <w:highlight w:val="none"/>
              </w:rPr>
            </w:pPr>
            <w:r>
              <w:rPr>
                <w:rFonts w:hint="eastAsia"/>
                <w:highlight w:val="none"/>
              </w:rPr>
              <w:t>接缝宽度</w:t>
            </w:r>
          </w:p>
        </w:tc>
        <w:tc>
          <w:tcPr>
            <w:tcW w:w="1112" w:type="pct"/>
            <w:tcBorders>
              <w:tl2br w:val="nil"/>
              <w:tr2bl w:val="nil"/>
            </w:tcBorders>
            <w:vAlign w:val="center"/>
          </w:tcPr>
          <w:p w14:paraId="44E22646">
            <w:pPr>
              <w:pStyle w:val="49"/>
              <w:rPr>
                <w:highlight w:val="none"/>
              </w:rPr>
            </w:pPr>
            <w:r>
              <w:rPr>
                <w:highlight w:val="none"/>
              </w:rPr>
              <w:t>1</w:t>
            </w:r>
            <w:r>
              <w:rPr>
                <w:rFonts w:hint="eastAsia"/>
                <w:highlight w:val="none"/>
              </w:rPr>
              <w:t>mm</w:t>
            </w:r>
          </w:p>
        </w:tc>
        <w:tc>
          <w:tcPr>
            <w:tcW w:w="745" w:type="pct"/>
            <w:tcBorders>
              <w:tl2br w:val="nil"/>
              <w:tr2bl w:val="nil"/>
            </w:tcBorders>
            <w:vAlign w:val="center"/>
          </w:tcPr>
          <w:p w14:paraId="39668FE8">
            <w:pPr>
              <w:pStyle w:val="49"/>
              <w:rPr>
                <w:highlight w:val="none"/>
              </w:rPr>
            </w:pPr>
            <w:r>
              <w:rPr>
                <w:rFonts w:hint="eastAsia"/>
                <w:highlight w:val="none"/>
              </w:rPr>
              <w:t>全数检查</w:t>
            </w:r>
          </w:p>
        </w:tc>
        <w:tc>
          <w:tcPr>
            <w:tcW w:w="1230" w:type="pct"/>
            <w:vMerge w:val="continue"/>
            <w:tcBorders>
              <w:tl2br w:val="nil"/>
              <w:tr2bl w:val="nil"/>
            </w:tcBorders>
            <w:vAlign w:val="center"/>
          </w:tcPr>
          <w:p w14:paraId="136B2E43">
            <w:pPr>
              <w:pStyle w:val="49"/>
              <w:rPr>
                <w:highlight w:val="none"/>
              </w:rPr>
            </w:pPr>
          </w:p>
        </w:tc>
      </w:tr>
    </w:tbl>
    <w:p w14:paraId="5A30A2A6">
      <w:pPr>
        <w:jc w:val="center"/>
        <w:rPr>
          <w:sz w:val="18"/>
          <w:szCs w:val="18"/>
          <w:highlight w:val="none"/>
        </w:rPr>
      </w:pPr>
      <w:r>
        <w:rPr>
          <w:rFonts w:hint="eastAsia" w:ascii="黑体" w:hAnsi="黑体" w:eastAsia="黑体" w:cs="黑体"/>
          <w:sz w:val="18"/>
          <w:szCs w:val="18"/>
          <w:highlight w:val="none"/>
          <w:lang w:val="en-US" w:eastAsia="zh-CN"/>
        </w:rPr>
        <w:t>续</w:t>
      </w:r>
      <w:r>
        <w:rPr>
          <w:rFonts w:hint="eastAsia" w:ascii="黑体" w:hAnsi="黑体" w:eastAsia="黑体" w:cs="黑体"/>
          <w:sz w:val="18"/>
          <w:szCs w:val="18"/>
          <w:highlight w:val="none"/>
        </w:rPr>
        <w:t>表</w:t>
      </w:r>
      <w:r>
        <w:rPr>
          <w:rFonts w:hint="eastAsia"/>
          <w:b/>
          <w:sz w:val="18"/>
          <w:szCs w:val="18"/>
          <w:highlight w:val="none"/>
        </w:rPr>
        <w:t>8.</w:t>
      </w:r>
      <w:r>
        <w:rPr>
          <w:rFonts w:hint="eastAsia"/>
          <w:b/>
          <w:sz w:val="18"/>
          <w:szCs w:val="18"/>
          <w:highlight w:val="none"/>
          <w:lang w:val="en-US" w:eastAsia="zh-CN"/>
        </w:rPr>
        <w:t>6</w:t>
      </w:r>
      <w:r>
        <w:rPr>
          <w:rFonts w:hint="eastAsia"/>
          <w:b/>
          <w:sz w:val="18"/>
          <w:szCs w:val="18"/>
          <w:highlight w:val="none"/>
        </w:rPr>
        <w:t>.7</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675"/>
        <w:gridCol w:w="1364"/>
        <w:gridCol w:w="914"/>
        <w:gridCol w:w="1509"/>
      </w:tblGrid>
      <w:tr w14:paraId="75FA9F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2346" w:type="dxa"/>
            <w:gridSpan w:val="2"/>
            <w:tcBorders>
              <w:tl2br w:val="nil"/>
              <w:tr2bl w:val="nil"/>
            </w:tcBorders>
            <w:vAlign w:val="center"/>
          </w:tcPr>
          <w:p w14:paraId="7CDE11D5">
            <w:pPr>
              <w:pStyle w:val="49"/>
              <w:rPr>
                <w:rFonts w:hint="eastAsia"/>
                <w:highlight w:val="none"/>
              </w:rPr>
            </w:pPr>
            <w:r>
              <w:rPr>
                <w:rFonts w:hint="eastAsia"/>
                <w:highlight w:val="none"/>
              </w:rPr>
              <w:t>项目</w:t>
            </w:r>
          </w:p>
        </w:tc>
        <w:tc>
          <w:tcPr>
            <w:tcW w:w="1364" w:type="dxa"/>
            <w:tcBorders>
              <w:tl2br w:val="nil"/>
              <w:tr2bl w:val="nil"/>
            </w:tcBorders>
            <w:vAlign w:val="center"/>
          </w:tcPr>
          <w:p w14:paraId="326F3C86">
            <w:pPr>
              <w:pStyle w:val="49"/>
              <w:rPr>
                <w:rFonts w:hint="eastAsia"/>
                <w:highlight w:val="none"/>
              </w:rPr>
            </w:pPr>
            <w:r>
              <w:rPr>
                <w:rFonts w:hint="eastAsia"/>
                <w:highlight w:val="none"/>
              </w:rPr>
              <w:t>合格标准及允许偏差</w:t>
            </w:r>
          </w:p>
        </w:tc>
        <w:tc>
          <w:tcPr>
            <w:tcW w:w="914" w:type="dxa"/>
            <w:tcBorders>
              <w:tl2br w:val="nil"/>
              <w:tr2bl w:val="nil"/>
            </w:tcBorders>
            <w:vAlign w:val="center"/>
          </w:tcPr>
          <w:p w14:paraId="64916D79">
            <w:pPr>
              <w:pStyle w:val="49"/>
              <w:rPr>
                <w:rFonts w:hint="eastAsia"/>
                <w:highlight w:val="none"/>
              </w:rPr>
            </w:pPr>
            <w:r>
              <w:rPr>
                <w:rFonts w:hint="eastAsia"/>
                <w:highlight w:val="none"/>
              </w:rPr>
              <w:t>抽检数量</w:t>
            </w:r>
          </w:p>
        </w:tc>
        <w:tc>
          <w:tcPr>
            <w:tcW w:w="1509" w:type="dxa"/>
            <w:tcBorders>
              <w:tl2br w:val="nil"/>
              <w:tr2bl w:val="nil"/>
            </w:tcBorders>
            <w:vAlign w:val="center"/>
          </w:tcPr>
          <w:p w14:paraId="46B1C076">
            <w:pPr>
              <w:pStyle w:val="49"/>
              <w:rPr>
                <w:rFonts w:hint="eastAsia"/>
                <w:highlight w:val="none"/>
              </w:rPr>
            </w:pPr>
            <w:r>
              <w:rPr>
                <w:rFonts w:hint="eastAsia"/>
                <w:highlight w:val="none"/>
              </w:rPr>
              <w:t>检验方法</w:t>
            </w:r>
          </w:p>
        </w:tc>
      </w:tr>
      <w:tr w14:paraId="0F3AC4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tcBorders>
              <w:tl2br w:val="nil"/>
              <w:tr2bl w:val="nil"/>
            </w:tcBorders>
            <w:vAlign w:val="center"/>
          </w:tcPr>
          <w:p w14:paraId="4A33C3B1">
            <w:pPr>
              <w:pStyle w:val="49"/>
              <w:rPr>
                <w:highlight w:val="none"/>
              </w:rPr>
            </w:pPr>
            <w:r>
              <w:rPr>
                <w:rFonts w:hint="eastAsia"/>
                <w:highlight w:val="none"/>
              </w:rPr>
              <w:t>卫生间门、入户门</w:t>
            </w:r>
          </w:p>
        </w:tc>
        <w:tc>
          <w:tcPr>
            <w:tcW w:w="1675" w:type="dxa"/>
            <w:tcBorders>
              <w:tl2br w:val="nil"/>
              <w:tr2bl w:val="nil"/>
            </w:tcBorders>
            <w:vAlign w:val="center"/>
          </w:tcPr>
          <w:p w14:paraId="54063FEE">
            <w:pPr>
              <w:pStyle w:val="49"/>
              <w:rPr>
                <w:highlight w:val="none"/>
              </w:rPr>
            </w:pPr>
            <w:r>
              <w:rPr>
                <w:rFonts w:hint="eastAsia"/>
                <w:highlight w:val="none"/>
              </w:rPr>
              <w:t>门框定位</w:t>
            </w:r>
          </w:p>
        </w:tc>
        <w:tc>
          <w:tcPr>
            <w:tcW w:w="1364" w:type="dxa"/>
            <w:tcBorders>
              <w:tl2br w:val="nil"/>
              <w:tr2bl w:val="nil"/>
            </w:tcBorders>
            <w:vAlign w:val="center"/>
          </w:tcPr>
          <w:p w14:paraId="7FD029A1">
            <w:pPr>
              <w:pStyle w:val="49"/>
              <w:rPr>
                <w:highlight w:val="none"/>
              </w:rPr>
            </w:pPr>
            <w:r>
              <w:rPr>
                <w:rFonts w:hint="eastAsia"/>
                <w:highlight w:val="none"/>
              </w:rPr>
              <w:t>符合图纸尺寸</w:t>
            </w:r>
          </w:p>
        </w:tc>
        <w:tc>
          <w:tcPr>
            <w:tcW w:w="914" w:type="dxa"/>
            <w:tcBorders>
              <w:tl2br w:val="nil"/>
              <w:tr2bl w:val="nil"/>
            </w:tcBorders>
            <w:vAlign w:val="center"/>
          </w:tcPr>
          <w:p w14:paraId="64D5C65B">
            <w:pPr>
              <w:pStyle w:val="49"/>
              <w:rPr>
                <w:highlight w:val="none"/>
              </w:rPr>
            </w:pPr>
            <w:r>
              <w:rPr>
                <w:rFonts w:hint="eastAsia"/>
                <w:highlight w:val="none"/>
              </w:rPr>
              <w:t>全数检查</w:t>
            </w:r>
          </w:p>
        </w:tc>
        <w:tc>
          <w:tcPr>
            <w:tcW w:w="1509" w:type="dxa"/>
            <w:tcBorders>
              <w:tl2br w:val="nil"/>
              <w:tr2bl w:val="nil"/>
            </w:tcBorders>
            <w:vAlign w:val="center"/>
          </w:tcPr>
          <w:p w14:paraId="2E49B4AE">
            <w:pPr>
              <w:pStyle w:val="49"/>
              <w:rPr>
                <w:highlight w:val="none"/>
              </w:rPr>
            </w:pPr>
            <w:r>
              <w:rPr>
                <w:rFonts w:hint="eastAsia"/>
                <w:highlight w:val="none"/>
              </w:rPr>
              <w:t>观察，钢尺检查</w:t>
            </w:r>
          </w:p>
        </w:tc>
      </w:tr>
      <w:tr w14:paraId="56CCB5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tcBorders>
              <w:tl2br w:val="nil"/>
              <w:tr2bl w:val="nil"/>
            </w:tcBorders>
            <w:vAlign w:val="center"/>
          </w:tcPr>
          <w:p w14:paraId="5A18FC74">
            <w:pPr>
              <w:pStyle w:val="49"/>
              <w:rPr>
                <w:highlight w:val="none"/>
              </w:rPr>
            </w:pPr>
          </w:p>
        </w:tc>
        <w:tc>
          <w:tcPr>
            <w:tcW w:w="1675" w:type="dxa"/>
            <w:tcBorders>
              <w:tl2br w:val="nil"/>
              <w:tr2bl w:val="nil"/>
            </w:tcBorders>
            <w:vAlign w:val="center"/>
          </w:tcPr>
          <w:p w14:paraId="523EFC8C">
            <w:pPr>
              <w:pStyle w:val="49"/>
              <w:rPr>
                <w:highlight w:val="none"/>
              </w:rPr>
            </w:pPr>
            <w:r>
              <w:rPr>
                <w:rFonts w:hint="eastAsia"/>
                <w:highlight w:val="none"/>
              </w:rPr>
              <w:t>门框垂直度</w:t>
            </w:r>
          </w:p>
        </w:tc>
        <w:tc>
          <w:tcPr>
            <w:tcW w:w="1364" w:type="dxa"/>
            <w:tcBorders>
              <w:tl2br w:val="nil"/>
              <w:tr2bl w:val="nil"/>
            </w:tcBorders>
            <w:vAlign w:val="center"/>
          </w:tcPr>
          <w:p w14:paraId="6CC65DDA">
            <w:pPr>
              <w:pStyle w:val="49"/>
              <w:rPr>
                <w:highlight w:val="none"/>
              </w:rPr>
            </w:pPr>
            <w:r>
              <w:rPr>
                <w:rFonts w:hint="eastAsia"/>
                <w:highlight w:val="none"/>
              </w:rPr>
              <w:t>2m内，≤3mm</w:t>
            </w:r>
          </w:p>
        </w:tc>
        <w:tc>
          <w:tcPr>
            <w:tcW w:w="914" w:type="dxa"/>
            <w:tcBorders>
              <w:tl2br w:val="nil"/>
              <w:tr2bl w:val="nil"/>
            </w:tcBorders>
            <w:vAlign w:val="center"/>
          </w:tcPr>
          <w:p w14:paraId="6BD479FE">
            <w:pPr>
              <w:pStyle w:val="49"/>
              <w:rPr>
                <w:highlight w:val="none"/>
              </w:rPr>
            </w:pPr>
            <w:r>
              <w:rPr>
                <w:rFonts w:hint="eastAsia"/>
                <w:highlight w:val="none"/>
              </w:rPr>
              <w:t>全数检查</w:t>
            </w:r>
          </w:p>
        </w:tc>
        <w:tc>
          <w:tcPr>
            <w:tcW w:w="1509" w:type="dxa"/>
            <w:tcBorders>
              <w:tl2br w:val="nil"/>
              <w:tr2bl w:val="nil"/>
            </w:tcBorders>
            <w:vAlign w:val="center"/>
          </w:tcPr>
          <w:p w14:paraId="592C4165">
            <w:pPr>
              <w:pStyle w:val="49"/>
              <w:rPr>
                <w:highlight w:val="none"/>
              </w:rPr>
            </w:pPr>
            <w:r>
              <w:rPr>
                <w:rFonts w:hint="eastAsia"/>
                <w:highlight w:val="none"/>
              </w:rPr>
              <w:t>水平尺、塞尺检查</w:t>
            </w:r>
          </w:p>
        </w:tc>
      </w:tr>
      <w:tr w14:paraId="297DE0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tcBorders>
              <w:tl2br w:val="nil"/>
              <w:tr2bl w:val="nil"/>
            </w:tcBorders>
            <w:vAlign w:val="center"/>
          </w:tcPr>
          <w:p w14:paraId="329DDB6C">
            <w:pPr>
              <w:pStyle w:val="49"/>
              <w:rPr>
                <w:highlight w:val="none"/>
              </w:rPr>
            </w:pPr>
          </w:p>
        </w:tc>
        <w:tc>
          <w:tcPr>
            <w:tcW w:w="1675" w:type="dxa"/>
            <w:tcBorders>
              <w:tl2br w:val="nil"/>
              <w:tr2bl w:val="nil"/>
            </w:tcBorders>
            <w:vAlign w:val="center"/>
          </w:tcPr>
          <w:p w14:paraId="32E4D4A7">
            <w:pPr>
              <w:pStyle w:val="49"/>
              <w:rPr>
                <w:highlight w:val="none"/>
              </w:rPr>
            </w:pPr>
            <w:r>
              <w:rPr>
                <w:rFonts w:hint="eastAsia"/>
                <w:highlight w:val="none"/>
              </w:rPr>
              <w:t>门框水平度</w:t>
            </w:r>
          </w:p>
        </w:tc>
        <w:tc>
          <w:tcPr>
            <w:tcW w:w="1364" w:type="dxa"/>
            <w:tcBorders>
              <w:tl2br w:val="nil"/>
              <w:tr2bl w:val="nil"/>
            </w:tcBorders>
            <w:vAlign w:val="center"/>
          </w:tcPr>
          <w:p w14:paraId="7E28352B">
            <w:pPr>
              <w:pStyle w:val="49"/>
              <w:rPr>
                <w:highlight w:val="none"/>
              </w:rPr>
            </w:pPr>
            <w:r>
              <w:rPr>
                <w:rFonts w:hint="eastAsia"/>
                <w:highlight w:val="none"/>
              </w:rPr>
              <w:t>2m内，≤3mm</w:t>
            </w:r>
          </w:p>
        </w:tc>
        <w:tc>
          <w:tcPr>
            <w:tcW w:w="914" w:type="dxa"/>
            <w:tcBorders>
              <w:tl2br w:val="nil"/>
              <w:tr2bl w:val="nil"/>
            </w:tcBorders>
            <w:vAlign w:val="center"/>
          </w:tcPr>
          <w:p w14:paraId="224C11F0">
            <w:pPr>
              <w:pStyle w:val="49"/>
              <w:rPr>
                <w:highlight w:val="none"/>
              </w:rPr>
            </w:pPr>
            <w:r>
              <w:rPr>
                <w:rFonts w:hint="eastAsia"/>
                <w:highlight w:val="none"/>
              </w:rPr>
              <w:t>全数检查</w:t>
            </w:r>
          </w:p>
        </w:tc>
        <w:tc>
          <w:tcPr>
            <w:tcW w:w="1509" w:type="dxa"/>
            <w:tcBorders>
              <w:tl2br w:val="nil"/>
              <w:tr2bl w:val="nil"/>
            </w:tcBorders>
            <w:vAlign w:val="center"/>
          </w:tcPr>
          <w:p w14:paraId="0623930A">
            <w:pPr>
              <w:pStyle w:val="49"/>
              <w:rPr>
                <w:highlight w:val="none"/>
              </w:rPr>
            </w:pPr>
            <w:r>
              <w:rPr>
                <w:rFonts w:hint="eastAsia"/>
                <w:highlight w:val="none"/>
              </w:rPr>
              <w:t>水平尺、塞尺检查</w:t>
            </w:r>
          </w:p>
        </w:tc>
      </w:tr>
      <w:tr w14:paraId="1B5A6B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tcBorders>
              <w:tl2br w:val="nil"/>
              <w:tr2bl w:val="nil"/>
            </w:tcBorders>
            <w:vAlign w:val="center"/>
          </w:tcPr>
          <w:p w14:paraId="537D6E06">
            <w:pPr>
              <w:pStyle w:val="49"/>
              <w:rPr>
                <w:highlight w:val="none"/>
              </w:rPr>
            </w:pPr>
          </w:p>
        </w:tc>
        <w:tc>
          <w:tcPr>
            <w:tcW w:w="1675" w:type="dxa"/>
            <w:tcBorders>
              <w:tl2br w:val="nil"/>
              <w:tr2bl w:val="nil"/>
            </w:tcBorders>
            <w:vAlign w:val="center"/>
          </w:tcPr>
          <w:p w14:paraId="792D414C">
            <w:pPr>
              <w:pStyle w:val="49"/>
              <w:rPr>
                <w:highlight w:val="none"/>
              </w:rPr>
            </w:pPr>
            <w:r>
              <w:rPr>
                <w:rFonts w:hint="eastAsia"/>
                <w:highlight w:val="none"/>
              </w:rPr>
              <w:t>开门方向</w:t>
            </w:r>
          </w:p>
        </w:tc>
        <w:tc>
          <w:tcPr>
            <w:tcW w:w="1364" w:type="dxa"/>
            <w:tcBorders>
              <w:tl2br w:val="nil"/>
              <w:tr2bl w:val="nil"/>
            </w:tcBorders>
            <w:vAlign w:val="center"/>
          </w:tcPr>
          <w:p w14:paraId="024EC327">
            <w:pPr>
              <w:pStyle w:val="49"/>
              <w:rPr>
                <w:highlight w:val="none"/>
              </w:rPr>
            </w:pPr>
            <w:r>
              <w:rPr>
                <w:rFonts w:hint="eastAsia"/>
                <w:highlight w:val="none"/>
              </w:rPr>
              <w:t>卫生间、入户门开</w:t>
            </w:r>
          </w:p>
          <w:p w14:paraId="24F9C911">
            <w:pPr>
              <w:pStyle w:val="49"/>
              <w:rPr>
                <w:highlight w:val="none"/>
              </w:rPr>
            </w:pPr>
            <w:r>
              <w:rPr>
                <w:rFonts w:hint="eastAsia"/>
                <w:highlight w:val="none"/>
              </w:rPr>
              <w:t>门方向符合图纸</w:t>
            </w:r>
          </w:p>
        </w:tc>
        <w:tc>
          <w:tcPr>
            <w:tcW w:w="914" w:type="dxa"/>
            <w:tcBorders>
              <w:tl2br w:val="nil"/>
              <w:tr2bl w:val="nil"/>
            </w:tcBorders>
            <w:vAlign w:val="center"/>
          </w:tcPr>
          <w:p w14:paraId="710F4D2E">
            <w:pPr>
              <w:pStyle w:val="49"/>
              <w:rPr>
                <w:highlight w:val="none"/>
              </w:rPr>
            </w:pPr>
            <w:r>
              <w:rPr>
                <w:rFonts w:hint="eastAsia"/>
                <w:highlight w:val="none"/>
              </w:rPr>
              <w:t>全数检查</w:t>
            </w:r>
          </w:p>
        </w:tc>
        <w:tc>
          <w:tcPr>
            <w:tcW w:w="1509" w:type="dxa"/>
            <w:tcBorders>
              <w:tl2br w:val="nil"/>
              <w:tr2bl w:val="nil"/>
            </w:tcBorders>
            <w:vAlign w:val="center"/>
          </w:tcPr>
          <w:p w14:paraId="5E81AA12">
            <w:pPr>
              <w:pStyle w:val="49"/>
              <w:rPr>
                <w:highlight w:val="none"/>
              </w:rPr>
            </w:pPr>
            <w:r>
              <w:rPr>
                <w:rFonts w:hint="eastAsia"/>
                <w:highlight w:val="none"/>
              </w:rPr>
              <w:t>核对图纸确认</w:t>
            </w:r>
          </w:p>
        </w:tc>
      </w:tr>
      <w:tr w14:paraId="70D8C7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tcBorders>
              <w:tl2br w:val="nil"/>
              <w:tr2bl w:val="nil"/>
            </w:tcBorders>
            <w:vAlign w:val="center"/>
          </w:tcPr>
          <w:p w14:paraId="48708A59">
            <w:pPr>
              <w:pStyle w:val="49"/>
              <w:rPr>
                <w:highlight w:val="none"/>
              </w:rPr>
            </w:pPr>
          </w:p>
        </w:tc>
        <w:tc>
          <w:tcPr>
            <w:tcW w:w="1675" w:type="dxa"/>
            <w:tcBorders>
              <w:tl2br w:val="nil"/>
              <w:tr2bl w:val="nil"/>
            </w:tcBorders>
            <w:vAlign w:val="center"/>
          </w:tcPr>
          <w:p w14:paraId="5FB11721">
            <w:pPr>
              <w:pStyle w:val="49"/>
              <w:rPr>
                <w:highlight w:val="none"/>
              </w:rPr>
            </w:pPr>
            <w:r>
              <w:rPr>
                <w:rFonts w:hint="eastAsia"/>
                <w:highlight w:val="none"/>
              </w:rPr>
              <w:t>门扇间隙</w:t>
            </w:r>
          </w:p>
        </w:tc>
        <w:tc>
          <w:tcPr>
            <w:tcW w:w="1364" w:type="dxa"/>
            <w:tcBorders>
              <w:tl2br w:val="nil"/>
              <w:tr2bl w:val="nil"/>
            </w:tcBorders>
            <w:vAlign w:val="center"/>
          </w:tcPr>
          <w:p w14:paraId="6756B663">
            <w:pPr>
              <w:pStyle w:val="49"/>
              <w:rPr>
                <w:highlight w:val="none"/>
              </w:rPr>
            </w:pPr>
            <w:r>
              <w:rPr>
                <w:rFonts w:hint="eastAsia"/>
                <w:highlight w:val="none"/>
              </w:rPr>
              <w:t>≤3mm</w:t>
            </w:r>
          </w:p>
        </w:tc>
        <w:tc>
          <w:tcPr>
            <w:tcW w:w="914" w:type="dxa"/>
            <w:tcBorders>
              <w:tl2br w:val="nil"/>
              <w:tr2bl w:val="nil"/>
            </w:tcBorders>
            <w:vAlign w:val="center"/>
          </w:tcPr>
          <w:p w14:paraId="6A7F8A81">
            <w:pPr>
              <w:pStyle w:val="49"/>
              <w:rPr>
                <w:highlight w:val="none"/>
              </w:rPr>
            </w:pPr>
            <w:r>
              <w:rPr>
                <w:rFonts w:hint="eastAsia"/>
                <w:highlight w:val="none"/>
              </w:rPr>
              <w:t>全数检查</w:t>
            </w:r>
          </w:p>
        </w:tc>
        <w:tc>
          <w:tcPr>
            <w:tcW w:w="1509" w:type="dxa"/>
            <w:tcBorders>
              <w:tl2br w:val="nil"/>
              <w:tr2bl w:val="nil"/>
            </w:tcBorders>
            <w:vAlign w:val="center"/>
          </w:tcPr>
          <w:p w14:paraId="46E6AC98">
            <w:pPr>
              <w:pStyle w:val="49"/>
              <w:rPr>
                <w:highlight w:val="none"/>
              </w:rPr>
            </w:pPr>
            <w:r>
              <w:rPr>
                <w:rFonts w:hint="eastAsia"/>
                <w:highlight w:val="none"/>
              </w:rPr>
              <w:t>观察，钢尺检查</w:t>
            </w:r>
          </w:p>
        </w:tc>
      </w:tr>
      <w:tr w14:paraId="2D6CC6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1" w:type="dxa"/>
            <w:vMerge w:val="continue"/>
            <w:tcBorders>
              <w:tl2br w:val="nil"/>
              <w:tr2bl w:val="nil"/>
            </w:tcBorders>
            <w:vAlign w:val="center"/>
          </w:tcPr>
          <w:p w14:paraId="61BEDB0E">
            <w:pPr>
              <w:pStyle w:val="49"/>
              <w:rPr>
                <w:highlight w:val="none"/>
              </w:rPr>
            </w:pPr>
          </w:p>
        </w:tc>
        <w:tc>
          <w:tcPr>
            <w:tcW w:w="1675" w:type="dxa"/>
            <w:tcBorders>
              <w:tl2br w:val="nil"/>
              <w:tr2bl w:val="nil"/>
            </w:tcBorders>
            <w:vAlign w:val="center"/>
          </w:tcPr>
          <w:p w14:paraId="1956E421">
            <w:pPr>
              <w:pStyle w:val="49"/>
              <w:rPr>
                <w:highlight w:val="none"/>
              </w:rPr>
            </w:pPr>
            <w:r>
              <w:rPr>
                <w:rFonts w:hint="eastAsia"/>
                <w:highlight w:val="none"/>
              </w:rPr>
              <w:t>门扇间隙均匀度</w:t>
            </w:r>
          </w:p>
        </w:tc>
        <w:tc>
          <w:tcPr>
            <w:tcW w:w="1364" w:type="dxa"/>
            <w:tcBorders>
              <w:tl2br w:val="nil"/>
              <w:tr2bl w:val="nil"/>
            </w:tcBorders>
            <w:vAlign w:val="center"/>
          </w:tcPr>
          <w:p w14:paraId="0CD8C105">
            <w:pPr>
              <w:pStyle w:val="49"/>
              <w:rPr>
                <w:highlight w:val="none"/>
              </w:rPr>
            </w:pPr>
            <w:r>
              <w:rPr>
                <w:rFonts w:hint="eastAsia"/>
                <w:highlight w:val="none"/>
              </w:rPr>
              <w:t>间隙均匀</w:t>
            </w:r>
          </w:p>
        </w:tc>
        <w:tc>
          <w:tcPr>
            <w:tcW w:w="914" w:type="dxa"/>
            <w:tcBorders>
              <w:tl2br w:val="nil"/>
              <w:tr2bl w:val="nil"/>
            </w:tcBorders>
            <w:vAlign w:val="center"/>
          </w:tcPr>
          <w:p w14:paraId="2DFA007D">
            <w:pPr>
              <w:pStyle w:val="49"/>
              <w:rPr>
                <w:highlight w:val="none"/>
              </w:rPr>
            </w:pPr>
            <w:r>
              <w:rPr>
                <w:rFonts w:hint="eastAsia"/>
                <w:highlight w:val="none"/>
              </w:rPr>
              <w:t>全数检查</w:t>
            </w:r>
          </w:p>
        </w:tc>
        <w:tc>
          <w:tcPr>
            <w:tcW w:w="1509" w:type="dxa"/>
            <w:tcBorders>
              <w:tl2br w:val="nil"/>
              <w:tr2bl w:val="nil"/>
            </w:tcBorders>
            <w:vAlign w:val="center"/>
          </w:tcPr>
          <w:p w14:paraId="50040F2B">
            <w:pPr>
              <w:pStyle w:val="49"/>
              <w:rPr>
                <w:highlight w:val="none"/>
              </w:rPr>
            </w:pPr>
            <w:r>
              <w:rPr>
                <w:rFonts w:hint="eastAsia"/>
                <w:highlight w:val="none"/>
              </w:rPr>
              <w:t>关上后观察与门间隙</w:t>
            </w:r>
          </w:p>
        </w:tc>
      </w:tr>
      <w:tr w14:paraId="23B834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tcBorders>
              <w:tl2br w:val="nil"/>
              <w:tr2bl w:val="nil"/>
            </w:tcBorders>
            <w:vAlign w:val="center"/>
          </w:tcPr>
          <w:p w14:paraId="64688F98">
            <w:pPr>
              <w:pStyle w:val="49"/>
              <w:rPr>
                <w:highlight w:val="none"/>
              </w:rPr>
            </w:pPr>
          </w:p>
        </w:tc>
        <w:tc>
          <w:tcPr>
            <w:tcW w:w="1675" w:type="dxa"/>
            <w:tcBorders>
              <w:tl2br w:val="nil"/>
              <w:tr2bl w:val="nil"/>
            </w:tcBorders>
            <w:vAlign w:val="center"/>
          </w:tcPr>
          <w:p w14:paraId="33DA5903">
            <w:pPr>
              <w:pStyle w:val="49"/>
              <w:rPr>
                <w:highlight w:val="none"/>
              </w:rPr>
            </w:pPr>
            <w:r>
              <w:rPr>
                <w:rFonts w:hint="eastAsia"/>
                <w:highlight w:val="none"/>
              </w:rPr>
              <w:t>门锁处缝隙</w:t>
            </w:r>
          </w:p>
        </w:tc>
        <w:tc>
          <w:tcPr>
            <w:tcW w:w="1364" w:type="dxa"/>
            <w:tcBorders>
              <w:tl2br w:val="nil"/>
              <w:tr2bl w:val="nil"/>
            </w:tcBorders>
            <w:vAlign w:val="center"/>
          </w:tcPr>
          <w:p w14:paraId="5D58AF51">
            <w:pPr>
              <w:pStyle w:val="49"/>
              <w:rPr>
                <w:highlight w:val="none"/>
              </w:rPr>
            </w:pPr>
            <w:r>
              <w:rPr>
                <w:rFonts w:hint="eastAsia"/>
                <w:highlight w:val="none"/>
              </w:rPr>
              <w:t>≤4mm</w:t>
            </w:r>
          </w:p>
        </w:tc>
        <w:tc>
          <w:tcPr>
            <w:tcW w:w="914" w:type="dxa"/>
            <w:tcBorders>
              <w:tl2br w:val="nil"/>
              <w:tr2bl w:val="nil"/>
            </w:tcBorders>
            <w:vAlign w:val="center"/>
          </w:tcPr>
          <w:p w14:paraId="7161B6CE">
            <w:pPr>
              <w:pStyle w:val="49"/>
              <w:rPr>
                <w:highlight w:val="none"/>
              </w:rPr>
            </w:pPr>
            <w:r>
              <w:rPr>
                <w:rFonts w:hint="eastAsia"/>
                <w:highlight w:val="none"/>
              </w:rPr>
              <w:t>全数检查</w:t>
            </w:r>
          </w:p>
        </w:tc>
        <w:tc>
          <w:tcPr>
            <w:tcW w:w="1509" w:type="dxa"/>
            <w:tcBorders>
              <w:tl2br w:val="nil"/>
              <w:tr2bl w:val="nil"/>
            </w:tcBorders>
            <w:vAlign w:val="center"/>
          </w:tcPr>
          <w:p w14:paraId="3A41B093">
            <w:pPr>
              <w:pStyle w:val="49"/>
              <w:rPr>
                <w:highlight w:val="none"/>
              </w:rPr>
            </w:pPr>
            <w:r>
              <w:rPr>
                <w:rFonts w:hint="eastAsia"/>
                <w:highlight w:val="none"/>
              </w:rPr>
              <w:t>观察，钢尺检查</w:t>
            </w:r>
          </w:p>
        </w:tc>
      </w:tr>
      <w:tr w14:paraId="6294F1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tcBorders>
              <w:tl2br w:val="nil"/>
              <w:tr2bl w:val="nil"/>
            </w:tcBorders>
            <w:vAlign w:val="center"/>
          </w:tcPr>
          <w:p w14:paraId="2B734966">
            <w:pPr>
              <w:pStyle w:val="49"/>
              <w:rPr>
                <w:highlight w:val="none"/>
              </w:rPr>
            </w:pPr>
          </w:p>
        </w:tc>
        <w:tc>
          <w:tcPr>
            <w:tcW w:w="1675" w:type="dxa"/>
            <w:tcBorders>
              <w:tl2br w:val="nil"/>
              <w:tr2bl w:val="nil"/>
            </w:tcBorders>
            <w:vAlign w:val="center"/>
          </w:tcPr>
          <w:p w14:paraId="39DA8875">
            <w:pPr>
              <w:pStyle w:val="49"/>
              <w:rPr>
                <w:highlight w:val="none"/>
              </w:rPr>
            </w:pPr>
            <w:r>
              <w:rPr>
                <w:rFonts w:hint="eastAsia"/>
                <w:highlight w:val="none"/>
              </w:rPr>
              <w:t>门扇闭合性</w:t>
            </w:r>
          </w:p>
        </w:tc>
        <w:tc>
          <w:tcPr>
            <w:tcW w:w="1364" w:type="dxa"/>
            <w:tcBorders>
              <w:tl2br w:val="nil"/>
              <w:tr2bl w:val="nil"/>
            </w:tcBorders>
            <w:vAlign w:val="center"/>
          </w:tcPr>
          <w:p w14:paraId="7D33C0EB">
            <w:pPr>
              <w:pStyle w:val="49"/>
              <w:rPr>
                <w:highlight w:val="none"/>
              </w:rPr>
            </w:pPr>
            <w:r>
              <w:rPr>
                <w:rFonts w:hint="eastAsia"/>
                <w:highlight w:val="none"/>
              </w:rPr>
              <w:t>门缝无漏光</w:t>
            </w:r>
          </w:p>
        </w:tc>
        <w:tc>
          <w:tcPr>
            <w:tcW w:w="914" w:type="dxa"/>
            <w:tcBorders>
              <w:tl2br w:val="nil"/>
              <w:tr2bl w:val="nil"/>
            </w:tcBorders>
            <w:vAlign w:val="center"/>
          </w:tcPr>
          <w:p w14:paraId="755CC392">
            <w:pPr>
              <w:pStyle w:val="49"/>
              <w:rPr>
                <w:highlight w:val="none"/>
              </w:rPr>
            </w:pPr>
            <w:r>
              <w:rPr>
                <w:rFonts w:hint="eastAsia"/>
                <w:highlight w:val="none"/>
              </w:rPr>
              <w:t>全数检查</w:t>
            </w:r>
          </w:p>
        </w:tc>
        <w:tc>
          <w:tcPr>
            <w:tcW w:w="1509" w:type="dxa"/>
            <w:tcBorders>
              <w:tl2br w:val="nil"/>
              <w:tr2bl w:val="nil"/>
            </w:tcBorders>
            <w:vAlign w:val="center"/>
          </w:tcPr>
          <w:p w14:paraId="72BD1D9A">
            <w:pPr>
              <w:pStyle w:val="49"/>
              <w:rPr>
                <w:highlight w:val="none"/>
              </w:rPr>
            </w:pPr>
            <w:r>
              <w:rPr>
                <w:rFonts w:hint="eastAsia"/>
                <w:highlight w:val="none"/>
              </w:rPr>
              <w:t>观察，关门后检查</w:t>
            </w:r>
          </w:p>
        </w:tc>
      </w:tr>
      <w:tr w14:paraId="63C213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tcBorders>
              <w:tl2br w:val="nil"/>
              <w:tr2bl w:val="nil"/>
            </w:tcBorders>
            <w:vAlign w:val="center"/>
          </w:tcPr>
          <w:p w14:paraId="7EAB051D">
            <w:pPr>
              <w:pStyle w:val="49"/>
              <w:rPr>
                <w:highlight w:val="none"/>
              </w:rPr>
            </w:pPr>
          </w:p>
        </w:tc>
        <w:tc>
          <w:tcPr>
            <w:tcW w:w="1675" w:type="dxa"/>
            <w:tcBorders>
              <w:tl2br w:val="nil"/>
              <w:tr2bl w:val="nil"/>
            </w:tcBorders>
            <w:vAlign w:val="center"/>
          </w:tcPr>
          <w:p w14:paraId="2F2AC259">
            <w:pPr>
              <w:pStyle w:val="49"/>
              <w:rPr>
                <w:highlight w:val="none"/>
              </w:rPr>
            </w:pPr>
            <w:r>
              <w:rPr>
                <w:rFonts w:hint="eastAsia"/>
                <w:highlight w:val="none"/>
              </w:rPr>
              <w:t>卫生间门状态</w:t>
            </w:r>
          </w:p>
        </w:tc>
        <w:tc>
          <w:tcPr>
            <w:tcW w:w="1364" w:type="dxa"/>
            <w:tcBorders>
              <w:tl2br w:val="nil"/>
              <w:tr2bl w:val="nil"/>
            </w:tcBorders>
            <w:vAlign w:val="center"/>
          </w:tcPr>
          <w:p w14:paraId="61E609D4">
            <w:pPr>
              <w:pStyle w:val="49"/>
              <w:rPr>
                <w:highlight w:val="none"/>
              </w:rPr>
            </w:pPr>
            <w:r>
              <w:rPr>
                <w:rFonts w:hint="eastAsia"/>
                <w:highlight w:val="none"/>
              </w:rPr>
              <w:t>开关灵活，滑轨运</w:t>
            </w:r>
          </w:p>
          <w:p w14:paraId="4A889582">
            <w:pPr>
              <w:pStyle w:val="49"/>
              <w:rPr>
                <w:highlight w:val="none"/>
              </w:rPr>
            </w:pPr>
            <w:r>
              <w:rPr>
                <w:rFonts w:hint="eastAsia"/>
                <w:highlight w:val="none"/>
              </w:rPr>
              <w:t>行正常</w:t>
            </w:r>
          </w:p>
        </w:tc>
        <w:tc>
          <w:tcPr>
            <w:tcW w:w="914" w:type="dxa"/>
            <w:tcBorders>
              <w:tl2br w:val="nil"/>
              <w:tr2bl w:val="nil"/>
            </w:tcBorders>
            <w:vAlign w:val="center"/>
          </w:tcPr>
          <w:p w14:paraId="47831EFF">
            <w:pPr>
              <w:pStyle w:val="49"/>
              <w:rPr>
                <w:highlight w:val="none"/>
              </w:rPr>
            </w:pPr>
            <w:r>
              <w:rPr>
                <w:rFonts w:hint="eastAsia"/>
                <w:highlight w:val="none"/>
              </w:rPr>
              <w:t>全数检查</w:t>
            </w:r>
          </w:p>
        </w:tc>
        <w:tc>
          <w:tcPr>
            <w:tcW w:w="1509" w:type="dxa"/>
            <w:tcBorders>
              <w:tl2br w:val="nil"/>
              <w:tr2bl w:val="nil"/>
            </w:tcBorders>
            <w:vAlign w:val="center"/>
          </w:tcPr>
          <w:p w14:paraId="2AFFD8CC">
            <w:pPr>
              <w:pStyle w:val="49"/>
              <w:rPr>
                <w:highlight w:val="none"/>
              </w:rPr>
            </w:pPr>
            <w:r>
              <w:rPr>
                <w:rFonts w:hint="eastAsia"/>
                <w:highlight w:val="none"/>
              </w:rPr>
              <w:t>手动开关门</w:t>
            </w:r>
          </w:p>
        </w:tc>
      </w:tr>
      <w:tr w14:paraId="23399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tcBorders>
              <w:tl2br w:val="nil"/>
              <w:tr2bl w:val="nil"/>
            </w:tcBorders>
            <w:vAlign w:val="center"/>
          </w:tcPr>
          <w:p w14:paraId="25DE6B73">
            <w:pPr>
              <w:pStyle w:val="49"/>
              <w:rPr>
                <w:highlight w:val="none"/>
              </w:rPr>
            </w:pPr>
          </w:p>
        </w:tc>
        <w:tc>
          <w:tcPr>
            <w:tcW w:w="1675" w:type="dxa"/>
            <w:tcBorders>
              <w:tl2br w:val="nil"/>
              <w:tr2bl w:val="nil"/>
            </w:tcBorders>
            <w:vAlign w:val="center"/>
          </w:tcPr>
          <w:p w14:paraId="6872B07D">
            <w:pPr>
              <w:pStyle w:val="49"/>
              <w:rPr>
                <w:highlight w:val="none"/>
              </w:rPr>
            </w:pPr>
            <w:r>
              <w:rPr>
                <w:rFonts w:hint="eastAsia"/>
                <w:highlight w:val="none"/>
              </w:rPr>
              <w:t>卫生间门扇门框渗水试验</w:t>
            </w:r>
          </w:p>
        </w:tc>
        <w:tc>
          <w:tcPr>
            <w:tcW w:w="1364" w:type="dxa"/>
            <w:tcBorders>
              <w:tl2br w:val="nil"/>
              <w:tr2bl w:val="nil"/>
            </w:tcBorders>
            <w:vAlign w:val="center"/>
          </w:tcPr>
          <w:p w14:paraId="4228DBF0">
            <w:pPr>
              <w:pStyle w:val="49"/>
              <w:rPr>
                <w:highlight w:val="none"/>
              </w:rPr>
            </w:pPr>
            <w:r>
              <w:rPr>
                <w:rFonts w:hint="eastAsia"/>
                <w:highlight w:val="none"/>
              </w:rPr>
              <w:t>不渗水</w:t>
            </w:r>
          </w:p>
        </w:tc>
        <w:tc>
          <w:tcPr>
            <w:tcW w:w="914" w:type="dxa"/>
            <w:tcBorders>
              <w:tl2br w:val="nil"/>
              <w:tr2bl w:val="nil"/>
            </w:tcBorders>
            <w:vAlign w:val="center"/>
          </w:tcPr>
          <w:p w14:paraId="195EE0F9">
            <w:pPr>
              <w:pStyle w:val="49"/>
              <w:rPr>
                <w:highlight w:val="none"/>
              </w:rPr>
            </w:pPr>
            <w:r>
              <w:rPr>
                <w:rFonts w:hint="eastAsia"/>
                <w:highlight w:val="none"/>
              </w:rPr>
              <w:t>抽检</w:t>
            </w:r>
          </w:p>
        </w:tc>
        <w:tc>
          <w:tcPr>
            <w:tcW w:w="1509" w:type="dxa"/>
            <w:tcBorders>
              <w:tl2br w:val="nil"/>
              <w:tr2bl w:val="nil"/>
            </w:tcBorders>
            <w:vAlign w:val="center"/>
          </w:tcPr>
          <w:p w14:paraId="22E8BB7B">
            <w:pPr>
              <w:pStyle w:val="49"/>
              <w:rPr>
                <w:highlight w:val="none"/>
              </w:rPr>
            </w:pPr>
            <w:r>
              <w:rPr>
                <w:rFonts w:hint="eastAsia"/>
                <w:highlight w:val="none"/>
              </w:rPr>
              <w:t>卫生间门内试水，观察，手触</w:t>
            </w:r>
          </w:p>
        </w:tc>
      </w:tr>
      <w:tr w14:paraId="4C026F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tcBorders>
              <w:tl2br w:val="nil"/>
              <w:tr2bl w:val="nil"/>
            </w:tcBorders>
            <w:vAlign w:val="center"/>
          </w:tcPr>
          <w:p w14:paraId="54EADA4C">
            <w:pPr>
              <w:pStyle w:val="49"/>
              <w:rPr>
                <w:highlight w:val="none"/>
              </w:rPr>
            </w:pPr>
            <w:r>
              <w:rPr>
                <w:rFonts w:hint="eastAsia"/>
                <w:highlight w:val="none"/>
              </w:rPr>
              <w:t>窗</w:t>
            </w:r>
          </w:p>
        </w:tc>
        <w:tc>
          <w:tcPr>
            <w:tcW w:w="1675" w:type="dxa"/>
            <w:tcBorders>
              <w:tl2br w:val="nil"/>
              <w:tr2bl w:val="nil"/>
            </w:tcBorders>
            <w:vAlign w:val="center"/>
          </w:tcPr>
          <w:p w14:paraId="12CC642B">
            <w:pPr>
              <w:pStyle w:val="49"/>
              <w:rPr>
                <w:highlight w:val="none"/>
              </w:rPr>
            </w:pPr>
            <w:r>
              <w:rPr>
                <w:rFonts w:hint="eastAsia"/>
                <w:highlight w:val="none"/>
              </w:rPr>
              <w:t>窗框定位</w:t>
            </w:r>
          </w:p>
        </w:tc>
        <w:tc>
          <w:tcPr>
            <w:tcW w:w="1364" w:type="dxa"/>
            <w:tcBorders>
              <w:tl2br w:val="nil"/>
              <w:tr2bl w:val="nil"/>
            </w:tcBorders>
            <w:vAlign w:val="center"/>
          </w:tcPr>
          <w:p w14:paraId="4D372A06">
            <w:pPr>
              <w:pStyle w:val="49"/>
              <w:rPr>
                <w:highlight w:val="none"/>
              </w:rPr>
            </w:pPr>
            <w:r>
              <w:rPr>
                <w:rFonts w:hint="eastAsia"/>
                <w:highlight w:val="none"/>
              </w:rPr>
              <w:t>符合图纸尺寸</w:t>
            </w:r>
          </w:p>
        </w:tc>
        <w:tc>
          <w:tcPr>
            <w:tcW w:w="914" w:type="dxa"/>
            <w:tcBorders>
              <w:tl2br w:val="nil"/>
              <w:tr2bl w:val="nil"/>
            </w:tcBorders>
            <w:vAlign w:val="center"/>
          </w:tcPr>
          <w:p w14:paraId="5C53EE1A">
            <w:pPr>
              <w:pStyle w:val="49"/>
              <w:rPr>
                <w:highlight w:val="none"/>
              </w:rPr>
            </w:pPr>
            <w:r>
              <w:rPr>
                <w:rFonts w:hint="eastAsia"/>
                <w:highlight w:val="none"/>
              </w:rPr>
              <w:t>全数检查</w:t>
            </w:r>
          </w:p>
        </w:tc>
        <w:tc>
          <w:tcPr>
            <w:tcW w:w="1509" w:type="dxa"/>
            <w:tcBorders>
              <w:tl2br w:val="nil"/>
              <w:tr2bl w:val="nil"/>
            </w:tcBorders>
            <w:vAlign w:val="center"/>
          </w:tcPr>
          <w:p w14:paraId="47A7C961">
            <w:pPr>
              <w:pStyle w:val="49"/>
              <w:rPr>
                <w:highlight w:val="none"/>
              </w:rPr>
            </w:pPr>
            <w:r>
              <w:rPr>
                <w:rFonts w:hint="eastAsia"/>
                <w:highlight w:val="none"/>
              </w:rPr>
              <w:t>观察，钢尺检查</w:t>
            </w:r>
          </w:p>
        </w:tc>
      </w:tr>
      <w:tr w14:paraId="540128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tcBorders>
              <w:tl2br w:val="nil"/>
              <w:tr2bl w:val="nil"/>
            </w:tcBorders>
            <w:vAlign w:val="center"/>
          </w:tcPr>
          <w:p w14:paraId="1439AA38">
            <w:pPr>
              <w:pStyle w:val="49"/>
              <w:rPr>
                <w:highlight w:val="none"/>
              </w:rPr>
            </w:pPr>
          </w:p>
        </w:tc>
        <w:tc>
          <w:tcPr>
            <w:tcW w:w="1675" w:type="dxa"/>
            <w:tcBorders>
              <w:tl2br w:val="nil"/>
              <w:tr2bl w:val="nil"/>
            </w:tcBorders>
            <w:vAlign w:val="center"/>
          </w:tcPr>
          <w:p w14:paraId="5B737E2A">
            <w:pPr>
              <w:pStyle w:val="49"/>
              <w:rPr>
                <w:highlight w:val="none"/>
              </w:rPr>
            </w:pPr>
            <w:r>
              <w:rPr>
                <w:rFonts w:hint="eastAsia"/>
                <w:highlight w:val="none"/>
              </w:rPr>
              <w:t>窗框垂直度</w:t>
            </w:r>
          </w:p>
        </w:tc>
        <w:tc>
          <w:tcPr>
            <w:tcW w:w="1364" w:type="dxa"/>
            <w:tcBorders>
              <w:tl2br w:val="nil"/>
              <w:tr2bl w:val="nil"/>
            </w:tcBorders>
            <w:vAlign w:val="center"/>
          </w:tcPr>
          <w:p w14:paraId="62F34C88">
            <w:pPr>
              <w:pStyle w:val="49"/>
              <w:rPr>
                <w:highlight w:val="none"/>
              </w:rPr>
            </w:pPr>
            <w:r>
              <w:rPr>
                <w:highlight w:val="none"/>
              </w:rPr>
              <w:t>2mm</w:t>
            </w:r>
          </w:p>
        </w:tc>
        <w:tc>
          <w:tcPr>
            <w:tcW w:w="914" w:type="dxa"/>
            <w:tcBorders>
              <w:tl2br w:val="nil"/>
              <w:tr2bl w:val="nil"/>
            </w:tcBorders>
            <w:vAlign w:val="center"/>
          </w:tcPr>
          <w:p w14:paraId="4137B515">
            <w:pPr>
              <w:pStyle w:val="49"/>
              <w:rPr>
                <w:highlight w:val="none"/>
              </w:rPr>
            </w:pPr>
            <w:r>
              <w:rPr>
                <w:rFonts w:hint="eastAsia"/>
                <w:highlight w:val="none"/>
              </w:rPr>
              <w:t>全数检查</w:t>
            </w:r>
          </w:p>
        </w:tc>
        <w:tc>
          <w:tcPr>
            <w:tcW w:w="1509" w:type="dxa"/>
            <w:tcBorders>
              <w:tl2br w:val="nil"/>
              <w:tr2bl w:val="nil"/>
            </w:tcBorders>
            <w:vAlign w:val="center"/>
          </w:tcPr>
          <w:p w14:paraId="30D488D0">
            <w:pPr>
              <w:pStyle w:val="49"/>
              <w:rPr>
                <w:highlight w:val="none"/>
              </w:rPr>
            </w:pPr>
            <w:r>
              <w:rPr>
                <w:rFonts w:hint="eastAsia"/>
                <w:highlight w:val="none"/>
              </w:rPr>
              <w:t>水平尺、塞尺检查</w:t>
            </w:r>
          </w:p>
        </w:tc>
      </w:tr>
      <w:tr w14:paraId="58C8E4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tcBorders>
              <w:tl2br w:val="nil"/>
              <w:tr2bl w:val="nil"/>
            </w:tcBorders>
            <w:vAlign w:val="center"/>
          </w:tcPr>
          <w:p w14:paraId="12FE5C6A">
            <w:pPr>
              <w:pStyle w:val="49"/>
              <w:rPr>
                <w:highlight w:val="none"/>
              </w:rPr>
            </w:pPr>
          </w:p>
        </w:tc>
        <w:tc>
          <w:tcPr>
            <w:tcW w:w="1675" w:type="dxa"/>
            <w:tcBorders>
              <w:tl2br w:val="nil"/>
              <w:tr2bl w:val="nil"/>
            </w:tcBorders>
            <w:vAlign w:val="center"/>
          </w:tcPr>
          <w:p w14:paraId="2860F66E">
            <w:pPr>
              <w:pStyle w:val="49"/>
              <w:rPr>
                <w:highlight w:val="none"/>
              </w:rPr>
            </w:pPr>
            <w:r>
              <w:rPr>
                <w:rFonts w:hint="eastAsia"/>
                <w:highlight w:val="none"/>
              </w:rPr>
              <w:t>窗框水平度</w:t>
            </w:r>
          </w:p>
        </w:tc>
        <w:tc>
          <w:tcPr>
            <w:tcW w:w="1364" w:type="dxa"/>
            <w:tcBorders>
              <w:tl2br w:val="nil"/>
              <w:tr2bl w:val="nil"/>
            </w:tcBorders>
            <w:vAlign w:val="center"/>
          </w:tcPr>
          <w:p w14:paraId="63780B24">
            <w:pPr>
              <w:pStyle w:val="49"/>
              <w:rPr>
                <w:highlight w:val="none"/>
              </w:rPr>
            </w:pPr>
            <w:r>
              <w:rPr>
                <w:highlight w:val="none"/>
              </w:rPr>
              <w:t>2mm</w:t>
            </w:r>
          </w:p>
        </w:tc>
        <w:tc>
          <w:tcPr>
            <w:tcW w:w="914" w:type="dxa"/>
            <w:tcBorders>
              <w:tl2br w:val="nil"/>
              <w:tr2bl w:val="nil"/>
            </w:tcBorders>
            <w:vAlign w:val="center"/>
          </w:tcPr>
          <w:p w14:paraId="5454F4D0">
            <w:pPr>
              <w:pStyle w:val="49"/>
              <w:rPr>
                <w:highlight w:val="none"/>
              </w:rPr>
            </w:pPr>
            <w:r>
              <w:rPr>
                <w:rFonts w:hint="eastAsia"/>
                <w:highlight w:val="none"/>
              </w:rPr>
              <w:t>全数检查</w:t>
            </w:r>
          </w:p>
        </w:tc>
        <w:tc>
          <w:tcPr>
            <w:tcW w:w="1509" w:type="dxa"/>
            <w:tcBorders>
              <w:tl2br w:val="nil"/>
              <w:tr2bl w:val="nil"/>
            </w:tcBorders>
            <w:vAlign w:val="center"/>
          </w:tcPr>
          <w:p w14:paraId="7DB99C25">
            <w:pPr>
              <w:pStyle w:val="49"/>
              <w:rPr>
                <w:highlight w:val="none"/>
              </w:rPr>
            </w:pPr>
            <w:r>
              <w:rPr>
                <w:rFonts w:hint="eastAsia"/>
                <w:highlight w:val="none"/>
              </w:rPr>
              <w:t>水平尺、塞尺检查</w:t>
            </w:r>
          </w:p>
        </w:tc>
      </w:tr>
      <w:tr w14:paraId="2CBF4E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34" w:hRule="atLeast"/>
          <w:jc w:val="center"/>
        </w:trPr>
        <w:tc>
          <w:tcPr>
            <w:tcW w:w="671" w:type="dxa"/>
            <w:vMerge w:val="continue"/>
            <w:tcBorders>
              <w:tl2br w:val="nil"/>
              <w:tr2bl w:val="nil"/>
            </w:tcBorders>
            <w:vAlign w:val="center"/>
          </w:tcPr>
          <w:p w14:paraId="5CCC8FC1">
            <w:pPr>
              <w:pStyle w:val="49"/>
              <w:rPr>
                <w:highlight w:val="none"/>
              </w:rPr>
            </w:pPr>
          </w:p>
        </w:tc>
        <w:tc>
          <w:tcPr>
            <w:tcW w:w="1675" w:type="dxa"/>
            <w:tcBorders>
              <w:tl2br w:val="nil"/>
              <w:tr2bl w:val="nil"/>
            </w:tcBorders>
            <w:vAlign w:val="center"/>
          </w:tcPr>
          <w:p w14:paraId="69185122">
            <w:pPr>
              <w:pStyle w:val="49"/>
              <w:rPr>
                <w:highlight w:val="none"/>
              </w:rPr>
            </w:pPr>
            <w:r>
              <w:rPr>
                <w:rFonts w:hint="eastAsia"/>
                <w:highlight w:val="none"/>
              </w:rPr>
              <w:t>打胶</w:t>
            </w:r>
          </w:p>
        </w:tc>
        <w:tc>
          <w:tcPr>
            <w:tcW w:w="1364" w:type="dxa"/>
            <w:tcBorders>
              <w:tl2br w:val="nil"/>
              <w:tr2bl w:val="nil"/>
            </w:tcBorders>
            <w:vAlign w:val="center"/>
          </w:tcPr>
          <w:p w14:paraId="3501EEB6">
            <w:pPr>
              <w:pStyle w:val="49"/>
              <w:rPr>
                <w:highlight w:val="none"/>
              </w:rPr>
            </w:pPr>
            <w:r>
              <w:rPr>
                <w:rFonts w:hint="eastAsia"/>
                <w:highlight w:val="none"/>
              </w:rPr>
              <w:t>窗框与墙面的拼缝打防水胶，打胶通长，饱满，无断裂</w:t>
            </w:r>
          </w:p>
        </w:tc>
        <w:tc>
          <w:tcPr>
            <w:tcW w:w="914" w:type="dxa"/>
            <w:tcBorders>
              <w:tl2br w:val="nil"/>
              <w:tr2bl w:val="nil"/>
            </w:tcBorders>
            <w:vAlign w:val="center"/>
          </w:tcPr>
          <w:p w14:paraId="02C2ECB3">
            <w:pPr>
              <w:pStyle w:val="49"/>
              <w:rPr>
                <w:highlight w:val="none"/>
              </w:rPr>
            </w:pPr>
            <w:r>
              <w:rPr>
                <w:rFonts w:hint="eastAsia"/>
                <w:highlight w:val="none"/>
              </w:rPr>
              <w:t>全数检查</w:t>
            </w:r>
          </w:p>
        </w:tc>
        <w:tc>
          <w:tcPr>
            <w:tcW w:w="1509" w:type="dxa"/>
            <w:tcBorders>
              <w:tl2br w:val="nil"/>
              <w:tr2bl w:val="nil"/>
            </w:tcBorders>
            <w:vAlign w:val="center"/>
          </w:tcPr>
          <w:p w14:paraId="2AFCA702">
            <w:pPr>
              <w:pStyle w:val="49"/>
              <w:rPr>
                <w:highlight w:val="none"/>
              </w:rPr>
            </w:pPr>
            <w:r>
              <w:rPr>
                <w:rFonts w:hint="eastAsia"/>
                <w:highlight w:val="none"/>
              </w:rPr>
              <w:t>观察</w:t>
            </w:r>
          </w:p>
        </w:tc>
      </w:tr>
      <w:tr w14:paraId="39FC2D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l2br w:val="nil"/>
              <w:tr2bl w:val="nil"/>
            </w:tcBorders>
            <w:vAlign w:val="center"/>
          </w:tcPr>
          <w:p w14:paraId="03DF2DA5">
            <w:pPr>
              <w:pStyle w:val="49"/>
              <w:rPr>
                <w:highlight w:val="none"/>
              </w:rPr>
            </w:pPr>
            <w:r>
              <w:rPr>
                <w:rFonts w:hint="eastAsia"/>
                <w:highlight w:val="none"/>
              </w:rPr>
              <w:t>机电线盒</w:t>
            </w:r>
          </w:p>
        </w:tc>
        <w:tc>
          <w:tcPr>
            <w:tcW w:w="1675" w:type="dxa"/>
            <w:tcBorders>
              <w:tl2br w:val="nil"/>
              <w:tr2bl w:val="nil"/>
            </w:tcBorders>
            <w:vAlign w:val="center"/>
          </w:tcPr>
          <w:p w14:paraId="4097C205">
            <w:pPr>
              <w:pStyle w:val="49"/>
              <w:rPr>
                <w:highlight w:val="none"/>
              </w:rPr>
            </w:pPr>
            <w:r>
              <w:rPr>
                <w:rFonts w:hint="eastAsia"/>
                <w:highlight w:val="none"/>
              </w:rPr>
              <w:t>同一室内的底盒标高差</w:t>
            </w:r>
          </w:p>
        </w:tc>
        <w:tc>
          <w:tcPr>
            <w:tcW w:w="1364" w:type="dxa"/>
            <w:tcBorders>
              <w:tl2br w:val="nil"/>
              <w:tr2bl w:val="nil"/>
            </w:tcBorders>
            <w:vAlign w:val="center"/>
          </w:tcPr>
          <w:p w14:paraId="50DC2C67">
            <w:pPr>
              <w:pStyle w:val="49"/>
              <w:rPr>
                <w:highlight w:val="none"/>
              </w:rPr>
            </w:pPr>
            <w:r>
              <w:rPr>
                <w:highlight w:val="none"/>
              </w:rPr>
              <w:t>5mm</w:t>
            </w:r>
          </w:p>
        </w:tc>
        <w:tc>
          <w:tcPr>
            <w:tcW w:w="914" w:type="dxa"/>
            <w:tcBorders>
              <w:tl2br w:val="nil"/>
              <w:tr2bl w:val="nil"/>
            </w:tcBorders>
            <w:vAlign w:val="center"/>
          </w:tcPr>
          <w:p w14:paraId="37D8DF5C">
            <w:pPr>
              <w:pStyle w:val="49"/>
              <w:rPr>
                <w:highlight w:val="none"/>
              </w:rPr>
            </w:pPr>
            <w:r>
              <w:rPr>
                <w:rFonts w:hint="eastAsia"/>
                <w:highlight w:val="none"/>
              </w:rPr>
              <w:t>全数检查</w:t>
            </w:r>
          </w:p>
        </w:tc>
        <w:tc>
          <w:tcPr>
            <w:tcW w:w="1509" w:type="dxa"/>
            <w:tcBorders>
              <w:tl2br w:val="nil"/>
              <w:tr2bl w:val="nil"/>
            </w:tcBorders>
            <w:vAlign w:val="center"/>
          </w:tcPr>
          <w:p w14:paraId="734D56B6">
            <w:pPr>
              <w:pStyle w:val="49"/>
              <w:rPr>
                <w:highlight w:val="none"/>
              </w:rPr>
            </w:pPr>
            <w:r>
              <w:rPr>
                <w:rFonts w:hint="eastAsia"/>
                <w:highlight w:val="none"/>
              </w:rPr>
              <w:t>观察，钢尺检查</w:t>
            </w:r>
          </w:p>
        </w:tc>
      </w:tr>
    </w:tbl>
    <w:p w14:paraId="1716B0D9">
      <w:pPr>
        <w:rPr>
          <w:highlight w:val="none"/>
        </w:rPr>
      </w:pPr>
    </w:p>
    <w:p w14:paraId="53B6381E">
      <w:pPr>
        <w:jc w:val="center"/>
        <w:rPr>
          <w:highlight w:val="none"/>
        </w:rPr>
      </w:pPr>
      <w:r>
        <w:rPr>
          <w:rFonts w:hint="eastAsia" w:ascii="黑体" w:hAnsi="黑体" w:eastAsia="黑体" w:cs="黑体"/>
          <w:sz w:val="18"/>
          <w:szCs w:val="18"/>
          <w:highlight w:val="none"/>
          <w:lang w:val="en-US" w:eastAsia="zh-CN"/>
        </w:rPr>
        <w:t>续</w:t>
      </w:r>
      <w:r>
        <w:rPr>
          <w:rFonts w:hint="eastAsia" w:ascii="黑体" w:hAnsi="黑体" w:eastAsia="黑体" w:cs="黑体"/>
          <w:sz w:val="18"/>
          <w:szCs w:val="18"/>
          <w:highlight w:val="none"/>
        </w:rPr>
        <w:t>表</w:t>
      </w:r>
      <w:r>
        <w:rPr>
          <w:rFonts w:hint="eastAsia"/>
          <w:b/>
          <w:sz w:val="18"/>
          <w:szCs w:val="18"/>
          <w:highlight w:val="none"/>
        </w:rPr>
        <w:t>8.</w:t>
      </w:r>
      <w:r>
        <w:rPr>
          <w:rFonts w:hint="eastAsia"/>
          <w:b/>
          <w:sz w:val="18"/>
          <w:szCs w:val="18"/>
          <w:highlight w:val="none"/>
          <w:lang w:val="en-US" w:eastAsia="zh-CN"/>
        </w:rPr>
        <w:t>6</w:t>
      </w:r>
      <w:r>
        <w:rPr>
          <w:rFonts w:hint="eastAsia"/>
          <w:b/>
          <w:sz w:val="18"/>
          <w:szCs w:val="18"/>
          <w:highlight w:val="none"/>
        </w:rPr>
        <w:t>.7</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675"/>
        <w:gridCol w:w="1364"/>
        <w:gridCol w:w="914"/>
        <w:gridCol w:w="1509"/>
      </w:tblGrid>
      <w:tr w14:paraId="123893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46" w:type="dxa"/>
            <w:gridSpan w:val="2"/>
            <w:tcBorders>
              <w:tl2br w:val="nil"/>
              <w:tr2bl w:val="nil"/>
            </w:tcBorders>
            <w:vAlign w:val="center"/>
          </w:tcPr>
          <w:p w14:paraId="1EEC45A6">
            <w:pPr>
              <w:pStyle w:val="49"/>
              <w:rPr>
                <w:rFonts w:hint="eastAsia"/>
                <w:highlight w:val="none"/>
              </w:rPr>
            </w:pPr>
            <w:r>
              <w:rPr>
                <w:rFonts w:hint="eastAsia"/>
                <w:highlight w:val="none"/>
              </w:rPr>
              <w:t>项目</w:t>
            </w:r>
          </w:p>
        </w:tc>
        <w:tc>
          <w:tcPr>
            <w:tcW w:w="1364" w:type="dxa"/>
            <w:tcBorders>
              <w:tl2br w:val="nil"/>
              <w:tr2bl w:val="nil"/>
            </w:tcBorders>
            <w:vAlign w:val="center"/>
          </w:tcPr>
          <w:p w14:paraId="2D52FB0D">
            <w:pPr>
              <w:pStyle w:val="49"/>
              <w:rPr>
                <w:rFonts w:hint="eastAsia"/>
                <w:highlight w:val="none"/>
              </w:rPr>
            </w:pPr>
            <w:r>
              <w:rPr>
                <w:rFonts w:hint="eastAsia"/>
                <w:highlight w:val="none"/>
              </w:rPr>
              <w:t>合格标准及允许偏差</w:t>
            </w:r>
          </w:p>
        </w:tc>
        <w:tc>
          <w:tcPr>
            <w:tcW w:w="914" w:type="dxa"/>
            <w:tcBorders>
              <w:tl2br w:val="nil"/>
              <w:tr2bl w:val="nil"/>
            </w:tcBorders>
            <w:vAlign w:val="center"/>
          </w:tcPr>
          <w:p w14:paraId="5B6A98E7">
            <w:pPr>
              <w:pStyle w:val="49"/>
              <w:rPr>
                <w:rFonts w:hint="eastAsia"/>
                <w:highlight w:val="none"/>
              </w:rPr>
            </w:pPr>
            <w:r>
              <w:rPr>
                <w:rFonts w:hint="eastAsia"/>
                <w:highlight w:val="none"/>
              </w:rPr>
              <w:t>抽检数量</w:t>
            </w:r>
          </w:p>
        </w:tc>
        <w:tc>
          <w:tcPr>
            <w:tcW w:w="1509" w:type="dxa"/>
            <w:tcBorders>
              <w:tl2br w:val="nil"/>
              <w:tr2bl w:val="nil"/>
            </w:tcBorders>
            <w:vAlign w:val="center"/>
          </w:tcPr>
          <w:p w14:paraId="6E089561">
            <w:pPr>
              <w:pStyle w:val="49"/>
              <w:rPr>
                <w:rFonts w:hint="eastAsia"/>
                <w:highlight w:val="none"/>
              </w:rPr>
            </w:pPr>
            <w:r>
              <w:rPr>
                <w:rFonts w:hint="eastAsia"/>
                <w:highlight w:val="none"/>
              </w:rPr>
              <w:t>检验方法</w:t>
            </w:r>
          </w:p>
        </w:tc>
      </w:tr>
      <w:tr w14:paraId="0A01A5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l2br w:val="nil"/>
              <w:tr2bl w:val="nil"/>
            </w:tcBorders>
            <w:vAlign w:val="center"/>
          </w:tcPr>
          <w:p w14:paraId="4F0DDAE0">
            <w:pPr>
              <w:pStyle w:val="49"/>
              <w:rPr>
                <w:highlight w:val="none"/>
              </w:rPr>
            </w:pPr>
            <w:r>
              <w:rPr>
                <w:rFonts w:hint="eastAsia"/>
                <w:highlight w:val="none"/>
              </w:rPr>
              <w:t>机电线盒</w:t>
            </w:r>
          </w:p>
        </w:tc>
        <w:tc>
          <w:tcPr>
            <w:tcW w:w="1675" w:type="dxa"/>
            <w:tcBorders>
              <w:tl2br w:val="nil"/>
              <w:tr2bl w:val="nil"/>
            </w:tcBorders>
            <w:vAlign w:val="center"/>
          </w:tcPr>
          <w:p w14:paraId="0AFEEAF2">
            <w:pPr>
              <w:pStyle w:val="49"/>
              <w:rPr>
                <w:highlight w:val="none"/>
              </w:rPr>
            </w:pPr>
            <w:r>
              <w:rPr>
                <w:rFonts w:hint="eastAsia"/>
                <w:highlight w:val="none"/>
              </w:rPr>
              <w:t>数量</w:t>
            </w:r>
          </w:p>
        </w:tc>
        <w:tc>
          <w:tcPr>
            <w:tcW w:w="1364" w:type="dxa"/>
            <w:tcBorders>
              <w:tl2br w:val="nil"/>
              <w:tr2bl w:val="nil"/>
            </w:tcBorders>
            <w:vAlign w:val="center"/>
          </w:tcPr>
          <w:p w14:paraId="2F825887">
            <w:pPr>
              <w:pStyle w:val="49"/>
              <w:rPr>
                <w:highlight w:val="none"/>
              </w:rPr>
            </w:pPr>
            <w:r>
              <w:rPr>
                <w:rFonts w:hint="eastAsia"/>
                <w:highlight w:val="none"/>
              </w:rPr>
              <w:t>符合图纸数量</w:t>
            </w:r>
          </w:p>
        </w:tc>
        <w:tc>
          <w:tcPr>
            <w:tcW w:w="914" w:type="dxa"/>
            <w:tcBorders>
              <w:tl2br w:val="nil"/>
              <w:tr2bl w:val="nil"/>
            </w:tcBorders>
            <w:vAlign w:val="center"/>
          </w:tcPr>
          <w:p w14:paraId="0203F40B">
            <w:pPr>
              <w:pStyle w:val="49"/>
              <w:rPr>
                <w:highlight w:val="none"/>
              </w:rPr>
            </w:pPr>
            <w:r>
              <w:rPr>
                <w:rFonts w:hint="eastAsia"/>
                <w:highlight w:val="none"/>
              </w:rPr>
              <w:t>全数检查</w:t>
            </w:r>
          </w:p>
        </w:tc>
        <w:tc>
          <w:tcPr>
            <w:tcW w:w="1509" w:type="dxa"/>
            <w:tcBorders>
              <w:tl2br w:val="nil"/>
              <w:tr2bl w:val="nil"/>
            </w:tcBorders>
            <w:vAlign w:val="center"/>
          </w:tcPr>
          <w:p w14:paraId="775B3D96">
            <w:pPr>
              <w:pStyle w:val="49"/>
              <w:rPr>
                <w:highlight w:val="none"/>
              </w:rPr>
            </w:pPr>
            <w:r>
              <w:rPr>
                <w:rFonts w:hint="eastAsia"/>
                <w:highlight w:val="none"/>
              </w:rPr>
              <w:t>根据图纸查验</w:t>
            </w:r>
          </w:p>
        </w:tc>
      </w:tr>
      <w:tr w14:paraId="7CBA56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tcBorders>
              <w:tl2br w:val="nil"/>
              <w:tr2bl w:val="nil"/>
            </w:tcBorders>
            <w:vAlign w:val="center"/>
          </w:tcPr>
          <w:p w14:paraId="1E8CEC74">
            <w:pPr>
              <w:pStyle w:val="49"/>
              <w:rPr>
                <w:highlight w:val="none"/>
              </w:rPr>
            </w:pPr>
            <w:r>
              <w:rPr>
                <w:rFonts w:hint="eastAsia"/>
                <w:highlight w:val="none"/>
              </w:rPr>
              <w:t>幕墙</w:t>
            </w:r>
          </w:p>
        </w:tc>
        <w:tc>
          <w:tcPr>
            <w:tcW w:w="1675" w:type="dxa"/>
            <w:tcBorders>
              <w:tl2br w:val="nil"/>
              <w:tr2bl w:val="nil"/>
            </w:tcBorders>
            <w:vAlign w:val="center"/>
          </w:tcPr>
          <w:p w14:paraId="292B4F03">
            <w:pPr>
              <w:pStyle w:val="49"/>
              <w:rPr>
                <w:highlight w:val="none"/>
              </w:rPr>
            </w:pPr>
            <w:r>
              <w:rPr>
                <w:rFonts w:hint="eastAsia"/>
                <w:highlight w:val="none"/>
              </w:rPr>
              <w:t>金属幕墙立柱、横梁安装偏差</w:t>
            </w:r>
          </w:p>
        </w:tc>
        <w:tc>
          <w:tcPr>
            <w:tcW w:w="1364" w:type="dxa"/>
            <w:tcBorders>
              <w:tl2br w:val="nil"/>
              <w:tr2bl w:val="nil"/>
            </w:tcBorders>
            <w:vAlign w:val="center"/>
          </w:tcPr>
          <w:p w14:paraId="77C179F0">
            <w:pPr>
              <w:pStyle w:val="49"/>
              <w:rPr>
                <w:highlight w:val="none"/>
              </w:rPr>
            </w:pPr>
            <w:r>
              <w:rPr>
                <w:rFonts w:hint="eastAsia"/>
                <w:highlight w:val="none"/>
              </w:rPr>
              <w:t>≤3mm</w:t>
            </w:r>
          </w:p>
        </w:tc>
        <w:tc>
          <w:tcPr>
            <w:tcW w:w="914" w:type="dxa"/>
            <w:tcBorders>
              <w:tl2br w:val="nil"/>
              <w:tr2bl w:val="nil"/>
            </w:tcBorders>
            <w:vAlign w:val="center"/>
          </w:tcPr>
          <w:p w14:paraId="5B11F573">
            <w:pPr>
              <w:pStyle w:val="49"/>
              <w:rPr>
                <w:highlight w:val="none"/>
              </w:rPr>
            </w:pPr>
            <w:r>
              <w:rPr>
                <w:rFonts w:hint="eastAsia"/>
                <w:highlight w:val="none"/>
              </w:rPr>
              <w:t>全数检查</w:t>
            </w:r>
          </w:p>
        </w:tc>
        <w:tc>
          <w:tcPr>
            <w:tcW w:w="1509" w:type="dxa"/>
            <w:tcBorders>
              <w:tl2br w:val="nil"/>
              <w:tr2bl w:val="nil"/>
            </w:tcBorders>
            <w:vAlign w:val="center"/>
          </w:tcPr>
          <w:p w14:paraId="3912FA43">
            <w:pPr>
              <w:pStyle w:val="49"/>
              <w:rPr>
                <w:highlight w:val="none"/>
              </w:rPr>
            </w:pPr>
            <w:r>
              <w:rPr>
                <w:rFonts w:hint="eastAsia"/>
                <w:highlight w:val="none"/>
              </w:rPr>
              <w:t>观察，钢尺检查</w:t>
            </w:r>
          </w:p>
        </w:tc>
      </w:tr>
      <w:tr w14:paraId="11FA70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tcBorders>
              <w:tl2br w:val="nil"/>
              <w:tr2bl w:val="nil"/>
            </w:tcBorders>
            <w:vAlign w:val="center"/>
          </w:tcPr>
          <w:p w14:paraId="30D9AD2D">
            <w:pPr>
              <w:pStyle w:val="49"/>
              <w:rPr>
                <w:highlight w:val="none"/>
              </w:rPr>
            </w:pPr>
          </w:p>
        </w:tc>
        <w:tc>
          <w:tcPr>
            <w:tcW w:w="1675" w:type="dxa"/>
            <w:tcBorders>
              <w:tl2br w:val="nil"/>
              <w:tr2bl w:val="nil"/>
            </w:tcBorders>
            <w:vAlign w:val="center"/>
          </w:tcPr>
          <w:p w14:paraId="58539747">
            <w:pPr>
              <w:pStyle w:val="49"/>
              <w:rPr>
                <w:highlight w:val="none"/>
              </w:rPr>
            </w:pPr>
            <w:r>
              <w:rPr>
                <w:rFonts w:hint="eastAsia"/>
                <w:highlight w:val="none"/>
              </w:rPr>
              <w:t>幕墙垂直度</w:t>
            </w:r>
          </w:p>
        </w:tc>
        <w:tc>
          <w:tcPr>
            <w:tcW w:w="1364" w:type="dxa"/>
            <w:tcBorders>
              <w:tl2br w:val="nil"/>
              <w:tr2bl w:val="nil"/>
            </w:tcBorders>
            <w:vAlign w:val="center"/>
          </w:tcPr>
          <w:p w14:paraId="22F35252">
            <w:pPr>
              <w:pStyle w:val="49"/>
              <w:rPr>
                <w:highlight w:val="none"/>
              </w:rPr>
            </w:pPr>
            <w:r>
              <w:rPr>
                <w:rFonts w:hint="eastAsia"/>
                <w:highlight w:val="none"/>
              </w:rPr>
              <w:t>≤2mm</w:t>
            </w:r>
          </w:p>
        </w:tc>
        <w:tc>
          <w:tcPr>
            <w:tcW w:w="914" w:type="dxa"/>
            <w:tcBorders>
              <w:tl2br w:val="nil"/>
              <w:tr2bl w:val="nil"/>
            </w:tcBorders>
            <w:vAlign w:val="center"/>
          </w:tcPr>
          <w:p w14:paraId="59C348AE">
            <w:pPr>
              <w:pStyle w:val="49"/>
              <w:rPr>
                <w:highlight w:val="none"/>
              </w:rPr>
            </w:pPr>
            <w:r>
              <w:rPr>
                <w:rFonts w:hint="eastAsia"/>
                <w:highlight w:val="none"/>
              </w:rPr>
              <w:t>全数检查</w:t>
            </w:r>
          </w:p>
        </w:tc>
        <w:tc>
          <w:tcPr>
            <w:tcW w:w="1509" w:type="dxa"/>
            <w:tcBorders>
              <w:tl2br w:val="nil"/>
              <w:tr2bl w:val="nil"/>
            </w:tcBorders>
            <w:vAlign w:val="center"/>
          </w:tcPr>
          <w:p w14:paraId="645B6B79">
            <w:pPr>
              <w:pStyle w:val="49"/>
              <w:rPr>
                <w:highlight w:val="none"/>
              </w:rPr>
            </w:pPr>
            <w:r>
              <w:rPr>
                <w:rFonts w:hint="eastAsia"/>
                <w:highlight w:val="none"/>
              </w:rPr>
              <w:t>激光经纬仪或经纬仪</w:t>
            </w:r>
          </w:p>
        </w:tc>
      </w:tr>
      <w:tr w14:paraId="0CE3E9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tcBorders>
              <w:tl2br w:val="nil"/>
              <w:tr2bl w:val="nil"/>
            </w:tcBorders>
            <w:vAlign w:val="center"/>
          </w:tcPr>
          <w:p w14:paraId="5AAC3D76">
            <w:pPr>
              <w:pStyle w:val="49"/>
              <w:rPr>
                <w:highlight w:val="none"/>
              </w:rPr>
            </w:pPr>
          </w:p>
        </w:tc>
        <w:tc>
          <w:tcPr>
            <w:tcW w:w="1675" w:type="dxa"/>
            <w:tcBorders>
              <w:tl2br w:val="nil"/>
              <w:tr2bl w:val="nil"/>
            </w:tcBorders>
            <w:vAlign w:val="center"/>
          </w:tcPr>
          <w:p w14:paraId="523636D5">
            <w:pPr>
              <w:pStyle w:val="49"/>
              <w:rPr>
                <w:highlight w:val="none"/>
              </w:rPr>
            </w:pPr>
            <w:r>
              <w:rPr>
                <w:rFonts w:hint="eastAsia"/>
                <w:highlight w:val="none"/>
              </w:rPr>
              <w:t>竖向板材直线度</w:t>
            </w:r>
          </w:p>
        </w:tc>
        <w:tc>
          <w:tcPr>
            <w:tcW w:w="1364" w:type="dxa"/>
            <w:tcBorders>
              <w:tl2br w:val="nil"/>
              <w:tr2bl w:val="nil"/>
            </w:tcBorders>
            <w:vAlign w:val="center"/>
          </w:tcPr>
          <w:p w14:paraId="0D4773F5">
            <w:pPr>
              <w:pStyle w:val="49"/>
              <w:rPr>
                <w:highlight w:val="none"/>
              </w:rPr>
            </w:pPr>
            <w:r>
              <w:rPr>
                <w:rFonts w:hint="eastAsia"/>
                <w:highlight w:val="none"/>
              </w:rPr>
              <w:t>竖向板材直线度</w:t>
            </w:r>
            <w:r>
              <w:rPr>
                <w:highlight w:val="none"/>
              </w:rPr>
              <w:t xml:space="preserve"> </w:t>
            </w:r>
            <w:r>
              <w:rPr>
                <w:rFonts w:hint="eastAsia"/>
                <w:highlight w:val="none"/>
              </w:rPr>
              <w:t>≤3mm</w:t>
            </w:r>
          </w:p>
        </w:tc>
        <w:tc>
          <w:tcPr>
            <w:tcW w:w="914" w:type="dxa"/>
            <w:tcBorders>
              <w:tl2br w:val="nil"/>
              <w:tr2bl w:val="nil"/>
            </w:tcBorders>
            <w:vAlign w:val="center"/>
          </w:tcPr>
          <w:p w14:paraId="15B99B0A">
            <w:pPr>
              <w:pStyle w:val="49"/>
              <w:rPr>
                <w:highlight w:val="none"/>
              </w:rPr>
            </w:pPr>
            <w:r>
              <w:rPr>
                <w:rFonts w:hint="eastAsia"/>
                <w:highlight w:val="none"/>
              </w:rPr>
              <w:t>全数检查</w:t>
            </w:r>
          </w:p>
        </w:tc>
        <w:tc>
          <w:tcPr>
            <w:tcW w:w="1509" w:type="dxa"/>
            <w:tcBorders>
              <w:tl2br w:val="nil"/>
              <w:tr2bl w:val="nil"/>
            </w:tcBorders>
            <w:vAlign w:val="center"/>
          </w:tcPr>
          <w:p w14:paraId="46B369D4">
            <w:pPr>
              <w:pStyle w:val="49"/>
              <w:rPr>
                <w:highlight w:val="none"/>
              </w:rPr>
            </w:pPr>
            <w:r>
              <w:rPr>
                <w:rFonts w:hint="eastAsia"/>
                <w:highlight w:val="none"/>
              </w:rPr>
              <w:t>靠尺、塞尺</w:t>
            </w:r>
          </w:p>
        </w:tc>
      </w:tr>
      <w:tr w14:paraId="0EBED6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tcBorders>
              <w:tl2br w:val="nil"/>
              <w:tr2bl w:val="nil"/>
            </w:tcBorders>
            <w:vAlign w:val="center"/>
          </w:tcPr>
          <w:p w14:paraId="571C8BD3">
            <w:pPr>
              <w:pStyle w:val="49"/>
              <w:rPr>
                <w:highlight w:val="none"/>
              </w:rPr>
            </w:pPr>
          </w:p>
        </w:tc>
        <w:tc>
          <w:tcPr>
            <w:tcW w:w="1675" w:type="dxa"/>
            <w:tcBorders>
              <w:tl2br w:val="nil"/>
              <w:tr2bl w:val="nil"/>
            </w:tcBorders>
            <w:vAlign w:val="center"/>
          </w:tcPr>
          <w:p w14:paraId="7BB4500E">
            <w:pPr>
              <w:pStyle w:val="49"/>
              <w:rPr>
                <w:highlight w:val="none"/>
              </w:rPr>
            </w:pPr>
            <w:r>
              <w:rPr>
                <w:rFonts w:hint="eastAsia"/>
                <w:highlight w:val="none"/>
              </w:rPr>
              <w:t>横向板材水平度不大于2000mm</w:t>
            </w:r>
          </w:p>
        </w:tc>
        <w:tc>
          <w:tcPr>
            <w:tcW w:w="1364" w:type="dxa"/>
            <w:tcBorders>
              <w:tl2br w:val="nil"/>
              <w:tr2bl w:val="nil"/>
            </w:tcBorders>
            <w:vAlign w:val="center"/>
          </w:tcPr>
          <w:p w14:paraId="3FC28DA0">
            <w:pPr>
              <w:pStyle w:val="49"/>
              <w:rPr>
                <w:highlight w:val="none"/>
              </w:rPr>
            </w:pPr>
            <w:r>
              <w:rPr>
                <w:rFonts w:hint="eastAsia"/>
                <w:highlight w:val="none"/>
              </w:rPr>
              <w:t>≤2mm</w:t>
            </w:r>
          </w:p>
        </w:tc>
        <w:tc>
          <w:tcPr>
            <w:tcW w:w="914" w:type="dxa"/>
            <w:tcBorders>
              <w:tl2br w:val="nil"/>
              <w:tr2bl w:val="nil"/>
            </w:tcBorders>
            <w:vAlign w:val="center"/>
          </w:tcPr>
          <w:p w14:paraId="4977CFA1">
            <w:pPr>
              <w:pStyle w:val="49"/>
              <w:rPr>
                <w:highlight w:val="none"/>
              </w:rPr>
            </w:pPr>
            <w:r>
              <w:rPr>
                <w:rFonts w:hint="eastAsia"/>
                <w:highlight w:val="none"/>
              </w:rPr>
              <w:t>全数检查</w:t>
            </w:r>
          </w:p>
        </w:tc>
        <w:tc>
          <w:tcPr>
            <w:tcW w:w="1509" w:type="dxa"/>
            <w:tcBorders>
              <w:tl2br w:val="nil"/>
              <w:tr2bl w:val="nil"/>
            </w:tcBorders>
            <w:vAlign w:val="center"/>
          </w:tcPr>
          <w:p w14:paraId="3ACDE030">
            <w:pPr>
              <w:pStyle w:val="49"/>
              <w:rPr>
                <w:highlight w:val="none"/>
              </w:rPr>
            </w:pPr>
            <w:r>
              <w:rPr>
                <w:rFonts w:hint="eastAsia"/>
                <w:highlight w:val="none"/>
              </w:rPr>
              <w:t>水平仪</w:t>
            </w:r>
          </w:p>
        </w:tc>
      </w:tr>
      <w:tr w14:paraId="463804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671" w:type="dxa"/>
            <w:vMerge w:val="continue"/>
            <w:tcBorders>
              <w:tl2br w:val="nil"/>
              <w:tr2bl w:val="nil"/>
            </w:tcBorders>
            <w:vAlign w:val="center"/>
          </w:tcPr>
          <w:p w14:paraId="7EC64A6E">
            <w:pPr>
              <w:pStyle w:val="49"/>
              <w:rPr>
                <w:highlight w:val="none"/>
              </w:rPr>
            </w:pPr>
          </w:p>
        </w:tc>
        <w:tc>
          <w:tcPr>
            <w:tcW w:w="1675" w:type="dxa"/>
            <w:tcBorders>
              <w:tl2br w:val="nil"/>
              <w:tr2bl w:val="nil"/>
            </w:tcBorders>
            <w:vAlign w:val="center"/>
          </w:tcPr>
          <w:p w14:paraId="46535C4A">
            <w:pPr>
              <w:pStyle w:val="49"/>
              <w:rPr>
                <w:highlight w:val="none"/>
              </w:rPr>
            </w:pPr>
            <w:r>
              <w:rPr>
                <w:rFonts w:hint="eastAsia"/>
                <w:highlight w:val="none"/>
              </w:rPr>
              <w:t>同高度相邻两根横向构件高度差</w:t>
            </w:r>
          </w:p>
        </w:tc>
        <w:tc>
          <w:tcPr>
            <w:tcW w:w="1364" w:type="dxa"/>
            <w:tcBorders>
              <w:tl2br w:val="nil"/>
              <w:tr2bl w:val="nil"/>
            </w:tcBorders>
            <w:vAlign w:val="center"/>
          </w:tcPr>
          <w:p w14:paraId="31AEFA9B">
            <w:pPr>
              <w:pStyle w:val="49"/>
              <w:rPr>
                <w:highlight w:val="none"/>
              </w:rPr>
            </w:pPr>
            <w:r>
              <w:rPr>
                <w:rFonts w:hint="eastAsia"/>
                <w:highlight w:val="none"/>
              </w:rPr>
              <w:t>≤1mm</w:t>
            </w:r>
          </w:p>
        </w:tc>
        <w:tc>
          <w:tcPr>
            <w:tcW w:w="914" w:type="dxa"/>
            <w:tcBorders>
              <w:tl2br w:val="nil"/>
              <w:tr2bl w:val="nil"/>
            </w:tcBorders>
            <w:vAlign w:val="center"/>
          </w:tcPr>
          <w:p w14:paraId="1E3E7C69">
            <w:pPr>
              <w:pStyle w:val="49"/>
              <w:rPr>
                <w:highlight w:val="none"/>
              </w:rPr>
            </w:pPr>
            <w:r>
              <w:rPr>
                <w:rFonts w:hint="eastAsia"/>
                <w:highlight w:val="none"/>
              </w:rPr>
              <w:t>全数检查</w:t>
            </w:r>
          </w:p>
        </w:tc>
        <w:tc>
          <w:tcPr>
            <w:tcW w:w="1509" w:type="dxa"/>
            <w:tcBorders>
              <w:tl2br w:val="nil"/>
              <w:tr2bl w:val="nil"/>
            </w:tcBorders>
            <w:vAlign w:val="center"/>
          </w:tcPr>
          <w:p w14:paraId="20D6C38D">
            <w:pPr>
              <w:pStyle w:val="49"/>
              <w:rPr>
                <w:highlight w:val="none"/>
              </w:rPr>
            </w:pPr>
            <w:r>
              <w:rPr>
                <w:rFonts w:hint="eastAsia"/>
                <w:highlight w:val="none"/>
              </w:rPr>
              <w:t>钢板尺、塞尺</w:t>
            </w:r>
          </w:p>
        </w:tc>
      </w:tr>
      <w:tr w14:paraId="509BE0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tcBorders>
              <w:tl2br w:val="nil"/>
              <w:tr2bl w:val="nil"/>
            </w:tcBorders>
            <w:vAlign w:val="center"/>
          </w:tcPr>
          <w:p w14:paraId="4500B30C">
            <w:pPr>
              <w:pStyle w:val="49"/>
              <w:rPr>
                <w:highlight w:val="none"/>
              </w:rPr>
            </w:pPr>
          </w:p>
        </w:tc>
        <w:tc>
          <w:tcPr>
            <w:tcW w:w="1675" w:type="dxa"/>
            <w:tcBorders>
              <w:tl2br w:val="nil"/>
              <w:tr2bl w:val="nil"/>
            </w:tcBorders>
            <w:vAlign w:val="center"/>
          </w:tcPr>
          <w:p w14:paraId="19A8C19E">
            <w:pPr>
              <w:pStyle w:val="49"/>
              <w:rPr>
                <w:highlight w:val="none"/>
              </w:rPr>
            </w:pPr>
            <w:r>
              <w:rPr>
                <w:rFonts w:hint="eastAsia"/>
                <w:highlight w:val="none"/>
              </w:rPr>
              <w:t>幕墙横向水平度，不大于</w:t>
            </w:r>
            <w:r>
              <w:rPr>
                <w:highlight w:val="none"/>
              </w:rPr>
              <w:t xml:space="preserve"> 3m </w:t>
            </w:r>
            <w:r>
              <w:rPr>
                <w:rFonts w:hint="eastAsia"/>
                <w:highlight w:val="none"/>
              </w:rPr>
              <w:t>的层高</w:t>
            </w:r>
          </w:p>
        </w:tc>
        <w:tc>
          <w:tcPr>
            <w:tcW w:w="1364" w:type="dxa"/>
            <w:tcBorders>
              <w:tl2br w:val="nil"/>
              <w:tr2bl w:val="nil"/>
            </w:tcBorders>
            <w:vAlign w:val="center"/>
          </w:tcPr>
          <w:p w14:paraId="0AFB2E1E">
            <w:pPr>
              <w:pStyle w:val="49"/>
              <w:rPr>
                <w:highlight w:val="none"/>
              </w:rPr>
            </w:pPr>
            <w:r>
              <w:rPr>
                <w:rFonts w:hint="eastAsia"/>
                <w:highlight w:val="none"/>
              </w:rPr>
              <w:t>≤3mm</w:t>
            </w:r>
          </w:p>
        </w:tc>
        <w:tc>
          <w:tcPr>
            <w:tcW w:w="914" w:type="dxa"/>
            <w:tcBorders>
              <w:tl2br w:val="nil"/>
              <w:tr2bl w:val="nil"/>
            </w:tcBorders>
            <w:vAlign w:val="center"/>
          </w:tcPr>
          <w:p w14:paraId="1A06103D">
            <w:pPr>
              <w:pStyle w:val="49"/>
              <w:rPr>
                <w:highlight w:val="none"/>
              </w:rPr>
            </w:pPr>
            <w:r>
              <w:rPr>
                <w:rFonts w:hint="eastAsia"/>
                <w:highlight w:val="none"/>
              </w:rPr>
              <w:t>全数检查</w:t>
            </w:r>
          </w:p>
        </w:tc>
        <w:tc>
          <w:tcPr>
            <w:tcW w:w="1509" w:type="dxa"/>
            <w:tcBorders>
              <w:tl2br w:val="nil"/>
              <w:tr2bl w:val="nil"/>
            </w:tcBorders>
            <w:vAlign w:val="center"/>
          </w:tcPr>
          <w:p w14:paraId="1B4032A4">
            <w:pPr>
              <w:pStyle w:val="49"/>
              <w:rPr>
                <w:highlight w:val="none"/>
              </w:rPr>
            </w:pPr>
            <w:r>
              <w:rPr>
                <w:rFonts w:hint="eastAsia"/>
                <w:highlight w:val="none"/>
              </w:rPr>
              <w:t>水平仪</w:t>
            </w:r>
          </w:p>
        </w:tc>
      </w:tr>
      <w:tr w14:paraId="494FB1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tcBorders>
              <w:tl2br w:val="nil"/>
              <w:tr2bl w:val="nil"/>
            </w:tcBorders>
            <w:vAlign w:val="center"/>
          </w:tcPr>
          <w:p w14:paraId="50F44422">
            <w:pPr>
              <w:pStyle w:val="49"/>
              <w:rPr>
                <w:highlight w:val="none"/>
              </w:rPr>
            </w:pPr>
          </w:p>
        </w:tc>
        <w:tc>
          <w:tcPr>
            <w:tcW w:w="1675" w:type="dxa"/>
            <w:tcBorders>
              <w:tl2br w:val="nil"/>
              <w:tr2bl w:val="nil"/>
            </w:tcBorders>
            <w:vAlign w:val="center"/>
          </w:tcPr>
          <w:p w14:paraId="29B4EB99">
            <w:pPr>
              <w:pStyle w:val="49"/>
              <w:rPr>
                <w:highlight w:val="none"/>
              </w:rPr>
            </w:pPr>
            <w:r>
              <w:rPr>
                <w:rFonts w:hint="eastAsia"/>
                <w:highlight w:val="none"/>
              </w:rPr>
              <w:t>幕墙横向水平度，大于</w:t>
            </w:r>
            <w:r>
              <w:rPr>
                <w:highlight w:val="none"/>
              </w:rPr>
              <w:t xml:space="preserve"> 3m </w:t>
            </w:r>
            <w:r>
              <w:rPr>
                <w:rFonts w:hint="eastAsia"/>
                <w:highlight w:val="none"/>
              </w:rPr>
              <w:t>的层高</w:t>
            </w:r>
          </w:p>
        </w:tc>
        <w:tc>
          <w:tcPr>
            <w:tcW w:w="1364" w:type="dxa"/>
            <w:tcBorders>
              <w:tl2br w:val="nil"/>
              <w:tr2bl w:val="nil"/>
            </w:tcBorders>
            <w:vAlign w:val="center"/>
          </w:tcPr>
          <w:p w14:paraId="534703C1">
            <w:pPr>
              <w:pStyle w:val="49"/>
              <w:rPr>
                <w:highlight w:val="none"/>
              </w:rPr>
            </w:pPr>
            <w:r>
              <w:rPr>
                <w:rFonts w:hint="eastAsia"/>
                <w:highlight w:val="none"/>
              </w:rPr>
              <w:t>≤5mm</w:t>
            </w:r>
          </w:p>
        </w:tc>
        <w:tc>
          <w:tcPr>
            <w:tcW w:w="914" w:type="dxa"/>
            <w:tcBorders>
              <w:tl2br w:val="nil"/>
              <w:tr2bl w:val="nil"/>
            </w:tcBorders>
            <w:vAlign w:val="center"/>
          </w:tcPr>
          <w:p w14:paraId="7E0F4D5E">
            <w:pPr>
              <w:pStyle w:val="49"/>
              <w:rPr>
                <w:highlight w:val="none"/>
              </w:rPr>
            </w:pPr>
            <w:r>
              <w:rPr>
                <w:rFonts w:hint="eastAsia"/>
                <w:highlight w:val="none"/>
              </w:rPr>
              <w:t>全数检查</w:t>
            </w:r>
          </w:p>
        </w:tc>
        <w:tc>
          <w:tcPr>
            <w:tcW w:w="1509" w:type="dxa"/>
            <w:tcBorders>
              <w:tl2br w:val="nil"/>
              <w:tr2bl w:val="nil"/>
            </w:tcBorders>
            <w:vAlign w:val="center"/>
          </w:tcPr>
          <w:p w14:paraId="6F39B7C7">
            <w:pPr>
              <w:pStyle w:val="49"/>
              <w:rPr>
                <w:highlight w:val="none"/>
              </w:rPr>
            </w:pPr>
            <w:r>
              <w:rPr>
                <w:rFonts w:hint="eastAsia"/>
                <w:highlight w:val="none"/>
              </w:rPr>
              <w:t>水平仪</w:t>
            </w:r>
          </w:p>
        </w:tc>
      </w:tr>
      <w:tr w14:paraId="3589FE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671" w:type="dxa"/>
            <w:vMerge w:val="restart"/>
            <w:tcBorders>
              <w:tl2br w:val="nil"/>
              <w:tr2bl w:val="nil"/>
            </w:tcBorders>
            <w:vAlign w:val="center"/>
          </w:tcPr>
          <w:p w14:paraId="4B36E748">
            <w:pPr>
              <w:pStyle w:val="49"/>
              <w:rPr>
                <w:highlight w:val="none"/>
              </w:rPr>
            </w:pPr>
            <w:r>
              <w:rPr>
                <w:rFonts w:hint="eastAsia"/>
                <w:highlight w:val="none"/>
              </w:rPr>
              <w:t>涂饰</w:t>
            </w:r>
          </w:p>
        </w:tc>
        <w:tc>
          <w:tcPr>
            <w:tcW w:w="1675" w:type="dxa"/>
            <w:tcBorders>
              <w:tl2br w:val="nil"/>
              <w:tr2bl w:val="nil"/>
            </w:tcBorders>
            <w:vAlign w:val="center"/>
          </w:tcPr>
          <w:p w14:paraId="4643AFA6">
            <w:pPr>
              <w:pStyle w:val="49"/>
              <w:rPr>
                <w:highlight w:val="none"/>
              </w:rPr>
            </w:pPr>
            <w:r>
              <w:rPr>
                <w:rFonts w:hint="eastAsia"/>
                <w:highlight w:val="none"/>
              </w:rPr>
              <w:t>颜色</w:t>
            </w:r>
          </w:p>
        </w:tc>
        <w:tc>
          <w:tcPr>
            <w:tcW w:w="1364" w:type="dxa"/>
            <w:tcBorders>
              <w:tl2br w:val="nil"/>
              <w:tr2bl w:val="nil"/>
            </w:tcBorders>
            <w:vAlign w:val="center"/>
          </w:tcPr>
          <w:p w14:paraId="6AE75DA0">
            <w:pPr>
              <w:pStyle w:val="49"/>
              <w:rPr>
                <w:highlight w:val="none"/>
              </w:rPr>
            </w:pPr>
            <w:r>
              <w:rPr>
                <w:rFonts w:hint="eastAsia"/>
                <w:highlight w:val="none"/>
              </w:rPr>
              <w:t>均匀一致</w:t>
            </w:r>
          </w:p>
        </w:tc>
        <w:tc>
          <w:tcPr>
            <w:tcW w:w="914" w:type="dxa"/>
            <w:tcBorders>
              <w:tl2br w:val="nil"/>
              <w:tr2bl w:val="nil"/>
            </w:tcBorders>
            <w:vAlign w:val="center"/>
          </w:tcPr>
          <w:p w14:paraId="72166158">
            <w:pPr>
              <w:pStyle w:val="49"/>
              <w:rPr>
                <w:highlight w:val="none"/>
              </w:rPr>
            </w:pPr>
            <w:r>
              <w:rPr>
                <w:rFonts w:hint="eastAsia"/>
                <w:highlight w:val="none"/>
              </w:rPr>
              <w:t>全数检查</w:t>
            </w:r>
          </w:p>
        </w:tc>
        <w:tc>
          <w:tcPr>
            <w:tcW w:w="1509" w:type="dxa"/>
            <w:vMerge w:val="restart"/>
            <w:tcBorders>
              <w:tl2br w:val="nil"/>
              <w:tr2bl w:val="nil"/>
            </w:tcBorders>
            <w:vAlign w:val="center"/>
          </w:tcPr>
          <w:p w14:paraId="59DFD176">
            <w:pPr>
              <w:pStyle w:val="49"/>
              <w:rPr>
                <w:highlight w:val="none"/>
              </w:rPr>
            </w:pPr>
            <w:r>
              <w:rPr>
                <w:rFonts w:hint="eastAsia"/>
                <w:highlight w:val="none"/>
              </w:rPr>
              <w:t>观察</w:t>
            </w:r>
          </w:p>
        </w:tc>
      </w:tr>
      <w:tr w14:paraId="2C929F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tcBorders>
              <w:tl2br w:val="nil"/>
              <w:tr2bl w:val="nil"/>
            </w:tcBorders>
            <w:vAlign w:val="center"/>
          </w:tcPr>
          <w:p w14:paraId="4ED06D0A">
            <w:pPr>
              <w:pStyle w:val="49"/>
              <w:rPr>
                <w:highlight w:val="none"/>
              </w:rPr>
            </w:pPr>
          </w:p>
        </w:tc>
        <w:tc>
          <w:tcPr>
            <w:tcW w:w="1675" w:type="dxa"/>
            <w:tcBorders>
              <w:tl2br w:val="nil"/>
              <w:tr2bl w:val="nil"/>
            </w:tcBorders>
            <w:vAlign w:val="center"/>
          </w:tcPr>
          <w:p w14:paraId="0C4E4336">
            <w:pPr>
              <w:pStyle w:val="49"/>
              <w:rPr>
                <w:highlight w:val="none"/>
              </w:rPr>
            </w:pPr>
            <w:r>
              <w:rPr>
                <w:rFonts w:hint="eastAsia"/>
                <w:highlight w:val="none"/>
              </w:rPr>
              <w:t>光泽、光滑</w:t>
            </w:r>
          </w:p>
        </w:tc>
        <w:tc>
          <w:tcPr>
            <w:tcW w:w="1364" w:type="dxa"/>
            <w:tcBorders>
              <w:tl2br w:val="nil"/>
              <w:tr2bl w:val="nil"/>
            </w:tcBorders>
            <w:vAlign w:val="center"/>
          </w:tcPr>
          <w:p w14:paraId="40B48BB4">
            <w:pPr>
              <w:pStyle w:val="49"/>
              <w:rPr>
                <w:highlight w:val="none"/>
              </w:rPr>
            </w:pPr>
            <w:r>
              <w:rPr>
                <w:rFonts w:hint="eastAsia"/>
                <w:highlight w:val="none"/>
              </w:rPr>
              <w:t>光泽均匀，光滑无挡手感</w:t>
            </w:r>
          </w:p>
        </w:tc>
        <w:tc>
          <w:tcPr>
            <w:tcW w:w="914" w:type="dxa"/>
            <w:tcBorders>
              <w:tl2br w:val="nil"/>
              <w:tr2bl w:val="nil"/>
            </w:tcBorders>
            <w:vAlign w:val="center"/>
          </w:tcPr>
          <w:p w14:paraId="47BC687C">
            <w:pPr>
              <w:pStyle w:val="49"/>
              <w:rPr>
                <w:highlight w:val="none"/>
              </w:rPr>
            </w:pPr>
            <w:r>
              <w:rPr>
                <w:rFonts w:hint="eastAsia"/>
                <w:highlight w:val="none"/>
              </w:rPr>
              <w:t>全数检查</w:t>
            </w:r>
          </w:p>
        </w:tc>
        <w:tc>
          <w:tcPr>
            <w:tcW w:w="1509" w:type="dxa"/>
            <w:vMerge w:val="continue"/>
            <w:tcBorders>
              <w:tl2br w:val="nil"/>
              <w:tr2bl w:val="nil"/>
            </w:tcBorders>
            <w:vAlign w:val="center"/>
          </w:tcPr>
          <w:p w14:paraId="55F049AB">
            <w:pPr>
              <w:pStyle w:val="49"/>
              <w:rPr>
                <w:highlight w:val="none"/>
              </w:rPr>
            </w:pPr>
          </w:p>
        </w:tc>
      </w:tr>
      <w:tr w14:paraId="0C19FC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tcBorders>
              <w:tl2br w:val="nil"/>
              <w:tr2bl w:val="nil"/>
            </w:tcBorders>
            <w:vAlign w:val="center"/>
          </w:tcPr>
          <w:p w14:paraId="55CB6E72">
            <w:pPr>
              <w:pStyle w:val="49"/>
              <w:rPr>
                <w:highlight w:val="none"/>
              </w:rPr>
            </w:pPr>
          </w:p>
        </w:tc>
        <w:tc>
          <w:tcPr>
            <w:tcW w:w="1675" w:type="dxa"/>
            <w:tcBorders>
              <w:tl2br w:val="nil"/>
              <w:tr2bl w:val="nil"/>
            </w:tcBorders>
            <w:vAlign w:val="center"/>
          </w:tcPr>
          <w:p w14:paraId="6ED46805">
            <w:pPr>
              <w:pStyle w:val="49"/>
              <w:rPr>
                <w:highlight w:val="none"/>
              </w:rPr>
            </w:pPr>
            <w:r>
              <w:rPr>
                <w:rFonts w:hint="eastAsia"/>
                <w:highlight w:val="none"/>
              </w:rPr>
              <w:t>返碱、咬色</w:t>
            </w:r>
          </w:p>
        </w:tc>
        <w:tc>
          <w:tcPr>
            <w:tcW w:w="1364" w:type="dxa"/>
            <w:tcBorders>
              <w:tl2br w:val="nil"/>
              <w:tr2bl w:val="nil"/>
            </w:tcBorders>
            <w:vAlign w:val="center"/>
          </w:tcPr>
          <w:p w14:paraId="651A3401">
            <w:pPr>
              <w:pStyle w:val="49"/>
              <w:rPr>
                <w:highlight w:val="none"/>
              </w:rPr>
            </w:pPr>
            <w:r>
              <w:rPr>
                <w:rFonts w:hint="eastAsia"/>
                <w:highlight w:val="none"/>
              </w:rPr>
              <w:t>允许少量轻微</w:t>
            </w:r>
          </w:p>
        </w:tc>
        <w:tc>
          <w:tcPr>
            <w:tcW w:w="914" w:type="dxa"/>
            <w:tcBorders>
              <w:tl2br w:val="nil"/>
              <w:tr2bl w:val="nil"/>
            </w:tcBorders>
            <w:vAlign w:val="center"/>
          </w:tcPr>
          <w:p w14:paraId="701ADECB">
            <w:pPr>
              <w:pStyle w:val="49"/>
              <w:rPr>
                <w:highlight w:val="none"/>
              </w:rPr>
            </w:pPr>
            <w:r>
              <w:rPr>
                <w:rFonts w:hint="eastAsia"/>
                <w:highlight w:val="none"/>
              </w:rPr>
              <w:t>全数检查</w:t>
            </w:r>
          </w:p>
        </w:tc>
        <w:tc>
          <w:tcPr>
            <w:tcW w:w="1509" w:type="dxa"/>
            <w:vMerge w:val="continue"/>
            <w:tcBorders>
              <w:tl2br w:val="nil"/>
              <w:tr2bl w:val="nil"/>
            </w:tcBorders>
            <w:vAlign w:val="center"/>
          </w:tcPr>
          <w:p w14:paraId="58C8C0E1">
            <w:pPr>
              <w:pStyle w:val="49"/>
              <w:rPr>
                <w:highlight w:val="none"/>
              </w:rPr>
            </w:pPr>
          </w:p>
        </w:tc>
      </w:tr>
      <w:tr w14:paraId="1867E7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671" w:type="dxa"/>
            <w:vMerge w:val="continue"/>
            <w:tcBorders>
              <w:tl2br w:val="nil"/>
              <w:tr2bl w:val="nil"/>
            </w:tcBorders>
            <w:vAlign w:val="center"/>
          </w:tcPr>
          <w:p w14:paraId="246F34AE">
            <w:pPr>
              <w:pStyle w:val="49"/>
              <w:rPr>
                <w:highlight w:val="none"/>
              </w:rPr>
            </w:pPr>
          </w:p>
        </w:tc>
        <w:tc>
          <w:tcPr>
            <w:tcW w:w="1675" w:type="dxa"/>
            <w:tcBorders>
              <w:tl2br w:val="nil"/>
              <w:tr2bl w:val="nil"/>
            </w:tcBorders>
            <w:vAlign w:val="center"/>
          </w:tcPr>
          <w:p w14:paraId="0E5ABEDE">
            <w:pPr>
              <w:pStyle w:val="49"/>
              <w:rPr>
                <w:highlight w:val="none"/>
              </w:rPr>
            </w:pPr>
            <w:r>
              <w:rPr>
                <w:rFonts w:hint="eastAsia"/>
                <w:highlight w:val="none"/>
              </w:rPr>
              <w:t>流坠、疙瘩</w:t>
            </w:r>
          </w:p>
        </w:tc>
        <w:tc>
          <w:tcPr>
            <w:tcW w:w="1364" w:type="dxa"/>
            <w:tcBorders>
              <w:tl2br w:val="nil"/>
              <w:tr2bl w:val="nil"/>
            </w:tcBorders>
            <w:vAlign w:val="center"/>
          </w:tcPr>
          <w:p w14:paraId="4B1F90B9">
            <w:pPr>
              <w:pStyle w:val="49"/>
              <w:rPr>
                <w:highlight w:val="none"/>
              </w:rPr>
            </w:pPr>
            <w:r>
              <w:rPr>
                <w:rFonts w:hint="eastAsia"/>
                <w:highlight w:val="none"/>
              </w:rPr>
              <w:t>允许少量轻微</w:t>
            </w:r>
          </w:p>
        </w:tc>
        <w:tc>
          <w:tcPr>
            <w:tcW w:w="914" w:type="dxa"/>
            <w:tcBorders>
              <w:tl2br w:val="nil"/>
              <w:tr2bl w:val="nil"/>
            </w:tcBorders>
            <w:vAlign w:val="center"/>
          </w:tcPr>
          <w:p w14:paraId="54ED990D">
            <w:pPr>
              <w:pStyle w:val="49"/>
              <w:rPr>
                <w:highlight w:val="none"/>
              </w:rPr>
            </w:pPr>
            <w:r>
              <w:rPr>
                <w:rFonts w:hint="eastAsia"/>
                <w:highlight w:val="none"/>
              </w:rPr>
              <w:t>全数检查</w:t>
            </w:r>
          </w:p>
        </w:tc>
        <w:tc>
          <w:tcPr>
            <w:tcW w:w="1509" w:type="dxa"/>
            <w:vMerge w:val="continue"/>
            <w:tcBorders>
              <w:tl2br w:val="nil"/>
              <w:tr2bl w:val="nil"/>
            </w:tcBorders>
            <w:vAlign w:val="center"/>
          </w:tcPr>
          <w:p w14:paraId="3C1F2D56">
            <w:pPr>
              <w:pStyle w:val="49"/>
              <w:rPr>
                <w:highlight w:val="none"/>
              </w:rPr>
            </w:pPr>
          </w:p>
        </w:tc>
      </w:tr>
      <w:tr w14:paraId="43726D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tcBorders>
              <w:tl2br w:val="nil"/>
              <w:tr2bl w:val="nil"/>
            </w:tcBorders>
            <w:vAlign w:val="center"/>
          </w:tcPr>
          <w:p w14:paraId="14E3E9EA">
            <w:pPr>
              <w:pStyle w:val="49"/>
              <w:rPr>
                <w:highlight w:val="none"/>
              </w:rPr>
            </w:pPr>
          </w:p>
        </w:tc>
        <w:tc>
          <w:tcPr>
            <w:tcW w:w="1675" w:type="dxa"/>
            <w:tcBorders>
              <w:tl2br w:val="nil"/>
              <w:tr2bl w:val="nil"/>
            </w:tcBorders>
            <w:vAlign w:val="center"/>
          </w:tcPr>
          <w:p w14:paraId="79CE7781">
            <w:pPr>
              <w:pStyle w:val="49"/>
              <w:rPr>
                <w:highlight w:val="none"/>
              </w:rPr>
            </w:pPr>
            <w:r>
              <w:rPr>
                <w:rFonts w:hint="eastAsia"/>
                <w:highlight w:val="none"/>
              </w:rPr>
              <w:t>砂眼、刷纹</w:t>
            </w:r>
          </w:p>
        </w:tc>
        <w:tc>
          <w:tcPr>
            <w:tcW w:w="1364" w:type="dxa"/>
            <w:tcBorders>
              <w:tl2br w:val="nil"/>
              <w:tr2bl w:val="nil"/>
            </w:tcBorders>
            <w:vAlign w:val="center"/>
          </w:tcPr>
          <w:p w14:paraId="0C96C224">
            <w:pPr>
              <w:pStyle w:val="49"/>
              <w:rPr>
                <w:highlight w:val="none"/>
              </w:rPr>
            </w:pPr>
            <w:r>
              <w:rPr>
                <w:rFonts w:hint="eastAsia"/>
                <w:highlight w:val="none"/>
              </w:rPr>
              <w:t>允许少量轻微砂眼，无刷纹</w:t>
            </w:r>
          </w:p>
        </w:tc>
        <w:tc>
          <w:tcPr>
            <w:tcW w:w="914" w:type="dxa"/>
            <w:tcBorders>
              <w:tl2br w:val="nil"/>
              <w:tr2bl w:val="nil"/>
            </w:tcBorders>
            <w:vAlign w:val="center"/>
          </w:tcPr>
          <w:p w14:paraId="70C3A230">
            <w:pPr>
              <w:pStyle w:val="49"/>
              <w:rPr>
                <w:highlight w:val="none"/>
              </w:rPr>
            </w:pPr>
            <w:r>
              <w:rPr>
                <w:rFonts w:hint="eastAsia"/>
                <w:highlight w:val="none"/>
              </w:rPr>
              <w:t>全数检查</w:t>
            </w:r>
          </w:p>
        </w:tc>
        <w:tc>
          <w:tcPr>
            <w:tcW w:w="1509" w:type="dxa"/>
            <w:vMerge w:val="continue"/>
            <w:tcBorders>
              <w:tl2br w:val="nil"/>
              <w:tr2bl w:val="nil"/>
            </w:tcBorders>
            <w:vAlign w:val="center"/>
          </w:tcPr>
          <w:p w14:paraId="2C956112">
            <w:pPr>
              <w:pStyle w:val="49"/>
              <w:rPr>
                <w:highlight w:val="none"/>
              </w:rPr>
            </w:pPr>
          </w:p>
        </w:tc>
      </w:tr>
    </w:tbl>
    <w:p w14:paraId="6083BED3">
      <w:pPr>
        <w:rPr>
          <w:highlight w:val="none"/>
        </w:rPr>
      </w:pPr>
    </w:p>
    <w:p w14:paraId="38471301">
      <w:pPr>
        <w:jc w:val="center"/>
        <w:rPr>
          <w:highlight w:val="none"/>
        </w:rPr>
      </w:pPr>
      <w:r>
        <w:rPr>
          <w:rFonts w:hint="eastAsia" w:ascii="黑体" w:hAnsi="黑体" w:eastAsia="黑体" w:cs="黑体"/>
          <w:sz w:val="18"/>
          <w:szCs w:val="18"/>
          <w:highlight w:val="none"/>
          <w:lang w:val="en-US" w:eastAsia="zh-CN"/>
        </w:rPr>
        <w:t>续</w:t>
      </w:r>
      <w:r>
        <w:rPr>
          <w:rFonts w:hint="eastAsia" w:ascii="黑体" w:hAnsi="黑体" w:eastAsia="黑体" w:cs="黑体"/>
          <w:sz w:val="18"/>
          <w:szCs w:val="18"/>
          <w:highlight w:val="none"/>
        </w:rPr>
        <w:t>表</w:t>
      </w:r>
      <w:r>
        <w:rPr>
          <w:rFonts w:hint="eastAsia"/>
          <w:b/>
          <w:sz w:val="18"/>
          <w:szCs w:val="18"/>
          <w:highlight w:val="none"/>
        </w:rPr>
        <w:t>8.</w:t>
      </w:r>
      <w:r>
        <w:rPr>
          <w:rFonts w:hint="eastAsia"/>
          <w:b/>
          <w:sz w:val="18"/>
          <w:szCs w:val="18"/>
          <w:highlight w:val="none"/>
          <w:lang w:val="en-US" w:eastAsia="zh-CN"/>
        </w:rPr>
        <w:t>6</w:t>
      </w:r>
      <w:r>
        <w:rPr>
          <w:rFonts w:hint="eastAsia"/>
          <w:b/>
          <w:sz w:val="18"/>
          <w:szCs w:val="18"/>
          <w:highlight w:val="none"/>
        </w:rPr>
        <w:t>.7</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675"/>
        <w:gridCol w:w="1364"/>
        <w:gridCol w:w="914"/>
        <w:gridCol w:w="1509"/>
      </w:tblGrid>
      <w:tr w14:paraId="5C5D0F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46" w:type="dxa"/>
            <w:gridSpan w:val="2"/>
            <w:tcBorders>
              <w:tl2br w:val="nil"/>
              <w:tr2bl w:val="nil"/>
            </w:tcBorders>
            <w:vAlign w:val="center"/>
          </w:tcPr>
          <w:p w14:paraId="09E4C986">
            <w:pPr>
              <w:pStyle w:val="49"/>
              <w:rPr>
                <w:rFonts w:hint="eastAsia"/>
                <w:highlight w:val="none"/>
              </w:rPr>
            </w:pPr>
            <w:r>
              <w:rPr>
                <w:rFonts w:hint="eastAsia"/>
                <w:highlight w:val="none"/>
              </w:rPr>
              <w:t>项目</w:t>
            </w:r>
          </w:p>
        </w:tc>
        <w:tc>
          <w:tcPr>
            <w:tcW w:w="1364" w:type="dxa"/>
            <w:tcBorders>
              <w:tl2br w:val="nil"/>
              <w:tr2bl w:val="nil"/>
            </w:tcBorders>
            <w:vAlign w:val="center"/>
          </w:tcPr>
          <w:p w14:paraId="68272E69">
            <w:pPr>
              <w:pStyle w:val="49"/>
              <w:rPr>
                <w:highlight w:val="none"/>
              </w:rPr>
            </w:pPr>
            <w:r>
              <w:rPr>
                <w:rFonts w:hint="eastAsia"/>
                <w:highlight w:val="none"/>
              </w:rPr>
              <w:t>合格标准及允许偏差</w:t>
            </w:r>
          </w:p>
        </w:tc>
        <w:tc>
          <w:tcPr>
            <w:tcW w:w="914" w:type="dxa"/>
            <w:tcBorders>
              <w:tl2br w:val="nil"/>
              <w:tr2bl w:val="nil"/>
            </w:tcBorders>
            <w:vAlign w:val="center"/>
          </w:tcPr>
          <w:p w14:paraId="4525331B">
            <w:pPr>
              <w:pStyle w:val="49"/>
              <w:rPr>
                <w:rFonts w:hint="eastAsia"/>
                <w:highlight w:val="none"/>
              </w:rPr>
            </w:pPr>
            <w:r>
              <w:rPr>
                <w:rFonts w:hint="eastAsia"/>
                <w:highlight w:val="none"/>
              </w:rPr>
              <w:t>抽检数量</w:t>
            </w:r>
          </w:p>
        </w:tc>
        <w:tc>
          <w:tcPr>
            <w:tcW w:w="1509" w:type="dxa"/>
            <w:tcBorders>
              <w:tl2br w:val="nil"/>
              <w:tr2bl w:val="nil"/>
            </w:tcBorders>
            <w:vAlign w:val="center"/>
          </w:tcPr>
          <w:p w14:paraId="56A94216">
            <w:pPr>
              <w:pStyle w:val="49"/>
              <w:rPr>
                <w:rFonts w:hint="eastAsia"/>
                <w:highlight w:val="none"/>
              </w:rPr>
            </w:pPr>
            <w:r>
              <w:rPr>
                <w:rFonts w:hint="eastAsia"/>
                <w:highlight w:val="none"/>
              </w:rPr>
              <w:t>检验方法</w:t>
            </w:r>
          </w:p>
        </w:tc>
      </w:tr>
      <w:tr w14:paraId="78BA4F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tcBorders>
              <w:tl2br w:val="nil"/>
              <w:tr2bl w:val="nil"/>
            </w:tcBorders>
            <w:vAlign w:val="center"/>
          </w:tcPr>
          <w:p w14:paraId="0C00B7EF">
            <w:pPr>
              <w:pStyle w:val="49"/>
              <w:rPr>
                <w:highlight w:val="none"/>
              </w:rPr>
            </w:pPr>
            <w:r>
              <w:rPr>
                <w:rFonts w:hint="eastAsia"/>
                <w:highlight w:val="none"/>
              </w:rPr>
              <w:t>涂饰</w:t>
            </w:r>
          </w:p>
        </w:tc>
        <w:tc>
          <w:tcPr>
            <w:tcW w:w="1675" w:type="dxa"/>
            <w:tcBorders>
              <w:tl2br w:val="nil"/>
              <w:tr2bl w:val="nil"/>
            </w:tcBorders>
            <w:vAlign w:val="center"/>
          </w:tcPr>
          <w:p w14:paraId="5C5431AC">
            <w:pPr>
              <w:pStyle w:val="49"/>
              <w:rPr>
                <w:highlight w:val="none"/>
              </w:rPr>
            </w:pPr>
            <w:r>
              <w:rPr>
                <w:rFonts w:hint="eastAsia"/>
                <w:highlight w:val="none"/>
              </w:rPr>
              <w:t>立面垂直度</w:t>
            </w:r>
          </w:p>
        </w:tc>
        <w:tc>
          <w:tcPr>
            <w:tcW w:w="1364" w:type="dxa"/>
            <w:tcBorders>
              <w:tl2br w:val="nil"/>
              <w:tr2bl w:val="nil"/>
            </w:tcBorders>
            <w:vAlign w:val="center"/>
          </w:tcPr>
          <w:p w14:paraId="6B49F50C">
            <w:pPr>
              <w:pStyle w:val="49"/>
              <w:rPr>
                <w:highlight w:val="none"/>
              </w:rPr>
            </w:pPr>
            <w:r>
              <w:rPr>
                <w:highlight w:val="none"/>
              </w:rPr>
              <w:t>2mm</w:t>
            </w:r>
          </w:p>
        </w:tc>
        <w:tc>
          <w:tcPr>
            <w:tcW w:w="914" w:type="dxa"/>
            <w:tcBorders>
              <w:tl2br w:val="nil"/>
              <w:tr2bl w:val="nil"/>
            </w:tcBorders>
            <w:vAlign w:val="center"/>
          </w:tcPr>
          <w:p w14:paraId="0DB43174">
            <w:pPr>
              <w:pStyle w:val="49"/>
              <w:rPr>
                <w:highlight w:val="none"/>
              </w:rPr>
            </w:pPr>
            <w:r>
              <w:rPr>
                <w:rFonts w:hint="eastAsia"/>
                <w:highlight w:val="none"/>
              </w:rPr>
              <w:t>全数检查</w:t>
            </w:r>
          </w:p>
        </w:tc>
        <w:tc>
          <w:tcPr>
            <w:tcW w:w="1509" w:type="dxa"/>
            <w:tcBorders>
              <w:tl2br w:val="nil"/>
              <w:tr2bl w:val="nil"/>
            </w:tcBorders>
            <w:vAlign w:val="center"/>
          </w:tcPr>
          <w:p w14:paraId="2F1DD5DD">
            <w:pPr>
              <w:pStyle w:val="49"/>
              <w:rPr>
                <w:highlight w:val="none"/>
              </w:rPr>
            </w:pPr>
            <w:r>
              <w:rPr>
                <w:rFonts w:hint="eastAsia"/>
                <w:highlight w:val="none"/>
              </w:rPr>
              <w:t>2m垂直检测尺</w:t>
            </w:r>
          </w:p>
        </w:tc>
      </w:tr>
      <w:tr w14:paraId="1C307A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tcBorders>
              <w:tl2br w:val="nil"/>
              <w:tr2bl w:val="nil"/>
            </w:tcBorders>
            <w:vAlign w:val="center"/>
          </w:tcPr>
          <w:p w14:paraId="77DF4944">
            <w:pPr>
              <w:pStyle w:val="49"/>
              <w:rPr>
                <w:highlight w:val="none"/>
              </w:rPr>
            </w:pPr>
          </w:p>
        </w:tc>
        <w:tc>
          <w:tcPr>
            <w:tcW w:w="1675" w:type="dxa"/>
            <w:tcBorders>
              <w:tl2br w:val="nil"/>
              <w:tr2bl w:val="nil"/>
            </w:tcBorders>
            <w:vAlign w:val="center"/>
          </w:tcPr>
          <w:p w14:paraId="1E65F15B">
            <w:pPr>
              <w:pStyle w:val="49"/>
              <w:rPr>
                <w:highlight w:val="none"/>
              </w:rPr>
            </w:pPr>
            <w:r>
              <w:rPr>
                <w:rFonts w:hint="eastAsia"/>
                <w:highlight w:val="none"/>
              </w:rPr>
              <w:t>表面平整度</w:t>
            </w:r>
          </w:p>
        </w:tc>
        <w:tc>
          <w:tcPr>
            <w:tcW w:w="1364" w:type="dxa"/>
            <w:tcBorders>
              <w:tl2br w:val="nil"/>
              <w:tr2bl w:val="nil"/>
            </w:tcBorders>
            <w:vAlign w:val="center"/>
          </w:tcPr>
          <w:p w14:paraId="6C7A7FF0">
            <w:pPr>
              <w:pStyle w:val="49"/>
              <w:rPr>
                <w:highlight w:val="none"/>
              </w:rPr>
            </w:pPr>
            <w:r>
              <w:rPr>
                <w:highlight w:val="none"/>
              </w:rPr>
              <w:t>2mm</w:t>
            </w:r>
          </w:p>
        </w:tc>
        <w:tc>
          <w:tcPr>
            <w:tcW w:w="914" w:type="dxa"/>
            <w:tcBorders>
              <w:tl2br w:val="nil"/>
              <w:tr2bl w:val="nil"/>
            </w:tcBorders>
            <w:vAlign w:val="center"/>
          </w:tcPr>
          <w:p w14:paraId="58F56EAE">
            <w:pPr>
              <w:pStyle w:val="49"/>
              <w:rPr>
                <w:highlight w:val="none"/>
              </w:rPr>
            </w:pPr>
            <w:r>
              <w:rPr>
                <w:rFonts w:hint="eastAsia"/>
                <w:highlight w:val="none"/>
              </w:rPr>
              <w:t>全数检查</w:t>
            </w:r>
          </w:p>
        </w:tc>
        <w:tc>
          <w:tcPr>
            <w:tcW w:w="1509" w:type="dxa"/>
            <w:tcBorders>
              <w:tl2br w:val="nil"/>
              <w:tr2bl w:val="nil"/>
            </w:tcBorders>
            <w:vAlign w:val="center"/>
          </w:tcPr>
          <w:p w14:paraId="70D25376">
            <w:pPr>
              <w:pStyle w:val="49"/>
              <w:rPr>
                <w:highlight w:val="none"/>
              </w:rPr>
            </w:pPr>
            <w:r>
              <w:rPr>
                <w:rFonts w:hint="eastAsia"/>
                <w:highlight w:val="none"/>
              </w:rPr>
              <w:t>2m靠尺和塞尺</w:t>
            </w:r>
          </w:p>
        </w:tc>
      </w:tr>
      <w:tr w14:paraId="780A52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tcBorders>
              <w:tl2br w:val="nil"/>
              <w:tr2bl w:val="nil"/>
            </w:tcBorders>
            <w:vAlign w:val="center"/>
          </w:tcPr>
          <w:p w14:paraId="026E0ADA">
            <w:pPr>
              <w:pStyle w:val="49"/>
              <w:rPr>
                <w:highlight w:val="none"/>
              </w:rPr>
            </w:pPr>
          </w:p>
        </w:tc>
        <w:tc>
          <w:tcPr>
            <w:tcW w:w="1675" w:type="dxa"/>
            <w:tcBorders>
              <w:tl2br w:val="nil"/>
              <w:tr2bl w:val="nil"/>
            </w:tcBorders>
            <w:vAlign w:val="center"/>
          </w:tcPr>
          <w:p w14:paraId="37A75DFC">
            <w:pPr>
              <w:pStyle w:val="49"/>
              <w:rPr>
                <w:highlight w:val="none"/>
              </w:rPr>
            </w:pPr>
            <w:r>
              <w:rPr>
                <w:rFonts w:hint="eastAsia"/>
                <w:highlight w:val="none"/>
              </w:rPr>
              <w:t>阴阳角方正</w:t>
            </w:r>
          </w:p>
        </w:tc>
        <w:tc>
          <w:tcPr>
            <w:tcW w:w="1364" w:type="dxa"/>
            <w:tcBorders>
              <w:tl2br w:val="nil"/>
              <w:tr2bl w:val="nil"/>
            </w:tcBorders>
            <w:vAlign w:val="center"/>
          </w:tcPr>
          <w:p w14:paraId="3B928426">
            <w:pPr>
              <w:pStyle w:val="49"/>
              <w:rPr>
                <w:highlight w:val="none"/>
              </w:rPr>
            </w:pPr>
            <w:r>
              <w:rPr>
                <w:highlight w:val="none"/>
              </w:rPr>
              <w:t>2mm</w:t>
            </w:r>
          </w:p>
        </w:tc>
        <w:tc>
          <w:tcPr>
            <w:tcW w:w="914" w:type="dxa"/>
            <w:tcBorders>
              <w:tl2br w:val="nil"/>
              <w:tr2bl w:val="nil"/>
            </w:tcBorders>
            <w:vAlign w:val="center"/>
          </w:tcPr>
          <w:p w14:paraId="31143DB8">
            <w:pPr>
              <w:pStyle w:val="49"/>
              <w:rPr>
                <w:highlight w:val="none"/>
              </w:rPr>
            </w:pPr>
            <w:r>
              <w:rPr>
                <w:rFonts w:hint="eastAsia"/>
                <w:highlight w:val="none"/>
              </w:rPr>
              <w:t>全数检查</w:t>
            </w:r>
          </w:p>
        </w:tc>
        <w:tc>
          <w:tcPr>
            <w:tcW w:w="1509" w:type="dxa"/>
            <w:tcBorders>
              <w:tl2br w:val="nil"/>
              <w:tr2bl w:val="nil"/>
            </w:tcBorders>
            <w:vAlign w:val="center"/>
          </w:tcPr>
          <w:p w14:paraId="25D30F3A">
            <w:pPr>
              <w:pStyle w:val="49"/>
              <w:rPr>
                <w:highlight w:val="none"/>
              </w:rPr>
            </w:pPr>
            <w:r>
              <w:rPr>
                <w:rFonts w:hint="eastAsia"/>
                <w:highlight w:val="none"/>
              </w:rPr>
              <w:t>200mm直角检测尺</w:t>
            </w:r>
          </w:p>
        </w:tc>
      </w:tr>
      <w:tr w14:paraId="744589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tcBorders>
              <w:tl2br w:val="nil"/>
              <w:tr2bl w:val="nil"/>
            </w:tcBorders>
            <w:vAlign w:val="center"/>
          </w:tcPr>
          <w:p w14:paraId="4CF7A9AC">
            <w:pPr>
              <w:pStyle w:val="49"/>
              <w:rPr>
                <w:highlight w:val="none"/>
              </w:rPr>
            </w:pPr>
            <w:r>
              <w:rPr>
                <w:rFonts w:hint="eastAsia"/>
                <w:highlight w:val="none"/>
              </w:rPr>
              <w:t>涂饰</w:t>
            </w:r>
          </w:p>
        </w:tc>
        <w:tc>
          <w:tcPr>
            <w:tcW w:w="1675" w:type="dxa"/>
            <w:tcBorders>
              <w:tl2br w:val="nil"/>
              <w:tr2bl w:val="nil"/>
            </w:tcBorders>
            <w:vAlign w:val="center"/>
          </w:tcPr>
          <w:p w14:paraId="1D08AB54">
            <w:pPr>
              <w:pStyle w:val="49"/>
              <w:rPr>
                <w:highlight w:val="none"/>
              </w:rPr>
            </w:pPr>
            <w:r>
              <w:rPr>
                <w:rFonts w:hint="eastAsia"/>
                <w:highlight w:val="none"/>
              </w:rPr>
              <w:t>装饰线、分色线直线度</w:t>
            </w:r>
          </w:p>
        </w:tc>
        <w:tc>
          <w:tcPr>
            <w:tcW w:w="1364" w:type="dxa"/>
            <w:tcBorders>
              <w:tl2br w:val="nil"/>
              <w:tr2bl w:val="nil"/>
            </w:tcBorders>
            <w:vAlign w:val="center"/>
          </w:tcPr>
          <w:p w14:paraId="27C4A467">
            <w:pPr>
              <w:pStyle w:val="49"/>
              <w:rPr>
                <w:highlight w:val="none"/>
              </w:rPr>
            </w:pPr>
            <w:r>
              <w:rPr>
                <w:highlight w:val="none"/>
              </w:rPr>
              <w:t>1mm</w:t>
            </w:r>
          </w:p>
        </w:tc>
        <w:tc>
          <w:tcPr>
            <w:tcW w:w="914" w:type="dxa"/>
            <w:tcBorders>
              <w:tl2br w:val="nil"/>
              <w:tr2bl w:val="nil"/>
            </w:tcBorders>
            <w:vAlign w:val="center"/>
          </w:tcPr>
          <w:p w14:paraId="271DFD27">
            <w:pPr>
              <w:pStyle w:val="49"/>
              <w:rPr>
                <w:highlight w:val="none"/>
              </w:rPr>
            </w:pPr>
            <w:r>
              <w:rPr>
                <w:rFonts w:hint="eastAsia"/>
                <w:highlight w:val="none"/>
              </w:rPr>
              <w:t>全数检查</w:t>
            </w:r>
          </w:p>
        </w:tc>
        <w:tc>
          <w:tcPr>
            <w:tcW w:w="1509" w:type="dxa"/>
            <w:tcBorders>
              <w:tl2br w:val="nil"/>
              <w:tr2bl w:val="nil"/>
            </w:tcBorders>
            <w:vAlign w:val="center"/>
          </w:tcPr>
          <w:p w14:paraId="102F013D">
            <w:pPr>
              <w:pStyle w:val="49"/>
              <w:rPr>
                <w:highlight w:val="none"/>
              </w:rPr>
            </w:pPr>
            <w:r>
              <w:rPr>
                <w:rFonts w:hint="eastAsia"/>
                <w:highlight w:val="none"/>
              </w:rPr>
              <w:t>拉通线，钢直尺检查</w:t>
            </w:r>
          </w:p>
        </w:tc>
      </w:tr>
      <w:tr w14:paraId="6ADB85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tcBorders>
              <w:tl2br w:val="nil"/>
              <w:tr2bl w:val="nil"/>
            </w:tcBorders>
            <w:vAlign w:val="center"/>
          </w:tcPr>
          <w:p w14:paraId="02F0D4F1">
            <w:pPr>
              <w:pStyle w:val="49"/>
              <w:rPr>
                <w:highlight w:val="none"/>
              </w:rPr>
            </w:pPr>
          </w:p>
        </w:tc>
        <w:tc>
          <w:tcPr>
            <w:tcW w:w="1675" w:type="dxa"/>
            <w:tcBorders>
              <w:tl2br w:val="nil"/>
              <w:tr2bl w:val="nil"/>
            </w:tcBorders>
            <w:vAlign w:val="center"/>
          </w:tcPr>
          <w:p w14:paraId="2476A995">
            <w:pPr>
              <w:pStyle w:val="49"/>
              <w:rPr>
                <w:highlight w:val="none"/>
              </w:rPr>
            </w:pPr>
            <w:r>
              <w:rPr>
                <w:rFonts w:hint="eastAsia"/>
                <w:highlight w:val="none"/>
              </w:rPr>
              <w:t>墙裙、勒脚上口直线度</w:t>
            </w:r>
          </w:p>
        </w:tc>
        <w:tc>
          <w:tcPr>
            <w:tcW w:w="1364" w:type="dxa"/>
            <w:tcBorders>
              <w:tl2br w:val="nil"/>
              <w:tr2bl w:val="nil"/>
            </w:tcBorders>
            <w:vAlign w:val="center"/>
          </w:tcPr>
          <w:p w14:paraId="38AC8E7E">
            <w:pPr>
              <w:pStyle w:val="49"/>
              <w:rPr>
                <w:highlight w:val="none"/>
              </w:rPr>
            </w:pPr>
            <w:r>
              <w:rPr>
                <w:highlight w:val="none"/>
              </w:rPr>
              <w:t>1mm</w:t>
            </w:r>
          </w:p>
        </w:tc>
        <w:tc>
          <w:tcPr>
            <w:tcW w:w="914" w:type="dxa"/>
            <w:tcBorders>
              <w:tl2br w:val="nil"/>
              <w:tr2bl w:val="nil"/>
            </w:tcBorders>
            <w:vAlign w:val="center"/>
          </w:tcPr>
          <w:p w14:paraId="687C302E">
            <w:pPr>
              <w:pStyle w:val="49"/>
              <w:rPr>
                <w:highlight w:val="none"/>
              </w:rPr>
            </w:pPr>
            <w:r>
              <w:rPr>
                <w:rFonts w:hint="eastAsia"/>
                <w:highlight w:val="none"/>
              </w:rPr>
              <w:t>全数检查</w:t>
            </w:r>
          </w:p>
        </w:tc>
        <w:tc>
          <w:tcPr>
            <w:tcW w:w="1509" w:type="dxa"/>
            <w:tcBorders>
              <w:tl2br w:val="nil"/>
              <w:tr2bl w:val="nil"/>
            </w:tcBorders>
            <w:vAlign w:val="center"/>
          </w:tcPr>
          <w:p w14:paraId="4AD6362D">
            <w:pPr>
              <w:pStyle w:val="49"/>
              <w:rPr>
                <w:highlight w:val="none"/>
              </w:rPr>
            </w:pPr>
            <w:r>
              <w:rPr>
                <w:rFonts w:hint="eastAsia"/>
                <w:highlight w:val="none"/>
              </w:rPr>
              <w:t>拉通线，钢直尺检查</w:t>
            </w:r>
          </w:p>
        </w:tc>
      </w:tr>
      <w:tr w14:paraId="4068EB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tcBorders>
              <w:tl2br w:val="nil"/>
              <w:tr2bl w:val="nil"/>
            </w:tcBorders>
            <w:vAlign w:val="center"/>
          </w:tcPr>
          <w:p w14:paraId="36EFB303">
            <w:pPr>
              <w:pStyle w:val="49"/>
              <w:rPr>
                <w:highlight w:val="none"/>
              </w:rPr>
            </w:pPr>
            <w:r>
              <w:rPr>
                <w:rFonts w:hint="eastAsia"/>
                <w:highlight w:val="none"/>
              </w:rPr>
              <w:t>栏杆工程</w:t>
            </w:r>
          </w:p>
        </w:tc>
        <w:tc>
          <w:tcPr>
            <w:tcW w:w="1675" w:type="dxa"/>
            <w:tcBorders>
              <w:tl2br w:val="nil"/>
              <w:tr2bl w:val="nil"/>
            </w:tcBorders>
            <w:vAlign w:val="center"/>
          </w:tcPr>
          <w:p w14:paraId="5209B5CC">
            <w:pPr>
              <w:pStyle w:val="49"/>
              <w:rPr>
                <w:highlight w:val="none"/>
              </w:rPr>
            </w:pPr>
            <w:r>
              <w:rPr>
                <w:rFonts w:hint="eastAsia"/>
                <w:highlight w:val="none"/>
              </w:rPr>
              <w:t>护栏垂直度</w:t>
            </w:r>
          </w:p>
        </w:tc>
        <w:tc>
          <w:tcPr>
            <w:tcW w:w="1364" w:type="dxa"/>
            <w:tcBorders>
              <w:tl2br w:val="nil"/>
              <w:tr2bl w:val="nil"/>
            </w:tcBorders>
            <w:vAlign w:val="center"/>
          </w:tcPr>
          <w:p w14:paraId="02D8846F">
            <w:pPr>
              <w:pStyle w:val="49"/>
              <w:rPr>
                <w:highlight w:val="none"/>
              </w:rPr>
            </w:pPr>
            <w:r>
              <w:rPr>
                <w:highlight w:val="none"/>
              </w:rPr>
              <w:t>3mm</w:t>
            </w:r>
          </w:p>
        </w:tc>
        <w:tc>
          <w:tcPr>
            <w:tcW w:w="914" w:type="dxa"/>
            <w:tcBorders>
              <w:tl2br w:val="nil"/>
              <w:tr2bl w:val="nil"/>
            </w:tcBorders>
            <w:vAlign w:val="center"/>
          </w:tcPr>
          <w:p w14:paraId="42025276">
            <w:pPr>
              <w:pStyle w:val="49"/>
              <w:rPr>
                <w:highlight w:val="none"/>
              </w:rPr>
            </w:pPr>
            <w:r>
              <w:rPr>
                <w:rFonts w:hint="eastAsia"/>
                <w:highlight w:val="none"/>
              </w:rPr>
              <w:t>全数检查</w:t>
            </w:r>
          </w:p>
        </w:tc>
        <w:tc>
          <w:tcPr>
            <w:tcW w:w="1509" w:type="dxa"/>
            <w:tcBorders>
              <w:tl2br w:val="nil"/>
              <w:tr2bl w:val="nil"/>
            </w:tcBorders>
            <w:vAlign w:val="center"/>
          </w:tcPr>
          <w:p w14:paraId="298AB062">
            <w:pPr>
              <w:pStyle w:val="49"/>
              <w:rPr>
                <w:highlight w:val="none"/>
              </w:rPr>
            </w:pPr>
            <w:r>
              <w:rPr>
                <w:rFonts w:hint="eastAsia"/>
                <w:highlight w:val="none"/>
              </w:rPr>
              <w:t>1m垂直检测尺</w:t>
            </w:r>
          </w:p>
        </w:tc>
      </w:tr>
      <w:tr w14:paraId="08E69A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tcBorders>
              <w:tl2br w:val="nil"/>
              <w:tr2bl w:val="nil"/>
            </w:tcBorders>
            <w:vAlign w:val="center"/>
          </w:tcPr>
          <w:p w14:paraId="589CCB81">
            <w:pPr>
              <w:pStyle w:val="49"/>
              <w:rPr>
                <w:highlight w:val="none"/>
              </w:rPr>
            </w:pPr>
          </w:p>
        </w:tc>
        <w:tc>
          <w:tcPr>
            <w:tcW w:w="1675" w:type="dxa"/>
            <w:tcBorders>
              <w:tl2br w:val="nil"/>
              <w:tr2bl w:val="nil"/>
            </w:tcBorders>
            <w:vAlign w:val="center"/>
          </w:tcPr>
          <w:p w14:paraId="6DF87061">
            <w:pPr>
              <w:pStyle w:val="49"/>
              <w:rPr>
                <w:highlight w:val="none"/>
              </w:rPr>
            </w:pPr>
            <w:r>
              <w:rPr>
                <w:rFonts w:hint="eastAsia"/>
                <w:highlight w:val="none"/>
              </w:rPr>
              <w:t>栏杆间距</w:t>
            </w:r>
          </w:p>
        </w:tc>
        <w:tc>
          <w:tcPr>
            <w:tcW w:w="1364" w:type="dxa"/>
            <w:tcBorders>
              <w:tl2br w:val="nil"/>
              <w:tr2bl w:val="nil"/>
            </w:tcBorders>
            <w:vAlign w:val="center"/>
          </w:tcPr>
          <w:p w14:paraId="561180A7">
            <w:pPr>
              <w:pStyle w:val="49"/>
              <w:rPr>
                <w:highlight w:val="none"/>
              </w:rPr>
            </w:pPr>
            <w:r>
              <w:rPr>
                <w:rFonts w:hint="eastAsia"/>
                <w:highlight w:val="none"/>
              </w:rPr>
              <w:t>0，-6mm</w:t>
            </w:r>
          </w:p>
        </w:tc>
        <w:tc>
          <w:tcPr>
            <w:tcW w:w="914" w:type="dxa"/>
            <w:tcBorders>
              <w:tl2br w:val="nil"/>
              <w:tr2bl w:val="nil"/>
            </w:tcBorders>
            <w:vAlign w:val="center"/>
          </w:tcPr>
          <w:p w14:paraId="25BFE65B">
            <w:pPr>
              <w:pStyle w:val="49"/>
              <w:rPr>
                <w:highlight w:val="none"/>
              </w:rPr>
            </w:pPr>
            <w:r>
              <w:rPr>
                <w:rFonts w:hint="eastAsia"/>
                <w:highlight w:val="none"/>
              </w:rPr>
              <w:t>全数检查</w:t>
            </w:r>
          </w:p>
        </w:tc>
        <w:tc>
          <w:tcPr>
            <w:tcW w:w="1509" w:type="dxa"/>
            <w:tcBorders>
              <w:tl2br w:val="nil"/>
              <w:tr2bl w:val="nil"/>
            </w:tcBorders>
            <w:vAlign w:val="center"/>
          </w:tcPr>
          <w:p w14:paraId="5CB4AD89">
            <w:pPr>
              <w:pStyle w:val="49"/>
              <w:rPr>
                <w:highlight w:val="none"/>
              </w:rPr>
            </w:pPr>
            <w:r>
              <w:rPr>
                <w:rFonts w:hint="eastAsia"/>
                <w:highlight w:val="none"/>
              </w:rPr>
              <w:t>钢尺检查</w:t>
            </w:r>
          </w:p>
        </w:tc>
      </w:tr>
      <w:tr w14:paraId="432761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tcBorders>
              <w:tl2br w:val="nil"/>
              <w:tr2bl w:val="nil"/>
            </w:tcBorders>
            <w:vAlign w:val="center"/>
          </w:tcPr>
          <w:p w14:paraId="03E108D8">
            <w:pPr>
              <w:pStyle w:val="49"/>
              <w:rPr>
                <w:highlight w:val="none"/>
              </w:rPr>
            </w:pPr>
          </w:p>
        </w:tc>
        <w:tc>
          <w:tcPr>
            <w:tcW w:w="1675" w:type="dxa"/>
            <w:tcBorders>
              <w:tl2br w:val="nil"/>
              <w:tr2bl w:val="nil"/>
            </w:tcBorders>
            <w:vAlign w:val="center"/>
          </w:tcPr>
          <w:p w14:paraId="47DFCCF2">
            <w:pPr>
              <w:pStyle w:val="49"/>
              <w:rPr>
                <w:highlight w:val="none"/>
              </w:rPr>
            </w:pPr>
            <w:r>
              <w:rPr>
                <w:rFonts w:hint="eastAsia"/>
                <w:highlight w:val="none"/>
              </w:rPr>
              <w:t>扶手直线度</w:t>
            </w:r>
          </w:p>
        </w:tc>
        <w:tc>
          <w:tcPr>
            <w:tcW w:w="1364" w:type="dxa"/>
            <w:tcBorders>
              <w:tl2br w:val="nil"/>
              <w:tr2bl w:val="nil"/>
            </w:tcBorders>
            <w:vAlign w:val="center"/>
          </w:tcPr>
          <w:p w14:paraId="40A95314">
            <w:pPr>
              <w:pStyle w:val="49"/>
              <w:rPr>
                <w:highlight w:val="none"/>
              </w:rPr>
            </w:pPr>
            <w:r>
              <w:rPr>
                <w:highlight w:val="none"/>
              </w:rPr>
              <w:t>4mm</w:t>
            </w:r>
          </w:p>
        </w:tc>
        <w:tc>
          <w:tcPr>
            <w:tcW w:w="914" w:type="dxa"/>
            <w:tcBorders>
              <w:tl2br w:val="nil"/>
              <w:tr2bl w:val="nil"/>
            </w:tcBorders>
            <w:vAlign w:val="center"/>
          </w:tcPr>
          <w:p w14:paraId="7EED8C04">
            <w:pPr>
              <w:pStyle w:val="49"/>
              <w:rPr>
                <w:highlight w:val="none"/>
              </w:rPr>
            </w:pPr>
            <w:r>
              <w:rPr>
                <w:rFonts w:hint="eastAsia"/>
                <w:highlight w:val="none"/>
              </w:rPr>
              <w:t>全数检查</w:t>
            </w:r>
          </w:p>
        </w:tc>
        <w:tc>
          <w:tcPr>
            <w:tcW w:w="1509" w:type="dxa"/>
            <w:tcBorders>
              <w:tl2br w:val="nil"/>
              <w:tr2bl w:val="nil"/>
            </w:tcBorders>
            <w:vAlign w:val="center"/>
          </w:tcPr>
          <w:p w14:paraId="14F893A6">
            <w:pPr>
              <w:pStyle w:val="49"/>
              <w:rPr>
                <w:highlight w:val="none"/>
              </w:rPr>
            </w:pPr>
            <w:r>
              <w:rPr>
                <w:rFonts w:hint="eastAsia"/>
                <w:highlight w:val="none"/>
              </w:rPr>
              <w:t>拉通线，钢直尺检查</w:t>
            </w:r>
          </w:p>
        </w:tc>
      </w:tr>
      <w:tr w14:paraId="723DEC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tcBorders>
              <w:tl2br w:val="nil"/>
              <w:tr2bl w:val="nil"/>
            </w:tcBorders>
            <w:vAlign w:val="center"/>
          </w:tcPr>
          <w:p w14:paraId="0B9F83E2">
            <w:pPr>
              <w:pStyle w:val="49"/>
              <w:rPr>
                <w:highlight w:val="none"/>
              </w:rPr>
            </w:pPr>
          </w:p>
        </w:tc>
        <w:tc>
          <w:tcPr>
            <w:tcW w:w="1675" w:type="dxa"/>
            <w:tcBorders>
              <w:tl2br w:val="nil"/>
              <w:tr2bl w:val="nil"/>
            </w:tcBorders>
            <w:vAlign w:val="center"/>
          </w:tcPr>
          <w:p w14:paraId="17724988">
            <w:pPr>
              <w:pStyle w:val="49"/>
              <w:rPr>
                <w:highlight w:val="none"/>
              </w:rPr>
            </w:pPr>
            <w:r>
              <w:rPr>
                <w:rFonts w:hint="eastAsia"/>
                <w:highlight w:val="none"/>
              </w:rPr>
              <w:t>扶手高度</w:t>
            </w:r>
          </w:p>
        </w:tc>
        <w:tc>
          <w:tcPr>
            <w:tcW w:w="1364" w:type="dxa"/>
            <w:tcBorders>
              <w:tl2br w:val="nil"/>
              <w:tr2bl w:val="nil"/>
            </w:tcBorders>
            <w:vAlign w:val="center"/>
          </w:tcPr>
          <w:p w14:paraId="3EF91C6F">
            <w:pPr>
              <w:pStyle w:val="49"/>
              <w:rPr>
                <w:highlight w:val="none"/>
              </w:rPr>
            </w:pPr>
            <w:r>
              <w:rPr>
                <w:rFonts w:hint="eastAsia"/>
                <w:highlight w:val="none"/>
              </w:rPr>
              <w:t>﹢6mm,0</w:t>
            </w:r>
          </w:p>
        </w:tc>
        <w:tc>
          <w:tcPr>
            <w:tcW w:w="914" w:type="dxa"/>
            <w:tcBorders>
              <w:tl2br w:val="nil"/>
              <w:tr2bl w:val="nil"/>
            </w:tcBorders>
            <w:vAlign w:val="center"/>
          </w:tcPr>
          <w:p w14:paraId="68F1D391">
            <w:pPr>
              <w:pStyle w:val="49"/>
              <w:rPr>
                <w:highlight w:val="none"/>
              </w:rPr>
            </w:pPr>
            <w:r>
              <w:rPr>
                <w:rFonts w:hint="eastAsia"/>
                <w:highlight w:val="none"/>
              </w:rPr>
              <w:t>全数检查</w:t>
            </w:r>
          </w:p>
        </w:tc>
        <w:tc>
          <w:tcPr>
            <w:tcW w:w="1509" w:type="dxa"/>
            <w:tcBorders>
              <w:tl2br w:val="nil"/>
              <w:tr2bl w:val="nil"/>
            </w:tcBorders>
            <w:vAlign w:val="center"/>
          </w:tcPr>
          <w:p w14:paraId="5933299E">
            <w:pPr>
              <w:pStyle w:val="49"/>
              <w:rPr>
                <w:highlight w:val="none"/>
              </w:rPr>
            </w:pPr>
            <w:r>
              <w:rPr>
                <w:rFonts w:hint="eastAsia"/>
                <w:highlight w:val="none"/>
              </w:rPr>
              <w:t>钢尺检查</w:t>
            </w:r>
          </w:p>
        </w:tc>
      </w:tr>
    </w:tbl>
    <w:p w14:paraId="42B82BEE">
      <w:pPr>
        <w:rPr>
          <w:highlight w:val="none"/>
        </w:rPr>
      </w:pPr>
      <w:r>
        <w:rPr>
          <w:rFonts w:hint="eastAsia"/>
          <w:b/>
          <w:highlight w:val="none"/>
        </w:rPr>
        <w:t>8.</w:t>
      </w:r>
      <w:r>
        <w:rPr>
          <w:rFonts w:hint="eastAsia"/>
          <w:b/>
          <w:szCs w:val="24"/>
          <w:highlight w:val="none"/>
          <w:lang w:val="en-US" w:eastAsia="zh-CN"/>
        </w:rPr>
        <w:t>6</w:t>
      </w:r>
      <w:r>
        <w:rPr>
          <w:rFonts w:hint="eastAsia"/>
          <w:b/>
          <w:szCs w:val="24"/>
          <w:highlight w:val="none"/>
        </w:rPr>
        <w:t>.</w:t>
      </w:r>
      <w:r>
        <w:rPr>
          <w:b/>
          <w:szCs w:val="24"/>
          <w:highlight w:val="none"/>
        </w:rPr>
        <w:t xml:space="preserve">8  </w:t>
      </w:r>
      <w:r>
        <w:rPr>
          <w:rFonts w:hint="eastAsia"/>
          <w:szCs w:val="24"/>
          <w:highlight w:val="none"/>
        </w:rPr>
        <w:t>模块单元的预埋件、插筋、对拉孔、设备孔、预埋波纹管的规格、数量和间距应满足设计要求。</w:t>
      </w:r>
    </w:p>
    <w:p w14:paraId="6691CF1B">
      <w:pPr>
        <w:ind w:firstLine="420" w:firstLineChars="200"/>
        <w:rPr>
          <w:highlight w:val="none"/>
        </w:rPr>
      </w:pPr>
      <w:r>
        <w:rPr>
          <w:rFonts w:hint="eastAsia"/>
          <w:szCs w:val="24"/>
          <w:highlight w:val="none"/>
        </w:rPr>
        <w:t>检查数量：全数检验。</w:t>
      </w:r>
    </w:p>
    <w:p w14:paraId="32E0A199">
      <w:pPr>
        <w:ind w:firstLine="420" w:firstLineChars="200"/>
        <w:rPr>
          <w:highlight w:val="none"/>
        </w:rPr>
      </w:pPr>
      <w:r>
        <w:rPr>
          <w:rFonts w:hint="eastAsia"/>
          <w:szCs w:val="24"/>
          <w:highlight w:val="none"/>
        </w:rPr>
        <w:t>检验方法：观察和量测。</w:t>
      </w:r>
    </w:p>
    <w:p w14:paraId="3A8DC4ED">
      <w:pPr>
        <w:rPr>
          <w:highlight w:val="none"/>
        </w:rPr>
      </w:pPr>
      <w:bookmarkStart w:id="976" w:name="_Toc23662"/>
      <w:bookmarkStart w:id="977" w:name="_Toc26879"/>
      <w:r>
        <w:rPr>
          <w:rFonts w:hint="eastAsia"/>
          <w:b/>
          <w:highlight w:val="none"/>
        </w:rPr>
        <w:t>8.</w:t>
      </w:r>
      <w:r>
        <w:rPr>
          <w:rFonts w:hint="eastAsia"/>
          <w:b/>
          <w:szCs w:val="24"/>
          <w:highlight w:val="none"/>
          <w:lang w:val="en-US" w:eastAsia="zh-CN"/>
        </w:rPr>
        <w:t>6</w:t>
      </w:r>
      <w:r>
        <w:rPr>
          <w:rFonts w:hint="eastAsia"/>
          <w:b/>
          <w:szCs w:val="24"/>
          <w:highlight w:val="none"/>
        </w:rPr>
        <w:t>.</w:t>
      </w:r>
      <w:r>
        <w:rPr>
          <w:b/>
          <w:szCs w:val="24"/>
          <w:highlight w:val="none"/>
        </w:rPr>
        <w:t xml:space="preserve">9  </w:t>
      </w:r>
      <w:r>
        <w:rPr>
          <w:rFonts w:hint="eastAsia"/>
          <w:szCs w:val="24"/>
          <w:highlight w:val="none"/>
        </w:rPr>
        <w:t>模块单元的粗糙面或键槽成型质量应满足设计要求。</w:t>
      </w:r>
      <w:bookmarkEnd w:id="976"/>
      <w:bookmarkEnd w:id="977"/>
    </w:p>
    <w:p w14:paraId="1F19824E">
      <w:pPr>
        <w:ind w:firstLine="420" w:firstLineChars="200"/>
        <w:rPr>
          <w:highlight w:val="none"/>
        </w:rPr>
      </w:pPr>
      <w:r>
        <w:rPr>
          <w:rFonts w:hint="eastAsia"/>
          <w:szCs w:val="24"/>
          <w:highlight w:val="none"/>
        </w:rPr>
        <w:t>检查数量：全数检验。</w:t>
      </w:r>
    </w:p>
    <w:p w14:paraId="251F9EC5">
      <w:pPr>
        <w:ind w:firstLine="420" w:firstLineChars="200"/>
        <w:rPr>
          <w:highlight w:val="none"/>
        </w:rPr>
      </w:pPr>
      <w:r>
        <w:rPr>
          <w:rFonts w:hint="eastAsia"/>
          <w:szCs w:val="24"/>
          <w:highlight w:val="none"/>
        </w:rPr>
        <w:t>检验方法：观察和量测。</w:t>
      </w:r>
    </w:p>
    <w:p w14:paraId="44F2FA94">
      <w:pPr>
        <w:rPr>
          <w:highlight w:val="none"/>
        </w:rPr>
      </w:pPr>
      <w:r>
        <w:rPr>
          <w:rFonts w:hint="eastAsia"/>
          <w:b/>
          <w:highlight w:val="none"/>
        </w:rPr>
        <w:t>8.</w:t>
      </w:r>
      <w:r>
        <w:rPr>
          <w:rFonts w:hint="eastAsia"/>
          <w:b/>
          <w:highlight w:val="none"/>
          <w:lang w:val="en-US" w:eastAsia="zh-CN"/>
        </w:rPr>
        <w:t>6</w:t>
      </w:r>
      <w:r>
        <w:rPr>
          <w:rFonts w:hint="eastAsia"/>
          <w:b/>
          <w:highlight w:val="none"/>
        </w:rPr>
        <w:t>.</w:t>
      </w:r>
      <w:r>
        <w:rPr>
          <w:b/>
          <w:highlight w:val="none"/>
        </w:rPr>
        <w:t xml:space="preserve">10  </w:t>
      </w:r>
      <w:r>
        <w:rPr>
          <w:rFonts w:hint="eastAsia"/>
          <w:highlight w:val="none"/>
        </w:rPr>
        <w:t>模块单元的装修质量检验应包括墙面、地面、天花、机电和门窗等内容，并宜根据附录A中样式出示模块单元装修质量检测报告。</w:t>
      </w:r>
    </w:p>
    <w:p w14:paraId="7CC54779">
      <w:pPr>
        <w:ind w:firstLine="420" w:firstLineChars="200"/>
        <w:rPr>
          <w:highlight w:val="none"/>
        </w:rPr>
      </w:pPr>
      <w:r>
        <w:rPr>
          <w:rFonts w:hint="eastAsia"/>
          <w:highlight w:val="none"/>
        </w:rPr>
        <w:t>检查数量：全数检查。</w:t>
      </w:r>
    </w:p>
    <w:p w14:paraId="200542BB">
      <w:pPr>
        <w:ind w:firstLine="420" w:firstLineChars="200"/>
        <w:rPr>
          <w:highlight w:val="none"/>
        </w:rPr>
      </w:pPr>
      <w:r>
        <w:rPr>
          <w:rFonts w:hint="eastAsia"/>
          <w:highlight w:val="none"/>
        </w:rPr>
        <w:t>检验方法：应符合本</w:t>
      </w:r>
      <w:r>
        <w:rPr>
          <w:rFonts w:hint="eastAsia"/>
          <w:highlight w:val="none"/>
          <w:lang w:val="en-US" w:eastAsia="zh-CN"/>
        </w:rPr>
        <w:t>标准</w:t>
      </w:r>
      <w:r>
        <w:rPr>
          <w:rFonts w:hint="eastAsia"/>
          <w:highlight w:val="none"/>
        </w:rPr>
        <w:t>附录</w:t>
      </w:r>
      <w:r>
        <w:rPr>
          <w:rFonts w:hint="eastAsia"/>
          <w:highlight w:val="none"/>
          <w:lang w:val="en-US" w:eastAsia="zh-CN"/>
        </w:rPr>
        <w:t>A</w:t>
      </w:r>
      <w:r>
        <w:rPr>
          <w:rFonts w:hint="eastAsia"/>
          <w:highlight w:val="none"/>
        </w:rPr>
        <w:t>的规定。</w:t>
      </w:r>
    </w:p>
    <w:p w14:paraId="147B33F3">
      <w:pPr>
        <w:rPr>
          <w:szCs w:val="24"/>
          <w:highlight w:val="none"/>
        </w:rPr>
      </w:pPr>
      <w:r>
        <w:rPr>
          <w:rFonts w:hint="eastAsia"/>
          <w:b/>
          <w:highlight w:val="none"/>
        </w:rPr>
        <w:t>8.</w:t>
      </w:r>
      <w:r>
        <w:rPr>
          <w:rFonts w:hint="eastAsia"/>
          <w:b/>
          <w:szCs w:val="24"/>
          <w:highlight w:val="none"/>
          <w:lang w:val="en-US" w:eastAsia="zh-CN"/>
        </w:rPr>
        <w:t>6</w:t>
      </w:r>
      <w:r>
        <w:rPr>
          <w:rFonts w:hint="eastAsia"/>
          <w:b/>
          <w:szCs w:val="24"/>
          <w:highlight w:val="none"/>
        </w:rPr>
        <w:t>.</w:t>
      </w:r>
      <w:r>
        <w:rPr>
          <w:b/>
          <w:szCs w:val="24"/>
          <w:highlight w:val="none"/>
        </w:rPr>
        <w:t xml:space="preserve">11  </w:t>
      </w:r>
      <w:r>
        <w:rPr>
          <w:rFonts w:hint="eastAsia"/>
          <w:szCs w:val="24"/>
          <w:highlight w:val="none"/>
        </w:rPr>
        <w:t>内、外面砖或石材饰面与模块单元混凝土的粘结强度应符合现行行业标准《建筑工程饰面砖粘结强度检验标准》JGJ 110和《外墙饰面砖工程施工及验收规程》JGJ</w:t>
      </w:r>
      <w:r>
        <w:rPr>
          <w:szCs w:val="24"/>
          <w:highlight w:val="none"/>
        </w:rPr>
        <w:t xml:space="preserve"> </w:t>
      </w:r>
      <w:r>
        <w:rPr>
          <w:rFonts w:hint="eastAsia"/>
          <w:szCs w:val="24"/>
          <w:highlight w:val="none"/>
        </w:rPr>
        <w:t>126的有关规定。</w:t>
      </w:r>
    </w:p>
    <w:p w14:paraId="22ACC68A">
      <w:pPr>
        <w:ind w:firstLine="420" w:firstLineChars="200"/>
        <w:rPr>
          <w:szCs w:val="24"/>
          <w:highlight w:val="none"/>
        </w:rPr>
      </w:pPr>
      <w:r>
        <w:rPr>
          <w:rFonts w:hint="eastAsia"/>
          <w:szCs w:val="24"/>
          <w:highlight w:val="none"/>
        </w:rPr>
        <w:t>检查数量：按同一工程、同一工艺分批抽样检验。</w:t>
      </w:r>
    </w:p>
    <w:p w14:paraId="47B63636">
      <w:pPr>
        <w:ind w:firstLine="420" w:firstLineChars="200"/>
        <w:rPr>
          <w:szCs w:val="24"/>
          <w:highlight w:val="none"/>
        </w:rPr>
      </w:pPr>
      <w:r>
        <w:rPr>
          <w:rFonts w:hint="eastAsia"/>
          <w:szCs w:val="24"/>
          <w:highlight w:val="none"/>
        </w:rPr>
        <w:t>检验方法：检查试验报告单。</w:t>
      </w:r>
    </w:p>
    <w:p w14:paraId="1179B027">
      <w:pPr>
        <w:rPr>
          <w:highlight w:val="none"/>
        </w:rPr>
      </w:pPr>
      <w:bookmarkStart w:id="978" w:name="_Toc29335"/>
      <w:bookmarkStart w:id="979" w:name="_Toc30184"/>
      <w:r>
        <w:rPr>
          <w:rFonts w:hint="eastAsia"/>
          <w:b/>
          <w:highlight w:val="none"/>
        </w:rPr>
        <w:t>8.</w:t>
      </w:r>
      <w:r>
        <w:rPr>
          <w:rFonts w:hint="eastAsia"/>
          <w:b/>
          <w:highlight w:val="none"/>
          <w:lang w:val="en-US" w:eastAsia="zh-CN"/>
        </w:rPr>
        <w:t>6</w:t>
      </w:r>
      <w:r>
        <w:rPr>
          <w:rFonts w:hint="eastAsia"/>
          <w:b/>
          <w:highlight w:val="none"/>
        </w:rPr>
        <w:t>.</w:t>
      </w:r>
      <w:r>
        <w:rPr>
          <w:b/>
          <w:highlight w:val="none"/>
        </w:rPr>
        <w:t xml:space="preserve">12  </w:t>
      </w:r>
      <w:r>
        <w:rPr>
          <w:rFonts w:hint="eastAsia"/>
          <w:highlight w:val="none"/>
        </w:rPr>
        <w:t>模块单元出厂前应进行吊装测试。</w:t>
      </w:r>
      <w:bookmarkEnd w:id="978"/>
      <w:bookmarkEnd w:id="979"/>
    </w:p>
    <w:p w14:paraId="621E5E4C">
      <w:pPr>
        <w:ind w:firstLine="420" w:firstLineChars="200"/>
        <w:rPr>
          <w:highlight w:val="none"/>
        </w:rPr>
      </w:pPr>
      <w:r>
        <w:rPr>
          <w:rFonts w:hint="eastAsia"/>
          <w:highlight w:val="none"/>
        </w:rPr>
        <w:t>检查数量：同种类型的模块单元至少检测1个。</w:t>
      </w:r>
    </w:p>
    <w:p w14:paraId="00166280">
      <w:pPr>
        <w:ind w:firstLine="420" w:firstLineChars="200"/>
        <w:rPr>
          <w:highlight w:val="none"/>
        </w:rPr>
      </w:pPr>
      <w:r>
        <w:rPr>
          <w:rFonts w:hint="eastAsia"/>
          <w:highlight w:val="none"/>
        </w:rPr>
        <w:t>检验方法：应符合本</w:t>
      </w:r>
      <w:r>
        <w:rPr>
          <w:rFonts w:hint="eastAsia"/>
          <w:highlight w:val="none"/>
          <w:lang w:val="en-US" w:eastAsia="zh-CN"/>
        </w:rPr>
        <w:t>标准</w:t>
      </w:r>
      <w:r>
        <w:rPr>
          <w:rFonts w:hint="eastAsia"/>
          <w:highlight w:val="none"/>
        </w:rPr>
        <w:t>附录</w:t>
      </w:r>
      <w:r>
        <w:rPr>
          <w:rFonts w:hint="eastAsia"/>
          <w:highlight w:val="none"/>
          <w:lang w:val="en-US" w:eastAsia="zh-CN"/>
        </w:rPr>
        <w:t>B</w:t>
      </w:r>
      <w:r>
        <w:rPr>
          <w:rFonts w:hint="eastAsia"/>
          <w:highlight w:val="none"/>
        </w:rPr>
        <w:t>的规定。</w:t>
      </w:r>
    </w:p>
    <w:p w14:paraId="7EA9274A">
      <w:pPr>
        <w:rPr>
          <w:highlight w:val="none"/>
        </w:rPr>
      </w:pPr>
      <w:r>
        <w:rPr>
          <w:rFonts w:hint="eastAsia"/>
          <w:b/>
          <w:highlight w:val="none"/>
        </w:rPr>
        <w:t>8.</w:t>
      </w:r>
      <w:r>
        <w:rPr>
          <w:rFonts w:hint="eastAsia"/>
          <w:b/>
          <w:highlight w:val="none"/>
          <w:lang w:val="en-US" w:eastAsia="zh-CN"/>
        </w:rPr>
        <w:t>6</w:t>
      </w:r>
      <w:r>
        <w:rPr>
          <w:rFonts w:hint="eastAsia"/>
          <w:b/>
          <w:highlight w:val="none"/>
        </w:rPr>
        <w:t>.</w:t>
      </w:r>
      <w:r>
        <w:rPr>
          <w:b/>
          <w:highlight w:val="none"/>
        </w:rPr>
        <w:t xml:space="preserve">13  </w:t>
      </w:r>
      <w:r>
        <w:rPr>
          <w:rFonts w:hint="eastAsia"/>
          <w:highlight w:val="none"/>
        </w:rPr>
        <w:t>卫浴及厨房模块单元应进行蓄水试验，其排水坡度、通风装置、安装及检修用管道空间、地面防水层均应符合设计要求和</w:t>
      </w:r>
      <w:r>
        <w:rPr>
          <w:rFonts w:hint="eastAsia"/>
          <w:highlight w:val="none"/>
          <w:lang w:eastAsia="zh-CN"/>
        </w:rPr>
        <w:t>本标准</w:t>
      </w:r>
      <w:r>
        <w:rPr>
          <w:rFonts w:hint="eastAsia"/>
          <w:highlight w:val="none"/>
        </w:rPr>
        <w:t>的有关规定。</w:t>
      </w:r>
    </w:p>
    <w:p w14:paraId="7633C70E">
      <w:pPr>
        <w:ind w:firstLine="420" w:firstLineChars="200"/>
        <w:rPr>
          <w:highlight w:val="none"/>
        </w:rPr>
      </w:pPr>
      <w:r>
        <w:rPr>
          <w:rFonts w:hint="eastAsia"/>
          <w:highlight w:val="none"/>
        </w:rPr>
        <w:t>检查数量：同种类型的模块单元每次抽检数量不应少于该品种数量的</w:t>
      </w:r>
      <w:r>
        <w:rPr>
          <w:highlight w:val="none"/>
        </w:rPr>
        <w:t>10</w:t>
      </w:r>
      <w:r>
        <w:rPr>
          <w:rFonts w:hint="eastAsia"/>
          <w:highlight w:val="none"/>
        </w:rPr>
        <w:t>％且不少于</w:t>
      </w:r>
      <w:r>
        <w:rPr>
          <w:highlight w:val="none"/>
        </w:rPr>
        <w:t>5</w:t>
      </w:r>
      <w:r>
        <w:rPr>
          <w:rFonts w:hint="eastAsia"/>
          <w:highlight w:val="none"/>
        </w:rPr>
        <w:t>件。</w:t>
      </w:r>
    </w:p>
    <w:p w14:paraId="414FDCBE">
      <w:pPr>
        <w:ind w:firstLine="420" w:firstLineChars="200"/>
        <w:rPr>
          <w:highlight w:val="none"/>
        </w:rPr>
      </w:pPr>
      <w:r>
        <w:rPr>
          <w:rFonts w:hint="eastAsia"/>
          <w:highlight w:val="none"/>
        </w:rPr>
        <w:t>检验方法：蓄水试验前，应封堵试验区域内的排水口，蓄水时间不应小于2</w:t>
      </w:r>
      <w:r>
        <w:rPr>
          <w:highlight w:val="none"/>
        </w:rPr>
        <w:t>4</w:t>
      </w:r>
      <w:r>
        <w:rPr>
          <w:rFonts w:hint="eastAsia"/>
          <w:highlight w:val="none"/>
        </w:rPr>
        <w:t>h，蓄水深度最浅处不应小于</w:t>
      </w:r>
      <w:r>
        <w:rPr>
          <w:highlight w:val="none"/>
        </w:rPr>
        <w:t>25</w:t>
      </w:r>
      <w:r>
        <w:rPr>
          <w:rFonts w:hint="eastAsia"/>
          <w:highlight w:val="none"/>
        </w:rPr>
        <w:t>mm。</w:t>
      </w:r>
    </w:p>
    <w:p w14:paraId="7F198B1D">
      <w:pPr>
        <w:rPr>
          <w:highlight w:val="none"/>
        </w:rPr>
      </w:pPr>
      <w:r>
        <w:rPr>
          <w:rFonts w:hint="eastAsia"/>
          <w:b/>
          <w:highlight w:val="none"/>
        </w:rPr>
        <w:t>8.</w:t>
      </w:r>
      <w:r>
        <w:rPr>
          <w:rFonts w:hint="eastAsia"/>
          <w:b/>
          <w:highlight w:val="none"/>
          <w:lang w:val="en-US" w:eastAsia="zh-CN"/>
        </w:rPr>
        <w:t>6</w:t>
      </w:r>
      <w:r>
        <w:rPr>
          <w:rFonts w:hint="eastAsia"/>
          <w:b/>
          <w:highlight w:val="none"/>
        </w:rPr>
        <w:t>.</w:t>
      </w:r>
      <w:r>
        <w:rPr>
          <w:b/>
          <w:highlight w:val="none"/>
        </w:rPr>
        <w:t xml:space="preserve">14  </w:t>
      </w:r>
      <w:r>
        <w:rPr>
          <w:rFonts w:hint="eastAsia"/>
          <w:highlight w:val="none"/>
        </w:rPr>
        <w:t>模块单元出厂前应对有防水要求的外墙、外窗、门进行淋水试验。</w:t>
      </w:r>
    </w:p>
    <w:p w14:paraId="57453410">
      <w:pPr>
        <w:ind w:firstLine="420" w:firstLineChars="200"/>
        <w:rPr>
          <w:rFonts w:hint="default" w:eastAsia="宋体"/>
          <w:highlight w:val="none"/>
          <w:lang w:val="en-US" w:eastAsia="zh-CN"/>
        </w:rPr>
      </w:pPr>
      <w:r>
        <w:rPr>
          <w:rFonts w:hint="eastAsia"/>
          <w:highlight w:val="none"/>
        </w:rPr>
        <w:t>检查数量：全数检查</w:t>
      </w:r>
      <w:r>
        <w:rPr>
          <w:rFonts w:hint="eastAsia"/>
          <w:highlight w:val="none"/>
          <w:lang w:eastAsia="zh-CN"/>
        </w:rPr>
        <w:t>。</w:t>
      </w:r>
      <w:r>
        <w:rPr>
          <w:rFonts w:hint="eastAsia"/>
          <w:highlight w:val="none"/>
          <w:lang w:val="en-US" w:eastAsia="zh-CN"/>
        </w:rPr>
        <w:t xml:space="preserve">  </w:t>
      </w:r>
    </w:p>
    <w:p w14:paraId="7094627C">
      <w:pPr>
        <w:ind w:firstLine="420" w:firstLineChars="200"/>
        <w:rPr>
          <w:highlight w:val="none"/>
        </w:rPr>
      </w:pPr>
      <w:r>
        <w:rPr>
          <w:rFonts w:hint="eastAsia"/>
          <w:highlight w:val="none"/>
        </w:rPr>
        <w:t>检验方法：试验前应关闭窗户，封闭各种预留洞口，采用淋水管线对模块单元自上而下淋水，淋水水压不应低于</w:t>
      </w:r>
      <w:r>
        <w:rPr>
          <w:highlight w:val="none"/>
        </w:rPr>
        <w:t>0.3MPa</w:t>
      </w:r>
      <w:r>
        <w:rPr>
          <w:rFonts w:hint="eastAsia"/>
          <w:highlight w:val="none"/>
        </w:rPr>
        <w:t>，并应能在待测区域表面形成均匀水幕，检查背水面渗漏情况。</w:t>
      </w:r>
    </w:p>
    <w:p w14:paraId="06F2F6E8">
      <w:pPr>
        <w:rPr>
          <w:highlight w:val="none"/>
        </w:rPr>
      </w:pPr>
      <w:r>
        <w:rPr>
          <w:rFonts w:hint="eastAsia"/>
          <w:b/>
          <w:highlight w:val="none"/>
        </w:rPr>
        <w:t>8.</w:t>
      </w:r>
      <w:r>
        <w:rPr>
          <w:rFonts w:hint="eastAsia"/>
          <w:b/>
          <w:highlight w:val="none"/>
          <w:lang w:val="en-US" w:eastAsia="zh-CN"/>
        </w:rPr>
        <w:t>6</w:t>
      </w:r>
      <w:r>
        <w:rPr>
          <w:rFonts w:hint="eastAsia"/>
          <w:b/>
          <w:highlight w:val="none"/>
        </w:rPr>
        <w:t>.</w:t>
      </w:r>
      <w:r>
        <w:rPr>
          <w:b/>
          <w:highlight w:val="none"/>
        </w:rPr>
        <w:t xml:space="preserve">15  </w:t>
      </w:r>
      <w:r>
        <w:rPr>
          <w:rFonts w:hint="eastAsia"/>
          <w:highlight w:val="none"/>
        </w:rPr>
        <w:t>模块单元的使用功能检验应包括模块单元的通水、通电测试。</w:t>
      </w:r>
    </w:p>
    <w:p w14:paraId="36342FCB">
      <w:pPr>
        <w:ind w:firstLine="420" w:firstLineChars="200"/>
        <w:rPr>
          <w:rFonts w:hint="default" w:eastAsia="宋体"/>
          <w:highlight w:val="none"/>
          <w:lang w:val="en-US" w:eastAsia="zh-CN"/>
        </w:rPr>
      </w:pPr>
      <w:r>
        <w:rPr>
          <w:rFonts w:hint="eastAsia"/>
          <w:highlight w:val="none"/>
        </w:rPr>
        <w:t>检查数量：全数检查</w:t>
      </w:r>
      <w:r>
        <w:rPr>
          <w:rFonts w:hint="eastAsia"/>
          <w:highlight w:val="none"/>
          <w:lang w:eastAsia="zh-CN"/>
        </w:rPr>
        <w:t>。</w:t>
      </w:r>
      <w:r>
        <w:rPr>
          <w:rFonts w:hint="eastAsia"/>
          <w:highlight w:val="none"/>
          <w:lang w:val="en-US" w:eastAsia="zh-CN"/>
        </w:rPr>
        <w:t xml:space="preserve">  </w:t>
      </w:r>
    </w:p>
    <w:p w14:paraId="4A4EBB3E">
      <w:pPr>
        <w:ind w:firstLine="420" w:firstLineChars="200"/>
        <w:rPr>
          <w:rFonts w:hint="eastAsia"/>
          <w:highlight w:val="none"/>
        </w:rPr>
      </w:pPr>
      <w:r>
        <w:rPr>
          <w:rFonts w:hint="eastAsia"/>
          <w:highlight w:val="none"/>
        </w:rPr>
        <w:t>检验方法：各种承压管道系统和设备应做水压试验，非承压管道系统和设备应做灌水试验，照明系统和其他电气设备应做通电试运行。</w:t>
      </w:r>
    </w:p>
    <w:p w14:paraId="1E928D5A">
      <w:pPr>
        <w:ind w:firstLine="420" w:firstLineChars="200"/>
        <w:rPr>
          <w:rFonts w:hint="eastAsia"/>
          <w:highlight w:val="none"/>
        </w:rPr>
      </w:pPr>
    </w:p>
    <w:p w14:paraId="74AA6B72">
      <w:pPr>
        <w:pStyle w:val="3"/>
        <w:spacing w:before="166" w:beforeLines="50" w:after="166" w:afterLines="50" w:line="360" w:lineRule="auto"/>
        <w:jc w:val="center"/>
        <w:rPr>
          <w:rFonts w:ascii="Times New Roman" w:hAnsi="Times New Roman" w:eastAsia="黑体" w:cs="Times New Roman"/>
          <w:sz w:val="24"/>
          <w:szCs w:val="24"/>
          <w:highlight w:val="none"/>
        </w:rPr>
      </w:pPr>
      <w:bookmarkStart w:id="980" w:name="_Toc48"/>
      <w:bookmarkStart w:id="981" w:name="_Toc24001"/>
      <w:bookmarkStart w:id="982" w:name="_Toc18212"/>
      <w:bookmarkStart w:id="983" w:name="_Toc7142"/>
      <w:bookmarkStart w:id="984" w:name="_Toc24593"/>
      <w:bookmarkStart w:id="985" w:name="_Toc20182"/>
      <w:bookmarkStart w:id="986" w:name="_Toc18482"/>
      <w:bookmarkStart w:id="987" w:name="_Toc32568"/>
      <w:bookmarkStart w:id="988" w:name="_Toc23901"/>
      <w:bookmarkStart w:id="989" w:name="_Toc16438"/>
      <w:bookmarkStart w:id="990" w:name="_Toc13808"/>
      <w:bookmarkStart w:id="991" w:name="_Toc3893"/>
      <w:r>
        <w:rPr>
          <w:rFonts w:hint="eastAsia" w:ascii="Times New Roman" w:hAnsi="Times New Roman" w:eastAsia="黑体" w:cs="Times New Roman"/>
          <w:b/>
          <w:sz w:val="24"/>
          <w:szCs w:val="24"/>
          <w:highlight w:val="none"/>
        </w:rPr>
        <w:t>8.</w:t>
      </w:r>
      <w:r>
        <w:rPr>
          <w:rFonts w:hint="eastAsia" w:ascii="Times New Roman" w:hAnsi="Times New Roman" w:eastAsia="黑体" w:cs="Times New Roman"/>
          <w:b/>
          <w:sz w:val="24"/>
          <w:szCs w:val="24"/>
          <w:highlight w:val="none"/>
          <w:lang w:val="en-US" w:eastAsia="zh-CN"/>
        </w:rPr>
        <w:t>7</w:t>
      </w:r>
      <w:r>
        <w:rPr>
          <w:rFonts w:hint="eastAsia" w:ascii="Times New Roman" w:hAnsi="Times New Roman" w:eastAsia="黑体" w:cs="Times New Roman"/>
          <w:b/>
          <w:sz w:val="24"/>
          <w:szCs w:val="24"/>
          <w:highlight w:val="none"/>
        </w:rPr>
        <w:t xml:space="preserve"> </w:t>
      </w:r>
      <w:r>
        <w:rPr>
          <w:rFonts w:hint="eastAsia" w:ascii="Times New Roman" w:hAnsi="Times New Roman" w:eastAsia="黑体" w:cs="Times New Roman"/>
          <w:sz w:val="24"/>
          <w:szCs w:val="24"/>
          <w:highlight w:val="none"/>
        </w:rPr>
        <w:t xml:space="preserve"> 吊</w:t>
      </w:r>
      <w:r>
        <w:rPr>
          <w:rFonts w:hint="eastAsia" w:ascii="Times New Roman" w:hAnsi="Times New Roman" w:eastAsia="黑体" w:cs="Times New Roman"/>
          <w:sz w:val="24"/>
          <w:szCs w:val="24"/>
          <w:highlight w:val="none"/>
          <w:lang w:val="en-US" w:eastAsia="zh-CN"/>
        </w:rPr>
        <w:t>运</w:t>
      </w:r>
      <w:r>
        <w:rPr>
          <w:rFonts w:hint="eastAsia" w:ascii="Times New Roman" w:hAnsi="Times New Roman" w:eastAsia="黑体" w:cs="Times New Roman"/>
          <w:sz w:val="24"/>
          <w:szCs w:val="24"/>
          <w:highlight w:val="none"/>
        </w:rPr>
        <w:t>、存放</w:t>
      </w:r>
      <w:r>
        <w:rPr>
          <w:rFonts w:hint="eastAsia" w:ascii="Times New Roman" w:hAnsi="Times New Roman" w:eastAsia="黑体" w:cs="Times New Roman"/>
          <w:sz w:val="24"/>
          <w:szCs w:val="24"/>
          <w:highlight w:val="none"/>
          <w:lang w:eastAsia="zh-CN"/>
        </w:rPr>
        <w:t>、</w:t>
      </w:r>
      <w:r>
        <w:rPr>
          <w:rFonts w:hint="eastAsia" w:ascii="Times New Roman" w:hAnsi="Times New Roman" w:eastAsia="黑体" w:cs="Times New Roman"/>
          <w:sz w:val="24"/>
          <w:szCs w:val="24"/>
          <w:highlight w:val="none"/>
          <w:lang w:val="en-US" w:eastAsia="zh-CN"/>
        </w:rPr>
        <w:t>保护</w:t>
      </w:r>
      <w:r>
        <w:rPr>
          <w:rFonts w:hint="eastAsia" w:ascii="Times New Roman" w:hAnsi="Times New Roman" w:eastAsia="黑体" w:cs="Times New Roman"/>
          <w:sz w:val="24"/>
          <w:szCs w:val="24"/>
          <w:highlight w:val="none"/>
        </w:rPr>
        <w:t>及运输</w:t>
      </w:r>
      <w:bookmarkEnd w:id="980"/>
      <w:bookmarkEnd w:id="981"/>
      <w:bookmarkEnd w:id="982"/>
      <w:bookmarkEnd w:id="983"/>
      <w:bookmarkEnd w:id="984"/>
      <w:bookmarkEnd w:id="985"/>
      <w:bookmarkEnd w:id="986"/>
      <w:bookmarkEnd w:id="987"/>
      <w:bookmarkEnd w:id="988"/>
      <w:bookmarkEnd w:id="989"/>
      <w:bookmarkEnd w:id="990"/>
      <w:bookmarkEnd w:id="991"/>
    </w:p>
    <w:p w14:paraId="046A9C7F">
      <w:pPr>
        <w:rPr>
          <w:highlight w:val="none"/>
        </w:rPr>
      </w:pPr>
      <w:bookmarkStart w:id="992" w:name="_Toc1298"/>
      <w:bookmarkStart w:id="993" w:name="_Toc22955"/>
      <w:r>
        <w:rPr>
          <w:rFonts w:hint="eastAsia"/>
          <w:b/>
          <w:highlight w:val="none"/>
        </w:rPr>
        <w:t>8.</w:t>
      </w:r>
      <w:r>
        <w:rPr>
          <w:rFonts w:hint="eastAsia"/>
          <w:b/>
          <w:highlight w:val="none"/>
          <w:lang w:val="en-US" w:eastAsia="zh-CN"/>
        </w:rPr>
        <w:t>7</w:t>
      </w:r>
      <w:r>
        <w:rPr>
          <w:rFonts w:hint="eastAsia"/>
          <w:b/>
          <w:highlight w:val="none"/>
        </w:rPr>
        <w:t>.</w:t>
      </w:r>
      <w:r>
        <w:rPr>
          <w:b/>
          <w:highlight w:val="none"/>
        </w:rPr>
        <w:t xml:space="preserve">1  </w:t>
      </w:r>
      <w:r>
        <w:rPr>
          <w:rFonts w:hint="eastAsia"/>
          <w:highlight w:val="none"/>
        </w:rPr>
        <w:t>模块单元吊运</w:t>
      </w:r>
      <w:r>
        <w:rPr>
          <w:rFonts w:hint="eastAsia"/>
          <w:highlight w:val="none"/>
          <w:lang w:eastAsia="zh-CN"/>
        </w:rPr>
        <w:t>（</w:t>
      </w:r>
      <w:r>
        <w:rPr>
          <w:rFonts w:hint="eastAsia"/>
          <w:highlight w:val="none"/>
          <w:lang w:val="en-US" w:eastAsia="zh-CN"/>
        </w:rPr>
        <w:t>图8.7.1</w:t>
      </w:r>
      <w:r>
        <w:rPr>
          <w:rFonts w:hint="eastAsia"/>
          <w:highlight w:val="none"/>
          <w:lang w:eastAsia="zh-CN"/>
        </w:rPr>
        <w:t>）</w:t>
      </w:r>
      <w:r>
        <w:rPr>
          <w:rFonts w:hint="eastAsia"/>
          <w:highlight w:val="none"/>
        </w:rPr>
        <w:t>应符合下列规定：</w:t>
      </w:r>
      <w:bookmarkEnd w:id="992"/>
      <w:bookmarkEnd w:id="993"/>
    </w:p>
    <w:p w14:paraId="3256DA5E">
      <w:pPr>
        <w:ind w:firstLine="422" w:firstLineChars="200"/>
        <w:rPr>
          <w:highlight w:val="none"/>
        </w:rPr>
      </w:pPr>
      <w:r>
        <w:rPr>
          <w:b/>
          <w:highlight w:val="none"/>
        </w:rPr>
        <w:t xml:space="preserve">1  </w:t>
      </w:r>
      <w:r>
        <w:rPr>
          <w:rFonts w:hint="eastAsia"/>
          <w:highlight w:val="none"/>
        </w:rPr>
        <w:t>吊具和起重设备应根据模块的形状、尺寸、重量和作业半径等要求确定，并应符合国家现行有关标准及产品应用技术手册的规定；</w:t>
      </w:r>
    </w:p>
    <w:p w14:paraId="24B8C9C4">
      <w:pPr>
        <w:ind w:firstLine="422" w:firstLineChars="200"/>
        <w:jc w:val="left"/>
        <w:rPr>
          <w:highlight w:val="none"/>
        </w:rPr>
      </w:pPr>
      <w:r>
        <w:rPr>
          <w:b/>
          <w:highlight w:val="none"/>
        </w:rPr>
        <w:t xml:space="preserve">2  </w:t>
      </w:r>
      <w:r>
        <w:rPr>
          <w:rFonts w:hint="eastAsia"/>
          <w:highlight w:val="none"/>
        </w:rPr>
        <w:t>模块单元吊运应采用符合承载力的平衡吊架。吊架与模块之间的水平可用手拉葫芦或长短吊链等方式控制；</w:t>
      </w:r>
    </w:p>
    <w:p w14:paraId="596BD467">
      <w:pPr>
        <w:jc w:val="center"/>
        <w:rPr>
          <w:highlight w:val="none"/>
        </w:rPr>
      </w:pPr>
      <w:r>
        <w:rPr>
          <w:highlight w:val="none"/>
        </w:rPr>
        <w:drawing>
          <wp:inline distT="0" distB="0" distL="114300" distR="114300">
            <wp:extent cx="1653540" cy="1689100"/>
            <wp:effectExtent l="0" t="0" r="3810" b="635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37"/>
                    <a:stretch>
                      <a:fillRect/>
                    </a:stretch>
                  </pic:blipFill>
                  <pic:spPr>
                    <a:xfrm>
                      <a:off x="0" y="0"/>
                      <a:ext cx="1653540" cy="1689100"/>
                    </a:xfrm>
                    <a:prstGeom prst="rect">
                      <a:avLst/>
                    </a:prstGeom>
                    <a:noFill/>
                    <a:ln>
                      <a:noFill/>
                    </a:ln>
                  </pic:spPr>
                </pic:pic>
              </a:graphicData>
            </a:graphic>
          </wp:inline>
        </w:drawing>
      </w:r>
    </w:p>
    <w:p w14:paraId="5D6AED5E">
      <w:pPr>
        <w:jc w:val="center"/>
        <w:rPr>
          <w:rFonts w:hint="eastAsia" w:eastAsia="黑体"/>
          <w:sz w:val="18"/>
          <w:szCs w:val="20"/>
          <w:highlight w:val="none"/>
        </w:rPr>
      </w:pPr>
      <w:r>
        <w:rPr>
          <w:rFonts w:hint="eastAsia" w:eastAsia="黑体"/>
          <w:sz w:val="18"/>
          <w:szCs w:val="20"/>
          <w:highlight w:val="none"/>
        </w:rPr>
        <w:t>图</w:t>
      </w:r>
      <w:r>
        <w:rPr>
          <w:rFonts w:hint="eastAsia" w:eastAsia="黑体"/>
          <w:b/>
          <w:sz w:val="18"/>
          <w:szCs w:val="20"/>
          <w:highlight w:val="none"/>
        </w:rPr>
        <w:t>8.</w:t>
      </w:r>
      <w:r>
        <w:rPr>
          <w:rFonts w:hint="eastAsia" w:eastAsia="黑体"/>
          <w:b/>
          <w:sz w:val="18"/>
          <w:szCs w:val="20"/>
          <w:highlight w:val="none"/>
          <w:lang w:val="en-US" w:eastAsia="zh-CN"/>
        </w:rPr>
        <w:t>7</w:t>
      </w:r>
      <w:r>
        <w:rPr>
          <w:rFonts w:hint="eastAsia" w:eastAsia="黑体"/>
          <w:b/>
          <w:sz w:val="18"/>
          <w:szCs w:val="20"/>
          <w:highlight w:val="none"/>
        </w:rPr>
        <w:t xml:space="preserve">.1 </w:t>
      </w:r>
      <w:r>
        <w:rPr>
          <w:rFonts w:hint="eastAsia" w:eastAsia="黑体"/>
          <w:sz w:val="18"/>
          <w:szCs w:val="20"/>
          <w:highlight w:val="none"/>
        </w:rPr>
        <w:t>模块单元吊装示意图</w:t>
      </w:r>
    </w:p>
    <w:p w14:paraId="62F6149D">
      <w:pPr>
        <w:pStyle w:val="44"/>
        <w:ind w:left="0" w:firstLine="0" w:firstLineChars="0"/>
        <w:jc w:val="center"/>
        <w:rPr>
          <w:rFonts w:hint="default" w:eastAsia="黑体"/>
          <w:sz w:val="18"/>
          <w:szCs w:val="20"/>
          <w:highlight w:val="none"/>
          <w:lang w:val="en-US" w:eastAsia="zh-CN"/>
        </w:rPr>
      </w:pPr>
      <w:r>
        <w:rPr>
          <w:rFonts w:hint="eastAsia" w:ascii="Times New Roman" w:hAnsi="Times New Roman" w:eastAsia="黑体"/>
          <w:b w:val="0"/>
          <w:bCs w:val="0"/>
          <w:color w:val="auto"/>
          <w:sz w:val="18"/>
          <w:szCs w:val="18"/>
          <w:highlight w:val="none"/>
        </w:rPr>
        <w:t>1-</w:t>
      </w:r>
      <w:r>
        <w:rPr>
          <w:rFonts w:hint="eastAsia" w:eastAsia="黑体"/>
          <w:b w:val="0"/>
          <w:bCs w:val="0"/>
          <w:color w:val="auto"/>
          <w:sz w:val="18"/>
          <w:szCs w:val="18"/>
          <w:highlight w:val="none"/>
          <w:lang w:val="en-US" w:eastAsia="zh-CN"/>
        </w:rPr>
        <w:t>吊链</w:t>
      </w:r>
      <w:r>
        <w:rPr>
          <w:rFonts w:hint="eastAsia" w:ascii="Times New Roman" w:hAnsi="Times New Roman" w:eastAsia="黑体"/>
          <w:b w:val="0"/>
          <w:bCs w:val="0"/>
          <w:color w:val="auto"/>
          <w:sz w:val="18"/>
          <w:szCs w:val="18"/>
          <w:highlight w:val="none"/>
        </w:rPr>
        <w:t>；2-</w:t>
      </w:r>
      <w:r>
        <w:rPr>
          <w:rFonts w:hint="eastAsia" w:eastAsia="黑体"/>
          <w:b w:val="0"/>
          <w:bCs w:val="0"/>
          <w:color w:val="auto"/>
          <w:sz w:val="18"/>
          <w:szCs w:val="18"/>
          <w:highlight w:val="none"/>
          <w:lang w:val="en-US" w:eastAsia="zh-CN"/>
        </w:rPr>
        <w:t>吊架</w:t>
      </w:r>
      <w:r>
        <w:rPr>
          <w:rFonts w:hint="eastAsia" w:ascii="Times New Roman" w:hAnsi="Times New Roman" w:eastAsia="黑体"/>
          <w:b w:val="0"/>
          <w:bCs w:val="0"/>
          <w:color w:val="auto"/>
          <w:sz w:val="18"/>
          <w:szCs w:val="18"/>
          <w:highlight w:val="none"/>
        </w:rPr>
        <w:t>；3-</w:t>
      </w:r>
      <w:r>
        <w:rPr>
          <w:rFonts w:hint="eastAsia" w:eastAsia="黑体"/>
          <w:b w:val="0"/>
          <w:bCs w:val="0"/>
          <w:color w:val="auto"/>
          <w:sz w:val="18"/>
          <w:szCs w:val="18"/>
          <w:highlight w:val="none"/>
          <w:lang w:val="en-US" w:eastAsia="zh-CN"/>
        </w:rPr>
        <w:t>手拉葫芦</w:t>
      </w:r>
      <w:r>
        <w:rPr>
          <w:rFonts w:hint="eastAsia" w:ascii="Times New Roman" w:hAnsi="Times New Roman" w:eastAsia="黑体"/>
          <w:b w:val="0"/>
          <w:bCs w:val="0"/>
          <w:color w:val="auto"/>
          <w:sz w:val="18"/>
          <w:szCs w:val="18"/>
          <w:highlight w:val="none"/>
        </w:rPr>
        <w:t>；4-</w:t>
      </w:r>
      <w:r>
        <w:rPr>
          <w:rFonts w:hint="eastAsia" w:eastAsia="黑体"/>
          <w:b w:val="0"/>
          <w:bCs w:val="0"/>
          <w:color w:val="auto"/>
          <w:sz w:val="18"/>
          <w:szCs w:val="18"/>
          <w:highlight w:val="none"/>
          <w:lang w:val="en-US" w:eastAsia="zh-CN"/>
        </w:rPr>
        <w:t>吊钉或吊钩</w:t>
      </w:r>
    </w:p>
    <w:p w14:paraId="6159AAE7">
      <w:pPr>
        <w:ind w:firstLine="422" w:firstLineChars="200"/>
        <w:rPr>
          <w:highlight w:val="none"/>
        </w:rPr>
      </w:pPr>
      <w:r>
        <w:rPr>
          <w:b/>
          <w:highlight w:val="none"/>
        </w:rPr>
        <w:t xml:space="preserve">3  </w:t>
      </w:r>
      <w:r>
        <w:rPr>
          <w:rFonts w:hint="eastAsia"/>
          <w:highlight w:val="none"/>
        </w:rPr>
        <w:t>吊点数量、位置应经计算确定，应保证吊具连接可靠，应保证起重设备的主钩位置、吊具及构件重心在竖直方向上重合；</w:t>
      </w:r>
    </w:p>
    <w:p w14:paraId="44301A2C">
      <w:pPr>
        <w:ind w:firstLine="422" w:firstLineChars="200"/>
        <w:rPr>
          <w:highlight w:val="none"/>
        </w:rPr>
      </w:pPr>
      <w:bookmarkStart w:id="994" w:name="_Toc8771"/>
      <w:bookmarkStart w:id="995" w:name="_Toc20115"/>
      <w:r>
        <w:rPr>
          <w:b/>
          <w:highlight w:val="none"/>
        </w:rPr>
        <w:t xml:space="preserve">4  </w:t>
      </w:r>
      <w:r>
        <w:rPr>
          <w:rFonts w:hint="eastAsia"/>
          <w:highlight w:val="none"/>
        </w:rPr>
        <w:t>吊索水平夹角不宜小于</w:t>
      </w:r>
      <w:r>
        <w:rPr>
          <w:highlight w:val="none"/>
        </w:rPr>
        <w:t>60°</w:t>
      </w:r>
      <w:r>
        <w:rPr>
          <w:rFonts w:hint="eastAsia"/>
          <w:highlight w:val="none"/>
        </w:rPr>
        <w:t>，不应小于</w:t>
      </w:r>
      <w:r>
        <w:rPr>
          <w:highlight w:val="none"/>
        </w:rPr>
        <w:t>45°</w:t>
      </w:r>
      <w:r>
        <w:rPr>
          <w:rFonts w:hint="eastAsia"/>
          <w:highlight w:val="none"/>
        </w:rPr>
        <w:t>；</w:t>
      </w:r>
      <w:bookmarkEnd w:id="994"/>
      <w:bookmarkEnd w:id="995"/>
    </w:p>
    <w:p w14:paraId="602709D4">
      <w:pPr>
        <w:ind w:firstLine="422" w:firstLineChars="200"/>
        <w:rPr>
          <w:highlight w:val="none"/>
        </w:rPr>
      </w:pPr>
      <w:r>
        <w:rPr>
          <w:b/>
          <w:highlight w:val="none"/>
        </w:rPr>
        <w:t xml:space="preserve">5  </w:t>
      </w:r>
      <w:r>
        <w:rPr>
          <w:rFonts w:hint="eastAsia"/>
          <w:highlight w:val="none"/>
        </w:rPr>
        <w:t>模块吊运应采用慢起、稳升、缓放的操作方式，吊运过程，应保持稳定，不得偏斜、摇摆和扭转，严禁吊装构件长时间悬停在空中；</w:t>
      </w:r>
    </w:p>
    <w:p w14:paraId="5A909A1D">
      <w:pPr>
        <w:ind w:firstLine="422" w:firstLineChars="200"/>
        <w:rPr>
          <w:highlight w:val="none"/>
        </w:rPr>
      </w:pPr>
      <w:bookmarkStart w:id="996" w:name="_Toc6260"/>
      <w:bookmarkStart w:id="997" w:name="_Toc20692"/>
      <w:r>
        <w:rPr>
          <w:b/>
          <w:highlight w:val="none"/>
        </w:rPr>
        <w:t xml:space="preserve">6  </w:t>
      </w:r>
      <w:r>
        <w:rPr>
          <w:rFonts w:hint="eastAsia"/>
          <w:highlight w:val="none"/>
        </w:rPr>
        <w:t>应采取避免混凝土模块变形和损伤的临时加固措施。</w:t>
      </w:r>
      <w:bookmarkEnd w:id="996"/>
      <w:bookmarkEnd w:id="997"/>
    </w:p>
    <w:p w14:paraId="684AF48E">
      <w:pPr>
        <w:rPr>
          <w:highlight w:val="none"/>
        </w:rPr>
      </w:pPr>
      <w:bookmarkStart w:id="998" w:name="_Toc18447"/>
      <w:bookmarkStart w:id="999" w:name="_Toc23547"/>
      <w:r>
        <w:rPr>
          <w:rFonts w:hint="eastAsia"/>
          <w:b/>
          <w:highlight w:val="none"/>
        </w:rPr>
        <w:t>8.</w:t>
      </w:r>
      <w:r>
        <w:rPr>
          <w:rFonts w:hint="eastAsia"/>
          <w:b/>
          <w:highlight w:val="none"/>
          <w:lang w:val="en-US" w:eastAsia="zh-CN"/>
        </w:rPr>
        <w:t>7</w:t>
      </w:r>
      <w:r>
        <w:rPr>
          <w:rFonts w:hint="eastAsia"/>
          <w:b/>
          <w:highlight w:val="none"/>
        </w:rPr>
        <w:t>.</w:t>
      </w:r>
      <w:r>
        <w:rPr>
          <w:rFonts w:hint="eastAsia"/>
          <w:b/>
          <w:highlight w:val="none"/>
          <w:lang w:val="en-US" w:eastAsia="zh-CN"/>
        </w:rPr>
        <w:t>2</w:t>
      </w:r>
      <w:r>
        <w:rPr>
          <w:b/>
          <w:highlight w:val="none"/>
        </w:rPr>
        <w:t xml:space="preserve">  </w:t>
      </w:r>
      <w:r>
        <w:rPr>
          <w:rFonts w:hint="eastAsia"/>
          <w:highlight w:val="none"/>
        </w:rPr>
        <w:t>混凝土模块存放应符合下列规定：</w:t>
      </w:r>
      <w:bookmarkEnd w:id="998"/>
      <w:bookmarkEnd w:id="999"/>
    </w:p>
    <w:p w14:paraId="2007C67A">
      <w:pPr>
        <w:ind w:firstLine="422" w:firstLineChars="200"/>
        <w:rPr>
          <w:highlight w:val="none"/>
        </w:rPr>
      </w:pPr>
      <w:r>
        <w:rPr>
          <w:b/>
          <w:highlight w:val="none"/>
        </w:rPr>
        <w:t xml:space="preserve">1  </w:t>
      </w:r>
      <w:r>
        <w:rPr>
          <w:rFonts w:hint="eastAsia"/>
          <w:highlight w:val="none"/>
        </w:rPr>
        <w:t>存放场地应平整、坚实，并应有排水措施；</w:t>
      </w:r>
    </w:p>
    <w:p w14:paraId="3EAD203A">
      <w:pPr>
        <w:ind w:firstLine="422" w:firstLineChars="200"/>
        <w:rPr>
          <w:highlight w:val="none"/>
        </w:rPr>
      </w:pPr>
      <w:r>
        <w:rPr>
          <w:b/>
          <w:highlight w:val="none"/>
        </w:rPr>
        <w:t xml:space="preserve">2  </w:t>
      </w:r>
      <w:r>
        <w:rPr>
          <w:rFonts w:hint="eastAsia"/>
          <w:highlight w:val="none"/>
        </w:rPr>
        <w:t>存放库区宜实行分区管理和信息化台账管理；</w:t>
      </w:r>
    </w:p>
    <w:p w14:paraId="132A78FD">
      <w:pPr>
        <w:ind w:firstLine="422" w:firstLineChars="200"/>
        <w:rPr>
          <w:highlight w:val="none"/>
        </w:rPr>
      </w:pPr>
      <w:r>
        <w:rPr>
          <w:b/>
          <w:highlight w:val="none"/>
        </w:rPr>
        <w:t xml:space="preserve">3  </w:t>
      </w:r>
      <w:r>
        <w:rPr>
          <w:rFonts w:hint="eastAsia"/>
          <w:highlight w:val="none"/>
        </w:rPr>
        <w:t>对储存场地进行规划设计，考虑模块吊重、吊装及出货检查预留一定纵横向间距；</w:t>
      </w:r>
    </w:p>
    <w:p w14:paraId="088E16B7">
      <w:pPr>
        <w:ind w:firstLine="422" w:firstLineChars="200"/>
        <w:rPr>
          <w:highlight w:val="none"/>
        </w:rPr>
      </w:pPr>
      <w:r>
        <w:rPr>
          <w:rFonts w:hint="eastAsia"/>
          <w:b/>
          <w:highlight w:val="none"/>
        </w:rPr>
        <w:t>4</w:t>
      </w:r>
      <w:r>
        <w:rPr>
          <w:b/>
          <w:highlight w:val="none"/>
        </w:rPr>
        <w:t xml:space="preserve">  </w:t>
      </w:r>
      <w:r>
        <w:rPr>
          <w:rFonts w:hint="eastAsia"/>
          <w:highlight w:val="none"/>
        </w:rPr>
        <w:t>模块应按照一定产品品种、规格型号、检验状态分类存放，产品标识应准确、清晰、明显；</w:t>
      </w:r>
    </w:p>
    <w:p w14:paraId="1CBAEF14">
      <w:pPr>
        <w:ind w:firstLine="422" w:firstLineChars="200"/>
        <w:rPr>
          <w:highlight w:val="none"/>
        </w:rPr>
      </w:pPr>
      <w:r>
        <w:rPr>
          <w:rFonts w:hint="eastAsia"/>
          <w:b/>
          <w:highlight w:val="none"/>
        </w:rPr>
        <w:t>5</w:t>
      </w:r>
      <w:r>
        <w:rPr>
          <w:b/>
          <w:highlight w:val="none"/>
        </w:rPr>
        <w:t xml:space="preserve">  </w:t>
      </w:r>
      <w:r>
        <w:rPr>
          <w:rFonts w:hint="eastAsia"/>
          <w:highlight w:val="none"/>
        </w:rPr>
        <w:t>模块底部垫块支点位置应合理布置，支点宜与起吊点位置一致；对于跨度较大的模块，底部宜用垫木或型钢支撑；</w:t>
      </w:r>
    </w:p>
    <w:p w14:paraId="7849B1E2">
      <w:pPr>
        <w:ind w:firstLine="422" w:firstLineChars="200"/>
        <w:rPr>
          <w:highlight w:val="none"/>
        </w:rPr>
      </w:pPr>
      <w:r>
        <w:rPr>
          <w:rFonts w:hint="eastAsia"/>
          <w:b/>
          <w:highlight w:val="none"/>
        </w:rPr>
        <w:t>6</w:t>
      </w:r>
      <w:r>
        <w:rPr>
          <w:b/>
          <w:highlight w:val="none"/>
        </w:rPr>
        <w:t xml:space="preserve">  </w:t>
      </w:r>
      <w:r>
        <w:rPr>
          <w:rFonts w:hint="eastAsia"/>
          <w:highlight w:val="none"/>
        </w:rPr>
        <w:t>若模块后续进行装修，垫块应进行调平，确保模块装修前放置水平；</w:t>
      </w:r>
    </w:p>
    <w:p w14:paraId="7035672E">
      <w:pPr>
        <w:ind w:firstLine="422" w:firstLineChars="200"/>
        <w:rPr>
          <w:rFonts w:hint="eastAsia" w:eastAsia="宋体"/>
          <w:highlight w:val="none"/>
          <w:lang w:eastAsia="zh-CN"/>
        </w:rPr>
      </w:pPr>
      <w:bookmarkStart w:id="1000" w:name="_Toc12204"/>
      <w:bookmarkStart w:id="1001" w:name="_Toc25651"/>
      <w:r>
        <w:rPr>
          <w:rFonts w:hint="eastAsia"/>
          <w:b/>
          <w:highlight w:val="none"/>
        </w:rPr>
        <w:t>7</w:t>
      </w:r>
      <w:r>
        <w:rPr>
          <w:b/>
          <w:highlight w:val="none"/>
        </w:rPr>
        <w:t xml:space="preserve">  </w:t>
      </w:r>
      <w:r>
        <w:rPr>
          <w:rFonts w:hint="eastAsia"/>
          <w:highlight w:val="none"/>
        </w:rPr>
        <w:t>与清水混凝土面接触的垫块应采取防污染措施</w:t>
      </w:r>
      <w:bookmarkEnd w:id="1000"/>
      <w:bookmarkEnd w:id="1001"/>
      <w:r>
        <w:rPr>
          <w:rFonts w:hint="eastAsia"/>
          <w:highlight w:val="none"/>
          <w:lang w:eastAsia="zh-CN"/>
        </w:rPr>
        <w:t>。</w:t>
      </w:r>
    </w:p>
    <w:p w14:paraId="7724A7D0">
      <w:pPr>
        <w:rPr>
          <w:highlight w:val="none"/>
        </w:rPr>
      </w:pPr>
      <w:bookmarkStart w:id="1002" w:name="_Toc24958"/>
      <w:bookmarkStart w:id="1003" w:name="_Toc24249"/>
      <w:r>
        <w:rPr>
          <w:rFonts w:hint="eastAsia"/>
          <w:b/>
          <w:highlight w:val="none"/>
        </w:rPr>
        <w:t>8.</w:t>
      </w:r>
      <w:r>
        <w:rPr>
          <w:rFonts w:hint="eastAsia"/>
          <w:b/>
          <w:highlight w:val="none"/>
          <w:lang w:val="en-US" w:eastAsia="zh-CN"/>
        </w:rPr>
        <w:t>7</w:t>
      </w:r>
      <w:r>
        <w:rPr>
          <w:rFonts w:hint="eastAsia"/>
          <w:b/>
          <w:highlight w:val="none"/>
        </w:rPr>
        <w:t>.</w:t>
      </w:r>
      <w:r>
        <w:rPr>
          <w:rFonts w:hint="eastAsia"/>
          <w:b/>
          <w:highlight w:val="none"/>
          <w:lang w:val="en-US" w:eastAsia="zh-CN"/>
        </w:rPr>
        <w:t>3</w:t>
      </w:r>
      <w:r>
        <w:rPr>
          <w:b/>
          <w:highlight w:val="none"/>
        </w:rPr>
        <w:t xml:space="preserve">  </w:t>
      </w:r>
      <w:r>
        <w:rPr>
          <w:rFonts w:hint="eastAsia"/>
          <w:highlight w:val="none"/>
        </w:rPr>
        <w:t>混凝土模块成品保护应符合下列规定：</w:t>
      </w:r>
      <w:bookmarkEnd w:id="1002"/>
      <w:bookmarkEnd w:id="1003"/>
    </w:p>
    <w:p w14:paraId="23213AFD">
      <w:pPr>
        <w:ind w:firstLine="422" w:firstLineChars="200"/>
        <w:rPr>
          <w:highlight w:val="none"/>
        </w:rPr>
      </w:pPr>
      <w:r>
        <w:rPr>
          <w:b/>
          <w:highlight w:val="none"/>
        </w:rPr>
        <w:t xml:space="preserve">1  </w:t>
      </w:r>
      <w:r>
        <w:rPr>
          <w:rFonts w:hint="eastAsia"/>
          <w:highlight w:val="none"/>
        </w:rPr>
        <w:t>模块成品外露保温板应采取防止开裂措施，外露钢筋应采取防弯折、防碰伤措施，外露预埋件和连结件等外露金属件应按不同环境类别进行防护或防腐、防锈；</w:t>
      </w:r>
    </w:p>
    <w:p w14:paraId="558699AF">
      <w:pPr>
        <w:ind w:firstLine="422" w:firstLineChars="200"/>
        <w:rPr>
          <w:highlight w:val="none"/>
        </w:rPr>
      </w:pPr>
      <w:r>
        <w:rPr>
          <w:b/>
          <w:highlight w:val="none"/>
        </w:rPr>
        <w:t xml:space="preserve">2  </w:t>
      </w:r>
      <w:r>
        <w:rPr>
          <w:rFonts w:hint="eastAsia"/>
          <w:highlight w:val="none"/>
        </w:rPr>
        <w:t>吊装前预埋螺栓孔宜保持清洁；</w:t>
      </w:r>
    </w:p>
    <w:p w14:paraId="5CF06DA1">
      <w:pPr>
        <w:ind w:firstLine="422" w:firstLineChars="200"/>
        <w:rPr>
          <w:highlight w:val="none"/>
        </w:rPr>
      </w:pPr>
      <w:r>
        <w:rPr>
          <w:b/>
          <w:highlight w:val="none"/>
        </w:rPr>
        <w:t xml:space="preserve">3  </w:t>
      </w:r>
      <w:r>
        <w:rPr>
          <w:rFonts w:hint="eastAsia"/>
          <w:highlight w:val="none"/>
        </w:rPr>
        <w:t>预埋孔洞应临时封堵，防止堵塞；</w:t>
      </w:r>
    </w:p>
    <w:p w14:paraId="6461EA76">
      <w:pPr>
        <w:ind w:firstLine="422" w:firstLineChars="200"/>
        <w:rPr>
          <w:highlight w:val="none"/>
        </w:rPr>
      </w:pPr>
      <w:r>
        <w:rPr>
          <w:b/>
          <w:highlight w:val="none"/>
        </w:rPr>
        <w:t xml:space="preserve">4  </w:t>
      </w:r>
      <w:r>
        <w:rPr>
          <w:rFonts w:hint="eastAsia"/>
          <w:highlight w:val="none"/>
        </w:rPr>
        <w:t>模块应在外侧设置防水罩等防水措施，防水罩宜设有可开启入口，防水措施应满足绿色可回收、不影响装修和吊运、包装便于装卸等要求；</w:t>
      </w:r>
    </w:p>
    <w:p w14:paraId="3E02A20A">
      <w:pPr>
        <w:ind w:firstLine="422" w:firstLineChars="200"/>
        <w:rPr>
          <w:rFonts w:hint="eastAsia"/>
          <w:highlight w:val="none"/>
        </w:rPr>
      </w:pPr>
      <w:r>
        <w:rPr>
          <w:b/>
          <w:highlight w:val="none"/>
        </w:rPr>
        <w:t xml:space="preserve">5  </w:t>
      </w:r>
      <w:r>
        <w:rPr>
          <w:rFonts w:hint="eastAsia"/>
          <w:highlight w:val="none"/>
        </w:rPr>
        <w:t>玻璃、瓷砖、木柜等装修宜用胶纸、泡沫等措施进行保护。</w:t>
      </w:r>
    </w:p>
    <w:p w14:paraId="5EEBF22B">
      <w:pPr>
        <w:rPr>
          <w:rFonts w:hint="eastAsia"/>
          <w:highlight w:val="none"/>
        </w:rPr>
      </w:pPr>
      <w:bookmarkStart w:id="1004" w:name="_Toc16920"/>
      <w:bookmarkStart w:id="1005" w:name="_Toc5922"/>
      <w:r>
        <w:rPr>
          <w:rFonts w:hint="eastAsia"/>
          <w:b/>
          <w:highlight w:val="none"/>
        </w:rPr>
        <w:t>8.</w:t>
      </w:r>
      <w:r>
        <w:rPr>
          <w:rFonts w:hint="eastAsia"/>
          <w:b/>
          <w:highlight w:val="none"/>
          <w:lang w:val="en-US" w:eastAsia="zh-CN"/>
        </w:rPr>
        <w:t>7</w:t>
      </w:r>
      <w:r>
        <w:rPr>
          <w:rFonts w:hint="eastAsia"/>
          <w:b/>
          <w:highlight w:val="none"/>
        </w:rPr>
        <w:t>.</w:t>
      </w:r>
      <w:r>
        <w:rPr>
          <w:rFonts w:hint="eastAsia"/>
          <w:b/>
          <w:highlight w:val="none"/>
          <w:lang w:val="en-US" w:eastAsia="zh-CN"/>
        </w:rPr>
        <w:t>4</w:t>
      </w:r>
      <w:r>
        <w:rPr>
          <w:b/>
          <w:highlight w:val="none"/>
        </w:rPr>
        <w:t xml:space="preserve">  </w:t>
      </w:r>
      <w:r>
        <w:rPr>
          <w:rFonts w:hint="eastAsia"/>
          <w:highlight w:val="none"/>
        </w:rPr>
        <w:t>混凝土模块运输应符合《道路大型物件运输管理办法》规定，应当制定道路运输组织方案。涉及超限运输的应当按照交通运输部颁布的《超限运输车辆行驶公路管理规定》办理相应的审批手续。</w:t>
      </w:r>
      <w:bookmarkEnd w:id="1004"/>
      <w:bookmarkEnd w:id="1005"/>
    </w:p>
    <w:p w14:paraId="6DAFE5D6">
      <w:pPr>
        <w:rPr>
          <w:highlight w:val="none"/>
        </w:rPr>
      </w:pPr>
      <w:r>
        <w:rPr>
          <w:rFonts w:hint="eastAsia"/>
          <w:b/>
          <w:highlight w:val="none"/>
        </w:rPr>
        <w:t>8.</w:t>
      </w:r>
      <w:r>
        <w:rPr>
          <w:rFonts w:hint="eastAsia"/>
          <w:b/>
          <w:highlight w:val="none"/>
          <w:lang w:val="en-US" w:eastAsia="zh-CN"/>
        </w:rPr>
        <w:t>7</w:t>
      </w:r>
      <w:r>
        <w:rPr>
          <w:rFonts w:hint="eastAsia"/>
          <w:b/>
          <w:highlight w:val="none"/>
        </w:rPr>
        <w:t>.</w:t>
      </w:r>
      <w:r>
        <w:rPr>
          <w:rFonts w:hint="eastAsia"/>
          <w:b/>
          <w:highlight w:val="none"/>
          <w:lang w:val="en-US" w:eastAsia="zh-CN"/>
        </w:rPr>
        <w:t>5</w:t>
      </w:r>
      <w:r>
        <w:rPr>
          <w:b/>
          <w:highlight w:val="none"/>
        </w:rPr>
        <w:t xml:space="preserve">  </w:t>
      </w:r>
      <w:r>
        <w:rPr>
          <w:rFonts w:hint="eastAsia"/>
          <w:highlight w:val="none"/>
        </w:rPr>
        <w:t>模块单元在运输过程中应符合下列安全措施：</w:t>
      </w:r>
    </w:p>
    <w:p w14:paraId="06449827">
      <w:pPr>
        <w:ind w:firstLine="422" w:firstLineChars="200"/>
        <w:rPr>
          <w:highlight w:val="none"/>
        </w:rPr>
      </w:pPr>
      <w:r>
        <w:rPr>
          <w:b/>
          <w:highlight w:val="none"/>
        </w:rPr>
        <w:t xml:space="preserve">1  </w:t>
      </w:r>
      <w:r>
        <w:rPr>
          <w:rFonts w:hint="eastAsia"/>
          <w:highlight w:val="none"/>
        </w:rPr>
        <w:t>模块运输时应满足道路运输的相关要求；</w:t>
      </w:r>
    </w:p>
    <w:p w14:paraId="0E3613D0">
      <w:pPr>
        <w:ind w:firstLine="422" w:firstLineChars="200"/>
        <w:rPr>
          <w:highlight w:val="none"/>
        </w:rPr>
      </w:pPr>
      <w:r>
        <w:rPr>
          <w:b/>
          <w:highlight w:val="none"/>
        </w:rPr>
        <w:t xml:space="preserve">2  </w:t>
      </w:r>
      <w:r>
        <w:rPr>
          <w:rFonts w:hint="eastAsia"/>
          <w:highlight w:val="none"/>
        </w:rPr>
        <w:t>模块运输时应采取相应加固措施，防止模块移动、倾倒或变形；</w:t>
      </w:r>
    </w:p>
    <w:p w14:paraId="5F6EDF75">
      <w:pPr>
        <w:ind w:firstLine="422" w:firstLineChars="200"/>
        <w:rPr>
          <w:highlight w:val="none"/>
        </w:rPr>
      </w:pPr>
      <w:r>
        <w:rPr>
          <w:b/>
          <w:highlight w:val="none"/>
        </w:rPr>
        <w:t xml:space="preserve">3  </w:t>
      </w:r>
      <w:r>
        <w:rPr>
          <w:rFonts w:hint="eastAsia"/>
          <w:highlight w:val="none"/>
        </w:rPr>
        <w:t>模块的底板底部应设置垫板或者横撑，减小底板内力；模块顶板可参照脱模状况下的内力验算承载力，不满足时应设置同等加固措施；</w:t>
      </w:r>
    </w:p>
    <w:p w14:paraId="2C61D5CB">
      <w:pPr>
        <w:ind w:firstLine="422" w:firstLineChars="200"/>
        <w:rPr>
          <w:highlight w:val="none"/>
        </w:rPr>
      </w:pPr>
      <w:r>
        <w:rPr>
          <w:b/>
          <w:highlight w:val="none"/>
        </w:rPr>
        <w:t xml:space="preserve">4  </w:t>
      </w:r>
      <w:r>
        <w:rPr>
          <w:rFonts w:hint="eastAsia"/>
          <w:highlight w:val="none"/>
        </w:rPr>
        <w:t>门窗洞口处宜进行支撑加固，模块边角部宜设置保护衬垫；</w:t>
      </w:r>
    </w:p>
    <w:p w14:paraId="56FEBDF1">
      <w:pPr>
        <w:ind w:firstLine="422" w:firstLineChars="200"/>
        <w:rPr>
          <w:highlight w:val="none"/>
        </w:rPr>
      </w:pPr>
      <w:r>
        <w:rPr>
          <w:b/>
          <w:highlight w:val="none"/>
        </w:rPr>
        <w:t xml:space="preserve">5  </w:t>
      </w:r>
      <w:r>
        <w:rPr>
          <w:rFonts w:hint="eastAsia"/>
          <w:highlight w:val="none"/>
        </w:rPr>
        <w:t>模块单元开口位置应设置封盖物，防止雨水进入模块内部；</w:t>
      </w:r>
    </w:p>
    <w:p w14:paraId="08B80171">
      <w:pPr>
        <w:ind w:firstLine="422" w:firstLineChars="200"/>
        <w:rPr>
          <w:highlight w:val="none"/>
        </w:rPr>
      </w:pPr>
      <w:r>
        <w:rPr>
          <w:b/>
          <w:highlight w:val="none"/>
        </w:rPr>
        <w:t xml:space="preserve">6  </w:t>
      </w:r>
      <w:r>
        <w:rPr>
          <w:rFonts w:hint="eastAsia"/>
          <w:highlight w:val="none"/>
        </w:rPr>
        <w:t>对于有降板的混凝土模块或其他不能平稳放置的模块，应设计专门的运输架，并进行强度、稳定性和刚度验算</w:t>
      </w:r>
      <w:r>
        <w:rPr>
          <w:rFonts w:hint="eastAsia"/>
          <w:highlight w:val="none"/>
          <w:lang w:eastAsia="zh-CN"/>
        </w:rPr>
        <w:t>；</w:t>
      </w:r>
    </w:p>
    <w:p w14:paraId="37580733">
      <w:pPr>
        <w:ind w:firstLine="422" w:firstLineChars="200"/>
        <w:rPr>
          <w:rFonts w:hint="eastAsia" w:eastAsia="宋体"/>
          <w:highlight w:val="none"/>
          <w:lang w:eastAsia="zh-CN"/>
        </w:rPr>
      </w:pPr>
      <w:r>
        <w:rPr>
          <w:rFonts w:hint="eastAsia"/>
          <w:b/>
          <w:highlight w:val="none"/>
          <w:lang w:val="en-US" w:eastAsia="zh-CN"/>
        </w:rPr>
        <w:t>7</w:t>
      </w:r>
      <w:r>
        <w:rPr>
          <w:rFonts w:hint="eastAsia"/>
          <w:highlight w:val="none"/>
        </w:rPr>
        <w:t xml:space="preserve">  应根据模块重量选择运载力合适的运输车</w:t>
      </w:r>
      <w:r>
        <w:rPr>
          <w:rFonts w:hint="eastAsia"/>
          <w:highlight w:val="none"/>
          <w:lang w:eastAsia="zh-CN"/>
        </w:rPr>
        <w:t>。</w:t>
      </w:r>
    </w:p>
    <w:p w14:paraId="4C233C1D">
      <w:pPr>
        <w:pStyle w:val="3"/>
        <w:spacing w:before="166" w:beforeLines="50" w:after="166" w:afterLines="50" w:line="360" w:lineRule="auto"/>
        <w:jc w:val="center"/>
        <w:rPr>
          <w:rFonts w:hint="default" w:ascii="Times New Roman" w:hAnsi="Times New Roman" w:eastAsia="黑体" w:cs="Times New Roman"/>
          <w:sz w:val="24"/>
          <w:szCs w:val="24"/>
          <w:highlight w:val="none"/>
          <w:lang w:val="en-US" w:eastAsia="zh-CN"/>
        </w:rPr>
      </w:pPr>
      <w:bookmarkStart w:id="1006" w:name="_Toc9145"/>
      <w:bookmarkStart w:id="1007" w:name="_Toc2329"/>
      <w:bookmarkStart w:id="1008" w:name="_Toc19620"/>
      <w:bookmarkStart w:id="1009" w:name="_Toc20826"/>
      <w:bookmarkStart w:id="1010" w:name="_Toc25710"/>
      <w:r>
        <w:rPr>
          <w:rFonts w:hint="eastAsia" w:ascii="Times New Roman" w:hAnsi="Times New Roman" w:eastAsia="黑体" w:cs="Times New Roman"/>
          <w:b/>
          <w:sz w:val="24"/>
          <w:szCs w:val="24"/>
          <w:highlight w:val="none"/>
        </w:rPr>
        <w:t>8.</w:t>
      </w:r>
      <w:r>
        <w:rPr>
          <w:rFonts w:hint="eastAsia" w:ascii="Times New Roman" w:hAnsi="Times New Roman" w:eastAsia="黑体" w:cs="Times New Roman"/>
          <w:b/>
          <w:sz w:val="24"/>
          <w:szCs w:val="24"/>
          <w:highlight w:val="none"/>
          <w:lang w:val="en-US" w:eastAsia="zh-CN"/>
        </w:rPr>
        <w:t>8</w:t>
      </w:r>
      <w:r>
        <w:rPr>
          <w:rFonts w:hint="eastAsia" w:ascii="Times New Roman" w:hAnsi="Times New Roman" w:eastAsia="黑体" w:cs="Times New Roman"/>
          <w:b/>
          <w:sz w:val="24"/>
          <w:szCs w:val="24"/>
          <w:highlight w:val="none"/>
        </w:rPr>
        <w:t xml:space="preserve"> </w:t>
      </w:r>
      <w:r>
        <w:rPr>
          <w:rFonts w:hint="eastAsia" w:ascii="Times New Roman" w:hAnsi="Times New Roman" w:eastAsia="黑体" w:cs="Times New Roman"/>
          <w:sz w:val="24"/>
          <w:szCs w:val="24"/>
          <w:highlight w:val="none"/>
        </w:rPr>
        <w:t xml:space="preserve"> </w:t>
      </w:r>
      <w:r>
        <w:rPr>
          <w:rFonts w:hint="eastAsia" w:ascii="Times New Roman" w:hAnsi="Times New Roman" w:eastAsia="黑体" w:cs="Times New Roman"/>
          <w:sz w:val="24"/>
          <w:szCs w:val="24"/>
          <w:highlight w:val="none"/>
          <w:lang w:val="en-US" w:eastAsia="zh-CN"/>
        </w:rPr>
        <w:t>资料及交付</w:t>
      </w:r>
      <w:bookmarkEnd w:id="1006"/>
      <w:bookmarkEnd w:id="1007"/>
      <w:bookmarkEnd w:id="1008"/>
      <w:bookmarkEnd w:id="1009"/>
      <w:bookmarkEnd w:id="1010"/>
    </w:p>
    <w:p w14:paraId="04AA8377">
      <w:pPr>
        <w:rPr>
          <w:highlight w:val="none"/>
        </w:rPr>
      </w:pPr>
      <w:r>
        <w:rPr>
          <w:rFonts w:hint="eastAsia"/>
          <w:b/>
          <w:highlight w:val="none"/>
        </w:rPr>
        <w:t>8.8.</w:t>
      </w:r>
      <w:r>
        <w:rPr>
          <w:rFonts w:hint="eastAsia"/>
          <w:b/>
          <w:highlight w:val="none"/>
          <w:lang w:val="en-US" w:eastAsia="zh-CN"/>
        </w:rPr>
        <w:t>1</w:t>
      </w:r>
      <w:r>
        <w:rPr>
          <w:b/>
          <w:highlight w:val="none"/>
        </w:rPr>
        <w:t xml:space="preserve">  </w:t>
      </w:r>
      <w:r>
        <w:rPr>
          <w:rFonts w:hint="eastAsia"/>
          <w:highlight w:val="none"/>
        </w:rPr>
        <w:t>模块单元的资料应与产品生产同步形成、收集和整理，生产厂家归档资料宜包括下列内容：</w:t>
      </w:r>
    </w:p>
    <w:p w14:paraId="6C7BA0C6">
      <w:pPr>
        <w:ind w:firstLine="422" w:firstLineChars="200"/>
        <w:rPr>
          <w:highlight w:val="none"/>
        </w:rPr>
      </w:pPr>
      <w:r>
        <w:rPr>
          <w:b/>
          <w:highlight w:val="none"/>
        </w:rPr>
        <w:t xml:space="preserve">1  </w:t>
      </w:r>
      <w:r>
        <w:rPr>
          <w:rFonts w:hint="eastAsia"/>
          <w:highlight w:val="none"/>
        </w:rPr>
        <w:t>模块单元加工合同；</w:t>
      </w:r>
    </w:p>
    <w:p w14:paraId="5732BF80">
      <w:pPr>
        <w:ind w:firstLine="422" w:firstLineChars="200"/>
        <w:rPr>
          <w:highlight w:val="none"/>
        </w:rPr>
      </w:pPr>
      <w:r>
        <w:rPr>
          <w:b/>
          <w:highlight w:val="none"/>
        </w:rPr>
        <w:t xml:space="preserve">2  </w:t>
      </w:r>
      <w:r>
        <w:rPr>
          <w:rFonts w:hint="eastAsia"/>
          <w:highlight w:val="none"/>
        </w:rPr>
        <w:t>模块单元加工图纸及其他设计文件；</w:t>
      </w:r>
    </w:p>
    <w:p w14:paraId="68D38C3D">
      <w:pPr>
        <w:ind w:firstLine="422" w:firstLineChars="200"/>
        <w:rPr>
          <w:highlight w:val="none"/>
        </w:rPr>
      </w:pPr>
      <w:r>
        <w:rPr>
          <w:b/>
          <w:highlight w:val="none"/>
        </w:rPr>
        <w:t xml:space="preserve">3  </w:t>
      </w:r>
      <w:r>
        <w:rPr>
          <w:rFonts w:hint="eastAsia"/>
          <w:highlight w:val="none"/>
        </w:rPr>
        <w:t>生产方案和质量计划等文件；</w:t>
      </w:r>
    </w:p>
    <w:p w14:paraId="5E07F572">
      <w:pPr>
        <w:ind w:firstLine="422" w:firstLineChars="200"/>
        <w:rPr>
          <w:highlight w:val="none"/>
        </w:rPr>
      </w:pPr>
      <w:r>
        <w:rPr>
          <w:b/>
          <w:highlight w:val="none"/>
        </w:rPr>
        <w:t xml:space="preserve">4  </w:t>
      </w:r>
      <w:r>
        <w:rPr>
          <w:rFonts w:hint="eastAsia"/>
          <w:highlight w:val="none"/>
        </w:rPr>
        <w:t>原材料质量证明文件、复试试验记录和试验报告；</w:t>
      </w:r>
    </w:p>
    <w:p w14:paraId="10595830">
      <w:pPr>
        <w:ind w:firstLine="422" w:firstLineChars="200"/>
        <w:rPr>
          <w:highlight w:val="none"/>
        </w:rPr>
      </w:pPr>
      <w:r>
        <w:rPr>
          <w:b/>
          <w:highlight w:val="none"/>
        </w:rPr>
        <w:t xml:space="preserve">5  </w:t>
      </w:r>
      <w:r>
        <w:rPr>
          <w:rFonts w:hint="eastAsia"/>
          <w:highlight w:val="none"/>
        </w:rPr>
        <w:t>混凝土试配及配合比资料；</w:t>
      </w:r>
    </w:p>
    <w:p w14:paraId="101D2953">
      <w:pPr>
        <w:ind w:firstLine="422" w:firstLineChars="200"/>
        <w:rPr>
          <w:highlight w:val="none"/>
        </w:rPr>
      </w:pPr>
      <w:r>
        <w:rPr>
          <w:b/>
          <w:highlight w:val="none"/>
        </w:rPr>
        <w:t xml:space="preserve">6  </w:t>
      </w:r>
      <w:r>
        <w:rPr>
          <w:rFonts w:hint="eastAsia"/>
          <w:highlight w:val="none"/>
        </w:rPr>
        <w:t>混凝土送货单；</w:t>
      </w:r>
    </w:p>
    <w:p w14:paraId="181E037F">
      <w:pPr>
        <w:ind w:firstLine="422" w:firstLineChars="200"/>
        <w:rPr>
          <w:highlight w:val="none"/>
        </w:rPr>
      </w:pPr>
      <w:r>
        <w:rPr>
          <w:b/>
          <w:highlight w:val="none"/>
        </w:rPr>
        <w:t xml:space="preserve">7  </w:t>
      </w:r>
      <w:r>
        <w:rPr>
          <w:rFonts w:hint="eastAsia"/>
          <w:highlight w:val="none"/>
        </w:rPr>
        <w:t>混凝土强度报告；</w:t>
      </w:r>
    </w:p>
    <w:p w14:paraId="48B18593">
      <w:pPr>
        <w:ind w:firstLine="422" w:firstLineChars="200"/>
        <w:rPr>
          <w:highlight w:val="none"/>
        </w:rPr>
      </w:pPr>
      <w:r>
        <w:rPr>
          <w:b/>
          <w:highlight w:val="none"/>
        </w:rPr>
        <w:t xml:space="preserve">8  </w:t>
      </w:r>
      <w:r>
        <w:rPr>
          <w:rFonts w:hint="eastAsia"/>
          <w:highlight w:val="none"/>
        </w:rPr>
        <w:t>钢筋检验资料、钢筋接头的试验报告；</w:t>
      </w:r>
    </w:p>
    <w:p w14:paraId="6B102888">
      <w:pPr>
        <w:ind w:firstLine="422" w:firstLineChars="200"/>
        <w:rPr>
          <w:highlight w:val="none"/>
        </w:rPr>
      </w:pPr>
      <w:r>
        <w:rPr>
          <w:rFonts w:hint="eastAsia"/>
          <w:b/>
          <w:highlight w:val="none"/>
          <w:lang w:val="en-US" w:eastAsia="zh-CN"/>
        </w:rPr>
        <w:t>9</w:t>
      </w:r>
      <w:r>
        <w:rPr>
          <w:b/>
          <w:highlight w:val="none"/>
        </w:rPr>
        <w:t xml:space="preserve">  </w:t>
      </w:r>
      <w:r>
        <w:rPr>
          <w:rFonts w:hint="eastAsia"/>
          <w:highlight w:val="none"/>
        </w:rPr>
        <w:t>模具检验资料；</w:t>
      </w:r>
    </w:p>
    <w:p w14:paraId="157D9A50">
      <w:pPr>
        <w:ind w:firstLine="422" w:firstLineChars="200"/>
        <w:rPr>
          <w:highlight w:val="none"/>
        </w:rPr>
      </w:pPr>
      <w:r>
        <w:rPr>
          <w:b/>
          <w:highlight w:val="none"/>
        </w:rPr>
        <w:t xml:space="preserve">10  </w:t>
      </w:r>
      <w:r>
        <w:rPr>
          <w:rFonts w:hint="eastAsia"/>
          <w:highlight w:val="none"/>
        </w:rPr>
        <w:t>混凝土浇筑记录；</w:t>
      </w:r>
    </w:p>
    <w:p w14:paraId="3EEC83CD">
      <w:pPr>
        <w:ind w:firstLine="422" w:firstLineChars="200"/>
        <w:rPr>
          <w:highlight w:val="none"/>
        </w:rPr>
      </w:pPr>
      <w:r>
        <w:rPr>
          <w:b/>
          <w:highlight w:val="none"/>
        </w:rPr>
        <w:t xml:space="preserve">11  </w:t>
      </w:r>
      <w:r>
        <w:rPr>
          <w:rFonts w:hint="eastAsia"/>
          <w:highlight w:val="none"/>
        </w:rPr>
        <w:t>混凝土养护记录；</w:t>
      </w:r>
    </w:p>
    <w:p w14:paraId="7A13344A">
      <w:pPr>
        <w:ind w:firstLine="422" w:firstLineChars="200"/>
        <w:rPr>
          <w:highlight w:val="none"/>
        </w:rPr>
      </w:pPr>
      <w:r>
        <w:rPr>
          <w:b/>
          <w:highlight w:val="none"/>
        </w:rPr>
        <w:t xml:space="preserve">12  </w:t>
      </w:r>
      <w:r>
        <w:rPr>
          <w:rFonts w:hint="eastAsia"/>
          <w:highlight w:val="none"/>
        </w:rPr>
        <w:t>模块单元的预制构件的尺寸偏差及外观质量检验记录；</w:t>
      </w:r>
    </w:p>
    <w:p w14:paraId="3D891FA0">
      <w:pPr>
        <w:ind w:firstLine="422" w:firstLineChars="200"/>
        <w:rPr>
          <w:highlight w:val="none"/>
        </w:rPr>
      </w:pPr>
      <w:r>
        <w:rPr>
          <w:b/>
          <w:highlight w:val="none"/>
        </w:rPr>
        <w:t>1</w:t>
      </w:r>
      <w:r>
        <w:rPr>
          <w:rFonts w:hint="eastAsia"/>
          <w:b/>
          <w:highlight w:val="none"/>
        </w:rPr>
        <w:t>3</w:t>
      </w:r>
      <w:r>
        <w:rPr>
          <w:b/>
          <w:highlight w:val="none"/>
        </w:rPr>
        <w:t xml:space="preserve">  </w:t>
      </w:r>
      <w:r>
        <w:rPr>
          <w:rFonts w:hint="eastAsia"/>
          <w:highlight w:val="none"/>
        </w:rPr>
        <w:t>模块单元尺寸偏差及外观质量检验记录；</w:t>
      </w:r>
    </w:p>
    <w:p w14:paraId="5BA327B8">
      <w:pPr>
        <w:ind w:firstLine="422" w:firstLineChars="200"/>
        <w:rPr>
          <w:highlight w:val="none"/>
        </w:rPr>
      </w:pPr>
      <w:r>
        <w:rPr>
          <w:b/>
          <w:highlight w:val="none"/>
        </w:rPr>
        <w:t>1</w:t>
      </w:r>
      <w:r>
        <w:rPr>
          <w:rFonts w:hint="eastAsia"/>
          <w:b/>
          <w:highlight w:val="none"/>
        </w:rPr>
        <w:t>4</w:t>
      </w:r>
      <w:r>
        <w:rPr>
          <w:highlight w:val="none"/>
        </w:rPr>
        <w:t xml:space="preserve">  </w:t>
      </w:r>
      <w:r>
        <w:rPr>
          <w:rFonts w:hint="eastAsia"/>
          <w:highlight w:val="none"/>
        </w:rPr>
        <w:t>模块单元吊装测试报告；</w:t>
      </w:r>
    </w:p>
    <w:p w14:paraId="5BFC0F91">
      <w:pPr>
        <w:ind w:firstLine="422" w:firstLineChars="200"/>
        <w:rPr>
          <w:highlight w:val="none"/>
        </w:rPr>
      </w:pPr>
      <w:r>
        <w:rPr>
          <w:b/>
          <w:highlight w:val="none"/>
        </w:rPr>
        <w:t>1</w:t>
      </w:r>
      <w:r>
        <w:rPr>
          <w:rFonts w:hint="eastAsia"/>
          <w:b/>
          <w:highlight w:val="none"/>
        </w:rPr>
        <w:t>5</w:t>
      </w:r>
      <w:r>
        <w:rPr>
          <w:b/>
          <w:highlight w:val="none"/>
        </w:rPr>
        <w:t xml:space="preserve">  </w:t>
      </w:r>
      <w:r>
        <w:rPr>
          <w:rFonts w:hint="eastAsia"/>
          <w:highlight w:val="none"/>
        </w:rPr>
        <w:t>模块单元蓄水试验报告；</w:t>
      </w:r>
    </w:p>
    <w:p w14:paraId="18039852">
      <w:pPr>
        <w:ind w:firstLine="422" w:firstLineChars="200"/>
        <w:rPr>
          <w:highlight w:val="none"/>
        </w:rPr>
      </w:pPr>
      <w:r>
        <w:rPr>
          <w:b/>
          <w:highlight w:val="none"/>
        </w:rPr>
        <w:t>1</w:t>
      </w:r>
      <w:r>
        <w:rPr>
          <w:rFonts w:hint="eastAsia"/>
          <w:b/>
          <w:highlight w:val="none"/>
        </w:rPr>
        <w:t>6</w:t>
      </w:r>
      <w:r>
        <w:rPr>
          <w:b/>
          <w:highlight w:val="none"/>
        </w:rPr>
        <w:t xml:space="preserve">  </w:t>
      </w:r>
      <w:r>
        <w:rPr>
          <w:rFonts w:hint="eastAsia"/>
          <w:highlight w:val="none"/>
        </w:rPr>
        <w:t>模块单元淋水试验报告；</w:t>
      </w:r>
    </w:p>
    <w:p w14:paraId="0D35E881">
      <w:pPr>
        <w:ind w:firstLine="422" w:firstLineChars="200"/>
        <w:rPr>
          <w:b/>
          <w:highlight w:val="none"/>
        </w:rPr>
      </w:pPr>
      <w:r>
        <w:rPr>
          <w:b/>
          <w:highlight w:val="none"/>
        </w:rPr>
        <w:t>1</w:t>
      </w:r>
      <w:r>
        <w:rPr>
          <w:rFonts w:hint="eastAsia"/>
          <w:b/>
          <w:highlight w:val="none"/>
        </w:rPr>
        <w:t>7</w:t>
      </w:r>
      <w:r>
        <w:rPr>
          <w:highlight w:val="none"/>
        </w:rPr>
        <w:t xml:space="preserve">  </w:t>
      </w:r>
      <w:r>
        <w:rPr>
          <w:rFonts w:hint="eastAsia"/>
          <w:highlight w:val="none"/>
        </w:rPr>
        <w:t>模块单元使用功能检验记录；</w:t>
      </w:r>
    </w:p>
    <w:p w14:paraId="48F08E12">
      <w:pPr>
        <w:ind w:firstLine="422" w:firstLineChars="200"/>
        <w:rPr>
          <w:highlight w:val="none"/>
        </w:rPr>
      </w:pPr>
      <w:r>
        <w:rPr>
          <w:b/>
          <w:highlight w:val="none"/>
        </w:rPr>
        <w:t>1</w:t>
      </w:r>
      <w:r>
        <w:rPr>
          <w:rFonts w:hint="eastAsia"/>
          <w:b/>
          <w:highlight w:val="none"/>
        </w:rPr>
        <w:t>8</w:t>
      </w:r>
      <w:r>
        <w:rPr>
          <w:b/>
          <w:highlight w:val="none"/>
        </w:rPr>
        <w:t xml:space="preserve">  </w:t>
      </w:r>
      <w:r>
        <w:rPr>
          <w:rFonts w:hint="eastAsia"/>
          <w:highlight w:val="none"/>
        </w:rPr>
        <w:t>模块出厂合格证；</w:t>
      </w:r>
    </w:p>
    <w:p w14:paraId="54675AE2">
      <w:pPr>
        <w:ind w:firstLine="422" w:firstLineChars="200"/>
        <w:rPr>
          <w:highlight w:val="none"/>
        </w:rPr>
      </w:pPr>
      <w:r>
        <w:rPr>
          <w:rFonts w:hint="eastAsia"/>
          <w:b/>
          <w:highlight w:val="none"/>
        </w:rPr>
        <w:t>19</w:t>
      </w:r>
      <w:r>
        <w:rPr>
          <w:b/>
          <w:highlight w:val="none"/>
        </w:rPr>
        <w:t xml:space="preserve">  </w:t>
      </w:r>
      <w:r>
        <w:rPr>
          <w:rFonts w:hint="eastAsia"/>
          <w:highlight w:val="none"/>
        </w:rPr>
        <w:t>质量事故分析和处理资料；</w:t>
      </w:r>
    </w:p>
    <w:p w14:paraId="1E32A00F">
      <w:pPr>
        <w:ind w:firstLine="422" w:firstLineChars="200"/>
        <w:rPr>
          <w:highlight w:val="none"/>
        </w:rPr>
      </w:pPr>
      <w:r>
        <w:rPr>
          <w:rFonts w:hint="eastAsia"/>
          <w:b/>
          <w:highlight w:val="none"/>
        </w:rPr>
        <w:t>20</w:t>
      </w:r>
      <w:r>
        <w:rPr>
          <w:b/>
          <w:highlight w:val="none"/>
        </w:rPr>
        <w:t xml:space="preserve">  </w:t>
      </w:r>
      <w:r>
        <w:rPr>
          <w:rFonts w:hint="eastAsia"/>
          <w:highlight w:val="none"/>
        </w:rPr>
        <w:t>其他与模块单元生产和质量有关的重要文件资料。</w:t>
      </w:r>
    </w:p>
    <w:p w14:paraId="4532DB93">
      <w:pPr>
        <w:rPr>
          <w:highlight w:val="none"/>
        </w:rPr>
      </w:pPr>
      <w:r>
        <w:rPr>
          <w:rFonts w:hint="eastAsia"/>
          <w:b/>
          <w:highlight w:val="none"/>
        </w:rPr>
        <w:t>8.8.</w:t>
      </w:r>
      <w:r>
        <w:rPr>
          <w:rFonts w:hint="eastAsia"/>
          <w:b/>
          <w:highlight w:val="none"/>
          <w:lang w:val="en-US" w:eastAsia="zh-CN"/>
        </w:rPr>
        <w:t>2</w:t>
      </w:r>
      <w:r>
        <w:rPr>
          <w:b/>
          <w:highlight w:val="none"/>
        </w:rPr>
        <w:t xml:space="preserve">  </w:t>
      </w:r>
      <w:r>
        <w:rPr>
          <w:rFonts w:hint="eastAsia"/>
          <w:highlight w:val="none"/>
        </w:rPr>
        <w:t>模块单元交付的文件资料应包括下列内容：</w:t>
      </w:r>
    </w:p>
    <w:p w14:paraId="23F78A2F">
      <w:pPr>
        <w:ind w:firstLine="422" w:firstLineChars="200"/>
        <w:rPr>
          <w:highlight w:val="none"/>
        </w:rPr>
      </w:pPr>
      <w:r>
        <w:rPr>
          <w:b/>
          <w:highlight w:val="none"/>
        </w:rPr>
        <w:t xml:space="preserve">1  </w:t>
      </w:r>
      <w:r>
        <w:rPr>
          <w:rFonts w:hint="eastAsia"/>
          <w:highlight w:val="none"/>
        </w:rPr>
        <w:t>出厂合格证；</w:t>
      </w:r>
    </w:p>
    <w:p w14:paraId="58A7EEF5">
      <w:pPr>
        <w:ind w:firstLine="422" w:firstLineChars="200"/>
        <w:rPr>
          <w:highlight w:val="none"/>
        </w:rPr>
      </w:pPr>
      <w:r>
        <w:rPr>
          <w:b/>
          <w:highlight w:val="none"/>
        </w:rPr>
        <w:t>2</w:t>
      </w:r>
      <w:r>
        <w:rPr>
          <w:highlight w:val="none"/>
        </w:rPr>
        <w:t xml:space="preserve">  </w:t>
      </w:r>
      <w:r>
        <w:rPr>
          <w:rFonts w:hint="eastAsia"/>
          <w:highlight w:val="none"/>
        </w:rPr>
        <w:t>产品质量证明文件；</w:t>
      </w:r>
    </w:p>
    <w:p w14:paraId="06D27EDB">
      <w:pPr>
        <w:ind w:firstLine="422" w:firstLineChars="200"/>
        <w:rPr>
          <w:highlight w:val="none"/>
        </w:rPr>
      </w:pPr>
      <w:r>
        <w:rPr>
          <w:b/>
          <w:highlight w:val="none"/>
        </w:rPr>
        <w:t>3</w:t>
      </w:r>
      <w:r>
        <w:rPr>
          <w:highlight w:val="none"/>
        </w:rPr>
        <w:t xml:space="preserve">  </w:t>
      </w:r>
      <w:r>
        <w:rPr>
          <w:rFonts w:hint="eastAsia"/>
          <w:highlight w:val="none"/>
        </w:rPr>
        <w:t>使用说明书。</w:t>
      </w:r>
    </w:p>
    <w:p w14:paraId="16074EDE">
      <w:pPr>
        <w:rPr>
          <w:color w:val="auto"/>
          <w:highlight w:val="none"/>
        </w:rPr>
      </w:pPr>
    </w:p>
    <w:p w14:paraId="1D30E8B2">
      <w:pPr>
        <w:pStyle w:val="38"/>
        <w:spacing w:line="360" w:lineRule="auto"/>
        <w:jc w:val="center"/>
        <w:rPr>
          <w:rFonts w:hint="eastAsia" w:hAnsi="Times New Roman" w:cs="Times New Roman"/>
          <w:color w:val="auto"/>
          <w:spacing w:val="20"/>
          <w:sz w:val="32"/>
          <w:szCs w:val="32"/>
          <w:highlight w:val="none"/>
        </w:rPr>
      </w:pPr>
    </w:p>
    <w:p w14:paraId="65F2F174">
      <w:pPr>
        <w:pStyle w:val="36"/>
        <w:spacing w:after="240" w:line="360" w:lineRule="auto"/>
        <w:ind w:left="480"/>
        <w:jc w:val="right"/>
        <w:rPr>
          <w:rFonts w:eastAsia="黑体"/>
          <w:b/>
          <w:bCs/>
          <w:color w:val="auto"/>
          <w:spacing w:val="-11"/>
          <w:sz w:val="28"/>
          <w:szCs w:val="28"/>
          <w:highlight w:val="none"/>
        </w:rPr>
      </w:pPr>
    </w:p>
    <w:p w14:paraId="006A40ED">
      <w:pPr>
        <w:rPr>
          <w:color w:val="auto"/>
          <w:kern w:val="0"/>
          <w:sz w:val="44"/>
          <w:szCs w:val="44"/>
          <w:highlight w:val="none"/>
        </w:rPr>
      </w:pPr>
    </w:p>
    <w:p w14:paraId="58B8BA7D">
      <w:pPr>
        <w:ind w:firstLine="420" w:firstLineChars="200"/>
        <w:rPr>
          <w:color w:val="auto"/>
          <w:highlight w:val="none"/>
        </w:rPr>
      </w:pPr>
    </w:p>
    <w:p w14:paraId="734F9574">
      <w:pPr>
        <w:widowControl/>
        <w:jc w:val="left"/>
        <w:rPr>
          <w:color w:val="auto"/>
          <w:highlight w:val="none"/>
        </w:rPr>
      </w:pPr>
      <w:r>
        <w:rPr>
          <w:color w:val="auto"/>
          <w:highlight w:val="none"/>
        </w:rPr>
        <w:br w:type="page"/>
      </w:r>
    </w:p>
    <w:p w14:paraId="66F4411D">
      <w:pPr>
        <w:pStyle w:val="2"/>
        <w:keepNext/>
        <w:keepLines/>
        <w:pageBreakBefore w:val="0"/>
        <w:widowControl w:val="0"/>
        <w:kinsoku/>
        <w:wordWrap/>
        <w:overflowPunct/>
        <w:topLinePunct w:val="0"/>
        <w:autoSpaceDE/>
        <w:autoSpaceDN/>
        <w:bidi w:val="0"/>
        <w:adjustRightInd/>
        <w:snapToGrid/>
        <w:spacing w:before="166" w:beforeLines="50" w:after="166" w:afterLines="50" w:line="360" w:lineRule="auto"/>
        <w:ind w:firstLine="0"/>
        <w:jc w:val="center"/>
        <w:textAlignment w:val="auto"/>
        <w:rPr>
          <w:rFonts w:eastAsia="黑体"/>
          <w:color w:val="auto"/>
          <w:sz w:val="28"/>
          <w:szCs w:val="28"/>
          <w:highlight w:val="none"/>
        </w:rPr>
      </w:pPr>
      <w:bookmarkStart w:id="1011" w:name="_Toc23522"/>
      <w:bookmarkStart w:id="1012" w:name="_Toc10089"/>
      <w:bookmarkStart w:id="1013" w:name="_Toc20558"/>
      <w:bookmarkStart w:id="1014" w:name="_Toc30793"/>
      <w:bookmarkStart w:id="1015" w:name="_Toc31176"/>
      <w:bookmarkStart w:id="1016" w:name="_Toc4456"/>
      <w:bookmarkStart w:id="1017" w:name="_Toc3923"/>
      <w:bookmarkStart w:id="1018" w:name="_Toc22854"/>
      <w:r>
        <w:rPr>
          <w:rFonts w:hint="eastAsia" w:eastAsia="黑体"/>
          <w:color w:val="auto"/>
          <w:sz w:val="28"/>
          <w:szCs w:val="28"/>
          <w:highlight w:val="none"/>
        </w:rPr>
        <w:t>9</w:t>
      </w:r>
      <w:r>
        <w:rPr>
          <w:rFonts w:eastAsia="黑体"/>
          <w:color w:val="auto"/>
          <w:sz w:val="28"/>
          <w:szCs w:val="28"/>
          <w:highlight w:val="none"/>
        </w:rPr>
        <w:t xml:space="preserve"> </w:t>
      </w:r>
      <w:r>
        <w:rPr>
          <w:rFonts w:hint="eastAsia" w:eastAsia="黑体"/>
          <w:color w:val="auto"/>
          <w:sz w:val="28"/>
          <w:szCs w:val="28"/>
          <w:highlight w:val="none"/>
        </w:rPr>
        <w:t xml:space="preserve"> 施</w:t>
      </w:r>
      <w:r>
        <w:rPr>
          <w:rFonts w:eastAsia="黑体"/>
          <w:color w:val="auto"/>
          <w:sz w:val="28"/>
          <w:szCs w:val="28"/>
          <w:highlight w:val="none"/>
        </w:rPr>
        <w:t xml:space="preserve"> </w:t>
      </w:r>
      <w:r>
        <w:rPr>
          <w:rFonts w:hint="eastAsia" w:eastAsia="黑体"/>
          <w:color w:val="auto"/>
          <w:sz w:val="28"/>
          <w:szCs w:val="28"/>
          <w:highlight w:val="none"/>
        </w:rPr>
        <w:t>工</w:t>
      </w:r>
      <w:r>
        <w:rPr>
          <w:rFonts w:eastAsia="黑体"/>
          <w:color w:val="auto"/>
          <w:sz w:val="28"/>
          <w:szCs w:val="28"/>
          <w:highlight w:val="none"/>
        </w:rPr>
        <w:t xml:space="preserve"> </w:t>
      </w:r>
      <w:r>
        <w:rPr>
          <w:rFonts w:hint="eastAsia" w:eastAsia="黑体"/>
          <w:color w:val="auto"/>
          <w:sz w:val="28"/>
          <w:szCs w:val="28"/>
          <w:highlight w:val="none"/>
        </w:rPr>
        <w:t>安</w:t>
      </w:r>
      <w:r>
        <w:rPr>
          <w:rFonts w:eastAsia="黑体"/>
          <w:color w:val="auto"/>
          <w:sz w:val="28"/>
          <w:szCs w:val="28"/>
          <w:highlight w:val="none"/>
        </w:rPr>
        <w:t xml:space="preserve"> </w:t>
      </w:r>
      <w:r>
        <w:rPr>
          <w:rFonts w:hint="eastAsia" w:eastAsia="黑体"/>
          <w:color w:val="auto"/>
          <w:sz w:val="28"/>
          <w:szCs w:val="28"/>
          <w:highlight w:val="none"/>
        </w:rPr>
        <w:t>装</w:t>
      </w:r>
      <w:bookmarkEnd w:id="1011"/>
      <w:bookmarkEnd w:id="1012"/>
      <w:bookmarkEnd w:id="1013"/>
      <w:bookmarkEnd w:id="1014"/>
    </w:p>
    <w:p w14:paraId="6EA2A54D">
      <w:pPr>
        <w:pStyle w:val="3"/>
        <w:keepNext/>
        <w:keepLines/>
        <w:pageBreakBefore w:val="0"/>
        <w:widowControl w:val="0"/>
        <w:kinsoku/>
        <w:wordWrap/>
        <w:overflowPunct/>
        <w:topLinePunct w:val="0"/>
        <w:autoSpaceDE/>
        <w:autoSpaceDN/>
        <w:bidi w:val="0"/>
        <w:adjustRightInd/>
        <w:snapToGrid/>
        <w:spacing w:before="166" w:beforeLines="50" w:after="166" w:afterLines="50" w:line="360" w:lineRule="auto"/>
        <w:ind w:firstLine="0"/>
        <w:jc w:val="center"/>
        <w:textAlignment w:val="auto"/>
        <w:rPr>
          <w:rFonts w:ascii="Times New Roman" w:hAnsi="Times New Roman" w:eastAsia="黑体" w:cs="Times New Roman"/>
          <w:color w:val="auto"/>
          <w:sz w:val="24"/>
          <w:szCs w:val="24"/>
          <w:highlight w:val="none"/>
        </w:rPr>
      </w:pPr>
      <w:bookmarkStart w:id="1019" w:name="_Toc20039"/>
      <w:bookmarkStart w:id="1020" w:name="_Toc23923"/>
      <w:bookmarkStart w:id="1021" w:name="_Toc32745"/>
      <w:bookmarkStart w:id="1022" w:name="_Toc25454"/>
      <w:bookmarkStart w:id="1023" w:name="_Toc844"/>
      <w:bookmarkStart w:id="1024" w:name="_Toc7040"/>
      <w:bookmarkStart w:id="1025" w:name="_Toc23729"/>
      <w:bookmarkStart w:id="1026" w:name="_Toc9944"/>
      <w:r>
        <w:rPr>
          <w:rFonts w:hint="eastAsia" w:ascii="Times New Roman" w:hAnsi="Times New Roman" w:eastAsia="黑体" w:cs="Times New Roman"/>
          <w:b/>
          <w:color w:val="auto"/>
          <w:sz w:val="24"/>
          <w:szCs w:val="24"/>
          <w:highlight w:val="none"/>
        </w:rPr>
        <w:t>9.</w:t>
      </w:r>
      <w:r>
        <w:rPr>
          <w:rFonts w:ascii="Times New Roman" w:hAnsi="Times New Roman" w:eastAsia="黑体" w:cs="Times New Roman"/>
          <w:b/>
          <w:color w:val="auto"/>
          <w:sz w:val="24"/>
          <w:szCs w:val="24"/>
          <w:highlight w:val="none"/>
        </w:rPr>
        <w:t>1</w:t>
      </w:r>
      <w:r>
        <w:rPr>
          <w:rFonts w:hint="eastAsia" w:ascii="Times New Roman" w:hAnsi="Times New Roman" w:eastAsia="黑体" w:cs="Times New Roman"/>
          <w:b/>
          <w:color w:val="auto"/>
          <w:sz w:val="24"/>
          <w:szCs w:val="24"/>
          <w:highlight w:val="none"/>
        </w:rPr>
        <w:t xml:space="preserve"> </w:t>
      </w:r>
      <w:r>
        <w:rPr>
          <w:rFonts w:hint="eastAsia" w:ascii="Times New Roman" w:hAnsi="Times New Roman" w:eastAsia="黑体" w:cs="Times New Roman"/>
          <w:color w:val="auto"/>
          <w:sz w:val="24"/>
          <w:szCs w:val="24"/>
          <w:highlight w:val="none"/>
        </w:rPr>
        <w:t xml:space="preserve"> 一 般 规 定</w:t>
      </w:r>
      <w:bookmarkEnd w:id="1019"/>
      <w:bookmarkEnd w:id="1020"/>
      <w:bookmarkEnd w:id="1021"/>
      <w:bookmarkEnd w:id="1022"/>
      <w:bookmarkEnd w:id="1023"/>
      <w:bookmarkEnd w:id="1024"/>
      <w:bookmarkEnd w:id="1025"/>
      <w:bookmarkEnd w:id="1026"/>
    </w:p>
    <w:p w14:paraId="2347FBF0">
      <w:pPr>
        <w:ind w:firstLine="0"/>
        <w:rPr>
          <w:color w:val="auto"/>
          <w:highlight w:val="none"/>
        </w:rPr>
      </w:pPr>
      <w:r>
        <w:rPr>
          <w:rFonts w:hint="eastAsia"/>
          <w:b/>
          <w:color w:val="auto"/>
          <w:highlight w:val="none"/>
        </w:rPr>
        <w:t>9.</w:t>
      </w:r>
      <w:r>
        <w:rPr>
          <w:b/>
          <w:color w:val="auto"/>
          <w:highlight w:val="none"/>
        </w:rPr>
        <w:t>1</w:t>
      </w:r>
      <w:r>
        <w:rPr>
          <w:rFonts w:hint="eastAsia"/>
          <w:b/>
          <w:color w:val="auto"/>
          <w:highlight w:val="none"/>
        </w:rPr>
        <w:t>.</w:t>
      </w:r>
      <w:r>
        <w:rPr>
          <w:b/>
          <w:color w:val="auto"/>
          <w:highlight w:val="none"/>
        </w:rPr>
        <w:t xml:space="preserve">1  </w:t>
      </w:r>
      <w:r>
        <w:rPr>
          <w:rFonts w:hint="eastAsia"/>
          <w:color w:val="auto"/>
          <w:highlight w:val="none"/>
        </w:rPr>
        <w:t>安装施工前，应针对混凝土模块化建筑施工要点和难点制定施工组织设计和安全专项施工方案，符合超过一定危险性工程情形的，应按有关规定组织专家评审论证。</w:t>
      </w:r>
    </w:p>
    <w:p w14:paraId="68407448">
      <w:pPr>
        <w:ind w:firstLine="0"/>
        <w:rPr>
          <w:color w:val="auto"/>
          <w:highlight w:val="none"/>
        </w:rPr>
      </w:pPr>
      <w:r>
        <w:rPr>
          <w:rFonts w:hint="eastAsia"/>
          <w:b/>
          <w:color w:val="auto"/>
          <w:highlight w:val="none"/>
        </w:rPr>
        <w:t>9.</w:t>
      </w:r>
      <w:r>
        <w:rPr>
          <w:b/>
          <w:color w:val="auto"/>
          <w:highlight w:val="none"/>
        </w:rPr>
        <w:t>1</w:t>
      </w:r>
      <w:r>
        <w:rPr>
          <w:rFonts w:hint="eastAsia"/>
          <w:b/>
          <w:color w:val="auto"/>
          <w:highlight w:val="none"/>
        </w:rPr>
        <w:t>.</w:t>
      </w:r>
      <w:r>
        <w:rPr>
          <w:rFonts w:eastAsia="PMingLiU"/>
          <w:b/>
          <w:color w:val="auto"/>
          <w:highlight w:val="none"/>
        </w:rPr>
        <w:t xml:space="preserve">2  </w:t>
      </w:r>
      <w:r>
        <w:rPr>
          <w:rFonts w:hint="eastAsia"/>
          <w:color w:val="auto"/>
          <w:highlight w:val="none"/>
        </w:rPr>
        <w:t>安装施工前，应进行首件样板验收，并宜选取有代表性的模块进行样板间试拼装。根据试安装情况，及时调整和优化施工方案和施工工艺。经检验符合设计要求和</w:t>
      </w:r>
      <w:r>
        <w:rPr>
          <w:rFonts w:hint="eastAsia"/>
          <w:color w:val="auto"/>
          <w:highlight w:val="none"/>
          <w:lang w:eastAsia="zh-CN"/>
        </w:rPr>
        <w:t>本标准</w:t>
      </w:r>
      <w:r>
        <w:rPr>
          <w:rFonts w:hint="eastAsia"/>
          <w:color w:val="auto"/>
          <w:highlight w:val="none"/>
        </w:rPr>
        <w:t>相关要求后，方可进行正式的现场组合安装工作。</w:t>
      </w:r>
    </w:p>
    <w:p w14:paraId="43392F65">
      <w:pPr>
        <w:ind w:firstLine="0"/>
        <w:rPr>
          <w:color w:val="auto"/>
          <w:highlight w:val="none"/>
        </w:rPr>
      </w:pPr>
      <w:r>
        <w:rPr>
          <w:rFonts w:hint="eastAsia"/>
          <w:b/>
          <w:color w:val="auto"/>
          <w:highlight w:val="none"/>
        </w:rPr>
        <w:t>9.</w:t>
      </w:r>
      <w:r>
        <w:rPr>
          <w:b/>
          <w:color w:val="auto"/>
          <w:highlight w:val="none"/>
        </w:rPr>
        <w:t>1</w:t>
      </w:r>
      <w:r>
        <w:rPr>
          <w:rFonts w:hint="eastAsia"/>
          <w:b/>
          <w:color w:val="auto"/>
          <w:highlight w:val="none"/>
        </w:rPr>
        <w:t>.</w:t>
      </w:r>
      <w:r>
        <w:rPr>
          <w:rFonts w:hint="eastAsia" w:eastAsiaTheme="minorEastAsia"/>
          <w:b/>
          <w:color w:val="auto"/>
          <w:highlight w:val="none"/>
        </w:rPr>
        <w:t xml:space="preserve">3  </w:t>
      </w:r>
      <w:r>
        <w:rPr>
          <w:rFonts w:hint="eastAsia"/>
          <w:color w:val="auto"/>
          <w:highlight w:val="none"/>
        </w:rPr>
        <w:t>安装施工作业人员在上岗前应进行专项技能培训，并应具备相应的从业资格证明。特种设备操作人员</w:t>
      </w:r>
      <w:r>
        <w:rPr>
          <w:rFonts w:hint="eastAsia"/>
          <w:color w:val="auto"/>
          <w:highlight w:val="none"/>
          <w:lang w:val="en-US" w:eastAsia="zh-CN"/>
        </w:rPr>
        <w:t>应</w:t>
      </w:r>
      <w:r>
        <w:rPr>
          <w:rFonts w:hint="eastAsia"/>
          <w:color w:val="auto"/>
          <w:highlight w:val="none"/>
        </w:rPr>
        <w:t>持证上岗。</w:t>
      </w:r>
    </w:p>
    <w:p w14:paraId="52E46624">
      <w:pPr>
        <w:ind w:firstLine="0"/>
        <w:rPr>
          <w:color w:val="auto"/>
          <w:highlight w:val="none"/>
        </w:rPr>
      </w:pPr>
      <w:r>
        <w:rPr>
          <w:rFonts w:hint="eastAsia"/>
          <w:b/>
          <w:color w:val="auto"/>
          <w:highlight w:val="none"/>
        </w:rPr>
        <w:t>9.</w:t>
      </w:r>
      <w:r>
        <w:rPr>
          <w:b/>
          <w:color w:val="auto"/>
          <w:highlight w:val="none"/>
        </w:rPr>
        <w:t>1</w:t>
      </w:r>
      <w:r>
        <w:rPr>
          <w:rFonts w:hint="eastAsia"/>
          <w:b/>
          <w:color w:val="auto"/>
          <w:highlight w:val="none"/>
        </w:rPr>
        <w:t>.</w:t>
      </w:r>
      <w:r>
        <w:rPr>
          <w:rFonts w:eastAsia="PMingLiU"/>
          <w:b/>
          <w:color w:val="auto"/>
          <w:highlight w:val="none"/>
        </w:rPr>
        <w:t xml:space="preserve">4  </w:t>
      </w:r>
      <w:r>
        <w:rPr>
          <w:rFonts w:hint="eastAsia"/>
          <w:color w:val="auto"/>
          <w:highlight w:val="none"/>
        </w:rPr>
        <w:t>安装施工过程中</w:t>
      </w:r>
      <w:r>
        <w:rPr>
          <w:rFonts w:hint="eastAsia"/>
          <w:color w:val="auto"/>
          <w:highlight w:val="none"/>
          <w:lang w:val="en-US" w:eastAsia="zh-CN"/>
        </w:rPr>
        <w:t>应</w:t>
      </w:r>
      <w:r>
        <w:rPr>
          <w:rFonts w:hint="eastAsia"/>
          <w:color w:val="auto"/>
          <w:highlight w:val="none"/>
        </w:rPr>
        <w:t>确保施工安全。安全措施包含但不限于高处作业、建筑机械使用、施工现场临时用电及建筑施工起重吊装等方面，相应措施应符合现行国家标准、行业</w:t>
      </w:r>
      <w:r>
        <w:rPr>
          <w:color w:val="auto"/>
          <w:highlight w:val="none"/>
        </w:rPr>
        <w:t>标准</w:t>
      </w:r>
      <w:r>
        <w:rPr>
          <w:rFonts w:hint="eastAsia"/>
          <w:color w:val="auto"/>
          <w:highlight w:val="none"/>
        </w:rPr>
        <w:t>及地方标准等。</w:t>
      </w:r>
    </w:p>
    <w:p w14:paraId="5BA7841B">
      <w:pPr>
        <w:ind w:firstLine="0"/>
        <w:rPr>
          <w:color w:val="auto"/>
          <w:highlight w:val="none"/>
        </w:rPr>
      </w:pPr>
      <w:r>
        <w:rPr>
          <w:rFonts w:hint="eastAsia"/>
          <w:b/>
          <w:color w:val="auto"/>
          <w:highlight w:val="none"/>
        </w:rPr>
        <w:t>9.</w:t>
      </w:r>
      <w:r>
        <w:rPr>
          <w:rFonts w:eastAsia="PMingLiU"/>
          <w:b/>
          <w:color w:val="auto"/>
          <w:highlight w:val="none"/>
        </w:rPr>
        <w:t>1</w:t>
      </w:r>
      <w:r>
        <w:rPr>
          <w:rFonts w:hint="eastAsia"/>
          <w:b/>
          <w:color w:val="auto"/>
          <w:highlight w:val="none"/>
        </w:rPr>
        <w:t>.</w:t>
      </w:r>
      <w:r>
        <w:rPr>
          <w:rFonts w:eastAsia="PMingLiU"/>
          <w:b/>
          <w:color w:val="auto"/>
          <w:highlight w:val="none"/>
        </w:rPr>
        <w:t xml:space="preserve">5 </w:t>
      </w:r>
      <w:r>
        <w:rPr>
          <w:rFonts w:hint="eastAsia"/>
          <w:color w:val="auto"/>
          <w:highlight w:val="none"/>
        </w:rPr>
        <w:t>安装施工应落实绿色施工的相关要求，采取相应的保证措施。保证措施应符合</w:t>
      </w:r>
      <w:r>
        <w:rPr>
          <w:rFonts w:hint="eastAsia"/>
          <w:color w:val="auto"/>
          <w:highlight w:val="none"/>
          <w:lang w:val="en-US" w:eastAsia="zh-CN"/>
        </w:rPr>
        <w:t>现行国家标准</w:t>
      </w:r>
      <w:r>
        <w:rPr>
          <w:rFonts w:hint="eastAsia"/>
          <w:color w:val="auto"/>
          <w:highlight w:val="none"/>
        </w:rPr>
        <w:t>《建筑工程绿色施工规范》GB/T 50905和《装配式混凝土建筑技术标准》GB</w:t>
      </w:r>
      <w:r>
        <w:rPr>
          <w:rFonts w:hint="eastAsia"/>
          <w:color w:val="auto"/>
          <w:highlight w:val="none"/>
          <w:lang w:val="en-US" w:eastAsia="zh-CN"/>
        </w:rPr>
        <w:t>/</w:t>
      </w:r>
      <w:r>
        <w:rPr>
          <w:rFonts w:hint="eastAsia"/>
          <w:color w:val="auto"/>
          <w:highlight w:val="none"/>
        </w:rPr>
        <w:t>T 51231等</w:t>
      </w:r>
      <w:r>
        <w:rPr>
          <w:rFonts w:hint="eastAsia"/>
          <w:color w:val="auto"/>
          <w:highlight w:val="none"/>
          <w:lang w:val="en-US" w:eastAsia="zh-CN"/>
        </w:rPr>
        <w:t>的</w:t>
      </w:r>
      <w:r>
        <w:rPr>
          <w:rFonts w:hint="eastAsia"/>
          <w:color w:val="auto"/>
          <w:highlight w:val="none"/>
        </w:rPr>
        <w:t>有关规定，同时应满足地</w:t>
      </w:r>
      <w:r>
        <w:rPr>
          <w:rFonts w:hint="eastAsia"/>
          <w:color w:val="auto"/>
          <w:highlight w:val="none"/>
          <w:lang w:val="en-US" w:eastAsia="zh-CN"/>
        </w:rPr>
        <w:t>方相关</w:t>
      </w:r>
      <w:r>
        <w:rPr>
          <w:rFonts w:hint="eastAsia"/>
          <w:color w:val="auto"/>
          <w:highlight w:val="none"/>
        </w:rPr>
        <w:t>环境保护管理标准及规定。</w:t>
      </w:r>
    </w:p>
    <w:p w14:paraId="6AF392F8">
      <w:pPr>
        <w:ind w:firstLine="0"/>
        <w:rPr>
          <w:color w:val="auto"/>
          <w:highlight w:val="none"/>
        </w:rPr>
      </w:pPr>
      <w:r>
        <w:rPr>
          <w:rFonts w:hint="eastAsia"/>
          <w:b/>
          <w:color w:val="auto"/>
          <w:highlight w:val="none"/>
        </w:rPr>
        <w:t>9.</w:t>
      </w:r>
      <w:r>
        <w:rPr>
          <w:rFonts w:eastAsia="PMingLiU"/>
          <w:b/>
          <w:color w:val="auto"/>
          <w:highlight w:val="none"/>
        </w:rPr>
        <w:t>1</w:t>
      </w:r>
      <w:r>
        <w:rPr>
          <w:rFonts w:hint="eastAsia"/>
          <w:b/>
          <w:color w:val="auto"/>
          <w:highlight w:val="none"/>
        </w:rPr>
        <w:t>.</w:t>
      </w:r>
      <w:r>
        <w:rPr>
          <w:rFonts w:hint="eastAsia" w:eastAsiaTheme="minorEastAsia"/>
          <w:b/>
          <w:color w:val="auto"/>
          <w:highlight w:val="none"/>
        </w:rPr>
        <w:t>6</w:t>
      </w:r>
      <w:r>
        <w:rPr>
          <w:rFonts w:hint="eastAsia"/>
          <w:b/>
          <w:color w:val="auto"/>
          <w:highlight w:val="none"/>
        </w:rPr>
        <w:t xml:space="preserve"> </w:t>
      </w:r>
      <w:r>
        <w:rPr>
          <w:rFonts w:hint="eastAsia"/>
          <w:color w:val="auto"/>
          <w:highlight w:val="none"/>
        </w:rPr>
        <w:t>模块运至现场后，应进行外观质量验收，</w:t>
      </w:r>
      <w:r>
        <w:rPr>
          <w:color w:val="auto"/>
          <w:highlight w:val="none"/>
        </w:rPr>
        <w:t>并对</w:t>
      </w:r>
      <w:r>
        <w:rPr>
          <w:rFonts w:hint="eastAsia"/>
          <w:color w:val="auto"/>
          <w:highlight w:val="none"/>
        </w:rPr>
        <w:t>模块的</w:t>
      </w:r>
      <w:r>
        <w:rPr>
          <w:color w:val="auto"/>
          <w:highlight w:val="none"/>
        </w:rPr>
        <w:t>合格证书、质量证明文件等进行核查，以确保其符合规定要求后方可进行安装</w:t>
      </w:r>
      <w:r>
        <w:rPr>
          <w:rFonts w:hint="eastAsia"/>
          <w:color w:val="auto"/>
          <w:highlight w:val="none"/>
        </w:rPr>
        <w:t>。</w:t>
      </w:r>
    </w:p>
    <w:p w14:paraId="2506ECE2">
      <w:pPr>
        <w:widowControl/>
        <w:spacing w:line="360" w:lineRule="exact"/>
        <w:ind w:firstLine="0" w:firstLineChars="0"/>
        <w:jc w:val="left"/>
        <w:rPr>
          <w:color w:val="auto"/>
          <w:highlight w:val="none"/>
        </w:rPr>
      </w:pPr>
      <w:r>
        <w:rPr>
          <w:rFonts w:hint="eastAsia"/>
          <w:b/>
          <w:color w:val="auto"/>
          <w:highlight w:val="none"/>
        </w:rPr>
        <w:t xml:space="preserve">9.1.7 </w:t>
      </w:r>
      <w:r>
        <w:rPr>
          <w:rFonts w:hint="eastAsia"/>
          <w:color w:val="auto"/>
          <w:highlight w:val="none"/>
        </w:rPr>
        <w:t>混凝土模块化建筑</w:t>
      </w:r>
      <w:r>
        <w:rPr>
          <w:rFonts w:hint="eastAsia"/>
          <w:color w:val="auto"/>
          <w:highlight w:val="none"/>
          <w:lang w:val="en-US" w:eastAsia="zh-CN"/>
        </w:rPr>
        <w:t>应</w:t>
      </w:r>
      <w:r>
        <w:rPr>
          <w:rFonts w:hint="eastAsia"/>
          <w:color w:val="auto"/>
          <w:highlight w:val="none"/>
        </w:rPr>
        <w:t>在模块单元吊装前</w:t>
      </w:r>
      <w:r>
        <w:rPr>
          <w:rFonts w:hint="eastAsia"/>
          <w:color w:val="auto"/>
          <w:highlight w:val="none"/>
          <w:lang w:eastAsia="zh-CN"/>
        </w:rPr>
        <w:t>，</w:t>
      </w:r>
      <w:r>
        <w:rPr>
          <w:rFonts w:hint="eastAsia"/>
          <w:color w:val="auto"/>
          <w:highlight w:val="none"/>
          <w:lang w:val="en-US" w:eastAsia="zh-CN"/>
        </w:rPr>
        <w:t>根据现场工序安排，</w:t>
      </w:r>
      <w:r>
        <w:rPr>
          <w:rFonts w:hint="eastAsia"/>
          <w:color w:val="auto"/>
          <w:highlight w:val="none"/>
        </w:rPr>
        <w:t>对</w:t>
      </w:r>
      <w:r>
        <w:rPr>
          <w:rFonts w:hint="eastAsia"/>
          <w:color w:val="auto"/>
          <w:highlight w:val="none"/>
          <w:lang w:val="en-US" w:eastAsia="zh-CN"/>
        </w:rPr>
        <w:t>模块的</w:t>
      </w:r>
      <w:r>
        <w:rPr>
          <w:rFonts w:hint="eastAsia"/>
          <w:color w:val="auto"/>
          <w:highlight w:val="none"/>
        </w:rPr>
        <w:t>结构、</w:t>
      </w:r>
      <w:r>
        <w:rPr>
          <w:rFonts w:hint="eastAsia"/>
          <w:color w:val="auto"/>
          <w:highlight w:val="none"/>
          <w:lang w:val="en-US" w:eastAsia="zh-CN"/>
        </w:rPr>
        <w:t>防水</w:t>
      </w:r>
      <w:r>
        <w:rPr>
          <w:rFonts w:hint="eastAsia"/>
          <w:color w:val="auto"/>
          <w:highlight w:val="none"/>
        </w:rPr>
        <w:t>、给排水等工序提前进行隐蔽验收。</w:t>
      </w:r>
    </w:p>
    <w:p w14:paraId="31011ECA">
      <w:pPr>
        <w:ind w:firstLine="422"/>
        <w:rPr>
          <w:color w:val="auto"/>
          <w:highlight w:val="none"/>
        </w:rPr>
      </w:pPr>
    </w:p>
    <w:p w14:paraId="0002CB11">
      <w:pPr>
        <w:pStyle w:val="3"/>
        <w:keepNext/>
        <w:keepLines/>
        <w:pageBreakBefore w:val="0"/>
        <w:widowControl w:val="0"/>
        <w:kinsoku/>
        <w:wordWrap/>
        <w:overflowPunct/>
        <w:topLinePunct w:val="0"/>
        <w:autoSpaceDE/>
        <w:autoSpaceDN/>
        <w:bidi w:val="0"/>
        <w:adjustRightInd/>
        <w:snapToGrid/>
        <w:spacing w:before="166" w:beforeLines="50" w:after="166" w:afterLines="50" w:line="360" w:lineRule="auto"/>
        <w:ind w:firstLine="0"/>
        <w:jc w:val="center"/>
        <w:textAlignment w:val="auto"/>
        <w:rPr>
          <w:rFonts w:ascii="Times New Roman" w:hAnsi="Times New Roman" w:eastAsia="黑体" w:cs="Times New Roman"/>
          <w:color w:val="auto"/>
          <w:sz w:val="24"/>
          <w:szCs w:val="24"/>
          <w:highlight w:val="none"/>
        </w:rPr>
      </w:pPr>
      <w:bookmarkStart w:id="1027" w:name="_Toc1153"/>
      <w:bookmarkStart w:id="1028" w:name="_Toc10533"/>
      <w:bookmarkStart w:id="1029" w:name="_Toc25561"/>
      <w:bookmarkStart w:id="1030" w:name="_Toc3247"/>
      <w:bookmarkStart w:id="1031" w:name="_Toc24327"/>
      <w:bookmarkStart w:id="1032" w:name="_Toc9017"/>
      <w:bookmarkStart w:id="1033" w:name="_Toc1631"/>
      <w:bookmarkStart w:id="1034" w:name="_Toc10284"/>
      <w:r>
        <w:rPr>
          <w:rFonts w:hint="eastAsia" w:ascii="Times New Roman" w:hAnsi="Times New Roman" w:eastAsia="黑体" w:cs="Times New Roman"/>
          <w:b/>
          <w:color w:val="auto"/>
          <w:sz w:val="24"/>
          <w:szCs w:val="24"/>
          <w:highlight w:val="none"/>
        </w:rPr>
        <w:t>9.</w:t>
      </w:r>
      <w:r>
        <w:rPr>
          <w:rFonts w:ascii="Times New Roman" w:hAnsi="Times New Roman" w:eastAsia="黑体" w:cs="Times New Roman"/>
          <w:b/>
          <w:color w:val="auto"/>
          <w:sz w:val="24"/>
          <w:szCs w:val="24"/>
          <w:highlight w:val="none"/>
        </w:rPr>
        <w:t>2</w:t>
      </w:r>
      <w:r>
        <w:rPr>
          <w:rFonts w:hint="eastAsia" w:ascii="Times New Roman" w:hAnsi="Times New Roman" w:eastAsia="黑体" w:cs="Times New Roman"/>
          <w:b/>
          <w:color w:val="auto"/>
          <w:sz w:val="24"/>
          <w:szCs w:val="24"/>
          <w:highlight w:val="none"/>
        </w:rPr>
        <w:t xml:space="preserve"> </w:t>
      </w:r>
      <w:r>
        <w:rPr>
          <w:rFonts w:hint="eastAsia" w:ascii="Times New Roman" w:hAnsi="Times New Roman" w:eastAsia="黑体" w:cs="Times New Roman"/>
          <w:color w:val="auto"/>
          <w:sz w:val="24"/>
          <w:szCs w:val="24"/>
          <w:highlight w:val="none"/>
        </w:rPr>
        <w:t xml:space="preserve"> 施 工 准 备</w:t>
      </w:r>
      <w:bookmarkEnd w:id="1027"/>
      <w:bookmarkEnd w:id="1028"/>
      <w:bookmarkEnd w:id="1029"/>
      <w:bookmarkEnd w:id="1030"/>
      <w:bookmarkEnd w:id="1031"/>
      <w:bookmarkEnd w:id="1032"/>
      <w:bookmarkEnd w:id="1033"/>
      <w:bookmarkEnd w:id="1034"/>
    </w:p>
    <w:p w14:paraId="750D504D">
      <w:pPr>
        <w:ind w:firstLine="0"/>
        <w:rPr>
          <w:rFonts w:eastAsia="PMingLiU"/>
          <w:color w:val="auto"/>
          <w:highlight w:val="none"/>
        </w:rPr>
      </w:pPr>
      <w:bookmarkStart w:id="1035" w:name="_Toc16629"/>
      <w:bookmarkStart w:id="1036" w:name="_Toc64"/>
      <w:r>
        <w:rPr>
          <w:rFonts w:hint="eastAsia"/>
          <w:b/>
          <w:color w:val="auto"/>
          <w:highlight w:val="none"/>
        </w:rPr>
        <w:t>9.</w:t>
      </w:r>
      <w:r>
        <w:rPr>
          <w:b/>
          <w:color w:val="auto"/>
          <w:highlight w:val="none"/>
        </w:rPr>
        <w:t>2</w:t>
      </w:r>
      <w:r>
        <w:rPr>
          <w:rFonts w:hint="eastAsia"/>
          <w:b/>
          <w:color w:val="auto"/>
          <w:highlight w:val="none"/>
        </w:rPr>
        <w:t>.</w:t>
      </w:r>
      <w:r>
        <w:rPr>
          <w:rFonts w:eastAsia="PMingLiU"/>
          <w:b/>
          <w:color w:val="auto"/>
          <w:highlight w:val="none"/>
        </w:rPr>
        <w:t xml:space="preserve">1  </w:t>
      </w:r>
      <w:r>
        <w:rPr>
          <w:rFonts w:hint="eastAsia"/>
          <w:color w:val="auto"/>
          <w:highlight w:val="none"/>
        </w:rPr>
        <w:t>施工</w:t>
      </w:r>
      <w:r>
        <w:rPr>
          <w:rFonts w:hint="eastAsia"/>
          <w:bCs/>
          <w:color w:val="auto"/>
          <w:highlight w:val="none"/>
        </w:rPr>
        <w:t>现场</w:t>
      </w:r>
      <w:r>
        <w:rPr>
          <w:rFonts w:hint="eastAsia"/>
          <w:color w:val="auto"/>
          <w:highlight w:val="none"/>
        </w:rPr>
        <w:t>设置的运输通道、模块存放场地、转运及起吊场地，应符合下列规定：</w:t>
      </w:r>
      <w:bookmarkEnd w:id="1035"/>
      <w:bookmarkEnd w:id="1036"/>
    </w:p>
    <w:p w14:paraId="648394D3">
      <w:pPr>
        <w:ind w:firstLine="422" w:firstLineChars="200"/>
        <w:rPr>
          <w:rFonts w:eastAsia="PMingLiU"/>
          <w:bCs/>
          <w:color w:val="auto"/>
          <w:highlight w:val="none"/>
        </w:rPr>
      </w:pPr>
      <w:bookmarkStart w:id="1037" w:name="_Toc12952"/>
      <w:r>
        <w:rPr>
          <w:b/>
          <w:bCs/>
          <w:color w:val="auto"/>
          <w:highlight w:val="none"/>
        </w:rPr>
        <w:t xml:space="preserve">1  </w:t>
      </w:r>
      <w:r>
        <w:rPr>
          <w:rFonts w:hint="eastAsia"/>
          <w:color w:val="auto"/>
          <w:highlight w:val="none"/>
        </w:rPr>
        <w:t>现场运输道路、存放场地、转运及起吊场地应坚实平整，并应设置排水措施；</w:t>
      </w:r>
      <w:bookmarkEnd w:id="1037"/>
    </w:p>
    <w:p w14:paraId="7524853A">
      <w:pPr>
        <w:ind w:firstLine="420" w:firstLineChars="200"/>
        <w:rPr>
          <w:rFonts w:eastAsia="PMingLiU"/>
          <w:bCs/>
          <w:color w:val="auto"/>
          <w:highlight w:val="none"/>
        </w:rPr>
      </w:pPr>
      <w:r>
        <w:rPr>
          <w:rFonts w:eastAsia="PMingLiU"/>
          <w:b/>
          <w:bCs/>
          <w:color w:val="auto"/>
          <w:highlight w:val="none"/>
        </w:rPr>
        <w:t xml:space="preserve">2  </w:t>
      </w:r>
      <w:r>
        <w:rPr>
          <w:rFonts w:hint="eastAsia"/>
          <w:bCs/>
          <w:color w:val="auto"/>
          <w:highlight w:val="none"/>
        </w:rPr>
        <w:t>应合理规划模块运输通道和临时堆放场地，并应采取成品堆放保护措施；</w:t>
      </w:r>
    </w:p>
    <w:p w14:paraId="397E0773">
      <w:pPr>
        <w:ind w:firstLine="420" w:firstLineChars="200"/>
        <w:rPr>
          <w:color w:val="auto"/>
          <w:highlight w:val="none"/>
        </w:rPr>
      </w:pPr>
      <w:r>
        <w:rPr>
          <w:rFonts w:eastAsia="PMingLiU"/>
          <w:b/>
          <w:bCs/>
          <w:color w:val="auto"/>
          <w:highlight w:val="none"/>
        </w:rPr>
        <w:t xml:space="preserve">3  </w:t>
      </w:r>
      <w:r>
        <w:rPr>
          <w:rFonts w:hint="eastAsia"/>
          <w:color w:val="auto"/>
          <w:highlight w:val="none"/>
        </w:rPr>
        <w:t>施工现场内部道路应按照模块运输车辆的参数，合理设置转弯半径及道路坡度。</w:t>
      </w:r>
    </w:p>
    <w:p w14:paraId="6B5DD2A3">
      <w:pPr>
        <w:ind w:firstLine="0"/>
        <w:rPr>
          <w:color w:val="auto"/>
          <w:highlight w:val="none"/>
        </w:rPr>
      </w:pPr>
      <w:bookmarkStart w:id="1038" w:name="_Toc11300"/>
      <w:bookmarkStart w:id="1039" w:name="_Toc16622"/>
      <w:r>
        <w:rPr>
          <w:rFonts w:hint="eastAsia"/>
          <w:b/>
          <w:color w:val="auto"/>
          <w:highlight w:val="none"/>
        </w:rPr>
        <w:t>9.</w:t>
      </w:r>
      <w:r>
        <w:rPr>
          <w:b/>
          <w:color w:val="auto"/>
          <w:highlight w:val="none"/>
        </w:rPr>
        <w:t>2</w:t>
      </w:r>
      <w:r>
        <w:rPr>
          <w:rFonts w:hint="eastAsia"/>
          <w:b/>
          <w:color w:val="auto"/>
          <w:highlight w:val="none"/>
        </w:rPr>
        <w:t>.</w:t>
      </w:r>
      <w:r>
        <w:rPr>
          <w:rFonts w:eastAsia="PMingLiU"/>
          <w:b/>
          <w:color w:val="auto"/>
          <w:highlight w:val="none"/>
        </w:rPr>
        <w:t xml:space="preserve">2  </w:t>
      </w:r>
      <w:r>
        <w:rPr>
          <w:rFonts w:hint="eastAsia"/>
          <w:color w:val="auto"/>
          <w:highlight w:val="none"/>
        </w:rPr>
        <w:t>模块</w:t>
      </w:r>
      <w:r>
        <w:rPr>
          <w:rFonts w:hint="eastAsia"/>
          <w:bCs/>
          <w:color w:val="auto"/>
          <w:highlight w:val="none"/>
        </w:rPr>
        <w:t>单元</w:t>
      </w:r>
      <w:r>
        <w:rPr>
          <w:rFonts w:hint="eastAsia"/>
          <w:color w:val="auto"/>
          <w:highlight w:val="none"/>
        </w:rPr>
        <w:t>吊装起重机械的选用和操作应符合现行</w:t>
      </w:r>
      <w:r>
        <w:rPr>
          <w:color w:val="auto"/>
          <w:highlight w:val="none"/>
        </w:rPr>
        <w:t>行业标准《建筑机械使用安全技术规程》JGJ</w:t>
      </w:r>
      <w:r>
        <w:rPr>
          <w:rFonts w:hint="eastAsia"/>
          <w:color w:val="auto"/>
          <w:highlight w:val="none"/>
        </w:rPr>
        <w:t xml:space="preserve"> </w:t>
      </w:r>
      <w:r>
        <w:rPr>
          <w:color w:val="auto"/>
          <w:highlight w:val="none"/>
        </w:rPr>
        <w:t>33</w:t>
      </w:r>
      <w:r>
        <w:rPr>
          <w:rFonts w:hint="eastAsia"/>
          <w:color w:val="auto"/>
          <w:highlight w:val="none"/>
        </w:rPr>
        <w:t>等</w:t>
      </w:r>
      <w:r>
        <w:rPr>
          <w:rFonts w:hint="eastAsia"/>
          <w:color w:val="auto"/>
          <w:highlight w:val="none"/>
          <w:lang w:val="en-US" w:eastAsia="zh-CN"/>
        </w:rPr>
        <w:t>的</w:t>
      </w:r>
      <w:r>
        <w:rPr>
          <w:color w:val="auto"/>
          <w:highlight w:val="none"/>
        </w:rPr>
        <w:t>有关规定</w:t>
      </w:r>
      <w:r>
        <w:rPr>
          <w:rFonts w:hint="eastAsia"/>
          <w:color w:val="auto"/>
          <w:highlight w:val="none"/>
        </w:rPr>
        <w:t>。起重机械的吨位和型号应根据模块重量和施工平面布置综合选择，起重机械安全监控系统应满足《建筑塔式起重机安全监控系统应用技术规程》</w:t>
      </w:r>
      <w:r>
        <w:rPr>
          <w:color w:val="auto"/>
          <w:highlight w:val="none"/>
        </w:rPr>
        <w:t>JGJ332</w:t>
      </w:r>
      <w:r>
        <w:rPr>
          <w:rFonts w:hint="eastAsia"/>
          <w:color w:val="auto"/>
          <w:highlight w:val="none"/>
        </w:rPr>
        <w:t>等有关规定。</w:t>
      </w:r>
      <w:bookmarkEnd w:id="1038"/>
      <w:bookmarkEnd w:id="1039"/>
    </w:p>
    <w:p w14:paraId="1E2A460F">
      <w:pPr>
        <w:ind w:firstLine="0"/>
        <w:rPr>
          <w:color w:val="auto"/>
          <w:highlight w:val="none"/>
        </w:rPr>
      </w:pPr>
      <w:bookmarkStart w:id="1040" w:name="_Toc6802"/>
      <w:bookmarkStart w:id="1041" w:name="_Toc10439"/>
      <w:r>
        <w:rPr>
          <w:rFonts w:hint="eastAsia"/>
          <w:b/>
          <w:color w:val="auto"/>
          <w:highlight w:val="none"/>
        </w:rPr>
        <w:t>9.</w:t>
      </w:r>
      <w:r>
        <w:rPr>
          <w:b/>
          <w:color w:val="auto"/>
          <w:highlight w:val="none"/>
        </w:rPr>
        <w:t>2</w:t>
      </w:r>
      <w:r>
        <w:rPr>
          <w:rFonts w:hint="eastAsia"/>
          <w:b/>
          <w:color w:val="auto"/>
          <w:highlight w:val="none"/>
        </w:rPr>
        <w:t>.</w:t>
      </w:r>
      <w:r>
        <w:rPr>
          <w:rFonts w:eastAsia="PMingLiU"/>
          <w:b/>
          <w:color w:val="auto"/>
          <w:highlight w:val="none"/>
        </w:rPr>
        <w:t xml:space="preserve">3  </w:t>
      </w:r>
      <w:r>
        <w:rPr>
          <w:rFonts w:hint="eastAsia"/>
          <w:color w:val="auto"/>
          <w:highlight w:val="none"/>
        </w:rPr>
        <w:t>模块</w:t>
      </w:r>
      <w:r>
        <w:rPr>
          <w:rFonts w:hint="eastAsia"/>
          <w:bCs/>
          <w:color w:val="auto"/>
          <w:highlight w:val="none"/>
        </w:rPr>
        <w:t>单元</w:t>
      </w:r>
      <w:r>
        <w:rPr>
          <w:rFonts w:hint="eastAsia"/>
          <w:color w:val="auto"/>
          <w:highlight w:val="none"/>
        </w:rPr>
        <w:t>吊装应按照设计说明</w:t>
      </w:r>
      <w:r>
        <w:rPr>
          <w:rFonts w:hint="eastAsia"/>
          <w:color w:val="auto"/>
          <w:highlight w:val="none"/>
          <w:lang w:eastAsia="zh-CN"/>
        </w:rPr>
        <w:t>，</w:t>
      </w:r>
      <w:r>
        <w:rPr>
          <w:rFonts w:hint="eastAsia"/>
          <w:color w:val="auto"/>
          <w:highlight w:val="none"/>
        </w:rPr>
        <w:t>采用符合模块重量和吊点分布的专用吊架，</w:t>
      </w:r>
      <w:r>
        <w:rPr>
          <w:rFonts w:hint="eastAsia"/>
          <w:color w:val="auto"/>
          <w:highlight w:val="none"/>
          <w:lang w:val="en-US" w:eastAsia="zh-CN"/>
        </w:rPr>
        <w:t>宜</w:t>
      </w:r>
      <w:r>
        <w:rPr>
          <w:rFonts w:hint="eastAsia"/>
          <w:color w:val="auto"/>
          <w:highlight w:val="none"/>
        </w:rPr>
        <w:t>选用智能吊架。吊架应保证模块在吊装过程中保持平稳，吊架下方与模块吊点相连的吊链与水平方向的夹角不应小于7</w:t>
      </w:r>
      <w:r>
        <w:rPr>
          <w:color w:val="auto"/>
          <w:highlight w:val="none"/>
        </w:rPr>
        <w:t>5</w:t>
      </w:r>
      <w:r>
        <w:rPr>
          <w:rFonts w:hint="eastAsia"/>
          <w:color w:val="auto"/>
          <w:highlight w:val="none"/>
        </w:rPr>
        <w:t>度，不宜小于8</w:t>
      </w:r>
      <w:r>
        <w:rPr>
          <w:color w:val="auto"/>
          <w:highlight w:val="none"/>
        </w:rPr>
        <w:t>0</w:t>
      </w:r>
      <w:r>
        <w:rPr>
          <w:rFonts w:hint="eastAsia"/>
          <w:color w:val="auto"/>
          <w:highlight w:val="none"/>
        </w:rPr>
        <w:t>度。</w:t>
      </w:r>
      <w:bookmarkEnd w:id="1040"/>
      <w:bookmarkEnd w:id="1041"/>
    </w:p>
    <w:p w14:paraId="04C2283E">
      <w:pPr>
        <w:ind w:firstLine="0"/>
        <w:rPr>
          <w:rFonts w:eastAsia="PMingLiU"/>
          <w:bCs/>
          <w:color w:val="auto"/>
          <w:highlight w:val="none"/>
        </w:rPr>
      </w:pPr>
      <w:bookmarkStart w:id="1042" w:name="_Toc13756"/>
      <w:bookmarkStart w:id="1043" w:name="_Toc5960"/>
      <w:bookmarkStart w:id="1044" w:name="_Toc20219"/>
      <w:r>
        <w:rPr>
          <w:rFonts w:hint="eastAsia"/>
          <w:b/>
          <w:bCs/>
          <w:color w:val="auto"/>
          <w:highlight w:val="none"/>
        </w:rPr>
        <w:t>9.</w:t>
      </w:r>
      <w:r>
        <w:rPr>
          <w:b/>
          <w:bCs/>
          <w:color w:val="auto"/>
          <w:highlight w:val="none"/>
        </w:rPr>
        <w:t>2</w:t>
      </w:r>
      <w:r>
        <w:rPr>
          <w:rFonts w:hint="eastAsia"/>
          <w:b/>
          <w:bCs/>
          <w:color w:val="auto"/>
          <w:highlight w:val="none"/>
        </w:rPr>
        <w:t>.4</w:t>
      </w:r>
      <w:r>
        <w:rPr>
          <w:rFonts w:eastAsia="PMingLiU"/>
          <w:b/>
          <w:bCs/>
          <w:color w:val="auto"/>
          <w:highlight w:val="none"/>
        </w:rPr>
        <w:t xml:space="preserve">  </w:t>
      </w:r>
      <w:r>
        <w:rPr>
          <w:rFonts w:hint="eastAsia"/>
          <w:bCs/>
          <w:color w:val="auto"/>
          <w:highlight w:val="none"/>
        </w:rPr>
        <w:t>模块吊装前，应进行下列准备工作：</w:t>
      </w:r>
      <w:bookmarkEnd w:id="1042"/>
      <w:bookmarkEnd w:id="1043"/>
      <w:bookmarkEnd w:id="1044"/>
    </w:p>
    <w:p w14:paraId="4A2A314A">
      <w:pPr>
        <w:ind w:firstLine="422" w:firstLineChars="200"/>
        <w:rPr>
          <w:rFonts w:hint="eastAsia" w:eastAsia="宋体"/>
          <w:color w:val="auto"/>
          <w:highlight w:val="none"/>
          <w:lang w:eastAsia="zh-CN"/>
        </w:rPr>
      </w:pPr>
      <w:bookmarkStart w:id="1045" w:name="_Toc4737"/>
      <w:r>
        <w:rPr>
          <w:b/>
          <w:bCs/>
          <w:color w:val="auto"/>
          <w:highlight w:val="none"/>
        </w:rPr>
        <w:t xml:space="preserve">1  </w:t>
      </w:r>
      <w:r>
        <w:rPr>
          <w:rFonts w:hint="eastAsia"/>
          <w:bCs/>
          <w:color w:val="auto"/>
          <w:highlight w:val="none"/>
        </w:rPr>
        <w:t>复核</w:t>
      </w:r>
      <w:r>
        <w:rPr>
          <w:rFonts w:hint="eastAsia"/>
          <w:color w:val="auto"/>
          <w:highlight w:val="none"/>
        </w:rPr>
        <w:t>模块型号与标牌是否匹配</w:t>
      </w:r>
      <w:bookmarkEnd w:id="1045"/>
      <w:r>
        <w:rPr>
          <w:rFonts w:hint="eastAsia"/>
          <w:color w:val="auto"/>
          <w:highlight w:val="none"/>
          <w:lang w:eastAsia="zh-CN"/>
        </w:rPr>
        <w:t>。</w:t>
      </w:r>
    </w:p>
    <w:p w14:paraId="7C096D60">
      <w:pPr>
        <w:ind w:firstLine="422" w:firstLineChars="200"/>
        <w:rPr>
          <w:rFonts w:hint="eastAsia" w:eastAsia="宋体"/>
          <w:color w:val="auto"/>
          <w:highlight w:val="none"/>
          <w:lang w:eastAsia="zh-CN"/>
        </w:rPr>
      </w:pPr>
      <w:r>
        <w:rPr>
          <w:b/>
          <w:bCs/>
          <w:color w:val="auto"/>
          <w:highlight w:val="none"/>
        </w:rPr>
        <w:t xml:space="preserve">2  </w:t>
      </w:r>
      <w:r>
        <w:rPr>
          <w:rFonts w:hint="eastAsia"/>
          <w:color w:val="auto"/>
          <w:highlight w:val="none"/>
        </w:rPr>
        <w:t>复核模块的混凝土强度、尺寸、管线布置、开洞位置等是否满足设计和安装要求</w:t>
      </w:r>
      <w:r>
        <w:rPr>
          <w:rFonts w:hint="eastAsia"/>
          <w:color w:val="auto"/>
          <w:highlight w:val="none"/>
          <w:lang w:eastAsia="zh-CN"/>
        </w:rPr>
        <w:t>。</w:t>
      </w:r>
    </w:p>
    <w:p w14:paraId="4F59D342">
      <w:pPr>
        <w:ind w:firstLine="422" w:firstLineChars="200"/>
        <w:rPr>
          <w:color w:val="auto"/>
          <w:highlight w:val="none"/>
        </w:rPr>
      </w:pPr>
      <w:r>
        <w:rPr>
          <w:rFonts w:hint="eastAsia"/>
          <w:b/>
          <w:bCs/>
          <w:color w:val="auto"/>
          <w:highlight w:val="none"/>
        </w:rPr>
        <w:t>3</w:t>
      </w:r>
      <w:r>
        <w:rPr>
          <w:b/>
          <w:bCs/>
          <w:color w:val="auto"/>
          <w:highlight w:val="none"/>
        </w:rPr>
        <w:t xml:space="preserve">  </w:t>
      </w:r>
      <w:r>
        <w:rPr>
          <w:rFonts w:hint="eastAsia"/>
          <w:color w:val="auto"/>
          <w:highlight w:val="none"/>
        </w:rPr>
        <w:t>复核模块吊点设置是否满足设计要求</w:t>
      </w:r>
      <w:r>
        <w:rPr>
          <w:rFonts w:hint="eastAsia"/>
          <w:color w:val="auto"/>
          <w:highlight w:val="none"/>
          <w:lang w:eastAsia="zh-CN"/>
        </w:rPr>
        <w:t>。</w:t>
      </w:r>
    </w:p>
    <w:p w14:paraId="771DB6B3">
      <w:pPr>
        <w:ind w:firstLine="422" w:firstLineChars="200"/>
        <w:rPr>
          <w:rFonts w:hint="eastAsia" w:eastAsia="宋体"/>
          <w:color w:val="auto"/>
          <w:highlight w:val="none"/>
          <w:lang w:eastAsia="zh-CN"/>
        </w:rPr>
      </w:pPr>
      <w:r>
        <w:rPr>
          <w:rFonts w:hint="eastAsia"/>
          <w:b/>
          <w:bCs/>
          <w:color w:val="auto"/>
          <w:highlight w:val="none"/>
        </w:rPr>
        <w:t>4</w:t>
      </w:r>
      <w:r>
        <w:rPr>
          <w:rFonts w:hint="eastAsia"/>
          <w:color w:val="auto"/>
          <w:highlight w:val="none"/>
        </w:rPr>
        <w:t xml:space="preserve">  复核模块薄弱部位的临时加固措施是否满足设计要求</w:t>
      </w:r>
      <w:r>
        <w:rPr>
          <w:rFonts w:hint="eastAsia"/>
          <w:color w:val="auto"/>
          <w:highlight w:val="none"/>
          <w:lang w:eastAsia="zh-CN"/>
        </w:rPr>
        <w:t>。</w:t>
      </w:r>
    </w:p>
    <w:p w14:paraId="0C4415BD">
      <w:pPr>
        <w:ind w:firstLine="422" w:firstLineChars="200"/>
        <w:rPr>
          <w:rFonts w:hint="eastAsia"/>
          <w:color w:val="auto"/>
          <w:highlight w:val="none"/>
        </w:rPr>
      </w:pPr>
      <w:r>
        <w:rPr>
          <w:rFonts w:hint="eastAsia"/>
          <w:b/>
          <w:bCs/>
          <w:color w:val="auto"/>
          <w:highlight w:val="none"/>
        </w:rPr>
        <w:t>5</w:t>
      </w:r>
      <w:r>
        <w:rPr>
          <w:rFonts w:hint="eastAsia"/>
          <w:color w:val="auto"/>
          <w:highlight w:val="none"/>
        </w:rPr>
        <w:t xml:space="preserve">  对模块进行测量划线，并在模块上绘制安装定位标记和对齐墨线。</w:t>
      </w:r>
    </w:p>
    <w:p w14:paraId="59A4BBFA">
      <w:pPr>
        <w:ind w:firstLine="422" w:firstLineChars="200"/>
        <w:rPr>
          <w:rFonts w:hint="default"/>
          <w:color w:val="auto"/>
          <w:highlight w:val="none"/>
          <w:lang w:val="en-US" w:eastAsia="zh-CN"/>
        </w:rPr>
      </w:pPr>
      <w:r>
        <w:rPr>
          <w:rFonts w:hint="eastAsia"/>
          <w:b/>
          <w:bCs/>
          <w:color w:val="auto"/>
          <w:highlight w:val="none"/>
          <w:lang w:val="en-US" w:eastAsia="zh-CN"/>
        </w:rPr>
        <w:t xml:space="preserve">6 </w:t>
      </w:r>
      <w:r>
        <w:rPr>
          <w:rFonts w:hint="eastAsia"/>
          <w:color w:val="auto"/>
          <w:highlight w:val="none"/>
          <w:lang w:val="en-US" w:eastAsia="zh-CN"/>
        </w:rPr>
        <w:t xml:space="preserve"> 复核</w:t>
      </w:r>
      <w:r>
        <w:rPr>
          <w:rFonts w:hint="eastAsia"/>
          <w:color w:val="auto"/>
          <w:szCs w:val="21"/>
          <w:highlight w:val="none"/>
        </w:rPr>
        <w:t>座浆料</w:t>
      </w:r>
      <w:r>
        <w:rPr>
          <w:rFonts w:hint="eastAsia"/>
          <w:color w:val="auto"/>
          <w:szCs w:val="21"/>
          <w:highlight w:val="none"/>
          <w:u w:val="none"/>
        </w:rPr>
        <w:t>、</w:t>
      </w:r>
      <w:r>
        <w:rPr>
          <w:rFonts w:hint="eastAsia"/>
          <w:color w:val="auto"/>
          <w:szCs w:val="21"/>
          <w:highlight w:val="none"/>
        </w:rPr>
        <w:t>封浆料</w:t>
      </w:r>
      <w:r>
        <w:rPr>
          <w:rFonts w:hint="eastAsia"/>
          <w:color w:val="auto"/>
          <w:szCs w:val="21"/>
          <w:highlight w:val="none"/>
          <w:lang w:eastAsia="zh-CN"/>
        </w:rPr>
        <w:t>、</w:t>
      </w:r>
      <w:r>
        <w:rPr>
          <w:rFonts w:hint="eastAsia"/>
          <w:color w:val="auto"/>
          <w:szCs w:val="21"/>
          <w:highlight w:val="none"/>
          <w:lang w:val="en-US" w:eastAsia="zh-CN"/>
        </w:rPr>
        <w:t>灌浆料</w:t>
      </w:r>
      <w:r>
        <w:rPr>
          <w:rFonts w:hint="eastAsia"/>
          <w:color w:val="auto"/>
          <w:highlight w:val="none"/>
        </w:rPr>
        <w:t>的型号、性能</w:t>
      </w:r>
      <w:r>
        <w:rPr>
          <w:rFonts w:hint="eastAsia"/>
          <w:color w:val="auto"/>
          <w:highlight w:val="none"/>
          <w:lang w:val="en-US" w:eastAsia="zh-CN"/>
        </w:rPr>
        <w:t>及</w:t>
      </w:r>
      <w:r>
        <w:rPr>
          <w:rFonts w:hint="eastAsia"/>
          <w:color w:val="auto"/>
          <w:szCs w:val="21"/>
          <w:highlight w:val="none"/>
        </w:rPr>
        <w:t>流动度检测</w:t>
      </w:r>
      <w:r>
        <w:rPr>
          <w:rFonts w:hint="eastAsia"/>
          <w:color w:val="auto"/>
          <w:highlight w:val="none"/>
          <w:lang w:val="en-US" w:eastAsia="zh-CN"/>
        </w:rPr>
        <w:t>是否满足</w:t>
      </w:r>
      <w:r>
        <w:rPr>
          <w:rFonts w:hint="eastAsia"/>
          <w:color w:val="auto"/>
          <w:highlight w:val="none"/>
        </w:rPr>
        <w:t>设计</w:t>
      </w:r>
      <w:r>
        <w:rPr>
          <w:rFonts w:hint="eastAsia"/>
          <w:color w:val="auto"/>
          <w:highlight w:val="none"/>
          <w:lang w:val="en-US" w:eastAsia="zh-CN"/>
        </w:rPr>
        <w:t>及规范</w:t>
      </w:r>
      <w:r>
        <w:rPr>
          <w:rFonts w:hint="eastAsia"/>
          <w:color w:val="auto"/>
          <w:highlight w:val="none"/>
        </w:rPr>
        <w:t>要求，产品质量证明文件</w:t>
      </w:r>
      <w:r>
        <w:rPr>
          <w:rFonts w:hint="eastAsia"/>
          <w:color w:val="auto"/>
          <w:highlight w:val="none"/>
          <w:lang w:val="en-US" w:eastAsia="zh-CN"/>
        </w:rPr>
        <w:t>是否</w:t>
      </w:r>
      <w:r>
        <w:rPr>
          <w:rFonts w:hint="eastAsia"/>
          <w:color w:val="auto"/>
          <w:highlight w:val="none"/>
        </w:rPr>
        <w:t>齐全</w:t>
      </w:r>
      <w:r>
        <w:rPr>
          <w:rFonts w:hint="eastAsia"/>
          <w:color w:val="auto"/>
          <w:highlight w:val="none"/>
          <w:lang w:eastAsia="zh-CN"/>
        </w:rPr>
        <w:t>。</w:t>
      </w:r>
    </w:p>
    <w:p w14:paraId="3B845393">
      <w:pPr>
        <w:ind w:firstLine="0"/>
        <w:rPr>
          <w:color w:val="auto"/>
          <w:highlight w:val="none"/>
        </w:rPr>
      </w:pPr>
      <w:r>
        <w:rPr>
          <w:rFonts w:hint="eastAsia"/>
          <w:b/>
          <w:bCs/>
          <w:color w:val="auto"/>
          <w:highlight w:val="none"/>
        </w:rPr>
        <w:t>9.</w:t>
      </w:r>
      <w:r>
        <w:rPr>
          <w:b/>
          <w:bCs/>
          <w:color w:val="auto"/>
          <w:highlight w:val="none"/>
        </w:rPr>
        <w:t>2</w:t>
      </w:r>
      <w:r>
        <w:rPr>
          <w:rFonts w:hint="eastAsia"/>
          <w:b/>
          <w:bCs/>
          <w:color w:val="auto"/>
          <w:highlight w:val="none"/>
        </w:rPr>
        <w:t>.5</w:t>
      </w:r>
      <w:r>
        <w:rPr>
          <w:b/>
          <w:bCs/>
          <w:color w:val="auto"/>
          <w:highlight w:val="none"/>
        </w:rPr>
        <w:t xml:space="preserve">  </w:t>
      </w:r>
      <w:r>
        <w:rPr>
          <w:rFonts w:hint="eastAsia"/>
          <w:color w:val="auto"/>
          <w:highlight w:val="none"/>
        </w:rPr>
        <w:t>安装施工前，应确保吊装条件、施工作业面以及作业人员满足要求，并应进行下列工作：</w:t>
      </w:r>
    </w:p>
    <w:p w14:paraId="0DB0DC2D">
      <w:pPr>
        <w:ind w:firstLine="420" w:firstLineChars="200"/>
        <w:rPr>
          <w:rFonts w:hint="eastAsia" w:eastAsia="宋体"/>
          <w:bCs/>
          <w:color w:val="auto"/>
          <w:highlight w:val="none"/>
          <w:lang w:eastAsia="zh-CN"/>
        </w:rPr>
      </w:pPr>
      <w:bookmarkStart w:id="1046" w:name="_Toc21840"/>
      <w:r>
        <w:rPr>
          <w:rFonts w:eastAsia="PMingLiU"/>
          <w:b/>
          <w:bCs/>
          <w:color w:val="auto"/>
          <w:highlight w:val="none"/>
        </w:rPr>
        <w:t xml:space="preserve">1 </w:t>
      </w:r>
      <w:r>
        <w:rPr>
          <w:color w:val="auto"/>
          <w:highlight w:val="none"/>
        </w:rPr>
        <w:t xml:space="preserve"> </w:t>
      </w:r>
      <w:r>
        <w:rPr>
          <w:rFonts w:hint="eastAsia"/>
          <w:color w:val="auto"/>
          <w:highlight w:val="none"/>
        </w:rPr>
        <w:t>核实现场环境、天气、道路状况等是否满足吊装施工要求</w:t>
      </w:r>
      <w:bookmarkEnd w:id="1046"/>
      <w:r>
        <w:rPr>
          <w:rFonts w:hint="eastAsia"/>
          <w:color w:val="auto"/>
          <w:highlight w:val="none"/>
          <w:lang w:eastAsia="zh-CN"/>
        </w:rPr>
        <w:t>。</w:t>
      </w:r>
    </w:p>
    <w:p w14:paraId="4A1D474C">
      <w:pPr>
        <w:ind w:firstLine="420" w:firstLineChars="200"/>
        <w:rPr>
          <w:rFonts w:hint="eastAsia" w:eastAsia="宋体"/>
          <w:bCs/>
          <w:color w:val="auto"/>
          <w:highlight w:val="none"/>
          <w:lang w:eastAsia="zh-CN"/>
        </w:rPr>
      </w:pPr>
      <w:r>
        <w:rPr>
          <w:rFonts w:eastAsia="PMingLiU"/>
          <w:b/>
          <w:bCs/>
          <w:color w:val="auto"/>
          <w:highlight w:val="none"/>
        </w:rPr>
        <w:t xml:space="preserve">2  </w:t>
      </w:r>
      <w:r>
        <w:rPr>
          <w:rFonts w:hint="eastAsia"/>
          <w:bCs/>
          <w:color w:val="auto"/>
          <w:highlight w:val="none"/>
        </w:rPr>
        <w:t>复核吊装设备及吊具是否处于安全操作状态，并</w:t>
      </w:r>
      <w:r>
        <w:rPr>
          <w:rFonts w:hint="eastAsia"/>
          <w:color w:val="auto"/>
          <w:highlight w:val="none"/>
        </w:rPr>
        <w:t>应严格按照吊装方案及图纸要求选择吊具挂点</w:t>
      </w:r>
      <w:r>
        <w:rPr>
          <w:rFonts w:hint="eastAsia"/>
          <w:color w:val="auto"/>
          <w:highlight w:val="none"/>
          <w:lang w:eastAsia="zh-CN"/>
        </w:rPr>
        <w:t>。</w:t>
      </w:r>
    </w:p>
    <w:p w14:paraId="74E02DCE">
      <w:pPr>
        <w:ind w:firstLine="420" w:firstLineChars="200"/>
        <w:rPr>
          <w:rFonts w:hint="eastAsia" w:eastAsia="宋体"/>
          <w:bCs/>
          <w:color w:val="auto"/>
          <w:highlight w:val="none"/>
          <w:lang w:eastAsia="zh-CN"/>
        </w:rPr>
      </w:pPr>
      <w:r>
        <w:rPr>
          <w:rFonts w:eastAsia="PMingLiU"/>
          <w:b/>
          <w:bCs/>
          <w:color w:val="auto"/>
          <w:highlight w:val="none"/>
        </w:rPr>
        <w:t xml:space="preserve">3  </w:t>
      </w:r>
      <w:r>
        <w:rPr>
          <w:rFonts w:hint="eastAsia"/>
          <w:color w:val="auto"/>
          <w:highlight w:val="none"/>
        </w:rPr>
        <w:t>核对已完</w:t>
      </w:r>
      <w:r>
        <w:rPr>
          <w:rFonts w:hint="eastAsia"/>
          <w:color w:val="auto"/>
          <w:highlight w:val="none"/>
          <w:lang w:val="en-US" w:eastAsia="zh-CN"/>
        </w:rPr>
        <w:t>工</w:t>
      </w:r>
      <w:r>
        <w:rPr>
          <w:rFonts w:hint="eastAsia"/>
          <w:color w:val="auto"/>
          <w:highlight w:val="none"/>
        </w:rPr>
        <w:t>结构、基础的外观质量和尺寸，确认混凝土强度和预留预埋符合设计要求</w:t>
      </w:r>
      <w:r>
        <w:rPr>
          <w:rFonts w:hint="eastAsia"/>
          <w:color w:val="auto"/>
          <w:highlight w:val="none"/>
          <w:lang w:eastAsia="zh-CN"/>
        </w:rPr>
        <w:t>。</w:t>
      </w:r>
    </w:p>
    <w:p w14:paraId="73107CC0">
      <w:pPr>
        <w:ind w:firstLine="420" w:firstLineChars="200"/>
        <w:rPr>
          <w:rFonts w:hint="eastAsia" w:eastAsia="宋体"/>
          <w:color w:val="auto"/>
          <w:highlight w:val="none"/>
          <w:lang w:eastAsia="zh-CN"/>
        </w:rPr>
      </w:pPr>
      <w:r>
        <w:rPr>
          <w:rFonts w:eastAsia="PMingLiU"/>
          <w:b/>
          <w:bCs/>
          <w:color w:val="auto"/>
          <w:highlight w:val="none"/>
        </w:rPr>
        <w:t xml:space="preserve">4  </w:t>
      </w:r>
      <w:r>
        <w:rPr>
          <w:rFonts w:hint="eastAsia"/>
          <w:bCs/>
          <w:color w:val="auto"/>
          <w:highlight w:val="none"/>
        </w:rPr>
        <w:t>对安装工作面进行测量放线、设置模块安装定位标识，</w:t>
      </w:r>
      <w:r>
        <w:rPr>
          <w:rFonts w:hint="eastAsia"/>
          <w:color w:val="auto"/>
          <w:highlight w:val="none"/>
        </w:rPr>
        <w:t>测量放线应符合现行国家标准《工程测量标准》</w:t>
      </w:r>
      <w:r>
        <w:rPr>
          <w:color w:val="auto"/>
          <w:highlight w:val="none"/>
        </w:rPr>
        <w:t>GB 50026</w:t>
      </w:r>
      <w:r>
        <w:rPr>
          <w:rFonts w:hint="eastAsia"/>
          <w:color w:val="auto"/>
          <w:highlight w:val="none"/>
        </w:rPr>
        <w:t>及《</w:t>
      </w:r>
      <w:r>
        <w:rPr>
          <w:color w:val="auto"/>
          <w:highlight w:val="none"/>
        </w:rPr>
        <w:t>工程测量通用规范</w:t>
      </w:r>
      <w:r>
        <w:rPr>
          <w:rFonts w:hint="eastAsia"/>
          <w:color w:val="auto"/>
          <w:highlight w:val="none"/>
        </w:rPr>
        <w:t>》</w:t>
      </w:r>
      <w:r>
        <w:rPr>
          <w:color w:val="auto"/>
          <w:highlight w:val="none"/>
        </w:rPr>
        <w:t>GB</w:t>
      </w:r>
      <w:r>
        <w:rPr>
          <w:rFonts w:hint="eastAsia"/>
          <w:color w:val="auto"/>
          <w:highlight w:val="none"/>
        </w:rPr>
        <w:t>55018等有关规定</w:t>
      </w:r>
      <w:r>
        <w:rPr>
          <w:rFonts w:hint="eastAsia"/>
          <w:color w:val="auto"/>
          <w:highlight w:val="none"/>
          <w:lang w:eastAsia="zh-CN"/>
        </w:rPr>
        <w:t>。</w:t>
      </w:r>
    </w:p>
    <w:p w14:paraId="47D0640F">
      <w:pPr>
        <w:ind w:firstLine="420" w:firstLineChars="200"/>
        <w:rPr>
          <w:rFonts w:hint="eastAsia" w:eastAsia="宋体"/>
          <w:color w:val="auto"/>
          <w:highlight w:val="none"/>
          <w:lang w:eastAsia="zh-CN"/>
        </w:rPr>
      </w:pPr>
      <w:r>
        <w:rPr>
          <w:rFonts w:hint="eastAsia" w:eastAsia="PMingLiU"/>
          <w:b/>
          <w:bCs/>
          <w:color w:val="auto"/>
          <w:highlight w:val="none"/>
        </w:rPr>
        <w:t>5</w:t>
      </w:r>
      <w:r>
        <w:rPr>
          <w:rFonts w:hint="eastAsia"/>
          <w:color w:val="auto"/>
          <w:highlight w:val="none"/>
        </w:rPr>
        <w:t xml:space="preserve">  提前做好施工作业人员的交底工作，并在安装施工前核查特种作业人员持证上岗情况，高空作业人员应进行班前身体状况排查及安全防护用品佩戴检查</w:t>
      </w:r>
      <w:r>
        <w:rPr>
          <w:rFonts w:hint="eastAsia"/>
          <w:color w:val="auto"/>
          <w:highlight w:val="none"/>
          <w:lang w:eastAsia="zh-CN"/>
        </w:rPr>
        <w:t>。</w:t>
      </w:r>
    </w:p>
    <w:p w14:paraId="387C0555">
      <w:pPr>
        <w:ind w:firstLine="420" w:firstLineChars="200"/>
        <w:rPr>
          <w:rFonts w:hint="eastAsia" w:eastAsia="宋体"/>
          <w:color w:val="auto"/>
          <w:highlight w:val="none"/>
          <w:lang w:eastAsia="zh-CN"/>
        </w:rPr>
      </w:pPr>
      <w:r>
        <w:rPr>
          <w:rFonts w:hint="eastAsia"/>
          <w:color w:val="auto"/>
          <w:highlight w:val="none"/>
        </w:rPr>
        <w:t>6  核对工作面安全设施验收情况，安全防护措施应处于有效状态</w:t>
      </w:r>
      <w:r>
        <w:rPr>
          <w:rFonts w:hint="eastAsia"/>
          <w:color w:val="auto"/>
          <w:highlight w:val="none"/>
          <w:lang w:eastAsia="zh-CN"/>
        </w:rPr>
        <w:t>。</w:t>
      </w:r>
    </w:p>
    <w:p w14:paraId="493B3739">
      <w:pPr>
        <w:ind w:firstLine="420" w:firstLineChars="200"/>
        <w:rPr>
          <w:color w:val="auto"/>
          <w:highlight w:val="none"/>
        </w:rPr>
      </w:pPr>
      <w:r>
        <w:rPr>
          <w:rFonts w:hint="eastAsia" w:eastAsiaTheme="minorEastAsia"/>
          <w:b/>
          <w:color w:val="auto"/>
          <w:highlight w:val="none"/>
        </w:rPr>
        <w:t>7</w:t>
      </w:r>
      <w:r>
        <w:rPr>
          <w:rFonts w:eastAsia="PMingLiU"/>
          <w:b/>
          <w:color w:val="auto"/>
          <w:highlight w:val="none"/>
        </w:rPr>
        <w:t xml:space="preserve">  </w:t>
      </w:r>
      <w:r>
        <w:rPr>
          <w:rFonts w:hint="eastAsia" w:ascii="Times New Roman" w:hAnsi="Times New Roman" w:eastAsia="宋体"/>
          <w:b w:val="0"/>
          <w:color w:val="auto"/>
          <w:highlight w:val="none"/>
        </w:rPr>
        <w:t>应提前</w:t>
      </w:r>
      <w:r>
        <w:rPr>
          <w:rFonts w:hint="eastAsia"/>
          <w:color w:val="auto"/>
          <w:highlight w:val="none"/>
        </w:rPr>
        <w:t>根据建筑物的平面形状、结构形式、安装机械的规格和数量、现场施工条件等因素，划分吊装流水段，宜采用BIM等技术提前进行吊装模拟，通过吊装工况分析，确定安装顺序，宜采用可视化交底技术组织完成相关技术交底。</w:t>
      </w:r>
    </w:p>
    <w:p w14:paraId="5D9DC035">
      <w:pPr>
        <w:pStyle w:val="3"/>
        <w:keepNext/>
        <w:keepLines/>
        <w:pageBreakBefore w:val="0"/>
        <w:widowControl w:val="0"/>
        <w:kinsoku/>
        <w:wordWrap/>
        <w:overflowPunct/>
        <w:topLinePunct w:val="0"/>
        <w:autoSpaceDE/>
        <w:autoSpaceDN/>
        <w:bidi w:val="0"/>
        <w:adjustRightInd/>
        <w:snapToGrid/>
        <w:spacing w:before="166" w:beforeLines="50" w:after="166" w:afterLines="50" w:line="360" w:lineRule="auto"/>
        <w:ind w:firstLine="0"/>
        <w:jc w:val="center"/>
        <w:textAlignment w:val="auto"/>
        <w:rPr>
          <w:rFonts w:ascii="Times New Roman" w:hAnsi="Times New Roman" w:eastAsia="黑体" w:cs="Times New Roman"/>
          <w:color w:val="auto"/>
          <w:sz w:val="24"/>
          <w:szCs w:val="24"/>
          <w:highlight w:val="none"/>
        </w:rPr>
      </w:pPr>
      <w:bookmarkStart w:id="1047" w:name="_Toc11827"/>
      <w:bookmarkStart w:id="1048" w:name="_Toc3569"/>
      <w:bookmarkStart w:id="1049" w:name="_Toc14939"/>
      <w:bookmarkStart w:id="1050" w:name="_Toc31663"/>
      <w:bookmarkStart w:id="1051" w:name="_Toc25011"/>
      <w:bookmarkStart w:id="1052" w:name="_Toc7789"/>
      <w:bookmarkStart w:id="1053" w:name="_Toc30007"/>
      <w:bookmarkStart w:id="1054" w:name="_Toc32309"/>
      <w:r>
        <w:rPr>
          <w:rFonts w:hint="eastAsia" w:ascii="Times New Roman" w:hAnsi="Times New Roman" w:eastAsia="黑体" w:cs="Times New Roman"/>
          <w:b/>
          <w:color w:val="auto"/>
          <w:sz w:val="24"/>
          <w:szCs w:val="24"/>
          <w:highlight w:val="none"/>
        </w:rPr>
        <w:t>9.</w:t>
      </w:r>
      <w:r>
        <w:rPr>
          <w:rFonts w:ascii="Times New Roman" w:hAnsi="Times New Roman" w:eastAsia="黑体" w:cs="Times New Roman"/>
          <w:b/>
          <w:color w:val="auto"/>
          <w:sz w:val="24"/>
          <w:szCs w:val="24"/>
          <w:highlight w:val="none"/>
        </w:rPr>
        <w:t>3</w:t>
      </w:r>
      <w:r>
        <w:rPr>
          <w:rFonts w:hint="eastAsia" w:ascii="Times New Roman" w:hAnsi="Times New Roman" w:eastAsia="黑体" w:cs="Times New Roman"/>
          <w:b/>
          <w:color w:val="auto"/>
          <w:sz w:val="24"/>
          <w:szCs w:val="24"/>
          <w:highlight w:val="none"/>
        </w:rPr>
        <w:t xml:space="preserve"> </w:t>
      </w:r>
      <w:r>
        <w:rPr>
          <w:rFonts w:hint="eastAsia" w:ascii="Times New Roman" w:hAnsi="Times New Roman" w:eastAsia="黑体" w:cs="Times New Roman"/>
          <w:color w:val="auto"/>
          <w:sz w:val="24"/>
          <w:szCs w:val="24"/>
          <w:highlight w:val="none"/>
        </w:rPr>
        <w:t xml:space="preserve"> 模 块 安 装</w:t>
      </w:r>
      <w:bookmarkEnd w:id="1047"/>
      <w:bookmarkEnd w:id="1048"/>
      <w:bookmarkEnd w:id="1049"/>
      <w:bookmarkEnd w:id="1050"/>
      <w:bookmarkEnd w:id="1051"/>
      <w:bookmarkEnd w:id="1052"/>
      <w:bookmarkEnd w:id="1053"/>
      <w:bookmarkEnd w:id="1054"/>
    </w:p>
    <w:p w14:paraId="2E82A956">
      <w:pPr>
        <w:ind w:firstLine="0"/>
        <w:rPr>
          <w:color w:val="auto"/>
          <w:highlight w:val="none"/>
        </w:rPr>
      </w:pPr>
      <w:r>
        <w:rPr>
          <w:rFonts w:hint="eastAsia"/>
          <w:b/>
          <w:bCs/>
          <w:color w:val="auto"/>
          <w:highlight w:val="none"/>
        </w:rPr>
        <w:t>9.</w:t>
      </w:r>
      <w:r>
        <w:rPr>
          <w:b/>
          <w:bCs/>
          <w:color w:val="auto"/>
          <w:highlight w:val="none"/>
        </w:rPr>
        <w:t>3</w:t>
      </w:r>
      <w:r>
        <w:rPr>
          <w:rFonts w:hint="eastAsia"/>
          <w:b/>
          <w:bCs/>
          <w:color w:val="auto"/>
          <w:highlight w:val="none"/>
        </w:rPr>
        <w:t>.</w:t>
      </w:r>
      <w:r>
        <w:rPr>
          <w:b/>
          <w:bCs/>
          <w:color w:val="auto"/>
          <w:highlight w:val="none"/>
        </w:rPr>
        <w:t xml:space="preserve">1  </w:t>
      </w:r>
      <w:r>
        <w:rPr>
          <w:rFonts w:hint="eastAsia"/>
          <w:color w:val="auto"/>
          <w:highlight w:val="none"/>
        </w:rPr>
        <w:t>模块单元的安装应符合下列规定：</w:t>
      </w:r>
    </w:p>
    <w:p w14:paraId="624EE495">
      <w:pPr>
        <w:ind w:firstLine="420" w:firstLineChars="200"/>
        <w:rPr>
          <w:rFonts w:hint="eastAsia" w:eastAsia="宋体"/>
          <w:bCs/>
          <w:color w:val="auto"/>
          <w:highlight w:val="none"/>
          <w:lang w:eastAsia="zh-CN"/>
        </w:rPr>
      </w:pPr>
      <w:r>
        <w:rPr>
          <w:rFonts w:eastAsia="PMingLiU"/>
          <w:b/>
          <w:color w:val="auto"/>
          <w:highlight w:val="none"/>
        </w:rPr>
        <w:t xml:space="preserve">1  </w:t>
      </w:r>
      <w:r>
        <w:rPr>
          <w:rFonts w:hint="eastAsia" w:ascii="Times New Roman" w:hAnsi="Times New Roman" w:eastAsia="宋体"/>
          <w:b w:val="0"/>
          <w:color w:val="auto"/>
          <w:highlight w:val="none"/>
        </w:rPr>
        <w:t>模块安装应按照</w:t>
      </w:r>
      <w:r>
        <w:rPr>
          <w:rFonts w:hint="eastAsia" w:eastAsia="宋体"/>
          <w:b w:val="0"/>
          <w:color w:val="auto"/>
          <w:highlight w:val="none"/>
        </w:rPr>
        <w:t>拟定的吊装顺序进行吊装</w:t>
      </w:r>
      <w:r>
        <w:rPr>
          <w:rFonts w:hint="eastAsia" w:ascii="Times New Roman" w:hAnsi="Times New Roman" w:eastAsia="宋体"/>
          <w:bCs w:val="0"/>
          <w:color w:val="auto"/>
          <w:highlight w:val="none"/>
        </w:rPr>
        <w:t>，吊装顺序</w:t>
      </w:r>
      <w:r>
        <w:rPr>
          <w:rFonts w:hint="eastAsia"/>
          <w:color w:val="auto"/>
          <w:highlight w:val="none"/>
        </w:rPr>
        <w:t>应遵循先难后易、合理有序的原则，</w:t>
      </w:r>
      <w:r>
        <w:rPr>
          <w:rFonts w:hint="eastAsia" w:ascii="Times New Roman" w:hAnsi="Times New Roman" w:eastAsia="宋体"/>
          <w:bCs w:val="0"/>
          <w:color w:val="auto"/>
          <w:highlight w:val="none"/>
        </w:rPr>
        <w:t>宜</w:t>
      </w:r>
      <w:r>
        <w:rPr>
          <w:rFonts w:hint="eastAsia"/>
          <w:color w:val="auto"/>
          <w:highlight w:val="none"/>
        </w:rPr>
        <w:t>优先选用角箱后中间箱、先特殊箱后常规箱、一侧向另一侧安装的顺序，确保模块吊装施工便捷</w:t>
      </w:r>
      <w:r>
        <w:rPr>
          <w:rFonts w:hint="eastAsia"/>
          <w:color w:val="auto"/>
          <w:highlight w:val="none"/>
          <w:lang w:eastAsia="zh-CN"/>
        </w:rPr>
        <w:t>；</w:t>
      </w:r>
    </w:p>
    <w:p w14:paraId="0EF29BC2">
      <w:pPr>
        <w:ind w:firstLine="420" w:firstLineChars="200"/>
        <w:rPr>
          <w:rFonts w:hint="eastAsia" w:eastAsia="宋体"/>
          <w:color w:val="auto"/>
          <w:highlight w:val="none"/>
          <w:lang w:eastAsia="zh-CN"/>
        </w:rPr>
      </w:pPr>
      <w:r>
        <w:rPr>
          <w:rFonts w:eastAsia="PMingLiU"/>
          <w:b/>
          <w:bCs/>
          <w:color w:val="auto"/>
          <w:highlight w:val="none"/>
        </w:rPr>
        <w:t xml:space="preserve">2  </w:t>
      </w:r>
      <w:r>
        <w:rPr>
          <w:rFonts w:hint="eastAsia"/>
          <w:color w:val="auto"/>
          <w:highlight w:val="none"/>
        </w:rPr>
        <w:t>模块安装就位后，应进行二次复核，控制模块安装累计误差，确保安装精度及质量符合设计和相关规范要求</w:t>
      </w:r>
      <w:r>
        <w:rPr>
          <w:rFonts w:hint="eastAsia"/>
          <w:color w:val="auto"/>
          <w:highlight w:val="none"/>
          <w:lang w:eastAsia="zh-CN"/>
        </w:rPr>
        <w:t>；</w:t>
      </w:r>
    </w:p>
    <w:p w14:paraId="324A8E6B">
      <w:pPr>
        <w:ind w:firstLine="422" w:firstLineChars="200"/>
        <w:rPr>
          <w:color w:val="auto"/>
          <w:highlight w:val="none"/>
        </w:rPr>
      </w:pPr>
      <w:bookmarkStart w:id="1055" w:name="_Toc1169"/>
      <w:r>
        <w:rPr>
          <w:rFonts w:hint="eastAsia"/>
          <w:b/>
          <w:bCs/>
          <w:color w:val="auto"/>
          <w:highlight w:val="none"/>
        </w:rPr>
        <w:t>3</w:t>
      </w:r>
      <w:r>
        <w:rPr>
          <w:rFonts w:hint="eastAsia"/>
          <w:color w:val="auto"/>
          <w:highlight w:val="none"/>
        </w:rPr>
        <w:t xml:space="preserve">  模块吊装为大型构件吊装，其安装时，应提前做好基层调平，</w:t>
      </w:r>
      <w:r>
        <w:rPr>
          <w:rFonts w:hint="eastAsia"/>
          <w:color w:val="auto"/>
          <w:highlight w:val="none"/>
          <w:lang w:val="en-US" w:eastAsia="zh-CN"/>
        </w:rPr>
        <w:t>宜</w:t>
      </w:r>
      <w:r>
        <w:rPr>
          <w:rFonts w:hint="eastAsia"/>
          <w:color w:val="auto"/>
          <w:highlight w:val="none"/>
        </w:rPr>
        <w:t>一次吊装到位，模块下落高度距地50mm</w:t>
      </w:r>
      <w:r>
        <w:rPr>
          <w:rFonts w:hint="eastAsia"/>
          <w:color w:val="auto"/>
          <w:highlight w:val="none"/>
          <w:lang w:val="en-US" w:eastAsia="zh-CN"/>
        </w:rPr>
        <w:t>~</w:t>
      </w:r>
      <w:r>
        <w:rPr>
          <w:rFonts w:hint="eastAsia"/>
          <w:color w:val="auto"/>
          <w:highlight w:val="none"/>
        </w:rPr>
        <w:t>200mm时，宜在空中利用工装工具进行定位，避免二次调整。若无法采用工装工具情况下，应先保证平面位置准确，再调整标高，后调整中心水平位移，最后调整垂直偏差；</w:t>
      </w:r>
    </w:p>
    <w:p w14:paraId="66C74F93">
      <w:pPr>
        <w:ind w:firstLine="420" w:firstLineChars="200"/>
        <w:rPr>
          <w:color w:val="auto"/>
          <w:highlight w:val="none"/>
        </w:rPr>
      </w:pPr>
      <w:r>
        <w:rPr>
          <w:rFonts w:hint="eastAsia" w:eastAsiaTheme="minorEastAsia"/>
          <w:b/>
          <w:bCs/>
          <w:color w:val="auto"/>
          <w:highlight w:val="none"/>
        </w:rPr>
        <w:t>4</w:t>
      </w:r>
      <w:r>
        <w:rPr>
          <w:rFonts w:eastAsia="PMingLiU"/>
          <w:b/>
          <w:bCs/>
          <w:color w:val="auto"/>
          <w:highlight w:val="none"/>
        </w:rPr>
        <w:t xml:space="preserve">  </w:t>
      </w:r>
      <w:r>
        <w:rPr>
          <w:rFonts w:hint="eastAsia"/>
          <w:color w:val="auto"/>
          <w:highlight w:val="none"/>
        </w:rPr>
        <w:t>模块在吊装过程中，应设置缆风绳控制模块转动；</w:t>
      </w:r>
      <w:bookmarkEnd w:id="1055"/>
    </w:p>
    <w:p w14:paraId="4FDA8AE9">
      <w:pPr>
        <w:ind w:firstLine="420" w:firstLineChars="200"/>
        <w:rPr>
          <w:rFonts w:hint="eastAsia" w:eastAsia="宋体"/>
          <w:b/>
          <w:bCs/>
          <w:color w:val="auto"/>
          <w:highlight w:val="none"/>
          <w:lang w:eastAsia="zh-CN"/>
        </w:rPr>
      </w:pPr>
      <w:r>
        <w:rPr>
          <w:rFonts w:eastAsiaTheme="minorEastAsia"/>
          <w:b/>
          <w:bCs/>
          <w:color w:val="auto"/>
          <w:highlight w:val="none"/>
        </w:rPr>
        <w:t>5</w:t>
      </w:r>
      <w:r>
        <w:rPr>
          <w:rFonts w:hint="eastAsia" w:eastAsiaTheme="minorEastAsia"/>
          <w:b/>
          <w:bCs/>
          <w:color w:val="auto"/>
          <w:highlight w:val="none"/>
        </w:rPr>
        <w:t xml:space="preserve">  </w:t>
      </w:r>
      <w:r>
        <w:rPr>
          <w:rFonts w:hint="eastAsia"/>
          <w:color w:val="auto"/>
          <w:highlight w:val="none"/>
        </w:rPr>
        <w:t>模块安装应采用定位锥或其他可靠的工装工具辅助安装，以提高模块安装效率和精度</w:t>
      </w:r>
      <w:r>
        <w:rPr>
          <w:rFonts w:hint="eastAsia"/>
          <w:color w:val="auto"/>
          <w:highlight w:val="none"/>
          <w:lang w:eastAsia="zh-CN"/>
        </w:rPr>
        <w:t>；</w:t>
      </w:r>
    </w:p>
    <w:p w14:paraId="1FF512C9">
      <w:pPr>
        <w:ind w:firstLine="422" w:firstLineChars="200"/>
        <w:rPr>
          <w:rFonts w:hint="eastAsia" w:eastAsia="宋体"/>
          <w:color w:val="auto"/>
          <w:highlight w:val="none"/>
          <w:lang w:eastAsia="zh-CN"/>
        </w:rPr>
      </w:pPr>
      <w:r>
        <w:rPr>
          <w:rFonts w:hint="eastAsia"/>
          <w:b/>
          <w:color w:val="auto"/>
          <w:highlight w:val="none"/>
        </w:rPr>
        <w:t>6</w:t>
      </w:r>
      <w:r>
        <w:rPr>
          <w:b/>
          <w:color w:val="auto"/>
          <w:highlight w:val="none"/>
        </w:rPr>
        <w:t xml:space="preserve">  </w:t>
      </w:r>
      <w:r>
        <w:rPr>
          <w:rFonts w:hint="eastAsia"/>
          <w:color w:val="auto"/>
          <w:highlight w:val="none"/>
        </w:rPr>
        <w:t>模块的临时支撑安装应满足设计要求，拼装过程中不得随意拆除临时支撑，待达到设计</w:t>
      </w:r>
      <w:r>
        <w:rPr>
          <w:rFonts w:hint="eastAsia"/>
          <w:color w:val="auto"/>
          <w:highlight w:val="none"/>
          <w:lang w:val="en-US" w:eastAsia="zh-CN"/>
        </w:rPr>
        <w:t>规定</w:t>
      </w:r>
      <w:r>
        <w:rPr>
          <w:rFonts w:hint="eastAsia"/>
          <w:color w:val="auto"/>
          <w:highlight w:val="none"/>
        </w:rPr>
        <w:t>条件后，方可拆除</w:t>
      </w:r>
      <w:r>
        <w:rPr>
          <w:rFonts w:hint="eastAsia"/>
          <w:color w:val="auto"/>
          <w:highlight w:val="none"/>
          <w:lang w:eastAsia="zh-CN"/>
        </w:rPr>
        <w:t>；</w:t>
      </w:r>
    </w:p>
    <w:p w14:paraId="1D323707">
      <w:pPr>
        <w:ind w:firstLine="420" w:firstLineChars="200"/>
        <w:rPr>
          <w:color w:val="auto"/>
          <w:highlight w:val="none"/>
        </w:rPr>
      </w:pPr>
      <w:r>
        <w:rPr>
          <w:rFonts w:hint="eastAsia" w:eastAsiaTheme="minorEastAsia"/>
          <w:b/>
          <w:bCs/>
          <w:color w:val="auto"/>
          <w:highlight w:val="none"/>
        </w:rPr>
        <w:t>7</w:t>
      </w:r>
      <w:r>
        <w:rPr>
          <w:rFonts w:eastAsia="PMingLiU"/>
          <w:b/>
          <w:bCs/>
          <w:color w:val="auto"/>
          <w:highlight w:val="none"/>
        </w:rPr>
        <w:t xml:space="preserve">  </w:t>
      </w:r>
      <w:r>
        <w:rPr>
          <w:rFonts w:hint="eastAsia"/>
          <w:color w:val="auto"/>
          <w:highlight w:val="none"/>
        </w:rPr>
        <w:t>模块在安装过程中损坏的涂层和连接部位，应按现行国家标准《混凝土结构工程施工质量验收规范》</w:t>
      </w:r>
      <w:r>
        <w:rPr>
          <w:color w:val="auto"/>
          <w:highlight w:val="none"/>
        </w:rPr>
        <w:t>GB 50204</w:t>
      </w:r>
      <w:r>
        <w:rPr>
          <w:rFonts w:hint="eastAsia"/>
          <w:color w:val="auto"/>
          <w:highlight w:val="none"/>
        </w:rPr>
        <w:t>的有关规定进行修补。</w:t>
      </w:r>
    </w:p>
    <w:p w14:paraId="1962CF24">
      <w:pPr>
        <w:ind w:firstLine="0"/>
        <w:rPr>
          <w:color w:val="auto"/>
          <w:highlight w:val="none"/>
        </w:rPr>
      </w:pPr>
      <w:bookmarkStart w:id="1056" w:name="_Toc15375"/>
      <w:bookmarkStart w:id="1057" w:name="_Toc5317"/>
      <w:r>
        <w:rPr>
          <w:rFonts w:hint="eastAsia"/>
          <w:b/>
          <w:bCs/>
          <w:color w:val="auto"/>
          <w:kern w:val="0"/>
          <w:highlight w:val="none"/>
          <w:lang w:bidi="en-US"/>
        </w:rPr>
        <w:t>9.</w:t>
      </w:r>
      <w:r>
        <w:rPr>
          <w:rFonts w:eastAsia="Times New Roman"/>
          <w:b/>
          <w:bCs/>
          <w:color w:val="auto"/>
          <w:kern w:val="0"/>
          <w:highlight w:val="none"/>
          <w:lang w:bidi="en-US"/>
        </w:rPr>
        <w:t>3</w:t>
      </w:r>
      <w:r>
        <w:rPr>
          <w:rFonts w:hint="eastAsia"/>
          <w:b/>
          <w:bCs/>
          <w:color w:val="auto"/>
          <w:kern w:val="0"/>
          <w:highlight w:val="none"/>
          <w:lang w:bidi="en-US"/>
        </w:rPr>
        <w:t>.</w:t>
      </w:r>
      <w:r>
        <w:rPr>
          <w:rFonts w:hint="eastAsia" w:eastAsiaTheme="minorEastAsia"/>
          <w:b/>
          <w:bCs/>
          <w:color w:val="auto"/>
          <w:kern w:val="0"/>
          <w:highlight w:val="none"/>
          <w:lang w:val="en-US" w:eastAsia="zh-CN" w:bidi="en-US"/>
        </w:rPr>
        <w:t>2</w:t>
      </w:r>
      <w:r>
        <w:rPr>
          <w:rFonts w:eastAsia="Times New Roman"/>
          <w:b/>
          <w:bCs/>
          <w:color w:val="auto"/>
          <w:kern w:val="0"/>
          <w:highlight w:val="none"/>
          <w:lang w:bidi="en-US"/>
        </w:rPr>
        <w:t xml:space="preserve">  </w:t>
      </w:r>
      <w:r>
        <w:rPr>
          <w:rFonts w:hint="eastAsia"/>
          <w:color w:val="auto"/>
          <w:highlight w:val="none"/>
        </w:rPr>
        <w:t>模块安装时，混凝土模块底部与混凝土楼板之间应设置</w:t>
      </w:r>
      <w:r>
        <w:rPr>
          <w:rFonts w:hint="eastAsia"/>
          <w:color w:val="auto"/>
          <w:highlight w:val="none"/>
          <w:lang w:val="en-US" w:eastAsia="zh-CN"/>
        </w:rPr>
        <w:t>调</w:t>
      </w:r>
      <w:r>
        <w:rPr>
          <w:rFonts w:hint="eastAsia"/>
          <w:color w:val="auto"/>
          <w:highlight w:val="none"/>
        </w:rPr>
        <w:t>平垫片</w:t>
      </w:r>
      <w:r>
        <w:rPr>
          <w:rFonts w:hint="eastAsia"/>
          <w:color w:val="auto"/>
          <w:highlight w:val="none"/>
          <w:lang w:eastAsia="zh-CN"/>
        </w:rPr>
        <w:t>，</w:t>
      </w:r>
      <w:r>
        <w:rPr>
          <w:rFonts w:hint="eastAsia"/>
          <w:color w:val="auto"/>
          <w:highlight w:val="none"/>
        </w:rPr>
        <w:t>校平垫片应符合下列规定：</w:t>
      </w:r>
      <w:bookmarkEnd w:id="1056"/>
      <w:bookmarkEnd w:id="1057"/>
    </w:p>
    <w:p w14:paraId="363176BD">
      <w:pPr>
        <w:ind w:firstLine="422" w:firstLineChars="200"/>
        <w:rPr>
          <w:rFonts w:hint="eastAsia" w:eastAsia="宋体"/>
          <w:color w:val="auto"/>
          <w:highlight w:val="none"/>
          <w:lang w:eastAsia="zh-CN"/>
        </w:rPr>
      </w:pPr>
      <w:r>
        <w:rPr>
          <w:b/>
          <w:bCs/>
          <w:color w:val="auto"/>
          <w:highlight w:val="none"/>
        </w:rPr>
        <w:t xml:space="preserve">1  </w:t>
      </w:r>
      <w:r>
        <w:rPr>
          <w:rFonts w:hint="eastAsia"/>
          <w:color w:val="auto"/>
          <w:highlight w:val="none"/>
          <w:lang w:val="en-US" w:eastAsia="zh-CN"/>
        </w:rPr>
        <w:t>调</w:t>
      </w:r>
      <w:r>
        <w:rPr>
          <w:rFonts w:hint="eastAsia"/>
          <w:color w:val="auto"/>
          <w:highlight w:val="none"/>
        </w:rPr>
        <w:t>平垫片应采用耐用材料且具备足够强度，其材质及性能应满足设计相关要求</w:t>
      </w:r>
      <w:r>
        <w:rPr>
          <w:rFonts w:hint="eastAsia"/>
          <w:color w:val="auto"/>
          <w:highlight w:val="none"/>
          <w:lang w:eastAsia="zh-CN"/>
        </w:rPr>
        <w:t>；</w:t>
      </w:r>
    </w:p>
    <w:p w14:paraId="3B92D718">
      <w:pPr>
        <w:ind w:firstLine="422" w:firstLineChars="200"/>
        <w:rPr>
          <w:rFonts w:hint="eastAsia" w:eastAsia="宋体"/>
          <w:color w:val="auto"/>
          <w:highlight w:val="none"/>
          <w:lang w:eastAsia="zh-CN"/>
        </w:rPr>
      </w:pPr>
      <w:r>
        <w:rPr>
          <w:b/>
          <w:bCs/>
          <w:color w:val="auto"/>
          <w:highlight w:val="none"/>
        </w:rPr>
        <w:t xml:space="preserve">2  </w:t>
      </w:r>
      <w:r>
        <w:rPr>
          <w:rFonts w:hint="eastAsia"/>
          <w:color w:val="auto"/>
          <w:highlight w:val="none"/>
        </w:rPr>
        <w:t>若设计有具体要求，则</w:t>
      </w:r>
      <w:r>
        <w:rPr>
          <w:rFonts w:hint="eastAsia"/>
          <w:color w:val="auto"/>
          <w:highlight w:val="none"/>
          <w:lang w:val="en-US" w:eastAsia="zh-CN"/>
        </w:rPr>
        <w:t>调</w:t>
      </w:r>
      <w:r>
        <w:rPr>
          <w:rFonts w:hint="eastAsia"/>
          <w:color w:val="auto"/>
          <w:highlight w:val="none"/>
        </w:rPr>
        <w:t>平垫片应根据设计要求放置；若设计无具体要求，则</w:t>
      </w:r>
      <w:r>
        <w:rPr>
          <w:rFonts w:hint="eastAsia"/>
          <w:color w:val="auto"/>
          <w:highlight w:val="none"/>
          <w:lang w:val="en-US" w:eastAsia="zh-CN"/>
        </w:rPr>
        <w:t>调</w:t>
      </w:r>
      <w:r>
        <w:rPr>
          <w:rFonts w:hint="eastAsia"/>
          <w:color w:val="auto"/>
          <w:highlight w:val="none"/>
        </w:rPr>
        <w:t>平垫片宜放置在模块刚度较大部位</w:t>
      </w:r>
      <w:r>
        <w:rPr>
          <w:rFonts w:hint="eastAsia"/>
          <w:color w:val="auto"/>
          <w:highlight w:val="none"/>
          <w:lang w:eastAsia="zh-CN"/>
        </w:rPr>
        <w:t>；</w:t>
      </w:r>
    </w:p>
    <w:p w14:paraId="15012181">
      <w:pPr>
        <w:ind w:firstLine="422" w:firstLineChars="200"/>
        <w:rPr>
          <w:rFonts w:hint="eastAsia"/>
          <w:color w:val="auto"/>
          <w:highlight w:val="none"/>
        </w:rPr>
      </w:pPr>
      <w:r>
        <w:rPr>
          <w:b/>
          <w:bCs/>
          <w:color w:val="auto"/>
          <w:highlight w:val="none"/>
        </w:rPr>
        <w:t xml:space="preserve">3  </w:t>
      </w:r>
      <w:r>
        <w:rPr>
          <w:rFonts w:hint="eastAsia"/>
          <w:color w:val="auto"/>
          <w:highlight w:val="none"/>
          <w:lang w:val="en-US" w:eastAsia="zh-CN"/>
        </w:rPr>
        <w:t>调</w:t>
      </w:r>
      <w:r>
        <w:rPr>
          <w:rFonts w:hint="eastAsia"/>
          <w:color w:val="auto"/>
          <w:highlight w:val="none"/>
        </w:rPr>
        <w:t>平垫片在模块安装、连接全过程中应</w:t>
      </w:r>
      <w:r>
        <w:rPr>
          <w:rFonts w:hint="eastAsia"/>
          <w:color w:val="auto"/>
          <w:highlight w:val="none"/>
          <w:lang w:val="en-US" w:eastAsia="zh-CN"/>
        </w:rPr>
        <w:t>具有</w:t>
      </w:r>
      <w:r>
        <w:rPr>
          <w:rFonts w:hint="eastAsia"/>
          <w:color w:val="auto"/>
          <w:highlight w:val="none"/>
        </w:rPr>
        <w:t>防止模块移动</w:t>
      </w:r>
      <w:r>
        <w:rPr>
          <w:rFonts w:hint="eastAsia"/>
          <w:color w:val="auto"/>
          <w:highlight w:val="none"/>
          <w:lang w:val="en-US" w:eastAsia="zh-CN"/>
        </w:rPr>
        <w:t>的措施</w:t>
      </w:r>
      <w:r>
        <w:rPr>
          <w:rFonts w:hint="eastAsia"/>
          <w:color w:val="auto"/>
          <w:highlight w:val="none"/>
        </w:rPr>
        <w:t>。</w:t>
      </w:r>
    </w:p>
    <w:p w14:paraId="07E5111A">
      <w:pPr>
        <w:ind w:firstLine="0" w:firstLineChars="0"/>
        <w:rPr>
          <w:rFonts w:hint="default" w:eastAsia="宋体"/>
          <w:b/>
          <w:bCs/>
          <w:color w:val="auto"/>
          <w:highlight w:val="none"/>
          <w:lang w:val="en-US" w:eastAsia="zh-CN" w:bidi="en-US"/>
        </w:rPr>
      </w:pPr>
      <w:r>
        <w:rPr>
          <w:rFonts w:hint="default"/>
          <w:b/>
          <w:bCs/>
          <w:color w:val="auto"/>
          <w:highlight w:val="none"/>
          <w:lang w:val="en-US" w:eastAsia="zh-CN" w:bidi="en-US"/>
        </w:rPr>
        <w:t xml:space="preserve">9.3.3 </w:t>
      </w:r>
      <w:r>
        <w:rPr>
          <w:rFonts w:hint="eastAsia"/>
          <w:b w:val="0"/>
          <w:bCs w:val="0"/>
          <w:color w:val="auto"/>
          <w:highlight w:val="none"/>
          <w:lang w:val="en-US" w:eastAsia="zh-CN" w:bidi="en-US"/>
        </w:rPr>
        <w:t>模块安装时，支持面</w:t>
      </w:r>
      <w:r>
        <w:rPr>
          <w:rFonts w:hint="eastAsia"/>
          <w:color w:val="auto"/>
          <w:highlight w:val="none"/>
          <w:lang w:val="en-US" w:eastAsia="zh-CN"/>
        </w:rPr>
        <w:t>座浆料布置范围、高度应满足设计要求。如模块落位后再次起吊，应对座浆层进行重新复核。</w:t>
      </w:r>
    </w:p>
    <w:p w14:paraId="6DBC1A2B">
      <w:pPr>
        <w:ind w:firstLine="0"/>
        <w:rPr>
          <w:rFonts w:eastAsia="PMingLiU"/>
          <w:color w:val="auto"/>
          <w:highlight w:val="none"/>
        </w:rPr>
      </w:pPr>
      <w:bookmarkStart w:id="1058" w:name="_Toc2082"/>
      <w:bookmarkStart w:id="1059" w:name="_Toc9645"/>
      <w:r>
        <w:rPr>
          <w:rFonts w:hint="eastAsia"/>
          <w:b/>
          <w:bCs/>
          <w:color w:val="auto"/>
          <w:highlight w:val="none"/>
          <w:lang w:bidi="en-US"/>
        </w:rPr>
        <w:t>9.</w:t>
      </w:r>
      <w:r>
        <w:rPr>
          <w:b/>
          <w:bCs/>
          <w:color w:val="auto"/>
          <w:highlight w:val="none"/>
          <w:lang w:bidi="en-US"/>
        </w:rPr>
        <w:t>3</w:t>
      </w:r>
      <w:r>
        <w:rPr>
          <w:rFonts w:hint="eastAsia"/>
          <w:b/>
          <w:bCs/>
          <w:color w:val="auto"/>
          <w:highlight w:val="none"/>
          <w:lang w:val="en-US" w:eastAsia="zh-CN" w:bidi="en-US"/>
        </w:rPr>
        <w:t>.4</w:t>
      </w:r>
      <w:r>
        <w:rPr>
          <w:b/>
          <w:bCs/>
          <w:color w:val="auto"/>
          <w:highlight w:val="none"/>
          <w:lang w:bidi="en-US"/>
        </w:rPr>
        <w:t xml:space="preserve"> </w:t>
      </w:r>
      <w:r>
        <w:rPr>
          <w:rFonts w:hint="eastAsia"/>
          <w:color w:val="auto"/>
          <w:highlight w:val="none"/>
        </w:rPr>
        <w:t>混凝土模块化结构的尺寸偏差及检验方法应符合表</w:t>
      </w:r>
      <w:r>
        <w:rPr>
          <w:rFonts w:hint="eastAsia"/>
          <w:color w:val="auto"/>
          <w:highlight w:val="none"/>
          <w:lang w:bidi="en-US"/>
        </w:rPr>
        <w:t>9.</w:t>
      </w:r>
      <w:r>
        <w:rPr>
          <w:rFonts w:eastAsia="Times New Roman"/>
          <w:color w:val="auto"/>
          <w:highlight w:val="none"/>
          <w:lang w:bidi="en-US"/>
        </w:rPr>
        <w:t>3</w:t>
      </w:r>
      <w:r>
        <w:rPr>
          <w:rFonts w:hint="eastAsia"/>
          <w:color w:val="auto"/>
          <w:highlight w:val="none"/>
          <w:lang w:bidi="en-US"/>
        </w:rPr>
        <w:t>.</w:t>
      </w:r>
      <w:r>
        <w:rPr>
          <w:rFonts w:hint="eastAsia" w:eastAsiaTheme="minorEastAsia"/>
          <w:color w:val="auto"/>
          <w:highlight w:val="none"/>
          <w:lang w:val="en-US" w:eastAsia="zh-CN" w:bidi="en-US"/>
        </w:rPr>
        <w:t>4</w:t>
      </w:r>
      <w:r>
        <w:rPr>
          <w:rFonts w:hint="eastAsia"/>
          <w:color w:val="auto"/>
          <w:highlight w:val="none"/>
        </w:rPr>
        <w:t>的规定。</w:t>
      </w:r>
      <w:bookmarkEnd w:id="1058"/>
      <w:bookmarkEnd w:id="1059"/>
    </w:p>
    <w:p w14:paraId="66AA64DD">
      <w:pPr>
        <w:autoSpaceDE w:val="0"/>
        <w:autoSpaceDN w:val="0"/>
        <w:adjustRightInd w:val="0"/>
        <w:ind w:firstLine="360"/>
        <w:jc w:val="center"/>
        <w:rPr>
          <w:rFonts w:eastAsia="黑体"/>
          <w:color w:val="auto"/>
          <w:kern w:val="0"/>
          <w:sz w:val="18"/>
          <w:szCs w:val="21"/>
          <w:highlight w:val="none"/>
        </w:rPr>
      </w:pPr>
      <w:r>
        <w:rPr>
          <w:rFonts w:hint="eastAsia" w:eastAsia="黑体"/>
          <w:color w:val="auto"/>
          <w:kern w:val="0"/>
          <w:sz w:val="18"/>
          <w:szCs w:val="21"/>
          <w:highlight w:val="none"/>
        </w:rPr>
        <w:t>表</w:t>
      </w:r>
      <w:r>
        <w:rPr>
          <w:rFonts w:hint="eastAsia" w:eastAsia="黑体"/>
          <w:b/>
          <w:bCs/>
          <w:color w:val="auto"/>
          <w:kern w:val="0"/>
          <w:sz w:val="18"/>
          <w:szCs w:val="21"/>
          <w:highlight w:val="none"/>
          <w:lang w:bidi="en-US"/>
        </w:rPr>
        <w:t>9.</w:t>
      </w:r>
      <w:r>
        <w:rPr>
          <w:rFonts w:eastAsia="黑体"/>
          <w:b/>
          <w:bCs/>
          <w:color w:val="auto"/>
          <w:kern w:val="0"/>
          <w:sz w:val="18"/>
          <w:szCs w:val="21"/>
          <w:highlight w:val="none"/>
          <w:lang w:bidi="en-US"/>
        </w:rPr>
        <w:t>3</w:t>
      </w:r>
      <w:r>
        <w:rPr>
          <w:rFonts w:hint="eastAsia" w:eastAsia="黑体"/>
          <w:b/>
          <w:bCs/>
          <w:color w:val="auto"/>
          <w:kern w:val="0"/>
          <w:sz w:val="18"/>
          <w:szCs w:val="21"/>
          <w:highlight w:val="none"/>
          <w:lang w:bidi="en-US"/>
        </w:rPr>
        <w:t>.</w:t>
      </w:r>
      <w:r>
        <w:rPr>
          <w:rFonts w:hint="eastAsia" w:eastAsia="黑体"/>
          <w:b/>
          <w:bCs/>
          <w:color w:val="auto"/>
          <w:kern w:val="0"/>
          <w:sz w:val="18"/>
          <w:szCs w:val="21"/>
          <w:highlight w:val="none"/>
          <w:lang w:val="en-US" w:eastAsia="zh-CN" w:bidi="en-US"/>
        </w:rPr>
        <w:t>4</w:t>
      </w:r>
      <w:r>
        <w:rPr>
          <w:rFonts w:eastAsia="PMingLiU"/>
          <w:b/>
          <w:color w:val="auto"/>
          <w:kern w:val="0"/>
          <w:sz w:val="18"/>
          <w:szCs w:val="21"/>
          <w:highlight w:val="none"/>
        </w:rPr>
        <w:t xml:space="preserve"> </w:t>
      </w:r>
      <w:r>
        <w:rPr>
          <w:rFonts w:eastAsia="PMingLiU"/>
          <w:color w:val="auto"/>
          <w:kern w:val="0"/>
          <w:sz w:val="18"/>
          <w:szCs w:val="21"/>
          <w:highlight w:val="none"/>
        </w:rPr>
        <w:t xml:space="preserve"> </w:t>
      </w:r>
      <w:r>
        <w:rPr>
          <w:rFonts w:hint="eastAsia" w:eastAsia="黑体"/>
          <w:color w:val="auto"/>
          <w:kern w:val="0"/>
          <w:sz w:val="18"/>
          <w:szCs w:val="21"/>
          <w:highlight w:val="none"/>
        </w:rPr>
        <w:t>模块安</w:t>
      </w:r>
      <w:r>
        <w:rPr>
          <w:rFonts w:hint="eastAsia" w:eastAsia="黑体"/>
          <w:color w:val="auto"/>
          <w:kern w:val="0"/>
          <w:sz w:val="18"/>
          <w:szCs w:val="21"/>
          <w:highlight w:val="none"/>
          <w:lang w:val="en-US" w:eastAsia="zh-CN"/>
        </w:rPr>
        <w:t>装</w:t>
      </w:r>
      <w:r>
        <w:rPr>
          <w:rFonts w:hint="eastAsia" w:eastAsia="黑体"/>
          <w:color w:val="auto"/>
          <w:kern w:val="0"/>
          <w:sz w:val="18"/>
          <w:szCs w:val="21"/>
          <w:highlight w:val="none"/>
        </w:rPr>
        <w:t>尺寸的允许偏差及检验方法</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58"/>
        <w:gridCol w:w="1912"/>
        <w:gridCol w:w="2365"/>
      </w:tblGrid>
      <w:tr w14:paraId="000BB4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14" w:type="pct"/>
            <w:tcBorders>
              <w:tl2br w:val="nil"/>
              <w:tr2bl w:val="nil"/>
            </w:tcBorders>
            <w:shd w:val="clear" w:color="auto" w:fill="auto"/>
            <w:vAlign w:val="center"/>
          </w:tcPr>
          <w:p w14:paraId="01166077">
            <w:pPr>
              <w:pStyle w:val="77"/>
              <w:rPr>
                <w:rFonts w:eastAsia="宋体" w:cs="Times New Roman"/>
                <w:color w:val="auto"/>
                <w:sz w:val="16"/>
                <w:szCs w:val="20"/>
                <w:highlight w:val="none"/>
              </w:rPr>
            </w:pPr>
            <w:r>
              <w:rPr>
                <w:rFonts w:hint="eastAsia" w:eastAsia="宋体" w:cs="Times New Roman"/>
                <w:color w:val="auto"/>
                <w:sz w:val="16"/>
                <w:szCs w:val="20"/>
                <w:highlight w:val="none"/>
              </w:rPr>
              <w:t>项目</w:t>
            </w:r>
          </w:p>
        </w:tc>
        <w:tc>
          <w:tcPr>
            <w:tcW w:w="1558" w:type="pct"/>
            <w:tcBorders>
              <w:tl2br w:val="nil"/>
              <w:tr2bl w:val="nil"/>
            </w:tcBorders>
            <w:shd w:val="clear" w:color="auto" w:fill="auto"/>
            <w:vAlign w:val="center"/>
          </w:tcPr>
          <w:p w14:paraId="6C048CDF">
            <w:pPr>
              <w:pStyle w:val="77"/>
              <w:rPr>
                <w:rFonts w:eastAsia="宋体" w:cs="Times New Roman"/>
                <w:color w:val="auto"/>
                <w:sz w:val="16"/>
                <w:szCs w:val="20"/>
                <w:highlight w:val="none"/>
              </w:rPr>
            </w:pPr>
            <w:r>
              <w:rPr>
                <w:rFonts w:hint="eastAsia" w:eastAsia="宋体" w:cs="Times New Roman"/>
                <w:color w:val="auto"/>
                <w:sz w:val="16"/>
                <w:szCs w:val="20"/>
                <w:highlight w:val="none"/>
              </w:rPr>
              <w:t>允许偏差（mm）</w:t>
            </w:r>
          </w:p>
        </w:tc>
        <w:tc>
          <w:tcPr>
            <w:tcW w:w="1927" w:type="pct"/>
            <w:tcBorders>
              <w:tl2br w:val="nil"/>
              <w:tr2bl w:val="nil"/>
            </w:tcBorders>
            <w:shd w:val="clear" w:color="auto" w:fill="auto"/>
            <w:vAlign w:val="center"/>
          </w:tcPr>
          <w:p w14:paraId="7C769CD3">
            <w:pPr>
              <w:pStyle w:val="77"/>
              <w:rPr>
                <w:rFonts w:eastAsia="宋体" w:cs="Times New Roman"/>
                <w:color w:val="auto"/>
                <w:sz w:val="16"/>
                <w:szCs w:val="20"/>
                <w:highlight w:val="none"/>
              </w:rPr>
            </w:pPr>
            <w:r>
              <w:rPr>
                <w:rFonts w:hint="eastAsia" w:eastAsia="宋体" w:cs="Times New Roman"/>
                <w:color w:val="auto"/>
                <w:sz w:val="16"/>
                <w:szCs w:val="20"/>
                <w:highlight w:val="none"/>
              </w:rPr>
              <w:t>检验方法</w:t>
            </w:r>
          </w:p>
        </w:tc>
      </w:tr>
      <w:tr w14:paraId="3F2649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14" w:type="pct"/>
            <w:tcBorders>
              <w:tl2br w:val="nil"/>
              <w:tr2bl w:val="nil"/>
            </w:tcBorders>
            <w:shd w:val="clear" w:color="auto" w:fill="auto"/>
            <w:vAlign w:val="center"/>
          </w:tcPr>
          <w:p w14:paraId="2C03653B">
            <w:pPr>
              <w:pStyle w:val="77"/>
              <w:rPr>
                <w:rFonts w:eastAsia="宋体" w:cs="Times New Roman"/>
                <w:color w:val="auto"/>
                <w:sz w:val="16"/>
                <w:szCs w:val="20"/>
                <w:highlight w:val="none"/>
              </w:rPr>
            </w:pPr>
            <w:r>
              <w:rPr>
                <w:rFonts w:hint="eastAsia" w:eastAsia="宋体" w:cs="Times New Roman"/>
                <w:color w:val="auto"/>
                <w:sz w:val="16"/>
                <w:szCs w:val="20"/>
                <w:highlight w:val="none"/>
              </w:rPr>
              <w:t>模块底座外轮廓偏移</w:t>
            </w:r>
          </w:p>
        </w:tc>
        <w:tc>
          <w:tcPr>
            <w:tcW w:w="1558" w:type="pct"/>
            <w:tcBorders>
              <w:tl2br w:val="nil"/>
              <w:tr2bl w:val="nil"/>
            </w:tcBorders>
            <w:shd w:val="clear" w:color="auto" w:fill="auto"/>
            <w:vAlign w:val="center"/>
          </w:tcPr>
          <w:p w14:paraId="732DEA58">
            <w:pPr>
              <w:pStyle w:val="77"/>
              <w:rPr>
                <w:rFonts w:eastAsia="宋体" w:cs="Times New Roman"/>
                <w:color w:val="auto"/>
                <w:sz w:val="16"/>
                <w:szCs w:val="20"/>
                <w:highlight w:val="none"/>
              </w:rPr>
            </w:pPr>
            <w:r>
              <w:rPr>
                <w:rFonts w:hint="eastAsia" w:eastAsia="宋体" w:cs="Times New Roman"/>
                <w:color w:val="auto"/>
                <w:sz w:val="16"/>
                <w:szCs w:val="20"/>
                <w:highlight w:val="none"/>
              </w:rPr>
              <w:t>-</w:t>
            </w:r>
            <w:r>
              <w:rPr>
                <w:rFonts w:hint="eastAsia" w:eastAsia="宋体" w:cs="Times New Roman"/>
                <w:color w:val="auto"/>
                <w:sz w:val="16"/>
                <w:szCs w:val="20"/>
                <w:highlight w:val="none"/>
                <w:lang w:val="en-US" w:eastAsia="zh-CN"/>
              </w:rPr>
              <w:t>5</w:t>
            </w:r>
            <w:r>
              <w:rPr>
                <w:rFonts w:hint="eastAsia" w:eastAsia="宋体" w:cs="Times New Roman"/>
                <w:color w:val="auto"/>
                <w:sz w:val="16"/>
                <w:szCs w:val="20"/>
                <w:highlight w:val="none"/>
              </w:rPr>
              <w:t>，+5</w:t>
            </w:r>
          </w:p>
        </w:tc>
        <w:tc>
          <w:tcPr>
            <w:tcW w:w="1927" w:type="pct"/>
            <w:tcBorders>
              <w:tl2br w:val="nil"/>
              <w:tr2bl w:val="nil"/>
            </w:tcBorders>
            <w:shd w:val="clear" w:color="auto" w:fill="auto"/>
            <w:vAlign w:val="center"/>
          </w:tcPr>
          <w:p w14:paraId="74964148">
            <w:pPr>
              <w:pStyle w:val="77"/>
              <w:rPr>
                <w:rFonts w:eastAsia="宋体" w:cs="Times New Roman"/>
                <w:color w:val="auto"/>
                <w:sz w:val="16"/>
                <w:szCs w:val="20"/>
                <w:highlight w:val="none"/>
              </w:rPr>
            </w:pPr>
            <w:r>
              <w:rPr>
                <w:rFonts w:hint="eastAsia" w:eastAsia="宋体" w:cs="Times New Roman"/>
                <w:color w:val="auto"/>
                <w:sz w:val="16"/>
                <w:szCs w:val="20"/>
                <w:highlight w:val="none"/>
              </w:rPr>
              <w:t>尺量</w:t>
            </w:r>
          </w:p>
        </w:tc>
      </w:tr>
      <w:tr w14:paraId="6F17DE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14" w:type="pct"/>
            <w:tcBorders>
              <w:tl2br w:val="nil"/>
              <w:tr2bl w:val="nil"/>
            </w:tcBorders>
            <w:shd w:val="clear" w:color="auto" w:fill="auto"/>
            <w:vAlign w:val="center"/>
          </w:tcPr>
          <w:p w14:paraId="3CEF184F">
            <w:pPr>
              <w:pStyle w:val="77"/>
              <w:rPr>
                <w:rFonts w:eastAsia="宋体" w:cs="Times New Roman"/>
                <w:color w:val="auto"/>
                <w:sz w:val="16"/>
                <w:szCs w:val="20"/>
                <w:highlight w:val="none"/>
              </w:rPr>
            </w:pPr>
            <w:r>
              <w:rPr>
                <w:rFonts w:hint="eastAsia" w:eastAsia="宋体" w:cs="Times New Roman"/>
                <w:color w:val="auto"/>
                <w:sz w:val="16"/>
                <w:szCs w:val="20"/>
                <w:highlight w:val="none"/>
              </w:rPr>
              <w:t>模块垂直度</w:t>
            </w:r>
          </w:p>
        </w:tc>
        <w:tc>
          <w:tcPr>
            <w:tcW w:w="1558" w:type="pct"/>
            <w:tcBorders>
              <w:tl2br w:val="nil"/>
              <w:tr2bl w:val="nil"/>
            </w:tcBorders>
            <w:shd w:val="clear" w:color="auto" w:fill="auto"/>
            <w:vAlign w:val="center"/>
          </w:tcPr>
          <w:p w14:paraId="5A663554">
            <w:pPr>
              <w:pStyle w:val="77"/>
              <w:rPr>
                <w:rFonts w:eastAsia="宋体" w:cs="Times New Roman"/>
                <w:color w:val="auto"/>
                <w:sz w:val="16"/>
                <w:szCs w:val="20"/>
                <w:highlight w:val="none"/>
              </w:rPr>
            </w:pPr>
            <w:r>
              <w:rPr>
                <w:rFonts w:hint="eastAsia" w:eastAsia="宋体" w:cs="Times New Roman"/>
                <w:color w:val="auto"/>
                <w:sz w:val="16"/>
                <w:szCs w:val="20"/>
                <w:highlight w:val="none"/>
              </w:rPr>
              <w:t>5</w:t>
            </w:r>
          </w:p>
        </w:tc>
        <w:tc>
          <w:tcPr>
            <w:tcW w:w="1927" w:type="pct"/>
            <w:tcBorders>
              <w:tl2br w:val="nil"/>
              <w:tr2bl w:val="nil"/>
            </w:tcBorders>
            <w:shd w:val="clear" w:color="auto" w:fill="auto"/>
            <w:vAlign w:val="center"/>
          </w:tcPr>
          <w:p w14:paraId="01A27011">
            <w:pPr>
              <w:pStyle w:val="77"/>
              <w:rPr>
                <w:rFonts w:eastAsia="宋体" w:cs="Times New Roman"/>
                <w:color w:val="auto"/>
                <w:sz w:val="16"/>
                <w:szCs w:val="20"/>
                <w:highlight w:val="none"/>
              </w:rPr>
            </w:pPr>
            <w:r>
              <w:rPr>
                <w:rFonts w:hint="eastAsia" w:eastAsia="宋体" w:cs="Times New Roman"/>
                <w:color w:val="auto"/>
                <w:sz w:val="16"/>
                <w:szCs w:val="20"/>
                <w:highlight w:val="none"/>
              </w:rPr>
              <w:t>激光水平仪、尺量（检查墙面）</w:t>
            </w:r>
          </w:p>
        </w:tc>
      </w:tr>
      <w:tr w14:paraId="4AC44D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14" w:type="pct"/>
            <w:tcBorders>
              <w:tl2br w:val="nil"/>
              <w:tr2bl w:val="nil"/>
            </w:tcBorders>
            <w:shd w:val="clear" w:color="auto" w:fill="auto"/>
            <w:vAlign w:val="center"/>
          </w:tcPr>
          <w:p w14:paraId="482B63A4">
            <w:pPr>
              <w:pStyle w:val="77"/>
              <w:rPr>
                <w:rFonts w:eastAsia="宋体" w:cs="Times New Roman"/>
                <w:color w:val="auto"/>
                <w:sz w:val="16"/>
                <w:szCs w:val="20"/>
                <w:highlight w:val="none"/>
              </w:rPr>
            </w:pPr>
            <w:r>
              <w:rPr>
                <w:rFonts w:hint="eastAsia" w:eastAsia="宋体" w:cs="Times New Roman"/>
                <w:color w:val="auto"/>
                <w:sz w:val="16"/>
                <w:szCs w:val="20"/>
                <w:highlight w:val="none"/>
              </w:rPr>
              <w:t>模块标高</w:t>
            </w:r>
          </w:p>
        </w:tc>
        <w:tc>
          <w:tcPr>
            <w:tcW w:w="1558" w:type="pct"/>
            <w:tcBorders>
              <w:tl2br w:val="nil"/>
              <w:tr2bl w:val="nil"/>
            </w:tcBorders>
            <w:shd w:val="clear" w:color="auto" w:fill="auto"/>
            <w:vAlign w:val="center"/>
          </w:tcPr>
          <w:p w14:paraId="23674FB0">
            <w:pPr>
              <w:pStyle w:val="77"/>
              <w:rPr>
                <w:rFonts w:eastAsia="宋体" w:cs="Times New Roman"/>
                <w:color w:val="auto"/>
                <w:sz w:val="16"/>
                <w:szCs w:val="20"/>
                <w:highlight w:val="none"/>
              </w:rPr>
            </w:pPr>
            <w:r>
              <w:rPr>
                <w:rFonts w:hint="eastAsia" w:eastAsia="宋体" w:cs="Times New Roman"/>
                <w:color w:val="auto"/>
                <w:sz w:val="16"/>
                <w:szCs w:val="20"/>
                <w:highlight w:val="none"/>
              </w:rPr>
              <w:t>-5</w:t>
            </w:r>
          </w:p>
        </w:tc>
        <w:tc>
          <w:tcPr>
            <w:tcW w:w="1927" w:type="pct"/>
            <w:tcBorders>
              <w:tl2br w:val="nil"/>
              <w:tr2bl w:val="nil"/>
            </w:tcBorders>
            <w:shd w:val="clear" w:color="auto" w:fill="auto"/>
            <w:vAlign w:val="center"/>
          </w:tcPr>
          <w:p w14:paraId="1AC6BF3C">
            <w:pPr>
              <w:pStyle w:val="77"/>
              <w:rPr>
                <w:rFonts w:eastAsia="宋体" w:cs="Times New Roman"/>
                <w:color w:val="auto"/>
                <w:sz w:val="16"/>
                <w:szCs w:val="20"/>
                <w:highlight w:val="none"/>
              </w:rPr>
            </w:pPr>
            <w:r>
              <w:rPr>
                <w:rFonts w:hint="eastAsia" w:eastAsia="宋体" w:cs="Times New Roman"/>
                <w:color w:val="auto"/>
                <w:sz w:val="16"/>
                <w:szCs w:val="20"/>
                <w:highlight w:val="none"/>
              </w:rPr>
              <w:t>激光水平仪、尺量</w:t>
            </w:r>
          </w:p>
        </w:tc>
      </w:tr>
      <w:tr w14:paraId="3E0862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14" w:type="pct"/>
            <w:tcBorders>
              <w:tl2br w:val="nil"/>
              <w:tr2bl w:val="nil"/>
            </w:tcBorders>
            <w:shd w:val="clear" w:color="auto" w:fill="auto"/>
            <w:vAlign w:val="center"/>
          </w:tcPr>
          <w:p w14:paraId="57482F3E">
            <w:pPr>
              <w:pStyle w:val="77"/>
              <w:rPr>
                <w:rFonts w:eastAsia="宋体" w:cs="Times New Roman"/>
                <w:color w:val="auto"/>
                <w:sz w:val="16"/>
                <w:szCs w:val="20"/>
                <w:highlight w:val="none"/>
              </w:rPr>
            </w:pPr>
            <w:r>
              <w:rPr>
                <w:rFonts w:hint="eastAsia" w:eastAsia="宋体" w:cs="Times New Roman"/>
                <w:color w:val="auto"/>
                <w:sz w:val="16"/>
                <w:szCs w:val="20"/>
                <w:highlight w:val="none"/>
              </w:rPr>
              <w:t>模块底部水平度</w:t>
            </w:r>
          </w:p>
        </w:tc>
        <w:tc>
          <w:tcPr>
            <w:tcW w:w="1558" w:type="pct"/>
            <w:tcBorders>
              <w:tl2br w:val="nil"/>
              <w:tr2bl w:val="nil"/>
            </w:tcBorders>
            <w:shd w:val="clear" w:color="auto" w:fill="auto"/>
            <w:vAlign w:val="center"/>
          </w:tcPr>
          <w:p w14:paraId="0918C981">
            <w:pPr>
              <w:pStyle w:val="77"/>
              <w:rPr>
                <w:rFonts w:eastAsia="宋体" w:cs="Times New Roman"/>
                <w:color w:val="auto"/>
                <w:sz w:val="16"/>
                <w:szCs w:val="20"/>
                <w:highlight w:val="none"/>
              </w:rPr>
            </w:pPr>
            <w:r>
              <w:rPr>
                <w:rFonts w:hint="eastAsia" w:eastAsia="宋体" w:cs="Times New Roman"/>
                <w:color w:val="auto"/>
                <w:sz w:val="16"/>
                <w:szCs w:val="20"/>
                <w:highlight w:val="none"/>
              </w:rPr>
              <w:t>5</w:t>
            </w:r>
          </w:p>
        </w:tc>
        <w:tc>
          <w:tcPr>
            <w:tcW w:w="1927" w:type="pct"/>
            <w:tcBorders>
              <w:tl2br w:val="nil"/>
              <w:tr2bl w:val="nil"/>
            </w:tcBorders>
            <w:shd w:val="clear" w:color="auto" w:fill="auto"/>
            <w:vAlign w:val="center"/>
          </w:tcPr>
          <w:p w14:paraId="1B0B4BC0">
            <w:pPr>
              <w:pStyle w:val="77"/>
              <w:rPr>
                <w:rFonts w:eastAsia="宋体" w:cs="Times New Roman"/>
                <w:color w:val="auto"/>
                <w:sz w:val="16"/>
                <w:szCs w:val="20"/>
                <w:highlight w:val="none"/>
              </w:rPr>
            </w:pPr>
            <w:r>
              <w:rPr>
                <w:rFonts w:hint="eastAsia" w:eastAsia="宋体" w:cs="Times New Roman"/>
                <w:color w:val="auto"/>
                <w:sz w:val="16"/>
                <w:szCs w:val="20"/>
                <w:highlight w:val="none"/>
              </w:rPr>
              <w:t>激光水平仪、尺量</w:t>
            </w:r>
          </w:p>
        </w:tc>
      </w:tr>
    </w:tbl>
    <w:p w14:paraId="12DF8927">
      <w:pPr>
        <w:pStyle w:val="3"/>
        <w:keepNext/>
        <w:keepLines/>
        <w:pageBreakBefore w:val="0"/>
        <w:widowControl w:val="0"/>
        <w:kinsoku/>
        <w:wordWrap/>
        <w:overflowPunct/>
        <w:topLinePunct w:val="0"/>
        <w:autoSpaceDE/>
        <w:autoSpaceDN/>
        <w:bidi w:val="0"/>
        <w:adjustRightInd/>
        <w:snapToGrid/>
        <w:spacing w:before="166" w:beforeLines="50" w:after="166" w:afterLines="50" w:line="360" w:lineRule="auto"/>
        <w:ind w:firstLine="0"/>
        <w:jc w:val="center"/>
        <w:textAlignment w:val="auto"/>
        <w:rPr>
          <w:rFonts w:ascii="Times New Roman" w:hAnsi="Times New Roman" w:eastAsia="黑体" w:cs="Times New Roman"/>
          <w:color w:val="auto"/>
          <w:sz w:val="24"/>
          <w:szCs w:val="24"/>
          <w:highlight w:val="none"/>
        </w:rPr>
      </w:pPr>
      <w:bookmarkStart w:id="1060" w:name="_Toc29943"/>
      <w:bookmarkStart w:id="1061" w:name="_Toc964"/>
      <w:bookmarkStart w:id="1062" w:name="_Toc6709"/>
      <w:bookmarkStart w:id="1063" w:name="_Toc13602"/>
      <w:bookmarkStart w:id="1064" w:name="_Toc25850"/>
      <w:bookmarkStart w:id="1065" w:name="_Toc13495"/>
      <w:bookmarkStart w:id="1066" w:name="_Toc184"/>
      <w:bookmarkStart w:id="1067" w:name="_Toc18350"/>
      <w:r>
        <w:rPr>
          <w:rFonts w:hint="eastAsia" w:ascii="Times New Roman" w:hAnsi="Times New Roman" w:eastAsia="黑体" w:cs="Times New Roman"/>
          <w:b/>
          <w:color w:val="auto"/>
          <w:sz w:val="24"/>
          <w:szCs w:val="24"/>
          <w:highlight w:val="none"/>
        </w:rPr>
        <w:t>9.</w:t>
      </w:r>
      <w:r>
        <w:rPr>
          <w:rFonts w:ascii="Times New Roman" w:hAnsi="Times New Roman" w:eastAsia="黑体" w:cs="Times New Roman"/>
          <w:b/>
          <w:color w:val="auto"/>
          <w:sz w:val="24"/>
          <w:szCs w:val="24"/>
          <w:highlight w:val="none"/>
        </w:rPr>
        <w:t>4</w:t>
      </w:r>
      <w:r>
        <w:rPr>
          <w:rFonts w:hint="eastAsia" w:ascii="Times New Roman" w:hAnsi="Times New Roman" w:eastAsia="黑体" w:cs="Times New Roman"/>
          <w:b/>
          <w:color w:val="auto"/>
          <w:sz w:val="24"/>
          <w:szCs w:val="24"/>
          <w:highlight w:val="none"/>
        </w:rPr>
        <w:t xml:space="preserve"> </w:t>
      </w:r>
      <w:r>
        <w:rPr>
          <w:rFonts w:hint="eastAsia" w:ascii="Times New Roman" w:hAnsi="Times New Roman" w:eastAsia="黑体" w:cs="Times New Roman"/>
          <w:color w:val="auto"/>
          <w:sz w:val="24"/>
          <w:szCs w:val="24"/>
          <w:highlight w:val="none"/>
        </w:rPr>
        <w:t xml:space="preserve"> 模 块 连 接</w:t>
      </w:r>
      <w:bookmarkEnd w:id="1060"/>
      <w:bookmarkEnd w:id="1061"/>
      <w:bookmarkEnd w:id="1062"/>
      <w:bookmarkEnd w:id="1063"/>
      <w:bookmarkEnd w:id="1064"/>
      <w:bookmarkEnd w:id="1065"/>
      <w:bookmarkEnd w:id="1066"/>
      <w:bookmarkEnd w:id="1067"/>
    </w:p>
    <w:p w14:paraId="7813E461">
      <w:pPr>
        <w:ind w:firstLine="0"/>
        <w:rPr>
          <w:rFonts w:eastAsia="PMingLiU"/>
          <w:color w:val="auto"/>
          <w:highlight w:val="none"/>
        </w:rPr>
      </w:pPr>
      <w:bookmarkStart w:id="1068" w:name="_Toc3187"/>
      <w:bookmarkStart w:id="1069" w:name="_Toc23268"/>
      <w:r>
        <w:rPr>
          <w:rFonts w:hint="eastAsia"/>
          <w:b/>
          <w:bCs/>
          <w:color w:val="auto"/>
          <w:kern w:val="0"/>
          <w:highlight w:val="none"/>
          <w:lang w:bidi="en-US"/>
        </w:rPr>
        <w:t>9.</w:t>
      </w:r>
      <w:r>
        <w:rPr>
          <w:rFonts w:eastAsia="Times New Roman"/>
          <w:b/>
          <w:bCs/>
          <w:color w:val="auto"/>
          <w:kern w:val="0"/>
          <w:highlight w:val="none"/>
          <w:lang w:bidi="en-US"/>
        </w:rPr>
        <w:t>4</w:t>
      </w:r>
      <w:r>
        <w:rPr>
          <w:rFonts w:hint="eastAsia"/>
          <w:b/>
          <w:bCs/>
          <w:color w:val="auto"/>
          <w:kern w:val="0"/>
          <w:highlight w:val="none"/>
          <w:lang w:bidi="en-US"/>
        </w:rPr>
        <w:t>.</w:t>
      </w:r>
      <w:r>
        <w:rPr>
          <w:rFonts w:eastAsia="Times New Roman"/>
          <w:b/>
          <w:bCs/>
          <w:color w:val="auto"/>
          <w:kern w:val="0"/>
          <w:highlight w:val="none"/>
          <w:lang w:bidi="en-US"/>
        </w:rPr>
        <w:t xml:space="preserve">1  </w:t>
      </w:r>
      <w:r>
        <w:rPr>
          <w:rFonts w:hint="eastAsia"/>
          <w:color w:val="auto"/>
          <w:highlight w:val="none"/>
        </w:rPr>
        <w:t>钢筋工程、混凝土工程及模板工程除符合本章规定外，尚应符合现行国家标准《混凝土结构工程施工规范》</w:t>
      </w:r>
      <w:r>
        <w:rPr>
          <w:rFonts w:eastAsia="Times New Roman"/>
          <w:color w:val="auto"/>
          <w:highlight w:val="none"/>
          <w:lang w:bidi="en-US"/>
        </w:rPr>
        <w:t xml:space="preserve">GB </w:t>
      </w:r>
      <w:r>
        <w:rPr>
          <w:rFonts w:eastAsia="Times New Roman"/>
          <w:color w:val="auto"/>
          <w:highlight w:val="none"/>
        </w:rPr>
        <w:t>50666</w:t>
      </w:r>
      <w:r>
        <w:rPr>
          <w:rFonts w:hint="eastAsia"/>
          <w:color w:val="auto"/>
          <w:highlight w:val="none"/>
        </w:rPr>
        <w:t>的有关规定。当</w:t>
      </w:r>
      <w:r>
        <w:rPr>
          <w:rFonts w:hint="eastAsia"/>
          <w:color w:val="auto"/>
          <w:highlight w:val="none"/>
          <w:lang w:val="en-US" w:eastAsia="zh-CN"/>
        </w:rPr>
        <w:t>采用</w:t>
      </w:r>
      <w:r>
        <w:rPr>
          <w:rFonts w:hint="eastAsia"/>
          <w:color w:val="auto"/>
          <w:highlight w:val="none"/>
        </w:rPr>
        <w:t>自密实混凝土时，应符合现行行业标准《自密实混凝土应用技术规程》</w:t>
      </w:r>
      <w:r>
        <w:rPr>
          <w:rFonts w:eastAsia="Times New Roman"/>
          <w:color w:val="auto"/>
          <w:highlight w:val="none"/>
          <w:lang w:bidi="en-US"/>
        </w:rPr>
        <w:t>JGJ/T 283</w:t>
      </w:r>
      <w:r>
        <w:rPr>
          <w:rFonts w:hint="eastAsia"/>
          <w:color w:val="auto"/>
          <w:highlight w:val="none"/>
        </w:rPr>
        <w:t>的有关规定。</w:t>
      </w:r>
      <w:bookmarkEnd w:id="1068"/>
      <w:bookmarkEnd w:id="1069"/>
    </w:p>
    <w:p w14:paraId="236F84BB">
      <w:pPr>
        <w:ind w:firstLine="0"/>
        <w:rPr>
          <w:color w:val="auto"/>
          <w:highlight w:val="none"/>
        </w:rPr>
      </w:pPr>
      <w:bookmarkStart w:id="1070" w:name="_Toc24727"/>
      <w:bookmarkStart w:id="1071" w:name="_Toc2174"/>
      <w:bookmarkStart w:id="1072" w:name="_Toc30251"/>
      <w:r>
        <w:rPr>
          <w:rFonts w:hint="eastAsia"/>
          <w:b/>
          <w:bCs/>
          <w:color w:val="auto"/>
          <w:kern w:val="0"/>
          <w:highlight w:val="none"/>
          <w:lang w:bidi="en-US"/>
        </w:rPr>
        <w:t>9.</w:t>
      </w:r>
      <w:r>
        <w:rPr>
          <w:rFonts w:eastAsia="Times New Roman"/>
          <w:b/>
          <w:bCs/>
          <w:color w:val="auto"/>
          <w:kern w:val="0"/>
          <w:highlight w:val="none"/>
          <w:lang w:bidi="en-US"/>
        </w:rPr>
        <w:t>4</w:t>
      </w:r>
      <w:r>
        <w:rPr>
          <w:rFonts w:hint="eastAsia"/>
          <w:b/>
          <w:bCs/>
          <w:color w:val="auto"/>
          <w:kern w:val="0"/>
          <w:highlight w:val="none"/>
          <w:lang w:bidi="en-US"/>
        </w:rPr>
        <w:t>.</w:t>
      </w:r>
      <w:r>
        <w:rPr>
          <w:rFonts w:eastAsia="Times New Roman"/>
          <w:b/>
          <w:bCs/>
          <w:color w:val="auto"/>
          <w:kern w:val="0"/>
          <w:highlight w:val="none"/>
          <w:lang w:bidi="en-US"/>
        </w:rPr>
        <w:t xml:space="preserve">2  </w:t>
      </w:r>
      <w:r>
        <w:rPr>
          <w:rFonts w:hint="eastAsia"/>
          <w:color w:val="auto"/>
          <w:highlight w:val="none"/>
        </w:rPr>
        <w:t>模块单元的连接应符合下列规定：</w:t>
      </w:r>
      <w:bookmarkEnd w:id="1070"/>
      <w:bookmarkEnd w:id="1071"/>
      <w:bookmarkEnd w:id="1072"/>
    </w:p>
    <w:p w14:paraId="5B24F005">
      <w:pPr>
        <w:ind w:firstLine="422" w:firstLineChars="200"/>
        <w:rPr>
          <w:rFonts w:hint="eastAsia" w:eastAsia="宋体"/>
          <w:color w:val="auto"/>
          <w:highlight w:val="none"/>
          <w:lang w:eastAsia="zh-CN"/>
        </w:rPr>
      </w:pPr>
      <w:r>
        <w:rPr>
          <w:rFonts w:hint="eastAsia" w:eastAsia="宋体"/>
          <w:b/>
          <w:bCs/>
          <w:color w:val="auto"/>
          <w:kern w:val="0"/>
          <w:highlight w:val="none"/>
          <w:lang w:val="en-US" w:eastAsia="zh-CN" w:bidi="en-US"/>
        </w:rPr>
        <w:t>1</w:t>
      </w:r>
      <w:r>
        <w:rPr>
          <w:rFonts w:eastAsia="Times New Roman"/>
          <w:b/>
          <w:bCs/>
          <w:color w:val="auto"/>
          <w:kern w:val="0"/>
          <w:highlight w:val="none"/>
          <w:lang w:bidi="en-US"/>
        </w:rPr>
        <w:t xml:space="preserve">  </w:t>
      </w:r>
      <w:r>
        <w:rPr>
          <w:rFonts w:hint="eastAsia"/>
          <w:b w:val="0"/>
          <w:bCs w:val="0"/>
          <w:color w:val="auto"/>
          <w:kern w:val="2"/>
          <w:highlight w:val="none"/>
          <w:lang w:bidi="en-US"/>
        </w:rPr>
        <w:t>模块</w:t>
      </w:r>
      <w:r>
        <w:rPr>
          <w:rFonts w:hint="eastAsia"/>
          <w:color w:val="auto"/>
          <w:highlight w:val="none"/>
        </w:rPr>
        <w:t>后浇混凝土的施工应符合现行国家标准《混凝土结构工程施工规范》</w:t>
      </w:r>
      <w:r>
        <w:rPr>
          <w:color w:val="auto"/>
          <w:highlight w:val="none"/>
        </w:rPr>
        <w:t>GB 50666</w:t>
      </w:r>
      <w:r>
        <w:rPr>
          <w:rFonts w:hint="eastAsia"/>
          <w:color w:val="auto"/>
          <w:highlight w:val="none"/>
        </w:rPr>
        <w:t>和《装配式混凝土建筑技术标准》</w:t>
      </w:r>
      <w:r>
        <w:rPr>
          <w:color w:val="auto"/>
          <w:highlight w:val="none"/>
        </w:rPr>
        <w:t>GB/T 51231</w:t>
      </w:r>
      <w:r>
        <w:rPr>
          <w:rFonts w:hint="eastAsia"/>
          <w:color w:val="auto"/>
          <w:highlight w:val="none"/>
        </w:rPr>
        <w:t>及设计要求的有关规定</w:t>
      </w:r>
      <w:r>
        <w:rPr>
          <w:rFonts w:hint="eastAsia"/>
          <w:color w:val="auto"/>
          <w:highlight w:val="none"/>
          <w:lang w:eastAsia="zh-CN"/>
        </w:rPr>
        <w:t>；</w:t>
      </w:r>
    </w:p>
    <w:p w14:paraId="64A01C81">
      <w:pPr>
        <w:ind w:firstLine="422" w:firstLineChars="200"/>
        <w:rPr>
          <w:rFonts w:hint="eastAsia" w:eastAsia="宋体"/>
          <w:color w:val="auto"/>
          <w:highlight w:val="none"/>
          <w:lang w:eastAsia="zh-CN"/>
        </w:rPr>
      </w:pPr>
      <w:r>
        <w:rPr>
          <w:rFonts w:hint="eastAsia"/>
          <w:b/>
          <w:bCs/>
          <w:color w:val="auto"/>
          <w:highlight w:val="none"/>
          <w:lang w:val="en-US" w:eastAsia="zh-CN"/>
        </w:rPr>
        <w:t>2</w:t>
      </w:r>
      <w:r>
        <w:rPr>
          <w:rFonts w:hint="eastAsia"/>
          <w:color w:val="auto"/>
          <w:highlight w:val="none"/>
        </w:rPr>
        <w:t xml:space="preserve">  金属波纹管内上下层钢筋连接完成后，应采用专用工装工具进行定位，并应采用可靠的临时固定措施控制钢筋在金属波纹管的相对位置及其外露长度满足设计要求</w:t>
      </w:r>
      <w:r>
        <w:rPr>
          <w:rFonts w:hint="eastAsia"/>
          <w:color w:val="auto"/>
          <w:highlight w:val="none"/>
          <w:lang w:eastAsia="zh-CN"/>
        </w:rPr>
        <w:t>；</w:t>
      </w:r>
    </w:p>
    <w:p w14:paraId="74307684">
      <w:pPr>
        <w:ind w:firstLine="422" w:firstLineChars="200"/>
        <w:rPr>
          <w:rFonts w:hint="eastAsia" w:eastAsia="宋体"/>
          <w:color w:val="auto"/>
          <w:highlight w:val="none"/>
          <w:lang w:eastAsia="zh-CN"/>
        </w:rPr>
      </w:pPr>
      <w:r>
        <w:rPr>
          <w:rFonts w:hint="eastAsia"/>
          <w:b/>
          <w:bCs/>
          <w:color w:val="auto"/>
          <w:highlight w:val="none"/>
          <w:lang w:val="en-US" w:eastAsia="zh-CN"/>
        </w:rPr>
        <w:t>3</w:t>
      </w:r>
      <w:r>
        <w:rPr>
          <w:rFonts w:hint="eastAsia"/>
          <w:color w:val="auto"/>
          <w:highlight w:val="none"/>
        </w:rPr>
        <w:t xml:space="preserve">  金属波纹管在模块吊装前及管内混凝土浇筑前均</w:t>
      </w:r>
      <w:r>
        <w:rPr>
          <w:rFonts w:hint="eastAsia"/>
          <w:color w:val="auto"/>
          <w:highlight w:val="none"/>
          <w:lang w:val="en-US" w:eastAsia="zh-CN"/>
        </w:rPr>
        <w:t>应</w:t>
      </w:r>
      <w:r>
        <w:rPr>
          <w:rFonts w:hint="eastAsia"/>
          <w:color w:val="auto"/>
          <w:highlight w:val="none"/>
        </w:rPr>
        <w:t>进行波纹管位置、规格、数量的检查；当金属波纹管内有杂物时，应及时清理干净</w:t>
      </w:r>
      <w:r>
        <w:rPr>
          <w:rFonts w:hint="eastAsia"/>
          <w:color w:val="auto"/>
          <w:highlight w:val="none"/>
          <w:lang w:eastAsia="zh-CN"/>
        </w:rPr>
        <w:t>；</w:t>
      </w:r>
    </w:p>
    <w:p w14:paraId="20EBB4A6">
      <w:pPr>
        <w:ind w:firstLine="422" w:firstLineChars="200"/>
        <w:rPr>
          <w:color w:val="auto"/>
          <w:highlight w:val="none"/>
        </w:rPr>
      </w:pPr>
      <w:r>
        <w:rPr>
          <w:rFonts w:hint="eastAsia"/>
          <w:b/>
          <w:bCs/>
          <w:color w:val="auto"/>
          <w:highlight w:val="none"/>
          <w:lang w:val="en-US" w:eastAsia="zh-CN"/>
        </w:rPr>
        <w:t>4</w:t>
      </w:r>
      <w:r>
        <w:rPr>
          <w:rFonts w:hint="eastAsia"/>
          <w:color w:val="auto"/>
          <w:highlight w:val="none"/>
        </w:rPr>
        <w:t xml:space="preserve"> </w:t>
      </w:r>
      <w:r>
        <w:rPr>
          <w:rFonts w:hint="eastAsia"/>
          <w:color w:val="auto"/>
          <w:highlight w:val="none"/>
          <w:lang w:val="en-US" w:eastAsia="zh-CN"/>
        </w:rPr>
        <w:t xml:space="preserve"> 在模块拼缝处</w:t>
      </w:r>
      <w:r>
        <w:rPr>
          <w:rFonts w:hint="eastAsia"/>
          <w:color w:val="auto"/>
          <w:highlight w:val="none"/>
        </w:rPr>
        <w:t>封浆料</w:t>
      </w:r>
      <w:r>
        <w:rPr>
          <w:rFonts w:hint="eastAsia"/>
          <w:color w:val="auto"/>
          <w:highlight w:val="none"/>
          <w:lang w:val="en-US" w:eastAsia="zh-CN"/>
        </w:rPr>
        <w:t>施工完成并达到设计强度后，再进行竖向构件空腔混凝土浇筑施工</w:t>
      </w:r>
      <w:r>
        <w:rPr>
          <w:rFonts w:hint="eastAsia"/>
          <w:color w:val="auto"/>
          <w:highlight w:val="none"/>
          <w:lang w:eastAsia="zh-CN"/>
        </w:rPr>
        <w:t>。</w:t>
      </w:r>
    </w:p>
    <w:p w14:paraId="686C0609">
      <w:pPr>
        <w:ind w:firstLine="0" w:firstLineChars="0"/>
        <w:rPr>
          <w:color w:val="auto"/>
          <w:highlight w:val="none"/>
        </w:rPr>
      </w:pPr>
      <w:r>
        <w:rPr>
          <w:rFonts w:hint="eastAsia"/>
          <w:b/>
          <w:color w:val="auto"/>
          <w:highlight w:val="none"/>
        </w:rPr>
        <w:t xml:space="preserve">9.4.3 </w:t>
      </w:r>
      <w:r>
        <w:rPr>
          <w:rFonts w:hint="eastAsia"/>
          <w:color w:val="auto"/>
          <w:highlight w:val="none"/>
        </w:rPr>
        <w:t xml:space="preserve"> 后浇混凝土部分的模板与支架应符合下列规定：</w:t>
      </w:r>
    </w:p>
    <w:p w14:paraId="2B90673F">
      <w:pPr>
        <w:ind w:firstLine="422" w:firstLineChars="200"/>
        <w:rPr>
          <w:rFonts w:hint="eastAsia" w:eastAsia="宋体"/>
          <w:color w:val="auto"/>
          <w:highlight w:val="none"/>
          <w:lang w:eastAsia="zh-CN"/>
        </w:rPr>
      </w:pPr>
      <w:r>
        <w:rPr>
          <w:rFonts w:hint="eastAsia"/>
          <w:b/>
          <w:bCs/>
          <w:color w:val="auto"/>
          <w:highlight w:val="none"/>
        </w:rPr>
        <w:t>1</w:t>
      </w:r>
      <w:r>
        <w:rPr>
          <w:rFonts w:hint="eastAsia"/>
          <w:color w:val="auto"/>
          <w:highlight w:val="none"/>
        </w:rPr>
        <w:t xml:space="preserve">  模块楼板宜进行免支撑设计，当楼板跨度不满足免支撑要求时，宜</w:t>
      </w:r>
      <w:r>
        <w:rPr>
          <w:rFonts w:hint="eastAsia"/>
          <w:color w:val="auto"/>
          <w:highlight w:val="none"/>
          <w:lang w:val="en-US" w:eastAsia="zh-CN"/>
        </w:rPr>
        <w:t>采用</w:t>
      </w:r>
      <w:r>
        <w:rPr>
          <w:rFonts w:hint="eastAsia"/>
          <w:color w:val="auto"/>
          <w:highlight w:val="none"/>
        </w:rPr>
        <w:t>工具式快拆支架，并应在模块设计说明书和施工安全专项方案中提供相应计算文件</w:t>
      </w:r>
      <w:r>
        <w:rPr>
          <w:rFonts w:hint="eastAsia"/>
          <w:color w:val="auto"/>
          <w:highlight w:val="none"/>
          <w:lang w:eastAsia="zh-CN"/>
        </w:rPr>
        <w:t>；</w:t>
      </w:r>
    </w:p>
    <w:p w14:paraId="317C4298">
      <w:pPr>
        <w:ind w:firstLine="422" w:firstLineChars="200"/>
        <w:rPr>
          <w:rFonts w:hint="eastAsia" w:eastAsia="宋体"/>
          <w:color w:val="auto"/>
          <w:highlight w:val="none"/>
          <w:lang w:eastAsia="zh-CN"/>
        </w:rPr>
      </w:pPr>
      <w:r>
        <w:rPr>
          <w:rFonts w:hint="eastAsia"/>
          <w:b/>
          <w:bCs/>
          <w:color w:val="auto"/>
          <w:highlight w:val="none"/>
        </w:rPr>
        <w:t xml:space="preserve">2 </w:t>
      </w:r>
      <w:r>
        <w:rPr>
          <w:rFonts w:hint="eastAsia"/>
          <w:color w:val="auto"/>
          <w:highlight w:val="none"/>
        </w:rPr>
        <w:t xml:space="preserve"> 模板与预制模块接缝处应采取防止漏浆的措施</w:t>
      </w:r>
      <w:r>
        <w:rPr>
          <w:rFonts w:hint="eastAsia"/>
          <w:color w:val="auto"/>
          <w:highlight w:val="none"/>
          <w:lang w:eastAsia="zh-CN"/>
        </w:rPr>
        <w:t>；</w:t>
      </w:r>
    </w:p>
    <w:p w14:paraId="33BCBCDC">
      <w:pPr>
        <w:ind w:firstLine="422" w:firstLineChars="200"/>
        <w:rPr>
          <w:rFonts w:hint="eastAsia" w:eastAsia="宋体"/>
          <w:color w:val="auto"/>
          <w:highlight w:val="none"/>
          <w:lang w:eastAsia="zh-CN"/>
        </w:rPr>
      </w:pPr>
      <w:r>
        <w:rPr>
          <w:rFonts w:hint="eastAsia"/>
          <w:b/>
          <w:bCs/>
          <w:color w:val="auto"/>
          <w:highlight w:val="none"/>
        </w:rPr>
        <w:t>3</w:t>
      </w:r>
      <w:r>
        <w:rPr>
          <w:rFonts w:hint="eastAsia"/>
          <w:color w:val="auto"/>
          <w:highlight w:val="none"/>
        </w:rPr>
        <w:t xml:space="preserve">  拼缝及降板部分后浇混凝土，宜采用定型模板</w:t>
      </w:r>
      <w:r>
        <w:rPr>
          <w:rFonts w:hint="eastAsia"/>
          <w:color w:val="auto"/>
          <w:highlight w:val="none"/>
          <w:lang w:eastAsia="zh-CN"/>
        </w:rPr>
        <w:t>；</w:t>
      </w:r>
    </w:p>
    <w:p w14:paraId="7C8AFBBF">
      <w:pPr>
        <w:ind w:firstLine="422" w:firstLineChars="200"/>
        <w:rPr>
          <w:rFonts w:hint="eastAsia" w:eastAsia="宋体"/>
          <w:color w:val="auto"/>
          <w:highlight w:val="none"/>
          <w:lang w:eastAsia="zh-CN"/>
        </w:rPr>
      </w:pPr>
      <w:r>
        <w:rPr>
          <w:rFonts w:hint="eastAsia"/>
          <w:b/>
          <w:bCs/>
          <w:color w:val="auto"/>
          <w:highlight w:val="none"/>
        </w:rPr>
        <w:t>4</w:t>
      </w:r>
      <w:r>
        <w:rPr>
          <w:rFonts w:hint="eastAsia"/>
          <w:color w:val="auto"/>
          <w:highlight w:val="none"/>
        </w:rPr>
        <w:t xml:space="preserve">  模板应保证后浇混凝土部分形状、尺寸和位置准确</w:t>
      </w:r>
      <w:r>
        <w:rPr>
          <w:rFonts w:hint="eastAsia"/>
          <w:color w:val="auto"/>
          <w:highlight w:val="none"/>
          <w:lang w:eastAsia="zh-CN"/>
        </w:rPr>
        <w:t>；</w:t>
      </w:r>
    </w:p>
    <w:p w14:paraId="0DEFA07B">
      <w:pPr>
        <w:ind w:firstLine="422" w:firstLineChars="200"/>
        <w:rPr>
          <w:rFonts w:hint="eastAsia" w:eastAsia="宋体"/>
          <w:color w:val="auto"/>
          <w:highlight w:val="none"/>
          <w:lang w:eastAsia="zh-CN"/>
        </w:rPr>
      </w:pPr>
      <w:r>
        <w:rPr>
          <w:rFonts w:hint="eastAsia"/>
          <w:b/>
          <w:bCs/>
          <w:color w:val="auto"/>
          <w:highlight w:val="none"/>
        </w:rPr>
        <w:t>5</w:t>
      </w:r>
      <w:r>
        <w:rPr>
          <w:rFonts w:hint="eastAsia"/>
          <w:color w:val="auto"/>
          <w:highlight w:val="none"/>
        </w:rPr>
        <w:t xml:space="preserve">  涉及悬挑结构或预制阳台、凸窗等构件的支撑，应按照相关规定进行支架验算，支架保留层数应符合相关规定</w:t>
      </w:r>
      <w:r>
        <w:rPr>
          <w:rFonts w:hint="eastAsia"/>
          <w:color w:val="auto"/>
          <w:highlight w:val="none"/>
          <w:lang w:eastAsia="zh-CN"/>
        </w:rPr>
        <w:t>。</w:t>
      </w:r>
    </w:p>
    <w:p w14:paraId="5E190CCA">
      <w:pPr>
        <w:ind w:firstLine="0"/>
        <w:rPr>
          <w:color w:val="auto"/>
          <w:highlight w:val="none"/>
        </w:rPr>
      </w:pPr>
      <w:r>
        <w:rPr>
          <w:rFonts w:hint="eastAsia"/>
          <w:b/>
          <w:color w:val="auto"/>
          <w:highlight w:val="none"/>
        </w:rPr>
        <w:t xml:space="preserve">9.4.4  </w:t>
      </w:r>
      <w:r>
        <w:rPr>
          <w:rFonts w:hint="eastAsia"/>
          <w:color w:val="auto"/>
          <w:highlight w:val="none"/>
        </w:rPr>
        <w:t>拆模时后浇混凝土强度应符合现行国家标准《混凝土结构工程施工规范》GB 50666的有关规定，并应符合设计要求。</w:t>
      </w:r>
    </w:p>
    <w:p w14:paraId="41CC9B53">
      <w:pPr>
        <w:keepNext/>
        <w:keepLines/>
        <w:pageBreakBefore w:val="0"/>
        <w:widowControl w:val="0"/>
        <w:kinsoku/>
        <w:wordWrap/>
        <w:overflowPunct/>
        <w:topLinePunct w:val="0"/>
        <w:autoSpaceDE/>
        <w:autoSpaceDN/>
        <w:bidi w:val="0"/>
        <w:adjustRightInd/>
        <w:snapToGrid/>
        <w:spacing w:before="240" w:after="240"/>
        <w:ind w:firstLine="0"/>
        <w:jc w:val="center"/>
        <w:textAlignment w:val="auto"/>
        <w:outlineLvl w:val="1"/>
        <w:rPr>
          <w:rFonts w:eastAsia="黑体"/>
          <w:b/>
          <w:bCs/>
          <w:color w:val="auto"/>
          <w:sz w:val="24"/>
          <w:szCs w:val="24"/>
          <w:highlight w:val="none"/>
        </w:rPr>
      </w:pPr>
      <w:bookmarkStart w:id="1073" w:name="_Toc19933"/>
      <w:bookmarkStart w:id="1074" w:name="_Toc2258"/>
      <w:bookmarkStart w:id="1075" w:name="_Toc263"/>
      <w:bookmarkStart w:id="1076" w:name="_Toc14404"/>
      <w:bookmarkStart w:id="1077" w:name="_Toc29501"/>
      <w:bookmarkStart w:id="1078" w:name="_Toc23941"/>
      <w:bookmarkStart w:id="1079" w:name="_Toc24922"/>
      <w:bookmarkStart w:id="1080" w:name="_Toc798"/>
      <w:r>
        <w:rPr>
          <w:rFonts w:hint="eastAsia" w:eastAsia="黑体"/>
          <w:b/>
          <w:bCs/>
          <w:color w:val="auto"/>
          <w:sz w:val="24"/>
          <w:szCs w:val="24"/>
          <w:highlight w:val="none"/>
        </w:rPr>
        <w:t>9.</w:t>
      </w:r>
      <w:r>
        <w:rPr>
          <w:rFonts w:eastAsia="黑体"/>
          <w:b/>
          <w:bCs/>
          <w:color w:val="auto"/>
          <w:sz w:val="24"/>
          <w:szCs w:val="24"/>
          <w:highlight w:val="none"/>
        </w:rPr>
        <w:t>5</w:t>
      </w:r>
      <w:r>
        <w:rPr>
          <w:rFonts w:hint="eastAsia" w:eastAsia="黑体"/>
          <w:b/>
          <w:bCs/>
          <w:color w:val="auto"/>
          <w:sz w:val="24"/>
          <w:szCs w:val="24"/>
          <w:highlight w:val="none"/>
        </w:rPr>
        <w:t xml:space="preserve">  施工安全与环境保护</w:t>
      </w:r>
      <w:bookmarkEnd w:id="1073"/>
      <w:bookmarkEnd w:id="1074"/>
      <w:bookmarkEnd w:id="1075"/>
      <w:bookmarkEnd w:id="1076"/>
      <w:bookmarkEnd w:id="1077"/>
      <w:bookmarkEnd w:id="1078"/>
      <w:bookmarkEnd w:id="1079"/>
      <w:bookmarkEnd w:id="1080"/>
    </w:p>
    <w:p w14:paraId="0218E3B1">
      <w:pPr>
        <w:ind w:firstLine="0"/>
        <w:rPr>
          <w:b/>
          <w:color w:val="auto"/>
          <w:highlight w:val="none"/>
        </w:rPr>
      </w:pPr>
      <w:bookmarkStart w:id="1081" w:name="_Toc16111"/>
      <w:bookmarkStart w:id="1082" w:name="_Toc5375"/>
      <w:r>
        <w:rPr>
          <w:rFonts w:hint="eastAsia"/>
          <w:b/>
          <w:color w:val="auto"/>
          <w:highlight w:val="none"/>
        </w:rPr>
        <w:t>9.</w:t>
      </w:r>
      <w:r>
        <w:rPr>
          <w:b/>
          <w:color w:val="auto"/>
          <w:highlight w:val="none"/>
        </w:rPr>
        <w:t>5</w:t>
      </w:r>
      <w:r>
        <w:rPr>
          <w:rFonts w:hint="eastAsia"/>
          <w:b/>
          <w:color w:val="auto"/>
          <w:highlight w:val="none"/>
        </w:rPr>
        <w:t>.</w:t>
      </w:r>
      <w:r>
        <w:rPr>
          <w:b/>
          <w:color w:val="auto"/>
          <w:highlight w:val="none"/>
        </w:rPr>
        <w:t xml:space="preserve">1  </w:t>
      </w:r>
      <w:r>
        <w:rPr>
          <w:rFonts w:hint="eastAsia"/>
          <w:bCs/>
          <w:color w:val="auto"/>
          <w:highlight w:val="none"/>
        </w:rPr>
        <w:t>模块施工前，应按照</w:t>
      </w:r>
      <w:r>
        <w:rPr>
          <w:rFonts w:hint="eastAsia"/>
          <w:bCs/>
          <w:color w:val="auto"/>
          <w:highlight w:val="none"/>
          <w:lang w:val="zh-CN"/>
        </w:rPr>
        <w:t>《危险性较大的分部分项工程安全管理规定》（住房城乡建设部令第37号）</w:t>
      </w:r>
      <w:r>
        <w:rPr>
          <w:rFonts w:hint="eastAsia"/>
          <w:bCs/>
          <w:color w:val="auto"/>
          <w:highlight w:val="none"/>
        </w:rPr>
        <w:t>、住房和城乡建设部办公厅关于印发危险性较大的分部分项工程专项施工方案编制指南的通知</w:t>
      </w:r>
      <w:r>
        <w:rPr>
          <w:rFonts w:hint="eastAsia"/>
          <w:bCs/>
          <w:color w:val="auto"/>
          <w:highlight w:val="none"/>
          <w:lang w:eastAsia="zh-CN"/>
        </w:rPr>
        <w:t>（</w:t>
      </w:r>
      <w:r>
        <w:rPr>
          <w:rFonts w:hint="eastAsia"/>
          <w:bCs/>
          <w:color w:val="auto"/>
          <w:highlight w:val="none"/>
        </w:rPr>
        <w:t>建办质﹝20</w:t>
      </w:r>
      <w:r>
        <w:rPr>
          <w:rFonts w:hint="eastAsia"/>
          <w:bCs/>
          <w:color w:val="auto"/>
          <w:highlight w:val="none"/>
          <w:lang w:val="en-US" w:eastAsia="zh-CN"/>
        </w:rPr>
        <w:t>21</w:t>
      </w:r>
      <w:r>
        <w:rPr>
          <w:rFonts w:hint="eastAsia"/>
          <w:bCs/>
          <w:color w:val="auto"/>
          <w:highlight w:val="none"/>
        </w:rPr>
        <w:t>﹞48号</w:t>
      </w:r>
      <w:r>
        <w:rPr>
          <w:rFonts w:hint="eastAsia"/>
          <w:bCs/>
          <w:color w:val="auto"/>
          <w:highlight w:val="none"/>
          <w:lang w:eastAsia="zh-CN"/>
        </w:rPr>
        <w:t>）</w:t>
      </w:r>
      <w:r>
        <w:rPr>
          <w:rFonts w:hint="eastAsia"/>
          <w:bCs/>
          <w:color w:val="auto"/>
          <w:highlight w:val="none"/>
        </w:rPr>
        <w:t>等有关现行危险性较大的分部分项工程管理办法及《危险性较大的分部分项工程专项施工方案严重缺陷清单（试行）》等相关规定，制定安全专项施工方案。</w:t>
      </w:r>
      <w:bookmarkEnd w:id="1081"/>
      <w:bookmarkEnd w:id="1082"/>
    </w:p>
    <w:p w14:paraId="0F4266DD">
      <w:pPr>
        <w:ind w:firstLine="0"/>
        <w:rPr>
          <w:color w:val="auto"/>
          <w:highlight w:val="none"/>
        </w:rPr>
      </w:pPr>
      <w:bookmarkStart w:id="1083" w:name="_Toc19899"/>
      <w:bookmarkStart w:id="1084" w:name="_Toc371"/>
      <w:r>
        <w:rPr>
          <w:rFonts w:hint="eastAsia"/>
          <w:b/>
          <w:color w:val="auto"/>
          <w:highlight w:val="none"/>
        </w:rPr>
        <w:t>9.</w:t>
      </w:r>
      <w:r>
        <w:rPr>
          <w:b/>
          <w:color w:val="auto"/>
          <w:highlight w:val="none"/>
        </w:rPr>
        <w:t>5</w:t>
      </w:r>
      <w:r>
        <w:rPr>
          <w:rFonts w:hint="eastAsia"/>
          <w:b/>
          <w:color w:val="auto"/>
          <w:highlight w:val="none"/>
        </w:rPr>
        <w:t xml:space="preserve">.2 </w:t>
      </w:r>
      <w:r>
        <w:rPr>
          <w:rFonts w:hint="eastAsia"/>
          <w:color w:val="auto"/>
          <w:highlight w:val="none"/>
        </w:rPr>
        <w:t xml:space="preserve"> 混凝土模块化建筑施工应执行国家、地方、行业和企业的安全生产法规和规章制度，落实各级各类人员的安全生产职责。</w:t>
      </w:r>
      <w:bookmarkEnd w:id="1083"/>
      <w:bookmarkEnd w:id="1084"/>
    </w:p>
    <w:p w14:paraId="2759A1F1">
      <w:pPr>
        <w:ind w:firstLine="0"/>
        <w:rPr>
          <w:color w:val="auto"/>
          <w:highlight w:val="none"/>
        </w:rPr>
      </w:pPr>
      <w:bookmarkStart w:id="1085" w:name="_Toc13132"/>
      <w:bookmarkStart w:id="1086" w:name="_Toc1710"/>
      <w:r>
        <w:rPr>
          <w:rFonts w:hint="eastAsia"/>
          <w:b/>
          <w:color w:val="auto"/>
          <w:highlight w:val="none"/>
        </w:rPr>
        <w:t>9.</w:t>
      </w:r>
      <w:r>
        <w:rPr>
          <w:b/>
          <w:color w:val="auto"/>
          <w:highlight w:val="none"/>
        </w:rPr>
        <w:t>5</w:t>
      </w:r>
      <w:r>
        <w:rPr>
          <w:rFonts w:hint="eastAsia"/>
          <w:b/>
          <w:color w:val="auto"/>
          <w:highlight w:val="none"/>
        </w:rPr>
        <w:t>.3</w:t>
      </w:r>
      <w:r>
        <w:rPr>
          <w:b/>
          <w:color w:val="auto"/>
          <w:highlight w:val="none"/>
        </w:rPr>
        <w:t xml:space="preserve">  </w:t>
      </w:r>
      <w:r>
        <w:rPr>
          <w:rFonts w:hint="eastAsia"/>
          <w:color w:val="auto"/>
          <w:highlight w:val="none"/>
        </w:rPr>
        <w:t>施工单位应根据工程施工特点对重大危险源进行识别并予以公示，并制定相应的安全生产应急预案。</w:t>
      </w:r>
      <w:bookmarkEnd w:id="1085"/>
      <w:bookmarkEnd w:id="1086"/>
    </w:p>
    <w:p w14:paraId="780ABCE2">
      <w:pPr>
        <w:ind w:firstLine="0"/>
        <w:rPr>
          <w:color w:val="auto"/>
          <w:highlight w:val="none"/>
        </w:rPr>
      </w:pPr>
      <w:bookmarkStart w:id="1087" w:name="_Toc684"/>
      <w:bookmarkStart w:id="1088" w:name="_Toc3108"/>
      <w:r>
        <w:rPr>
          <w:rFonts w:hint="eastAsia"/>
          <w:b/>
          <w:color w:val="auto"/>
          <w:highlight w:val="none"/>
        </w:rPr>
        <w:t>9.</w:t>
      </w:r>
      <w:r>
        <w:rPr>
          <w:b/>
          <w:color w:val="auto"/>
          <w:highlight w:val="none"/>
        </w:rPr>
        <w:t>5</w:t>
      </w:r>
      <w:r>
        <w:rPr>
          <w:rFonts w:hint="eastAsia"/>
          <w:b/>
          <w:color w:val="auto"/>
          <w:highlight w:val="none"/>
        </w:rPr>
        <w:t>.4</w:t>
      </w:r>
      <w:r>
        <w:rPr>
          <w:b/>
          <w:color w:val="auto"/>
          <w:highlight w:val="none"/>
        </w:rPr>
        <w:t xml:space="preserve">  </w:t>
      </w:r>
      <w:r>
        <w:rPr>
          <w:rFonts w:hint="eastAsia"/>
          <w:color w:val="auto"/>
          <w:szCs w:val="21"/>
          <w:highlight w:val="none"/>
        </w:rPr>
        <w:t>施工</w:t>
      </w:r>
      <w:r>
        <w:rPr>
          <w:rFonts w:hint="eastAsia"/>
          <w:color w:val="auto"/>
          <w:highlight w:val="none"/>
        </w:rPr>
        <w:t>单位</w:t>
      </w:r>
      <w:r>
        <w:rPr>
          <w:rFonts w:hint="eastAsia"/>
          <w:color w:val="auto"/>
          <w:szCs w:val="21"/>
          <w:highlight w:val="none"/>
        </w:rPr>
        <w:t>应对从事模块吊装作业及相关人员进行安全培训与交底，培训与交底内容应包含模块进场、卸车、存放、吊装、就位等关键环节。</w:t>
      </w:r>
      <w:bookmarkEnd w:id="1087"/>
      <w:bookmarkEnd w:id="1088"/>
    </w:p>
    <w:p w14:paraId="353972F1">
      <w:pPr>
        <w:ind w:firstLine="0"/>
        <w:rPr>
          <w:color w:val="auto"/>
          <w:highlight w:val="none"/>
        </w:rPr>
      </w:pPr>
      <w:bookmarkStart w:id="1089" w:name="_Toc7552"/>
      <w:bookmarkStart w:id="1090" w:name="_Toc12933"/>
      <w:r>
        <w:rPr>
          <w:rFonts w:hint="eastAsia"/>
          <w:b/>
          <w:color w:val="auto"/>
          <w:highlight w:val="none"/>
        </w:rPr>
        <w:t>9.</w:t>
      </w:r>
      <w:r>
        <w:rPr>
          <w:b/>
          <w:color w:val="auto"/>
          <w:highlight w:val="none"/>
        </w:rPr>
        <w:t>5</w:t>
      </w:r>
      <w:r>
        <w:rPr>
          <w:rFonts w:hint="eastAsia"/>
          <w:b/>
          <w:color w:val="auto"/>
          <w:highlight w:val="none"/>
        </w:rPr>
        <w:t>.5</w:t>
      </w:r>
      <w:r>
        <w:rPr>
          <w:b/>
          <w:color w:val="auto"/>
          <w:highlight w:val="none"/>
        </w:rPr>
        <w:t xml:space="preserve">  </w:t>
      </w:r>
      <w:r>
        <w:rPr>
          <w:rFonts w:hint="eastAsia"/>
          <w:color w:val="auto"/>
          <w:highlight w:val="none"/>
        </w:rPr>
        <w:t>施工作业中使用的专用吊具、吊索、定型工具式支撑、支架等，应进行安全验算，并定期检查，确保其安全状态。</w:t>
      </w:r>
      <w:bookmarkEnd w:id="1089"/>
      <w:bookmarkEnd w:id="1090"/>
    </w:p>
    <w:p w14:paraId="412A428A">
      <w:pPr>
        <w:ind w:firstLine="0"/>
        <w:rPr>
          <w:color w:val="auto"/>
          <w:highlight w:val="none"/>
        </w:rPr>
      </w:pPr>
      <w:bookmarkStart w:id="1091" w:name="_Toc8357"/>
      <w:bookmarkStart w:id="1092" w:name="_Toc11899"/>
      <w:r>
        <w:rPr>
          <w:rFonts w:hint="eastAsia"/>
          <w:b/>
          <w:color w:val="auto"/>
          <w:highlight w:val="none"/>
        </w:rPr>
        <w:t>9.</w:t>
      </w:r>
      <w:r>
        <w:rPr>
          <w:b/>
          <w:color w:val="auto"/>
          <w:highlight w:val="none"/>
        </w:rPr>
        <w:t>5</w:t>
      </w:r>
      <w:r>
        <w:rPr>
          <w:rFonts w:hint="eastAsia"/>
          <w:b/>
          <w:color w:val="auto"/>
          <w:highlight w:val="none"/>
        </w:rPr>
        <w:t>.6</w:t>
      </w:r>
      <w:r>
        <w:rPr>
          <w:b/>
          <w:color w:val="auto"/>
          <w:highlight w:val="none"/>
        </w:rPr>
        <w:t xml:space="preserve">  </w:t>
      </w:r>
      <w:r>
        <w:rPr>
          <w:rFonts w:hint="eastAsia"/>
          <w:color w:val="auto"/>
          <w:highlight w:val="none"/>
        </w:rPr>
        <w:t>安装作业开始前，应对安装作业区进行围护，并设置明显的标识。</w:t>
      </w:r>
      <w:bookmarkEnd w:id="1091"/>
      <w:bookmarkEnd w:id="1092"/>
    </w:p>
    <w:p w14:paraId="76FA15F4">
      <w:pPr>
        <w:ind w:firstLine="0"/>
        <w:rPr>
          <w:color w:val="auto"/>
          <w:highlight w:val="none"/>
        </w:rPr>
      </w:pPr>
      <w:bookmarkStart w:id="1093" w:name="_Toc23607"/>
      <w:bookmarkStart w:id="1094" w:name="_Toc10184"/>
      <w:r>
        <w:rPr>
          <w:rFonts w:hint="eastAsia"/>
          <w:b/>
          <w:color w:val="auto"/>
          <w:highlight w:val="none"/>
        </w:rPr>
        <w:t>9.</w:t>
      </w:r>
      <w:r>
        <w:rPr>
          <w:b/>
          <w:color w:val="auto"/>
          <w:highlight w:val="none"/>
        </w:rPr>
        <w:t>5</w:t>
      </w:r>
      <w:r>
        <w:rPr>
          <w:rFonts w:hint="eastAsia"/>
          <w:b/>
          <w:color w:val="auto"/>
          <w:highlight w:val="none"/>
        </w:rPr>
        <w:t xml:space="preserve">.7 </w:t>
      </w:r>
      <w:r>
        <w:rPr>
          <w:rFonts w:hint="eastAsia"/>
          <w:color w:val="auto"/>
          <w:highlight w:val="none"/>
        </w:rPr>
        <w:t xml:space="preserve"> 安装作业时，作业区坠落半径范围应拉设警戒线，并根据危险源级别进行安全旁站，严禁无关人员进入作业区。高处安装作业时，人员应按有关规定正确佩戴安全防护措施。</w:t>
      </w:r>
      <w:bookmarkEnd w:id="1093"/>
      <w:bookmarkEnd w:id="1094"/>
    </w:p>
    <w:p w14:paraId="3D935F32">
      <w:pPr>
        <w:ind w:firstLine="0"/>
        <w:rPr>
          <w:color w:val="auto"/>
          <w:highlight w:val="none"/>
        </w:rPr>
      </w:pPr>
      <w:bookmarkStart w:id="1095" w:name="_Toc27905"/>
      <w:bookmarkStart w:id="1096" w:name="_Toc1347"/>
      <w:bookmarkStart w:id="1097" w:name="_Toc23155"/>
      <w:r>
        <w:rPr>
          <w:rFonts w:hint="eastAsia"/>
          <w:b/>
          <w:color w:val="auto"/>
          <w:highlight w:val="none"/>
        </w:rPr>
        <w:t>9.</w:t>
      </w:r>
      <w:r>
        <w:rPr>
          <w:b/>
          <w:color w:val="auto"/>
          <w:highlight w:val="none"/>
        </w:rPr>
        <w:t>5</w:t>
      </w:r>
      <w:r>
        <w:rPr>
          <w:rFonts w:hint="eastAsia"/>
          <w:b/>
          <w:color w:val="auto"/>
          <w:highlight w:val="none"/>
        </w:rPr>
        <w:t>.8</w:t>
      </w:r>
      <w:r>
        <w:rPr>
          <w:b/>
          <w:color w:val="auto"/>
          <w:highlight w:val="none"/>
        </w:rPr>
        <w:t xml:space="preserve">  </w:t>
      </w:r>
      <w:r>
        <w:rPr>
          <w:rFonts w:hint="eastAsia"/>
          <w:color w:val="auto"/>
          <w:highlight w:val="none"/>
        </w:rPr>
        <w:t>吊装作业安全应符合下列规定：</w:t>
      </w:r>
      <w:bookmarkEnd w:id="1095"/>
      <w:bookmarkEnd w:id="1096"/>
      <w:bookmarkEnd w:id="1097"/>
    </w:p>
    <w:p w14:paraId="502F1B35">
      <w:pPr>
        <w:ind w:firstLine="422" w:firstLineChars="200"/>
        <w:rPr>
          <w:color w:val="auto"/>
          <w:highlight w:val="none"/>
        </w:rPr>
      </w:pPr>
      <w:r>
        <w:rPr>
          <w:rFonts w:hint="eastAsia"/>
          <w:b/>
          <w:bCs/>
          <w:color w:val="auto"/>
          <w:highlight w:val="none"/>
        </w:rPr>
        <w:t>1</w:t>
      </w:r>
      <w:r>
        <w:rPr>
          <w:color w:val="auto"/>
          <w:highlight w:val="none"/>
        </w:rPr>
        <w:t xml:space="preserve">  </w:t>
      </w:r>
      <w:r>
        <w:rPr>
          <w:rFonts w:hint="eastAsia"/>
          <w:color w:val="auto"/>
          <w:highlight w:val="none"/>
        </w:rPr>
        <w:t>模块吊装前，应对作业环境及吊装条件进行确认，并对作业人员安全保护措施进行检查；</w:t>
      </w:r>
    </w:p>
    <w:p w14:paraId="6870D3C3">
      <w:pPr>
        <w:ind w:firstLine="422" w:firstLineChars="200"/>
        <w:rPr>
          <w:color w:val="auto"/>
          <w:highlight w:val="none"/>
        </w:rPr>
      </w:pPr>
      <w:r>
        <w:rPr>
          <w:rFonts w:hint="eastAsia"/>
          <w:b/>
          <w:bCs/>
          <w:color w:val="auto"/>
          <w:highlight w:val="none"/>
        </w:rPr>
        <w:t>2</w:t>
      </w:r>
      <w:r>
        <w:rPr>
          <w:color w:val="auto"/>
          <w:highlight w:val="none"/>
        </w:rPr>
        <w:t xml:space="preserve">  </w:t>
      </w:r>
      <w:r>
        <w:rPr>
          <w:rFonts w:hint="eastAsia"/>
          <w:color w:val="auto"/>
          <w:highlight w:val="none"/>
        </w:rPr>
        <w:t>遇到大雨、大雾、</w:t>
      </w:r>
      <w:r>
        <w:rPr>
          <w:rFonts w:hint="eastAsia"/>
          <w:color w:val="auto"/>
          <w:highlight w:val="none"/>
          <w:lang w:val="en-US" w:eastAsia="zh-CN"/>
        </w:rPr>
        <w:t>极端高温天气</w:t>
      </w:r>
      <w:r>
        <w:rPr>
          <w:rFonts w:hint="eastAsia"/>
          <w:color w:val="auto"/>
          <w:highlight w:val="none"/>
        </w:rPr>
        <w:t>及</w:t>
      </w:r>
      <w:r>
        <w:rPr>
          <w:color w:val="auto"/>
          <w:highlight w:val="none"/>
        </w:rPr>
        <w:t>5</w:t>
      </w:r>
      <w:r>
        <w:rPr>
          <w:rFonts w:hint="eastAsia"/>
          <w:color w:val="auto"/>
          <w:highlight w:val="none"/>
        </w:rPr>
        <w:t>级以上大风天等恶劣天气时，禁止进行吊装作业；</w:t>
      </w:r>
    </w:p>
    <w:p w14:paraId="2BB5690B">
      <w:pPr>
        <w:ind w:firstLine="422" w:firstLineChars="200"/>
        <w:rPr>
          <w:color w:val="auto"/>
          <w:highlight w:val="none"/>
        </w:rPr>
      </w:pPr>
      <w:r>
        <w:rPr>
          <w:rFonts w:hint="eastAsia"/>
          <w:b/>
          <w:bCs/>
          <w:color w:val="auto"/>
          <w:highlight w:val="none"/>
        </w:rPr>
        <w:t>3</w:t>
      </w:r>
      <w:r>
        <w:rPr>
          <w:color w:val="auto"/>
          <w:highlight w:val="none"/>
        </w:rPr>
        <w:t xml:space="preserve">  </w:t>
      </w:r>
      <w:r>
        <w:rPr>
          <w:rFonts w:hint="eastAsia"/>
          <w:color w:val="auto"/>
          <w:highlight w:val="none"/>
        </w:rPr>
        <w:t>起吊后，应先将模块单元提升</w:t>
      </w:r>
      <w:r>
        <w:rPr>
          <w:color w:val="auto"/>
          <w:highlight w:val="none"/>
        </w:rPr>
        <w:t>300mm</w:t>
      </w:r>
      <w:r>
        <w:rPr>
          <w:rFonts w:hint="eastAsia"/>
          <w:color w:val="auto"/>
          <w:highlight w:val="none"/>
        </w:rPr>
        <w:t>，确保吊具安全且模块平稳后，方可缓慢提升构件；</w:t>
      </w:r>
    </w:p>
    <w:p w14:paraId="5C016394">
      <w:pPr>
        <w:ind w:firstLine="422" w:firstLineChars="200"/>
        <w:rPr>
          <w:color w:val="auto"/>
          <w:highlight w:val="none"/>
        </w:rPr>
      </w:pPr>
      <w:bookmarkStart w:id="1098" w:name="_Toc29848"/>
      <w:r>
        <w:rPr>
          <w:rFonts w:hint="eastAsia"/>
          <w:b/>
          <w:bCs/>
          <w:color w:val="auto"/>
          <w:highlight w:val="none"/>
        </w:rPr>
        <w:t>4</w:t>
      </w:r>
      <w:r>
        <w:rPr>
          <w:b/>
          <w:bCs/>
          <w:color w:val="auto"/>
          <w:highlight w:val="none"/>
        </w:rPr>
        <w:t xml:space="preserve"> </w:t>
      </w:r>
      <w:r>
        <w:rPr>
          <w:color w:val="auto"/>
          <w:highlight w:val="none"/>
        </w:rPr>
        <w:t xml:space="preserve"> </w:t>
      </w:r>
      <w:r>
        <w:rPr>
          <w:rFonts w:hint="eastAsia"/>
          <w:color w:val="auto"/>
          <w:highlight w:val="none"/>
        </w:rPr>
        <w:t>吊运时，模块单元吊运路径下方严禁站人；</w:t>
      </w:r>
      <w:bookmarkEnd w:id="1098"/>
    </w:p>
    <w:p w14:paraId="0045C4F8">
      <w:pPr>
        <w:ind w:firstLine="422" w:firstLineChars="200"/>
        <w:rPr>
          <w:color w:val="auto"/>
          <w:highlight w:val="none"/>
        </w:rPr>
      </w:pPr>
      <w:r>
        <w:rPr>
          <w:rFonts w:hint="eastAsia"/>
          <w:b/>
          <w:bCs/>
          <w:color w:val="auto"/>
          <w:highlight w:val="none"/>
        </w:rPr>
        <w:t>5</w:t>
      </w:r>
      <w:r>
        <w:rPr>
          <w:color w:val="auto"/>
          <w:highlight w:val="none"/>
        </w:rPr>
        <w:t xml:space="preserve">  </w:t>
      </w:r>
      <w:r>
        <w:rPr>
          <w:rFonts w:hint="eastAsia"/>
          <w:color w:val="auto"/>
          <w:highlight w:val="none"/>
        </w:rPr>
        <w:t>高空作业时，可通过缆风绳调整模块方向，严禁直接手扶模块单元；</w:t>
      </w:r>
    </w:p>
    <w:p w14:paraId="43DE21F4">
      <w:pPr>
        <w:ind w:firstLine="422" w:firstLineChars="200"/>
        <w:rPr>
          <w:color w:val="auto"/>
          <w:highlight w:val="none"/>
        </w:rPr>
      </w:pPr>
      <w:r>
        <w:rPr>
          <w:rFonts w:hint="eastAsia"/>
          <w:b/>
          <w:bCs/>
          <w:color w:val="auto"/>
          <w:highlight w:val="none"/>
        </w:rPr>
        <w:t>6</w:t>
      </w:r>
      <w:r>
        <w:rPr>
          <w:color w:val="auto"/>
          <w:highlight w:val="none"/>
        </w:rPr>
        <w:t xml:space="preserve">  </w:t>
      </w:r>
      <w:r>
        <w:rPr>
          <w:rFonts w:hint="eastAsia"/>
          <w:color w:val="auto"/>
          <w:highlight w:val="none"/>
        </w:rPr>
        <w:t>模块就位时，应待模块降落至距板面</w:t>
      </w:r>
      <w:r>
        <w:rPr>
          <w:color w:val="auto"/>
          <w:highlight w:val="none"/>
        </w:rPr>
        <w:t>1m</w:t>
      </w:r>
      <w:r>
        <w:rPr>
          <w:rFonts w:hint="eastAsia"/>
          <w:color w:val="auto"/>
          <w:highlight w:val="none"/>
        </w:rPr>
        <w:t>以内作业人员才可靠近，并应在模块单元就位固定后进行脱钩；</w:t>
      </w:r>
    </w:p>
    <w:p w14:paraId="055AB23E">
      <w:pPr>
        <w:ind w:firstLine="422" w:firstLineChars="200"/>
        <w:rPr>
          <w:color w:val="auto"/>
          <w:highlight w:val="none"/>
        </w:rPr>
      </w:pPr>
      <w:r>
        <w:rPr>
          <w:rFonts w:hint="eastAsia"/>
          <w:b/>
          <w:bCs/>
          <w:color w:val="auto"/>
          <w:highlight w:val="none"/>
        </w:rPr>
        <w:t>7</w:t>
      </w:r>
      <w:r>
        <w:rPr>
          <w:color w:val="auto"/>
          <w:highlight w:val="none"/>
        </w:rPr>
        <w:t xml:space="preserve">  </w:t>
      </w:r>
      <w:r>
        <w:rPr>
          <w:rFonts w:hint="eastAsia"/>
          <w:color w:val="auto"/>
          <w:highlight w:val="none"/>
        </w:rPr>
        <w:t>模块单元吊装时应设置有效的</w:t>
      </w:r>
      <w:r>
        <w:rPr>
          <w:color w:val="auto"/>
          <w:highlight w:val="none"/>
        </w:rPr>
        <w:t>防护系统</w:t>
      </w:r>
      <w:r>
        <w:rPr>
          <w:rFonts w:hint="eastAsia"/>
          <w:color w:val="auto"/>
          <w:highlight w:val="none"/>
        </w:rPr>
        <w:t>，防护系统应经计算确定。</w:t>
      </w:r>
    </w:p>
    <w:p w14:paraId="1B2FB3A6">
      <w:pPr>
        <w:ind w:firstLine="0"/>
        <w:rPr>
          <w:color w:val="auto"/>
          <w:highlight w:val="none"/>
        </w:rPr>
      </w:pPr>
      <w:bookmarkStart w:id="1099" w:name="_Toc3352"/>
      <w:bookmarkStart w:id="1100" w:name="_Toc7646"/>
      <w:r>
        <w:rPr>
          <w:rFonts w:hint="eastAsia"/>
          <w:b/>
          <w:color w:val="auto"/>
          <w:highlight w:val="none"/>
        </w:rPr>
        <w:t>9.</w:t>
      </w:r>
      <w:r>
        <w:rPr>
          <w:b/>
          <w:color w:val="auto"/>
          <w:highlight w:val="none"/>
        </w:rPr>
        <w:t>5</w:t>
      </w:r>
      <w:r>
        <w:rPr>
          <w:rFonts w:hint="eastAsia"/>
          <w:b/>
          <w:color w:val="auto"/>
          <w:highlight w:val="none"/>
        </w:rPr>
        <w:t>.9</w:t>
      </w:r>
      <w:r>
        <w:rPr>
          <w:b/>
          <w:color w:val="auto"/>
          <w:highlight w:val="none"/>
        </w:rPr>
        <w:t xml:space="preserve">  </w:t>
      </w:r>
      <w:r>
        <w:rPr>
          <w:rFonts w:hint="eastAsia"/>
          <w:color w:val="auto"/>
          <w:highlight w:val="none"/>
        </w:rPr>
        <w:t>混凝土模块化建筑施工过程中，凡涉及</w:t>
      </w:r>
      <w:r>
        <w:rPr>
          <w:color w:val="auto"/>
          <w:highlight w:val="none"/>
        </w:rPr>
        <w:t>临边与洞口作业、攀登与悬空作业、操作平台、交叉作业及安全网搭设的，应</w:t>
      </w:r>
      <w:r>
        <w:rPr>
          <w:rFonts w:hint="eastAsia"/>
          <w:color w:val="auto"/>
          <w:highlight w:val="none"/>
        </w:rPr>
        <w:t>采取有效的</w:t>
      </w:r>
      <w:r>
        <w:rPr>
          <w:color w:val="auto"/>
          <w:highlight w:val="none"/>
        </w:rPr>
        <w:t>高处作业安全技术措施。</w:t>
      </w:r>
      <w:bookmarkEnd w:id="1099"/>
      <w:bookmarkEnd w:id="1100"/>
    </w:p>
    <w:p w14:paraId="18257B55">
      <w:pPr>
        <w:ind w:firstLine="0"/>
        <w:rPr>
          <w:color w:val="auto"/>
          <w:highlight w:val="none"/>
        </w:rPr>
      </w:pPr>
      <w:bookmarkStart w:id="1101" w:name="_Toc27789"/>
      <w:bookmarkStart w:id="1102" w:name="_Toc22874"/>
      <w:r>
        <w:rPr>
          <w:rFonts w:hint="eastAsia"/>
          <w:b/>
          <w:color w:val="auto"/>
          <w:highlight w:val="none"/>
        </w:rPr>
        <w:t>9.</w:t>
      </w:r>
      <w:r>
        <w:rPr>
          <w:b/>
          <w:color w:val="auto"/>
          <w:highlight w:val="none"/>
        </w:rPr>
        <w:t>5</w:t>
      </w:r>
      <w:r>
        <w:rPr>
          <w:rFonts w:hint="eastAsia"/>
          <w:b/>
          <w:color w:val="auto"/>
          <w:highlight w:val="none"/>
        </w:rPr>
        <w:t>.10</w:t>
      </w:r>
      <w:r>
        <w:rPr>
          <w:b/>
          <w:color w:val="auto"/>
          <w:highlight w:val="none"/>
        </w:rPr>
        <w:t xml:space="preserve">  </w:t>
      </w:r>
      <w:r>
        <w:rPr>
          <w:rFonts w:hint="eastAsia"/>
          <w:color w:val="auto"/>
          <w:highlight w:val="none"/>
        </w:rPr>
        <w:t>模块单元吊装就位后，应根据设计要求采取可靠的临时固定措施。</w:t>
      </w:r>
      <w:bookmarkEnd w:id="1101"/>
      <w:bookmarkEnd w:id="1102"/>
    </w:p>
    <w:p w14:paraId="4E5A4699">
      <w:pPr>
        <w:ind w:firstLine="0"/>
        <w:rPr>
          <w:color w:val="auto"/>
          <w:highlight w:val="none"/>
        </w:rPr>
      </w:pPr>
      <w:bookmarkStart w:id="1103" w:name="_Toc11700"/>
      <w:bookmarkStart w:id="1104" w:name="_Toc23975"/>
      <w:r>
        <w:rPr>
          <w:rFonts w:hint="eastAsia"/>
          <w:b/>
          <w:color w:val="auto"/>
          <w:highlight w:val="none"/>
        </w:rPr>
        <w:t>9.</w:t>
      </w:r>
      <w:r>
        <w:rPr>
          <w:b/>
          <w:color w:val="auto"/>
          <w:highlight w:val="none"/>
        </w:rPr>
        <w:t>5</w:t>
      </w:r>
      <w:r>
        <w:rPr>
          <w:rFonts w:hint="eastAsia"/>
          <w:b/>
          <w:color w:val="auto"/>
          <w:highlight w:val="none"/>
        </w:rPr>
        <w:t>.11</w:t>
      </w:r>
      <w:r>
        <w:rPr>
          <w:b/>
          <w:color w:val="auto"/>
          <w:highlight w:val="none"/>
        </w:rPr>
        <w:t xml:space="preserve">  </w:t>
      </w:r>
      <w:r>
        <w:rPr>
          <w:rFonts w:hint="eastAsia"/>
          <w:color w:val="auto"/>
          <w:highlight w:val="none"/>
        </w:rPr>
        <w:t>现场应采用可靠的定型化防护，模块单元安装过程中的废弃物应进行分类回收，建筑废弃物应由有资质的单位按照有关规定进行处理。</w:t>
      </w:r>
      <w:bookmarkEnd w:id="1103"/>
      <w:bookmarkEnd w:id="1104"/>
    </w:p>
    <w:p w14:paraId="4A19AA31">
      <w:pPr>
        <w:ind w:firstLine="0"/>
        <w:rPr>
          <w:color w:val="auto"/>
          <w:highlight w:val="none"/>
        </w:rPr>
      </w:pPr>
      <w:bookmarkStart w:id="1105" w:name="_Toc2299"/>
      <w:bookmarkStart w:id="1106" w:name="_Toc25944"/>
      <w:r>
        <w:rPr>
          <w:rFonts w:hint="eastAsia"/>
          <w:b/>
          <w:color w:val="auto"/>
          <w:highlight w:val="none"/>
        </w:rPr>
        <w:t>9.</w:t>
      </w:r>
      <w:r>
        <w:rPr>
          <w:b/>
          <w:color w:val="auto"/>
          <w:highlight w:val="none"/>
        </w:rPr>
        <w:t>5</w:t>
      </w:r>
      <w:r>
        <w:rPr>
          <w:rFonts w:hint="eastAsia"/>
          <w:b/>
          <w:color w:val="auto"/>
          <w:highlight w:val="none"/>
        </w:rPr>
        <w:t xml:space="preserve">.12  </w:t>
      </w:r>
      <w:r>
        <w:rPr>
          <w:rFonts w:hint="eastAsia"/>
          <w:bCs/>
          <w:color w:val="auto"/>
          <w:highlight w:val="none"/>
        </w:rPr>
        <w:t>施工</w:t>
      </w:r>
      <w:r>
        <w:rPr>
          <w:rFonts w:hint="eastAsia"/>
          <w:color w:val="auto"/>
          <w:highlight w:val="none"/>
        </w:rPr>
        <w:t>现场</w:t>
      </w:r>
      <w:r>
        <w:rPr>
          <w:rFonts w:hint="eastAsia"/>
          <w:bCs/>
          <w:color w:val="auto"/>
          <w:highlight w:val="none"/>
        </w:rPr>
        <w:t>应因地制宜的合理规划模块运输道路及临时堆放场地，避免场地资源浪费。</w:t>
      </w:r>
      <w:r>
        <w:rPr>
          <w:color w:val="auto"/>
          <w:highlight w:val="none"/>
        </w:rPr>
        <w:br w:type="page"/>
      </w:r>
      <w:bookmarkEnd w:id="1105"/>
      <w:bookmarkEnd w:id="1106"/>
    </w:p>
    <w:p w14:paraId="1CD9473B">
      <w:pPr>
        <w:pStyle w:val="2"/>
        <w:keepNext/>
        <w:keepLines/>
        <w:pageBreakBefore w:val="0"/>
        <w:widowControl w:val="0"/>
        <w:kinsoku/>
        <w:wordWrap/>
        <w:overflowPunct/>
        <w:topLinePunct w:val="0"/>
        <w:autoSpaceDE/>
        <w:autoSpaceDN/>
        <w:bidi w:val="0"/>
        <w:adjustRightInd/>
        <w:snapToGrid/>
        <w:spacing w:before="166" w:beforeLines="50" w:after="166" w:afterLines="50" w:line="360" w:lineRule="auto"/>
        <w:ind w:firstLine="0"/>
        <w:jc w:val="center"/>
        <w:textAlignment w:val="auto"/>
        <w:rPr>
          <w:rFonts w:eastAsia="黑体"/>
          <w:color w:val="auto"/>
          <w:sz w:val="28"/>
          <w:szCs w:val="28"/>
          <w:highlight w:val="none"/>
        </w:rPr>
      </w:pPr>
      <w:bookmarkStart w:id="1107" w:name="_Toc110958506"/>
      <w:bookmarkStart w:id="1108" w:name="_Toc25895"/>
      <w:bookmarkStart w:id="1109" w:name="_Toc25005"/>
      <w:bookmarkStart w:id="1110" w:name="_Toc26185"/>
      <w:bookmarkStart w:id="1111" w:name="_Toc110952738"/>
      <w:bookmarkStart w:id="1112" w:name="_Toc32566"/>
      <w:bookmarkStart w:id="1113" w:name="_Toc28896"/>
      <w:bookmarkStart w:id="1114" w:name="_Toc20156"/>
      <w:bookmarkStart w:id="1115" w:name="_Toc12961"/>
      <w:bookmarkStart w:id="1116" w:name="_Toc20162"/>
      <w:r>
        <w:rPr>
          <w:rFonts w:eastAsia="黑体"/>
          <w:color w:val="auto"/>
          <w:sz w:val="28"/>
          <w:szCs w:val="28"/>
          <w:highlight w:val="none"/>
        </w:rPr>
        <w:t>1</w:t>
      </w:r>
      <w:r>
        <w:rPr>
          <w:rFonts w:hint="eastAsia" w:eastAsia="黑体"/>
          <w:color w:val="auto"/>
          <w:sz w:val="28"/>
          <w:szCs w:val="28"/>
          <w:highlight w:val="none"/>
        </w:rPr>
        <w:t>0  质 量 验 收</w:t>
      </w:r>
      <w:bookmarkEnd w:id="1107"/>
      <w:bookmarkEnd w:id="1108"/>
      <w:bookmarkEnd w:id="1109"/>
      <w:bookmarkEnd w:id="1110"/>
      <w:bookmarkEnd w:id="1111"/>
      <w:bookmarkEnd w:id="1112"/>
      <w:bookmarkEnd w:id="1113"/>
      <w:bookmarkEnd w:id="1114"/>
      <w:bookmarkEnd w:id="1115"/>
      <w:bookmarkEnd w:id="1116"/>
    </w:p>
    <w:p w14:paraId="5CBA3EEF">
      <w:pPr>
        <w:pStyle w:val="3"/>
        <w:keepNext/>
        <w:keepLines/>
        <w:pageBreakBefore w:val="0"/>
        <w:widowControl w:val="0"/>
        <w:kinsoku/>
        <w:wordWrap/>
        <w:overflowPunct/>
        <w:topLinePunct w:val="0"/>
        <w:autoSpaceDE/>
        <w:autoSpaceDN/>
        <w:bidi w:val="0"/>
        <w:adjustRightInd/>
        <w:snapToGrid/>
        <w:spacing w:before="166" w:beforeLines="50" w:after="166" w:afterLines="50" w:line="360" w:lineRule="auto"/>
        <w:ind w:firstLine="0"/>
        <w:jc w:val="center"/>
        <w:textAlignment w:val="auto"/>
        <w:rPr>
          <w:rFonts w:ascii="Times New Roman" w:hAnsi="Times New Roman" w:eastAsia="黑体" w:cs="Times New Roman"/>
          <w:color w:val="auto"/>
          <w:sz w:val="24"/>
          <w:szCs w:val="24"/>
          <w:highlight w:val="none"/>
        </w:rPr>
      </w:pPr>
      <w:bookmarkStart w:id="1117" w:name="_Toc23562"/>
      <w:bookmarkStart w:id="1118" w:name="_Toc110952739"/>
      <w:bookmarkStart w:id="1119" w:name="_Toc25463"/>
      <w:bookmarkStart w:id="1120" w:name="_Toc25425"/>
      <w:bookmarkStart w:id="1121" w:name="_Toc6707"/>
      <w:bookmarkStart w:id="1122" w:name="_Toc20546"/>
      <w:bookmarkStart w:id="1123" w:name="_Toc8969"/>
      <w:bookmarkStart w:id="1124" w:name="_Toc1799"/>
      <w:bookmarkStart w:id="1125" w:name="_Toc110958507"/>
      <w:bookmarkStart w:id="1126" w:name="_Toc5516"/>
      <w:r>
        <w:rPr>
          <w:rFonts w:hint="eastAsia" w:ascii="Times New Roman" w:hAnsi="Times New Roman" w:eastAsia="黑体" w:cs="Times New Roman"/>
          <w:b/>
          <w:color w:val="auto"/>
          <w:sz w:val="24"/>
          <w:szCs w:val="24"/>
          <w:highlight w:val="none"/>
        </w:rPr>
        <w:t>10.</w:t>
      </w:r>
      <w:r>
        <w:rPr>
          <w:rFonts w:ascii="Times New Roman" w:hAnsi="Times New Roman" w:eastAsia="黑体" w:cs="Times New Roman"/>
          <w:b/>
          <w:color w:val="auto"/>
          <w:sz w:val="24"/>
          <w:szCs w:val="24"/>
          <w:highlight w:val="none"/>
        </w:rPr>
        <w:t>1</w:t>
      </w:r>
      <w:r>
        <w:rPr>
          <w:rFonts w:hint="eastAsia" w:ascii="Times New Roman" w:hAnsi="Times New Roman" w:eastAsia="黑体" w:cs="Times New Roman"/>
          <w:b/>
          <w:color w:val="auto"/>
          <w:sz w:val="24"/>
          <w:szCs w:val="24"/>
          <w:highlight w:val="none"/>
        </w:rPr>
        <w:t xml:space="preserve"> </w:t>
      </w:r>
      <w:r>
        <w:rPr>
          <w:rFonts w:hint="eastAsia" w:ascii="Times New Roman" w:hAnsi="Times New Roman" w:eastAsia="黑体" w:cs="Times New Roman"/>
          <w:color w:val="auto"/>
          <w:sz w:val="24"/>
          <w:szCs w:val="24"/>
          <w:highlight w:val="none"/>
        </w:rPr>
        <w:t xml:space="preserve"> 一 般 规 定</w:t>
      </w:r>
      <w:bookmarkEnd w:id="1117"/>
      <w:bookmarkEnd w:id="1118"/>
      <w:bookmarkEnd w:id="1119"/>
      <w:bookmarkEnd w:id="1120"/>
      <w:bookmarkEnd w:id="1121"/>
      <w:bookmarkEnd w:id="1122"/>
      <w:bookmarkEnd w:id="1123"/>
      <w:bookmarkEnd w:id="1124"/>
      <w:bookmarkEnd w:id="1125"/>
      <w:bookmarkEnd w:id="1126"/>
    </w:p>
    <w:p w14:paraId="78A4D022">
      <w:pPr>
        <w:ind w:firstLine="0"/>
        <w:rPr>
          <w:b/>
          <w:bCs/>
          <w:color w:val="auto"/>
          <w:highlight w:val="none"/>
        </w:rPr>
      </w:pPr>
      <w:r>
        <w:rPr>
          <w:rFonts w:hint="eastAsia"/>
          <w:b/>
          <w:bCs/>
          <w:color w:val="auto"/>
          <w:highlight w:val="none"/>
        </w:rPr>
        <w:t>10.</w:t>
      </w:r>
      <w:r>
        <w:rPr>
          <w:b/>
          <w:bCs/>
          <w:color w:val="auto"/>
          <w:highlight w:val="none"/>
        </w:rPr>
        <w:t>1</w:t>
      </w:r>
      <w:r>
        <w:rPr>
          <w:rFonts w:hint="eastAsia"/>
          <w:b/>
          <w:bCs/>
          <w:color w:val="auto"/>
          <w:highlight w:val="none"/>
        </w:rPr>
        <w:t>.</w:t>
      </w:r>
      <w:r>
        <w:rPr>
          <w:b/>
          <w:bCs/>
          <w:color w:val="auto"/>
          <w:highlight w:val="none"/>
        </w:rPr>
        <w:t>1</w:t>
      </w:r>
      <w:r>
        <w:rPr>
          <w:rFonts w:hint="eastAsia"/>
          <w:b/>
          <w:bCs/>
          <w:color w:val="auto"/>
          <w:highlight w:val="none"/>
        </w:rPr>
        <w:t xml:space="preserve">  </w:t>
      </w:r>
      <w:r>
        <w:rPr>
          <w:rFonts w:hint="eastAsia"/>
          <w:color w:val="auto"/>
          <w:highlight w:val="none"/>
        </w:rPr>
        <w:t>模块单元应在模块生产、出厂、进场、现场安装等阶段进行质量验收。</w:t>
      </w:r>
    </w:p>
    <w:p w14:paraId="7C210C17">
      <w:pPr>
        <w:ind w:firstLine="0"/>
        <w:rPr>
          <w:color w:val="auto"/>
          <w:highlight w:val="none"/>
        </w:rPr>
      </w:pPr>
      <w:bookmarkStart w:id="1127" w:name="_Toc5201"/>
      <w:bookmarkStart w:id="1128" w:name="_Toc20970"/>
      <w:r>
        <w:rPr>
          <w:rFonts w:hint="eastAsia"/>
          <w:b/>
          <w:bCs/>
          <w:color w:val="auto"/>
          <w:highlight w:val="none"/>
        </w:rPr>
        <w:t>10.</w:t>
      </w:r>
      <w:r>
        <w:rPr>
          <w:b/>
          <w:bCs/>
          <w:color w:val="auto"/>
          <w:highlight w:val="none"/>
        </w:rPr>
        <w:t>1</w:t>
      </w:r>
      <w:r>
        <w:rPr>
          <w:rFonts w:hint="eastAsia"/>
          <w:b/>
          <w:bCs/>
          <w:color w:val="auto"/>
          <w:highlight w:val="none"/>
        </w:rPr>
        <w:t>.2</w:t>
      </w:r>
      <w:r>
        <w:rPr>
          <w:rFonts w:hint="eastAsia"/>
          <w:b/>
          <w:color w:val="auto"/>
          <w:highlight w:val="none"/>
        </w:rPr>
        <w:t xml:space="preserve"> </w:t>
      </w:r>
      <w:r>
        <w:rPr>
          <w:rFonts w:hint="eastAsia"/>
          <w:b/>
          <w:bCs/>
          <w:color w:val="auto"/>
          <w:highlight w:val="none"/>
        </w:rPr>
        <w:t xml:space="preserve"> </w:t>
      </w:r>
      <w:r>
        <w:rPr>
          <w:rFonts w:hint="eastAsia"/>
          <w:bCs/>
          <w:color w:val="auto"/>
          <w:highlight w:val="none"/>
        </w:rPr>
        <w:t>混凝土</w:t>
      </w:r>
      <w:r>
        <w:rPr>
          <w:rFonts w:hint="eastAsia"/>
          <w:color w:val="auto"/>
          <w:highlight w:val="none"/>
        </w:rPr>
        <w:t>模块化建筑的检验批、分项工程、分部（子分部）及单位工程的验收，除本</w:t>
      </w:r>
      <w:r>
        <w:rPr>
          <w:rFonts w:hint="eastAsia"/>
          <w:color w:val="auto"/>
          <w:highlight w:val="none"/>
          <w:lang w:eastAsia="zh-CN"/>
        </w:rPr>
        <w:t>标准</w:t>
      </w:r>
      <w:r>
        <w:rPr>
          <w:rFonts w:hint="eastAsia"/>
          <w:color w:val="auto"/>
          <w:highlight w:val="none"/>
        </w:rPr>
        <w:t>有特殊规定外，尚应符合现行国家标准《建筑工程施工质量验收统一标准》</w:t>
      </w:r>
      <w:r>
        <w:rPr>
          <w:color w:val="auto"/>
          <w:highlight w:val="none"/>
        </w:rPr>
        <w:t>GB 50300</w:t>
      </w:r>
      <w:r>
        <w:rPr>
          <w:rFonts w:hint="eastAsia"/>
          <w:color w:val="auto"/>
          <w:highlight w:val="none"/>
        </w:rPr>
        <w:t>、《混凝土结构工程施工质量验收规范》</w:t>
      </w:r>
      <w:r>
        <w:rPr>
          <w:color w:val="auto"/>
          <w:highlight w:val="none"/>
        </w:rPr>
        <w:t>GB 50204</w:t>
      </w:r>
      <w:r>
        <w:rPr>
          <w:rFonts w:hint="eastAsia"/>
          <w:color w:val="auto"/>
          <w:highlight w:val="none"/>
          <w:lang w:eastAsia="zh-CN"/>
        </w:rPr>
        <w:t>、</w:t>
      </w:r>
      <w:r>
        <w:rPr>
          <w:rFonts w:hint="eastAsia"/>
          <w:color w:val="auto"/>
          <w:highlight w:val="none"/>
          <w:lang w:val="en-US" w:eastAsia="zh-CN"/>
        </w:rPr>
        <w:t>现行行业标准</w:t>
      </w:r>
      <w:r>
        <w:rPr>
          <w:rFonts w:hint="eastAsia"/>
          <w:color w:val="auto"/>
          <w:highlight w:val="none"/>
          <w:lang w:eastAsia="zh-CN"/>
        </w:rPr>
        <w:t>《</w:t>
      </w:r>
      <w:r>
        <w:rPr>
          <w:rFonts w:hint="eastAsia"/>
          <w:color w:val="auto"/>
          <w:highlight w:val="none"/>
          <w:lang w:val="en-US" w:eastAsia="zh-CN"/>
        </w:rPr>
        <w:t>装配式混凝土结构技术规程</w:t>
      </w:r>
      <w:r>
        <w:rPr>
          <w:rFonts w:hint="eastAsia"/>
          <w:color w:val="auto"/>
          <w:highlight w:val="none"/>
          <w:lang w:eastAsia="zh-CN"/>
        </w:rPr>
        <w:t>》</w:t>
      </w:r>
      <w:r>
        <w:rPr>
          <w:rFonts w:hint="eastAsia"/>
          <w:color w:val="auto"/>
          <w:highlight w:val="none"/>
          <w:lang w:val="en-US" w:eastAsia="zh-CN"/>
        </w:rPr>
        <w:t>JGJ 1</w:t>
      </w:r>
      <w:r>
        <w:rPr>
          <w:rFonts w:hint="eastAsia"/>
          <w:color w:val="auto"/>
          <w:highlight w:val="none"/>
        </w:rPr>
        <w:t>及《广东省房屋建筑工程竣工验收技术资料统一用表》</w:t>
      </w:r>
      <w:r>
        <w:rPr>
          <w:rFonts w:hint="eastAsia"/>
          <w:color w:val="auto"/>
          <w:highlight w:val="none"/>
          <w:lang w:val="en-US" w:eastAsia="zh-CN"/>
        </w:rPr>
        <w:t>等的</w:t>
      </w:r>
      <w:r>
        <w:rPr>
          <w:rFonts w:hint="eastAsia"/>
          <w:color w:val="auto"/>
          <w:highlight w:val="none"/>
        </w:rPr>
        <w:t>有关规定。</w:t>
      </w:r>
      <w:bookmarkEnd w:id="1127"/>
      <w:bookmarkEnd w:id="1128"/>
    </w:p>
    <w:p w14:paraId="4C3A955C">
      <w:pPr>
        <w:ind w:firstLine="0"/>
        <w:rPr>
          <w:color w:val="auto"/>
          <w:szCs w:val="24"/>
          <w:highlight w:val="none"/>
        </w:rPr>
      </w:pPr>
      <w:r>
        <w:rPr>
          <w:rFonts w:hint="eastAsia"/>
          <w:b/>
          <w:color w:val="auto"/>
          <w:highlight w:val="none"/>
        </w:rPr>
        <w:t>10.</w:t>
      </w:r>
      <w:r>
        <w:rPr>
          <w:b/>
          <w:color w:val="auto"/>
          <w:highlight w:val="none"/>
        </w:rPr>
        <w:t>1</w:t>
      </w:r>
      <w:r>
        <w:rPr>
          <w:rFonts w:hint="eastAsia"/>
          <w:b/>
          <w:color w:val="auto"/>
          <w:highlight w:val="none"/>
        </w:rPr>
        <w:t>.3</w:t>
      </w:r>
      <w:r>
        <w:rPr>
          <w:b/>
          <w:color w:val="auto"/>
          <w:highlight w:val="none"/>
        </w:rPr>
        <w:t xml:space="preserve">  </w:t>
      </w:r>
      <w:r>
        <w:rPr>
          <w:rFonts w:hint="eastAsia"/>
          <w:bCs/>
          <w:color w:val="auto"/>
          <w:highlight w:val="none"/>
        </w:rPr>
        <w:t>混凝土模块化建筑的结构工程应按混凝土结构子分部工程和模块单元子分部工程进行验收，混凝土结构子分部中其他分项工程应符合现行国家标准《混凝土结构工程施工质量验收规范》GB 50204 的有关规定</w:t>
      </w:r>
      <w:r>
        <w:rPr>
          <w:rFonts w:hint="eastAsia"/>
          <w:color w:val="auto"/>
          <w:szCs w:val="24"/>
          <w:highlight w:val="none"/>
        </w:rPr>
        <w:t>。结合混凝土模块化建筑的特点，在工厂、现场混凝土浇筑前，应提前做好隐蔽验收工作，并形成相应验收记录。</w:t>
      </w:r>
    </w:p>
    <w:p w14:paraId="55878C8A">
      <w:pPr>
        <w:ind w:firstLine="0"/>
        <w:rPr>
          <w:color w:val="auto"/>
          <w:szCs w:val="24"/>
          <w:highlight w:val="none"/>
        </w:rPr>
      </w:pPr>
      <w:bookmarkStart w:id="1129" w:name="_Toc30279"/>
      <w:bookmarkStart w:id="1130" w:name="_Toc5007"/>
      <w:r>
        <w:rPr>
          <w:rFonts w:hint="eastAsia"/>
          <w:b/>
          <w:color w:val="auto"/>
          <w:highlight w:val="none"/>
        </w:rPr>
        <w:t>10.</w:t>
      </w:r>
      <w:r>
        <w:rPr>
          <w:b/>
          <w:color w:val="auto"/>
          <w:highlight w:val="none"/>
        </w:rPr>
        <w:t>1</w:t>
      </w:r>
      <w:r>
        <w:rPr>
          <w:rFonts w:hint="eastAsia"/>
          <w:b/>
          <w:color w:val="auto"/>
          <w:highlight w:val="none"/>
        </w:rPr>
        <w:t>.4</w:t>
      </w:r>
      <w:r>
        <w:rPr>
          <w:b/>
          <w:color w:val="auto"/>
          <w:highlight w:val="none"/>
        </w:rPr>
        <w:t xml:space="preserve">  </w:t>
      </w:r>
      <w:r>
        <w:rPr>
          <w:rFonts w:hint="eastAsia"/>
          <w:bCs/>
          <w:color w:val="auto"/>
          <w:highlight w:val="none"/>
        </w:rPr>
        <w:t>室内</w:t>
      </w:r>
      <w:r>
        <w:rPr>
          <w:rFonts w:hint="eastAsia"/>
          <w:color w:val="auto"/>
          <w:szCs w:val="24"/>
          <w:highlight w:val="none"/>
        </w:rPr>
        <w:t>给水排水系统应按模块单元子分部工程和单位工程的分部工程分别验收，其施工质量要求和验收标准均应符合现行国家标准《建筑给水排水及采暖工程施工质量验收规范》</w:t>
      </w:r>
      <w:r>
        <w:rPr>
          <w:color w:val="auto"/>
          <w:szCs w:val="24"/>
          <w:highlight w:val="none"/>
        </w:rPr>
        <w:t>GB 50242</w:t>
      </w:r>
      <w:r>
        <w:rPr>
          <w:rFonts w:hint="eastAsia"/>
          <w:color w:val="auto"/>
          <w:szCs w:val="24"/>
          <w:highlight w:val="none"/>
        </w:rPr>
        <w:t>的有关规定。</w:t>
      </w:r>
      <w:bookmarkEnd w:id="1129"/>
      <w:bookmarkEnd w:id="1130"/>
    </w:p>
    <w:p w14:paraId="3323F466">
      <w:pPr>
        <w:ind w:firstLine="0"/>
        <w:rPr>
          <w:color w:val="auto"/>
          <w:szCs w:val="24"/>
          <w:highlight w:val="none"/>
        </w:rPr>
      </w:pPr>
      <w:bookmarkStart w:id="1131" w:name="_Toc9336"/>
      <w:bookmarkStart w:id="1132" w:name="_Toc24003"/>
      <w:r>
        <w:rPr>
          <w:rFonts w:hint="eastAsia"/>
          <w:b/>
          <w:color w:val="auto"/>
          <w:highlight w:val="none"/>
        </w:rPr>
        <w:t>10.</w:t>
      </w:r>
      <w:r>
        <w:rPr>
          <w:b/>
          <w:color w:val="auto"/>
          <w:highlight w:val="none"/>
        </w:rPr>
        <w:t>1</w:t>
      </w:r>
      <w:r>
        <w:rPr>
          <w:rFonts w:hint="eastAsia"/>
          <w:b/>
          <w:color w:val="auto"/>
          <w:highlight w:val="none"/>
        </w:rPr>
        <w:t>.5</w:t>
      </w:r>
      <w:r>
        <w:rPr>
          <w:b/>
          <w:color w:val="auto"/>
          <w:highlight w:val="none"/>
        </w:rPr>
        <w:t xml:space="preserve">  </w:t>
      </w:r>
      <w:r>
        <w:rPr>
          <w:rFonts w:hint="eastAsia"/>
          <w:bCs/>
          <w:color w:val="auto"/>
          <w:highlight w:val="none"/>
        </w:rPr>
        <w:t>室内</w:t>
      </w:r>
      <w:r>
        <w:rPr>
          <w:rFonts w:hint="eastAsia"/>
          <w:color w:val="auto"/>
          <w:szCs w:val="24"/>
          <w:highlight w:val="none"/>
        </w:rPr>
        <w:t>电气系统、电气装置等的检测应按模块单元子分部工程和单位工程的分部工程分别验收，应符合现行国家标准《建筑电气工程施工质量验收规范》</w:t>
      </w:r>
      <w:r>
        <w:rPr>
          <w:color w:val="auto"/>
          <w:szCs w:val="24"/>
          <w:highlight w:val="none"/>
        </w:rPr>
        <w:t>GB 50303</w:t>
      </w:r>
      <w:r>
        <w:rPr>
          <w:rFonts w:hint="eastAsia"/>
          <w:color w:val="auto"/>
          <w:szCs w:val="24"/>
          <w:highlight w:val="none"/>
        </w:rPr>
        <w:t>及《火灾自动报警系统施工及验收标准》</w:t>
      </w:r>
      <w:r>
        <w:rPr>
          <w:color w:val="auto"/>
          <w:szCs w:val="24"/>
          <w:highlight w:val="none"/>
        </w:rPr>
        <w:t>GB 50166</w:t>
      </w:r>
      <w:r>
        <w:rPr>
          <w:rFonts w:hint="eastAsia"/>
          <w:color w:val="auto"/>
          <w:szCs w:val="24"/>
          <w:highlight w:val="none"/>
        </w:rPr>
        <w:t>的有关规定。</w:t>
      </w:r>
      <w:bookmarkEnd w:id="1131"/>
      <w:bookmarkEnd w:id="1132"/>
    </w:p>
    <w:p w14:paraId="15CEA592">
      <w:pPr>
        <w:ind w:firstLine="0"/>
        <w:rPr>
          <w:color w:val="auto"/>
          <w:szCs w:val="24"/>
          <w:highlight w:val="none"/>
        </w:rPr>
      </w:pPr>
      <w:bookmarkStart w:id="1133" w:name="_Toc31846"/>
      <w:bookmarkStart w:id="1134" w:name="_Toc27234"/>
      <w:r>
        <w:rPr>
          <w:rFonts w:hint="eastAsia"/>
          <w:b/>
          <w:color w:val="auto"/>
          <w:highlight w:val="none"/>
        </w:rPr>
        <w:t>10.</w:t>
      </w:r>
      <w:r>
        <w:rPr>
          <w:b/>
          <w:color w:val="auto"/>
          <w:highlight w:val="none"/>
        </w:rPr>
        <w:t>1</w:t>
      </w:r>
      <w:r>
        <w:rPr>
          <w:rFonts w:hint="eastAsia"/>
          <w:b/>
          <w:color w:val="auto"/>
          <w:highlight w:val="none"/>
        </w:rPr>
        <w:t>.6</w:t>
      </w:r>
      <w:r>
        <w:rPr>
          <w:b/>
          <w:color w:val="auto"/>
          <w:highlight w:val="none"/>
        </w:rPr>
        <w:t xml:space="preserve">  </w:t>
      </w:r>
      <w:r>
        <w:rPr>
          <w:rFonts w:hint="eastAsia"/>
          <w:color w:val="auto"/>
          <w:szCs w:val="24"/>
          <w:highlight w:val="none"/>
        </w:rPr>
        <w:t>通风与空调工程应按模块单元子分部工程和单位工程分部工程分别验收，应</w:t>
      </w:r>
      <w:bookmarkStart w:id="1135" w:name="_Hlk175079597"/>
      <w:r>
        <w:rPr>
          <w:rFonts w:hint="eastAsia"/>
          <w:color w:val="auto"/>
          <w:szCs w:val="24"/>
          <w:highlight w:val="none"/>
        </w:rPr>
        <w:t>符合现行国家标准《通风与空调工程施工质量验收规范》</w:t>
      </w:r>
      <w:r>
        <w:rPr>
          <w:color w:val="auto"/>
          <w:szCs w:val="24"/>
          <w:highlight w:val="none"/>
        </w:rPr>
        <w:t>GB 50243</w:t>
      </w:r>
      <w:r>
        <w:rPr>
          <w:rFonts w:hint="eastAsia"/>
          <w:color w:val="auto"/>
          <w:szCs w:val="24"/>
          <w:highlight w:val="none"/>
        </w:rPr>
        <w:t>的有关规定。</w:t>
      </w:r>
      <w:bookmarkEnd w:id="1133"/>
      <w:bookmarkEnd w:id="1134"/>
    </w:p>
    <w:bookmarkEnd w:id="1135"/>
    <w:p w14:paraId="083E701C">
      <w:pPr>
        <w:ind w:firstLine="0"/>
        <w:rPr>
          <w:bCs/>
          <w:color w:val="auto"/>
          <w:highlight w:val="none"/>
        </w:rPr>
      </w:pPr>
      <w:bookmarkStart w:id="1136" w:name="_Toc36"/>
      <w:bookmarkStart w:id="1137" w:name="_Toc27048"/>
      <w:r>
        <w:rPr>
          <w:rFonts w:hint="eastAsia"/>
          <w:b/>
          <w:color w:val="auto"/>
          <w:highlight w:val="none"/>
        </w:rPr>
        <w:t>10.</w:t>
      </w:r>
      <w:r>
        <w:rPr>
          <w:b/>
          <w:color w:val="auto"/>
          <w:highlight w:val="none"/>
        </w:rPr>
        <w:t>1</w:t>
      </w:r>
      <w:r>
        <w:rPr>
          <w:rFonts w:hint="eastAsia"/>
          <w:b/>
          <w:color w:val="auto"/>
          <w:highlight w:val="none"/>
        </w:rPr>
        <w:t>.7</w:t>
      </w:r>
      <w:r>
        <w:rPr>
          <w:b/>
          <w:color w:val="auto"/>
          <w:highlight w:val="none"/>
        </w:rPr>
        <w:t xml:space="preserve">  </w:t>
      </w:r>
      <w:r>
        <w:rPr>
          <w:rFonts w:hint="eastAsia"/>
          <w:bCs/>
          <w:color w:val="auto"/>
          <w:highlight w:val="none"/>
        </w:rPr>
        <w:t>内装修工程</w:t>
      </w:r>
      <w:r>
        <w:rPr>
          <w:rFonts w:hint="eastAsia"/>
          <w:color w:val="auto"/>
          <w:szCs w:val="24"/>
          <w:highlight w:val="none"/>
        </w:rPr>
        <w:t>应按模块单元子分项工程和单位工程分部工程分别验收，应符合</w:t>
      </w:r>
      <w:r>
        <w:rPr>
          <w:rFonts w:hint="eastAsia"/>
          <w:bCs/>
          <w:color w:val="auto"/>
          <w:highlight w:val="none"/>
        </w:rPr>
        <w:t>国家现行标准《建筑装饰装修工程质量验收标准》</w:t>
      </w:r>
      <w:r>
        <w:rPr>
          <w:bCs/>
          <w:color w:val="auto"/>
          <w:highlight w:val="none"/>
        </w:rPr>
        <w:t>GB 50210</w:t>
      </w:r>
      <w:r>
        <w:rPr>
          <w:rFonts w:hint="eastAsia"/>
          <w:bCs/>
          <w:color w:val="auto"/>
          <w:highlight w:val="none"/>
        </w:rPr>
        <w:t>、《建筑轻质条板隔墙技术规程》</w:t>
      </w:r>
      <w:r>
        <w:rPr>
          <w:bCs/>
          <w:color w:val="auto"/>
          <w:highlight w:val="none"/>
        </w:rPr>
        <w:t>JGJ/T 157</w:t>
      </w:r>
      <w:r>
        <w:rPr>
          <w:rFonts w:hint="eastAsia"/>
          <w:bCs/>
          <w:color w:val="auto"/>
          <w:highlight w:val="none"/>
        </w:rPr>
        <w:t>和《公共建筑吊顶工程技术规程》</w:t>
      </w:r>
      <w:r>
        <w:rPr>
          <w:bCs/>
          <w:color w:val="auto"/>
          <w:highlight w:val="none"/>
        </w:rPr>
        <w:t>JGJ 345</w:t>
      </w:r>
      <w:r>
        <w:rPr>
          <w:rFonts w:hint="eastAsia"/>
          <w:bCs/>
          <w:color w:val="auto"/>
          <w:highlight w:val="none"/>
        </w:rPr>
        <w:t>的有关规定。</w:t>
      </w:r>
      <w:bookmarkEnd w:id="1136"/>
      <w:bookmarkEnd w:id="1137"/>
    </w:p>
    <w:p w14:paraId="530CA3F0">
      <w:pPr>
        <w:ind w:firstLine="0"/>
        <w:rPr>
          <w:color w:val="auto"/>
          <w:highlight w:val="none"/>
        </w:rPr>
      </w:pPr>
      <w:bookmarkStart w:id="1138" w:name="_Toc11539"/>
      <w:bookmarkStart w:id="1139" w:name="_Toc21520"/>
      <w:r>
        <w:rPr>
          <w:rFonts w:hint="eastAsia"/>
          <w:b/>
          <w:bCs/>
          <w:color w:val="auto"/>
          <w:highlight w:val="none"/>
        </w:rPr>
        <w:t>10.</w:t>
      </w:r>
      <w:r>
        <w:rPr>
          <w:b/>
          <w:bCs/>
          <w:color w:val="auto"/>
          <w:highlight w:val="none"/>
        </w:rPr>
        <w:t>1</w:t>
      </w:r>
      <w:r>
        <w:rPr>
          <w:rFonts w:hint="eastAsia"/>
          <w:b/>
          <w:bCs/>
          <w:color w:val="auto"/>
          <w:highlight w:val="none"/>
        </w:rPr>
        <w:t>.8</w:t>
      </w:r>
      <w:r>
        <w:rPr>
          <w:b/>
          <w:bCs/>
          <w:color w:val="auto"/>
          <w:highlight w:val="none"/>
        </w:rPr>
        <w:t xml:space="preserve">  </w:t>
      </w:r>
      <w:r>
        <w:rPr>
          <w:rFonts w:hint="eastAsia"/>
          <w:bCs/>
          <w:color w:val="auto"/>
          <w:highlight w:val="none"/>
        </w:rPr>
        <w:t>模块单元生产及现场施工的各检验批</w:t>
      </w:r>
      <w:r>
        <w:rPr>
          <w:rFonts w:hint="eastAsia"/>
          <w:color w:val="auto"/>
          <w:highlight w:val="none"/>
        </w:rPr>
        <w:t>质量验收应包括实物检查和资料检查，并应符合相关现行质量验收规范要求</w:t>
      </w:r>
      <w:bookmarkEnd w:id="1138"/>
      <w:bookmarkEnd w:id="1139"/>
      <w:r>
        <w:rPr>
          <w:rFonts w:hint="eastAsia"/>
          <w:color w:val="auto"/>
          <w:highlight w:val="none"/>
        </w:rPr>
        <w:t>。</w:t>
      </w:r>
    </w:p>
    <w:p w14:paraId="4537A52C">
      <w:pPr>
        <w:ind w:firstLine="0"/>
        <w:rPr>
          <w:color w:val="auto"/>
          <w:szCs w:val="24"/>
          <w:highlight w:val="none"/>
        </w:rPr>
      </w:pPr>
      <w:bookmarkStart w:id="1140" w:name="_Toc18953"/>
      <w:bookmarkStart w:id="1141" w:name="_Toc30118"/>
      <w:r>
        <w:rPr>
          <w:rFonts w:hint="eastAsia"/>
          <w:b/>
          <w:bCs/>
          <w:color w:val="auto"/>
          <w:highlight w:val="none"/>
        </w:rPr>
        <w:t>10.</w:t>
      </w:r>
      <w:r>
        <w:rPr>
          <w:b/>
          <w:bCs/>
          <w:color w:val="auto"/>
          <w:highlight w:val="none"/>
        </w:rPr>
        <w:t>1</w:t>
      </w:r>
      <w:r>
        <w:rPr>
          <w:rFonts w:hint="eastAsia"/>
          <w:b/>
          <w:bCs/>
          <w:color w:val="auto"/>
          <w:highlight w:val="none"/>
        </w:rPr>
        <w:t>.9</w:t>
      </w:r>
      <w:r>
        <w:rPr>
          <w:b/>
          <w:bCs/>
          <w:color w:val="auto"/>
          <w:highlight w:val="none"/>
        </w:rPr>
        <w:t xml:space="preserve">  </w:t>
      </w:r>
      <w:r>
        <w:rPr>
          <w:rFonts w:hint="eastAsia"/>
          <w:color w:val="auto"/>
          <w:szCs w:val="24"/>
          <w:highlight w:val="none"/>
        </w:rPr>
        <w:t>不合格的模块单元的处理应符合下列规定：</w:t>
      </w:r>
      <w:bookmarkEnd w:id="1140"/>
      <w:bookmarkEnd w:id="1141"/>
    </w:p>
    <w:p w14:paraId="020B5B96">
      <w:pPr>
        <w:ind w:firstLine="422" w:firstLineChars="200"/>
        <w:rPr>
          <w:color w:val="auto"/>
          <w:szCs w:val="24"/>
          <w:highlight w:val="none"/>
        </w:rPr>
      </w:pPr>
      <w:r>
        <w:rPr>
          <w:rFonts w:hint="eastAsia"/>
          <w:b/>
          <w:bCs/>
          <w:color w:val="auto"/>
          <w:szCs w:val="24"/>
          <w:highlight w:val="none"/>
        </w:rPr>
        <w:t>1</w:t>
      </w:r>
      <w:r>
        <w:rPr>
          <w:rFonts w:hint="eastAsia"/>
          <w:color w:val="auto"/>
          <w:szCs w:val="24"/>
          <w:highlight w:val="none"/>
        </w:rPr>
        <w:t xml:space="preserve">  材料、构配件、器具及半成品检验批不合格时不得使用；</w:t>
      </w:r>
    </w:p>
    <w:p w14:paraId="199369CB">
      <w:pPr>
        <w:ind w:firstLine="422" w:firstLineChars="200"/>
        <w:rPr>
          <w:color w:val="auto"/>
          <w:szCs w:val="24"/>
          <w:highlight w:val="none"/>
        </w:rPr>
      </w:pPr>
      <w:r>
        <w:rPr>
          <w:rFonts w:hint="eastAsia"/>
          <w:b/>
          <w:bCs/>
          <w:color w:val="auto"/>
          <w:szCs w:val="24"/>
          <w:highlight w:val="none"/>
        </w:rPr>
        <w:t>2</w:t>
      </w:r>
      <w:r>
        <w:rPr>
          <w:rFonts w:hint="eastAsia"/>
          <w:color w:val="auto"/>
          <w:szCs w:val="24"/>
          <w:highlight w:val="none"/>
        </w:rPr>
        <w:t xml:space="preserve">  模块单元出厂前、安装前及安装后质量不合格的检验批，应及时返工、返修，并重新组织验收</w:t>
      </w:r>
      <w:bookmarkStart w:id="1142" w:name="_Toc25098"/>
      <w:bookmarkStart w:id="1143" w:name="_Toc10098"/>
      <w:r>
        <w:rPr>
          <w:rFonts w:hint="eastAsia"/>
          <w:color w:val="auto"/>
          <w:szCs w:val="24"/>
          <w:highlight w:val="none"/>
        </w:rPr>
        <w:t>；</w:t>
      </w:r>
    </w:p>
    <w:p w14:paraId="669BDB3D">
      <w:pPr>
        <w:ind w:firstLine="422" w:firstLineChars="200"/>
        <w:rPr>
          <w:color w:val="auto"/>
          <w:szCs w:val="24"/>
          <w:highlight w:val="none"/>
        </w:rPr>
      </w:pPr>
      <w:r>
        <w:rPr>
          <w:rFonts w:hint="eastAsia"/>
          <w:b/>
          <w:bCs/>
          <w:color w:val="auto"/>
          <w:szCs w:val="24"/>
          <w:highlight w:val="none"/>
        </w:rPr>
        <w:t>3</w:t>
      </w:r>
      <w:r>
        <w:rPr>
          <w:rFonts w:hint="eastAsia"/>
          <w:color w:val="auto"/>
          <w:szCs w:val="24"/>
          <w:highlight w:val="none"/>
        </w:rPr>
        <w:t xml:space="preserve">  经检测单位检测鉴定，能够达到设计要求的检验批，应予以验收；</w:t>
      </w:r>
    </w:p>
    <w:p w14:paraId="15BBB1FC">
      <w:pPr>
        <w:ind w:firstLine="422" w:firstLineChars="200"/>
        <w:rPr>
          <w:color w:val="auto"/>
          <w:szCs w:val="24"/>
          <w:highlight w:val="none"/>
        </w:rPr>
      </w:pPr>
      <w:r>
        <w:rPr>
          <w:rFonts w:hint="eastAsia"/>
          <w:b/>
          <w:bCs/>
          <w:color w:val="auto"/>
          <w:szCs w:val="24"/>
          <w:highlight w:val="none"/>
        </w:rPr>
        <w:t xml:space="preserve">4  </w:t>
      </w:r>
      <w:r>
        <w:rPr>
          <w:rFonts w:hint="eastAsia"/>
          <w:color w:val="auto"/>
          <w:szCs w:val="24"/>
          <w:highlight w:val="none"/>
        </w:rPr>
        <w:t>经检测单位检测鉴定，达不到设计要求，但经原设计单位核算认可满足结构安全和使用功能的检验批，可予以验收；</w:t>
      </w:r>
    </w:p>
    <w:p w14:paraId="610D95FE">
      <w:pPr>
        <w:ind w:firstLine="422" w:firstLineChars="200"/>
        <w:rPr>
          <w:color w:val="auto"/>
          <w:szCs w:val="24"/>
          <w:highlight w:val="none"/>
        </w:rPr>
      </w:pPr>
      <w:r>
        <w:rPr>
          <w:rFonts w:hint="eastAsia"/>
          <w:b/>
          <w:bCs/>
          <w:color w:val="auto"/>
          <w:szCs w:val="24"/>
          <w:highlight w:val="none"/>
        </w:rPr>
        <w:t xml:space="preserve">5  </w:t>
      </w:r>
      <w:r>
        <w:rPr>
          <w:rFonts w:hint="eastAsia"/>
          <w:color w:val="auto"/>
          <w:szCs w:val="24"/>
          <w:highlight w:val="none"/>
        </w:rPr>
        <w:t>经返修或加固处理，能够满足结构安全使用要求的分项、分部工程，可根据技术处理方案和协商文件进行验收；</w:t>
      </w:r>
    </w:p>
    <w:p w14:paraId="3B8DCA2B">
      <w:pPr>
        <w:ind w:firstLine="422" w:firstLineChars="200"/>
        <w:rPr>
          <w:color w:val="auto"/>
          <w:szCs w:val="24"/>
          <w:highlight w:val="none"/>
        </w:rPr>
      </w:pPr>
      <w:r>
        <w:rPr>
          <w:rFonts w:hint="eastAsia"/>
          <w:b/>
          <w:bCs/>
          <w:color w:val="auto"/>
          <w:szCs w:val="24"/>
          <w:highlight w:val="none"/>
        </w:rPr>
        <w:t>6</w:t>
      </w:r>
      <w:r>
        <w:rPr>
          <w:rFonts w:hint="eastAsia"/>
          <w:color w:val="auto"/>
          <w:szCs w:val="24"/>
          <w:highlight w:val="none"/>
        </w:rPr>
        <w:t xml:space="preserve">  经返修或加固处理仍不能满足安全使用要求的分部工程，严禁验收。</w:t>
      </w:r>
    </w:p>
    <w:p w14:paraId="16BE4628">
      <w:pPr>
        <w:ind w:firstLine="0"/>
        <w:rPr>
          <w:color w:val="auto"/>
          <w:szCs w:val="24"/>
          <w:highlight w:val="none"/>
        </w:rPr>
      </w:pPr>
      <w:r>
        <w:rPr>
          <w:rFonts w:hint="eastAsia"/>
          <w:b/>
          <w:bCs/>
          <w:color w:val="auto"/>
          <w:highlight w:val="none"/>
        </w:rPr>
        <w:t>10.</w:t>
      </w:r>
      <w:r>
        <w:rPr>
          <w:b/>
          <w:bCs/>
          <w:color w:val="auto"/>
          <w:highlight w:val="none"/>
        </w:rPr>
        <w:t>1</w:t>
      </w:r>
      <w:r>
        <w:rPr>
          <w:rFonts w:hint="eastAsia"/>
          <w:b/>
          <w:bCs/>
          <w:color w:val="auto"/>
          <w:highlight w:val="none"/>
        </w:rPr>
        <w:t>.10</w:t>
      </w:r>
      <w:r>
        <w:rPr>
          <w:rFonts w:hint="eastAsia"/>
          <w:b/>
          <w:color w:val="auto"/>
          <w:szCs w:val="24"/>
          <w:highlight w:val="none"/>
        </w:rPr>
        <w:t xml:space="preserve"> </w:t>
      </w:r>
      <w:r>
        <w:rPr>
          <w:rFonts w:hint="eastAsia"/>
          <w:color w:val="auto"/>
          <w:szCs w:val="24"/>
          <w:highlight w:val="none"/>
        </w:rPr>
        <w:t xml:space="preserve"> 检验合格的预制模块成品，应在预制模块表面设有合格标识。预制模块出厂前应符合下列规定，方可出具附录C规定的预制模块出厂合格证</w:t>
      </w:r>
      <w:r>
        <w:rPr>
          <w:rFonts w:hint="eastAsia"/>
          <w:color w:val="auto"/>
          <w:szCs w:val="24"/>
          <w:highlight w:val="none"/>
          <w:lang w:eastAsia="zh-CN"/>
        </w:rPr>
        <w:t>：</w:t>
      </w:r>
      <w:bookmarkEnd w:id="1142"/>
      <w:bookmarkEnd w:id="1143"/>
    </w:p>
    <w:p w14:paraId="032650A2">
      <w:pPr>
        <w:ind w:firstLine="422" w:firstLineChars="200"/>
        <w:rPr>
          <w:color w:val="auto"/>
          <w:szCs w:val="24"/>
          <w:highlight w:val="none"/>
        </w:rPr>
      </w:pPr>
      <w:r>
        <w:rPr>
          <w:rFonts w:hint="eastAsia"/>
          <w:b/>
          <w:bCs/>
          <w:color w:val="auto"/>
          <w:szCs w:val="24"/>
          <w:highlight w:val="none"/>
        </w:rPr>
        <w:t>1</w:t>
      </w:r>
      <w:r>
        <w:rPr>
          <w:rFonts w:hint="eastAsia"/>
          <w:color w:val="auto"/>
          <w:szCs w:val="24"/>
          <w:highlight w:val="none"/>
        </w:rPr>
        <w:t xml:space="preserve">  所用原材料按批次检验合格；</w:t>
      </w:r>
    </w:p>
    <w:p w14:paraId="11ACD3DF">
      <w:pPr>
        <w:ind w:firstLine="422" w:firstLineChars="200"/>
        <w:rPr>
          <w:color w:val="auto"/>
          <w:szCs w:val="24"/>
          <w:highlight w:val="none"/>
        </w:rPr>
      </w:pPr>
      <w:r>
        <w:rPr>
          <w:rFonts w:hint="eastAsia"/>
          <w:b/>
          <w:bCs/>
          <w:color w:val="auto"/>
          <w:szCs w:val="24"/>
          <w:highlight w:val="none"/>
        </w:rPr>
        <w:t>2</w:t>
      </w:r>
      <w:r>
        <w:rPr>
          <w:rFonts w:hint="eastAsia"/>
          <w:color w:val="auto"/>
          <w:szCs w:val="24"/>
          <w:highlight w:val="none"/>
        </w:rPr>
        <w:t xml:space="preserve">  生产过程质量检验合格；</w:t>
      </w:r>
    </w:p>
    <w:p w14:paraId="35AEA3E2">
      <w:pPr>
        <w:ind w:firstLine="422" w:firstLineChars="200"/>
        <w:rPr>
          <w:color w:val="auto"/>
          <w:szCs w:val="24"/>
          <w:highlight w:val="none"/>
        </w:rPr>
      </w:pPr>
      <w:r>
        <w:rPr>
          <w:rFonts w:hint="eastAsia"/>
          <w:b/>
          <w:bCs/>
          <w:color w:val="auto"/>
          <w:szCs w:val="24"/>
          <w:highlight w:val="none"/>
        </w:rPr>
        <w:t xml:space="preserve">3 </w:t>
      </w:r>
      <w:r>
        <w:rPr>
          <w:rFonts w:hint="eastAsia"/>
          <w:color w:val="auto"/>
          <w:szCs w:val="24"/>
          <w:highlight w:val="none"/>
        </w:rPr>
        <w:t xml:space="preserve"> 成品质量检验合格；</w:t>
      </w:r>
    </w:p>
    <w:p w14:paraId="5F658325">
      <w:pPr>
        <w:ind w:firstLine="422" w:firstLineChars="200"/>
        <w:rPr>
          <w:color w:val="auto"/>
          <w:szCs w:val="24"/>
          <w:highlight w:val="none"/>
        </w:rPr>
      </w:pPr>
      <w:r>
        <w:rPr>
          <w:rFonts w:hint="eastAsia"/>
          <w:b/>
          <w:bCs/>
          <w:color w:val="auto"/>
          <w:szCs w:val="24"/>
          <w:highlight w:val="none"/>
        </w:rPr>
        <w:t xml:space="preserve">4 </w:t>
      </w:r>
      <w:r>
        <w:rPr>
          <w:rFonts w:hint="eastAsia"/>
          <w:color w:val="auto"/>
          <w:szCs w:val="24"/>
          <w:highlight w:val="none"/>
        </w:rPr>
        <w:t xml:space="preserve"> 各项质量检验记录可追溯。</w:t>
      </w:r>
    </w:p>
    <w:p w14:paraId="17AFB431">
      <w:pPr>
        <w:ind w:firstLine="0"/>
        <w:rPr>
          <w:color w:val="auto"/>
          <w:highlight w:val="none"/>
        </w:rPr>
      </w:pPr>
      <w:bookmarkStart w:id="1144" w:name="_Toc4314"/>
      <w:bookmarkStart w:id="1145" w:name="_Toc28122"/>
      <w:r>
        <w:rPr>
          <w:rFonts w:hint="eastAsia"/>
          <w:b/>
          <w:bCs/>
          <w:color w:val="auto"/>
          <w:highlight w:val="none"/>
        </w:rPr>
        <w:t>10.</w:t>
      </w:r>
      <w:r>
        <w:rPr>
          <w:b/>
          <w:bCs/>
          <w:color w:val="auto"/>
          <w:highlight w:val="none"/>
        </w:rPr>
        <w:t>1</w:t>
      </w:r>
      <w:r>
        <w:rPr>
          <w:rFonts w:hint="eastAsia"/>
          <w:b/>
          <w:bCs/>
          <w:color w:val="auto"/>
          <w:highlight w:val="none"/>
        </w:rPr>
        <w:t>.11</w:t>
      </w:r>
      <w:r>
        <w:rPr>
          <w:b/>
          <w:bCs/>
          <w:color w:val="auto"/>
          <w:highlight w:val="none"/>
        </w:rPr>
        <w:t xml:space="preserve">  </w:t>
      </w:r>
      <w:r>
        <w:rPr>
          <w:rFonts w:hint="eastAsia"/>
          <w:bCs/>
          <w:color w:val="auto"/>
          <w:highlight w:val="none"/>
        </w:rPr>
        <w:t>混凝土</w:t>
      </w:r>
      <w:r>
        <w:rPr>
          <w:rFonts w:hint="eastAsia"/>
          <w:color w:val="auto"/>
          <w:highlight w:val="none"/>
        </w:rPr>
        <w:t>模块化建筑主体结构验收时，应提供下列文件和记录：</w:t>
      </w:r>
      <w:bookmarkEnd w:id="1144"/>
      <w:bookmarkEnd w:id="1145"/>
    </w:p>
    <w:p w14:paraId="7291FCB7">
      <w:pPr>
        <w:ind w:firstLine="422" w:firstLineChars="200"/>
        <w:rPr>
          <w:color w:val="auto"/>
          <w:highlight w:val="none"/>
        </w:rPr>
      </w:pPr>
      <w:bookmarkStart w:id="1146" w:name="_Toc13525"/>
      <w:r>
        <w:rPr>
          <w:b/>
          <w:color w:val="auto"/>
          <w:highlight w:val="none"/>
        </w:rPr>
        <w:t xml:space="preserve">1  </w:t>
      </w:r>
      <w:r>
        <w:rPr>
          <w:rFonts w:hint="eastAsia"/>
          <w:color w:val="auto"/>
          <w:highlight w:val="none"/>
        </w:rPr>
        <w:t>工程设计文件、模块单元制作和安装的深化设计图；</w:t>
      </w:r>
      <w:bookmarkEnd w:id="1146"/>
    </w:p>
    <w:p w14:paraId="221ECABB">
      <w:pPr>
        <w:ind w:firstLine="422" w:firstLineChars="200"/>
        <w:rPr>
          <w:color w:val="auto"/>
          <w:highlight w:val="none"/>
        </w:rPr>
      </w:pPr>
      <w:r>
        <w:rPr>
          <w:b/>
          <w:color w:val="auto"/>
          <w:highlight w:val="none"/>
        </w:rPr>
        <w:t xml:space="preserve">2  </w:t>
      </w:r>
      <w:r>
        <w:rPr>
          <w:rFonts w:hint="eastAsia"/>
          <w:color w:val="auto"/>
          <w:highlight w:val="none"/>
        </w:rPr>
        <w:t>模块单元、主要材料及构配件的产品合格证、质量证明文件、进场验收记录、抽样复验报告；</w:t>
      </w:r>
    </w:p>
    <w:p w14:paraId="111AD802">
      <w:pPr>
        <w:ind w:firstLine="422" w:firstLineChars="200"/>
        <w:rPr>
          <w:color w:val="auto"/>
          <w:highlight w:val="none"/>
        </w:rPr>
      </w:pPr>
      <w:r>
        <w:rPr>
          <w:b/>
          <w:color w:val="auto"/>
          <w:highlight w:val="none"/>
        </w:rPr>
        <w:t xml:space="preserve">3  </w:t>
      </w:r>
      <w:r>
        <w:rPr>
          <w:rFonts w:hint="eastAsia"/>
          <w:color w:val="auto"/>
          <w:highlight w:val="none"/>
        </w:rPr>
        <w:t>模块单元生产制作隐蔽验收记录、安装施工记录；</w:t>
      </w:r>
    </w:p>
    <w:p w14:paraId="5158AA5E">
      <w:pPr>
        <w:ind w:firstLine="422" w:firstLineChars="200"/>
        <w:rPr>
          <w:color w:val="auto"/>
          <w:highlight w:val="none"/>
        </w:rPr>
      </w:pPr>
      <w:r>
        <w:rPr>
          <w:b/>
          <w:color w:val="auto"/>
          <w:highlight w:val="none"/>
        </w:rPr>
        <w:t xml:space="preserve">4  </w:t>
      </w:r>
      <w:r>
        <w:rPr>
          <w:rFonts w:hint="eastAsia"/>
          <w:color w:val="auto"/>
          <w:highlight w:val="none"/>
        </w:rPr>
        <w:t>现浇混凝土部位的隐蔽工程检查验收文件；</w:t>
      </w:r>
    </w:p>
    <w:p w14:paraId="09B1099A">
      <w:pPr>
        <w:ind w:firstLine="422" w:firstLineChars="200"/>
        <w:rPr>
          <w:color w:val="auto"/>
          <w:highlight w:val="none"/>
        </w:rPr>
      </w:pPr>
      <w:r>
        <w:rPr>
          <w:b/>
          <w:color w:val="auto"/>
          <w:highlight w:val="none"/>
        </w:rPr>
        <w:t xml:space="preserve">5  </w:t>
      </w:r>
      <w:r>
        <w:rPr>
          <w:rFonts w:hint="eastAsia"/>
          <w:color w:val="auto"/>
          <w:highlight w:val="none"/>
        </w:rPr>
        <w:t>现浇混凝土、灌浆料、坐浆料强度检测报告；</w:t>
      </w:r>
    </w:p>
    <w:p w14:paraId="537B80CB">
      <w:pPr>
        <w:ind w:firstLine="422" w:firstLineChars="200"/>
        <w:rPr>
          <w:color w:val="auto"/>
          <w:highlight w:val="none"/>
        </w:rPr>
      </w:pPr>
      <w:r>
        <w:rPr>
          <w:b/>
          <w:color w:val="auto"/>
          <w:highlight w:val="none"/>
        </w:rPr>
        <w:t xml:space="preserve">6  </w:t>
      </w:r>
      <w:r>
        <w:rPr>
          <w:rFonts w:hint="eastAsia"/>
          <w:color w:val="auto"/>
          <w:highlight w:val="none"/>
        </w:rPr>
        <w:t>墙模后浇混凝土的施工检验记录；</w:t>
      </w:r>
    </w:p>
    <w:p w14:paraId="3D6897E3">
      <w:pPr>
        <w:ind w:firstLine="422" w:firstLineChars="200"/>
        <w:rPr>
          <w:color w:val="auto"/>
          <w:highlight w:val="none"/>
        </w:rPr>
      </w:pPr>
      <w:r>
        <w:rPr>
          <w:b/>
          <w:color w:val="auto"/>
          <w:highlight w:val="none"/>
        </w:rPr>
        <w:t xml:space="preserve">7  </w:t>
      </w:r>
      <w:r>
        <w:rPr>
          <w:rFonts w:hint="eastAsia"/>
          <w:color w:val="auto"/>
          <w:highlight w:val="none"/>
        </w:rPr>
        <w:t>外墙防水施工质量检验记录；</w:t>
      </w:r>
    </w:p>
    <w:p w14:paraId="3369F030">
      <w:pPr>
        <w:ind w:firstLine="422" w:firstLineChars="200"/>
        <w:rPr>
          <w:color w:val="auto"/>
          <w:highlight w:val="none"/>
        </w:rPr>
      </w:pPr>
      <w:r>
        <w:rPr>
          <w:b/>
          <w:color w:val="auto"/>
          <w:highlight w:val="none"/>
        </w:rPr>
        <w:t xml:space="preserve">8  </w:t>
      </w:r>
      <w:r>
        <w:rPr>
          <w:rFonts w:hint="eastAsia"/>
          <w:color w:val="auto"/>
          <w:highlight w:val="none"/>
        </w:rPr>
        <w:t>混凝土模块化建筑工程的重大质量问题的处理方案和验收记录；</w:t>
      </w:r>
    </w:p>
    <w:p w14:paraId="4CA0B5F1">
      <w:pPr>
        <w:ind w:firstLine="422" w:firstLineChars="200"/>
        <w:rPr>
          <w:color w:val="auto"/>
          <w:highlight w:val="none"/>
        </w:rPr>
      </w:pPr>
      <w:bookmarkStart w:id="1147" w:name="_Toc27057"/>
      <w:r>
        <w:rPr>
          <w:rFonts w:hint="eastAsia"/>
          <w:b/>
          <w:color w:val="auto"/>
          <w:highlight w:val="none"/>
        </w:rPr>
        <w:t>9</w:t>
      </w:r>
      <w:r>
        <w:rPr>
          <w:b/>
          <w:color w:val="auto"/>
          <w:highlight w:val="none"/>
        </w:rPr>
        <w:t xml:space="preserve">  </w:t>
      </w:r>
      <w:r>
        <w:rPr>
          <w:rFonts w:hint="eastAsia"/>
          <w:color w:val="auto"/>
          <w:highlight w:val="none"/>
        </w:rPr>
        <w:t>混凝土模块化建筑工程的其他文件和记录。</w:t>
      </w:r>
      <w:bookmarkEnd w:id="1147"/>
    </w:p>
    <w:p w14:paraId="2F74E5D9">
      <w:pPr>
        <w:ind w:firstLine="0" w:firstLineChars="0"/>
        <w:rPr>
          <w:color w:val="auto"/>
          <w:highlight w:val="none"/>
        </w:rPr>
      </w:pPr>
      <w:r>
        <w:rPr>
          <w:b/>
          <w:bCs/>
          <w:color w:val="auto"/>
          <w:highlight w:val="none"/>
        </w:rPr>
        <w:t>10.1.12</w:t>
      </w:r>
      <w:r>
        <w:rPr>
          <w:rFonts w:hint="eastAsia"/>
          <w:b/>
          <w:color w:val="auto"/>
          <w:highlight w:val="none"/>
        </w:rPr>
        <w:t xml:space="preserve"> </w:t>
      </w:r>
      <w:r>
        <w:rPr>
          <w:rFonts w:hint="eastAsia"/>
          <w:color w:val="auto"/>
          <w:highlight w:val="none"/>
        </w:rPr>
        <w:t xml:space="preserve"> 室内环境的质量验收应在内装工程完成后进行，并应符合现行国家标准《民用建筑工程室内环境污染控制规范》GB50325的有关规定。</w:t>
      </w:r>
    </w:p>
    <w:p w14:paraId="7E738B36">
      <w:pPr>
        <w:ind w:firstLine="0"/>
        <w:rPr>
          <w:color w:val="auto"/>
          <w:highlight w:val="none"/>
        </w:rPr>
      </w:pPr>
      <w:r>
        <w:rPr>
          <w:b/>
          <w:bCs/>
          <w:color w:val="auto"/>
          <w:highlight w:val="none"/>
        </w:rPr>
        <w:t xml:space="preserve">10.1.13  </w:t>
      </w:r>
      <w:r>
        <w:rPr>
          <w:rFonts w:hint="eastAsia"/>
          <w:bCs/>
          <w:color w:val="auto"/>
          <w:highlight w:val="none"/>
        </w:rPr>
        <w:t>混凝土</w:t>
      </w:r>
      <w:r>
        <w:rPr>
          <w:rFonts w:hint="eastAsia"/>
          <w:color w:val="auto"/>
          <w:highlight w:val="none"/>
        </w:rPr>
        <w:t>模块化建筑竣工验收时，除满足主体结构验收资料要求外，还应满足现行国家标准《混凝土结构工程施工质量验收规范》GB50204、《建筑工程施工质量验收统一标准》GB50300</w:t>
      </w:r>
      <w:r>
        <w:rPr>
          <w:rFonts w:hint="eastAsia"/>
          <w:color w:val="auto"/>
          <w:highlight w:val="none"/>
          <w:lang w:eastAsia="zh-CN"/>
        </w:rPr>
        <w:t>、</w:t>
      </w:r>
      <w:r>
        <w:rPr>
          <w:rFonts w:hint="eastAsia"/>
          <w:color w:val="auto"/>
          <w:highlight w:val="none"/>
          <w:lang w:val="en-US" w:eastAsia="zh-CN"/>
        </w:rPr>
        <w:t>现行行业标准</w:t>
      </w:r>
      <w:r>
        <w:rPr>
          <w:rFonts w:hint="eastAsia"/>
          <w:color w:val="auto"/>
          <w:highlight w:val="none"/>
          <w:lang w:eastAsia="zh-CN"/>
        </w:rPr>
        <w:t>《</w:t>
      </w:r>
      <w:r>
        <w:rPr>
          <w:rFonts w:hint="eastAsia"/>
          <w:color w:val="auto"/>
          <w:highlight w:val="none"/>
          <w:lang w:val="en-US" w:eastAsia="zh-CN"/>
        </w:rPr>
        <w:t>装配式混凝土结构技术规程</w:t>
      </w:r>
      <w:r>
        <w:rPr>
          <w:rFonts w:hint="eastAsia"/>
          <w:color w:val="auto"/>
          <w:highlight w:val="none"/>
          <w:lang w:eastAsia="zh-CN"/>
        </w:rPr>
        <w:t>》</w:t>
      </w:r>
      <w:r>
        <w:rPr>
          <w:rFonts w:hint="eastAsia"/>
          <w:color w:val="auto"/>
          <w:highlight w:val="none"/>
          <w:lang w:val="en-US" w:eastAsia="zh-CN"/>
        </w:rPr>
        <w:t>JGJ 1</w:t>
      </w:r>
      <w:r>
        <w:rPr>
          <w:rFonts w:hint="eastAsia"/>
          <w:color w:val="auto"/>
          <w:highlight w:val="none"/>
        </w:rPr>
        <w:t>及</w:t>
      </w:r>
      <w:r>
        <w:rPr>
          <w:rFonts w:hint="eastAsia"/>
          <w:color w:val="auto"/>
          <w:highlight w:val="none"/>
          <w:lang w:eastAsia="zh-CN"/>
        </w:rPr>
        <w:t>《</w:t>
      </w:r>
      <w:r>
        <w:rPr>
          <w:rFonts w:hint="eastAsia"/>
          <w:color w:val="auto"/>
          <w:highlight w:val="none"/>
        </w:rPr>
        <w:t>广东省房屋建筑工程竣工验收技术资料统一用表</w:t>
      </w:r>
      <w:r>
        <w:rPr>
          <w:rFonts w:hint="eastAsia"/>
          <w:color w:val="auto"/>
          <w:highlight w:val="none"/>
          <w:lang w:eastAsia="zh-CN"/>
        </w:rPr>
        <w:t>》</w:t>
      </w:r>
      <w:r>
        <w:rPr>
          <w:rFonts w:hint="eastAsia"/>
          <w:color w:val="auto"/>
          <w:highlight w:val="none"/>
        </w:rPr>
        <w:t>等相关要求。</w:t>
      </w:r>
    </w:p>
    <w:p w14:paraId="3B5F32F8">
      <w:pPr>
        <w:ind w:firstLine="0"/>
        <w:rPr>
          <w:color w:val="auto"/>
          <w:highlight w:val="none"/>
        </w:rPr>
      </w:pPr>
      <w:r>
        <w:rPr>
          <w:b/>
          <w:bCs/>
          <w:color w:val="auto"/>
          <w:highlight w:val="none"/>
        </w:rPr>
        <w:t xml:space="preserve">10.1.14  </w:t>
      </w:r>
      <w:r>
        <w:rPr>
          <w:rFonts w:hint="eastAsia"/>
          <w:color w:val="auto"/>
          <w:highlight w:val="none"/>
        </w:rPr>
        <w:t>混凝土模块化建筑验收合格交付使用时，应提供房屋使用说明书，说明书中应涵盖房屋使用注意事项及维护管理相关要求。</w:t>
      </w:r>
    </w:p>
    <w:p w14:paraId="793450B7">
      <w:pPr>
        <w:pStyle w:val="3"/>
        <w:keepNext/>
        <w:keepLines/>
        <w:pageBreakBefore w:val="0"/>
        <w:widowControl w:val="0"/>
        <w:kinsoku/>
        <w:wordWrap/>
        <w:overflowPunct/>
        <w:topLinePunct w:val="0"/>
        <w:autoSpaceDE/>
        <w:autoSpaceDN/>
        <w:bidi w:val="0"/>
        <w:adjustRightInd/>
        <w:snapToGrid/>
        <w:spacing w:before="166" w:beforeLines="50" w:after="166" w:afterLines="50" w:line="360" w:lineRule="auto"/>
        <w:ind w:firstLine="0"/>
        <w:jc w:val="center"/>
        <w:textAlignment w:val="auto"/>
        <w:rPr>
          <w:rFonts w:ascii="Times New Roman" w:hAnsi="Times New Roman" w:eastAsia="黑体" w:cs="Times New Roman"/>
          <w:color w:val="auto"/>
          <w:sz w:val="24"/>
          <w:szCs w:val="24"/>
          <w:highlight w:val="none"/>
        </w:rPr>
      </w:pPr>
      <w:bookmarkStart w:id="1148" w:name="_Toc110958508"/>
      <w:bookmarkStart w:id="1149" w:name="_Toc110952740"/>
      <w:bookmarkStart w:id="1150" w:name="_Toc25326"/>
      <w:bookmarkStart w:id="1151" w:name="_Toc11187"/>
      <w:bookmarkStart w:id="1152" w:name="_Toc5796"/>
      <w:bookmarkStart w:id="1153" w:name="_Toc8983"/>
      <w:bookmarkStart w:id="1154" w:name="_Toc18980"/>
      <w:bookmarkStart w:id="1155" w:name="_Toc26066"/>
      <w:bookmarkStart w:id="1156" w:name="_Toc11617"/>
      <w:bookmarkStart w:id="1157" w:name="_Toc13628"/>
      <w:r>
        <w:rPr>
          <w:rFonts w:hint="eastAsia" w:ascii="Times New Roman" w:hAnsi="Times New Roman" w:eastAsia="黑体" w:cs="Times New Roman"/>
          <w:b/>
          <w:color w:val="auto"/>
          <w:sz w:val="24"/>
          <w:szCs w:val="24"/>
          <w:highlight w:val="none"/>
        </w:rPr>
        <w:t>10.</w:t>
      </w:r>
      <w:r>
        <w:rPr>
          <w:rFonts w:ascii="Times New Roman" w:hAnsi="Times New Roman" w:eastAsia="黑体" w:cs="Times New Roman"/>
          <w:b/>
          <w:color w:val="auto"/>
          <w:sz w:val="24"/>
          <w:szCs w:val="24"/>
          <w:highlight w:val="none"/>
        </w:rPr>
        <w:t>2</w:t>
      </w:r>
      <w:r>
        <w:rPr>
          <w:rFonts w:hint="eastAsia" w:ascii="Times New Roman" w:hAnsi="Times New Roman" w:eastAsia="黑体" w:cs="Times New Roman"/>
          <w:b/>
          <w:color w:val="auto"/>
          <w:sz w:val="24"/>
          <w:szCs w:val="24"/>
          <w:highlight w:val="none"/>
        </w:rPr>
        <w:t xml:space="preserve"> </w:t>
      </w:r>
      <w:r>
        <w:rPr>
          <w:rFonts w:hint="eastAsia" w:ascii="Times New Roman" w:hAnsi="Times New Roman" w:eastAsia="黑体" w:cs="Times New Roman"/>
          <w:color w:val="auto"/>
          <w:sz w:val="24"/>
          <w:szCs w:val="24"/>
          <w:highlight w:val="none"/>
        </w:rPr>
        <w:t xml:space="preserve"> 模块单元</w:t>
      </w:r>
      <w:bookmarkEnd w:id="1148"/>
      <w:bookmarkEnd w:id="1149"/>
      <w:r>
        <w:rPr>
          <w:rFonts w:hint="eastAsia" w:ascii="Times New Roman" w:hAnsi="Times New Roman" w:eastAsia="黑体" w:cs="Times New Roman"/>
          <w:color w:val="auto"/>
          <w:sz w:val="24"/>
          <w:szCs w:val="24"/>
          <w:highlight w:val="none"/>
        </w:rPr>
        <w:t>进场验收</w:t>
      </w:r>
      <w:bookmarkEnd w:id="1150"/>
      <w:bookmarkEnd w:id="1151"/>
      <w:bookmarkEnd w:id="1152"/>
      <w:bookmarkEnd w:id="1153"/>
      <w:bookmarkEnd w:id="1154"/>
      <w:bookmarkEnd w:id="1155"/>
      <w:bookmarkEnd w:id="1156"/>
      <w:bookmarkEnd w:id="1157"/>
    </w:p>
    <w:p w14:paraId="64E771A9">
      <w:pPr>
        <w:keepNext w:val="0"/>
        <w:keepLines w:val="0"/>
        <w:pageBreakBefore w:val="0"/>
        <w:widowControl w:val="0"/>
        <w:kinsoku/>
        <w:wordWrap/>
        <w:overflowPunct/>
        <w:topLinePunct w:val="0"/>
        <w:autoSpaceDE/>
        <w:autoSpaceDN/>
        <w:bidi w:val="0"/>
        <w:adjustRightInd/>
        <w:snapToGrid/>
        <w:spacing w:before="166" w:beforeLines="50" w:after="166" w:afterLines="50" w:line="360" w:lineRule="auto"/>
        <w:jc w:val="center"/>
        <w:textAlignment w:val="auto"/>
        <w:rPr>
          <w:rFonts w:hint="default" w:ascii="Times New Roman" w:hAnsi="Times New Roman" w:eastAsia="黑体" w:cs="Times New Roman"/>
          <w:b/>
          <w:bCs/>
          <w:color w:val="auto"/>
          <w:sz w:val="21"/>
          <w:szCs w:val="21"/>
          <w:highlight w:val="none"/>
        </w:rPr>
      </w:pPr>
      <w:r>
        <w:rPr>
          <w:rFonts w:hint="default" w:ascii="Times New Roman" w:hAnsi="Times New Roman" w:eastAsia="黑体" w:cs="Times New Roman"/>
          <w:b/>
          <w:bCs/>
          <w:color w:val="auto"/>
          <w:sz w:val="21"/>
          <w:szCs w:val="21"/>
          <w:highlight w:val="none"/>
          <w:lang w:val="en-US" w:eastAsia="zh-CN"/>
        </w:rPr>
        <w:t xml:space="preserve">I  </w:t>
      </w:r>
      <w:r>
        <w:rPr>
          <w:rFonts w:hint="default" w:ascii="Times New Roman" w:hAnsi="Times New Roman" w:eastAsia="黑体" w:cs="Times New Roman"/>
          <w:b/>
          <w:bCs/>
          <w:color w:val="auto"/>
          <w:sz w:val="21"/>
          <w:szCs w:val="21"/>
          <w:highlight w:val="none"/>
        </w:rPr>
        <w:t>主</w:t>
      </w:r>
      <w:r>
        <w:rPr>
          <w:rFonts w:hint="eastAsia" w:ascii="Times New Roman" w:hAnsi="Times New Roman" w:eastAsia="黑体" w:cs="Times New Roman"/>
          <w:b/>
          <w:bCs/>
          <w:color w:val="auto"/>
          <w:sz w:val="21"/>
          <w:szCs w:val="21"/>
          <w:highlight w:val="none"/>
          <w:lang w:val="en-US" w:eastAsia="zh-CN"/>
        </w:rPr>
        <w:t xml:space="preserve"> </w:t>
      </w:r>
      <w:r>
        <w:rPr>
          <w:rFonts w:hint="default" w:ascii="Times New Roman" w:hAnsi="Times New Roman" w:eastAsia="黑体" w:cs="Times New Roman"/>
          <w:b/>
          <w:bCs/>
          <w:color w:val="auto"/>
          <w:sz w:val="21"/>
          <w:szCs w:val="21"/>
          <w:highlight w:val="none"/>
        </w:rPr>
        <w:t>控</w:t>
      </w:r>
      <w:r>
        <w:rPr>
          <w:rFonts w:hint="eastAsia" w:ascii="Times New Roman" w:hAnsi="Times New Roman" w:eastAsia="黑体" w:cs="Times New Roman"/>
          <w:b/>
          <w:bCs/>
          <w:color w:val="auto"/>
          <w:sz w:val="21"/>
          <w:szCs w:val="21"/>
          <w:highlight w:val="none"/>
          <w:lang w:val="en-US" w:eastAsia="zh-CN"/>
        </w:rPr>
        <w:t xml:space="preserve"> </w:t>
      </w:r>
      <w:r>
        <w:rPr>
          <w:rFonts w:hint="default" w:ascii="Times New Roman" w:hAnsi="Times New Roman" w:eastAsia="黑体" w:cs="Times New Roman"/>
          <w:b/>
          <w:bCs/>
          <w:color w:val="auto"/>
          <w:sz w:val="21"/>
          <w:szCs w:val="21"/>
          <w:highlight w:val="none"/>
        </w:rPr>
        <w:t>项</w:t>
      </w:r>
      <w:r>
        <w:rPr>
          <w:rFonts w:hint="eastAsia" w:ascii="Times New Roman" w:hAnsi="Times New Roman" w:eastAsia="黑体" w:cs="Times New Roman"/>
          <w:b/>
          <w:bCs/>
          <w:color w:val="auto"/>
          <w:sz w:val="21"/>
          <w:szCs w:val="21"/>
          <w:highlight w:val="none"/>
          <w:lang w:val="en-US" w:eastAsia="zh-CN"/>
        </w:rPr>
        <w:t xml:space="preserve"> </w:t>
      </w:r>
      <w:r>
        <w:rPr>
          <w:rFonts w:hint="default" w:ascii="Times New Roman" w:hAnsi="Times New Roman" w:eastAsia="黑体" w:cs="Times New Roman"/>
          <w:b/>
          <w:bCs/>
          <w:color w:val="auto"/>
          <w:sz w:val="21"/>
          <w:szCs w:val="21"/>
          <w:highlight w:val="none"/>
        </w:rPr>
        <w:t>目</w:t>
      </w:r>
    </w:p>
    <w:p w14:paraId="2CDC2CDE">
      <w:pPr>
        <w:ind w:firstLine="0" w:firstLineChars="0"/>
        <w:rPr>
          <w:color w:val="auto"/>
          <w:highlight w:val="none"/>
        </w:rPr>
      </w:pPr>
      <w:r>
        <w:rPr>
          <w:rFonts w:hint="eastAsia"/>
          <w:b/>
          <w:color w:val="auto"/>
          <w:highlight w:val="none"/>
        </w:rPr>
        <w:t xml:space="preserve">10.2.1  </w:t>
      </w:r>
      <w:r>
        <w:rPr>
          <w:rFonts w:hint="eastAsia"/>
          <w:color w:val="auto"/>
          <w:highlight w:val="none"/>
        </w:rPr>
        <w:t>模块单元产品进场时，应检查模块单元的产品合格证、混凝土强度检验报告、钢筋套筒等工艺检验报告</w:t>
      </w:r>
      <w:r>
        <w:rPr>
          <w:rFonts w:hint="eastAsia"/>
          <w:color w:val="auto"/>
          <w:highlight w:val="none"/>
          <w:lang w:val="en-US" w:eastAsia="zh-CN"/>
        </w:rPr>
        <w:t>及</w:t>
      </w:r>
      <w:r>
        <w:rPr>
          <w:rFonts w:hint="eastAsia"/>
          <w:color w:val="auto"/>
          <w:highlight w:val="none"/>
        </w:rPr>
        <w:t>合同要求的其他质量证明文件。</w:t>
      </w:r>
    </w:p>
    <w:p w14:paraId="42D98052">
      <w:pPr>
        <w:ind w:firstLine="420" w:firstLineChars="200"/>
        <w:rPr>
          <w:color w:val="auto"/>
          <w:highlight w:val="none"/>
        </w:rPr>
      </w:pPr>
      <w:r>
        <w:rPr>
          <w:rFonts w:hint="eastAsia"/>
          <w:color w:val="auto"/>
          <w:highlight w:val="none"/>
        </w:rPr>
        <w:t>检查数量：全数检查。</w:t>
      </w:r>
    </w:p>
    <w:p w14:paraId="57C196DB">
      <w:pPr>
        <w:ind w:firstLine="420" w:firstLineChars="200"/>
        <w:rPr>
          <w:color w:val="auto"/>
          <w:highlight w:val="none"/>
        </w:rPr>
      </w:pPr>
      <w:r>
        <w:rPr>
          <w:rFonts w:hint="eastAsia"/>
          <w:color w:val="auto"/>
          <w:highlight w:val="none"/>
        </w:rPr>
        <w:t>检验方法：检查相关</w:t>
      </w:r>
      <w:r>
        <w:rPr>
          <w:rFonts w:hint="eastAsia"/>
          <w:color w:val="auto"/>
          <w:highlight w:val="none"/>
          <w:lang w:val="en-US" w:eastAsia="zh-CN"/>
        </w:rPr>
        <w:t>质量证明文件</w:t>
      </w:r>
      <w:r>
        <w:rPr>
          <w:rFonts w:hint="eastAsia"/>
          <w:color w:val="auto"/>
          <w:highlight w:val="none"/>
        </w:rPr>
        <w:t>。</w:t>
      </w:r>
    </w:p>
    <w:p w14:paraId="15715874">
      <w:pPr>
        <w:ind w:firstLine="0"/>
        <w:rPr>
          <w:color w:val="auto"/>
          <w:highlight w:val="none"/>
        </w:rPr>
      </w:pPr>
      <w:bookmarkStart w:id="1158" w:name="_Toc14194"/>
      <w:bookmarkStart w:id="1159" w:name="_Toc7015"/>
      <w:r>
        <w:rPr>
          <w:rFonts w:hint="eastAsia"/>
          <w:b/>
          <w:color w:val="auto"/>
          <w:highlight w:val="none"/>
        </w:rPr>
        <w:t>10.</w:t>
      </w:r>
      <w:r>
        <w:rPr>
          <w:b/>
          <w:color w:val="auto"/>
          <w:highlight w:val="none"/>
        </w:rPr>
        <w:t>2</w:t>
      </w:r>
      <w:r>
        <w:rPr>
          <w:rFonts w:hint="eastAsia"/>
          <w:b/>
          <w:color w:val="auto"/>
          <w:highlight w:val="none"/>
        </w:rPr>
        <w:t>.</w:t>
      </w:r>
      <w:r>
        <w:rPr>
          <w:rFonts w:hint="eastAsia"/>
          <w:b/>
          <w:color w:val="auto"/>
          <w:highlight w:val="none"/>
          <w:lang w:val="en-US" w:eastAsia="zh-CN"/>
        </w:rPr>
        <w:t>2</w:t>
      </w:r>
      <w:r>
        <w:rPr>
          <w:b/>
          <w:color w:val="auto"/>
          <w:highlight w:val="none"/>
        </w:rPr>
        <w:t xml:space="preserve">  </w:t>
      </w:r>
      <w:r>
        <w:rPr>
          <w:rFonts w:hint="eastAsia"/>
          <w:color w:val="auto"/>
          <w:highlight w:val="none"/>
        </w:rPr>
        <w:t>模块单元的混凝土外观质量不应有严重缺陷，且不应有影响结构性能、安装和使用功能的尺寸偏差。</w:t>
      </w:r>
      <w:bookmarkEnd w:id="1158"/>
      <w:bookmarkEnd w:id="1159"/>
    </w:p>
    <w:p w14:paraId="5EF34169">
      <w:pPr>
        <w:ind w:firstLine="420" w:firstLineChars="200"/>
        <w:rPr>
          <w:color w:val="auto"/>
          <w:highlight w:val="none"/>
        </w:rPr>
      </w:pPr>
      <w:r>
        <w:rPr>
          <w:rFonts w:hint="eastAsia"/>
          <w:color w:val="auto"/>
          <w:highlight w:val="none"/>
        </w:rPr>
        <w:t>检查数量：全数检查。</w:t>
      </w:r>
    </w:p>
    <w:p w14:paraId="3F3D8C9C">
      <w:pPr>
        <w:ind w:firstLine="420" w:firstLineChars="200"/>
        <w:rPr>
          <w:color w:val="auto"/>
          <w:highlight w:val="none"/>
        </w:rPr>
      </w:pPr>
      <w:r>
        <w:rPr>
          <w:rFonts w:hint="eastAsia"/>
          <w:color w:val="auto"/>
          <w:highlight w:val="none"/>
        </w:rPr>
        <w:t>检验方法：观察、尺量；检查处理记录。</w:t>
      </w:r>
    </w:p>
    <w:p w14:paraId="26054A25">
      <w:pPr>
        <w:ind w:firstLine="0"/>
        <w:rPr>
          <w:color w:val="auto"/>
          <w:highlight w:val="none"/>
        </w:rPr>
      </w:pPr>
      <w:bookmarkStart w:id="1160" w:name="_Toc25581"/>
      <w:bookmarkStart w:id="1161" w:name="_Toc29670"/>
      <w:r>
        <w:rPr>
          <w:rFonts w:hint="eastAsia"/>
          <w:b/>
          <w:color w:val="auto"/>
          <w:highlight w:val="none"/>
        </w:rPr>
        <w:t>10.</w:t>
      </w:r>
      <w:r>
        <w:rPr>
          <w:b/>
          <w:color w:val="auto"/>
          <w:highlight w:val="none"/>
        </w:rPr>
        <w:t>2</w:t>
      </w:r>
      <w:r>
        <w:rPr>
          <w:rFonts w:hint="eastAsia"/>
          <w:b/>
          <w:color w:val="auto"/>
          <w:highlight w:val="none"/>
        </w:rPr>
        <w:t>.</w:t>
      </w:r>
      <w:r>
        <w:rPr>
          <w:rFonts w:hint="eastAsia"/>
          <w:b/>
          <w:color w:val="auto"/>
          <w:highlight w:val="none"/>
          <w:lang w:val="en-US" w:eastAsia="zh-CN"/>
        </w:rPr>
        <w:t>3</w:t>
      </w:r>
      <w:r>
        <w:rPr>
          <w:b/>
          <w:color w:val="auto"/>
          <w:highlight w:val="none"/>
        </w:rPr>
        <w:t xml:space="preserve">  </w:t>
      </w:r>
      <w:r>
        <w:rPr>
          <w:rFonts w:hint="eastAsia"/>
          <w:color w:val="auto"/>
          <w:highlight w:val="none"/>
        </w:rPr>
        <w:t>模块上的预埋件的材料质量、规格和数量以及预留孔洞的数量应符合设计要求。</w:t>
      </w:r>
      <w:bookmarkEnd w:id="1160"/>
      <w:bookmarkEnd w:id="1161"/>
    </w:p>
    <w:p w14:paraId="2DCF108C">
      <w:pPr>
        <w:ind w:firstLine="420" w:firstLineChars="200"/>
        <w:rPr>
          <w:rFonts w:hint="eastAsia" w:eastAsia="宋体"/>
          <w:color w:val="auto"/>
          <w:highlight w:val="none"/>
          <w:lang w:eastAsia="zh-CN"/>
        </w:rPr>
      </w:pPr>
      <w:r>
        <w:rPr>
          <w:rFonts w:hint="eastAsia"/>
          <w:color w:val="auto"/>
          <w:highlight w:val="none"/>
        </w:rPr>
        <w:t>检查数量：全数检查</w:t>
      </w:r>
      <w:r>
        <w:rPr>
          <w:rFonts w:hint="eastAsia"/>
          <w:color w:val="auto"/>
          <w:highlight w:val="none"/>
          <w:lang w:eastAsia="zh-CN"/>
        </w:rPr>
        <w:t>。</w:t>
      </w:r>
    </w:p>
    <w:p w14:paraId="06058F15">
      <w:pPr>
        <w:ind w:firstLine="420" w:firstLineChars="200"/>
        <w:rPr>
          <w:rFonts w:hint="eastAsia" w:eastAsia="宋体"/>
          <w:color w:val="auto"/>
          <w:highlight w:val="none"/>
          <w:lang w:eastAsia="zh-CN"/>
        </w:rPr>
      </w:pPr>
      <w:r>
        <w:rPr>
          <w:rFonts w:hint="eastAsia"/>
          <w:color w:val="auto"/>
          <w:highlight w:val="none"/>
        </w:rPr>
        <w:t>检验方法：观察、尺量；检查产品合格证</w:t>
      </w:r>
      <w:r>
        <w:rPr>
          <w:rFonts w:hint="eastAsia"/>
          <w:color w:val="auto"/>
          <w:highlight w:val="none"/>
          <w:lang w:eastAsia="zh-CN"/>
        </w:rPr>
        <w:t>。</w:t>
      </w:r>
    </w:p>
    <w:p w14:paraId="5303653B">
      <w:pPr>
        <w:ind w:firstLine="0" w:firstLineChars="0"/>
        <w:rPr>
          <w:rFonts w:hint="eastAsia"/>
          <w:color w:val="auto"/>
          <w:highlight w:val="none"/>
          <w:lang w:val="en-US" w:eastAsia="zh-CN"/>
        </w:rPr>
      </w:pPr>
      <w:r>
        <w:rPr>
          <w:rFonts w:hint="eastAsia"/>
          <w:b/>
          <w:color w:val="auto"/>
          <w:highlight w:val="none"/>
          <w:lang w:val="en-US" w:eastAsia="zh-CN"/>
        </w:rPr>
        <w:t xml:space="preserve">10.2.4 </w:t>
      </w:r>
      <w:r>
        <w:rPr>
          <w:rFonts w:hint="eastAsia"/>
          <w:color w:val="auto"/>
          <w:highlight w:val="none"/>
          <w:lang w:val="en-US" w:eastAsia="zh-CN"/>
        </w:rPr>
        <w:t xml:space="preserve"> 模块单元表面预贴饰面砖、石材等饰面与混凝土的粘结性能应符合设计和国家现行有关标准的规定。</w:t>
      </w:r>
    </w:p>
    <w:p w14:paraId="2971E0DF">
      <w:pPr>
        <w:ind w:firstLine="420" w:firstLineChars="200"/>
        <w:rPr>
          <w:rFonts w:hint="eastAsia" w:eastAsia="宋体"/>
          <w:color w:val="auto"/>
          <w:highlight w:val="none"/>
          <w:lang w:eastAsia="zh-CN"/>
        </w:rPr>
      </w:pPr>
      <w:r>
        <w:rPr>
          <w:rFonts w:hint="eastAsia"/>
          <w:color w:val="auto"/>
          <w:highlight w:val="none"/>
        </w:rPr>
        <w:t>检查数量：</w:t>
      </w:r>
      <w:r>
        <w:rPr>
          <w:rFonts w:hint="eastAsia"/>
          <w:color w:val="auto"/>
          <w:highlight w:val="none"/>
          <w:lang w:val="en-US" w:eastAsia="zh-CN"/>
        </w:rPr>
        <w:t>按批检查。</w:t>
      </w:r>
    </w:p>
    <w:p w14:paraId="2AB4E8C6">
      <w:pPr>
        <w:ind w:firstLine="420" w:firstLineChars="200"/>
        <w:rPr>
          <w:rFonts w:hint="default" w:eastAsia="宋体"/>
          <w:color w:val="auto"/>
          <w:highlight w:val="none"/>
          <w:lang w:val="en-US" w:eastAsia="zh-CN"/>
        </w:rPr>
      </w:pPr>
      <w:r>
        <w:rPr>
          <w:rFonts w:hint="eastAsia"/>
          <w:color w:val="auto"/>
          <w:highlight w:val="none"/>
        </w:rPr>
        <w:t>检验方法：</w:t>
      </w:r>
      <w:r>
        <w:rPr>
          <w:rFonts w:hint="eastAsia"/>
          <w:color w:val="auto"/>
          <w:highlight w:val="none"/>
          <w:lang w:val="en-US" w:eastAsia="zh-CN"/>
        </w:rPr>
        <w:t>检查拉拔强度检验报告。</w:t>
      </w:r>
    </w:p>
    <w:p w14:paraId="1F92003A">
      <w:pPr>
        <w:ind w:firstLine="420" w:firstLineChars="200"/>
        <w:rPr>
          <w:rFonts w:hint="default"/>
          <w:color w:val="auto"/>
          <w:highlight w:val="none"/>
          <w:lang w:val="en-US" w:eastAsia="zh-CN"/>
        </w:rPr>
      </w:pPr>
    </w:p>
    <w:p w14:paraId="2099EE1F">
      <w:pPr>
        <w:keepNext w:val="0"/>
        <w:keepLines w:val="0"/>
        <w:pageBreakBefore w:val="0"/>
        <w:widowControl w:val="0"/>
        <w:kinsoku/>
        <w:wordWrap/>
        <w:overflowPunct/>
        <w:topLinePunct w:val="0"/>
        <w:autoSpaceDE/>
        <w:autoSpaceDN/>
        <w:bidi w:val="0"/>
        <w:adjustRightInd/>
        <w:snapToGrid/>
        <w:spacing w:before="166" w:beforeLines="50" w:after="166" w:afterLines="50" w:line="360" w:lineRule="auto"/>
        <w:jc w:val="center"/>
        <w:textAlignment w:val="auto"/>
        <w:rPr>
          <w:rFonts w:hint="default" w:ascii="Times New Roman" w:hAnsi="Times New Roman" w:eastAsia="黑体" w:cs="Times New Roman"/>
          <w:b/>
          <w:bCs/>
          <w:color w:val="auto"/>
          <w:sz w:val="21"/>
          <w:szCs w:val="21"/>
          <w:highlight w:val="none"/>
        </w:rPr>
      </w:pPr>
      <w:r>
        <w:rPr>
          <w:rFonts w:hint="eastAsia" w:eastAsia="黑体" w:cs="Times New Roman"/>
          <w:b/>
          <w:bCs/>
          <w:color w:val="auto"/>
          <w:sz w:val="21"/>
          <w:szCs w:val="21"/>
          <w:highlight w:val="none"/>
          <w:lang w:val="en-US" w:eastAsia="zh-CN"/>
        </w:rPr>
        <w:t>II</w:t>
      </w:r>
      <w:r>
        <w:rPr>
          <w:rFonts w:hint="default" w:ascii="Times New Roman" w:hAnsi="Times New Roman" w:eastAsia="黑体" w:cs="Times New Roman"/>
          <w:b/>
          <w:bCs/>
          <w:color w:val="auto"/>
          <w:sz w:val="21"/>
          <w:szCs w:val="21"/>
          <w:highlight w:val="none"/>
          <w:lang w:val="en-US" w:eastAsia="zh-CN"/>
        </w:rPr>
        <w:t xml:space="preserve">  </w:t>
      </w:r>
      <w:r>
        <w:rPr>
          <w:rFonts w:hint="eastAsia" w:eastAsia="黑体" w:cs="Times New Roman"/>
          <w:b/>
          <w:bCs/>
          <w:color w:val="auto"/>
          <w:sz w:val="21"/>
          <w:szCs w:val="21"/>
          <w:highlight w:val="none"/>
          <w:lang w:val="en-US" w:eastAsia="zh-CN"/>
        </w:rPr>
        <w:t>一 般</w:t>
      </w:r>
      <w:r>
        <w:rPr>
          <w:rFonts w:hint="eastAsia" w:ascii="Times New Roman" w:hAnsi="Times New Roman" w:eastAsia="黑体" w:cs="Times New Roman"/>
          <w:b/>
          <w:bCs/>
          <w:color w:val="auto"/>
          <w:sz w:val="21"/>
          <w:szCs w:val="21"/>
          <w:highlight w:val="none"/>
          <w:lang w:val="en-US" w:eastAsia="zh-CN"/>
        </w:rPr>
        <w:t xml:space="preserve"> </w:t>
      </w:r>
      <w:r>
        <w:rPr>
          <w:rFonts w:hint="default" w:ascii="Times New Roman" w:hAnsi="Times New Roman" w:eastAsia="黑体" w:cs="Times New Roman"/>
          <w:b/>
          <w:bCs/>
          <w:color w:val="auto"/>
          <w:sz w:val="21"/>
          <w:szCs w:val="21"/>
          <w:highlight w:val="none"/>
        </w:rPr>
        <w:t>项</w:t>
      </w:r>
      <w:r>
        <w:rPr>
          <w:rFonts w:hint="eastAsia" w:ascii="Times New Roman" w:hAnsi="Times New Roman" w:eastAsia="黑体" w:cs="Times New Roman"/>
          <w:b/>
          <w:bCs/>
          <w:color w:val="auto"/>
          <w:sz w:val="21"/>
          <w:szCs w:val="21"/>
          <w:highlight w:val="none"/>
          <w:lang w:val="en-US" w:eastAsia="zh-CN"/>
        </w:rPr>
        <w:t xml:space="preserve"> </w:t>
      </w:r>
      <w:r>
        <w:rPr>
          <w:rFonts w:hint="default" w:ascii="Times New Roman" w:hAnsi="Times New Roman" w:eastAsia="黑体" w:cs="Times New Roman"/>
          <w:b/>
          <w:bCs/>
          <w:color w:val="auto"/>
          <w:sz w:val="21"/>
          <w:szCs w:val="21"/>
          <w:highlight w:val="none"/>
        </w:rPr>
        <w:t>目</w:t>
      </w:r>
    </w:p>
    <w:p w14:paraId="223CDA73">
      <w:pPr>
        <w:ind w:firstLine="0"/>
        <w:rPr>
          <w:color w:val="auto"/>
          <w:szCs w:val="24"/>
          <w:highlight w:val="none"/>
        </w:rPr>
      </w:pPr>
      <w:r>
        <w:rPr>
          <w:rFonts w:hint="eastAsia"/>
          <w:b/>
          <w:color w:val="auto"/>
          <w:szCs w:val="22"/>
          <w:highlight w:val="none"/>
          <w:lang w:val="en-US" w:eastAsia="zh-CN"/>
        </w:rPr>
        <w:t xml:space="preserve">10.2.5  </w:t>
      </w:r>
      <w:r>
        <w:rPr>
          <w:rFonts w:hint="eastAsia"/>
          <w:color w:val="auto"/>
          <w:szCs w:val="24"/>
          <w:highlight w:val="none"/>
        </w:rPr>
        <w:t>模块单元应在明显</w:t>
      </w:r>
      <w:r>
        <w:rPr>
          <w:rFonts w:hint="eastAsia"/>
          <w:bCs/>
          <w:color w:val="auto"/>
          <w:highlight w:val="none"/>
        </w:rPr>
        <w:t>部位</w:t>
      </w:r>
      <w:r>
        <w:rPr>
          <w:rFonts w:hint="eastAsia"/>
          <w:color w:val="auto"/>
          <w:szCs w:val="24"/>
          <w:highlight w:val="none"/>
        </w:rPr>
        <w:t>标明生产单位、项目名称、模块型号、生产日期、安装部位、安装方向、</w:t>
      </w:r>
      <w:r>
        <w:rPr>
          <w:rFonts w:hint="eastAsia"/>
          <w:color w:val="auto"/>
          <w:szCs w:val="24"/>
          <w:highlight w:val="none"/>
          <w:lang w:val="en-US" w:eastAsia="zh-CN"/>
        </w:rPr>
        <w:t>产品</w:t>
      </w:r>
      <w:r>
        <w:rPr>
          <w:rFonts w:hint="eastAsia"/>
          <w:color w:val="auto"/>
          <w:szCs w:val="24"/>
          <w:highlight w:val="none"/>
        </w:rPr>
        <w:t>合格标志等内容。</w:t>
      </w:r>
    </w:p>
    <w:p w14:paraId="7BCDA215">
      <w:pPr>
        <w:ind w:firstLine="420" w:firstLineChars="200"/>
        <w:rPr>
          <w:color w:val="auto"/>
          <w:szCs w:val="24"/>
          <w:highlight w:val="none"/>
        </w:rPr>
      </w:pPr>
      <w:r>
        <w:rPr>
          <w:rFonts w:hint="eastAsia"/>
          <w:color w:val="auto"/>
          <w:szCs w:val="24"/>
          <w:highlight w:val="none"/>
        </w:rPr>
        <w:t>检查数量：全数检查。</w:t>
      </w:r>
    </w:p>
    <w:p w14:paraId="011E018E">
      <w:pPr>
        <w:ind w:firstLine="420" w:firstLineChars="200"/>
        <w:rPr>
          <w:rFonts w:hint="eastAsia"/>
          <w:color w:val="auto"/>
          <w:szCs w:val="24"/>
          <w:highlight w:val="none"/>
        </w:rPr>
      </w:pPr>
      <w:r>
        <w:rPr>
          <w:rFonts w:hint="eastAsia"/>
          <w:color w:val="auto"/>
          <w:szCs w:val="24"/>
          <w:highlight w:val="none"/>
        </w:rPr>
        <w:t>检验方法：观察</w:t>
      </w:r>
      <w:r>
        <w:rPr>
          <w:rFonts w:hint="eastAsia"/>
          <w:color w:val="auto"/>
          <w:szCs w:val="24"/>
          <w:highlight w:val="none"/>
          <w:lang w:eastAsia="zh-CN"/>
        </w:rPr>
        <w:t>，</w:t>
      </w:r>
      <w:r>
        <w:rPr>
          <w:rFonts w:hint="eastAsia"/>
          <w:color w:val="auto"/>
          <w:szCs w:val="24"/>
          <w:highlight w:val="none"/>
        </w:rPr>
        <w:t>检查</w:t>
      </w:r>
      <w:r>
        <w:rPr>
          <w:rFonts w:hint="eastAsia"/>
          <w:color w:val="auto"/>
          <w:szCs w:val="24"/>
          <w:highlight w:val="none"/>
          <w:lang w:val="en-US" w:eastAsia="zh-CN"/>
        </w:rPr>
        <w:t>模块标识</w:t>
      </w:r>
      <w:r>
        <w:rPr>
          <w:rFonts w:hint="eastAsia"/>
          <w:color w:val="auto"/>
          <w:szCs w:val="24"/>
          <w:highlight w:val="none"/>
        </w:rPr>
        <w:t>。</w:t>
      </w:r>
    </w:p>
    <w:p w14:paraId="05118F38">
      <w:pPr>
        <w:ind w:firstLine="0"/>
        <w:rPr>
          <w:color w:val="auto"/>
          <w:highlight w:val="none"/>
        </w:rPr>
      </w:pPr>
      <w:r>
        <w:rPr>
          <w:rFonts w:hint="eastAsia"/>
          <w:b/>
          <w:color w:val="auto"/>
          <w:highlight w:val="none"/>
        </w:rPr>
        <w:t>10.</w:t>
      </w:r>
      <w:r>
        <w:rPr>
          <w:b/>
          <w:color w:val="auto"/>
          <w:highlight w:val="none"/>
        </w:rPr>
        <w:t>2</w:t>
      </w:r>
      <w:r>
        <w:rPr>
          <w:rFonts w:hint="eastAsia"/>
          <w:b/>
          <w:color w:val="auto"/>
          <w:highlight w:val="none"/>
        </w:rPr>
        <w:t>.</w:t>
      </w:r>
      <w:r>
        <w:rPr>
          <w:rFonts w:hint="eastAsia"/>
          <w:b/>
          <w:color w:val="auto"/>
          <w:highlight w:val="none"/>
          <w:lang w:val="en-US" w:eastAsia="zh-CN"/>
        </w:rPr>
        <w:t>6</w:t>
      </w:r>
      <w:r>
        <w:rPr>
          <w:b/>
          <w:color w:val="auto"/>
          <w:highlight w:val="none"/>
        </w:rPr>
        <w:t xml:space="preserve">  </w:t>
      </w:r>
      <w:r>
        <w:rPr>
          <w:rFonts w:hint="eastAsia"/>
          <w:color w:val="auto"/>
          <w:highlight w:val="none"/>
        </w:rPr>
        <w:t>模块</w:t>
      </w:r>
      <w:r>
        <w:rPr>
          <w:rFonts w:hint="eastAsia"/>
          <w:bCs/>
          <w:color w:val="auto"/>
          <w:highlight w:val="none"/>
        </w:rPr>
        <w:t>单元</w:t>
      </w:r>
      <w:r>
        <w:rPr>
          <w:rFonts w:hint="eastAsia"/>
          <w:color w:val="auto"/>
          <w:highlight w:val="none"/>
        </w:rPr>
        <w:t>外观质量不应有一般缺陷，对出现的一般缺陷应要求模块生产单位按技术处理方案进行处理，并重新检查验收。</w:t>
      </w:r>
    </w:p>
    <w:p w14:paraId="232FFD31">
      <w:pPr>
        <w:ind w:firstLine="420" w:firstLineChars="200"/>
        <w:rPr>
          <w:color w:val="auto"/>
          <w:highlight w:val="none"/>
        </w:rPr>
      </w:pPr>
      <w:r>
        <w:rPr>
          <w:rFonts w:hint="eastAsia"/>
          <w:color w:val="auto"/>
          <w:highlight w:val="none"/>
        </w:rPr>
        <w:t>检查数量：全数检查。</w:t>
      </w:r>
    </w:p>
    <w:p w14:paraId="240BC2D2">
      <w:pPr>
        <w:ind w:firstLine="420" w:firstLineChars="200"/>
        <w:rPr>
          <w:color w:val="auto"/>
          <w:highlight w:val="none"/>
        </w:rPr>
      </w:pPr>
      <w:r>
        <w:rPr>
          <w:rFonts w:hint="eastAsia"/>
          <w:color w:val="auto"/>
          <w:highlight w:val="none"/>
        </w:rPr>
        <w:t>检验方法：观察，检查技术处理方案和处理记录。</w:t>
      </w:r>
    </w:p>
    <w:p w14:paraId="2C980FC2">
      <w:pPr>
        <w:ind w:firstLine="0"/>
        <w:rPr>
          <w:color w:val="auto"/>
          <w:highlight w:val="none"/>
        </w:rPr>
      </w:pPr>
      <w:r>
        <w:rPr>
          <w:rFonts w:hint="eastAsia"/>
          <w:b/>
          <w:color w:val="auto"/>
          <w:highlight w:val="none"/>
        </w:rPr>
        <w:t>10.</w:t>
      </w:r>
      <w:r>
        <w:rPr>
          <w:b/>
          <w:color w:val="auto"/>
          <w:highlight w:val="none"/>
        </w:rPr>
        <w:t>2</w:t>
      </w:r>
      <w:r>
        <w:rPr>
          <w:rFonts w:hint="eastAsia"/>
          <w:b/>
          <w:color w:val="auto"/>
          <w:highlight w:val="none"/>
          <w:lang w:val="en-US" w:eastAsia="zh-CN"/>
        </w:rPr>
        <w:t>.7</w:t>
      </w:r>
      <w:r>
        <w:rPr>
          <w:b/>
          <w:color w:val="auto"/>
          <w:highlight w:val="none"/>
        </w:rPr>
        <w:t xml:space="preserve">  </w:t>
      </w:r>
      <w:r>
        <w:rPr>
          <w:rFonts w:hint="eastAsia"/>
          <w:color w:val="auto"/>
          <w:highlight w:val="none"/>
        </w:rPr>
        <w:t>模块单元粗糙面的外观质量、键槽的外观质量和数量应符合设计要求。</w:t>
      </w:r>
    </w:p>
    <w:p w14:paraId="15F034F7">
      <w:pPr>
        <w:ind w:firstLine="420" w:firstLineChars="200"/>
        <w:rPr>
          <w:color w:val="auto"/>
          <w:highlight w:val="none"/>
        </w:rPr>
      </w:pPr>
      <w:r>
        <w:rPr>
          <w:rFonts w:hint="eastAsia"/>
          <w:color w:val="auto"/>
          <w:highlight w:val="none"/>
        </w:rPr>
        <w:t>检查数量：全数检查。</w:t>
      </w:r>
    </w:p>
    <w:p w14:paraId="49378823">
      <w:pPr>
        <w:ind w:firstLine="420" w:firstLineChars="200"/>
        <w:rPr>
          <w:color w:val="auto"/>
          <w:highlight w:val="none"/>
        </w:rPr>
      </w:pPr>
      <w:r>
        <w:rPr>
          <w:rFonts w:hint="eastAsia"/>
          <w:color w:val="auto"/>
          <w:highlight w:val="none"/>
        </w:rPr>
        <w:t>检验方法：观察，量测。</w:t>
      </w:r>
    </w:p>
    <w:p w14:paraId="5A63FD0B">
      <w:pPr>
        <w:ind w:firstLine="0"/>
        <w:rPr>
          <w:color w:val="auto"/>
          <w:highlight w:val="none"/>
        </w:rPr>
      </w:pPr>
      <w:bookmarkStart w:id="1162" w:name="_Toc24318"/>
      <w:bookmarkStart w:id="1163" w:name="_Toc21161"/>
      <w:r>
        <w:rPr>
          <w:rFonts w:hint="eastAsia"/>
          <w:b/>
          <w:color w:val="auto"/>
          <w:highlight w:val="none"/>
        </w:rPr>
        <w:t>10.</w:t>
      </w:r>
      <w:r>
        <w:rPr>
          <w:b/>
          <w:color w:val="auto"/>
          <w:highlight w:val="none"/>
        </w:rPr>
        <w:t>2</w:t>
      </w:r>
      <w:r>
        <w:rPr>
          <w:rFonts w:hint="eastAsia"/>
          <w:b/>
          <w:color w:val="auto"/>
          <w:highlight w:val="none"/>
        </w:rPr>
        <w:t>.</w:t>
      </w:r>
      <w:r>
        <w:rPr>
          <w:rFonts w:hint="eastAsia"/>
          <w:b/>
          <w:color w:val="auto"/>
          <w:highlight w:val="none"/>
          <w:lang w:eastAsia="zh-CN"/>
        </w:rPr>
        <w:t>8</w:t>
      </w:r>
      <w:r>
        <w:rPr>
          <w:b/>
          <w:color w:val="auto"/>
          <w:highlight w:val="none"/>
        </w:rPr>
        <w:t xml:space="preserve">  </w:t>
      </w:r>
      <w:r>
        <w:rPr>
          <w:rFonts w:hint="eastAsia"/>
          <w:color w:val="auto"/>
          <w:highlight w:val="none"/>
        </w:rPr>
        <w:t>模块单元外形尺寸</w:t>
      </w:r>
      <w:r>
        <w:rPr>
          <w:rFonts w:hint="eastAsia"/>
          <w:bCs/>
          <w:color w:val="auto"/>
          <w:highlight w:val="none"/>
        </w:rPr>
        <w:t>偏差</w:t>
      </w:r>
      <w:r>
        <w:rPr>
          <w:rFonts w:hint="eastAsia"/>
          <w:color w:val="auto"/>
          <w:highlight w:val="none"/>
        </w:rPr>
        <w:t>和检验方法应分别符合</w:t>
      </w:r>
      <w:r>
        <w:rPr>
          <w:rFonts w:hint="eastAsia"/>
          <w:color w:val="auto"/>
          <w:highlight w:val="none"/>
          <w:lang w:eastAsia="zh-CN"/>
        </w:rPr>
        <w:t>本标准</w:t>
      </w:r>
      <w:r>
        <w:rPr>
          <w:rFonts w:hint="eastAsia"/>
          <w:color w:val="auto"/>
          <w:highlight w:val="none"/>
        </w:rPr>
        <w:t>表8.8.5的规定。</w:t>
      </w:r>
      <w:bookmarkEnd w:id="1162"/>
      <w:bookmarkEnd w:id="1163"/>
    </w:p>
    <w:p w14:paraId="387F6E3B">
      <w:pPr>
        <w:ind w:firstLine="420" w:firstLineChars="200"/>
        <w:rPr>
          <w:rFonts w:hint="eastAsia" w:eastAsia="宋体"/>
          <w:color w:val="auto"/>
          <w:highlight w:val="none"/>
          <w:lang w:val="en-US" w:eastAsia="zh-CN"/>
        </w:rPr>
      </w:pPr>
      <w:r>
        <w:rPr>
          <w:rFonts w:hint="eastAsia"/>
          <w:color w:val="auto"/>
          <w:highlight w:val="none"/>
        </w:rPr>
        <w:t>检查数量：全数检查</w:t>
      </w:r>
      <w:r>
        <w:rPr>
          <w:rFonts w:hint="eastAsia"/>
          <w:color w:val="auto"/>
          <w:highlight w:val="none"/>
          <w:lang w:eastAsia="zh-CN"/>
        </w:rPr>
        <w:t>。</w:t>
      </w:r>
      <w:r>
        <w:rPr>
          <w:rFonts w:hint="eastAsia"/>
          <w:color w:val="auto"/>
          <w:highlight w:val="none"/>
          <w:lang w:val="en-US" w:eastAsia="zh-CN"/>
        </w:rPr>
        <w:t xml:space="preserve"> </w:t>
      </w:r>
    </w:p>
    <w:p w14:paraId="2912F55D">
      <w:pPr>
        <w:ind w:firstLine="420" w:firstLineChars="200"/>
        <w:rPr>
          <w:color w:val="auto"/>
          <w:highlight w:val="none"/>
        </w:rPr>
      </w:pPr>
      <w:r>
        <w:rPr>
          <w:rFonts w:hint="eastAsia"/>
          <w:color w:val="auto"/>
          <w:highlight w:val="none"/>
        </w:rPr>
        <w:t>检验方法：观察，量测。</w:t>
      </w:r>
    </w:p>
    <w:p w14:paraId="72FDD149">
      <w:pPr>
        <w:ind w:firstLine="0"/>
        <w:rPr>
          <w:color w:val="auto"/>
          <w:highlight w:val="none"/>
        </w:rPr>
      </w:pPr>
      <w:r>
        <w:rPr>
          <w:rFonts w:hint="eastAsia"/>
          <w:b/>
          <w:color w:val="auto"/>
          <w:highlight w:val="none"/>
        </w:rPr>
        <w:t>10.</w:t>
      </w:r>
      <w:r>
        <w:rPr>
          <w:b/>
          <w:color w:val="auto"/>
          <w:highlight w:val="none"/>
        </w:rPr>
        <w:t>2</w:t>
      </w:r>
      <w:r>
        <w:rPr>
          <w:rFonts w:hint="eastAsia"/>
          <w:b/>
          <w:color w:val="auto"/>
          <w:highlight w:val="none"/>
        </w:rPr>
        <w:t>.</w:t>
      </w:r>
      <w:r>
        <w:rPr>
          <w:rFonts w:hint="eastAsia"/>
          <w:b/>
          <w:color w:val="auto"/>
          <w:highlight w:val="none"/>
          <w:lang w:val="en-US" w:eastAsia="zh-CN"/>
        </w:rPr>
        <w:t>9</w:t>
      </w:r>
      <w:r>
        <w:rPr>
          <w:rFonts w:hint="eastAsia"/>
          <w:b/>
          <w:color w:val="auto"/>
          <w:highlight w:val="none"/>
        </w:rPr>
        <w:t xml:space="preserve"> </w:t>
      </w:r>
      <w:r>
        <w:rPr>
          <w:rFonts w:hint="eastAsia"/>
          <w:color w:val="auto"/>
          <w:highlight w:val="none"/>
        </w:rPr>
        <w:t xml:space="preserve"> 模块单元上的金属波纹管、注浆管内不应有杂物。</w:t>
      </w:r>
    </w:p>
    <w:p w14:paraId="08BE8075">
      <w:pPr>
        <w:ind w:firstLine="420" w:firstLineChars="200"/>
        <w:rPr>
          <w:rFonts w:hint="eastAsia" w:eastAsia="宋体"/>
          <w:color w:val="auto"/>
          <w:highlight w:val="none"/>
          <w:lang w:eastAsia="zh-CN"/>
        </w:rPr>
      </w:pPr>
      <w:r>
        <w:rPr>
          <w:rFonts w:hint="eastAsia"/>
          <w:color w:val="auto"/>
          <w:highlight w:val="none"/>
        </w:rPr>
        <w:t>检查数量：全数检查</w:t>
      </w:r>
      <w:r>
        <w:rPr>
          <w:rFonts w:hint="eastAsia"/>
          <w:color w:val="auto"/>
          <w:highlight w:val="none"/>
          <w:lang w:eastAsia="zh-CN"/>
        </w:rPr>
        <w:t>。</w:t>
      </w:r>
    </w:p>
    <w:p w14:paraId="7CD986A7">
      <w:pPr>
        <w:ind w:firstLine="420" w:firstLineChars="200"/>
        <w:rPr>
          <w:rFonts w:hint="eastAsia" w:eastAsia="宋体"/>
          <w:color w:val="auto"/>
          <w:highlight w:val="none"/>
          <w:lang w:eastAsia="zh-CN"/>
        </w:rPr>
      </w:pPr>
      <w:r>
        <w:rPr>
          <w:rFonts w:hint="eastAsia"/>
          <w:color w:val="auto"/>
          <w:highlight w:val="none"/>
        </w:rPr>
        <w:t>检验方法：观察</w:t>
      </w:r>
      <w:r>
        <w:rPr>
          <w:rFonts w:hint="eastAsia"/>
          <w:color w:val="auto"/>
          <w:highlight w:val="none"/>
          <w:lang w:eastAsia="zh-CN"/>
        </w:rPr>
        <w:t>。</w:t>
      </w:r>
    </w:p>
    <w:p w14:paraId="0F4B5C7B">
      <w:pPr>
        <w:ind w:firstLine="0"/>
        <w:rPr>
          <w:color w:val="auto"/>
          <w:szCs w:val="24"/>
          <w:highlight w:val="none"/>
        </w:rPr>
      </w:pPr>
      <w:bookmarkStart w:id="1164" w:name="_Toc370"/>
      <w:bookmarkStart w:id="1165" w:name="_Toc21101"/>
      <w:r>
        <w:rPr>
          <w:rFonts w:hint="eastAsia"/>
          <w:b/>
          <w:color w:val="auto"/>
          <w:szCs w:val="24"/>
          <w:highlight w:val="none"/>
        </w:rPr>
        <w:t>10.</w:t>
      </w:r>
      <w:r>
        <w:rPr>
          <w:b/>
          <w:color w:val="auto"/>
          <w:szCs w:val="24"/>
          <w:highlight w:val="none"/>
        </w:rPr>
        <w:t>2</w:t>
      </w:r>
      <w:r>
        <w:rPr>
          <w:rFonts w:hint="eastAsia"/>
          <w:b/>
          <w:color w:val="auto"/>
          <w:szCs w:val="24"/>
          <w:highlight w:val="none"/>
        </w:rPr>
        <w:t>.</w:t>
      </w:r>
      <w:r>
        <w:rPr>
          <w:rFonts w:hint="eastAsia"/>
          <w:b/>
          <w:color w:val="auto"/>
          <w:szCs w:val="24"/>
          <w:highlight w:val="none"/>
          <w:lang w:val="en-US" w:eastAsia="zh-CN"/>
        </w:rPr>
        <w:t>10</w:t>
      </w:r>
      <w:r>
        <w:rPr>
          <w:rFonts w:hint="eastAsia"/>
          <w:b/>
          <w:color w:val="auto"/>
          <w:szCs w:val="24"/>
          <w:highlight w:val="none"/>
        </w:rPr>
        <w:t xml:space="preserve">  </w:t>
      </w:r>
      <w:r>
        <w:rPr>
          <w:rFonts w:hint="eastAsia"/>
          <w:color w:val="auto"/>
          <w:szCs w:val="24"/>
          <w:highlight w:val="none"/>
        </w:rPr>
        <w:t>模块单元的饰面质量应符合设计要求，并应符合国家标准《建筑装饰装修工程质量验收规范》GB 50210 的有关规定。</w:t>
      </w:r>
      <w:bookmarkEnd w:id="1164"/>
      <w:bookmarkEnd w:id="1165"/>
    </w:p>
    <w:p w14:paraId="616D3798">
      <w:pPr>
        <w:ind w:firstLine="420" w:firstLineChars="200"/>
        <w:rPr>
          <w:rFonts w:hint="eastAsia" w:eastAsia="宋体"/>
          <w:color w:val="auto"/>
          <w:szCs w:val="24"/>
          <w:highlight w:val="none"/>
          <w:lang w:eastAsia="zh-CN"/>
        </w:rPr>
      </w:pPr>
      <w:r>
        <w:rPr>
          <w:rFonts w:hint="eastAsia"/>
          <w:color w:val="auto"/>
          <w:szCs w:val="24"/>
          <w:highlight w:val="none"/>
        </w:rPr>
        <w:t>检查数量：全数检查</w:t>
      </w:r>
      <w:r>
        <w:rPr>
          <w:rFonts w:hint="eastAsia"/>
          <w:color w:val="auto"/>
          <w:szCs w:val="24"/>
          <w:highlight w:val="none"/>
          <w:lang w:eastAsia="zh-CN"/>
        </w:rPr>
        <w:t>。</w:t>
      </w:r>
    </w:p>
    <w:p w14:paraId="28FF97EC">
      <w:pPr>
        <w:ind w:firstLine="420" w:firstLineChars="200"/>
        <w:rPr>
          <w:rFonts w:hint="eastAsia" w:eastAsia="宋体"/>
          <w:color w:val="auto"/>
          <w:szCs w:val="24"/>
          <w:highlight w:val="none"/>
          <w:lang w:eastAsia="zh-CN"/>
        </w:rPr>
      </w:pPr>
      <w:r>
        <w:rPr>
          <w:rFonts w:hint="eastAsia"/>
          <w:color w:val="auto"/>
          <w:szCs w:val="24"/>
          <w:highlight w:val="none"/>
        </w:rPr>
        <w:t>检验方法：检查质量证明文件或设计文件</w:t>
      </w:r>
      <w:r>
        <w:rPr>
          <w:rFonts w:hint="eastAsia"/>
          <w:color w:val="auto"/>
          <w:szCs w:val="24"/>
          <w:highlight w:val="none"/>
          <w:lang w:eastAsia="zh-CN"/>
        </w:rPr>
        <w:t>。</w:t>
      </w:r>
    </w:p>
    <w:p w14:paraId="6595EA2B">
      <w:pPr>
        <w:pStyle w:val="3"/>
        <w:keepNext/>
        <w:keepLines/>
        <w:pageBreakBefore w:val="0"/>
        <w:widowControl w:val="0"/>
        <w:kinsoku/>
        <w:wordWrap/>
        <w:overflowPunct/>
        <w:topLinePunct w:val="0"/>
        <w:autoSpaceDE/>
        <w:autoSpaceDN/>
        <w:bidi w:val="0"/>
        <w:adjustRightInd/>
        <w:snapToGrid/>
        <w:spacing w:before="166" w:beforeLines="50" w:after="166" w:afterLines="50" w:line="360" w:lineRule="auto"/>
        <w:ind w:firstLine="0"/>
        <w:jc w:val="center"/>
        <w:textAlignment w:val="auto"/>
        <w:rPr>
          <w:rFonts w:ascii="Times New Roman" w:hAnsi="Times New Roman" w:eastAsia="黑体" w:cs="Times New Roman"/>
          <w:color w:val="auto"/>
          <w:sz w:val="24"/>
          <w:szCs w:val="24"/>
          <w:highlight w:val="none"/>
        </w:rPr>
      </w:pPr>
      <w:bookmarkStart w:id="1166" w:name="_Toc110952741"/>
      <w:bookmarkStart w:id="1167" w:name="_Toc20009"/>
      <w:bookmarkStart w:id="1168" w:name="_Toc22214"/>
      <w:bookmarkStart w:id="1169" w:name="_Toc12903"/>
      <w:bookmarkStart w:id="1170" w:name="_Toc21027"/>
      <w:bookmarkStart w:id="1171" w:name="_Toc31385"/>
      <w:bookmarkStart w:id="1172" w:name="_Toc20242"/>
      <w:bookmarkStart w:id="1173" w:name="_Toc110958509"/>
      <w:bookmarkStart w:id="1174" w:name="_Toc19841"/>
      <w:bookmarkStart w:id="1175" w:name="_Toc11092"/>
      <w:r>
        <w:rPr>
          <w:rFonts w:hint="eastAsia" w:ascii="Times New Roman" w:hAnsi="Times New Roman" w:eastAsia="黑体" w:cs="Times New Roman"/>
          <w:b/>
          <w:color w:val="auto"/>
          <w:sz w:val="24"/>
          <w:szCs w:val="24"/>
          <w:highlight w:val="none"/>
        </w:rPr>
        <w:t>10.</w:t>
      </w:r>
      <w:r>
        <w:rPr>
          <w:rFonts w:ascii="Times New Roman" w:hAnsi="Times New Roman" w:eastAsia="黑体" w:cs="Times New Roman"/>
          <w:b/>
          <w:color w:val="auto"/>
          <w:sz w:val="24"/>
          <w:szCs w:val="24"/>
          <w:highlight w:val="none"/>
        </w:rPr>
        <w:t>3</w:t>
      </w:r>
      <w:r>
        <w:rPr>
          <w:rFonts w:hint="eastAsia" w:ascii="Times New Roman" w:hAnsi="Times New Roman" w:eastAsia="黑体" w:cs="Times New Roman"/>
          <w:b/>
          <w:color w:val="auto"/>
          <w:sz w:val="24"/>
          <w:szCs w:val="24"/>
          <w:highlight w:val="none"/>
        </w:rPr>
        <w:t xml:space="preserve"> </w:t>
      </w:r>
      <w:r>
        <w:rPr>
          <w:rFonts w:hint="eastAsia" w:ascii="Times New Roman" w:hAnsi="Times New Roman" w:eastAsia="黑体" w:cs="Times New Roman"/>
          <w:color w:val="auto"/>
          <w:sz w:val="24"/>
          <w:szCs w:val="24"/>
          <w:highlight w:val="none"/>
        </w:rPr>
        <w:t xml:space="preserve"> 模块单元安装与连接</w:t>
      </w:r>
      <w:bookmarkEnd w:id="1166"/>
      <w:bookmarkEnd w:id="1167"/>
      <w:bookmarkEnd w:id="1168"/>
      <w:bookmarkEnd w:id="1169"/>
      <w:bookmarkEnd w:id="1170"/>
      <w:bookmarkEnd w:id="1171"/>
      <w:bookmarkEnd w:id="1172"/>
      <w:bookmarkEnd w:id="1173"/>
      <w:bookmarkEnd w:id="1174"/>
      <w:bookmarkEnd w:id="1175"/>
    </w:p>
    <w:p w14:paraId="6A179CA8">
      <w:pPr>
        <w:keepNext w:val="0"/>
        <w:keepLines w:val="0"/>
        <w:pageBreakBefore w:val="0"/>
        <w:widowControl w:val="0"/>
        <w:kinsoku/>
        <w:wordWrap/>
        <w:overflowPunct/>
        <w:topLinePunct w:val="0"/>
        <w:autoSpaceDE/>
        <w:autoSpaceDN/>
        <w:bidi w:val="0"/>
        <w:adjustRightInd/>
        <w:snapToGrid/>
        <w:spacing w:before="166" w:beforeLines="50" w:after="166" w:afterLines="50" w:line="360" w:lineRule="auto"/>
        <w:jc w:val="center"/>
        <w:textAlignment w:val="auto"/>
        <w:rPr>
          <w:rFonts w:hint="default" w:ascii="Times New Roman" w:hAnsi="Times New Roman" w:eastAsia="黑体" w:cs="Times New Roman"/>
          <w:b/>
          <w:bCs/>
          <w:color w:val="auto"/>
          <w:sz w:val="21"/>
          <w:szCs w:val="21"/>
          <w:highlight w:val="none"/>
        </w:rPr>
      </w:pPr>
      <w:bookmarkStart w:id="1176" w:name="_Toc29017"/>
      <w:bookmarkStart w:id="1177" w:name="_Toc35"/>
      <w:r>
        <w:rPr>
          <w:rFonts w:hint="default" w:ascii="Times New Roman" w:hAnsi="Times New Roman" w:eastAsia="黑体" w:cs="Times New Roman"/>
          <w:b/>
          <w:bCs/>
          <w:color w:val="auto"/>
          <w:sz w:val="21"/>
          <w:szCs w:val="21"/>
          <w:highlight w:val="none"/>
          <w:lang w:val="en-US" w:eastAsia="zh-CN"/>
        </w:rPr>
        <w:t xml:space="preserve">I  </w:t>
      </w:r>
      <w:r>
        <w:rPr>
          <w:rFonts w:hint="default" w:ascii="Times New Roman" w:hAnsi="Times New Roman" w:eastAsia="黑体" w:cs="Times New Roman"/>
          <w:b/>
          <w:bCs/>
          <w:color w:val="auto"/>
          <w:sz w:val="21"/>
          <w:szCs w:val="21"/>
          <w:highlight w:val="none"/>
        </w:rPr>
        <w:t>主</w:t>
      </w:r>
      <w:r>
        <w:rPr>
          <w:rFonts w:hint="eastAsia" w:ascii="Times New Roman" w:hAnsi="Times New Roman" w:eastAsia="黑体" w:cs="Times New Roman"/>
          <w:b/>
          <w:bCs/>
          <w:color w:val="auto"/>
          <w:sz w:val="21"/>
          <w:szCs w:val="21"/>
          <w:highlight w:val="none"/>
          <w:lang w:val="en-US" w:eastAsia="zh-CN"/>
        </w:rPr>
        <w:t xml:space="preserve"> </w:t>
      </w:r>
      <w:r>
        <w:rPr>
          <w:rFonts w:hint="default" w:ascii="Times New Roman" w:hAnsi="Times New Roman" w:eastAsia="黑体" w:cs="Times New Roman"/>
          <w:b/>
          <w:bCs/>
          <w:color w:val="auto"/>
          <w:sz w:val="21"/>
          <w:szCs w:val="21"/>
          <w:highlight w:val="none"/>
        </w:rPr>
        <w:t>控</w:t>
      </w:r>
      <w:r>
        <w:rPr>
          <w:rFonts w:hint="eastAsia" w:ascii="Times New Roman" w:hAnsi="Times New Roman" w:eastAsia="黑体" w:cs="Times New Roman"/>
          <w:b/>
          <w:bCs/>
          <w:color w:val="auto"/>
          <w:sz w:val="21"/>
          <w:szCs w:val="21"/>
          <w:highlight w:val="none"/>
          <w:lang w:val="en-US" w:eastAsia="zh-CN"/>
        </w:rPr>
        <w:t xml:space="preserve"> </w:t>
      </w:r>
      <w:r>
        <w:rPr>
          <w:rFonts w:hint="default" w:ascii="Times New Roman" w:hAnsi="Times New Roman" w:eastAsia="黑体" w:cs="Times New Roman"/>
          <w:b/>
          <w:bCs/>
          <w:color w:val="auto"/>
          <w:sz w:val="21"/>
          <w:szCs w:val="21"/>
          <w:highlight w:val="none"/>
        </w:rPr>
        <w:t>项</w:t>
      </w:r>
      <w:r>
        <w:rPr>
          <w:rFonts w:hint="eastAsia" w:ascii="Times New Roman" w:hAnsi="Times New Roman" w:eastAsia="黑体" w:cs="Times New Roman"/>
          <w:b/>
          <w:bCs/>
          <w:color w:val="auto"/>
          <w:sz w:val="21"/>
          <w:szCs w:val="21"/>
          <w:highlight w:val="none"/>
          <w:lang w:val="en-US" w:eastAsia="zh-CN"/>
        </w:rPr>
        <w:t xml:space="preserve"> </w:t>
      </w:r>
      <w:r>
        <w:rPr>
          <w:rFonts w:hint="default" w:ascii="Times New Roman" w:hAnsi="Times New Roman" w:eastAsia="黑体" w:cs="Times New Roman"/>
          <w:b/>
          <w:bCs/>
          <w:color w:val="auto"/>
          <w:sz w:val="21"/>
          <w:szCs w:val="21"/>
          <w:highlight w:val="none"/>
        </w:rPr>
        <w:t>目</w:t>
      </w:r>
    </w:p>
    <w:p w14:paraId="30A157D1">
      <w:pPr>
        <w:ind w:firstLine="0"/>
        <w:rPr>
          <w:bCs/>
          <w:color w:val="auto"/>
          <w:highlight w:val="none"/>
        </w:rPr>
      </w:pPr>
      <w:r>
        <w:rPr>
          <w:rFonts w:hint="eastAsia"/>
          <w:b/>
          <w:bCs/>
          <w:color w:val="auto"/>
          <w:highlight w:val="none"/>
        </w:rPr>
        <w:t>10.</w:t>
      </w:r>
      <w:r>
        <w:rPr>
          <w:b/>
          <w:bCs/>
          <w:color w:val="auto"/>
          <w:highlight w:val="none"/>
        </w:rPr>
        <w:t>3</w:t>
      </w:r>
      <w:r>
        <w:rPr>
          <w:rFonts w:hint="eastAsia"/>
          <w:b/>
          <w:bCs/>
          <w:color w:val="auto"/>
          <w:highlight w:val="none"/>
        </w:rPr>
        <w:t xml:space="preserve">.1 </w:t>
      </w:r>
      <w:r>
        <w:rPr>
          <w:b/>
          <w:bCs/>
          <w:color w:val="auto"/>
          <w:highlight w:val="none"/>
        </w:rPr>
        <w:t xml:space="preserve"> </w:t>
      </w:r>
      <w:r>
        <w:rPr>
          <w:rFonts w:hint="eastAsia"/>
          <w:bCs/>
          <w:color w:val="auto"/>
          <w:highlight w:val="none"/>
        </w:rPr>
        <w:t>模块现浇结构连接节点及叠合构件浇筑混凝土前，应进行隐蔽工程验收。隐蔽工程验收应包括下列主要内容：</w:t>
      </w:r>
      <w:bookmarkEnd w:id="1176"/>
      <w:bookmarkEnd w:id="1177"/>
    </w:p>
    <w:p w14:paraId="2D2C54C6">
      <w:pPr>
        <w:ind w:firstLine="422" w:firstLineChars="200"/>
        <w:rPr>
          <w:bCs/>
          <w:color w:val="auto"/>
          <w:highlight w:val="none"/>
        </w:rPr>
      </w:pPr>
      <w:bookmarkStart w:id="1178" w:name="_Toc18337"/>
      <w:r>
        <w:rPr>
          <w:rFonts w:hint="eastAsia"/>
          <w:b/>
          <w:bCs/>
          <w:color w:val="auto"/>
          <w:highlight w:val="none"/>
        </w:rPr>
        <w:t>1</w:t>
      </w:r>
      <w:r>
        <w:rPr>
          <w:b/>
          <w:bCs/>
          <w:color w:val="auto"/>
          <w:highlight w:val="none"/>
        </w:rPr>
        <w:t xml:space="preserve">  </w:t>
      </w:r>
      <w:r>
        <w:rPr>
          <w:rFonts w:hint="eastAsia"/>
          <w:bCs/>
          <w:color w:val="auto"/>
          <w:highlight w:val="none"/>
        </w:rPr>
        <w:t>混凝土粗糙面的质量；</w:t>
      </w:r>
      <w:bookmarkEnd w:id="1178"/>
    </w:p>
    <w:p w14:paraId="5BB36107">
      <w:pPr>
        <w:ind w:firstLine="422" w:firstLineChars="200"/>
        <w:rPr>
          <w:bCs/>
          <w:color w:val="auto"/>
          <w:highlight w:val="none"/>
        </w:rPr>
      </w:pPr>
      <w:r>
        <w:rPr>
          <w:rFonts w:hint="eastAsia"/>
          <w:b/>
          <w:bCs/>
          <w:color w:val="auto"/>
          <w:highlight w:val="none"/>
        </w:rPr>
        <w:t>2</w:t>
      </w:r>
      <w:r>
        <w:rPr>
          <w:b/>
          <w:bCs/>
          <w:color w:val="auto"/>
          <w:highlight w:val="none"/>
        </w:rPr>
        <w:t xml:space="preserve">  </w:t>
      </w:r>
      <w:r>
        <w:rPr>
          <w:rFonts w:hint="eastAsia"/>
          <w:bCs/>
          <w:color w:val="auto"/>
          <w:highlight w:val="none"/>
        </w:rPr>
        <w:t>钢筋的牌号、规格、数量、位置、间距，箍筋弯钩的弯折角度及平直段长度；</w:t>
      </w:r>
    </w:p>
    <w:p w14:paraId="1BDEB473">
      <w:pPr>
        <w:ind w:firstLine="422" w:firstLineChars="200"/>
        <w:rPr>
          <w:bCs/>
          <w:color w:val="auto"/>
          <w:highlight w:val="none"/>
        </w:rPr>
      </w:pPr>
      <w:r>
        <w:rPr>
          <w:rFonts w:hint="eastAsia"/>
          <w:b/>
          <w:bCs/>
          <w:color w:val="auto"/>
          <w:highlight w:val="none"/>
        </w:rPr>
        <w:t>3</w:t>
      </w:r>
      <w:r>
        <w:rPr>
          <w:b/>
          <w:bCs/>
          <w:color w:val="auto"/>
          <w:highlight w:val="none"/>
        </w:rPr>
        <w:t xml:space="preserve">  </w:t>
      </w:r>
      <w:r>
        <w:rPr>
          <w:rFonts w:hint="eastAsia"/>
          <w:bCs/>
          <w:color w:val="auto"/>
          <w:highlight w:val="none"/>
        </w:rPr>
        <w:t>钢筋的连接方式、接头位置、接头数量、接头面积百分率、搭接长度、锚固方式及锚固长度；</w:t>
      </w:r>
    </w:p>
    <w:p w14:paraId="51201F67">
      <w:pPr>
        <w:ind w:firstLine="422" w:firstLineChars="200"/>
        <w:rPr>
          <w:bCs/>
          <w:color w:val="auto"/>
          <w:highlight w:val="none"/>
        </w:rPr>
      </w:pPr>
      <w:r>
        <w:rPr>
          <w:rFonts w:hint="eastAsia"/>
          <w:b/>
          <w:bCs/>
          <w:color w:val="auto"/>
          <w:highlight w:val="none"/>
        </w:rPr>
        <w:t>4</w:t>
      </w:r>
      <w:r>
        <w:rPr>
          <w:b/>
          <w:bCs/>
          <w:color w:val="auto"/>
          <w:highlight w:val="none"/>
        </w:rPr>
        <w:t xml:space="preserve">  </w:t>
      </w:r>
      <w:r>
        <w:rPr>
          <w:rFonts w:hint="eastAsia"/>
          <w:bCs/>
          <w:color w:val="auto"/>
          <w:highlight w:val="none"/>
        </w:rPr>
        <w:t>预埋件、预留管线的规格、数量、位置；</w:t>
      </w:r>
    </w:p>
    <w:p w14:paraId="5042DB53">
      <w:pPr>
        <w:ind w:firstLine="422" w:firstLineChars="200"/>
        <w:rPr>
          <w:bCs/>
          <w:color w:val="auto"/>
          <w:highlight w:val="none"/>
        </w:rPr>
      </w:pPr>
      <w:r>
        <w:rPr>
          <w:b/>
          <w:bCs/>
          <w:color w:val="auto"/>
          <w:highlight w:val="none"/>
        </w:rPr>
        <w:t xml:space="preserve">5  </w:t>
      </w:r>
      <w:r>
        <w:rPr>
          <w:rFonts w:hint="eastAsia"/>
          <w:bCs/>
          <w:color w:val="auto"/>
          <w:highlight w:val="none"/>
        </w:rPr>
        <w:t>其他隐蔽项目。</w:t>
      </w:r>
    </w:p>
    <w:p w14:paraId="797F5E30">
      <w:pPr>
        <w:ind w:firstLine="0"/>
        <w:rPr>
          <w:bCs/>
          <w:color w:val="auto"/>
          <w:highlight w:val="none"/>
        </w:rPr>
      </w:pPr>
      <w:bookmarkStart w:id="1179" w:name="_Toc23890"/>
      <w:bookmarkStart w:id="1180" w:name="_Toc32"/>
      <w:r>
        <w:rPr>
          <w:rFonts w:hint="eastAsia"/>
          <w:b/>
          <w:bCs/>
          <w:color w:val="auto"/>
          <w:highlight w:val="none"/>
        </w:rPr>
        <w:t>10.</w:t>
      </w:r>
      <w:r>
        <w:rPr>
          <w:b/>
          <w:bCs/>
          <w:color w:val="auto"/>
          <w:highlight w:val="none"/>
        </w:rPr>
        <w:t>3</w:t>
      </w:r>
      <w:r>
        <w:rPr>
          <w:rFonts w:hint="eastAsia"/>
          <w:b/>
          <w:bCs/>
          <w:color w:val="auto"/>
          <w:highlight w:val="none"/>
        </w:rPr>
        <w:t xml:space="preserve">.2 </w:t>
      </w:r>
      <w:r>
        <w:rPr>
          <w:b/>
          <w:bCs/>
          <w:color w:val="auto"/>
          <w:highlight w:val="none"/>
        </w:rPr>
        <w:t xml:space="preserve"> </w:t>
      </w:r>
      <w:r>
        <w:rPr>
          <w:rFonts w:hint="eastAsia"/>
          <w:bCs/>
          <w:color w:val="auto"/>
          <w:highlight w:val="none"/>
        </w:rPr>
        <w:t>采用后浇混凝土连接时，连接处后浇混凝土的强度应符合设计要求。</w:t>
      </w:r>
      <w:bookmarkEnd w:id="1179"/>
      <w:bookmarkEnd w:id="1180"/>
    </w:p>
    <w:p w14:paraId="70D437D8">
      <w:pPr>
        <w:ind w:firstLine="422"/>
        <w:rPr>
          <w:rFonts w:hint="eastAsia" w:eastAsia="宋体"/>
          <w:bCs/>
          <w:color w:val="auto"/>
          <w:highlight w:val="none"/>
          <w:lang w:eastAsia="zh-CN"/>
        </w:rPr>
      </w:pPr>
      <w:r>
        <w:rPr>
          <w:rFonts w:hint="eastAsia"/>
          <w:bCs/>
          <w:color w:val="auto"/>
          <w:highlight w:val="none"/>
        </w:rPr>
        <w:t>检查数量</w:t>
      </w:r>
      <w:r>
        <w:rPr>
          <w:rFonts w:hint="eastAsia"/>
          <w:bCs/>
          <w:color w:val="auto"/>
          <w:highlight w:val="none"/>
          <w:lang w:eastAsia="zh-CN"/>
        </w:rPr>
        <w:t>：</w:t>
      </w:r>
      <w:r>
        <w:rPr>
          <w:rFonts w:hint="eastAsia"/>
          <w:bCs/>
          <w:color w:val="auto"/>
          <w:highlight w:val="none"/>
        </w:rPr>
        <w:t>按批检验</w:t>
      </w:r>
      <w:r>
        <w:rPr>
          <w:rFonts w:hint="eastAsia"/>
          <w:bCs/>
          <w:color w:val="auto"/>
          <w:highlight w:val="none"/>
          <w:lang w:eastAsia="zh-CN"/>
        </w:rPr>
        <w:t>。</w:t>
      </w:r>
    </w:p>
    <w:p w14:paraId="1F28ABF1">
      <w:pPr>
        <w:ind w:firstLine="422"/>
        <w:rPr>
          <w:bCs/>
          <w:color w:val="auto"/>
          <w:highlight w:val="none"/>
        </w:rPr>
      </w:pPr>
      <w:r>
        <w:rPr>
          <w:rFonts w:hint="eastAsia"/>
          <w:bCs/>
          <w:color w:val="auto"/>
          <w:highlight w:val="none"/>
        </w:rPr>
        <w:t>检验方法：应符合现行国家标准《混凝土强度检验评定标准》GB/T</w:t>
      </w:r>
      <w:r>
        <w:rPr>
          <w:rFonts w:hint="eastAsia"/>
          <w:bCs/>
          <w:color w:val="auto"/>
          <w:highlight w:val="none"/>
          <w:lang w:val="en-US" w:eastAsia="zh-CN"/>
        </w:rPr>
        <w:t xml:space="preserve"> </w:t>
      </w:r>
      <w:r>
        <w:rPr>
          <w:rFonts w:hint="eastAsia"/>
          <w:bCs/>
          <w:color w:val="auto"/>
          <w:highlight w:val="none"/>
        </w:rPr>
        <w:t>50107的有关规定。</w:t>
      </w:r>
    </w:p>
    <w:p w14:paraId="2F447E50">
      <w:pPr>
        <w:ind w:firstLine="0"/>
        <w:rPr>
          <w:bCs/>
          <w:color w:val="auto"/>
          <w:highlight w:val="none"/>
        </w:rPr>
      </w:pPr>
      <w:bookmarkStart w:id="1181" w:name="_Toc11197"/>
      <w:bookmarkStart w:id="1182" w:name="_Toc10902"/>
      <w:r>
        <w:rPr>
          <w:rFonts w:hint="eastAsia"/>
          <w:b/>
          <w:color w:val="auto"/>
          <w:highlight w:val="none"/>
        </w:rPr>
        <w:t>10.</w:t>
      </w:r>
      <w:r>
        <w:rPr>
          <w:b/>
          <w:color w:val="auto"/>
          <w:highlight w:val="none"/>
        </w:rPr>
        <w:t>3</w:t>
      </w:r>
      <w:r>
        <w:rPr>
          <w:rFonts w:hint="eastAsia"/>
          <w:b/>
          <w:color w:val="auto"/>
          <w:highlight w:val="none"/>
        </w:rPr>
        <w:t>.</w:t>
      </w:r>
      <w:r>
        <w:rPr>
          <w:rFonts w:hint="eastAsia"/>
          <w:b/>
          <w:color w:val="auto"/>
          <w:highlight w:val="none"/>
          <w:lang w:eastAsia="zh-CN"/>
        </w:rPr>
        <w:t>3</w:t>
      </w:r>
      <w:r>
        <w:rPr>
          <w:b/>
          <w:color w:val="auto"/>
          <w:highlight w:val="none"/>
        </w:rPr>
        <w:t xml:space="preserve">  </w:t>
      </w:r>
      <w:r>
        <w:rPr>
          <w:rFonts w:hint="eastAsia"/>
          <w:bCs/>
          <w:color w:val="auto"/>
          <w:highlight w:val="none"/>
          <w:lang w:val="en-US" w:eastAsia="zh-CN"/>
        </w:rPr>
        <w:t>模块</w:t>
      </w:r>
      <w:r>
        <w:rPr>
          <w:rFonts w:hint="eastAsia"/>
          <w:color w:val="auto"/>
          <w:highlight w:val="none"/>
        </w:rPr>
        <w:t>现浇结构使用</w:t>
      </w:r>
      <w:r>
        <w:rPr>
          <w:rFonts w:hint="eastAsia"/>
          <w:bCs/>
          <w:color w:val="auto"/>
          <w:highlight w:val="none"/>
        </w:rPr>
        <w:t>梁模、墙模、柱模或</w:t>
      </w:r>
      <w:r>
        <w:rPr>
          <w:rFonts w:hint="eastAsia"/>
          <w:color w:val="auto"/>
          <w:szCs w:val="21"/>
          <w:highlight w:val="none"/>
        </w:rPr>
        <w:t>金属波纹管</w:t>
      </w:r>
      <w:r>
        <w:rPr>
          <w:rFonts w:hint="eastAsia"/>
          <w:color w:val="auto"/>
          <w:highlight w:val="none"/>
        </w:rPr>
        <w:t>作为模板进行浇筑时，混凝土应浇筑密实：</w:t>
      </w:r>
      <w:bookmarkEnd w:id="1181"/>
      <w:bookmarkEnd w:id="1182"/>
    </w:p>
    <w:p w14:paraId="12772ACD">
      <w:pPr>
        <w:ind w:firstLine="420" w:firstLineChars="200"/>
        <w:rPr>
          <w:color w:val="auto"/>
          <w:highlight w:val="none"/>
        </w:rPr>
      </w:pPr>
      <w:r>
        <w:rPr>
          <w:rFonts w:hint="eastAsia"/>
          <w:color w:val="auto"/>
          <w:highlight w:val="none"/>
        </w:rPr>
        <w:t>检查数量：每</w:t>
      </w:r>
      <w:r>
        <w:rPr>
          <w:color w:val="auto"/>
          <w:highlight w:val="none"/>
        </w:rPr>
        <w:t>1000</w:t>
      </w:r>
      <w:r>
        <w:rPr>
          <w:rFonts w:hint="eastAsia"/>
          <w:color w:val="auto"/>
          <w:highlight w:val="none"/>
        </w:rPr>
        <w:t>平方米建筑面积检测</w:t>
      </w:r>
      <w:r>
        <w:rPr>
          <w:color w:val="auto"/>
          <w:highlight w:val="none"/>
        </w:rPr>
        <w:t>1</w:t>
      </w:r>
      <w:r>
        <w:rPr>
          <w:rFonts w:hint="eastAsia"/>
          <w:color w:val="auto"/>
          <w:highlight w:val="none"/>
        </w:rPr>
        <w:t>个构件，每层不少于</w:t>
      </w:r>
      <w:r>
        <w:rPr>
          <w:color w:val="auto"/>
          <w:highlight w:val="none"/>
        </w:rPr>
        <w:t>3</w:t>
      </w:r>
      <w:r>
        <w:rPr>
          <w:rFonts w:hint="eastAsia"/>
          <w:color w:val="auto"/>
          <w:highlight w:val="none"/>
        </w:rPr>
        <w:t>个构件。</w:t>
      </w:r>
    </w:p>
    <w:p w14:paraId="60B1468D">
      <w:pPr>
        <w:ind w:firstLine="420" w:firstLineChars="200"/>
        <w:rPr>
          <w:rFonts w:hint="eastAsia" w:eastAsia="宋体"/>
          <w:color w:val="auto"/>
          <w:highlight w:val="none"/>
          <w:lang w:eastAsia="zh-CN"/>
        </w:rPr>
      </w:pPr>
      <w:r>
        <w:rPr>
          <w:rFonts w:hint="eastAsia"/>
          <w:color w:val="auto"/>
          <w:highlight w:val="none"/>
        </w:rPr>
        <w:t>检验方法：超声法、阵列超声成像法</w:t>
      </w:r>
      <w:r>
        <w:rPr>
          <w:rFonts w:hint="eastAsia"/>
          <w:color w:val="auto"/>
          <w:highlight w:val="none"/>
          <w:lang w:eastAsia="zh-CN"/>
        </w:rPr>
        <w:t>。</w:t>
      </w:r>
    </w:p>
    <w:p w14:paraId="44FAA091">
      <w:pPr>
        <w:ind w:firstLine="0" w:firstLineChars="0"/>
        <w:rPr>
          <w:bCs/>
          <w:color w:val="auto"/>
          <w:highlight w:val="none"/>
        </w:rPr>
      </w:pPr>
      <w:r>
        <w:rPr>
          <w:rFonts w:hint="eastAsia"/>
          <w:b/>
          <w:bCs/>
          <w:color w:val="auto"/>
          <w:highlight w:val="none"/>
        </w:rPr>
        <w:t>10.3.</w:t>
      </w:r>
      <w:r>
        <w:rPr>
          <w:rFonts w:hint="eastAsia"/>
          <w:b/>
          <w:bCs/>
          <w:color w:val="auto"/>
          <w:highlight w:val="none"/>
          <w:lang w:eastAsia="zh-CN"/>
        </w:rPr>
        <w:t>4</w:t>
      </w:r>
      <w:r>
        <w:rPr>
          <w:rFonts w:hint="eastAsia"/>
          <w:b/>
          <w:bCs/>
          <w:color w:val="auto"/>
          <w:highlight w:val="none"/>
        </w:rPr>
        <w:t xml:space="preserve"> </w:t>
      </w:r>
      <w:r>
        <w:rPr>
          <w:rFonts w:hint="eastAsia"/>
          <w:bCs/>
          <w:color w:val="auto"/>
          <w:highlight w:val="none"/>
        </w:rPr>
        <w:t xml:space="preserve"> 模块底部接缝座浆强度应满足设计要求。</w:t>
      </w:r>
    </w:p>
    <w:p w14:paraId="1C7DE110">
      <w:pPr>
        <w:ind w:firstLine="422"/>
        <w:rPr>
          <w:rFonts w:hint="eastAsia" w:eastAsia="宋体"/>
          <w:bCs/>
          <w:color w:val="auto"/>
          <w:highlight w:val="none"/>
          <w:lang w:eastAsia="zh-CN"/>
        </w:rPr>
      </w:pPr>
      <w:r>
        <w:rPr>
          <w:rFonts w:hint="eastAsia"/>
          <w:bCs/>
          <w:color w:val="auto"/>
          <w:highlight w:val="none"/>
        </w:rPr>
        <w:t>检查数量：按批检验</w:t>
      </w:r>
      <w:r>
        <w:rPr>
          <w:rFonts w:hint="eastAsia"/>
          <w:bCs/>
          <w:color w:val="auto"/>
          <w:highlight w:val="none"/>
          <w:lang w:eastAsia="zh-CN"/>
        </w:rPr>
        <w:t>。</w:t>
      </w:r>
    </w:p>
    <w:p w14:paraId="71D4BBBF">
      <w:pPr>
        <w:ind w:firstLine="420" w:firstLineChars="200"/>
        <w:rPr>
          <w:bCs/>
          <w:color w:val="auto"/>
          <w:highlight w:val="none"/>
        </w:rPr>
      </w:pPr>
      <w:r>
        <w:rPr>
          <w:rFonts w:hint="eastAsia"/>
          <w:bCs/>
          <w:color w:val="auto"/>
          <w:highlight w:val="none"/>
        </w:rPr>
        <w:t>检验方法：检查座浆材料强度试验报告及评定记录。</w:t>
      </w:r>
    </w:p>
    <w:p w14:paraId="70AAAE7F">
      <w:pPr>
        <w:ind w:firstLine="0" w:firstLineChars="0"/>
        <w:rPr>
          <w:bCs/>
          <w:color w:val="auto"/>
          <w:highlight w:val="none"/>
        </w:rPr>
      </w:pPr>
      <w:r>
        <w:rPr>
          <w:rFonts w:hint="eastAsia"/>
          <w:b/>
          <w:bCs/>
          <w:color w:val="auto"/>
          <w:highlight w:val="none"/>
        </w:rPr>
        <w:t>10.3.</w:t>
      </w:r>
      <w:r>
        <w:rPr>
          <w:rFonts w:hint="eastAsia"/>
          <w:b/>
          <w:bCs/>
          <w:color w:val="auto"/>
          <w:highlight w:val="none"/>
          <w:lang w:val="en-US" w:eastAsia="zh-CN"/>
        </w:rPr>
        <w:t>5</w:t>
      </w:r>
      <w:r>
        <w:rPr>
          <w:rFonts w:hint="eastAsia"/>
          <w:b/>
          <w:bCs/>
          <w:color w:val="auto"/>
          <w:highlight w:val="none"/>
        </w:rPr>
        <w:t xml:space="preserve"> </w:t>
      </w:r>
      <w:r>
        <w:rPr>
          <w:rFonts w:hint="eastAsia"/>
          <w:bCs/>
          <w:color w:val="auto"/>
          <w:highlight w:val="none"/>
        </w:rPr>
        <w:t xml:space="preserve"> 钢筋采用机械连接时，其接头质量应符合现行行业标准《钢筋机械连接技术规程》JGJ107的有关规定。</w:t>
      </w:r>
    </w:p>
    <w:p w14:paraId="55DB6310">
      <w:pPr>
        <w:ind w:firstLine="422"/>
        <w:rPr>
          <w:rFonts w:hint="eastAsia" w:eastAsia="宋体"/>
          <w:bCs/>
          <w:color w:val="auto"/>
          <w:highlight w:val="none"/>
          <w:lang w:eastAsia="zh-CN"/>
        </w:rPr>
      </w:pPr>
      <w:r>
        <w:rPr>
          <w:rFonts w:hint="eastAsia"/>
          <w:bCs/>
          <w:color w:val="auto"/>
          <w:highlight w:val="none"/>
        </w:rPr>
        <w:t>检查数量：应符合现行行业标准《钢筋机械连接技术规程》JGJ107的有关规定</w:t>
      </w:r>
      <w:r>
        <w:rPr>
          <w:rFonts w:hint="eastAsia"/>
          <w:bCs/>
          <w:color w:val="auto"/>
          <w:highlight w:val="none"/>
          <w:lang w:eastAsia="zh-CN"/>
        </w:rPr>
        <w:t>。</w:t>
      </w:r>
    </w:p>
    <w:p w14:paraId="685B1C3A">
      <w:pPr>
        <w:ind w:firstLine="420" w:firstLineChars="200"/>
        <w:rPr>
          <w:bCs/>
          <w:color w:val="auto"/>
          <w:highlight w:val="none"/>
        </w:rPr>
      </w:pPr>
      <w:r>
        <w:rPr>
          <w:rFonts w:hint="eastAsia"/>
          <w:bCs/>
          <w:color w:val="auto"/>
          <w:highlight w:val="none"/>
        </w:rPr>
        <w:t>检验方法：检查钢筋机械连接施工记录及平行试件的强度试验报告。</w:t>
      </w:r>
    </w:p>
    <w:p w14:paraId="132257FE">
      <w:pPr>
        <w:ind w:firstLine="0"/>
        <w:rPr>
          <w:bCs/>
          <w:color w:val="auto"/>
          <w:highlight w:val="none"/>
        </w:rPr>
      </w:pPr>
      <w:bookmarkStart w:id="1183" w:name="_Toc17968"/>
      <w:bookmarkStart w:id="1184" w:name="_Toc7143"/>
      <w:r>
        <w:rPr>
          <w:rFonts w:hint="eastAsia"/>
          <w:b/>
          <w:bCs/>
          <w:color w:val="auto"/>
          <w:highlight w:val="none"/>
        </w:rPr>
        <w:t>10.</w:t>
      </w:r>
      <w:r>
        <w:rPr>
          <w:b/>
          <w:bCs/>
          <w:color w:val="auto"/>
          <w:highlight w:val="none"/>
        </w:rPr>
        <w:t>3</w:t>
      </w:r>
      <w:r>
        <w:rPr>
          <w:rFonts w:hint="eastAsia"/>
          <w:b/>
          <w:bCs/>
          <w:color w:val="auto"/>
          <w:highlight w:val="none"/>
        </w:rPr>
        <w:t>.</w:t>
      </w:r>
      <w:r>
        <w:rPr>
          <w:rFonts w:hint="eastAsia"/>
          <w:b/>
          <w:bCs/>
          <w:color w:val="auto"/>
          <w:highlight w:val="none"/>
          <w:lang w:val="en-US" w:eastAsia="zh-CN"/>
        </w:rPr>
        <w:t>6</w:t>
      </w:r>
      <w:r>
        <w:rPr>
          <w:rFonts w:hint="eastAsia"/>
          <w:b/>
          <w:bCs/>
          <w:color w:val="auto"/>
          <w:highlight w:val="none"/>
        </w:rPr>
        <w:t xml:space="preserve"> </w:t>
      </w:r>
      <w:r>
        <w:rPr>
          <w:b/>
          <w:bCs/>
          <w:color w:val="auto"/>
          <w:highlight w:val="none"/>
        </w:rPr>
        <w:t xml:space="preserve"> </w:t>
      </w:r>
      <w:r>
        <w:rPr>
          <w:rFonts w:hint="eastAsia"/>
          <w:bCs/>
          <w:color w:val="auto"/>
          <w:highlight w:val="none"/>
        </w:rPr>
        <w:t>模块单元的接缝处防水材料的性能及接缝防水施工质量验收应符合现行国家标准《装配式混凝土建筑技术标准》GB/T</w:t>
      </w:r>
      <w:r>
        <w:rPr>
          <w:rFonts w:hint="eastAsia"/>
          <w:bCs/>
          <w:color w:val="auto"/>
          <w:highlight w:val="none"/>
          <w:lang w:val="en-US" w:eastAsia="zh-CN"/>
        </w:rPr>
        <w:t xml:space="preserve"> </w:t>
      </w:r>
      <w:r>
        <w:rPr>
          <w:rFonts w:hint="eastAsia"/>
          <w:bCs/>
          <w:color w:val="auto"/>
          <w:highlight w:val="none"/>
        </w:rPr>
        <w:t>51231 的有关规定。</w:t>
      </w:r>
      <w:bookmarkEnd w:id="1183"/>
      <w:bookmarkEnd w:id="1184"/>
    </w:p>
    <w:p w14:paraId="64D3EF02">
      <w:pPr>
        <w:ind w:firstLine="422"/>
        <w:rPr>
          <w:rFonts w:hint="eastAsia" w:eastAsia="宋体"/>
          <w:bCs/>
          <w:color w:val="auto"/>
          <w:highlight w:val="none"/>
          <w:lang w:eastAsia="zh-CN"/>
        </w:rPr>
      </w:pPr>
      <w:r>
        <w:rPr>
          <w:rFonts w:hint="eastAsia"/>
          <w:bCs/>
          <w:color w:val="auto"/>
          <w:highlight w:val="none"/>
        </w:rPr>
        <w:t>检查数量：按批检验</w:t>
      </w:r>
      <w:r>
        <w:rPr>
          <w:rFonts w:hint="eastAsia"/>
          <w:bCs/>
          <w:color w:val="auto"/>
          <w:highlight w:val="none"/>
          <w:lang w:eastAsia="zh-CN"/>
        </w:rPr>
        <w:t>。</w:t>
      </w:r>
    </w:p>
    <w:p w14:paraId="04D22F38">
      <w:pPr>
        <w:ind w:firstLine="420" w:firstLineChars="200"/>
        <w:rPr>
          <w:bCs/>
          <w:color w:val="auto"/>
          <w:highlight w:val="none"/>
        </w:rPr>
      </w:pPr>
      <w:r>
        <w:rPr>
          <w:rFonts w:hint="eastAsia"/>
          <w:bCs/>
          <w:color w:val="auto"/>
          <w:highlight w:val="none"/>
        </w:rPr>
        <w:t>检验方法：检查现场淋水试验报告。</w:t>
      </w:r>
    </w:p>
    <w:p w14:paraId="207B33F6">
      <w:pPr>
        <w:keepNext w:val="0"/>
        <w:keepLines w:val="0"/>
        <w:pageBreakBefore w:val="0"/>
        <w:widowControl w:val="0"/>
        <w:kinsoku/>
        <w:wordWrap/>
        <w:overflowPunct/>
        <w:topLinePunct w:val="0"/>
        <w:autoSpaceDE/>
        <w:autoSpaceDN/>
        <w:bidi w:val="0"/>
        <w:adjustRightInd/>
        <w:snapToGrid/>
        <w:spacing w:before="166" w:beforeLines="50" w:after="166" w:afterLines="50" w:line="360" w:lineRule="auto"/>
        <w:jc w:val="center"/>
        <w:textAlignment w:val="auto"/>
        <w:rPr>
          <w:rFonts w:hint="default" w:ascii="Times New Roman" w:hAnsi="Times New Roman" w:eastAsia="黑体" w:cs="Times New Roman"/>
          <w:b/>
          <w:bCs/>
          <w:color w:val="auto"/>
          <w:sz w:val="21"/>
          <w:szCs w:val="21"/>
          <w:highlight w:val="none"/>
        </w:rPr>
      </w:pPr>
      <w:r>
        <w:rPr>
          <w:rFonts w:hint="eastAsia" w:eastAsia="黑体" w:cs="Times New Roman"/>
          <w:b/>
          <w:bCs/>
          <w:color w:val="auto"/>
          <w:sz w:val="21"/>
          <w:szCs w:val="21"/>
          <w:highlight w:val="none"/>
          <w:lang w:val="en-US" w:eastAsia="zh-CN"/>
        </w:rPr>
        <w:t>II</w:t>
      </w:r>
      <w:r>
        <w:rPr>
          <w:rFonts w:hint="default" w:ascii="Times New Roman" w:hAnsi="Times New Roman" w:eastAsia="黑体" w:cs="Times New Roman"/>
          <w:b/>
          <w:bCs/>
          <w:color w:val="auto"/>
          <w:sz w:val="21"/>
          <w:szCs w:val="21"/>
          <w:highlight w:val="none"/>
          <w:lang w:val="en-US" w:eastAsia="zh-CN"/>
        </w:rPr>
        <w:t xml:space="preserve">  </w:t>
      </w:r>
      <w:r>
        <w:rPr>
          <w:rFonts w:hint="eastAsia" w:eastAsia="黑体" w:cs="Times New Roman"/>
          <w:b/>
          <w:bCs/>
          <w:color w:val="auto"/>
          <w:sz w:val="21"/>
          <w:szCs w:val="21"/>
          <w:highlight w:val="none"/>
          <w:lang w:val="en-US" w:eastAsia="zh-CN"/>
        </w:rPr>
        <w:t>一 般</w:t>
      </w:r>
      <w:r>
        <w:rPr>
          <w:rFonts w:hint="eastAsia" w:ascii="Times New Roman" w:hAnsi="Times New Roman" w:eastAsia="黑体" w:cs="Times New Roman"/>
          <w:b/>
          <w:bCs/>
          <w:color w:val="auto"/>
          <w:sz w:val="21"/>
          <w:szCs w:val="21"/>
          <w:highlight w:val="none"/>
          <w:lang w:val="en-US" w:eastAsia="zh-CN"/>
        </w:rPr>
        <w:t xml:space="preserve"> </w:t>
      </w:r>
      <w:r>
        <w:rPr>
          <w:rFonts w:hint="default" w:ascii="Times New Roman" w:hAnsi="Times New Roman" w:eastAsia="黑体" w:cs="Times New Roman"/>
          <w:b/>
          <w:bCs/>
          <w:color w:val="auto"/>
          <w:sz w:val="21"/>
          <w:szCs w:val="21"/>
          <w:highlight w:val="none"/>
        </w:rPr>
        <w:t>项</w:t>
      </w:r>
      <w:r>
        <w:rPr>
          <w:rFonts w:hint="eastAsia" w:ascii="Times New Roman" w:hAnsi="Times New Roman" w:eastAsia="黑体" w:cs="Times New Roman"/>
          <w:b/>
          <w:bCs/>
          <w:color w:val="auto"/>
          <w:sz w:val="21"/>
          <w:szCs w:val="21"/>
          <w:highlight w:val="none"/>
          <w:lang w:val="en-US" w:eastAsia="zh-CN"/>
        </w:rPr>
        <w:t xml:space="preserve"> </w:t>
      </w:r>
      <w:r>
        <w:rPr>
          <w:rFonts w:hint="default" w:ascii="Times New Roman" w:hAnsi="Times New Roman" w:eastAsia="黑体" w:cs="Times New Roman"/>
          <w:b/>
          <w:bCs/>
          <w:color w:val="auto"/>
          <w:sz w:val="21"/>
          <w:szCs w:val="21"/>
          <w:highlight w:val="none"/>
        </w:rPr>
        <w:t>目</w:t>
      </w:r>
    </w:p>
    <w:p w14:paraId="7EEB0129">
      <w:pPr>
        <w:ind w:firstLine="0"/>
        <w:rPr>
          <w:bCs/>
          <w:color w:val="auto"/>
          <w:highlight w:val="none"/>
        </w:rPr>
      </w:pPr>
      <w:r>
        <w:rPr>
          <w:rFonts w:hint="eastAsia"/>
          <w:b/>
          <w:bCs/>
          <w:color w:val="auto"/>
          <w:highlight w:val="none"/>
        </w:rPr>
        <w:t>10.3.</w:t>
      </w:r>
      <w:r>
        <w:rPr>
          <w:rFonts w:hint="eastAsia"/>
          <w:b/>
          <w:bCs/>
          <w:color w:val="auto"/>
          <w:highlight w:val="none"/>
          <w:lang w:val="en-US" w:eastAsia="zh-CN"/>
        </w:rPr>
        <w:t>7</w:t>
      </w:r>
      <w:r>
        <w:rPr>
          <w:rFonts w:hint="eastAsia"/>
          <w:b/>
          <w:bCs/>
          <w:color w:val="auto"/>
          <w:highlight w:val="none"/>
        </w:rPr>
        <w:t xml:space="preserve"> </w:t>
      </w:r>
      <w:r>
        <w:rPr>
          <w:rFonts w:hint="eastAsia"/>
          <w:bCs/>
          <w:color w:val="auto"/>
          <w:highlight w:val="none"/>
        </w:rPr>
        <w:t xml:space="preserve"> 模块临时固定措施应符合设计、专项施工方案要求及国家现行有关标准的规定</w:t>
      </w:r>
    </w:p>
    <w:p w14:paraId="7356B9DC">
      <w:pPr>
        <w:ind w:firstLine="422"/>
        <w:rPr>
          <w:rFonts w:hint="eastAsia" w:eastAsia="宋体"/>
          <w:bCs/>
          <w:color w:val="auto"/>
          <w:highlight w:val="none"/>
          <w:lang w:val="en-US" w:eastAsia="zh-CN"/>
        </w:rPr>
      </w:pPr>
      <w:r>
        <w:rPr>
          <w:rFonts w:hint="eastAsia"/>
          <w:bCs/>
          <w:color w:val="auto"/>
          <w:highlight w:val="none"/>
        </w:rPr>
        <w:t>检查数量：全数检查</w:t>
      </w:r>
      <w:r>
        <w:rPr>
          <w:rFonts w:hint="eastAsia"/>
          <w:bCs/>
          <w:color w:val="auto"/>
          <w:highlight w:val="none"/>
          <w:lang w:val="en-US" w:eastAsia="zh-CN"/>
        </w:rPr>
        <w:t xml:space="preserve"> 。</w:t>
      </w:r>
    </w:p>
    <w:p w14:paraId="6BEFC7C7">
      <w:pPr>
        <w:ind w:firstLine="422"/>
        <w:rPr>
          <w:rFonts w:hint="eastAsia"/>
          <w:bCs/>
          <w:color w:val="auto"/>
          <w:highlight w:val="none"/>
        </w:rPr>
      </w:pPr>
      <w:r>
        <w:rPr>
          <w:rFonts w:hint="eastAsia"/>
          <w:bCs/>
          <w:color w:val="auto"/>
          <w:highlight w:val="none"/>
        </w:rPr>
        <w:t>检验方法：观察检查、检查施工方案、施工记录或设计文件。</w:t>
      </w:r>
    </w:p>
    <w:p w14:paraId="26E83BCD">
      <w:pPr>
        <w:ind w:firstLine="0"/>
        <w:rPr>
          <w:bCs/>
          <w:color w:val="auto"/>
          <w:highlight w:val="none"/>
        </w:rPr>
      </w:pPr>
      <w:bookmarkStart w:id="1185" w:name="_Toc3303"/>
      <w:bookmarkStart w:id="1186" w:name="_Toc21542"/>
      <w:r>
        <w:rPr>
          <w:rFonts w:hint="eastAsia"/>
          <w:b/>
          <w:bCs/>
          <w:color w:val="auto"/>
          <w:highlight w:val="none"/>
        </w:rPr>
        <w:t>10.</w:t>
      </w:r>
      <w:r>
        <w:rPr>
          <w:b/>
          <w:bCs/>
          <w:color w:val="auto"/>
          <w:highlight w:val="none"/>
        </w:rPr>
        <w:t>3</w:t>
      </w:r>
      <w:r>
        <w:rPr>
          <w:rFonts w:hint="eastAsia"/>
          <w:b/>
          <w:bCs/>
          <w:color w:val="auto"/>
          <w:highlight w:val="none"/>
        </w:rPr>
        <w:t>.</w:t>
      </w:r>
      <w:r>
        <w:rPr>
          <w:rFonts w:hint="eastAsia"/>
          <w:b/>
          <w:bCs/>
          <w:color w:val="auto"/>
          <w:highlight w:val="none"/>
          <w:lang w:val="en-US" w:eastAsia="zh-CN"/>
        </w:rPr>
        <w:t>8</w:t>
      </w:r>
      <w:r>
        <w:rPr>
          <w:rFonts w:hint="eastAsia"/>
          <w:b/>
          <w:bCs/>
          <w:color w:val="auto"/>
          <w:highlight w:val="none"/>
        </w:rPr>
        <w:t xml:space="preserve">  </w:t>
      </w:r>
      <w:r>
        <w:rPr>
          <w:rFonts w:hint="eastAsia"/>
          <w:bCs/>
          <w:color w:val="auto"/>
          <w:highlight w:val="none"/>
        </w:rPr>
        <w:t>模块单元组合安装完成后，应按现行规范及设计要求，对成品进行检查验收，检查内容包括：模块间连接质量、模块尺寸</w:t>
      </w:r>
      <w:r>
        <w:rPr>
          <w:rFonts w:hint="eastAsia"/>
          <w:bCs/>
          <w:color w:val="auto"/>
          <w:highlight w:val="none"/>
          <w:lang w:val="en-US" w:eastAsia="zh-CN"/>
        </w:rPr>
        <w:t>及</w:t>
      </w:r>
      <w:r>
        <w:rPr>
          <w:rFonts w:hint="eastAsia"/>
          <w:bCs/>
          <w:color w:val="auto"/>
          <w:highlight w:val="none"/>
        </w:rPr>
        <w:t>防水渗漏等。</w:t>
      </w:r>
      <w:bookmarkEnd w:id="1185"/>
      <w:bookmarkEnd w:id="1186"/>
    </w:p>
    <w:p w14:paraId="24463BF1">
      <w:pPr>
        <w:ind w:firstLine="420" w:firstLineChars="200"/>
        <w:rPr>
          <w:rFonts w:hint="eastAsia" w:eastAsia="宋体"/>
          <w:bCs/>
          <w:color w:val="auto"/>
          <w:highlight w:val="none"/>
          <w:lang w:val="en-US" w:eastAsia="zh-CN"/>
        </w:rPr>
      </w:pPr>
      <w:r>
        <w:rPr>
          <w:rFonts w:hint="eastAsia"/>
          <w:bCs/>
          <w:color w:val="auto"/>
          <w:highlight w:val="none"/>
        </w:rPr>
        <w:t>检查</w:t>
      </w:r>
      <w:r>
        <w:rPr>
          <w:rFonts w:hint="eastAsia"/>
          <w:bCs w:val="0"/>
          <w:color w:val="auto"/>
          <w:highlight w:val="none"/>
        </w:rPr>
        <w:t>数量</w:t>
      </w:r>
      <w:r>
        <w:rPr>
          <w:rFonts w:hint="eastAsia"/>
          <w:bCs/>
          <w:color w:val="auto"/>
          <w:highlight w:val="none"/>
        </w:rPr>
        <w:t>：全数检查</w:t>
      </w:r>
      <w:r>
        <w:rPr>
          <w:rFonts w:hint="eastAsia"/>
          <w:bCs/>
          <w:color w:val="auto"/>
          <w:highlight w:val="none"/>
          <w:lang w:val="en-US" w:eastAsia="zh-CN"/>
        </w:rPr>
        <w:t>。</w:t>
      </w:r>
    </w:p>
    <w:p w14:paraId="5EFA9050">
      <w:pPr>
        <w:ind w:firstLine="420" w:firstLineChars="200"/>
        <w:rPr>
          <w:rFonts w:hint="eastAsia"/>
          <w:bCs/>
          <w:color w:val="auto"/>
          <w:highlight w:val="none"/>
        </w:rPr>
      </w:pPr>
      <w:r>
        <w:rPr>
          <w:rFonts w:hint="eastAsia"/>
          <w:bCs/>
          <w:color w:val="auto"/>
          <w:highlight w:val="none"/>
        </w:rPr>
        <w:t>检验方法：观察、量测，检查施工方案、施工记录或设计文件。</w:t>
      </w:r>
    </w:p>
    <w:p w14:paraId="4B3BCA84">
      <w:pPr>
        <w:ind w:firstLine="0" w:firstLineChars="0"/>
        <w:rPr>
          <w:rFonts w:hint="eastAsia"/>
          <w:bCs/>
          <w:color w:val="auto"/>
          <w:highlight w:val="none"/>
        </w:rPr>
      </w:pPr>
      <w:r>
        <w:rPr>
          <w:rFonts w:hint="eastAsia"/>
          <w:b/>
          <w:bCs w:val="0"/>
          <w:color w:val="auto"/>
          <w:highlight w:val="none"/>
          <w:lang w:val="en-US" w:eastAsia="zh-CN"/>
        </w:rPr>
        <w:t>10.3.9</w:t>
      </w:r>
      <w:r>
        <w:rPr>
          <w:rFonts w:hint="eastAsia"/>
          <w:b/>
          <w:bCs/>
          <w:color w:val="auto"/>
          <w:highlight w:val="none"/>
          <w:lang w:val="en-US" w:eastAsia="zh-CN"/>
        </w:rPr>
        <w:t xml:space="preserve"> </w:t>
      </w:r>
      <w:r>
        <w:rPr>
          <w:rFonts w:hint="eastAsia"/>
          <w:bCs/>
          <w:color w:val="auto"/>
          <w:highlight w:val="none"/>
          <w:lang w:val="en-US" w:eastAsia="zh-CN"/>
        </w:rPr>
        <w:t xml:space="preserve"> </w:t>
      </w:r>
      <w:r>
        <w:rPr>
          <w:rFonts w:hint="eastAsia"/>
          <w:bCs/>
          <w:color w:val="auto"/>
          <w:highlight w:val="none"/>
        </w:rPr>
        <w:t>现浇结构部分的外观质量、位置偏差、尺寸偏差验收应符合现行国家标准</w:t>
      </w:r>
      <w:r>
        <w:rPr>
          <w:rFonts w:hint="eastAsia"/>
          <w:color w:val="auto"/>
          <w:highlight w:val="none"/>
        </w:rPr>
        <w:t>《混凝土结构工程施工质量验收规范》GB 50204的有关规定</w:t>
      </w:r>
      <w:r>
        <w:rPr>
          <w:rFonts w:hint="eastAsia"/>
          <w:bCs/>
          <w:color w:val="auto"/>
          <w:highlight w:val="none"/>
        </w:rPr>
        <w:t>；</w:t>
      </w:r>
    </w:p>
    <w:p w14:paraId="57A96B6D">
      <w:pPr>
        <w:ind w:firstLine="420" w:firstLineChars="200"/>
        <w:rPr>
          <w:rFonts w:hint="eastAsia" w:eastAsia="宋体"/>
          <w:color w:val="auto"/>
          <w:highlight w:val="none"/>
          <w:lang w:eastAsia="zh-CN"/>
        </w:rPr>
      </w:pPr>
      <w:r>
        <w:rPr>
          <w:rFonts w:hint="eastAsia"/>
          <w:color w:val="auto"/>
          <w:highlight w:val="none"/>
        </w:rPr>
        <w:t>检查数量：全数检查</w:t>
      </w:r>
      <w:r>
        <w:rPr>
          <w:rFonts w:hint="eastAsia"/>
          <w:color w:val="auto"/>
          <w:highlight w:val="none"/>
          <w:lang w:eastAsia="zh-CN"/>
        </w:rPr>
        <w:t>。</w:t>
      </w:r>
    </w:p>
    <w:p w14:paraId="03A47046">
      <w:pPr>
        <w:ind w:firstLine="420" w:firstLineChars="200"/>
        <w:rPr>
          <w:rFonts w:hint="eastAsia" w:eastAsia="宋体"/>
          <w:bCs/>
          <w:color w:val="auto"/>
          <w:highlight w:val="none"/>
          <w:lang w:eastAsia="zh-CN"/>
        </w:rPr>
      </w:pPr>
      <w:r>
        <w:rPr>
          <w:rFonts w:hint="eastAsia"/>
          <w:color w:val="auto"/>
          <w:highlight w:val="none"/>
        </w:rPr>
        <w:t>检验方法：观察、尺量</w:t>
      </w:r>
      <w:r>
        <w:rPr>
          <w:rFonts w:hint="eastAsia"/>
          <w:color w:val="auto"/>
          <w:highlight w:val="none"/>
          <w:lang w:eastAsia="zh-CN"/>
        </w:rPr>
        <w:t>。</w:t>
      </w:r>
    </w:p>
    <w:p w14:paraId="605A1A26">
      <w:pPr>
        <w:ind w:firstLine="0" w:firstLineChars="0"/>
        <w:rPr>
          <w:rFonts w:hint="eastAsia"/>
          <w:bCs/>
          <w:color w:val="auto"/>
          <w:highlight w:val="none"/>
        </w:rPr>
      </w:pPr>
      <w:r>
        <w:rPr>
          <w:rFonts w:hint="eastAsia"/>
          <w:b/>
          <w:bCs w:val="0"/>
          <w:color w:val="auto"/>
          <w:highlight w:val="none"/>
        </w:rPr>
        <w:t>10.3.</w:t>
      </w:r>
      <w:r>
        <w:rPr>
          <w:rFonts w:hint="eastAsia"/>
          <w:b/>
          <w:bCs w:val="0"/>
          <w:color w:val="auto"/>
          <w:highlight w:val="none"/>
          <w:lang w:val="en-US" w:eastAsia="zh-CN"/>
        </w:rPr>
        <w:t>10</w:t>
      </w:r>
      <w:r>
        <w:rPr>
          <w:rFonts w:hint="eastAsia"/>
          <w:b/>
          <w:bCs/>
          <w:color w:val="auto"/>
          <w:highlight w:val="none"/>
        </w:rPr>
        <w:t xml:space="preserve"> </w:t>
      </w:r>
      <w:r>
        <w:rPr>
          <w:rFonts w:hint="eastAsia"/>
          <w:bCs/>
          <w:color w:val="auto"/>
          <w:highlight w:val="none"/>
        </w:rPr>
        <w:t xml:space="preserve"> 现浇结构部分的钢筋保护层厚度检验应符合下列规定：</w:t>
      </w:r>
    </w:p>
    <w:p w14:paraId="69BCE379">
      <w:pPr>
        <w:ind w:firstLine="422" w:firstLineChars="200"/>
        <w:rPr>
          <w:rFonts w:hint="eastAsia"/>
          <w:bCs/>
          <w:color w:val="auto"/>
          <w:highlight w:val="none"/>
        </w:rPr>
      </w:pPr>
      <w:r>
        <w:rPr>
          <w:rFonts w:hint="eastAsia"/>
          <w:b/>
          <w:bCs w:val="0"/>
          <w:color w:val="auto"/>
          <w:highlight w:val="none"/>
        </w:rPr>
        <w:t>1</w:t>
      </w:r>
      <w:r>
        <w:rPr>
          <w:rFonts w:hint="eastAsia"/>
          <w:bCs/>
          <w:color w:val="auto"/>
          <w:highlight w:val="none"/>
        </w:rPr>
        <w:t xml:space="preserve">  现浇结构中的梁、剪力墙和柱等构件使用梁模、墙模或柱模作为模板进行浇筑时，可不检验钢筋保护层厚度；</w:t>
      </w:r>
    </w:p>
    <w:p w14:paraId="1B8B1F79">
      <w:pPr>
        <w:ind w:firstLine="422" w:firstLineChars="200"/>
        <w:rPr>
          <w:rFonts w:hint="eastAsia"/>
          <w:bCs/>
          <w:color w:val="auto"/>
          <w:highlight w:val="none"/>
        </w:rPr>
      </w:pPr>
      <w:r>
        <w:rPr>
          <w:rFonts w:hint="eastAsia"/>
          <w:b/>
          <w:bCs w:val="0"/>
          <w:color w:val="auto"/>
          <w:highlight w:val="none"/>
        </w:rPr>
        <w:t>2</w:t>
      </w:r>
      <w:r>
        <w:rPr>
          <w:rFonts w:hint="eastAsia"/>
          <w:bCs/>
          <w:color w:val="auto"/>
          <w:highlight w:val="none"/>
        </w:rPr>
        <w:t xml:space="preserve">  现浇结构中的梁、剪力墙和柱等构件使用其他模板进行浇筑时，其钢筋保护层厚度检验应符合《混凝土结构工程施工质量验收规范》GB 50204中的有关规定。</w:t>
      </w:r>
    </w:p>
    <w:p w14:paraId="1D760CAD">
      <w:pPr>
        <w:pStyle w:val="3"/>
        <w:keepNext/>
        <w:keepLines/>
        <w:pageBreakBefore w:val="0"/>
        <w:widowControl w:val="0"/>
        <w:kinsoku/>
        <w:wordWrap/>
        <w:overflowPunct/>
        <w:topLinePunct w:val="0"/>
        <w:autoSpaceDE/>
        <w:autoSpaceDN/>
        <w:bidi w:val="0"/>
        <w:adjustRightInd/>
        <w:snapToGrid/>
        <w:spacing w:before="166" w:beforeLines="50" w:after="166" w:afterLines="50" w:line="360" w:lineRule="auto"/>
        <w:ind w:firstLine="0"/>
        <w:jc w:val="center"/>
        <w:textAlignment w:val="auto"/>
        <w:rPr>
          <w:rFonts w:hint="default" w:ascii="Times New Roman" w:hAnsi="Times New Roman" w:eastAsia="黑体" w:cs="Times New Roman"/>
          <w:color w:val="auto"/>
          <w:sz w:val="24"/>
          <w:szCs w:val="24"/>
          <w:highlight w:val="none"/>
          <w:lang w:val="en-US" w:eastAsia="zh-CN"/>
        </w:rPr>
      </w:pPr>
      <w:bookmarkStart w:id="1187" w:name="_Toc27773"/>
      <w:bookmarkStart w:id="1188" w:name="_Toc7523"/>
      <w:bookmarkStart w:id="1189" w:name="_Toc7437"/>
      <w:bookmarkStart w:id="1190" w:name="_Toc18402"/>
      <w:bookmarkStart w:id="1191" w:name="_Toc27030"/>
      <w:bookmarkStart w:id="1192" w:name="_Toc29081"/>
      <w:bookmarkStart w:id="1193" w:name="_Toc13901"/>
      <w:bookmarkStart w:id="1194" w:name="_Toc14927"/>
      <w:bookmarkStart w:id="1195" w:name="OLE_LINK10"/>
      <w:r>
        <w:rPr>
          <w:rFonts w:hint="eastAsia" w:ascii="Times New Roman" w:hAnsi="Times New Roman" w:eastAsia="黑体" w:cs="Times New Roman"/>
          <w:b/>
          <w:color w:val="auto"/>
          <w:sz w:val="24"/>
          <w:szCs w:val="24"/>
          <w:highlight w:val="none"/>
        </w:rPr>
        <w:t>10.</w:t>
      </w:r>
      <w:r>
        <w:rPr>
          <w:rFonts w:ascii="Times New Roman" w:hAnsi="Times New Roman" w:eastAsia="黑体" w:cs="Times New Roman"/>
          <w:b/>
          <w:color w:val="auto"/>
          <w:sz w:val="24"/>
          <w:szCs w:val="24"/>
          <w:highlight w:val="none"/>
        </w:rPr>
        <w:t>4</w:t>
      </w:r>
      <w:r>
        <w:rPr>
          <w:rFonts w:hint="eastAsia" w:ascii="Times New Roman" w:hAnsi="Times New Roman" w:eastAsia="黑体" w:cs="Times New Roman"/>
          <w:b/>
          <w:color w:val="auto"/>
          <w:sz w:val="24"/>
          <w:szCs w:val="24"/>
          <w:highlight w:val="none"/>
        </w:rPr>
        <w:t xml:space="preserve"> </w:t>
      </w:r>
      <w:r>
        <w:rPr>
          <w:rFonts w:hint="eastAsia" w:ascii="Times New Roman" w:hAnsi="Times New Roman" w:eastAsia="黑体" w:cs="Times New Roman"/>
          <w:color w:val="auto"/>
          <w:sz w:val="24"/>
          <w:szCs w:val="24"/>
          <w:highlight w:val="none"/>
        </w:rPr>
        <w:t xml:space="preserve"> 设备管线安装</w:t>
      </w:r>
      <w:bookmarkEnd w:id="1187"/>
      <w:bookmarkEnd w:id="1188"/>
      <w:bookmarkEnd w:id="1189"/>
      <w:bookmarkEnd w:id="1190"/>
      <w:r>
        <w:rPr>
          <w:rFonts w:hint="eastAsia" w:ascii="Times New Roman" w:hAnsi="Times New Roman" w:eastAsia="黑体" w:cs="Times New Roman"/>
          <w:color w:val="auto"/>
          <w:sz w:val="24"/>
          <w:szCs w:val="24"/>
          <w:highlight w:val="none"/>
          <w:lang w:val="en-US" w:eastAsia="zh-CN"/>
        </w:rPr>
        <w:t>及内装</w:t>
      </w:r>
      <w:bookmarkEnd w:id="1191"/>
      <w:bookmarkEnd w:id="1192"/>
      <w:bookmarkEnd w:id="1193"/>
      <w:bookmarkEnd w:id="1194"/>
    </w:p>
    <w:p w14:paraId="6AAEE58B">
      <w:pPr>
        <w:ind w:firstLine="0"/>
        <w:rPr>
          <w:color w:val="auto"/>
          <w:highlight w:val="none"/>
        </w:rPr>
      </w:pPr>
      <w:bookmarkStart w:id="1196" w:name="_Toc14682"/>
      <w:bookmarkStart w:id="1197" w:name="_Toc20933"/>
      <w:r>
        <w:rPr>
          <w:rFonts w:hint="eastAsia"/>
          <w:b/>
          <w:bCs/>
          <w:color w:val="auto"/>
          <w:highlight w:val="none"/>
        </w:rPr>
        <w:t>10.</w:t>
      </w:r>
      <w:r>
        <w:rPr>
          <w:b/>
          <w:bCs/>
          <w:color w:val="auto"/>
          <w:highlight w:val="none"/>
        </w:rPr>
        <w:t>4</w:t>
      </w:r>
      <w:r>
        <w:rPr>
          <w:rFonts w:hint="eastAsia"/>
          <w:b/>
          <w:bCs/>
          <w:color w:val="auto"/>
          <w:highlight w:val="none"/>
        </w:rPr>
        <w:t>.</w:t>
      </w:r>
      <w:r>
        <w:rPr>
          <w:b/>
          <w:bCs/>
          <w:color w:val="auto"/>
          <w:highlight w:val="none"/>
        </w:rPr>
        <w:t xml:space="preserve">1  </w:t>
      </w:r>
      <w:r>
        <w:rPr>
          <w:rFonts w:hint="eastAsia"/>
          <w:color w:val="auto"/>
          <w:highlight w:val="none"/>
        </w:rPr>
        <w:t>模块</w:t>
      </w:r>
      <w:r>
        <w:rPr>
          <w:rFonts w:hint="eastAsia"/>
          <w:bCs/>
          <w:color w:val="auto"/>
          <w:highlight w:val="none"/>
        </w:rPr>
        <w:t>给</w:t>
      </w:r>
      <w:r>
        <w:rPr>
          <w:rFonts w:hint="eastAsia"/>
          <w:color w:val="auto"/>
          <w:highlight w:val="none"/>
        </w:rPr>
        <w:t>排水系统的施工质量要求和验收标准应符合现行国家标准《建筑给水排水及采暖工程施工质量验收规范》GB 50242 的有关规定，并应满足</w:t>
      </w:r>
      <w:r>
        <w:rPr>
          <w:rFonts w:hint="eastAsia"/>
          <w:color w:val="auto"/>
          <w:highlight w:val="none"/>
          <w:lang w:val="en-US" w:eastAsia="zh-CN"/>
        </w:rPr>
        <w:t>以下规定</w:t>
      </w:r>
      <w:r>
        <w:rPr>
          <w:rFonts w:hint="eastAsia"/>
          <w:color w:val="auto"/>
          <w:highlight w:val="none"/>
        </w:rPr>
        <w:t>：</w:t>
      </w:r>
      <w:bookmarkEnd w:id="1196"/>
      <w:bookmarkEnd w:id="1197"/>
    </w:p>
    <w:bookmarkEnd w:id="1195"/>
    <w:p w14:paraId="2FF2A7BC">
      <w:pPr>
        <w:ind w:firstLine="422" w:firstLineChars="200"/>
        <w:rPr>
          <w:rFonts w:hint="eastAsia" w:eastAsia="宋体"/>
          <w:color w:val="auto"/>
          <w:highlight w:val="none"/>
          <w:lang w:eastAsia="zh-CN"/>
        </w:rPr>
      </w:pPr>
      <w:r>
        <w:rPr>
          <w:rFonts w:hint="eastAsia"/>
          <w:b/>
          <w:bCs/>
          <w:color w:val="auto"/>
          <w:highlight w:val="none"/>
        </w:rPr>
        <w:t>1</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给排水</w:t>
      </w:r>
      <w:r>
        <w:rPr>
          <w:rFonts w:hint="eastAsia"/>
          <w:bCs/>
          <w:color w:val="auto"/>
          <w:highlight w:val="none"/>
        </w:rPr>
        <w:t>管道</w:t>
      </w:r>
      <w:r>
        <w:rPr>
          <w:rFonts w:hint="eastAsia"/>
          <w:color w:val="auto"/>
          <w:highlight w:val="none"/>
        </w:rPr>
        <w:t>及配件的安装应位置准确、平整牢固，用观察和尺量检查施工质量</w:t>
      </w:r>
      <w:r>
        <w:rPr>
          <w:rFonts w:hint="eastAsia"/>
          <w:color w:val="auto"/>
          <w:highlight w:val="none"/>
          <w:lang w:eastAsia="zh-CN"/>
        </w:rPr>
        <w:t>；</w:t>
      </w:r>
    </w:p>
    <w:p w14:paraId="68BC0A70">
      <w:pPr>
        <w:ind w:firstLine="422" w:firstLineChars="200"/>
        <w:rPr>
          <w:rFonts w:hint="eastAsia" w:eastAsia="宋体"/>
          <w:color w:val="auto"/>
          <w:highlight w:val="none"/>
          <w:lang w:eastAsia="zh-CN"/>
        </w:rPr>
      </w:pPr>
      <w:r>
        <w:rPr>
          <w:rFonts w:hint="eastAsia"/>
          <w:b/>
          <w:bCs/>
          <w:color w:val="auto"/>
          <w:highlight w:val="none"/>
        </w:rPr>
        <w:t>2</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给水管道应进行加压测试，各连接处不应有渗漏，用观察法检查施工质量</w:t>
      </w:r>
      <w:r>
        <w:rPr>
          <w:rFonts w:hint="eastAsia"/>
          <w:color w:val="auto"/>
          <w:highlight w:val="none"/>
          <w:lang w:eastAsia="zh-CN"/>
        </w:rPr>
        <w:t>；</w:t>
      </w:r>
    </w:p>
    <w:p w14:paraId="70070BF2">
      <w:pPr>
        <w:ind w:firstLine="422" w:firstLineChars="200"/>
        <w:rPr>
          <w:color w:val="auto"/>
          <w:highlight w:val="none"/>
        </w:rPr>
      </w:pPr>
      <w:r>
        <w:rPr>
          <w:rFonts w:hint="eastAsia"/>
          <w:b/>
          <w:bCs/>
          <w:color w:val="auto"/>
          <w:highlight w:val="none"/>
        </w:rPr>
        <w:t>3</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排水管道应进行水密性测试，堵住除通气出口外的所有出口，在检测系统内灌满水保持15min，各连接处不应有渗漏，用观察法检查施工质量；</w:t>
      </w:r>
    </w:p>
    <w:p w14:paraId="44ED881C">
      <w:pPr>
        <w:ind w:firstLine="422" w:firstLineChars="200"/>
        <w:rPr>
          <w:rFonts w:hint="eastAsia" w:eastAsia="宋体"/>
          <w:color w:val="auto"/>
          <w:szCs w:val="24"/>
          <w:highlight w:val="none"/>
          <w:lang w:eastAsia="zh-CN"/>
        </w:rPr>
      </w:pPr>
      <w:r>
        <w:rPr>
          <w:rFonts w:hint="eastAsia"/>
          <w:b/>
          <w:bCs/>
          <w:color w:val="auto"/>
          <w:szCs w:val="24"/>
          <w:highlight w:val="none"/>
        </w:rPr>
        <w:t>4</w:t>
      </w:r>
      <w:r>
        <w:rPr>
          <w:rFonts w:hint="eastAsia"/>
          <w:color w:val="auto"/>
          <w:szCs w:val="24"/>
          <w:highlight w:val="none"/>
        </w:rPr>
        <w:t xml:space="preserve"> </w:t>
      </w:r>
      <w:r>
        <w:rPr>
          <w:rFonts w:hint="eastAsia"/>
          <w:color w:val="auto"/>
          <w:szCs w:val="24"/>
          <w:highlight w:val="none"/>
          <w:lang w:val="en-US" w:eastAsia="zh-CN"/>
        </w:rPr>
        <w:t xml:space="preserve"> </w:t>
      </w:r>
      <w:r>
        <w:rPr>
          <w:rFonts w:hint="eastAsia"/>
          <w:color w:val="auto"/>
          <w:szCs w:val="24"/>
          <w:highlight w:val="none"/>
        </w:rPr>
        <w:t>排水管道安装完成后，应检测立管的垂直度及水平管的坡度</w:t>
      </w:r>
      <w:r>
        <w:rPr>
          <w:rFonts w:hint="eastAsia"/>
          <w:color w:val="auto"/>
          <w:szCs w:val="24"/>
          <w:highlight w:val="none"/>
          <w:lang w:eastAsia="zh-CN"/>
        </w:rPr>
        <w:t>；</w:t>
      </w:r>
    </w:p>
    <w:p w14:paraId="6C2E1163">
      <w:pPr>
        <w:ind w:firstLine="422" w:firstLineChars="200"/>
        <w:rPr>
          <w:color w:val="auto"/>
          <w:szCs w:val="24"/>
          <w:highlight w:val="none"/>
        </w:rPr>
      </w:pPr>
      <w:r>
        <w:rPr>
          <w:rFonts w:hint="eastAsia"/>
          <w:b/>
          <w:bCs/>
          <w:color w:val="auto"/>
          <w:szCs w:val="24"/>
          <w:highlight w:val="none"/>
        </w:rPr>
        <w:t>5</w:t>
      </w:r>
      <w:r>
        <w:rPr>
          <w:rFonts w:hint="eastAsia"/>
          <w:color w:val="auto"/>
          <w:szCs w:val="24"/>
          <w:highlight w:val="none"/>
        </w:rPr>
        <w:t xml:space="preserve"> </w:t>
      </w:r>
      <w:r>
        <w:rPr>
          <w:rFonts w:hint="eastAsia"/>
          <w:color w:val="auto"/>
          <w:szCs w:val="24"/>
          <w:highlight w:val="none"/>
          <w:lang w:val="en-US" w:eastAsia="zh-CN"/>
        </w:rPr>
        <w:t xml:space="preserve"> </w:t>
      </w:r>
      <w:r>
        <w:rPr>
          <w:rFonts w:hint="eastAsia"/>
          <w:color w:val="auto"/>
          <w:szCs w:val="24"/>
          <w:highlight w:val="none"/>
        </w:rPr>
        <w:t>排水管道安装完成后应进行整个排水系统的灌水及通球试验；给水管道应进行整个系统的严密性及强度试验，试验结果应满足设计要求。</w:t>
      </w:r>
    </w:p>
    <w:p w14:paraId="4188EB41">
      <w:pPr>
        <w:ind w:firstLine="0"/>
        <w:rPr>
          <w:color w:val="auto"/>
          <w:szCs w:val="24"/>
          <w:highlight w:val="none"/>
        </w:rPr>
      </w:pPr>
      <w:bookmarkStart w:id="1198" w:name="_Toc18267"/>
      <w:bookmarkStart w:id="1199" w:name="_Toc831"/>
      <w:r>
        <w:rPr>
          <w:rFonts w:hint="eastAsia"/>
          <w:b/>
          <w:bCs/>
          <w:color w:val="auto"/>
          <w:szCs w:val="24"/>
          <w:highlight w:val="none"/>
        </w:rPr>
        <w:t>10.</w:t>
      </w:r>
      <w:r>
        <w:rPr>
          <w:b/>
          <w:bCs/>
          <w:color w:val="auto"/>
          <w:szCs w:val="24"/>
          <w:highlight w:val="none"/>
        </w:rPr>
        <w:t>4</w:t>
      </w:r>
      <w:r>
        <w:rPr>
          <w:rFonts w:hint="eastAsia"/>
          <w:b/>
          <w:bCs/>
          <w:color w:val="auto"/>
          <w:szCs w:val="24"/>
          <w:highlight w:val="none"/>
        </w:rPr>
        <w:t>.2</w:t>
      </w:r>
      <w:r>
        <w:rPr>
          <w:b/>
          <w:bCs/>
          <w:color w:val="auto"/>
          <w:szCs w:val="24"/>
          <w:highlight w:val="none"/>
        </w:rPr>
        <w:t xml:space="preserve">  </w:t>
      </w:r>
      <w:r>
        <w:rPr>
          <w:rFonts w:hint="eastAsia"/>
          <w:color w:val="auto"/>
          <w:szCs w:val="24"/>
          <w:highlight w:val="none"/>
        </w:rPr>
        <w:t>模块内电气系统、电气装置等的检测应符合现行国家标准《建筑电气工程施工质量验收规范》GB 50303 的有关规定。</w:t>
      </w:r>
      <w:bookmarkEnd w:id="1198"/>
      <w:bookmarkEnd w:id="1199"/>
    </w:p>
    <w:p w14:paraId="7939589F">
      <w:pPr>
        <w:widowControl/>
        <w:spacing w:line="360" w:lineRule="exact"/>
        <w:ind w:firstLine="0"/>
        <w:jc w:val="left"/>
        <w:rPr>
          <w:rFonts w:hint="eastAsia"/>
          <w:color w:val="auto"/>
          <w:highlight w:val="none"/>
        </w:rPr>
      </w:pPr>
      <w:r>
        <w:rPr>
          <w:rFonts w:hint="eastAsia"/>
          <w:b/>
          <w:bCs/>
          <w:color w:val="auto"/>
          <w:szCs w:val="24"/>
          <w:highlight w:val="none"/>
        </w:rPr>
        <w:t>10.</w:t>
      </w:r>
      <w:r>
        <w:rPr>
          <w:b/>
          <w:bCs/>
          <w:color w:val="auto"/>
          <w:szCs w:val="24"/>
          <w:highlight w:val="none"/>
        </w:rPr>
        <w:t>4</w:t>
      </w:r>
      <w:r>
        <w:rPr>
          <w:rFonts w:hint="eastAsia"/>
          <w:b/>
          <w:bCs/>
          <w:color w:val="auto"/>
          <w:szCs w:val="24"/>
          <w:highlight w:val="none"/>
        </w:rPr>
        <w:t xml:space="preserve">.3  </w:t>
      </w:r>
      <w:r>
        <w:rPr>
          <w:rFonts w:hint="eastAsia"/>
          <w:color w:val="auto"/>
          <w:highlight w:val="none"/>
        </w:rPr>
        <w:t>模块内暖通、通风系统的施工质量要求和验收标准应符合现行国家标准《通风与空调工程施工质量验收规范》GB 50243的有关规定。</w:t>
      </w:r>
    </w:p>
    <w:p w14:paraId="159AD182">
      <w:pPr>
        <w:ind w:firstLine="0"/>
        <w:rPr>
          <w:rFonts w:hint="eastAsia" w:eastAsia="宋体"/>
          <w:b w:val="0"/>
          <w:bCs/>
          <w:color w:val="auto"/>
          <w:highlight w:val="none"/>
          <w:lang w:val="en-US" w:eastAsia="zh-CN"/>
        </w:rPr>
      </w:pPr>
      <w:r>
        <w:rPr>
          <w:rFonts w:hint="eastAsia"/>
          <w:b/>
          <w:bCs/>
          <w:color w:val="auto"/>
          <w:highlight w:val="none"/>
        </w:rPr>
        <w:t>10.</w:t>
      </w:r>
      <w:r>
        <w:rPr>
          <w:rFonts w:hint="eastAsia"/>
          <w:b/>
          <w:bCs/>
          <w:color w:val="auto"/>
          <w:highlight w:val="none"/>
          <w:lang w:val="en-US" w:eastAsia="zh-CN"/>
        </w:rPr>
        <w:t>4</w:t>
      </w:r>
      <w:r>
        <w:rPr>
          <w:rFonts w:hint="eastAsia"/>
          <w:b/>
          <w:bCs/>
          <w:color w:val="auto"/>
          <w:highlight w:val="none"/>
        </w:rPr>
        <w:t>.</w:t>
      </w:r>
      <w:r>
        <w:rPr>
          <w:rFonts w:hint="eastAsia"/>
          <w:b/>
          <w:bCs/>
          <w:color w:val="auto"/>
          <w:highlight w:val="none"/>
          <w:lang w:val="en-US" w:eastAsia="zh-CN"/>
        </w:rPr>
        <w:t>4</w:t>
      </w:r>
      <w:r>
        <w:rPr>
          <w:rFonts w:hint="eastAsia"/>
          <w:b/>
          <w:bCs/>
          <w:color w:val="auto"/>
          <w:highlight w:val="none"/>
        </w:rPr>
        <w:t xml:space="preserve">  </w:t>
      </w:r>
      <w:r>
        <w:rPr>
          <w:rFonts w:hint="eastAsia"/>
          <w:b w:val="0"/>
          <w:bCs/>
          <w:color w:val="auto"/>
          <w:highlight w:val="none"/>
          <w:lang w:val="en-US" w:eastAsia="zh-CN"/>
        </w:rPr>
        <w:t>模块内</w:t>
      </w:r>
      <w:r>
        <w:rPr>
          <w:rFonts w:hint="eastAsia"/>
          <w:b w:val="0"/>
          <w:bCs/>
          <w:color w:val="auto"/>
          <w:highlight w:val="none"/>
        </w:rPr>
        <w:t>集成式卫生间、厨房地面的防水应进行</w:t>
      </w:r>
      <w:r>
        <w:rPr>
          <w:b w:val="0"/>
          <w:bCs/>
          <w:color w:val="auto"/>
          <w:highlight w:val="none"/>
        </w:rPr>
        <w:t xml:space="preserve"> 24h </w:t>
      </w:r>
      <w:r>
        <w:rPr>
          <w:rFonts w:hint="eastAsia"/>
          <w:b w:val="0"/>
          <w:bCs/>
          <w:color w:val="auto"/>
          <w:highlight w:val="none"/>
        </w:rPr>
        <w:t>蓄水试验，并出具蓄水试验报告，其排水坡度、通风装置、安装及检修用管道空间、地面防水层均应符合设计要求和现行标准规范的有关规定</w:t>
      </w:r>
      <w:r>
        <w:rPr>
          <w:rFonts w:hint="eastAsia"/>
          <w:b w:val="0"/>
          <w:bCs/>
          <w:color w:val="auto"/>
          <w:highlight w:val="none"/>
          <w:lang w:eastAsia="zh-CN"/>
        </w:rPr>
        <w:t>。</w:t>
      </w:r>
    </w:p>
    <w:p w14:paraId="2F0A0486">
      <w:pPr>
        <w:ind w:firstLine="0"/>
        <w:rPr>
          <w:rFonts w:hint="eastAsia"/>
          <w:b w:val="0"/>
          <w:bCs/>
          <w:color w:val="auto"/>
          <w:highlight w:val="none"/>
        </w:rPr>
      </w:pPr>
      <w:r>
        <w:rPr>
          <w:rFonts w:hint="eastAsia"/>
          <w:b/>
          <w:bCs w:val="0"/>
          <w:color w:val="auto"/>
          <w:highlight w:val="none"/>
          <w:lang w:val="en-US" w:eastAsia="zh-CN"/>
        </w:rPr>
        <w:t xml:space="preserve">10.4.5 </w:t>
      </w:r>
      <w:r>
        <w:rPr>
          <w:rFonts w:hint="eastAsia"/>
          <w:b w:val="0"/>
          <w:bCs/>
          <w:color w:val="auto"/>
          <w:highlight w:val="none"/>
        </w:rPr>
        <w:t>模块单元组合安装完成后，应按现行规范及设计要求，对成品</w:t>
      </w:r>
      <w:r>
        <w:rPr>
          <w:rFonts w:hint="eastAsia"/>
          <w:b w:val="0"/>
          <w:bCs/>
          <w:color w:val="auto"/>
          <w:highlight w:val="none"/>
          <w:lang w:val="en-US" w:eastAsia="zh-CN"/>
        </w:rPr>
        <w:t>设备管线及内装</w:t>
      </w:r>
      <w:r>
        <w:rPr>
          <w:rFonts w:hint="eastAsia"/>
          <w:b w:val="0"/>
          <w:bCs/>
          <w:color w:val="auto"/>
          <w:highlight w:val="none"/>
        </w:rPr>
        <w:t>进行检查验收，检查内容包括：</w:t>
      </w:r>
      <w:r>
        <w:rPr>
          <w:rFonts w:hint="eastAsia"/>
          <w:b w:val="0"/>
          <w:bCs/>
          <w:color w:val="auto"/>
          <w:highlight w:val="none"/>
          <w:lang w:val="en-US" w:eastAsia="zh-CN"/>
        </w:rPr>
        <w:t>机电管线连接质量</w:t>
      </w:r>
      <w:r>
        <w:rPr>
          <w:rFonts w:hint="eastAsia"/>
          <w:b w:val="0"/>
          <w:bCs/>
          <w:color w:val="auto"/>
          <w:highlight w:val="none"/>
        </w:rPr>
        <w:t>、室内给水排水检验、电器检验</w:t>
      </w:r>
      <w:r>
        <w:rPr>
          <w:rFonts w:hint="eastAsia"/>
          <w:b w:val="0"/>
          <w:bCs/>
          <w:color w:val="auto"/>
          <w:highlight w:val="none"/>
          <w:lang w:val="en-US" w:eastAsia="zh-CN"/>
        </w:rPr>
        <w:t>及内装接缝质量</w:t>
      </w:r>
      <w:r>
        <w:rPr>
          <w:rFonts w:hint="eastAsia"/>
          <w:b w:val="0"/>
          <w:bCs/>
          <w:color w:val="auto"/>
          <w:highlight w:val="none"/>
        </w:rPr>
        <w:t>等。</w:t>
      </w:r>
    </w:p>
    <w:p w14:paraId="57E3166C">
      <w:pPr>
        <w:pStyle w:val="3"/>
        <w:keepNext/>
        <w:keepLines/>
        <w:pageBreakBefore w:val="0"/>
        <w:widowControl w:val="0"/>
        <w:kinsoku/>
        <w:wordWrap/>
        <w:overflowPunct/>
        <w:topLinePunct w:val="0"/>
        <w:autoSpaceDE/>
        <w:autoSpaceDN/>
        <w:bidi w:val="0"/>
        <w:adjustRightInd/>
        <w:snapToGrid/>
        <w:spacing w:before="166" w:beforeLines="50" w:after="166" w:afterLines="50" w:line="360" w:lineRule="auto"/>
        <w:ind w:firstLine="0"/>
        <w:jc w:val="center"/>
        <w:textAlignment w:val="auto"/>
        <w:rPr>
          <w:rFonts w:ascii="Times New Roman" w:hAnsi="Times New Roman" w:eastAsia="黑体" w:cs="Times New Roman"/>
          <w:color w:val="auto"/>
          <w:sz w:val="24"/>
          <w:szCs w:val="24"/>
          <w:highlight w:val="none"/>
        </w:rPr>
      </w:pPr>
      <w:bookmarkStart w:id="1200" w:name="_Toc29207"/>
      <w:bookmarkStart w:id="1201" w:name="_Toc10853"/>
      <w:bookmarkStart w:id="1202" w:name="_Toc14711"/>
      <w:bookmarkStart w:id="1203" w:name="_Toc22662"/>
      <w:r>
        <w:rPr>
          <w:rFonts w:hint="eastAsia" w:ascii="Times New Roman" w:hAnsi="Times New Roman" w:eastAsia="黑体" w:cs="Times New Roman"/>
          <w:b/>
          <w:color w:val="auto"/>
          <w:sz w:val="24"/>
          <w:szCs w:val="24"/>
          <w:highlight w:val="none"/>
        </w:rPr>
        <w:t xml:space="preserve">10.5 </w:t>
      </w:r>
      <w:r>
        <w:rPr>
          <w:rFonts w:hint="eastAsia" w:ascii="Times New Roman" w:hAnsi="Times New Roman" w:eastAsia="黑体" w:cs="Times New Roman"/>
          <w:color w:val="auto"/>
          <w:sz w:val="24"/>
          <w:szCs w:val="24"/>
          <w:highlight w:val="none"/>
        </w:rPr>
        <w:t xml:space="preserve"> 实</w:t>
      </w:r>
      <w:r>
        <w:rPr>
          <w:rFonts w:hint="eastAsia" w:ascii="Times New Roman" w:hAnsi="Times New Roman" w:eastAsia="黑体" w:cs="Times New Roman"/>
          <w:color w:val="auto"/>
          <w:sz w:val="24"/>
          <w:szCs w:val="24"/>
          <w:highlight w:val="none"/>
          <w:lang w:val="en-US" w:eastAsia="zh-CN"/>
        </w:rPr>
        <w:t xml:space="preserve"> </w:t>
      </w:r>
      <w:r>
        <w:rPr>
          <w:rFonts w:hint="eastAsia" w:ascii="Times New Roman" w:hAnsi="Times New Roman" w:eastAsia="黑体" w:cs="Times New Roman"/>
          <w:color w:val="auto"/>
          <w:sz w:val="24"/>
          <w:szCs w:val="24"/>
          <w:highlight w:val="none"/>
        </w:rPr>
        <w:t>体</w:t>
      </w:r>
      <w:r>
        <w:rPr>
          <w:rFonts w:hint="eastAsia" w:ascii="Times New Roman" w:hAnsi="Times New Roman" w:eastAsia="黑体" w:cs="Times New Roman"/>
          <w:color w:val="auto"/>
          <w:sz w:val="24"/>
          <w:szCs w:val="24"/>
          <w:highlight w:val="none"/>
          <w:lang w:val="en-US" w:eastAsia="zh-CN"/>
        </w:rPr>
        <w:t xml:space="preserve"> </w:t>
      </w:r>
      <w:r>
        <w:rPr>
          <w:rFonts w:hint="eastAsia" w:ascii="Times New Roman" w:hAnsi="Times New Roman" w:eastAsia="黑体" w:cs="Times New Roman"/>
          <w:color w:val="auto"/>
          <w:sz w:val="24"/>
          <w:szCs w:val="24"/>
          <w:highlight w:val="none"/>
        </w:rPr>
        <w:t>检</w:t>
      </w:r>
      <w:r>
        <w:rPr>
          <w:rFonts w:hint="eastAsia" w:ascii="Times New Roman" w:hAnsi="Times New Roman" w:eastAsia="黑体" w:cs="Times New Roman"/>
          <w:color w:val="auto"/>
          <w:sz w:val="24"/>
          <w:szCs w:val="24"/>
          <w:highlight w:val="none"/>
          <w:lang w:val="en-US" w:eastAsia="zh-CN"/>
        </w:rPr>
        <w:t xml:space="preserve"> </w:t>
      </w:r>
      <w:r>
        <w:rPr>
          <w:rFonts w:hint="eastAsia" w:ascii="Times New Roman" w:hAnsi="Times New Roman" w:eastAsia="黑体" w:cs="Times New Roman"/>
          <w:color w:val="auto"/>
          <w:sz w:val="24"/>
          <w:szCs w:val="24"/>
          <w:highlight w:val="none"/>
        </w:rPr>
        <w:t>验</w:t>
      </w:r>
      <w:bookmarkEnd w:id="1200"/>
      <w:bookmarkEnd w:id="1201"/>
      <w:bookmarkEnd w:id="1202"/>
      <w:bookmarkEnd w:id="1203"/>
    </w:p>
    <w:p w14:paraId="0CA61531">
      <w:pPr>
        <w:ind w:firstLine="0"/>
        <w:rPr>
          <w:color w:val="auto"/>
          <w:highlight w:val="none"/>
        </w:rPr>
      </w:pPr>
      <w:r>
        <w:rPr>
          <w:rFonts w:hint="eastAsia"/>
          <w:b/>
          <w:bCs/>
          <w:color w:val="auto"/>
          <w:highlight w:val="none"/>
        </w:rPr>
        <w:t>10.5.</w:t>
      </w:r>
      <w:r>
        <w:rPr>
          <w:b/>
          <w:bCs/>
          <w:color w:val="auto"/>
          <w:highlight w:val="none"/>
        </w:rPr>
        <w:t xml:space="preserve">1  </w:t>
      </w:r>
      <w:r>
        <w:rPr>
          <w:rFonts w:hint="eastAsia"/>
          <w:color w:val="auto"/>
          <w:highlight w:val="none"/>
        </w:rPr>
        <w:t>混凝土模块空腔内的后浇混凝土应密实。</w:t>
      </w:r>
    </w:p>
    <w:p w14:paraId="023FD74D">
      <w:pPr>
        <w:ind w:firstLine="420" w:firstLineChars="200"/>
        <w:rPr>
          <w:color w:val="auto"/>
          <w:highlight w:val="none"/>
        </w:rPr>
      </w:pPr>
      <w:r>
        <w:rPr>
          <w:rFonts w:hint="eastAsia"/>
          <w:color w:val="auto"/>
          <w:highlight w:val="none"/>
        </w:rPr>
        <w:t>检查数量：应符合现行国家标准《装配式住宅建筑检测技术标准》</w:t>
      </w:r>
      <w:r>
        <w:rPr>
          <w:color w:val="auto"/>
          <w:highlight w:val="none"/>
        </w:rPr>
        <w:t>JGJ</w:t>
      </w:r>
      <w:r>
        <w:rPr>
          <w:rFonts w:hint="eastAsia"/>
          <w:color w:val="auto"/>
          <w:highlight w:val="none"/>
          <w:lang w:val="en-US" w:eastAsia="zh-CN"/>
        </w:rPr>
        <w:t>/</w:t>
      </w:r>
      <w:r>
        <w:rPr>
          <w:color w:val="auto"/>
          <w:highlight w:val="none"/>
        </w:rPr>
        <w:t>T 485</w:t>
      </w:r>
      <w:r>
        <w:rPr>
          <w:rFonts w:hint="eastAsia"/>
          <w:color w:val="auto"/>
          <w:highlight w:val="none"/>
        </w:rPr>
        <w:t>有关要求。</w:t>
      </w:r>
    </w:p>
    <w:p w14:paraId="53D4B207">
      <w:pPr>
        <w:ind w:firstLine="420" w:firstLineChars="200"/>
        <w:rPr>
          <w:color w:val="auto"/>
          <w:highlight w:val="none"/>
        </w:rPr>
      </w:pPr>
      <w:r>
        <w:rPr>
          <w:rFonts w:hint="eastAsia"/>
          <w:color w:val="auto"/>
          <w:highlight w:val="none"/>
        </w:rPr>
        <w:t>检验方法：超声法、阵列超声成像法、冲击回波法检测。</w:t>
      </w:r>
    </w:p>
    <w:p w14:paraId="59571000">
      <w:pPr>
        <w:ind w:firstLine="0"/>
        <w:rPr>
          <w:color w:val="auto"/>
          <w:highlight w:val="none"/>
        </w:rPr>
      </w:pPr>
      <w:r>
        <w:rPr>
          <w:rFonts w:hint="eastAsia"/>
          <w:b/>
          <w:bCs/>
          <w:color w:val="auto"/>
          <w:highlight w:val="none"/>
        </w:rPr>
        <w:t>10.5.2</w:t>
      </w:r>
      <w:r>
        <w:rPr>
          <w:rFonts w:hint="eastAsia"/>
          <w:b/>
          <w:color w:val="auto"/>
          <w:highlight w:val="none"/>
        </w:rPr>
        <w:t xml:space="preserve"> </w:t>
      </w:r>
      <w:r>
        <w:rPr>
          <w:rFonts w:hint="eastAsia"/>
          <w:color w:val="auto"/>
          <w:highlight w:val="none"/>
        </w:rPr>
        <w:t xml:space="preserve"> 现浇混凝土强度应按不同强度等级分别检验。</w:t>
      </w:r>
    </w:p>
    <w:p w14:paraId="422AC026">
      <w:pPr>
        <w:ind w:firstLine="420" w:firstLineChars="200"/>
        <w:rPr>
          <w:color w:val="auto"/>
          <w:highlight w:val="none"/>
        </w:rPr>
      </w:pPr>
      <w:r>
        <w:rPr>
          <w:rFonts w:hint="eastAsia"/>
          <w:color w:val="auto"/>
          <w:highlight w:val="none"/>
        </w:rPr>
        <w:t>检查数量：应符合现行国家标准《混凝土结构工程施工质量验收规范》GB50204有关要求。</w:t>
      </w:r>
    </w:p>
    <w:p w14:paraId="1A7AAD1D">
      <w:pPr>
        <w:ind w:firstLine="420" w:firstLineChars="200"/>
        <w:rPr>
          <w:color w:val="auto"/>
          <w:highlight w:val="none"/>
        </w:rPr>
      </w:pPr>
      <w:r>
        <w:rPr>
          <w:rFonts w:hint="eastAsia"/>
          <w:color w:val="auto"/>
          <w:highlight w:val="none"/>
        </w:rPr>
        <w:t>检查方法：对混凝土外露部位采用回弹法进行检测，当回弹检测强度不满足设计要求时采用钻芯法进行检测。</w:t>
      </w:r>
    </w:p>
    <w:p w14:paraId="69BCB2E6">
      <w:pPr>
        <w:ind w:firstLine="0"/>
        <w:rPr>
          <w:color w:val="auto"/>
          <w:highlight w:val="none"/>
        </w:rPr>
      </w:pPr>
      <w:r>
        <w:rPr>
          <w:rFonts w:hint="eastAsia"/>
          <w:b/>
          <w:bCs/>
          <w:color w:val="auto"/>
          <w:highlight w:val="none"/>
        </w:rPr>
        <w:t>10.5.3</w:t>
      </w:r>
      <w:r>
        <w:rPr>
          <w:rFonts w:hint="eastAsia"/>
          <w:b/>
          <w:color w:val="auto"/>
          <w:highlight w:val="none"/>
        </w:rPr>
        <w:t xml:space="preserve"> </w:t>
      </w:r>
      <w:r>
        <w:rPr>
          <w:rFonts w:hint="eastAsia"/>
          <w:color w:val="auto"/>
          <w:highlight w:val="none"/>
        </w:rPr>
        <w:t xml:space="preserve"> 外墙接缝处应进行渗漏试验，试验前应关闭窗户，封闭各种预留洞口，检查雨后渗漏现象或现场淋水检验记录。</w:t>
      </w:r>
    </w:p>
    <w:p w14:paraId="1E827B26">
      <w:pPr>
        <w:ind w:firstLine="0"/>
        <w:rPr>
          <w:color w:val="auto"/>
          <w:highlight w:val="none"/>
        </w:rPr>
      </w:pPr>
      <w:r>
        <w:rPr>
          <w:rFonts w:hint="eastAsia"/>
          <w:b/>
          <w:bCs/>
          <w:color w:val="auto"/>
          <w:highlight w:val="none"/>
          <w:lang w:val="en-US" w:eastAsia="zh-CN"/>
        </w:rPr>
        <w:t xml:space="preserve">10.5.4  </w:t>
      </w:r>
      <w:r>
        <w:rPr>
          <w:rFonts w:hint="eastAsia"/>
          <w:color w:val="auto"/>
          <w:highlight w:val="none"/>
        </w:rPr>
        <w:t>钢筋工程、混凝土工程</w:t>
      </w:r>
      <w:r>
        <w:rPr>
          <w:rFonts w:hint="eastAsia"/>
          <w:color w:val="auto"/>
          <w:highlight w:val="none"/>
          <w:lang w:val="en-US" w:eastAsia="zh-CN"/>
        </w:rPr>
        <w:t>等质量验收除满足本标准外，尚</w:t>
      </w:r>
      <w:r>
        <w:rPr>
          <w:rFonts w:hint="eastAsia"/>
          <w:color w:val="auto"/>
          <w:highlight w:val="none"/>
        </w:rPr>
        <w:t>应符合现行国家标准《混凝土结构工程施工质量验收规范》GB 50204 中的有关规定。</w:t>
      </w:r>
    </w:p>
    <w:bookmarkEnd w:id="1015"/>
    <w:bookmarkEnd w:id="1016"/>
    <w:bookmarkEnd w:id="1017"/>
    <w:bookmarkEnd w:id="1018"/>
    <w:p w14:paraId="09CA0478">
      <w:pPr>
        <w:rPr>
          <w:rFonts w:hint="eastAsia"/>
          <w:color w:val="auto"/>
          <w:highlight w:val="none"/>
        </w:rPr>
      </w:pPr>
    </w:p>
    <w:p w14:paraId="23207212">
      <w:pPr>
        <w:widowControl/>
        <w:spacing w:line="360" w:lineRule="exact"/>
        <w:jc w:val="left"/>
        <w:rPr>
          <w:rFonts w:eastAsia="黑体"/>
          <w:bCs/>
          <w:color w:val="auto"/>
          <w:sz w:val="18"/>
          <w:szCs w:val="18"/>
          <w:highlight w:val="none"/>
        </w:rPr>
      </w:pPr>
      <w:r>
        <w:rPr>
          <w:rFonts w:eastAsia="黑体"/>
          <w:bCs/>
          <w:color w:val="auto"/>
          <w:sz w:val="18"/>
          <w:szCs w:val="18"/>
          <w:highlight w:val="none"/>
        </w:rPr>
        <w:br w:type="page"/>
      </w:r>
    </w:p>
    <w:p w14:paraId="2D94DD3F">
      <w:pPr>
        <w:pStyle w:val="2"/>
        <w:spacing w:before="166" w:beforeLines="50" w:after="166" w:afterLines="50" w:line="360" w:lineRule="auto"/>
        <w:jc w:val="center"/>
        <w:rPr>
          <w:rFonts w:eastAsia="黑体"/>
          <w:color w:val="auto"/>
          <w:sz w:val="28"/>
          <w:szCs w:val="28"/>
          <w:highlight w:val="none"/>
        </w:rPr>
      </w:pPr>
      <w:bookmarkStart w:id="1204" w:name="_Toc20825"/>
      <w:bookmarkStart w:id="1205" w:name="_Toc22751"/>
      <w:bookmarkStart w:id="1206" w:name="_Toc31676"/>
      <w:bookmarkStart w:id="1207" w:name="_Toc16428"/>
      <w:bookmarkStart w:id="1208" w:name="_Toc9371"/>
      <w:bookmarkStart w:id="1209" w:name="_Toc14666"/>
      <w:bookmarkStart w:id="1210" w:name="_Toc17095"/>
      <w:bookmarkStart w:id="1211" w:name="_Toc7219"/>
      <w:bookmarkStart w:id="1212" w:name="_Toc486"/>
      <w:r>
        <w:rPr>
          <w:rFonts w:eastAsia="黑体"/>
          <w:color w:val="auto"/>
          <w:sz w:val="28"/>
          <w:szCs w:val="28"/>
          <w:highlight w:val="none"/>
        </w:rPr>
        <w:t>1</w:t>
      </w:r>
      <w:r>
        <w:rPr>
          <w:rFonts w:hint="eastAsia" w:eastAsia="黑体"/>
          <w:color w:val="auto"/>
          <w:sz w:val="28"/>
          <w:szCs w:val="28"/>
          <w:highlight w:val="none"/>
        </w:rPr>
        <w:t>1</w:t>
      </w:r>
      <w:r>
        <w:rPr>
          <w:rFonts w:eastAsia="黑体"/>
          <w:color w:val="auto"/>
          <w:sz w:val="28"/>
          <w:szCs w:val="28"/>
          <w:highlight w:val="none"/>
        </w:rPr>
        <w:t xml:space="preserve">  智能建造与运维</w:t>
      </w:r>
      <w:bookmarkEnd w:id="1204"/>
      <w:bookmarkEnd w:id="1205"/>
      <w:bookmarkEnd w:id="1206"/>
      <w:bookmarkEnd w:id="1207"/>
      <w:bookmarkEnd w:id="1208"/>
      <w:bookmarkEnd w:id="1209"/>
      <w:bookmarkEnd w:id="1210"/>
      <w:bookmarkEnd w:id="1211"/>
      <w:bookmarkEnd w:id="1212"/>
    </w:p>
    <w:p w14:paraId="36051E55">
      <w:pPr>
        <w:pStyle w:val="3"/>
        <w:spacing w:before="166" w:beforeLines="50" w:after="166" w:afterLines="50" w:line="360" w:lineRule="auto"/>
        <w:jc w:val="center"/>
        <w:rPr>
          <w:rFonts w:ascii="Times New Roman" w:hAnsi="Times New Roman" w:eastAsia="黑体" w:cs="Times New Roman"/>
          <w:color w:val="auto"/>
          <w:sz w:val="24"/>
          <w:szCs w:val="24"/>
          <w:highlight w:val="none"/>
        </w:rPr>
      </w:pPr>
      <w:bookmarkStart w:id="1213" w:name="_Toc19741"/>
      <w:bookmarkStart w:id="1214" w:name="_Toc6151"/>
      <w:bookmarkStart w:id="1215" w:name="_Toc23328"/>
      <w:bookmarkStart w:id="1216" w:name="_Toc20235"/>
      <w:bookmarkStart w:id="1217" w:name="_Toc3500"/>
      <w:bookmarkStart w:id="1218" w:name="_Toc14890"/>
      <w:bookmarkStart w:id="1219" w:name="_Toc2335"/>
      <w:bookmarkStart w:id="1220" w:name="_Toc3335"/>
      <w:bookmarkStart w:id="1221" w:name="_Toc27823"/>
      <w:r>
        <w:rPr>
          <w:rFonts w:hint="eastAsia" w:ascii="Times New Roman" w:hAnsi="Times New Roman" w:eastAsia="黑体" w:cs="Times New Roman"/>
          <w:b/>
          <w:color w:val="auto"/>
          <w:sz w:val="24"/>
          <w:szCs w:val="24"/>
          <w:highlight w:val="none"/>
        </w:rPr>
        <w:t>11.</w:t>
      </w:r>
      <w:r>
        <w:rPr>
          <w:rFonts w:ascii="Times New Roman" w:hAnsi="Times New Roman" w:eastAsia="黑体" w:cs="Times New Roman"/>
          <w:b/>
          <w:color w:val="auto"/>
          <w:sz w:val="24"/>
          <w:szCs w:val="24"/>
          <w:highlight w:val="none"/>
        </w:rPr>
        <w:t xml:space="preserve">1 </w:t>
      </w:r>
      <w:r>
        <w:rPr>
          <w:rFonts w:ascii="Times New Roman" w:hAnsi="Times New Roman" w:eastAsia="黑体" w:cs="Times New Roman"/>
          <w:color w:val="auto"/>
          <w:sz w:val="24"/>
          <w:szCs w:val="24"/>
          <w:highlight w:val="none"/>
        </w:rPr>
        <w:t xml:space="preserve"> 一 般 规 定</w:t>
      </w:r>
      <w:bookmarkEnd w:id="1213"/>
      <w:bookmarkEnd w:id="1214"/>
      <w:bookmarkEnd w:id="1215"/>
      <w:bookmarkEnd w:id="1216"/>
      <w:bookmarkEnd w:id="1217"/>
      <w:bookmarkEnd w:id="1218"/>
      <w:bookmarkEnd w:id="1219"/>
      <w:bookmarkEnd w:id="1220"/>
      <w:bookmarkEnd w:id="1221"/>
    </w:p>
    <w:p w14:paraId="1ECA661F">
      <w:pPr>
        <w:widowControl/>
        <w:spacing w:line="360" w:lineRule="exact"/>
        <w:rPr>
          <w:color w:val="auto"/>
          <w:szCs w:val="21"/>
          <w:highlight w:val="none"/>
          <w:lang w:eastAsia="zh"/>
        </w:rPr>
      </w:pPr>
      <w:r>
        <w:rPr>
          <w:rFonts w:hint="eastAsia"/>
          <w:b/>
          <w:bCs/>
          <w:color w:val="auto"/>
          <w:szCs w:val="21"/>
          <w:highlight w:val="none"/>
        </w:rPr>
        <w:t>11.</w:t>
      </w:r>
      <w:r>
        <w:rPr>
          <w:b/>
          <w:bCs/>
          <w:color w:val="auto"/>
          <w:szCs w:val="21"/>
          <w:highlight w:val="none"/>
          <w:lang w:eastAsia="zh"/>
        </w:rPr>
        <w:t>1.1</w:t>
      </w:r>
      <w:r>
        <w:rPr>
          <w:b/>
          <w:color w:val="auto"/>
          <w:szCs w:val="21"/>
          <w:highlight w:val="none"/>
          <w:lang w:eastAsia="zh"/>
        </w:rPr>
        <w:t xml:space="preserve"> </w:t>
      </w:r>
      <w:r>
        <w:rPr>
          <w:color w:val="auto"/>
          <w:szCs w:val="21"/>
          <w:highlight w:val="none"/>
          <w:lang w:eastAsia="zh"/>
        </w:rPr>
        <w:t xml:space="preserve"> 混凝土模块化建筑的建造应采用</w:t>
      </w:r>
      <w:r>
        <w:rPr>
          <w:color w:val="auto"/>
          <w:szCs w:val="21"/>
          <w:highlight w:val="none"/>
        </w:rPr>
        <w:t>信息化管理</w:t>
      </w:r>
      <w:r>
        <w:rPr>
          <w:color w:val="auto"/>
          <w:szCs w:val="21"/>
          <w:highlight w:val="none"/>
          <w:lang w:eastAsia="zh"/>
        </w:rPr>
        <w:t>平台，并宜实现设计、</w:t>
      </w:r>
      <w:r>
        <w:rPr>
          <w:color w:val="auto"/>
          <w:szCs w:val="21"/>
          <w:highlight w:val="none"/>
        </w:rPr>
        <w:t>采购、</w:t>
      </w:r>
      <w:r>
        <w:rPr>
          <w:color w:val="auto"/>
          <w:szCs w:val="21"/>
          <w:highlight w:val="none"/>
          <w:lang w:eastAsia="zh"/>
        </w:rPr>
        <w:t>生产、运输、施工安装</w:t>
      </w:r>
      <w:r>
        <w:rPr>
          <w:rFonts w:hint="eastAsia"/>
          <w:color w:val="auto"/>
          <w:szCs w:val="21"/>
          <w:highlight w:val="none"/>
        </w:rPr>
        <w:t>、检测验收</w:t>
      </w:r>
      <w:r>
        <w:rPr>
          <w:color w:val="auto"/>
          <w:szCs w:val="21"/>
          <w:highlight w:val="none"/>
          <w:lang w:eastAsia="zh"/>
        </w:rPr>
        <w:t>及运维全过程数字化管理。</w:t>
      </w:r>
    </w:p>
    <w:p w14:paraId="318AD391">
      <w:pPr>
        <w:widowControl/>
        <w:spacing w:line="360" w:lineRule="exact"/>
        <w:rPr>
          <w:color w:val="auto"/>
          <w:szCs w:val="21"/>
          <w:highlight w:val="none"/>
          <w:lang w:eastAsia="zh"/>
        </w:rPr>
      </w:pPr>
      <w:r>
        <w:rPr>
          <w:rFonts w:hint="eastAsia"/>
          <w:b/>
          <w:bCs/>
          <w:color w:val="auto"/>
          <w:szCs w:val="21"/>
          <w:highlight w:val="none"/>
        </w:rPr>
        <w:t>11.</w:t>
      </w:r>
      <w:r>
        <w:rPr>
          <w:b/>
          <w:bCs/>
          <w:color w:val="auto"/>
          <w:szCs w:val="21"/>
          <w:highlight w:val="none"/>
          <w:lang w:eastAsia="zh"/>
        </w:rPr>
        <w:t>1.2</w:t>
      </w:r>
      <w:r>
        <w:rPr>
          <w:b/>
          <w:color w:val="auto"/>
          <w:szCs w:val="21"/>
          <w:highlight w:val="none"/>
          <w:lang w:eastAsia="zh"/>
        </w:rPr>
        <w:t xml:space="preserve"> </w:t>
      </w:r>
      <w:r>
        <w:rPr>
          <w:color w:val="auto"/>
          <w:szCs w:val="21"/>
          <w:highlight w:val="none"/>
          <w:lang w:eastAsia="zh"/>
        </w:rPr>
        <w:t xml:space="preserve"> 信息化管理平台的数据应长期保存，并应具备可追溯性</w:t>
      </w:r>
      <w:r>
        <w:rPr>
          <w:color w:val="auto"/>
          <w:szCs w:val="21"/>
          <w:highlight w:val="none"/>
        </w:rPr>
        <w:t>。</w:t>
      </w:r>
      <w:r>
        <w:rPr>
          <w:color w:val="auto"/>
          <w:szCs w:val="21"/>
          <w:highlight w:val="none"/>
          <w:lang w:eastAsia="zh"/>
        </w:rPr>
        <w:t>设计、</w:t>
      </w:r>
      <w:r>
        <w:rPr>
          <w:color w:val="auto"/>
          <w:szCs w:val="21"/>
          <w:highlight w:val="none"/>
        </w:rPr>
        <w:t>采购、</w:t>
      </w:r>
      <w:r>
        <w:rPr>
          <w:color w:val="auto"/>
          <w:szCs w:val="21"/>
          <w:highlight w:val="none"/>
          <w:lang w:eastAsia="zh"/>
        </w:rPr>
        <w:t>生产、施工、运维等各子系统数据应互联互通，数据存储方式宜采用区块链技术实现。</w:t>
      </w:r>
    </w:p>
    <w:p w14:paraId="15C6E9E7">
      <w:pPr>
        <w:pStyle w:val="3"/>
        <w:spacing w:before="166" w:beforeLines="50" w:after="166" w:afterLines="50" w:line="360" w:lineRule="auto"/>
        <w:jc w:val="center"/>
        <w:rPr>
          <w:rFonts w:ascii="Times New Roman" w:hAnsi="Times New Roman" w:eastAsia="黑体" w:cs="Times New Roman"/>
          <w:color w:val="auto"/>
          <w:sz w:val="24"/>
          <w:szCs w:val="24"/>
          <w:highlight w:val="none"/>
        </w:rPr>
      </w:pPr>
      <w:bookmarkStart w:id="1222" w:name="_Toc7675"/>
      <w:bookmarkStart w:id="1223" w:name="_Toc16574"/>
      <w:bookmarkStart w:id="1224" w:name="_Toc3028"/>
      <w:bookmarkStart w:id="1225" w:name="_Toc18747"/>
      <w:bookmarkStart w:id="1226" w:name="_Toc32519"/>
      <w:bookmarkStart w:id="1227" w:name="_Toc1674"/>
      <w:bookmarkStart w:id="1228" w:name="_Toc16110"/>
      <w:bookmarkStart w:id="1229" w:name="_Toc10190"/>
      <w:bookmarkStart w:id="1230" w:name="_Toc5856"/>
      <w:r>
        <w:rPr>
          <w:rFonts w:hint="eastAsia" w:ascii="Times New Roman" w:hAnsi="Times New Roman" w:eastAsia="黑体" w:cs="Times New Roman"/>
          <w:b/>
          <w:color w:val="auto"/>
          <w:sz w:val="24"/>
          <w:szCs w:val="24"/>
          <w:highlight w:val="none"/>
        </w:rPr>
        <w:t>11.</w:t>
      </w:r>
      <w:r>
        <w:rPr>
          <w:rFonts w:ascii="Times New Roman" w:hAnsi="Times New Roman" w:eastAsia="黑体" w:cs="Times New Roman"/>
          <w:b/>
          <w:color w:val="auto"/>
          <w:sz w:val="24"/>
          <w:szCs w:val="24"/>
          <w:highlight w:val="none"/>
        </w:rPr>
        <w:t xml:space="preserve">2 </w:t>
      </w:r>
      <w:r>
        <w:rPr>
          <w:rFonts w:ascii="Times New Roman" w:hAnsi="Times New Roman" w:eastAsia="黑体" w:cs="Times New Roman"/>
          <w:color w:val="auto"/>
          <w:sz w:val="24"/>
          <w:szCs w:val="24"/>
          <w:highlight w:val="none"/>
        </w:rPr>
        <w:t xml:space="preserve"> 建筑信息模型</w:t>
      </w:r>
      <w:bookmarkEnd w:id="1222"/>
      <w:bookmarkEnd w:id="1223"/>
      <w:bookmarkEnd w:id="1224"/>
      <w:bookmarkEnd w:id="1225"/>
      <w:bookmarkEnd w:id="1226"/>
      <w:bookmarkEnd w:id="1227"/>
      <w:bookmarkEnd w:id="1228"/>
      <w:bookmarkEnd w:id="1229"/>
      <w:bookmarkEnd w:id="1230"/>
    </w:p>
    <w:p w14:paraId="7D85B424">
      <w:pPr>
        <w:widowControl/>
        <w:spacing w:line="360" w:lineRule="exact"/>
        <w:rPr>
          <w:color w:val="auto"/>
          <w:szCs w:val="21"/>
          <w:highlight w:val="none"/>
          <w:lang w:eastAsia="zh"/>
        </w:rPr>
      </w:pPr>
      <w:r>
        <w:rPr>
          <w:rFonts w:hint="eastAsia"/>
          <w:b/>
          <w:bCs/>
          <w:color w:val="auto"/>
          <w:highlight w:val="none"/>
        </w:rPr>
        <w:t>11.</w:t>
      </w:r>
      <w:r>
        <w:rPr>
          <w:b/>
          <w:bCs/>
          <w:color w:val="auto"/>
          <w:szCs w:val="21"/>
          <w:highlight w:val="none"/>
          <w:lang w:eastAsia="zh"/>
        </w:rPr>
        <w:t>2.1</w:t>
      </w:r>
      <w:r>
        <w:rPr>
          <w:b/>
          <w:color w:val="auto"/>
          <w:szCs w:val="21"/>
          <w:highlight w:val="none"/>
          <w:lang w:eastAsia="zh"/>
        </w:rPr>
        <w:t xml:space="preserve"> </w:t>
      </w:r>
      <w:r>
        <w:rPr>
          <w:color w:val="auto"/>
          <w:szCs w:val="21"/>
          <w:highlight w:val="none"/>
          <w:lang w:eastAsia="zh"/>
        </w:rPr>
        <w:t xml:space="preserve"> 混凝土模块化建筑应采用建筑信息模型</w:t>
      </w:r>
      <w:r>
        <w:rPr>
          <w:color w:val="auto"/>
          <w:szCs w:val="21"/>
          <w:highlight w:val="none"/>
        </w:rPr>
        <w:t>（BIM）</w:t>
      </w:r>
      <w:r>
        <w:rPr>
          <w:color w:val="auto"/>
          <w:szCs w:val="21"/>
          <w:highlight w:val="none"/>
          <w:lang w:eastAsia="zh"/>
        </w:rPr>
        <w:t>技术进行方案设计、</w:t>
      </w:r>
      <w:r>
        <w:rPr>
          <w:color w:val="auto"/>
          <w:szCs w:val="21"/>
          <w:highlight w:val="none"/>
        </w:rPr>
        <w:t>初步设计、</w:t>
      </w:r>
      <w:r>
        <w:rPr>
          <w:color w:val="auto"/>
          <w:szCs w:val="21"/>
          <w:highlight w:val="none"/>
          <w:lang w:eastAsia="zh"/>
        </w:rPr>
        <w:t>施工图设计及深化设计，并宜采用正向设计技术。</w:t>
      </w:r>
    </w:p>
    <w:p w14:paraId="613C80E8">
      <w:pPr>
        <w:widowControl/>
        <w:spacing w:line="360" w:lineRule="exact"/>
        <w:rPr>
          <w:color w:val="auto"/>
          <w:szCs w:val="21"/>
          <w:highlight w:val="none"/>
          <w:lang w:eastAsia="zh"/>
        </w:rPr>
      </w:pPr>
      <w:r>
        <w:rPr>
          <w:rFonts w:hint="eastAsia"/>
          <w:b/>
          <w:bCs/>
          <w:color w:val="auto"/>
          <w:szCs w:val="21"/>
          <w:highlight w:val="none"/>
        </w:rPr>
        <w:t>11.</w:t>
      </w:r>
      <w:r>
        <w:rPr>
          <w:b/>
          <w:bCs/>
          <w:color w:val="auto"/>
          <w:szCs w:val="21"/>
          <w:highlight w:val="none"/>
          <w:lang w:eastAsia="zh"/>
        </w:rPr>
        <w:t>2.2</w:t>
      </w:r>
      <w:r>
        <w:rPr>
          <w:b/>
          <w:color w:val="auto"/>
          <w:szCs w:val="21"/>
          <w:highlight w:val="none"/>
          <w:lang w:eastAsia="zh"/>
        </w:rPr>
        <w:t xml:space="preserve"> </w:t>
      </w:r>
      <w:r>
        <w:rPr>
          <w:color w:val="auto"/>
          <w:szCs w:val="21"/>
          <w:highlight w:val="none"/>
          <w:lang w:eastAsia="zh"/>
        </w:rPr>
        <w:t xml:space="preserve"> 混凝土模块化建筑的建筑信息模型正向设计应符合下列规定：</w:t>
      </w:r>
    </w:p>
    <w:p w14:paraId="23F5529B">
      <w:pPr>
        <w:widowControl/>
        <w:spacing w:line="360" w:lineRule="exact"/>
        <w:ind w:firstLine="422" w:firstLineChars="200"/>
        <w:rPr>
          <w:color w:val="auto"/>
          <w:szCs w:val="21"/>
          <w:highlight w:val="none"/>
          <w:lang w:eastAsia="zh"/>
        </w:rPr>
      </w:pPr>
      <w:r>
        <w:rPr>
          <w:b/>
          <w:bCs/>
          <w:color w:val="auto"/>
          <w:szCs w:val="21"/>
          <w:highlight w:val="none"/>
          <w:lang w:eastAsia="zh"/>
        </w:rPr>
        <w:t xml:space="preserve">1  </w:t>
      </w:r>
      <w:r>
        <w:rPr>
          <w:color w:val="auto"/>
          <w:szCs w:val="21"/>
          <w:highlight w:val="none"/>
          <w:lang w:eastAsia="zh"/>
        </w:rPr>
        <w:t>方案阶段应采用面向制造和装配的设计方法，</w:t>
      </w:r>
      <w:r>
        <w:rPr>
          <w:color w:val="auto"/>
          <w:szCs w:val="21"/>
          <w:highlight w:val="none"/>
        </w:rPr>
        <w:t>应在</w:t>
      </w:r>
      <w:r>
        <w:rPr>
          <w:color w:val="auto"/>
          <w:szCs w:val="21"/>
          <w:highlight w:val="none"/>
          <w:lang w:eastAsia="zh"/>
        </w:rPr>
        <w:t>方案设计</w:t>
      </w:r>
      <w:r>
        <w:rPr>
          <w:color w:val="auto"/>
          <w:szCs w:val="21"/>
          <w:highlight w:val="none"/>
        </w:rPr>
        <w:t>时考虑模块单元的布置与深化</w:t>
      </w:r>
      <w:r>
        <w:rPr>
          <w:color w:val="auto"/>
          <w:szCs w:val="21"/>
          <w:highlight w:val="none"/>
          <w:lang w:eastAsia="zh"/>
        </w:rPr>
        <w:t>；</w:t>
      </w:r>
    </w:p>
    <w:p w14:paraId="353BA0FD">
      <w:pPr>
        <w:widowControl/>
        <w:spacing w:line="360" w:lineRule="exact"/>
        <w:ind w:firstLine="422" w:firstLineChars="200"/>
        <w:rPr>
          <w:color w:val="auto"/>
          <w:szCs w:val="21"/>
          <w:highlight w:val="none"/>
          <w:lang w:eastAsia="zh"/>
        </w:rPr>
      </w:pPr>
      <w:r>
        <w:rPr>
          <w:b/>
          <w:bCs/>
          <w:color w:val="auto"/>
          <w:szCs w:val="21"/>
          <w:highlight w:val="none"/>
          <w:lang w:eastAsia="zh"/>
        </w:rPr>
        <w:t>2</w:t>
      </w:r>
      <w:r>
        <w:rPr>
          <w:color w:val="auto"/>
          <w:szCs w:val="21"/>
          <w:highlight w:val="none"/>
          <w:lang w:eastAsia="zh"/>
        </w:rPr>
        <w:t xml:space="preserve">  模块单元的深化设计，应包含</w:t>
      </w:r>
      <w:r>
        <w:rPr>
          <w:color w:val="auto"/>
          <w:szCs w:val="21"/>
          <w:highlight w:val="none"/>
        </w:rPr>
        <w:t>外围护深化、</w:t>
      </w:r>
      <w:r>
        <w:rPr>
          <w:color w:val="auto"/>
          <w:szCs w:val="21"/>
          <w:highlight w:val="none"/>
          <w:lang w:eastAsia="zh"/>
        </w:rPr>
        <w:t>结构深化、</w:t>
      </w:r>
      <w:r>
        <w:rPr>
          <w:color w:val="auto"/>
          <w:szCs w:val="21"/>
          <w:highlight w:val="none"/>
        </w:rPr>
        <w:t>机电</w:t>
      </w:r>
      <w:r>
        <w:rPr>
          <w:color w:val="auto"/>
          <w:szCs w:val="21"/>
          <w:highlight w:val="none"/>
          <w:lang w:eastAsia="zh"/>
        </w:rPr>
        <w:t>设备管线深化、</w:t>
      </w:r>
      <w:r>
        <w:rPr>
          <w:color w:val="auto"/>
          <w:szCs w:val="21"/>
          <w:highlight w:val="none"/>
        </w:rPr>
        <w:t>装饰</w:t>
      </w:r>
      <w:r>
        <w:rPr>
          <w:color w:val="auto"/>
          <w:szCs w:val="21"/>
          <w:highlight w:val="none"/>
          <w:lang w:eastAsia="zh"/>
        </w:rPr>
        <w:t>装修深化等。</w:t>
      </w:r>
    </w:p>
    <w:p w14:paraId="4B82040A">
      <w:pPr>
        <w:widowControl/>
        <w:spacing w:line="360" w:lineRule="exact"/>
        <w:rPr>
          <w:color w:val="auto"/>
          <w:szCs w:val="21"/>
          <w:highlight w:val="none"/>
          <w:lang w:eastAsia="zh"/>
        </w:rPr>
      </w:pPr>
      <w:bookmarkStart w:id="1231" w:name="_Toc17353"/>
      <w:bookmarkStart w:id="1232" w:name="_Toc25423"/>
      <w:bookmarkStart w:id="1233" w:name="_Toc26053"/>
      <w:bookmarkStart w:id="1234" w:name="_Toc19039"/>
      <w:r>
        <w:rPr>
          <w:rFonts w:hint="eastAsia"/>
          <w:b/>
          <w:bCs/>
          <w:color w:val="auto"/>
          <w:szCs w:val="21"/>
          <w:highlight w:val="none"/>
        </w:rPr>
        <w:t>11.</w:t>
      </w:r>
      <w:r>
        <w:rPr>
          <w:b/>
          <w:bCs/>
          <w:color w:val="auto"/>
          <w:szCs w:val="21"/>
          <w:highlight w:val="none"/>
          <w:lang w:eastAsia="zh"/>
        </w:rPr>
        <w:t>2.3</w:t>
      </w:r>
      <w:r>
        <w:rPr>
          <w:b/>
          <w:color w:val="auto"/>
          <w:szCs w:val="21"/>
          <w:highlight w:val="none"/>
          <w:lang w:eastAsia="zh"/>
        </w:rPr>
        <w:t xml:space="preserve"> </w:t>
      </w:r>
      <w:r>
        <w:rPr>
          <w:color w:val="auto"/>
          <w:szCs w:val="21"/>
          <w:highlight w:val="none"/>
          <w:lang w:eastAsia="zh"/>
        </w:rPr>
        <w:t xml:space="preserve"> 建筑信息模型的创建应符合下列规定：</w:t>
      </w:r>
      <w:bookmarkEnd w:id="1231"/>
      <w:bookmarkEnd w:id="1232"/>
      <w:bookmarkEnd w:id="1233"/>
      <w:bookmarkEnd w:id="1234"/>
    </w:p>
    <w:p w14:paraId="183D20B6">
      <w:pPr>
        <w:widowControl/>
        <w:spacing w:line="360" w:lineRule="exact"/>
        <w:ind w:firstLine="422" w:firstLineChars="200"/>
        <w:rPr>
          <w:color w:val="auto"/>
          <w:szCs w:val="21"/>
          <w:highlight w:val="none"/>
          <w:lang w:eastAsia="zh"/>
        </w:rPr>
      </w:pPr>
      <w:r>
        <w:rPr>
          <w:b/>
          <w:bCs/>
          <w:color w:val="auto"/>
          <w:szCs w:val="21"/>
          <w:highlight w:val="none"/>
          <w:lang w:eastAsia="zh"/>
        </w:rPr>
        <w:t>1</w:t>
      </w:r>
      <w:r>
        <w:rPr>
          <w:color w:val="auto"/>
          <w:szCs w:val="21"/>
          <w:highlight w:val="none"/>
          <w:lang w:eastAsia="zh"/>
        </w:rPr>
        <w:t xml:space="preserve">  建筑信息模型应根据项目的阶段和专业进行建筑信息模型创建规划，并应编写《建筑信息模型管理规则》，对模型文件采用统一的命名规则</w:t>
      </w:r>
      <w:r>
        <w:rPr>
          <w:color w:val="auto"/>
          <w:szCs w:val="21"/>
          <w:highlight w:val="none"/>
        </w:rPr>
        <w:t>、颜色规则、定位规则</w:t>
      </w:r>
      <w:r>
        <w:rPr>
          <w:color w:val="auto"/>
          <w:szCs w:val="21"/>
          <w:highlight w:val="none"/>
          <w:lang w:eastAsia="zh"/>
        </w:rPr>
        <w:t>；</w:t>
      </w:r>
    </w:p>
    <w:p w14:paraId="5CE6B0A8">
      <w:pPr>
        <w:widowControl/>
        <w:spacing w:line="360" w:lineRule="exact"/>
        <w:ind w:firstLine="422" w:firstLineChars="200"/>
        <w:rPr>
          <w:color w:val="auto"/>
          <w:szCs w:val="21"/>
          <w:highlight w:val="none"/>
          <w:lang w:eastAsia="zh"/>
        </w:rPr>
      </w:pPr>
      <w:r>
        <w:rPr>
          <w:b/>
          <w:bCs/>
          <w:color w:val="auto"/>
          <w:szCs w:val="21"/>
          <w:highlight w:val="none"/>
          <w:lang w:eastAsia="zh"/>
        </w:rPr>
        <w:t>2</w:t>
      </w:r>
      <w:r>
        <w:rPr>
          <w:color w:val="auto"/>
          <w:szCs w:val="21"/>
          <w:highlight w:val="none"/>
          <w:lang w:eastAsia="zh"/>
        </w:rPr>
        <w:t xml:space="preserve">  建筑信息模型应针对项目统一制定建筑信息模型的建模标准，并应编写《建筑信息模型建模标准》，确定各阶段建模内容、深度</w:t>
      </w:r>
      <w:r>
        <w:rPr>
          <w:color w:val="auto"/>
          <w:szCs w:val="21"/>
          <w:highlight w:val="none"/>
        </w:rPr>
        <w:t>及信息添加内容</w:t>
      </w:r>
      <w:r>
        <w:rPr>
          <w:color w:val="auto"/>
          <w:szCs w:val="21"/>
          <w:highlight w:val="none"/>
          <w:lang w:eastAsia="zh"/>
        </w:rPr>
        <w:t>；</w:t>
      </w:r>
    </w:p>
    <w:p w14:paraId="4A90A8D8">
      <w:pPr>
        <w:widowControl/>
        <w:spacing w:line="360" w:lineRule="exact"/>
        <w:ind w:firstLine="422" w:firstLineChars="200"/>
        <w:rPr>
          <w:color w:val="auto"/>
          <w:highlight w:val="none"/>
        </w:rPr>
      </w:pPr>
      <w:bookmarkStart w:id="1235" w:name="_Toc30368"/>
      <w:bookmarkStart w:id="1236" w:name="_Toc20"/>
      <w:bookmarkStart w:id="1237" w:name="_Toc23882"/>
      <w:bookmarkStart w:id="1238" w:name="_Toc30271"/>
      <w:r>
        <w:rPr>
          <w:b/>
          <w:bCs/>
          <w:color w:val="auto"/>
          <w:szCs w:val="21"/>
          <w:highlight w:val="none"/>
          <w:lang w:eastAsia="zh"/>
        </w:rPr>
        <w:t>3</w:t>
      </w:r>
      <w:r>
        <w:rPr>
          <w:color w:val="auto"/>
          <w:szCs w:val="21"/>
          <w:highlight w:val="none"/>
          <w:lang w:eastAsia="zh"/>
        </w:rPr>
        <w:t xml:space="preserve">  建筑信息模型应根据应用场景采用合理的建模精度。</w:t>
      </w:r>
      <w:bookmarkEnd w:id="1235"/>
      <w:bookmarkEnd w:id="1236"/>
      <w:bookmarkEnd w:id="1237"/>
      <w:bookmarkEnd w:id="1238"/>
    </w:p>
    <w:p w14:paraId="284ACC32">
      <w:pPr>
        <w:pStyle w:val="3"/>
        <w:spacing w:before="166" w:beforeLines="50" w:after="166" w:afterLines="50" w:line="360" w:lineRule="auto"/>
        <w:jc w:val="center"/>
        <w:rPr>
          <w:rFonts w:ascii="Times New Roman" w:hAnsi="Times New Roman" w:eastAsia="黑体" w:cs="Times New Roman"/>
          <w:color w:val="auto"/>
          <w:sz w:val="24"/>
          <w:szCs w:val="24"/>
          <w:highlight w:val="none"/>
        </w:rPr>
      </w:pPr>
      <w:bookmarkStart w:id="1239" w:name="_Toc1430"/>
      <w:bookmarkStart w:id="1240" w:name="_Toc6949"/>
      <w:bookmarkStart w:id="1241" w:name="_Toc26249"/>
      <w:bookmarkStart w:id="1242" w:name="_Toc2044"/>
      <w:bookmarkStart w:id="1243" w:name="_Toc23278"/>
      <w:bookmarkStart w:id="1244" w:name="_Toc6678"/>
      <w:bookmarkStart w:id="1245" w:name="_Toc22018"/>
      <w:bookmarkStart w:id="1246" w:name="_Toc11464"/>
      <w:bookmarkStart w:id="1247" w:name="_Toc30585"/>
      <w:r>
        <w:rPr>
          <w:rFonts w:hint="eastAsia" w:ascii="Times New Roman" w:hAnsi="Times New Roman" w:eastAsia="黑体" w:cs="Times New Roman"/>
          <w:b/>
          <w:color w:val="auto"/>
          <w:sz w:val="24"/>
          <w:szCs w:val="24"/>
          <w:highlight w:val="none"/>
        </w:rPr>
        <w:t>11.</w:t>
      </w:r>
      <w:r>
        <w:rPr>
          <w:rFonts w:ascii="Times New Roman" w:hAnsi="Times New Roman" w:eastAsia="黑体" w:cs="Times New Roman"/>
          <w:b/>
          <w:color w:val="auto"/>
          <w:sz w:val="24"/>
          <w:szCs w:val="24"/>
          <w:highlight w:val="none"/>
        </w:rPr>
        <w:t xml:space="preserve">3 </w:t>
      </w:r>
      <w:r>
        <w:rPr>
          <w:rFonts w:ascii="Times New Roman" w:hAnsi="Times New Roman" w:eastAsia="黑体" w:cs="Times New Roman"/>
          <w:color w:val="auto"/>
          <w:sz w:val="24"/>
          <w:szCs w:val="24"/>
          <w:highlight w:val="none"/>
        </w:rPr>
        <w:t xml:space="preserve"> 智能化生产和运输</w:t>
      </w:r>
      <w:bookmarkEnd w:id="1239"/>
      <w:bookmarkEnd w:id="1240"/>
      <w:bookmarkEnd w:id="1241"/>
      <w:bookmarkEnd w:id="1242"/>
      <w:bookmarkEnd w:id="1243"/>
      <w:bookmarkEnd w:id="1244"/>
      <w:bookmarkEnd w:id="1245"/>
      <w:bookmarkEnd w:id="1246"/>
      <w:bookmarkEnd w:id="1247"/>
    </w:p>
    <w:p w14:paraId="7FAE3969">
      <w:pPr>
        <w:widowControl/>
        <w:spacing w:line="360" w:lineRule="exact"/>
        <w:rPr>
          <w:color w:val="auto"/>
          <w:szCs w:val="21"/>
          <w:highlight w:val="none"/>
          <w:lang w:eastAsia="zh"/>
        </w:rPr>
      </w:pPr>
      <w:r>
        <w:rPr>
          <w:rFonts w:hint="eastAsia"/>
          <w:b/>
          <w:bCs w:val="0"/>
          <w:color w:val="auto"/>
          <w:highlight w:val="none"/>
        </w:rPr>
        <w:t>11.</w:t>
      </w:r>
      <w:r>
        <w:rPr>
          <w:b/>
          <w:bCs w:val="0"/>
          <w:color w:val="auto"/>
          <w:szCs w:val="21"/>
          <w:highlight w:val="none"/>
          <w:lang w:eastAsia="zh"/>
        </w:rPr>
        <w:t>3.1</w:t>
      </w:r>
      <w:r>
        <w:rPr>
          <w:b/>
          <w:color w:val="auto"/>
          <w:szCs w:val="21"/>
          <w:highlight w:val="none"/>
          <w:lang w:eastAsia="zh"/>
        </w:rPr>
        <w:t xml:space="preserve"> </w:t>
      </w:r>
      <w:r>
        <w:rPr>
          <w:color w:val="auto"/>
          <w:szCs w:val="21"/>
          <w:highlight w:val="none"/>
          <w:lang w:eastAsia="zh"/>
        </w:rPr>
        <w:t xml:space="preserve"> 应通过建筑信息模型实现对生产过程的可视化指导，并宜</w:t>
      </w:r>
      <w:r>
        <w:rPr>
          <w:color w:val="auto"/>
          <w:szCs w:val="21"/>
          <w:highlight w:val="none"/>
        </w:rPr>
        <w:t>通过</w:t>
      </w:r>
      <w:r>
        <w:rPr>
          <w:color w:val="auto"/>
          <w:szCs w:val="21"/>
          <w:highlight w:val="none"/>
          <w:lang w:eastAsia="zh"/>
        </w:rPr>
        <w:t>建筑信息模型</w:t>
      </w:r>
      <w:r>
        <w:rPr>
          <w:color w:val="auto"/>
          <w:szCs w:val="21"/>
          <w:highlight w:val="none"/>
        </w:rPr>
        <w:t>（BIM）</w:t>
      </w:r>
      <w:r>
        <w:rPr>
          <w:color w:val="auto"/>
          <w:szCs w:val="21"/>
          <w:highlight w:val="none"/>
          <w:lang w:eastAsia="zh"/>
        </w:rPr>
        <w:t>技术</w:t>
      </w:r>
      <w:r>
        <w:rPr>
          <w:color w:val="auto"/>
          <w:szCs w:val="21"/>
          <w:highlight w:val="none"/>
        </w:rPr>
        <w:t>进行深化设计，</w:t>
      </w:r>
      <w:r>
        <w:rPr>
          <w:color w:val="auto"/>
          <w:szCs w:val="21"/>
          <w:highlight w:val="none"/>
          <w:lang w:eastAsia="zh"/>
        </w:rPr>
        <w:t>自动导出物料清单。</w:t>
      </w:r>
    </w:p>
    <w:p w14:paraId="17E9EEC4">
      <w:pPr>
        <w:widowControl/>
        <w:spacing w:line="360" w:lineRule="exact"/>
        <w:rPr>
          <w:color w:val="auto"/>
          <w:szCs w:val="21"/>
          <w:highlight w:val="none"/>
          <w:lang w:eastAsia="zh"/>
        </w:rPr>
      </w:pPr>
      <w:r>
        <w:rPr>
          <w:rFonts w:hint="eastAsia"/>
          <w:b/>
          <w:bCs/>
          <w:color w:val="auto"/>
          <w:szCs w:val="21"/>
          <w:highlight w:val="none"/>
        </w:rPr>
        <w:t>11.</w:t>
      </w:r>
      <w:r>
        <w:rPr>
          <w:b/>
          <w:bCs/>
          <w:color w:val="auto"/>
          <w:szCs w:val="21"/>
          <w:highlight w:val="none"/>
          <w:lang w:eastAsia="zh"/>
        </w:rPr>
        <w:t>3.2</w:t>
      </w:r>
      <w:r>
        <w:rPr>
          <w:b/>
          <w:color w:val="auto"/>
          <w:szCs w:val="21"/>
          <w:highlight w:val="none"/>
          <w:lang w:eastAsia="zh"/>
        </w:rPr>
        <w:t xml:space="preserve"> </w:t>
      </w:r>
      <w:r>
        <w:rPr>
          <w:color w:val="auto"/>
          <w:szCs w:val="21"/>
          <w:highlight w:val="none"/>
          <w:lang w:eastAsia="zh"/>
        </w:rPr>
        <w:t xml:space="preserve"> 应采用信息化</w:t>
      </w:r>
      <w:r>
        <w:rPr>
          <w:color w:val="auto"/>
          <w:szCs w:val="21"/>
          <w:highlight w:val="none"/>
        </w:rPr>
        <w:t>平台</w:t>
      </w:r>
      <w:r>
        <w:rPr>
          <w:color w:val="auto"/>
          <w:szCs w:val="21"/>
          <w:highlight w:val="none"/>
          <w:lang w:eastAsia="zh"/>
        </w:rPr>
        <w:t>进行生产计划管理、隐蔽验收、成品检查、入库管理、发货管理。</w:t>
      </w:r>
    </w:p>
    <w:p w14:paraId="57F799BC">
      <w:pPr>
        <w:widowControl/>
        <w:spacing w:line="360" w:lineRule="exact"/>
        <w:rPr>
          <w:color w:val="auto"/>
          <w:szCs w:val="21"/>
          <w:highlight w:val="none"/>
          <w:lang w:eastAsia="zh"/>
        </w:rPr>
      </w:pPr>
      <w:r>
        <w:rPr>
          <w:rFonts w:hint="eastAsia"/>
          <w:b/>
          <w:bCs/>
          <w:color w:val="auto"/>
          <w:szCs w:val="21"/>
          <w:highlight w:val="none"/>
        </w:rPr>
        <w:t>11.</w:t>
      </w:r>
      <w:r>
        <w:rPr>
          <w:b/>
          <w:bCs/>
          <w:color w:val="auto"/>
          <w:szCs w:val="21"/>
          <w:highlight w:val="none"/>
          <w:lang w:eastAsia="zh"/>
        </w:rPr>
        <w:t>3.3</w:t>
      </w:r>
      <w:r>
        <w:rPr>
          <w:b/>
          <w:color w:val="auto"/>
          <w:szCs w:val="21"/>
          <w:highlight w:val="none"/>
          <w:lang w:eastAsia="zh"/>
        </w:rPr>
        <w:t xml:space="preserve"> </w:t>
      </w:r>
      <w:r>
        <w:rPr>
          <w:color w:val="auto"/>
          <w:szCs w:val="21"/>
          <w:highlight w:val="none"/>
          <w:lang w:eastAsia="zh"/>
        </w:rPr>
        <w:t xml:space="preserve"> 应采用信息化技术将模块单元的身份标识码与二维码绑定，并应全程追踪模块化单元的生产数据。</w:t>
      </w:r>
    </w:p>
    <w:p w14:paraId="6128DBE5">
      <w:pPr>
        <w:widowControl/>
        <w:spacing w:line="360" w:lineRule="exact"/>
        <w:rPr>
          <w:color w:val="auto"/>
          <w:szCs w:val="21"/>
          <w:highlight w:val="none"/>
          <w:lang w:eastAsia="zh"/>
        </w:rPr>
      </w:pPr>
      <w:r>
        <w:rPr>
          <w:rFonts w:hint="eastAsia"/>
          <w:b/>
          <w:bCs/>
          <w:color w:val="auto"/>
          <w:szCs w:val="21"/>
          <w:highlight w:val="none"/>
        </w:rPr>
        <w:t>11.</w:t>
      </w:r>
      <w:r>
        <w:rPr>
          <w:b/>
          <w:bCs/>
          <w:color w:val="auto"/>
          <w:szCs w:val="21"/>
          <w:highlight w:val="none"/>
          <w:lang w:eastAsia="zh"/>
        </w:rPr>
        <w:t>3.4</w:t>
      </w:r>
      <w:r>
        <w:rPr>
          <w:b/>
          <w:color w:val="auto"/>
          <w:szCs w:val="21"/>
          <w:highlight w:val="none"/>
          <w:lang w:eastAsia="zh"/>
        </w:rPr>
        <w:t xml:space="preserve"> </w:t>
      </w:r>
      <w:r>
        <w:rPr>
          <w:color w:val="auto"/>
          <w:szCs w:val="21"/>
          <w:highlight w:val="none"/>
          <w:lang w:eastAsia="zh"/>
        </w:rPr>
        <w:t xml:space="preserve"> 模块单元的运输宜采用智能交通系统进行物流运输管理，并宜实现可视化定位。</w:t>
      </w:r>
    </w:p>
    <w:p w14:paraId="676EB17B">
      <w:pPr>
        <w:pStyle w:val="3"/>
        <w:spacing w:before="166" w:beforeLines="50" w:after="166" w:afterLines="50" w:line="360" w:lineRule="auto"/>
        <w:jc w:val="center"/>
        <w:rPr>
          <w:rFonts w:ascii="Times New Roman" w:hAnsi="Times New Roman" w:eastAsia="黑体" w:cs="Times New Roman"/>
          <w:color w:val="auto"/>
          <w:sz w:val="24"/>
          <w:szCs w:val="24"/>
          <w:highlight w:val="none"/>
        </w:rPr>
      </w:pPr>
      <w:bookmarkStart w:id="1248" w:name="_Toc27153"/>
      <w:bookmarkStart w:id="1249" w:name="_Toc8"/>
      <w:bookmarkStart w:id="1250" w:name="_Toc8564"/>
      <w:bookmarkStart w:id="1251" w:name="_Toc30289"/>
      <w:bookmarkStart w:id="1252" w:name="_Toc6859"/>
      <w:bookmarkStart w:id="1253" w:name="_Toc6624"/>
      <w:bookmarkStart w:id="1254" w:name="_Toc31193"/>
      <w:bookmarkStart w:id="1255" w:name="_Toc11585"/>
      <w:bookmarkStart w:id="1256" w:name="_Toc30032"/>
      <w:r>
        <w:rPr>
          <w:rFonts w:hint="eastAsia" w:ascii="Times New Roman" w:hAnsi="Times New Roman" w:eastAsia="黑体" w:cs="Times New Roman"/>
          <w:b/>
          <w:color w:val="auto"/>
          <w:sz w:val="24"/>
          <w:szCs w:val="24"/>
          <w:highlight w:val="none"/>
        </w:rPr>
        <w:t>11.</w:t>
      </w:r>
      <w:r>
        <w:rPr>
          <w:rFonts w:ascii="Times New Roman" w:hAnsi="Times New Roman" w:eastAsia="黑体" w:cs="Times New Roman"/>
          <w:b/>
          <w:color w:val="auto"/>
          <w:sz w:val="24"/>
          <w:szCs w:val="24"/>
          <w:highlight w:val="none"/>
        </w:rPr>
        <w:t xml:space="preserve">4 </w:t>
      </w:r>
      <w:r>
        <w:rPr>
          <w:rFonts w:ascii="Times New Roman" w:hAnsi="Times New Roman" w:eastAsia="黑体" w:cs="Times New Roman"/>
          <w:color w:val="auto"/>
          <w:sz w:val="24"/>
          <w:szCs w:val="24"/>
          <w:highlight w:val="none"/>
        </w:rPr>
        <w:t xml:space="preserve"> 数字化施工</w:t>
      </w:r>
      <w:bookmarkEnd w:id="1248"/>
      <w:bookmarkEnd w:id="1249"/>
      <w:bookmarkEnd w:id="1250"/>
      <w:bookmarkEnd w:id="1251"/>
      <w:bookmarkEnd w:id="1252"/>
      <w:bookmarkEnd w:id="1253"/>
      <w:bookmarkEnd w:id="1254"/>
      <w:bookmarkEnd w:id="1255"/>
      <w:bookmarkEnd w:id="1256"/>
    </w:p>
    <w:p w14:paraId="73A1B4F3">
      <w:pPr>
        <w:widowControl/>
        <w:spacing w:line="360" w:lineRule="exact"/>
        <w:rPr>
          <w:color w:val="auto"/>
          <w:szCs w:val="21"/>
          <w:highlight w:val="none"/>
          <w:lang w:eastAsia="zh"/>
        </w:rPr>
      </w:pPr>
      <w:r>
        <w:rPr>
          <w:rFonts w:hint="eastAsia"/>
          <w:b/>
          <w:bCs/>
          <w:color w:val="auto"/>
          <w:szCs w:val="21"/>
          <w:highlight w:val="none"/>
        </w:rPr>
        <w:t>11.</w:t>
      </w:r>
      <w:r>
        <w:rPr>
          <w:b/>
          <w:bCs/>
          <w:color w:val="auto"/>
          <w:szCs w:val="21"/>
          <w:highlight w:val="none"/>
          <w:lang w:eastAsia="zh"/>
        </w:rPr>
        <w:t>4.1</w:t>
      </w:r>
      <w:r>
        <w:rPr>
          <w:b/>
          <w:color w:val="auto"/>
          <w:szCs w:val="21"/>
          <w:highlight w:val="none"/>
          <w:lang w:eastAsia="zh"/>
        </w:rPr>
        <w:t xml:space="preserve"> </w:t>
      </w:r>
      <w:r>
        <w:rPr>
          <w:color w:val="auto"/>
          <w:szCs w:val="21"/>
          <w:highlight w:val="none"/>
          <w:lang w:eastAsia="zh"/>
        </w:rPr>
        <w:t xml:space="preserve"> 混凝土模块化建筑的施工宜采用建筑信息模型技术进行可视化施工交底</w:t>
      </w:r>
      <w:r>
        <w:rPr>
          <w:color w:val="auto"/>
          <w:szCs w:val="21"/>
          <w:highlight w:val="none"/>
        </w:rPr>
        <w:t>、施工方案模拟、工程量计算等应用</w:t>
      </w:r>
      <w:r>
        <w:rPr>
          <w:color w:val="auto"/>
          <w:szCs w:val="21"/>
          <w:highlight w:val="none"/>
          <w:lang w:eastAsia="zh"/>
        </w:rPr>
        <w:t>。</w:t>
      </w:r>
    </w:p>
    <w:p w14:paraId="16F9EF6C">
      <w:pPr>
        <w:widowControl/>
        <w:spacing w:line="360" w:lineRule="exact"/>
        <w:rPr>
          <w:color w:val="auto"/>
          <w:szCs w:val="21"/>
          <w:highlight w:val="none"/>
          <w:lang w:eastAsia="zh"/>
        </w:rPr>
      </w:pPr>
      <w:r>
        <w:rPr>
          <w:rFonts w:hint="eastAsia"/>
          <w:b/>
          <w:bCs/>
          <w:color w:val="auto"/>
          <w:szCs w:val="21"/>
          <w:highlight w:val="none"/>
        </w:rPr>
        <w:t>11.</w:t>
      </w:r>
      <w:r>
        <w:rPr>
          <w:b/>
          <w:bCs/>
          <w:color w:val="auto"/>
          <w:szCs w:val="21"/>
          <w:highlight w:val="none"/>
          <w:lang w:eastAsia="zh"/>
        </w:rPr>
        <w:t>4.2</w:t>
      </w:r>
      <w:r>
        <w:rPr>
          <w:b/>
          <w:color w:val="auto"/>
          <w:szCs w:val="21"/>
          <w:highlight w:val="none"/>
          <w:lang w:eastAsia="zh"/>
        </w:rPr>
        <w:t xml:space="preserve"> </w:t>
      </w:r>
      <w:r>
        <w:rPr>
          <w:color w:val="auto"/>
          <w:szCs w:val="21"/>
          <w:highlight w:val="none"/>
          <w:lang w:eastAsia="zh"/>
        </w:rPr>
        <w:t xml:space="preserve"> 混凝土模块化建筑的施工宜采用信息化</w:t>
      </w:r>
      <w:r>
        <w:rPr>
          <w:color w:val="auto"/>
          <w:szCs w:val="21"/>
          <w:highlight w:val="none"/>
        </w:rPr>
        <w:t>平台</w:t>
      </w:r>
      <w:r>
        <w:rPr>
          <w:color w:val="auto"/>
          <w:szCs w:val="21"/>
          <w:highlight w:val="none"/>
          <w:lang w:eastAsia="zh"/>
        </w:rPr>
        <w:t>进行施工进度管理</w:t>
      </w:r>
      <w:r>
        <w:rPr>
          <w:color w:val="auto"/>
          <w:szCs w:val="21"/>
          <w:highlight w:val="none"/>
        </w:rPr>
        <w:t>、施工质量管理</w:t>
      </w:r>
      <w:r>
        <w:rPr>
          <w:color w:val="auto"/>
          <w:szCs w:val="21"/>
          <w:highlight w:val="none"/>
          <w:lang w:eastAsia="zh"/>
        </w:rPr>
        <w:t>。</w:t>
      </w:r>
    </w:p>
    <w:p w14:paraId="51C6BC25">
      <w:pPr>
        <w:widowControl/>
        <w:spacing w:line="360" w:lineRule="exact"/>
        <w:rPr>
          <w:color w:val="auto"/>
          <w:szCs w:val="21"/>
          <w:highlight w:val="none"/>
          <w:lang w:eastAsia="zh"/>
        </w:rPr>
      </w:pPr>
      <w:r>
        <w:rPr>
          <w:rFonts w:hint="eastAsia"/>
          <w:b/>
          <w:bCs/>
          <w:color w:val="auto"/>
          <w:szCs w:val="21"/>
          <w:highlight w:val="none"/>
        </w:rPr>
        <w:t>11.</w:t>
      </w:r>
      <w:r>
        <w:rPr>
          <w:b/>
          <w:bCs/>
          <w:color w:val="auto"/>
          <w:szCs w:val="21"/>
          <w:highlight w:val="none"/>
          <w:lang w:eastAsia="zh"/>
        </w:rPr>
        <w:t xml:space="preserve">4.3 </w:t>
      </w:r>
      <w:r>
        <w:rPr>
          <w:color w:val="auto"/>
          <w:szCs w:val="21"/>
          <w:highlight w:val="none"/>
          <w:lang w:eastAsia="zh"/>
        </w:rPr>
        <w:t xml:space="preserve"> 混凝土模块化建筑的施工宜采用人工智能技术进行安全行为识别。</w:t>
      </w:r>
    </w:p>
    <w:bookmarkEnd w:id="882"/>
    <w:p w14:paraId="5C9394CB">
      <w:pPr>
        <w:widowControl/>
        <w:spacing w:line="360" w:lineRule="exact"/>
        <w:jc w:val="left"/>
        <w:rPr>
          <w:color w:val="auto"/>
          <w:highlight w:val="none"/>
        </w:rPr>
      </w:pPr>
      <w:r>
        <w:rPr>
          <w:color w:val="auto"/>
          <w:highlight w:val="none"/>
        </w:rPr>
        <w:br w:type="page"/>
      </w:r>
    </w:p>
    <w:p w14:paraId="5D53E3B2">
      <w:pPr>
        <w:pStyle w:val="2"/>
        <w:spacing w:before="166" w:beforeLines="50" w:after="166" w:afterLines="50" w:line="360" w:lineRule="auto"/>
        <w:jc w:val="center"/>
        <w:rPr>
          <w:rFonts w:eastAsia="黑体"/>
          <w:color w:val="auto"/>
          <w:sz w:val="28"/>
          <w:szCs w:val="28"/>
          <w:highlight w:val="none"/>
        </w:rPr>
      </w:pPr>
      <w:bookmarkStart w:id="1257" w:name="_Toc27839"/>
      <w:bookmarkStart w:id="1258" w:name="_Toc23540"/>
      <w:bookmarkStart w:id="1259" w:name="_Toc27622"/>
      <w:bookmarkStart w:id="1260" w:name="_Toc2743"/>
      <w:bookmarkStart w:id="1261" w:name="_Toc3027"/>
      <w:bookmarkStart w:id="1262" w:name="_Toc16767"/>
      <w:bookmarkStart w:id="1263" w:name="_Toc10505"/>
      <w:bookmarkStart w:id="1264" w:name="_Toc15665"/>
      <w:bookmarkStart w:id="1265" w:name="_Toc25654"/>
      <w:r>
        <w:rPr>
          <w:rFonts w:eastAsia="黑体"/>
          <w:color w:val="auto"/>
          <w:sz w:val="28"/>
          <w:szCs w:val="28"/>
          <w:highlight w:val="none"/>
        </w:rPr>
        <w:t>附录A  模块单元装修质量检测报告</w:t>
      </w:r>
      <w:bookmarkEnd w:id="1257"/>
      <w:bookmarkEnd w:id="1258"/>
      <w:bookmarkEnd w:id="1259"/>
      <w:bookmarkEnd w:id="1260"/>
      <w:bookmarkEnd w:id="1261"/>
      <w:bookmarkEnd w:id="1262"/>
      <w:bookmarkEnd w:id="1263"/>
      <w:bookmarkEnd w:id="1264"/>
      <w:bookmarkEnd w:id="1265"/>
    </w:p>
    <w:p w14:paraId="5D0F7ED0">
      <w:pPr>
        <w:autoSpaceDE w:val="0"/>
        <w:autoSpaceDN w:val="0"/>
        <w:adjustRightInd w:val="0"/>
        <w:spacing w:line="360" w:lineRule="exact"/>
        <w:jc w:val="center"/>
        <w:rPr>
          <w:rFonts w:eastAsia="黑体"/>
          <w:color w:val="auto"/>
          <w:kern w:val="0"/>
          <w:sz w:val="18"/>
          <w:szCs w:val="21"/>
          <w:highlight w:val="none"/>
        </w:rPr>
      </w:pPr>
      <w:r>
        <w:rPr>
          <w:rFonts w:eastAsia="黑体"/>
          <w:color w:val="auto"/>
          <w:kern w:val="0"/>
          <w:sz w:val="18"/>
          <w:szCs w:val="21"/>
          <w:highlight w:val="none"/>
        </w:rPr>
        <w:t>表</w:t>
      </w:r>
      <w:r>
        <w:rPr>
          <w:rFonts w:eastAsia="黑体"/>
          <w:b/>
          <w:color w:val="auto"/>
          <w:kern w:val="0"/>
          <w:sz w:val="18"/>
          <w:szCs w:val="21"/>
          <w:highlight w:val="none"/>
        </w:rPr>
        <w:t>A</w:t>
      </w:r>
      <w:r>
        <w:rPr>
          <w:rFonts w:eastAsia="黑体"/>
          <w:color w:val="auto"/>
          <w:kern w:val="0"/>
          <w:sz w:val="18"/>
          <w:szCs w:val="21"/>
          <w:highlight w:val="none"/>
        </w:rPr>
        <w:t xml:space="preserve">  模块单元装修质量检测报告</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1531"/>
        <w:gridCol w:w="2147"/>
        <w:gridCol w:w="535"/>
        <w:gridCol w:w="535"/>
        <w:gridCol w:w="537"/>
      </w:tblGrid>
      <w:tr w14:paraId="10C7E1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38" w:type="pct"/>
            <w:gridSpan w:val="2"/>
            <w:vAlign w:val="center"/>
          </w:tcPr>
          <w:p w14:paraId="3D2168D6">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检查项目</w:t>
            </w:r>
          </w:p>
        </w:tc>
        <w:tc>
          <w:tcPr>
            <w:tcW w:w="1749" w:type="pct"/>
            <w:vAlign w:val="center"/>
          </w:tcPr>
          <w:p w14:paraId="3A8D33AF">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检验方法</w:t>
            </w:r>
          </w:p>
        </w:tc>
        <w:tc>
          <w:tcPr>
            <w:tcW w:w="436" w:type="pct"/>
            <w:vAlign w:val="center"/>
          </w:tcPr>
          <w:p w14:paraId="7243B739">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检查</w:t>
            </w:r>
          </w:p>
          <w:p w14:paraId="1DAE2B1E">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结果</w:t>
            </w:r>
          </w:p>
        </w:tc>
        <w:tc>
          <w:tcPr>
            <w:tcW w:w="436" w:type="pct"/>
            <w:vAlign w:val="center"/>
          </w:tcPr>
          <w:p w14:paraId="46244FFF">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结论</w:t>
            </w:r>
          </w:p>
        </w:tc>
        <w:tc>
          <w:tcPr>
            <w:tcW w:w="437" w:type="pct"/>
            <w:vAlign w:val="center"/>
          </w:tcPr>
          <w:p w14:paraId="37E1AE22">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备注</w:t>
            </w:r>
          </w:p>
        </w:tc>
      </w:tr>
      <w:tr w14:paraId="215CB8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91" w:type="pct"/>
            <w:vMerge w:val="restart"/>
            <w:vAlign w:val="center"/>
          </w:tcPr>
          <w:p w14:paraId="49BB7D78">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墙面</w:t>
            </w:r>
          </w:p>
        </w:tc>
        <w:tc>
          <w:tcPr>
            <w:tcW w:w="1247" w:type="pct"/>
            <w:vAlign w:val="center"/>
          </w:tcPr>
          <w:p w14:paraId="24127A7B">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外观质量</w:t>
            </w:r>
          </w:p>
        </w:tc>
        <w:tc>
          <w:tcPr>
            <w:tcW w:w="1749" w:type="pct"/>
            <w:vAlign w:val="center"/>
          </w:tcPr>
          <w:p w14:paraId="392FF83D">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光滑平整无划伤</w:t>
            </w:r>
          </w:p>
        </w:tc>
        <w:tc>
          <w:tcPr>
            <w:tcW w:w="436" w:type="pct"/>
            <w:vAlign w:val="center"/>
          </w:tcPr>
          <w:p w14:paraId="57DCA34B">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6" w:type="pct"/>
            <w:vAlign w:val="center"/>
          </w:tcPr>
          <w:p w14:paraId="74F459C2">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7" w:type="pct"/>
            <w:vAlign w:val="center"/>
          </w:tcPr>
          <w:p w14:paraId="53ED07CB">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r w14:paraId="36B653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91" w:type="pct"/>
            <w:vMerge w:val="continue"/>
            <w:vAlign w:val="center"/>
          </w:tcPr>
          <w:p w14:paraId="3ABA99B2">
            <w:pPr>
              <w:autoSpaceDE w:val="0"/>
              <w:autoSpaceDN w:val="0"/>
              <w:adjustRightInd w:val="0"/>
              <w:spacing w:line="360" w:lineRule="exact"/>
              <w:jc w:val="center"/>
              <w:rPr>
                <w:color w:val="auto"/>
                <w:kern w:val="0"/>
                <w:sz w:val="15"/>
                <w:szCs w:val="21"/>
                <w:highlight w:val="none"/>
              </w:rPr>
            </w:pPr>
          </w:p>
        </w:tc>
        <w:tc>
          <w:tcPr>
            <w:tcW w:w="1247" w:type="pct"/>
            <w:vAlign w:val="center"/>
          </w:tcPr>
          <w:p w14:paraId="2B0BDDF5">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规格</w:t>
            </w:r>
          </w:p>
        </w:tc>
        <w:tc>
          <w:tcPr>
            <w:tcW w:w="1749" w:type="pct"/>
            <w:vAlign w:val="center"/>
          </w:tcPr>
          <w:p w14:paraId="60274064">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符合图纸要求</w:t>
            </w:r>
          </w:p>
        </w:tc>
        <w:tc>
          <w:tcPr>
            <w:tcW w:w="436" w:type="pct"/>
            <w:vAlign w:val="center"/>
          </w:tcPr>
          <w:p w14:paraId="3F403294">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6" w:type="pct"/>
            <w:vAlign w:val="center"/>
          </w:tcPr>
          <w:p w14:paraId="0FAD7927">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7" w:type="pct"/>
            <w:vAlign w:val="center"/>
          </w:tcPr>
          <w:p w14:paraId="31D847EE">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r w14:paraId="465E7A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91" w:type="pct"/>
            <w:vMerge w:val="continue"/>
            <w:vAlign w:val="center"/>
          </w:tcPr>
          <w:p w14:paraId="722544D2">
            <w:pPr>
              <w:autoSpaceDE w:val="0"/>
              <w:autoSpaceDN w:val="0"/>
              <w:adjustRightInd w:val="0"/>
              <w:spacing w:line="360" w:lineRule="exact"/>
              <w:jc w:val="center"/>
              <w:rPr>
                <w:color w:val="auto"/>
                <w:kern w:val="0"/>
                <w:sz w:val="15"/>
                <w:szCs w:val="21"/>
                <w:highlight w:val="none"/>
              </w:rPr>
            </w:pPr>
          </w:p>
        </w:tc>
        <w:tc>
          <w:tcPr>
            <w:tcW w:w="1247" w:type="pct"/>
            <w:vAlign w:val="center"/>
          </w:tcPr>
          <w:p w14:paraId="3BB8E51A">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颜色</w:t>
            </w:r>
          </w:p>
        </w:tc>
        <w:tc>
          <w:tcPr>
            <w:tcW w:w="1749" w:type="pct"/>
            <w:vAlign w:val="center"/>
          </w:tcPr>
          <w:p w14:paraId="06059E43">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与样板一致</w:t>
            </w:r>
          </w:p>
        </w:tc>
        <w:tc>
          <w:tcPr>
            <w:tcW w:w="436" w:type="pct"/>
            <w:vAlign w:val="center"/>
          </w:tcPr>
          <w:p w14:paraId="7825FCE3">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6" w:type="pct"/>
            <w:vAlign w:val="center"/>
          </w:tcPr>
          <w:p w14:paraId="6933E129">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7" w:type="pct"/>
            <w:vAlign w:val="center"/>
          </w:tcPr>
          <w:p w14:paraId="1955DBBA">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r w14:paraId="3C19B0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91" w:type="pct"/>
            <w:vMerge w:val="continue"/>
            <w:vAlign w:val="center"/>
          </w:tcPr>
          <w:p w14:paraId="514DCB80">
            <w:pPr>
              <w:autoSpaceDE w:val="0"/>
              <w:autoSpaceDN w:val="0"/>
              <w:adjustRightInd w:val="0"/>
              <w:spacing w:line="360" w:lineRule="exact"/>
              <w:jc w:val="center"/>
              <w:rPr>
                <w:color w:val="auto"/>
                <w:kern w:val="0"/>
                <w:sz w:val="15"/>
                <w:szCs w:val="21"/>
                <w:highlight w:val="none"/>
              </w:rPr>
            </w:pPr>
          </w:p>
        </w:tc>
        <w:tc>
          <w:tcPr>
            <w:tcW w:w="1247" w:type="pct"/>
            <w:vAlign w:val="center"/>
          </w:tcPr>
          <w:p w14:paraId="06EEB2FF">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平整度</w:t>
            </w:r>
          </w:p>
        </w:tc>
        <w:tc>
          <w:tcPr>
            <w:tcW w:w="1749" w:type="pct"/>
            <w:vAlign w:val="center"/>
          </w:tcPr>
          <w:p w14:paraId="039CA305">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&lt;3mm/2m</w:t>
            </w:r>
          </w:p>
        </w:tc>
        <w:tc>
          <w:tcPr>
            <w:tcW w:w="436" w:type="pct"/>
            <w:vAlign w:val="center"/>
          </w:tcPr>
          <w:p w14:paraId="46900199">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6" w:type="pct"/>
            <w:vAlign w:val="center"/>
          </w:tcPr>
          <w:p w14:paraId="2654E4F9">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7" w:type="pct"/>
            <w:vAlign w:val="center"/>
          </w:tcPr>
          <w:p w14:paraId="65A609BD">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r w14:paraId="620437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91" w:type="pct"/>
            <w:vMerge w:val="restart"/>
            <w:vAlign w:val="center"/>
          </w:tcPr>
          <w:p w14:paraId="0FBDCBE7">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地面</w:t>
            </w:r>
          </w:p>
        </w:tc>
        <w:tc>
          <w:tcPr>
            <w:tcW w:w="1247" w:type="pct"/>
            <w:vAlign w:val="center"/>
          </w:tcPr>
          <w:p w14:paraId="2F89DF33">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饰面材料规格</w:t>
            </w:r>
          </w:p>
        </w:tc>
        <w:tc>
          <w:tcPr>
            <w:tcW w:w="1749" w:type="pct"/>
            <w:vAlign w:val="center"/>
          </w:tcPr>
          <w:p w14:paraId="69487708">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符合图纸要求</w:t>
            </w:r>
          </w:p>
        </w:tc>
        <w:tc>
          <w:tcPr>
            <w:tcW w:w="436" w:type="pct"/>
            <w:vAlign w:val="center"/>
          </w:tcPr>
          <w:p w14:paraId="3E758612">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6" w:type="pct"/>
            <w:vAlign w:val="center"/>
          </w:tcPr>
          <w:p w14:paraId="234BFD39">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7" w:type="pct"/>
            <w:vAlign w:val="center"/>
          </w:tcPr>
          <w:p w14:paraId="5585DF15">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r w14:paraId="49EB79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91" w:type="pct"/>
            <w:vMerge w:val="continue"/>
            <w:vAlign w:val="center"/>
          </w:tcPr>
          <w:p w14:paraId="29738057">
            <w:pPr>
              <w:autoSpaceDE w:val="0"/>
              <w:autoSpaceDN w:val="0"/>
              <w:adjustRightInd w:val="0"/>
              <w:spacing w:line="360" w:lineRule="exact"/>
              <w:jc w:val="center"/>
              <w:rPr>
                <w:color w:val="auto"/>
                <w:kern w:val="0"/>
                <w:sz w:val="15"/>
                <w:szCs w:val="21"/>
                <w:highlight w:val="none"/>
              </w:rPr>
            </w:pPr>
          </w:p>
        </w:tc>
        <w:tc>
          <w:tcPr>
            <w:tcW w:w="1247" w:type="pct"/>
            <w:vAlign w:val="center"/>
          </w:tcPr>
          <w:p w14:paraId="6D02907D">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饰面颜色</w:t>
            </w:r>
          </w:p>
        </w:tc>
        <w:tc>
          <w:tcPr>
            <w:tcW w:w="1749" w:type="pct"/>
            <w:vAlign w:val="center"/>
          </w:tcPr>
          <w:p w14:paraId="79996E86">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与样板一致</w:t>
            </w:r>
          </w:p>
        </w:tc>
        <w:tc>
          <w:tcPr>
            <w:tcW w:w="436" w:type="pct"/>
            <w:vAlign w:val="center"/>
          </w:tcPr>
          <w:p w14:paraId="3F24D5F9">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6" w:type="pct"/>
            <w:vAlign w:val="center"/>
          </w:tcPr>
          <w:p w14:paraId="5AA5023F">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7" w:type="pct"/>
            <w:vAlign w:val="center"/>
          </w:tcPr>
          <w:p w14:paraId="65E9B7FB">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r w14:paraId="62F4F9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91" w:type="pct"/>
            <w:vMerge w:val="continue"/>
            <w:vAlign w:val="center"/>
          </w:tcPr>
          <w:p w14:paraId="62895694">
            <w:pPr>
              <w:autoSpaceDE w:val="0"/>
              <w:autoSpaceDN w:val="0"/>
              <w:adjustRightInd w:val="0"/>
              <w:spacing w:line="360" w:lineRule="exact"/>
              <w:jc w:val="center"/>
              <w:rPr>
                <w:color w:val="auto"/>
                <w:kern w:val="0"/>
                <w:sz w:val="15"/>
                <w:szCs w:val="21"/>
                <w:highlight w:val="none"/>
              </w:rPr>
            </w:pPr>
          </w:p>
        </w:tc>
        <w:tc>
          <w:tcPr>
            <w:tcW w:w="1247" w:type="pct"/>
            <w:vAlign w:val="center"/>
          </w:tcPr>
          <w:p w14:paraId="6CA586C2">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饰面安装</w:t>
            </w:r>
          </w:p>
        </w:tc>
        <w:tc>
          <w:tcPr>
            <w:tcW w:w="1749" w:type="pct"/>
            <w:vAlign w:val="center"/>
          </w:tcPr>
          <w:p w14:paraId="0648C593">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安装牢固、平直</w:t>
            </w:r>
          </w:p>
        </w:tc>
        <w:tc>
          <w:tcPr>
            <w:tcW w:w="436" w:type="pct"/>
            <w:vAlign w:val="center"/>
          </w:tcPr>
          <w:p w14:paraId="020025EB">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6" w:type="pct"/>
            <w:vAlign w:val="center"/>
          </w:tcPr>
          <w:p w14:paraId="0B309528">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7" w:type="pct"/>
            <w:vAlign w:val="center"/>
          </w:tcPr>
          <w:p w14:paraId="1926B82F">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r w14:paraId="576055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91" w:type="pct"/>
            <w:vMerge w:val="continue"/>
            <w:vAlign w:val="center"/>
          </w:tcPr>
          <w:p w14:paraId="24FE6BF9">
            <w:pPr>
              <w:autoSpaceDE w:val="0"/>
              <w:autoSpaceDN w:val="0"/>
              <w:adjustRightInd w:val="0"/>
              <w:spacing w:line="360" w:lineRule="exact"/>
              <w:jc w:val="center"/>
              <w:rPr>
                <w:color w:val="auto"/>
                <w:kern w:val="0"/>
                <w:sz w:val="15"/>
                <w:szCs w:val="21"/>
                <w:highlight w:val="none"/>
              </w:rPr>
            </w:pPr>
          </w:p>
        </w:tc>
        <w:tc>
          <w:tcPr>
            <w:tcW w:w="1247" w:type="pct"/>
            <w:vAlign w:val="center"/>
          </w:tcPr>
          <w:p w14:paraId="28A8D04B">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空鼓</w:t>
            </w:r>
          </w:p>
        </w:tc>
        <w:tc>
          <w:tcPr>
            <w:tcW w:w="1749" w:type="pct"/>
            <w:vAlign w:val="center"/>
          </w:tcPr>
          <w:p w14:paraId="5058B62A">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无空鼓</w:t>
            </w:r>
          </w:p>
        </w:tc>
        <w:tc>
          <w:tcPr>
            <w:tcW w:w="436" w:type="pct"/>
            <w:vAlign w:val="center"/>
          </w:tcPr>
          <w:p w14:paraId="13507372">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6" w:type="pct"/>
            <w:vAlign w:val="center"/>
          </w:tcPr>
          <w:p w14:paraId="4350A401">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7" w:type="pct"/>
            <w:vAlign w:val="center"/>
          </w:tcPr>
          <w:p w14:paraId="6538BC55">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r w14:paraId="5F4C5B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91" w:type="pct"/>
            <w:vMerge w:val="continue"/>
            <w:vAlign w:val="center"/>
          </w:tcPr>
          <w:p w14:paraId="6A542E93">
            <w:pPr>
              <w:autoSpaceDE w:val="0"/>
              <w:autoSpaceDN w:val="0"/>
              <w:adjustRightInd w:val="0"/>
              <w:spacing w:line="360" w:lineRule="exact"/>
              <w:jc w:val="center"/>
              <w:rPr>
                <w:color w:val="auto"/>
                <w:kern w:val="0"/>
                <w:sz w:val="15"/>
                <w:szCs w:val="21"/>
                <w:highlight w:val="none"/>
              </w:rPr>
            </w:pPr>
          </w:p>
        </w:tc>
        <w:tc>
          <w:tcPr>
            <w:tcW w:w="1247" w:type="pct"/>
            <w:vAlign w:val="center"/>
          </w:tcPr>
          <w:p w14:paraId="51DE6F78">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平整度</w:t>
            </w:r>
          </w:p>
        </w:tc>
        <w:tc>
          <w:tcPr>
            <w:tcW w:w="1749" w:type="pct"/>
            <w:vAlign w:val="center"/>
          </w:tcPr>
          <w:p w14:paraId="1046994A">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&lt;3mm/2m</w:t>
            </w:r>
          </w:p>
        </w:tc>
        <w:tc>
          <w:tcPr>
            <w:tcW w:w="436" w:type="pct"/>
            <w:vAlign w:val="center"/>
          </w:tcPr>
          <w:p w14:paraId="334E5747">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6" w:type="pct"/>
            <w:vAlign w:val="center"/>
          </w:tcPr>
          <w:p w14:paraId="527967A6">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7" w:type="pct"/>
            <w:vAlign w:val="center"/>
          </w:tcPr>
          <w:p w14:paraId="10D2977B">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r w14:paraId="3808E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91" w:type="pct"/>
            <w:vMerge w:val="restart"/>
            <w:vAlign w:val="center"/>
          </w:tcPr>
          <w:p w14:paraId="42F83140">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天花</w:t>
            </w:r>
          </w:p>
        </w:tc>
        <w:tc>
          <w:tcPr>
            <w:tcW w:w="1247" w:type="pct"/>
            <w:vAlign w:val="center"/>
          </w:tcPr>
          <w:p w14:paraId="4A57904F">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造型</w:t>
            </w:r>
          </w:p>
        </w:tc>
        <w:tc>
          <w:tcPr>
            <w:tcW w:w="1749" w:type="pct"/>
            <w:vAlign w:val="center"/>
          </w:tcPr>
          <w:p w14:paraId="406C93C0">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符合图纸要求</w:t>
            </w:r>
          </w:p>
        </w:tc>
        <w:tc>
          <w:tcPr>
            <w:tcW w:w="436" w:type="pct"/>
            <w:vAlign w:val="center"/>
          </w:tcPr>
          <w:p w14:paraId="049C37DD">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6" w:type="pct"/>
            <w:vAlign w:val="center"/>
          </w:tcPr>
          <w:p w14:paraId="1E9F6817">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7" w:type="pct"/>
            <w:vAlign w:val="center"/>
          </w:tcPr>
          <w:p w14:paraId="481E786D">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r w14:paraId="61FF6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91" w:type="pct"/>
            <w:vMerge w:val="continue"/>
            <w:vAlign w:val="center"/>
          </w:tcPr>
          <w:p w14:paraId="00891930">
            <w:pPr>
              <w:autoSpaceDE w:val="0"/>
              <w:autoSpaceDN w:val="0"/>
              <w:adjustRightInd w:val="0"/>
              <w:spacing w:line="360" w:lineRule="exact"/>
              <w:jc w:val="center"/>
              <w:rPr>
                <w:color w:val="auto"/>
                <w:kern w:val="0"/>
                <w:sz w:val="15"/>
                <w:szCs w:val="21"/>
                <w:highlight w:val="none"/>
              </w:rPr>
            </w:pPr>
          </w:p>
        </w:tc>
        <w:tc>
          <w:tcPr>
            <w:tcW w:w="1247" w:type="pct"/>
            <w:vAlign w:val="center"/>
          </w:tcPr>
          <w:p w14:paraId="7BE9B812">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图案、颜色</w:t>
            </w:r>
          </w:p>
        </w:tc>
        <w:tc>
          <w:tcPr>
            <w:tcW w:w="1749" w:type="pct"/>
            <w:vAlign w:val="center"/>
          </w:tcPr>
          <w:p w14:paraId="6D152504">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符合图纸要求</w:t>
            </w:r>
          </w:p>
        </w:tc>
        <w:tc>
          <w:tcPr>
            <w:tcW w:w="436" w:type="pct"/>
            <w:vAlign w:val="center"/>
          </w:tcPr>
          <w:p w14:paraId="51750758">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6" w:type="pct"/>
            <w:vAlign w:val="center"/>
          </w:tcPr>
          <w:p w14:paraId="366AD33D">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7" w:type="pct"/>
            <w:vAlign w:val="center"/>
          </w:tcPr>
          <w:p w14:paraId="348B676C">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r w14:paraId="6DAEFB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91" w:type="pct"/>
            <w:vMerge w:val="continue"/>
            <w:vAlign w:val="center"/>
          </w:tcPr>
          <w:p w14:paraId="3F3E9326">
            <w:pPr>
              <w:autoSpaceDE w:val="0"/>
              <w:autoSpaceDN w:val="0"/>
              <w:adjustRightInd w:val="0"/>
              <w:spacing w:line="360" w:lineRule="exact"/>
              <w:jc w:val="center"/>
              <w:rPr>
                <w:color w:val="auto"/>
                <w:kern w:val="0"/>
                <w:sz w:val="15"/>
                <w:szCs w:val="21"/>
                <w:highlight w:val="none"/>
              </w:rPr>
            </w:pPr>
          </w:p>
        </w:tc>
        <w:tc>
          <w:tcPr>
            <w:tcW w:w="1247" w:type="pct"/>
            <w:vAlign w:val="center"/>
          </w:tcPr>
          <w:p w14:paraId="1FB5210C">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平整度</w:t>
            </w:r>
          </w:p>
        </w:tc>
        <w:tc>
          <w:tcPr>
            <w:tcW w:w="1749" w:type="pct"/>
            <w:vAlign w:val="center"/>
          </w:tcPr>
          <w:p w14:paraId="5BBD8C03">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&lt;3mm/2m</w:t>
            </w:r>
          </w:p>
        </w:tc>
        <w:tc>
          <w:tcPr>
            <w:tcW w:w="436" w:type="pct"/>
            <w:vAlign w:val="center"/>
          </w:tcPr>
          <w:p w14:paraId="079CB26E">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6" w:type="pct"/>
            <w:vAlign w:val="center"/>
          </w:tcPr>
          <w:p w14:paraId="2579FB6A">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7" w:type="pct"/>
            <w:vAlign w:val="center"/>
          </w:tcPr>
          <w:p w14:paraId="67C66707">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r w14:paraId="4AF002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91" w:type="pct"/>
            <w:vMerge w:val="restart"/>
            <w:vAlign w:val="center"/>
          </w:tcPr>
          <w:p w14:paraId="1045B3F9">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机电</w:t>
            </w:r>
          </w:p>
        </w:tc>
        <w:tc>
          <w:tcPr>
            <w:tcW w:w="1247" w:type="pct"/>
            <w:vAlign w:val="center"/>
          </w:tcPr>
          <w:p w14:paraId="7F48064A">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开关插座数量</w:t>
            </w:r>
          </w:p>
        </w:tc>
        <w:tc>
          <w:tcPr>
            <w:tcW w:w="1749" w:type="pct"/>
            <w:vAlign w:val="center"/>
          </w:tcPr>
          <w:p w14:paraId="04966065">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符合图纸要求</w:t>
            </w:r>
          </w:p>
        </w:tc>
        <w:tc>
          <w:tcPr>
            <w:tcW w:w="436" w:type="pct"/>
            <w:vAlign w:val="center"/>
          </w:tcPr>
          <w:p w14:paraId="6BF2CC63">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6" w:type="pct"/>
            <w:vAlign w:val="center"/>
          </w:tcPr>
          <w:p w14:paraId="1A87C2A3">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7" w:type="pct"/>
            <w:vAlign w:val="center"/>
          </w:tcPr>
          <w:p w14:paraId="48F34A06">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r w14:paraId="62DFCE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91" w:type="pct"/>
            <w:vMerge w:val="continue"/>
            <w:vAlign w:val="center"/>
          </w:tcPr>
          <w:p w14:paraId="6A28151E">
            <w:pPr>
              <w:autoSpaceDE w:val="0"/>
              <w:autoSpaceDN w:val="0"/>
              <w:adjustRightInd w:val="0"/>
              <w:spacing w:line="360" w:lineRule="exact"/>
              <w:jc w:val="center"/>
              <w:rPr>
                <w:color w:val="auto"/>
                <w:kern w:val="0"/>
                <w:sz w:val="15"/>
                <w:szCs w:val="21"/>
                <w:highlight w:val="none"/>
              </w:rPr>
            </w:pPr>
          </w:p>
        </w:tc>
        <w:tc>
          <w:tcPr>
            <w:tcW w:w="1247" w:type="pct"/>
            <w:vAlign w:val="center"/>
          </w:tcPr>
          <w:p w14:paraId="753D698A">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开关插座位置</w:t>
            </w:r>
          </w:p>
        </w:tc>
        <w:tc>
          <w:tcPr>
            <w:tcW w:w="1749" w:type="pct"/>
            <w:vAlign w:val="center"/>
          </w:tcPr>
          <w:p w14:paraId="7B7F7156">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符合图纸要求</w:t>
            </w:r>
          </w:p>
        </w:tc>
        <w:tc>
          <w:tcPr>
            <w:tcW w:w="436" w:type="pct"/>
            <w:vAlign w:val="center"/>
          </w:tcPr>
          <w:p w14:paraId="77007108">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6" w:type="pct"/>
            <w:vAlign w:val="center"/>
          </w:tcPr>
          <w:p w14:paraId="578AEE0C">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7" w:type="pct"/>
            <w:vAlign w:val="center"/>
          </w:tcPr>
          <w:p w14:paraId="7085641A">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r w14:paraId="7D8229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91" w:type="pct"/>
            <w:vMerge w:val="continue"/>
            <w:vAlign w:val="center"/>
          </w:tcPr>
          <w:p w14:paraId="08E577E1">
            <w:pPr>
              <w:autoSpaceDE w:val="0"/>
              <w:autoSpaceDN w:val="0"/>
              <w:adjustRightInd w:val="0"/>
              <w:spacing w:line="360" w:lineRule="exact"/>
              <w:jc w:val="center"/>
              <w:rPr>
                <w:color w:val="auto"/>
                <w:kern w:val="0"/>
                <w:sz w:val="15"/>
                <w:szCs w:val="21"/>
                <w:highlight w:val="none"/>
              </w:rPr>
            </w:pPr>
          </w:p>
        </w:tc>
        <w:tc>
          <w:tcPr>
            <w:tcW w:w="1247" w:type="pct"/>
            <w:vAlign w:val="center"/>
          </w:tcPr>
          <w:p w14:paraId="76B68B95">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灯具数量</w:t>
            </w:r>
          </w:p>
        </w:tc>
        <w:tc>
          <w:tcPr>
            <w:tcW w:w="1749" w:type="pct"/>
            <w:vAlign w:val="center"/>
          </w:tcPr>
          <w:p w14:paraId="3F5DEFC2">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符合图纸要求</w:t>
            </w:r>
          </w:p>
        </w:tc>
        <w:tc>
          <w:tcPr>
            <w:tcW w:w="436" w:type="pct"/>
            <w:vAlign w:val="center"/>
          </w:tcPr>
          <w:p w14:paraId="5392C353">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6" w:type="pct"/>
            <w:vAlign w:val="center"/>
          </w:tcPr>
          <w:p w14:paraId="0400AD28">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7" w:type="pct"/>
            <w:vAlign w:val="center"/>
          </w:tcPr>
          <w:p w14:paraId="718F7FFA">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r w14:paraId="776766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91" w:type="pct"/>
            <w:vMerge w:val="continue"/>
            <w:vAlign w:val="center"/>
          </w:tcPr>
          <w:p w14:paraId="7D8C4647">
            <w:pPr>
              <w:autoSpaceDE w:val="0"/>
              <w:autoSpaceDN w:val="0"/>
              <w:adjustRightInd w:val="0"/>
              <w:spacing w:line="360" w:lineRule="exact"/>
              <w:jc w:val="center"/>
              <w:rPr>
                <w:color w:val="auto"/>
                <w:kern w:val="0"/>
                <w:sz w:val="15"/>
                <w:szCs w:val="21"/>
                <w:highlight w:val="none"/>
              </w:rPr>
            </w:pPr>
          </w:p>
        </w:tc>
        <w:tc>
          <w:tcPr>
            <w:tcW w:w="1247" w:type="pct"/>
            <w:vAlign w:val="center"/>
          </w:tcPr>
          <w:p w14:paraId="061F31DE">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通电及用电设备调试</w:t>
            </w:r>
          </w:p>
        </w:tc>
        <w:tc>
          <w:tcPr>
            <w:tcW w:w="1749" w:type="pct"/>
            <w:vAlign w:val="center"/>
          </w:tcPr>
          <w:p w14:paraId="73ADA0F3">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电路正常使用</w:t>
            </w:r>
          </w:p>
        </w:tc>
        <w:tc>
          <w:tcPr>
            <w:tcW w:w="436" w:type="pct"/>
            <w:vAlign w:val="center"/>
          </w:tcPr>
          <w:p w14:paraId="6AB0B0F1">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6" w:type="pct"/>
            <w:vAlign w:val="center"/>
          </w:tcPr>
          <w:p w14:paraId="66363069">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7" w:type="pct"/>
            <w:vAlign w:val="center"/>
          </w:tcPr>
          <w:p w14:paraId="7A47A931">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r w14:paraId="46548A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91" w:type="pct"/>
            <w:vAlign w:val="center"/>
          </w:tcPr>
          <w:p w14:paraId="60EA9778">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卫生间</w:t>
            </w:r>
          </w:p>
        </w:tc>
        <w:tc>
          <w:tcPr>
            <w:tcW w:w="1247" w:type="pct"/>
            <w:vAlign w:val="center"/>
          </w:tcPr>
          <w:p w14:paraId="24CA9D99">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卫浴设施</w:t>
            </w:r>
          </w:p>
        </w:tc>
        <w:tc>
          <w:tcPr>
            <w:tcW w:w="1749" w:type="pct"/>
            <w:vAlign w:val="center"/>
          </w:tcPr>
          <w:p w14:paraId="190AE9D9">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配置齐全、位置正确、牢固</w:t>
            </w:r>
          </w:p>
        </w:tc>
        <w:tc>
          <w:tcPr>
            <w:tcW w:w="436" w:type="pct"/>
            <w:vAlign w:val="center"/>
          </w:tcPr>
          <w:p w14:paraId="7444DF49">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6" w:type="pct"/>
            <w:vAlign w:val="center"/>
          </w:tcPr>
          <w:p w14:paraId="50FE25E2">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437" w:type="pct"/>
            <w:vAlign w:val="center"/>
          </w:tcPr>
          <w:p w14:paraId="7D9159E5">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bl>
    <w:p w14:paraId="791EC6F9">
      <w:pPr>
        <w:rPr>
          <w:highlight w:val="none"/>
        </w:rPr>
      </w:pPr>
    </w:p>
    <w:p w14:paraId="65523F3D">
      <w:pPr>
        <w:jc w:val="center"/>
        <w:rPr>
          <w:highlight w:val="none"/>
        </w:rPr>
      </w:pPr>
      <w:r>
        <w:rPr>
          <w:rFonts w:hint="eastAsia" w:eastAsia="黑体"/>
          <w:color w:val="auto"/>
          <w:kern w:val="0"/>
          <w:sz w:val="18"/>
          <w:szCs w:val="21"/>
          <w:highlight w:val="none"/>
          <w:lang w:val="en-US" w:eastAsia="zh-CN"/>
        </w:rPr>
        <w:t>续</w:t>
      </w:r>
      <w:r>
        <w:rPr>
          <w:rFonts w:eastAsia="黑体"/>
          <w:color w:val="auto"/>
          <w:kern w:val="0"/>
          <w:sz w:val="18"/>
          <w:szCs w:val="21"/>
          <w:highlight w:val="none"/>
        </w:rPr>
        <w:t>表</w:t>
      </w:r>
      <w:r>
        <w:rPr>
          <w:rFonts w:eastAsia="黑体"/>
          <w:b/>
          <w:color w:val="auto"/>
          <w:kern w:val="0"/>
          <w:sz w:val="18"/>
          <w:szCs w:val="21"/>
          <w:highlight w:val="none"/>
        </w:rPr>
        <w:t>A</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1531"/>
        <w:gridCol w:w="2147"/>
        <w:gridCol w:w="535"/>
        <w:gridCol w:w="535"/>
        <w:gridCol w:w="537"/>
      </w:tblGrid>
      <w:tr w14:paraId="17C827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80" w:hRule="atLeast"/>
          <w:jc w:val="center"/>
        </w:trPr>
        <w:tc>
          <w:tcPr>
            <w:tcW w:w="2379" w:type="dxa"/>
            <w:gridSpan w:val="2"/>
            <w:vAlign w:val="center"/>
          </w:tcPr>
          <w:p w14:paraId="2D07CEC7">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检查项目</w:t>
            </w:r>
          </w:p>
        </w:tc>
        <w:tc>
          <w:tcPr>
            <w:tcW w:w="2147" w:type="dxa"/>
            <w:vAlign w:val="center"/>
          </w:tcPr>
          <w:p w14:paraId="3543D997">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检验方法</w:t>
            </w:r>
          </w:p>
        </w:tc>
        <w:tc>
          <w:tcPr>
            <w:tcW w:w="535" w:type="dxa"/>
            <w:vAlign w:val="center"/>
          </w:tcPr>
          <w:p w14:paraId="683794E7">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检查</w:t>
            </w:r>
          </w:p>
          <w:p w14:paraId="4BD482B7">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结果</w:t>
            </w:r>
          </w:p>
        </w:tc>
        <w:tc>
          <w:tcPr>
            <w:tcW w:w="535" w:type="dxa"/>
            <w:vAlign w:val="center"/>
          </w:tcPr>
          <w:p w14:paraId="67518F1E">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结论</w:t>
            </w:r>
          </w:p>
        </w:tc>
        <w:tc>
          <w:tcPr>
            <w:tcW w:w="537" w:type="dxa"/>
            <w:vAlign w:val="center"/>
          </w:tcPr>
          <w:p w14:paraId="0FFE4A37">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备注</w:t>
            </w:r>
          </w:p>
        </w:tc>
      </w:tr>
      <w:tr w14:paraId="472A55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48" w:type="dxa"/>
            <w:vMerge w:val="restart"/>
            <w:vAlign w:val="center"/>
          </w:tcPr>
          <w:p w14:paraId="6602BF1A">
            <w:pPr>
              <w:autoSpaceDE w:val="0"/>
              <w:autoSpaceDN w:val="0"/>
              <w:adjustRightInd w:val="0"/>
              <w:spacing w:line="360" w:lineRule="exact"/>
              <w:jc w:val="center"/>
              <w:rPr>
                <w:rFonts w:hint="eastAsia" w:eastAsia="宋体"/>
                <w:color w:val="auto"/>
                <w:kern w:val="0"/>
                <w:sz w:val="15"/>
                <w:szCs w:val="21"/>
                <w:highlight w:val="none"/>
                <w:lang w:val="en-US" w:eastAsia="zh-CN"/>
              </w:rPr>
            </w:pPr>
            <w:r>
              <w:rPr>
                <w:rFonts w:hint="eastAsia"/>
                <w:color w:val="auto"/>
                <w:kern w:val="0"/>
                <w:sz w:val="15"/>
                <w:szCs w:val="21"/>
                <w:highlight w:val="none"/>
                <w:lang w:val="en-US" w:eastAsia="zh-CN"/>
              </w:rPr>
              <w:t>卫生间</w:t>
            </w:r>
          </w:p>
        </w:tc>
        <w:tc>
          <w:tcPr>
            <w:tcW w:w="1531" w:type="dxa"/>
            <w:vAlign w:val="center"/>
          </w:tcPr>
          <w:p w14:paraId="54D2434A">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闭水测试</w:t>
            </w:r>
          </w:p>
        </w:tc>
        <w:tc>
          <w:tcPr>
            <w:tcW w:w="2147" w:type="dxa"/>
            <w:vAlign w:val="center"/>
          </w:tcPr>
          <w:p w14:paraId="21C5CAE2">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蓄水时间&gt;24小时，检验模块底部有无渗水、漏水现象</w:t>
            </w:r>
          </w:p>
        </w:tc>
        <w:tc>
          <w:tcPr>
            <w:tcW w:w="535" w:type="dxa"/>
            <w:vAlign w:val="center"/>
          </w:tcPr>
          <w:p w14:paraId="5A99AD43">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5" w:type="dxa"/>
            <w:vAlign w:val="center"/>
          </w:tcPr>
          <w:p w14:paraId="027351D8">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7" w:type="dxa"/>
            <w:vAlign w:val="center"/>
          </w:tcPr>
          <w:p w14:paraId="46708413">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r w14:paraId="47220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848" w:type="dxa"/>
            <w:vMerge w:val="continue"/>
            <w:vAlign w:val="center"/>
          </w:tcPr>
          <w:p w14:paraId="0274799B">
            <w:pPr>
              <w:autoSpaceDE w:val="0"/>
              <w:autoSpaceDN w:val="0"/>
              <w:adjustRightInd w:val="0"/>
              <w:spacing w:line="360" w:lineRule="exact"/>
              <w:jc w:val="center"/>
              <w:rPr>
                <w:color w:val="auto"/>
                <w:kern w:val="0"/>
                <w:sz w:val="15"/>
                <w:szCs w:val="21"/>
                <w:highlight w:val="none"/>
              </w:rPr>
            </w:pPr>
          </w:p>
        </w:tc>
        <w:tc>
          <w:tcPr>
            <w:tcW w:w="1531" w:type="dxa"/>
            <w:vAlign w:val="center"/>
          </w:tcPr>
          <w:p w14:paraId="216D6B2D">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给水系统渗水测试</w:t>
            </w:r>
          </w:p>
        </w:tc>
        <w:tc>
          <w:tcPr>
            <w:tcW w:w="2147" w:type="dxa"/>
            <w:vAlign w:val="center"/>
          </w:tcPr>
          <w:p w14:paraId="5A8BB82D">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试验压力为工作压力的1.5倍，但不小于0.6MPa，升至规定的试验压力后停止加压，稳压1小时，观察接头部位是否有掉压和漏水现象</w:t>
            </w:r>
          </w:p>
        </w:tc>
        <w:tc>
          <w:tcPr>
            <w:tcW w:w="535" w:type="dxa"/>
            <w:vAlign w:val="center"/>
          </w:tcPr>
          <w:p w14:paraId="3BDEB40B">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5" w:type="dxa"/>
            <w:vAlign w:val="center"/>
          </w:tcPr>
          <w:p w14:paraId="4605AFBA">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7" w:type="dxa"/>
            <w:vAlign w:val="center"/>
          </w:tcPr>
          <w:p w14:paraId="5BDEEC18">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r w14:paraId="11A1B7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48" w:type="dxa"/>
            <w:vMerge w:val="continue"/>
            <w:vAlign w:val="center"/>
          </w:tcPr>
          <w:p w14:paraId="7C5E8F73">
            <w:pPr>
              <w:autoSpaceDE w:val="0"/>
              <w:autoSpaceDN w:val="0"/>
              <w:adjustRightInd w:val="0"/>
              <w:spacing w:line="360" w:lineRule="exact"/>
              <w:jc w:val="center"/>
              <w:rPr>
                <w:color w:val="auto"/>
                <w:kern w:val="0"/>
                <w:sz w:val="15"/>
                <w:szCs w:val="21"/>
                <w:highlight w:val="none"/>
              </w:rPr>
            </w:pPr>
          </w:p>
        </w:tc>
        <w:tc>
          <w:tcPr>
            <w:tcW w:w="1531" w:type="dxa"/>
            <w:vAlign w:val="center"/>
          </w:tcPr>
          <w:p w14:paraId="7D4AC7B2">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排水系统渗水测试</w:t>
            </w:r>
          </w:p>
        </w:tc>
        <w:tc>
          <w:tcPr>
            <w:tcW w:w="2147" w:type="dxa"/>
            <w:vAlign w:val="center"/>
          </w:tcPr>
          <w:p w14:paraId="157895FE">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灌水&gt;30分钟无漏水</w:t>
            </w:r>
          </w:p>
        </w:tc>
        <w:tc>
          <w:tcPr>
            <w:tcW w:w="535" w:type="dxa"/>
            <w:vAlign w:val="center"/>
          </w:tcPr>
          <w:p w14:paraId="69218694">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5" w:type="dxa"/>
            <w:vAlign w:val="center"/>
          </w:tcPr>
          <w:p w14:paraId="31937007">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7" w:type="dxa"/>
            <w:vAlign w:val="center"/>
          </w:tcPr>
          <w:p w14:paraId="31F6078C">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r w14:paraId="2B40A6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48" w:type="dxa"/>
            <w:vMerge w:val="restart"/>
            <w:vAlign w:val="center"/>
          </w:tcPr>
          <w:p w14:paraId="45D74246">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门</w:t>
            </w:r>
          </w:p>
        </w:tc>
        <w:tc>
          <w:tcPr>
            <w:tcW w:w="1531" w:type="dxa"/>
            <w:vAlign w:val="center"/>
          </w:tcPr>
          <w:p w14:paraId="07F40832">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外观质量</w:t>
            </w:r>
          </w:p>
        </w:tc>
        <w:tc>
          <w:tcPr>
            <w:tcW w:w="2147" w:type="dxa"/>
            <w:vAlign w:val="center"/>
          </w:tcPr>
          <w:p w14:paraId="7378D577">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光滑平整无划伤</w:t>
            </w:r>
          </w:p>
        </w:tc>
        <w:tc>
          <w:tcPr>
            <w:tcW w:w="535" w:type="dxa"/>
            <w:vAlign w:val="center"/>
          </w:tcPr>
          <w:p w14:paraId="4299755D">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5" w:type="dxa"/>
            <w:vAlign w:val="center"/>
          </w:tcPr>
          <w:p w14:paraId="772C6659">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7" w:type="dxa"/>
            <w:vAlign w:val="center"/>
          </w:tcPr>
          <w:p w14:paraId="6021A61E">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r w14:paraId="126A03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48" w:type="dxa"/>
            <w:vMerge w:val="continue"/>
            <w:vAlign w:val="center"/>
          </w:tcPr>
          <w:p w14:paraId="0067B437">
            <w:pPr>
              <w:autoSpaceDE w:val="0"/>
              <w:autoSpaceDN w:val="0"/>
              <w:adjustRightInd w:val="0"/>
              <w:spacing w:line="360" w:lineRule="exact"/>
              <w:jc w:val="center"/>
              <w:rPr>
                <w:color w:val="auto"/>
                <w:kern w:val="0"/>
                <w:sz w:val="15"/>
                <w:szCs w:val="21"/>
                <w:highlight w:val="none"/>
              </w:rPr>
            </w:pPr>
          </w:p>
        </w:tc>
        <w:tc>
          <w:tcPr>
            <w:tcW w:w="1531" w:type="dxa"/>
            <w:vAlign w:val="center"/>
          </w:tcPr>
          <w:p w14:paraId="624F2AB7">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产品规格</w:t>
            </w:r>
          </w:p>
        </w:tc>
        <w:tc>
          <w:tcPr>
            <w:tcW w:w="2147" w:type="dxa"/>
            <w:vAlign w:val="center"/>
          </w:tcPr>
          <w:p w14:paraId="1118655A">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符合图纸要求</w:t>
            </w:r>
          </w:p>
        </w:tc>
        <w:tc>
          <w:tcPr>
            <w:tcW w:w="535" w:type="dxa"/>
            <w:vAlign w:val="center"/>
          </w:tcPr>
          <w:p w14:paraId="22158391">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5" w:type="dxa"/>
            <w:vAlign w:val="center"/>
          </w:tcPr>
          <w:p w14:paraId="4CF290F7">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7" w:type="dxa"/>
            <w:vAlign w:val="center"/>
          </w:tcPr>
          <w:p w14:paraId="732CBFBF">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r w14:paraId="46727A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48" w:type="dxa"/>
            <w:vMerge w:val="continue"/>
            <w:vAlign w:val="center"/>
          </w:tcPr>
          <w:p w14:paraId="1069CEAF">
            <w:pPr>
              <w:autoSpaceDE w:val="0"/>
              <w:autoSpaceDN w:val="0"/>
              <w:adjustRightInd w:val="0"/>
              <w:spacing w:line="360" w:lineRule="exact"/>
              <w:jc w:val="center"/>
              <w:rPr>
                <w:color w:val="auto"/>
                <w:kern w:val="0"/>
                <w:sz w:val="15"/>
                <w:szCs w:val="21"/>
                <w:highlight w:val="none"/>
              </w:rPr>
            </w:pPr>
          </w:p>
        </w:tc>
        <w:tc>
          <w:tcPr>
            <w:tcW w:w="1531" w:type="dxa"/>
            <w:vAlign w:val="center"/>
          </w:tcPr>
          <w:p w14:paraId="4EEF347A">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门扇垂直度</w:t>
            </w:r>
          </w:p>
        </w:tc>
        <w:tc>
          <w:tcPr>
            <w:tcW w:w="2147" w:type="dxa"/>
            <w:vAlign w:val="center"/>
          </w:tcPr>
          <w:p w14:paraId="15FE2641">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2.0mm</w:t>
            </w:r>
          </w:p>
        </w:tc>
        <w:tc>
          <w:tcPr>
            <w:tcW w:w="535" w:type="dxa"/>
            <w:vAlign w:val="center"/>
          </w:tcPr>
          <w:p w14:paraId="60B817B4">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5" w:type="dxa"/>
            <w:vAlign w:val="center"/>
          </w:tcPr>
          <w:p w14:paraId="1E863545">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7" w:type="dxa"/>
            <w:vAlign w:val="center"/>
          </w:tcPr>
          <w:p w14:paraId="2F51D3AC">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r w14:paraId="7B7792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48" w:type="dxa"/>
            <w:vMerge w:val="continue"/>
            <w:vAlign w:val="center"/>
          </w:tcPr>
          <w:p w14:paraId="0E5F70A8">
            <w:pPr>
              <w:autoSpaceDE w:val="0"/>
              <w:autoSpaceDN w:val="0"/>
              <w:adjustRightInd w:val="0"/>
              <w:spacing w:line="360" w:lineRule="exact"/>
              <w:jc w:val="center"/>
              <w:rPr>
                <w:color w:val="auto"/>
                <w:kern w:val="0"/>
                <w:sz w:val="15"/>
                <w:szCs w:val="21"/>
                <w:highlight w:val="none"/>
              </w:rPr>
            </w:pPr>
          </w:p>
        </w:tc>
        <w:tc>
          <w:tcPr>
            <w:tcW w:w="1531" w:type="dxa"/>
            <w:vAlign w:val="center"/>
          </w:tcPr>
          <w:p w14:paraId="492D571E">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门扇与上框间留缝</w:t>
            </w:r>
          </w:p>
        </w:tc>
        <w:tc>
          <w:tcPr>
            <w:tcW w:w="2147" w:type="dxa"/>
            <w:vAlign w:val="center"/>
          </w:tcPr>
          <w:p w14:paraId="5F652084">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1</w:t>
            </w:r>
            <w:r>
              <w:rPr>
                <w:rFonts w:hint="eastAsia"/>
                <w:color w:val="auto"/>
                <w:kern w:val="0"/>
                <w:sz w:val="15"/>
                <w:szCs w:val="21"/>
                <w:highlight w:val="none"/>
                <w:lang w:val="en-US" w:eastAsia="zh-CN"/>
              </w:rPr>
              <w:t>mm</w:t>
            </w:r>
            <w:r>
              <w:rPr>
                <w:color w:val="auto"/>
                <w:kern w:val="0"/>
                <w:sz w:val="15"/>
                <w:szCs w:val="21"/>
                <w:highlight w:val="none"/>
              </w:rPr>
              <w:t>~3mm</w:t>
            </w:r>
          </w:p>
        </w:tc>
        <w:tc>
          <w:tcPr>
            <w:tcW w:w="535" w:type="dxa"/>
            <w:vAlign w:val="center"/>
          </w:tcPr>
          <w:p w14:paraId="656F169B">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5" w:type="dxa"/>
            <w:vAlign w:val="center"/>
          </w:tcPr>
          <w:p w14:paraId="5FC8DB1B">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7" w:type="dxa"/>
            <w:vAlign w:val="center"/>
          </w:tcPr>
          <w:p w14:paraId="31C5AF94">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r w14:paraId="782341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48" w:type="dxa"/>
            <w:vMerge w:val="continue"/>
            <w:vAlign w:val="center"/>
          </w:tcPr>
          <w:p w14:paraId="515E40AB">
            <w:pPr>
              <w:autoSpaceDE w:val="0"/>
              <w:autoSpaceDN w:val="0"/>
              <w:adjustRightInd w:val="0"/>
              <w:spacing w:line="360" w:lineRule="exact"/>
              <w:jc w:val="center"/>
              <w:rPr>
                <w:color w:val="auto"/>
                <w:kern w:val="0"/>
                <w:sz w:val="15"/>
                <w:szCs w:val="21"/>
                <w:highlight w:val="none"/>
              </w:rPr>
            </w:pPr>
          </w:p>
        </w:tc>
        <w:tc>
          <w:tcPr>
            <w:tcW w:w="1531" w:type="dxa"/>
            <w:vAlign w:val="center"/>
          </w:tcPr>
          <w:p w14:paraId="4A0E6A88">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门扇与下框间留缝</w:t>
            </w:r>
          </w:p>
        </w:tc>
        <w:tc>
          <w:tcPr>
            <w:tcW w:w="2147" w:type="dxa"/>
            <w:vAlign w:val="center"/>
          </w:tcPr>
          <w:p w14:paraId="1C29F5C0">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3</w:t>
            </w:r>
            <w:r>
              <w:rPr>
                <w:rFonts w:hint="eastAsia"/>
                <w:color w:val="auto"/>
                <w:kern w:val="0"/>
                <w:sz w:val="15"/>
                <w:szCs w:val="21"/>
                <w:highlight w:val="none"/>
                <w:lang w:val="en-US" w:eastAsia="zh-CN"/>
              </w:rPr>
              <w:t>mm</w:t>
            </w:r>
            <w:r>
              <w:rPr>
                <w:color w:val="auto"/>
                <w:kern w:val="0"/>
                <w:sz w:val="15"/>
                <w:szCs w:val="21"/>
                <w:highlight w:val="none"/>
              </w:rPr>
              <w:t>~5mm</w:t>
            </w:r>
          </w:p>
        </w:tc>
        <w:tc>
          <w:tcPr>
            <w:tcW w:w="535" w:type="dxa"/>
            <w:vAlign w:val="center"/>
          </w:tcPr>
          <w:p w14:paraId="05F00FA2">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5" w:type="dxa"/>
            <w:vAlign w:val="center"/>
          </w:tcPr>
          <w:p w14:paraId="1AA25A8F">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7" w:type="dxa"/>
            <w:vAlign w:val="center"/>
          </w:tcPr>
          <w:p w14:paraId="456C7788">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r w14:paraId="03E806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48" w:type="dxa"/>
            <w:vMerge w:val="continue"/>
            <w:tcBorders>
              <w:bottom w:val="single" w:color="auto" w:sz="4" w:space="0"/>
            </w:tcBorders>
            <w:vAlign w:val="center"/>
          </w:tcPr>
          <w:p w14:paraId="01629F24">
            <w:pPr>
              <w:autoSpaceDE w:val="0"/>
              <w:autoSpaceDN w:val="0"/>
              <w:adjustRightInd w:val="0"/>
              <w:spacing w:line="360" w:lineRule="exact"/>
              <w:jc w:val="center"/>
              <w:rPr>
                <w:color w:val="auto"/>
                <w:kern w:val="0"/>
                <w:sz w:val="15"/>
                <w:szCs w:val="21"/>
                <w:highlight w:val="none"/>
              </w:rPr>
            </w:pPr>
          </w:p>
        </w:tc>
        <w:tc>
          <w:tcPr>
            <w:tcW w:w="1531" w:type="dxa"/>
            <w:tcBorders>
              <w:bottom w:val="single" w:color="auto" w:sz="4" w:space="0"/>
            </w:tcBorders>
            <w:vAlign w:val="center"/>
          </w:tcPr>
          <w:p w14:paraId="04A7FA02">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五金配件</w:t>
            </w:r>
          </w:p>
        </w:tc>
        <w:tc>
          <w:tcPr>
            <w:tcW w:w="2147" w:type="dxa"/>
            <w:tcBorders>
              <w:bottom w:val="single" w:color="auto" w:sz="4" w:space="0"/>
            </w:tcBorders>
            <w:vAlign w:val="center"/>
          </w:tcPr>
          <w:p w14:paraId="359B0A36">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配置齐全、位置正确、牢固</w:t>
            </w:r>
          </w:p>
        </w:tc>
        <w:tc>
          <w:tcPr>
            <w:tcW w:w="535" w:type="dxa"/>
            <w:tcBorders>
              <w:bottom w:val="single" w:color="auto" w:sz="4" w:space="0"/>
            </w:tcBorders>
            <w:vAlign w:val="center"/>
          </w:tcPr>
          <w:p w14:paraId="260A3A2E">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5" w:type="dxa"/>
            <w:tcBorders>
              <w:bottom w:val="single" w:color="auto" w:sz="4" w:space="0"/>
            </w:tcBorders>
            <w:vAlign w:val="center"/>
          </w:tcPr>
          <w:p w14:paraId="608B3F67">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7" w:type="dxa"/>
            <w:tcBorders>
              <w:bottom w:val="single" w:color="auto" w:sz="4" w:space="0"/>
            </w:tcBorders>
            <w:vAlign w:val="center"/>
          </w:tcPr>
          <w:p w14:paraId="640849B9">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r w14:paraId="64E61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48" w:type="dxa"/>
            <w:vMerge w:val="restart"/>
            <w:tcBorders>
              <w:top w:val="nil"/>
            </w:tcBorders>
            <w:vAlign w:val="center"/>
          </w:tcPr>
          <w:p w14:paraId="671941FA">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铝窗</w:t>
            </w:r>
          </w:p>
        </w:tc>
        <w:tc>
          <w:tcPr>
            <w:tcW w:w="1531" w:type="dxa"/>
            <w:tcBorders>
              <w:top w:val="nil"/>
            </w:tcBorders>
            <w:vAlign w:val="center"/>
          </w:tcPr>
          <w:p w14:paraId="26F2268F">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外观质量</w:t>
            </w:r>
          </w:p>
        </w:tc>
        <w:tc>
          <w:tcPr>
            <w:tcW w:w="2147" w:type="dxa"/>
            <w:tcBorders>
              <w:top w:val="nil"/>
            </w:tcBorders>
            <w:vAlign w:val="center"/>
          </w:tcPr>
          <w:p w14:paraId="627BC1E1">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光滑平整无划伤</w:t>
            </w:r>
          </w:p>
        </w:tc>
        <w:tc>
          <w:tcPr>
            <w:tcW w:w="535" w:type="dxa"/>
            <w:tcBorders>
              <w:top w:val="nil"/>
            </w:tcBorders>
            <w:vAlign w:val="center"/>
          </w:tcPr>
          <w:p w14:paraId="3E71E715">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5" w:type="dxa"/>
            <w:tcBorders>
              <w:top w:val="nil"/>
            </w:tcBorders>
            <w:vAlign w:val="center"/>
          </w:tcPr>
          <w:p w14:paraId="6A51880E">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7" w:type="dxa"/>
            <w:tcBorders>
              <w:top w:val="nil"/>
            </w:tcBorders>
            <w:vAlign w:val="center"/>
          </w:tcPr>
          <w:p w14:paraId="3C59695E">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r w14:paraId="3DF07B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48" w:type="dxa"/>
            <w:vMerge w:val="continue"/>
            <w:vAlign w:val="center"/>
          </w:tcPr>
          <w:p w14:paraId="3038FC4E">
            <w:pPr>
              <w:autoSpaceDE w:val="0"/>
              <w:autoSpaceDN w:val="0"/>
              <w:adjustRightInd w:val="0"/>
              <w:spacing w:line="360" w:lineRule="exact"/>
              <w:jc w:val="center"/>
              <w:rPr>
                <w:color w:val="auto"/>
                <w:kern w:val="0"/>
                <w:sz w:val="15"/>
                <w:szCs w:val="21"/>
                <w:highlight w:val="none"/>
              </w:rPr>
            </w:pPr>
          </w:p>
        </w:tc>
        <w:tc>
          <w:tcPr>
            <w:tcW w:w="1531" w:type="dxa"/>
            <w:vAlign w:val="center"/>
          </w:tcPr>
          <w:p w14:paraId="6298A56E">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产品规格</w:t>
            </w:r>
          </w:p>
        </w:tc>
        <w:tc>
          <w:tcPr>
            <w:tcW w:w="2147" w:type="dxa"/>
            <w:vAlign w:val="center"/>
          </w:tcPr>
          <w:p w14:paraId="0AF7418D">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符合图纸要求</w:t>
            </w:r>
          </w:p>
        </w:tc>
        <w:tc>
          <w:tcPr>
            <w:tcW w:w="535" w:type="dxa"/>
            <w:vAlign w:val="center"/>
          </w:tcPr>
          <w:p w14:paraId="1BDF9A06">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5" w:type="dxa"/>
            <w:vAlign w:val="center"/>
          </w:tcPr>
          <w:p w14:paraId="07E03397">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7" w:type="dxa"/>
            <w:vAlign w:val="center"/>
          </w:tcPr>
          <w:p w14:paraId="52EB5890">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r w14:paraId="1751D6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48" w:type="dxa"/>
            <w:vMerge w:val="continue"/>
            <w:vAlign w:val="center"/>
          </w:tcPr>
          <w:p w14:paraId="301F3521">
            <w:pPr>
              <w:autoSpaceDE w:val="0"/>
              <w:autoSpaceDN w:val="0"/>
              <w:adjustRightInd w:val="0"/>
              <w:spacing w:line="360" w:lineRule="exact"/>
              <w:jc w:val="center"/>
              <w:rPr>
                <w:color w:val="auto"/>
                <w:kern w:val="0"/>
                <w:sz w:val="15"/>
                <w:szCs w:val="21"/>
                <w:highlight w:val="none"/>
              </w:rPr>
            </w:pPr>
          </w:p>
        </w:tc>
        <w:tc>
          <w:tcPr>
            <w:tcW w:w="1531" w:type="dxa"/>
            <w:vAlign w:val="center"/>
          </w:tcPr>
          <w:p w14:paraId="70F82BD1">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密封条与玻璃粘结质量</w:t>
            </w:r>
          </w:p>
        </w:tc>
        <w:tc>
          <w:tcPr>
            <w:tcW w:w="2147" w:type="dxa"/>
            <w:vAlign w:val="center"/>
          </w:tcPr>
          <w:p w14:paraId="3D9AA8D2">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密封条完好、牢固</w:t>
            </w:r>
          </w:p>
        </w:tc>
        <w:tc>
          <w:tcPr>
            <w:tcW w:w="535" w:type="dxa"/>
            <w:vAlign w:val="center"/>
          </w:tcPr>
          <w:p w14:paraId="5892DE43">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5" w:type="dxa"/>
            <w:vAlign w:val="center"/>
          </w:tcPr>
          <w:p w14:paraId="638A2B72">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7" w:type="dxa"/>
            <w:vAlign w:val="center"/>
          </w:tcPr>
          <w:p w14:paraId="5C3B207C">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r w14:paraId="591374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48" w:type="dxa"/>
            <w:vMerge w:val="continue"/>
            <w:vAlign w:val="center"/>
          </w:tcPr>
          <w:p w14:paraId="4A99EAFB">
            <w:pPr>
              <w:autoSpaceDE w:val="0"/>
              <w:autoSpaceDN w:val="0"/>
              <w:adjustRightInd w:val="0"/>
              <w:spacing w:line="360" w:lineRule="exact"/>
              <w:jc w:val="center"/>
              <w:rPr>
                <w:color w:val="auto"/>
                <w:kern w:val="0"/>
                <w:sz w:val="15"/>
                <w:szCs w:val="21"/>
                <w:highlight w:val="none"/>
              </w:rPr>
            </w:pPr>
          </w:p>
        </w:tc>
        <w:tc>
          <w:tcPr>
            <w:tcW w:w="1531" w:type="dxa"/>
            <w:vAlign w:val="center"/>
          </w:tcPr>
          <w:p w14:paraId="6B160DE7">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五金配件</w:t>
            </w:r>
          </w:p>
        </w:tc>
        <w:tc>
          <w:tcPr>
            <w:tcW w:w="2147" w:type="dxa"/>
            <w:vAlign w:val="center"/>
          </w:tcPr>
          <w:p w14:paraId="07B4EA5A">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窗扇可正常开启、关闭灵活、牢固</w:t>
            </w:r>
          </w:p>
        </w:tc>
        <w:tc>
          <w:tcPr>
            <w:tcW w:w="535" w:type="dxa"/>
            <w:vAlign w:val="center"/>
          </w:tcPr>
          <w:p w14:paraId="6576FF45">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5" w:type="dxa"/>
            <w:vAlign w:val="center"/>
          </w:tcPr>
          <w:p w14:paraId="704DD104">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7" w:type="dxa"/>
            <w:vAlign w:val="center"/>
          </w:tcPr>
          <w:p w14:paraId="7B1968A8">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bl>
    <w:p w14:paraId="68A5B2BB">
      <w:pPr>
        <w:rPr>
          <w:rFonts w:hint="eastAsia" w:eastAsia="宋体"/>
          <w:highlight w:val="none"/>
          <w:lang w:eastAsia="zh-CN"/>
        </w:rPr>
      </w:pPr>
    </w:p>
    <w:p w14:paraId="5BF94552">
      <w:pPr>
        <w:rPr>
          <w:rFonts w:hint="eastAsia" w:eastAsia="宋体"/>
          <w:highlight w:val="none"/>
          <w:lang w:eastAsia="zh-CN"/>
        </w:rPr>
      </w:pPr>
    </w:p>
    <w:p w14:paraId="33986491">
      <w:pPr>
        <w:jc w:val="center"/>
        <w:rPr>
          <w:rFonts w:hint="eastAsia" w:eastAsia="宋体"/>
          <w:highlight w:val="none"/>
          <w:lang w:eastAsia="zh-CN"/>
        </w:rPr>
      </w:pPr>
      <w:r>
        <w:rPr>
          <w:rFonts w:hint="eastAsia" w:eastAsia="黑体"/>
          <w:color w:val="auto"/>
          <w:kern w:val="0"/>
          <w:sz w:val="18"/>
          <w:szCs w:val="21"/>
          <w:highlight w:val="none"/>
          <w:lang w:val="en-US" w:eastAsia="zh-CN"/>
        </w:rPr>
        <w:t>续</w:t>
      </w:r>
      <w:r>
        <w:rPr>
          <w:rFonts w:eastAsia="黑体"/>
          <w:color w:val="auto"/>
          <w:kern w:val="0"/>
          <w:sz w:val="18"/>
          <w:szCs w:val="21"/>
          <w:highlight w:val="none"/>
        </w:rPr>
        <w:t>表</w:t>
      </w:r>
      <w:r>
        <w:rPr>
          <w:rFonts w:eastAsia="黑体"/>
          <w:b/>
          <w:color w:val="auto"/>
          <w:kern w:val="0"/>
          <w:sz w:val="18"/>
          <w:szCs w:val="21"/>
          <w:highlight w:val="none"/>
        </w:rPr>
        <w:t>A</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1531"/>
        <w:gridCol w:w="2147"/>
        <w:gridCol w:w="535"/>
        <w:gridCol w:w="535"/>
        <w:gridCol w:w="537"/>
      </w:tblGrid>
      <w:tr w14:paraId="6A4E1A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379" w:type="dxa"/>
            <w:gridSpan w:val="2"/>
            <w:vAlign w:val="center"/>
          </w:tcPr>
          <w:p w14:paraId="227A7254">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检查项目</w:t>
            </w:r>
          </w:p>
        </w:tc>
        <w:tc>
          <w:tcPr>
            <w:tcW w:w="2147" w:type="dxa"/>
            <w:vAlign w:val="center"/>
          </w:tcPr>
          <w:p w14:paraId="4A7D7DBA">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检验方法</w:t>
            </w:r>
          </w:p>
        </w:tc>
        <w:tc>
          <w:tcPr>
            <w:tcW w:w="535" w:type="dxa"/>
            <w:vAlign w:val="center"/>
          </w:tcPr>
          <w:p w14:paraId="2A78E261">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检查</w:t>
            </w:r>
          </w:p>
          <w:p w14:paraId="3E4CE441">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结果</w:t>
            </w:r>
          </w:p>
        </w:tc>
        <w:tc>
          <w:tcPr>
            <w:tcW w:w="535" w:type="dxa"/>
            <w:vAlign w:val="center"/>
          </w:tcPr>
          <w:p w14:paraId="632A8700">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结论</w:t>
            </w:r>
          </w:p>
        </w:tc>
        <w:tc>
          <w:tcPr>
            <w:tcW w:w="537" w:type="dxa"/>
            <w:vAlign w:val="center"/>
          </w:tcPr>
          <w:p w14:paraId="32DB2334">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备注</w:t>
            </w:r>
          </w:p>
        </w:tc>
      </w:tr>
      <w:tr w14:paraId="2B5D49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48" w:type="dxa"/>
            <w:vAlign w:val="center"/>
          </w:tcPr>
          <w:p w14:paraId="38A239F2">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铝窗</w:t>
            </w:r>
          </w:p>
        </w:tc>
        <w:tc>
          <w:tcPr>
            <w:tcW w:w="1531" w:type="dxa"/>
            <w:vAlign w:val="center"/>
          </w:tcPr>
          <w:p w14:paraId="2D79CEE6">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试水</w:t>
            </w:r>
          </w:p>
        </w:tc>
        <w:tc>
          <w:tcPr>
            <w:tcW w:w="2147" w:type="dxa"/>
            <w:vAlign w:val="center"/>
          </w:tcPr>
          <w:p w14:paraId="55F75EC4">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试水水压约为0.2MPa~0.3MPa，喷淋3分钟无漏水</w:t>
            </w:r>
          </w:p>
        </w:tc>
        <w:tc>
          <w:tcPr>
            <w:tcW w:w="535" w:type="dxa"/>
            <w:vAlign w:val="center"/>
          </w:tcPr>
          <w:p w14:paraId="048651B8">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5" w:type="dxa"/>
            <w:vAlign w:val="center"/>
          </w:tcPr>
          <w:p w14:paraId="2786FE51">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7" w:type="dxa"/>
            <w:vAlign w:val="center"/>
          </w:tcPr>
          <w:p w14:paraId="7CDE8D25">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r w14:paraId="051D55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48" w:type="dxa"/>
            <w:vMerge w:val="restart"/>
            <w:vAlign w:val="center"/>
          </w:tcPr>
          <w:p w14:paraId="71687F9C">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消防系统</w:t>
            </w:r>
          </w:p>
        </w:tc>
        <w:tc>
          <w:tcPr>
            <w:tcW w:w="1531" w:type="dxa"/>
            <w:vAlign w:val="center"/>
          </w:tcPr>
          <w:p w14:paraId="3E63F218">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雨淋阀组安装数量</w:t>
            </w:r>
          </w:p>
        </w:tc>
        <w:tc>
          <w:tcPr>
            <w:tcW w:w="2147" w:type="dxa"/>
            <w:vAlign w:val="center"/>
          </w:tcPr>
          <w:p w14:paraId="7D7E47C4">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符合图纸要求</w:t>
            </w:r>
          </w:p>
        </w:tc>
        <w:tc>
          <w:tcPr>
            <w:tcW w:w="535" w:type="dxa"/>
            <w:vAlign w:val="center"/>
          </w:tcPr>
          <w:p w14:paraId="71EC01D3">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5" w:type="dxa"/>
            <w:vAlign w:val="center"/>
          </w:tcPr>
          <w:p w14:paraId="1C9346CE">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7" w:type="dxa"/>
            <w:vAlign w:val="center"/>
          </w:tcPr>
          <w:p w14:paraId="610E43F9">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r w14:paraId="11E79F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48" w:type="dxa"/>
            <w:vMerge w:val="continue"/>
            <w:vAlign w:val="center"/>
          </w:tcPr>
          <w:p w14:paraId="0246AB43">
            <w:pPr>
              <w:autoSpaceDE w:val="0"/>
              <w:autoSpaceDN w:val="0"/>
              <w:adjustRightInd w:val="0"/>
              <w:spacing w:line="360" w:lineRule="exact"/>
              <w:jc w:val="center"/>
              <w:rPr>
                <w:color w:val="auto"/>
                <w:kern w:val="0"/>
                <w:sz w:val="15"/>
                <w:szCs w:val="21"/>
                <w:highlight w:val="none"/>
              </w:rPr>
            </w:pPr>
          </w:p>
        </w:tc>
        <w:tc>
          <w:tcPr>
            <w:tcW w:w="1531" w:type="dxa"/>
            <w:vAlign w:val="center"/>
          </w:tcPr>
          <w:p w14:paraId="40932182">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雨淋阀组安装位置</w:t>
            </w:r>
          </w:p>
        </w:tc>
        <w:tc>
          <w:tcPr>
            <w:tcW w:w="2147" w:type="dxa"/>
            <w:vAlign w:val="center"/>
          </w:tcPr>
          <w:p w14:paraId="34F56DC4">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符合图纸要求</w:t>
            </w:r>
          </w:p>
        </w:tc>
        <w:tc>
          <w:tcPr>
            <w:tcW w:w="535" w:type="dxa"/>
            <w:vAlign w:val="center"/>
          </w:tcPr>
          <w:p w14:paraId="60B67A6D">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5" w:type="dxa"/>
            <w:vAlign w:val="center"/>
          </w:tcPr>
          <w:p w14:paraId="6566B64C">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7" w:type="dxa"/>
            <w:vAlign w:val="center"/>
          </w:tcPr>
          <w:p w14:paraId="0402D2A1">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r w14:paraId="20BD86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848" w:type="dxa"/>
            <w:vMerge w:val="continue"/>
            <w:vAlign w:val="center"/>
          </w:tcPr>
          <w:p w14:paraId="03D05A6D">
            <w:pPr>
              <w:autoSpaceDE w:val="0"/>
              <w:autoSpaceDN w:val="0"/>
              <w:adjustRightInd w:val="0"/>
              <w:spacing w:line="360" w:lineRule="exact"/>
              <w:jc w:val="center"/>
              <w:rPr>
                <w:color w:val="auto"/>
                <w:kern w:val="0"/>
                <w:sz w:val="15"/>
                <w:szCs w:val="21"/>
                <w:highlight w:val="none"/>
              </w:rPr>
            </w:pPr>
          </w:p>
        </w:tc>
        <w:tc>
          <w:tcPr>
            <w:tcW w:w="1531" w:type="dxa"/>
            <w:vAlign w:val="center"/>
          </w:tcPr>
          <w:p w14:paraId="790AD0BD">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消防系统压力、渗水测试</w:t>
            </w:r>
          </w:p>
        </w:tc>
        <w:tc>
          <w:tcPr>
            <w:tcW w:w="2147" w:type="dxa"/>
            <w:vAlign w:val="center"/>
          </w:tcPr>
          <w:p w14:paraId="3E359EEA">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测试压力为设计工作压力的1.5倍，保压1小时，检查是否有掉压和漏水</w:t>
            </w:r>
          </w:p>
        </w:tc>
        <w:tc>
          <w:tcPr>
            <w:tcW w:w="535" w:type="dxa"/>
            <w:vAlign w:val="center"/>
          </w:tcPr>
          <w:p w14:paraId="202E18CD">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5" w:type="dxa"/>
            <w:vAlign w:val="center"/>
          </w:tcPr>
          <w:p w14:paraId="07783006">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c>
          <w:tcPr>
            <w:tcW w:w="537" w:type="dxa"/>
            <w:vAlign w:val="center"/>
          </w:tcPr>
          <w:p w14:paraId="1F4048E1">
            <w:pPr>
              <w:autoSpaceDE w:val="0"/>
              <w:autoSpaceDN w:val="0"/>
              <w:adjustRightInd w:val="0"/>
              <w:spacing w:line="360" w:lineRule="exact"/>
              <w:jc w:val="center"/>
              <w:rPr>
                <w:color w:val="auto"/>
                <w:kern w:val="0"/>
                <w:sz w:val="15"/>
                <w:szCs w:val="21"/>
                <w:highlight w:val="none"/>
              </w:rPr>
            </w:pPr>
            <w:r>
              <w:rPr>
                <w:color w:val="auto"/>
                <w:kern w:val="0"/>
                <w:sz w:val="15"/>
                <w:szCs w:val="21"/>
                <w:highlight w:val="none"/>
              </w:rPr>
              <w:t>　</w:t>
            </w:r>
          </w:p>
        </w:tc>
      </w:tr>
    </w:tbl>
    <w:p w14:paraId="01F93A9C">
      <w:pPr>
        <w:widowControl/>
        <w:spacing w:line="360" w:lineRule="exact"/>
        <w:jc w:val="left"/>
        <w:rPr>
          <w:color w:val="auto"/>
          <w:highlight w:val="none"/>
        </w:rPr>
        <w:sectPr>
          <w:footerReference r:id="rId8" w:type="default"/>
          <w:pgSz w:w="7937" w:h="11509"/>
          <w:pgMar w:top="1083" w:right="1009" w:bottom="1083" w:left="1009" w:header="851" w:footer="992" w:gutter="0"/>
          <w:pgNumType w:fmt="decimal"/>
          <w:cols w:space="0" w:num="1"/>
          <w:docGrid w:type="lines" w:linePitch="333" w:charSpace="4423"/>
        </w:sectPr>
      </w:pPr>
    </w:p>
    <w:p w14:paraId="2D5F2071">
      <w:pPr>
        <w:pStyle w:val="2"/>
        <w:spacing w:before="166" w:beforeLines="50" w:after="166" w:afterLines="50" w:line="360" w:lineRule="auto"/>
        <w:jc w:val="center"/>
        <w:rPr>
          <w:rFonts w:eastAsia="黑体"/>
          <w:color w:val="auto"/>
          <w:sz w:val="28"/>
          <w:szCs w:val="28"/>
          <w:highlight w:val="none"/>
        </w:rPr>
      </w:pPr>
      <w:bookmarkStart w:id="1266" w:name="_Toc17905"/>
      <w:bookmarkStart w:id="1267" w:name="_Toc23630"/>
      <w:r>
        <w:rPr>
          <w:rFonts w:eastAsia="黑体"/>
          <w:color w:val="auto"/>
          <w:sz w:val="28"/>
          <w:szCs w:val="28"/>
          <w:highlight w:val="none"/>
        </w:rPr>
        <w:t>附录</w:t>
      </w:r>
      <w:r>
        <w:rPr>
          <w:rFonts w:hint="eastAsia" w:eastAsia="黑体"/>
          <w:color w:val="auto"/>
          <w:sz w:val="28"/>
          <w:szCs w:val="28"/>
          <w:highlight w:val="none"/>
          <w:lang w:eastAsia="zh-CN"/>
        </w:rPr>
        <w:t>B</w:t>
      </w:r>
      <w:r>
        <w:rPr>
          <w:rFonts w:eastAsia="黑体"/>
          <w:color w:val="auto"/>
          <w:sz w:val="28"/>
          <w:szCs w:val="28"/>
          <w:highlight w:val="none"/>
        </w:rPr>
        <w:t xml:space="preserve">  模块单元吊装测试</w:t>
      </w:r>
      <w:bookmarkEnd w:id="1266"/>
      <w:bookmarkEnd w:id="1267"/>
    </w:p>
    <w:p w14:paraId="62EC2242">
      <w:pPr>
        <w:spacing w:line="360" w:lineRule="exact"/>
        <w:rPr>
          <w:color w:val="auto"/>
          <w:highlight w:val="none"/>
        </w:rPr>
      </w:pPr>
      <w:r>
        <w:rPr>
          <w:rFonts w:hint="eastAsia"/>
          <w:b/>
          <w:color w:val="auto"/>
          <w:highlight w:val="none"/>
          <w:lang w:eastAsia="zh-CN"/>
        </w:rPr>
        <w:t>B</w:t>
      </w:r>
      <w:r>
        <w:rPr>
          <w:b/>
          <w:color w:val="auto"/>
          <w:highlight w:val="none"/>
        </w:rPr>
        <w:t xml:space="preserve">.0.1  </w:t>
      </w:r>
      <w:r>
        <w:rPr>
          <w:color w:val="auto"/>
          <w:highlight w:val="none"/>
        </w:rPr>
        <w:t>模块单元吊装测试用的吊架、吊环、吊钩和手拉葫芦等吊具及设备的规格、尺寸应与现场吊装方案保持一致。起重机械设备应满足吊装作业要求。</w:t>
      </w:r>
    </w:p>
    <w:p w14:paraId="430A4B1F">
      <w:pPr>
        <w:spacing w:line="360" w:lineRule="exact"/>
        <w:rPr>
          <w:color w:val="auto"/>
          <w:highlight w:val="none"/>
        </w:rPr>
      </w:pPr>
      <w:r>
        <w:rPr>
          <w:rFonts w:hint="eastAsia"/>
          <w:b/>
          <w:color w:val="auto"/>
          <w:highlight w:val="none"/>
          <w:lang w:eastAsia="zh-CN"/>
        </w:rPr>
        <w:t>B</w:t>
      </w:r>
      <w:r>
        <w:rPr>
          <w:b/>
          <w:color w:val="auto"/>
          <w:highlight w:val="none"/>
        </w:rPr>
        <w:t xml:space="preserve">.0.2  </w:t>
      </w:r>
      <w:r>
        <w:rPr>
          <w:color w:val="auto"/>
          <w:highlight w:val="none"/>
        </w:rPr>
        <w:t>模块单元吊装测试的场地、道路等条件应满足吊装作业要求。</w:t>
      </w:r>
    </w:p>
    <w:p w14:paraId="693A053D">
      <w:pPr>
        <w:spacing w:line="360" w:lineRule="exact"/>
        <w:rPr>
          <w:color w:val="auto"/>
          <w:highlight w:val="none"/>
        </w:rPr>
      </w:pPr>
      <w:r>
        <w:rPr>
          <w:rFonts w:hint="eastAsia"/>
          <w:b/>
          <w:color w:val="auto"/>
          <w:highlight w:val="none"/>
          <w:lang w:eastAsia="zh-CN"/>
        </w:rPr>
        <w:t>B</w:t>
      </w:r>
      <w:r>
        <w:rPr>
          <w:b/>
          <w:color w:val="auto"/>
          <w:highlight w:val="none"/>
        </w:rPr>
        <w:t xml:space="preserve">.0.3  </w:t>
      </w:r>
      <w:r>
        <w:rPr>
          <w:color w:val="auto"/>
          <w:highlight w:val="none"/>
        </w:rPr>
        <w:t>模块单元吊装测试前，其混凝土强度应符合设计规定，并应将其上的模板、灰浆残渣、垃圾碎块等全部清除干净。</w:t>
      </w:r>
    </w:p>
    <w:p w14:paraId="2B2AD972">
      <w:pPr>
        <w:spacing w:line="360" w:lineRule="exact"/>
        <w:rPr>
          <w:color w:val="auto"/>
          <w:highlight w:val="none"/>
        </w:rPr>
      </w:pPr>
      <w:r>
        <w:rPr>
          <w:rFonts w:hint="eastAsia"/>
          <w:b/>
          <w:color w:val="auto"/>
          <w:highlight w:val="none"/>
          <w:lang w:eastAsia="zh-CN"/>
        </w:rPr>
        <w:t>B</w:t>
      </w:r>
      <w:r>
        <w:rPr>
          <w:b/>
          <w:color w:val="auto"/>
          <w:highlight w:val="none"/>
        </w:rPr>
        <w:t xml:space="preserve">.0.4  </w:t>
      </w:r>
      <w:r>
        <w:rPr>
          <w:color w:val="auto"/>
          <w:highlight w:val="none"/>
        </w:rPr>
        <w:t>模块单元的吊装测试应符合下列规定：</w:t>
      </w:r>
    </w:p>
    <w:p w14:paraId="5CD9E6F2">
      <w:pPr>
        <w:spacing w:line="360" w:lineRule="exact"/>
        <w:ind w:firstLine="422" w:firstLineChars="200"/>
        <w:rPr>
          <w:color w:val="auto"/>
          <w:highlight w:val="none"/>
        </w:rPr>
      </w:pPr>
      <w:r>
        <w:rPr>
          <w:b/>
          <w:color w:val="auto"/>
          <w:highlight w:val="none"/>
        </w:rPr>
        <w:t>1</w:t>
      </w:r>
      <w:r>
        <w:rPr>
          <w:color w:val="auto"/>
          <w:highlight w:val="none"/>
        </w:rPr>
        <w:t xml:space="preserve">  模块单元上的吊点布置、吊环设计应符合</w:t>
      </w:r>
      <w:r>
        <w:rPr>
          <w:rFonts w:hint="eastAsia"/>
          <w:color w:val="auto"/>
          <w:highlight w:val="none"/>
          <w:lang w:eastAsia="zh-CN"/>
        </w:rPr>
        <w:t>本标准</w:t>
      </w:r>
      <w:r>
        <w:rPr>
          <w:color w:val="auto"/>
          <w:highlight w:val="none"/>
        </w:rPr>
        <w:t>的有关规定；</w:t>
      </w:r>
    </w:p>
    <w:p w14:paraId="5D5049B3">
      <w:pPr>
        <w:spacing w:line="360" w:lineRule="exact"/>
        <w:ind w:firstLine="422" w:firstLineChars="200"/>
        <w:rPr>
          <w:color w:val="auto"/>
          <w:highlight w:val="none"/>
        </w:rPr>
      </w:pPr>
      <w:r>
        <w:rPr>
          <w:b/>
          <w:color w:val="auto"/>
          <w:highlight w:val="none"/>
        </w:rPr>
        <w:t>2</w:t>
      </w:r>
      <w:r>
        <w:rPr>
          <w:color w:val="auto"/>
          <w:highlight w:val="none"/>
        </w:rPr>
        <w:t xml:space="preserve">  用手拉葫芦或长短吊链连接模块单元与吊架时，吊环与吊架预留孔位应逐一对应；</w:t>
      </w:r>
    </w:p>
    <w:p w14:paraId="663D43E2">
      <w:pPr>
        <w:spacing w:line="360" w:lineRule="exact"/>
        <w:ind w:firstLine="422" w:firstLineChars="200"/>
        <w:rPr>
          <w:color w:val="auto"/>
          <w:highlight w:val="none"/>
        </w:rPr>
      </w:pPr>
      <w:r>
        <w:rPr>
          <w:b/>
          <w:color w:val="auto"/>
          <w:highlight w:val="none"/>
        </w:rPr>
        <w:t>3</w:t>
      </w:r>
      <w:r>
        <w:rPr>
          <w:color w:val="auto"/>
          <w:highlight w:val="none"/>
        </w:rPr>
        <w:t xml:space="preserve">  起吊前应调整吊链，</w:t>
      </w:r>
      <w:r>
        <w:rPr>
          <w:rFonts w:hint="eastAsia"/>
          <w:color w:val="auto"/>
          <w:highlight w:val="none"/>
        </w:rPr>
        <w:t>吊架应保证模块在吊装过程中保持平稳，吊架下方与模块吊点相连的吊链与水平方向的夹角不应小于7</w:t>
      </w:r>
      <w:r>
        <w:rPr>
          <w:color w:val="auto"/>
          <w:highlight w:val="none"/>
        </w:rPr>
        <w:t>5</w:t>
      </w:r>
      <w:r>
        <w:rPr>
          <w:rFonts w:hint="eastAsia"/>
          <w:color w:val="auto"/>
          <w:highlight w:val="none"/>
        </w:rPr>
        <w:t>度，不宜小于8</w:t>
      </w:r>
      <w:r>
        <w:rPr>
          <w:color w:val="auto"/>
          <w:highlight w:val="none"/>
        </w:rPr>
        <w:t>0</w:t>
      </w:r>
      <w:r>
        <w:rPr>
          <w:rFonts w:hint="eastAsia"/>
          <w:color w:val="auto"/>
          <w:highlight w:val="none"/>
        </w:rPr>
        <w:t>度；</w:t>
      </w:r>
    </w:p>
    <w:p w14:paraId="67CA3BB5">
      <w:pPr>
        <w:spacing w:line="360" w:lineRule="exact"/>
        <w:ind w:firstLine="422" w:firstLineChars="200"/>
        <w:rPr>
          <w:color w:val="auto"/>
          <w:highlight w:val="none"/>
        </w:rPr>
      </w:pPr>
      <w:r>
        <w:rPr>
          <w:b/>
          <w:color w:val="auto"/>
          <w:highlight w:val="none"/>
        </w:rPr>
        <w:t>4</w:t>
      </w:r>
      <w:r>
        <w:rPr>
          <w:color w:val="auto"/>
          <w:highlight w:val="none"/>
        </w:rPr>
        <w:t xml:space="preserve">  模块单元吊装测试中应采用慢起、稳升、缓放的操作方式，吊运过程，应保持稳定，不得偏斜、摇摆和扭转；</w:t>
      </w:r>
    </w:p>
    <w:p w14:paraId="634E1037">
      <w:pPr>
        <w:spacing w:line="360" w:lineRule="exact"/>
        <w:ind w:firstLine="422" w:firstLineChars="200"/>
        <w:rPr>
          <w:color w:val="auto"/>
          <w:highlight w:val="none"/>
        </w:rPr>
      </w:pPr>
      <w:r>
        <w:rPr>
          <w:b/>
          <w:color w:val="auto"/>
          <w:highlight w:val="none"/>
        </w:rPr>
        <w:t>5</w:t>
      </w:r>
      <w:r>
        <w:rPr>
          <w:color w:val="auto"/>
          <w:highlight w:val="none"/>
        </w:rPr>
        <w:t xml:space="preserve">  初次吊装时，应将模块单元提升至距离地面100mm~200mm范围内，悬停</w:t>
      </w:r>
      <w:r>
        <w:rPr>
          <w:rFonts w:hint="eastAsia"/>
          <w:color w:val="auto"/>
          <w:highlight w:val="none"/>
          <w:lang w:val="en-US" w:eastAsia="zh-CN"/>
        </w:rPr>
        <w:t>5min~10min</w:t>
      </w:r>
      <w:r>
        <w:rPr>
          <w:color w:val="auto"/>
          <w:highlight w:val="none"/>
        </w:rPr>
        <w:t>，检查各部件的运行、角度及受力情况；</w:t>
      </w:r>
    </w:p>
    <w:p w14:paraId="7EEF79BC">
      <w:pPr>
        <w:spacing w:line="360" w:lineRule="exact"/>
        <w:ind w:firstLine="422" w:firstLineChars="200"/>
        <w:rPr>
          <w:color w:val="auto"/>
          <w:highlight w:val="none"/>
        </w:rPr>
      </w:pPr>
      <w:r>
        <w:rPr>
          <w:b/>
          <w:color w:val="auto"/>
          <w:highlight w:val="none"/>
        </w:rPr>
        <w:t>6</w:t>
      </w:r>
      <w:r>
        <w:rPr>
          <w:color w:val="auto"/>
          <w:highlight w:val="none"/>
        </w:rPr>
        <w:t xml:space="preserve">  模块单元起吊后应进行前、后、上、下、左、右六个方向的运动情况测试，起吊速度不宜低于30m/min；</w:t>
      </w:r>
    </w:p>
    <w:p w14:paraId="3376EBCE">
      <w:pPr>
        <w:spacing w:line="360" w:lineRule="exact"/>
        <w:ind w:firstLine="422" w:firstLineChars="200"/>
        <w:rPr>
          <w:color w:val="auto"/>
          <w:highlight w:val="none"/>
        </w:rPr>
      </w:pPr>
      <w:r>
        <w:rPr>
          <w:b/>
          <w:color w:val="auto"/>
          <w:highlight w:val="none"/>
        </w:rPr>
        <w:t>7</w:t>
      </w:r>
      <w:r>
        <w:rPr>
          <w:color w:val="auto"/>
          <w:highlight w:val="none"/>
        </w:rPr>
        <w:t xml:space="preserve">  同一模块单元应至少重复进行3次吊装测试。</w:t>
      </w:r>
    </w:p>
    <w:p w14:paraId="5A54947A">
      <w:pPr>
        <w:spacing w:line="360" w:lineRule="exact"/>
        <w:rPr>
          <w:color w:val="auto"/>
          <w:highlight w:val="none"/>
        </w:rPr>
      </w:pPr>
      <w:r>
        <w:rPr>
          <w:rFonts w:hint="eastAsia"/>
          <w:b/>
          <w:color w:val="auto"/>
          <w:highlight w:val="none"/>
          <w:lang w:eastAsia="zh-CN"/>
        </w:rPr>
        <w:t>B</w:t>
      </w:r>
      <w:r>
        <w:rPr>
          <w:b/>
          <w:color w:val="auto"/>
          <w:highlight w:val="none"/>
        </w:rPr>
        <w:t xml:space="preserve">.0.5  </w:t>
      </w:r>
      <w:r>
        <w:rPr>
          <w:color w:val="auto"/>
          <w:highlight w:val="none"/>
        </w:rPr>
        <w:t>模块单元在吊装测试中若出现明显的模块变形和混凝土损伤应重新进行模块单元吊装方案设计或采取临时加固措施。</w:t>
      </w:r>
    </w:p>
    <w:p w14:paraId="47B6DAF3">
      <w:pPr>
        <w:widowControl/>
        <w:spacing w:line="360" w:lineRule="exact"/>
        <w:jc w:val="left"/>
        <w:rPr>
          <w:color w:val="auto"/>
          <w:highlight w:val="none"/>
        </w:rPr>
      </w:pPr>
      <w:r>
        <w:rPr>
          <w:color w:val="auto"/>
          <w:highlight w:val="none"/>
        </w:rPr>
        <w:br w:type="page"/>
      </w:r>
    </w:p>
    <w:p w14:paraId="0B16194E">
      <w:pPr>
        <w:pStyle w:val="2"/>
        <w:spacing w:before="168" w:beforeLines="50" w:after="168" w:afterLines="50" w:line="360" w:lineRule="auto"/>
        <w:jc w:val="center"/>
        <w:rPr>
          <w:rFonts w:eastAsia="黑体"/>
          <w:color w:val="auto"/>
          <w:sz w:val="28"/>
          <w:szCs w:val="28"/>
          <w:highlight w:val="none"/>
        </w:rPr>
      </w:pPr>
      <w:bookmarkStart w:id="1268" w:name="_Toc11934"/>
      <w:bookmarkStart w:id="1269" w:name="_Toc7504"/>
      <w:bookmarkStart w:id="1270" w:name="_Toc8824"/>
      <w:bookmarkStart w:id="1271" w:name="_Toc31255"/>
      <w:bookmarkStart w:id="1272" w:name="_Toc25868"/>
      <w:bookmarkStart w:id="1273" w:name="_Toc20130"/>
      <w:bookmarkStart w:id="1274" w:name="_Toc3822"/>
      <w:bookmarkStart w:id="1275" w:name="_Toc10889"/>
      <w:bookmarkStart w:id="1276" w:name="_Toc23024"/>
      <w:r>
        <w:rPr>
          <w:rFonts w:eastAsia="黑体"/>
          <w:color w:val="auto"/>
          <w:sz w:val="28"/>
          <w:szCs w:val="28"/>
          <w:highlight w:val="none"/>
        </w:rPr>
        <w:t>附录</w:t>
      </w:r>
      <w:r>
        <w:rPr>
          <w:rFonts w:hint="eastAsia" w:eastAsia="黑体"/>
          <w:color w:val="auto"/>
          <w:sz w:val="28"/>
          <w:szCs w:val="28"/>
          <w:highlight w:val="none"/>
          <w:lang w:val="en-US" w:eastAsia="zh-CN"/>
        </w:rPr>
        <w:t>C</w:t>
      </w:r>
      <w:r>
        <w:rPr>
          <w:rFonts w:eastAsia="黑体"/>
          <w:color w:val="auto"/>
          <w:sz w:val="28"/>
          <w:szCs w:val="28"/>
          <w:highlight w:val="none"/>
        </w:rPr>
        <w:t xml:space="preserve">  模块单元出厂合格证</w:t>
      </w:r>
      <w:bookmarkEnd w:id="1268"/>
      <w:r>
        <w:rPr>
          <w:rFonts w:eastAsia="黑体"/>
          <w:color w:val="auto"/>
          <w:sz w:val="28"/>
          <w:szCs w:val="28"/>
          <w:highlight w:val="none"/>
        </w:rPr>
        <w:t xml:space="preserve">  </w:t>
      </w:r>
      <w:bookmarkEnd w:id="1269"/>
      <w:bookmarkEnd w:id="1270"/>
      <w:bookmarkEnd w:id="1271"/>
      <w:bookmarkEnd w:id="1272"/>
      <w:bookmarkEnd w:id="1273"/>
      <w:bookmarkEnd w:id="1274"/>
      <w:bookmarkEnd w:id="1275"/>
      <w:bookmarkEnd w:id="1276"/>
    </w:p>
    <w:p w14:paraId="419D98A0">
      <w:pPr>
        <w:pStyle w:val="50"/>
        <w:spacing w:line="360" w:lineRule="exact"/>
        <w:rPr>
          <w:color w:val="auto"/>
          <w:highlight w:val="none"/>
        </w:rPr>
      </w:pPr>
      <w:r>
        <w:rPr>
          <w:color w:val="auto"/>
          <w:highlight w:val="none"/>
        </w:rPr>
        <w:t>表</w:t>
      </w:r>
      <w:r>
        <w:rPr>
          <w:rFonts w:hint="eastAsia"/>
          <w:b/>
          <w:color w:val="auto"/>
          <w:highlight w:val="none"/>
          <w:lang w:val="en-US" w:eastAsia="zh-CN"/>
        </w:rPr>
        <w:t>C</w:t>
      </w:r>
      <w:r>
        <w:rPr>
          <w:color w:val="auto"/>
          <w:highlight w:val="none"/>
        </w:rPr>
        <w:t xml:space="preserve">  模块单元出厂合格证（范本）</w:t>
      </w:r>
    </w:p>
    <w:tbl>
      <w:tblPr>
        <w:tblStyle w:val="25"/>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73"/>
        <w:gridCol w:w="1201"/>
        <w:gridCol w:w="1453"/>
        <w:gridCol w:w="1211"/>
        <w:gridCol w:w="615"/>
        <w:gridCol w:w="1081"/>
      </w:tblGrid>
      <w:tr w14:paraId="31B254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2630" w:type="pct"/>
            <w:gridSpan w:val="3"/>
            <w:vAlign w:val="center"/>
          </w:tcPr>
          <w:p w14:paraId="7E24AD00">
            <w:pPr>
              <w:pStyle w:val="49"/>
              <w:spacing w:line="360" w:lineRule="exact"/>
              <w:rPr>
                <w:color w:val="auto"/>
                <w:highlight w:val="none"/>
              </w:rPr>
            </w:pPr>
            <w:r>
              <w:rPr>
                <w:color w:val="auto"/>
                <w:highlight w:val="none"/>
              </w:rPr>
              <w:t>模块单元出厂合格证</w:t>
            </w:r>
          </w:p>
        </w:tc>
        <w:tc>
          <w:tcPr>
            <w:tcW w:w="987" w:type="pct"/>
            <w:vAlign w:val="center"/>
          </w:tcPr>
          <w:p w14:paraId="6C3A5D8D">
            <w:pPr>
              <w:pStyle w:val="49"/>
              <w:spacing w:line="360" w:lineRule="exact"/>
              <w:rPr>
                <w:color w:val="auto"/>
                <w:highlight w:val="none"/>
              </w:rPr>
            </w:pPr>
            <w:r>
              <w:rPr>
                <w:color w:val="auto"/>
                <w:highlight w:val="none"/>
              </w:rPr>
              <w:t>资料编号</w:t>
            </w:r>
          </w:p>
        </w:tc>
        <w:tc>
          <w:tcPr>
            <w:tcW w:w="501" w:type="pct"/>
            <w:vAlign w:val="center"/>
          </w:tcPr>
          <w:p w14:paraId="12642B27">
            <w:pPr>
              <w:pStyle w:val="49"/>
              <w:spacing w:line="360" w:lineRule="exact"/>
              <w:rPr>
                <w:color w:val="auto"/>
                <w:highlight w:val="none"/>
              </w:rPr>
            </w:pPr>
            <w:r>
              <w:rPr>
                <w:color w:val="auto"/>
                <w:highlight w:val="none"/>
              </w:rPr>
              <w:t>　</w:t>
            </w:r>
          </w:p>
        </w:tc>
        <w:tc>
          <w:tcPr>
            <w:tcW w:w="881" w:type="pct"/>
            <w:vAlign w:val="center"/>
          </w:tcPr>
          <w:p w14:paraId="1F2AD542">
            <w:pPr>
              <w:pStyle w:val="49"/>
              <w:spacing w:line="360" w:lineRule="exact"/>
              <w:rPr>
                <w:color w:val="auto"/>
                <w:highlight w:val="none"/>
              </w:rPr>
            </w:pPr>
            <w:r>
              <w:rPr>
                <w:color w:val="auto"/>
                <w:highlight w:val="none"/>
              </w:rPr>
              <w:t>　</w:t>
            </w:r>
          </w:p>
        </w:tc>
      </w:tr>
      <w:tr w14:paraId="6ED830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446" w:type="pct"/>
            <w:gridSpan w:val="2"/>
            <w:vAlign w:val="center"/>
          </w:tcPr>
          <w:p w14:paraId="5481B1BE">
            <w:pPr>
              <w:pStyle w:val="49"/>
              <w:spacing w:line="360" w:lineRule="exact"/>
              <w:rPr>
                <w:color w:val="auto"/>
                <w:highlight w:val="none"/>
              </w:rPr>
            </w:pPr>
            <w:r>
              <w:rPr>
                <w:color w:val="auto"/>
                <w:highlight w:val="none"/>
              </w:rPr>
              <w:t>项目名称</w:t>
            </w:r>
          </w:p>
        </w:tc>
        <w:tc>
          <w:tcPr>
            <w:tcW w:w="1184" w:type="pct"/>
            <w:vAlign w:val="center"/>
          </w:tcPr>
          <w:p w14:paraId="767E0602">
            <w:pPr>
              <w:pStyle w:val="49"/>
              <w:spacing w:line="360" w:lineRule="exact"/>
              <w:rPr>
                <w:color w:val="auto"/>
                <w:highlight w:val="none"/>
              </w:rPr>
            </w:pPr>
            <w:r>
              <w:rPr>
                <w:color w:val="auto"/>
                <w:highlight w:val="none"/>
              </w:rPr>
              <w:t>　</w:t>
            </w:r>
          </w:p>
        </w:tc>
        <w:tc>
          <w:tcPr>
            <w:tcW w:w="987" w:type="pct"/>
            <w:vAlign w:val="center"/>
          </w:tcPr>
          <w:p w14:paraId="320AE950">
            <w:pPr>
              <w:pStyle w:val="49"/>
              <w:spacing w:line="360" w:lineRule="exact"/>
              <w:rPr>
                <w:color w:val="auto"/>
                <w:highlight w:val="none"/>
              </w:rPr>
            </w:pPr>
            <w:r>
              <w:rPr>
                <w:color w:val="auto"/>
                <w:highlight w:val="none"/>
              </w:rPr>
              <w:t>合格证编号</w:t>
            </w:r>
          </w:p>
        </w:tc>
        <w:tc>
          <w:tcPr>
            <w:tcW w:w="1382" w:type="pct"/>
            <w:gridSpan w:val="2"/>
            <w:vAlign w:val="center"/>
          </w:tcPr>
          <w:p w14:paraId="2DF28744">
            <w:pPr>
              <w:pStyle w:val="49"/>
              <w:spacing w:line="360" w:lineRule="exact"/>
              <w:rPr>
                <w:color w:val="auto"/>
                <w:highlight w:val="none"/>
              </w:rPr>
            </w:pPr>
            <w:r>
              <w:rPr>
                <w:color w:val="auto"/>
                <w:highlight w:val="none"/>
              </w:rPr>
              <w:t>　</w:t>
            </w:r>
          </w:p>
        </w:tc>
      </w:tr>
      <w:tr w14:paraId="749976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446" w:type="pct"/>
            <w:gridSpan w:val="2"/>
            <w:vAlign w:val="center"/>
          </w:tcPr>
          <w:p w14:paraId="42610258">
            <w:pPr>
              <w:pStyle w:val="49"/>
              <w:spacing w:line="360" w:lineRule="exact"/>
              <w:rPr>
                <w:color w:val="auto"/>
                <w:highlight w:val="none"/>
              </w:rPr>
            </w:pPr>
            <w:r>
              <w:rPr>
                <w:color w:val="auto"/>
                <w:highlight w:val="none"/>
              </w:rPr>
              <w:t>模块编号</w:t>
            </w:r>
          </w:p>
        </w:tc>
        <w:tc>
          <w:tcPr>
            <w:tcW w:w="1184" w:type="pct"/>
            <w:vAlign w:val="center"/>
          </w:tcPr>
          <w:p w14:paraId="1EB7FA55">
            <w:pPr>
              <w:pStyle w:val="49"/>
              <w:spacing w:line="360" w:lineRule="exact"/>
              <w:rPr>
                <w:color w:val="auto"/>
                <w:highlight w:val="none"/>
              </w:rPr>
            </w:pPr>
            <w:r>
              <w:rPr>
                <w:color w:val="auto"/>
                <w:highlight w:val="none"/>
              </w:rPr>
              <w:t>　</w:t>
            </w:r>
          </w:p>
        </w:tc>
        <w:tc>
          <w:tcPr>
            <w:tcW w:w="987" w:type="pct"/>
            <w:vAlign w:val="center"/>
          </w:tcPr>
          <w:p w14:paraId="7AE526B8">
            <w:pPr>
              <w:pStyle w:val="49"/>
              <w:spacing w:line="360" w:lineRule="exact"/>
              <w:rPr>
                <w:color w:val="auto"/>
                <w:highlight w:val="none"/>
              </w:rPr>
            </w:pPr>
            <w:r>
              <w:rPr>
                <w:color w:val="auto"/>
                <w:highlight w:val="none"/>
              </w:rPr>
              <w:t>型号规格</w:t>
            </w:r>
          </w:p>
        </w:tc>
        <w:tc>
          <w:tcPr>
            <w:tcW w:w="1382" w:type="pct"/>
            <w:gridSpan w:val="2"/>
            <w:vAlign w:val="center"/>
          </w:tcPr>
          <w:p w14:paraId="3F713D40">
            <w:pPr>
              <w:pStyle w:val="49"/>
              <w:spacing w:line="360" w:lineRule="exact"/>
              <w:rPr>
                <w:color w:val="auto"/>
                <w:highlight w:val="none"/>
              </w:rPr>
            </w:pPr>
            <w:r>
              <w:rPr>
                <w:color w:val="auto"/>
                <w:highlight w:val="none"/>
              </w:rPr>
              <w:t>　</w:t>
            </w:r>
          </w:p>
        </w:tc>
      </w:tr>
      <w:tr w14:paraId="4624EA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446" w:type="pct"/>
            <w:gridSpan w:val="2"/>
            <w:vAlign w:val="center"/>
          </w:tcPr>
          <w:p w14:paraId="3D15FDA3">
            <w:pPr>
              <w:pStyle w:val="49"/>
              <w:spacing w:line="360" w:lineRule="exact"/>
              <w:rPr>
                <w:color w:val="auto"/>
                <w:highlight w:val="none"/>
              </w:rPr>
            </w:pPr>
            <w:r>
              <w:rPr>
                <w:color w:val="auto"/>
                <w:highlight w:val="none"/>
              </w:rPr>
              <w:t>生产厂家</w:t>
            </w:r>
          </w:p>
        </w:tc>
        <w:tc>
          <w:tcPr>
            <w:tcW w:w="1184" w:type="pct"/>
            <w:vAlign w:val="center"/>
          </w:tcPr>
          <w:p w14:paraId="1A04EE37">
            <w:pPr>
              <w:pStyle w:val="49"/>
              <w:spacing w:line="360" w:lineRule="exact"/>
              <w:rPr>
                <w:color w:val="auto"/>
                <w:highlight w:val="none"/>
              </w:rPr>
            </w:pPr>
            <w:r>
              <w:rPr>
                <w:color w:val="auto"/>
                <w:highlight w:val="none"/>
              </w:rPr>
              <w:t>　</w:t>
            </w:r>
          </w:p>
        </w:tc>
        <w:tc>
          <w:tcPr>
            <w:tcW w:w="987" w:type="pct"/>
            <w:vAlign w:val="center"/>
          </w:tcPr>
          <w:p w14:paraId="2DBA5C53">
            <w:pPr>
              <w:pStyle w:val="49"/>
              <w:spacing w:line="360" w:lineRule="exact"/>
              <w:rPr>
                <w:color w:val="auto"/>
                <w:highlight w:val="none"/>
              </w:rPr>
            </w:pPr>
            <w:r>
              <w:rPr>
                <w:color w:val="auto"/>
                <w:highlight w:val="none"/>
              </w:rPr>
              <w:t>企业等级</w:t>
            </w:r>
          </w:p>
        </w:tc>
        <w:tc>
          <w:tcPr>
            <w:tcW w:w="1382" w:type="pct"/>
            <w:gridSpan w:val="2"/>
            <w:vAlign w:val="center"/>
          </w:tcPr>
          <w:p w14:paraId="6B8B4815">
            <w:pPr>
              <w:pStyle w:val="49"/>
              <w:spacing w:line="360" w:lineRule="exact"/>
              <w:rPr>
                <w:color w:val="auto"/>
                <w:highlight w:val="none"/>
              </w:rPr>
            </w:pPr>
            <w:r>
              <w:rPr>
                <w:color w:val="auto"/>
                <w:highlight w:val="none"/>
              </w:rPr>
              <w:t>　</w:t>
            </w:r>
          </w:p>
        </w:tc>
      </w:tr>
      <w:tr w14:paraId="623323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446" w:type="pct"/>
            <w:gridSpan w:val="2"/>
            <w:vAlign w:val="center"/>
          </w:tcPr>
          <w:p w14:paraId="04CEA08F">
            <w:pPr>
              <w:pStyle w:val="49"/>
              <w:spacing w:line="360" w:lineRule="exact"/>
              <w:rPr>
                <w:color w:val="auto"/>
                <w:highlight w:val="none"/>
              </w:rPr>
            </w:pPr>
            <w:r>
              <w:rPr>
                <w:color w:val="auto"/>
                <w:highlight w:val="none"/>
              </w:rPr>
              <w:t>设计图号</w:t>
            </w:r>
          </w:p>
        </w:tc>
        <w:tc>
          <w:tcPr>
            <w:tcW w:w="1184" w:type="pct"/>
            <w:vAlign w:val="center"/>
          </w:tcPr>
          <w:p w14:paraId="2EC48FE3">
            <w:pPr>
              <w:pStyle w:val="49"/>
              <w:spacing w:line="360" w:lineRule="exact"/>
              <w:rPr>
                <w:color w:val="auto"/>
                <w:highlight w:val="none"/>
              </w:rPr>
            </w:pPr>
            <w:r>
              <w:rPr>
                <w:color w:val="auto"/>
                <w:highlight w:val="none"/>
              </w:rPr>
              <w:t>　</w:t>
            </w:r>
          </w:p>
        </w:tc>
        <w:tc>
          <w:tcPr>
            <w:tcW w:w="987" w:type="pct"/>
            <w:vAlign w:val="center"/>
          </w:tcPr>
          <w:p w14:paraId="339913AE">
            <w:pPr>
              <w:pStyle w:val="49"/>
              <w:spacing w:line="360" w:lineRule="exact"/>
              <w:rPr>
                <w:color w:val="auto"/>
                <w:highlight w:val="none"/>
              </w:rPr>
            </w:pPr>
            <w:r>
              <w:rPr>
                <w:color w:val="auto"/>
                <w:highlight w:val="none"/>
              </w:rPr>
              <w:t>混凝土设计强度等级</w:t>
            </w:r>
          </w:p>
        </w:tc>
        <w:tc>
          <w:tcPr>
            <w:tcW w:w="1382" w:type="pct"/>
            <w:gridSpan w:val="2"/>
            <w:vAlign w:val="center"/>
          </w:tcPr>
          <w:p w14:paraId="41ADEC49">
            <w:pPr>
              <w:pStyle w:val="49"/>
              <w:spacing w:line="360" w:lineRule="exact"/>
              <w:rPr>
                <w:color w:val="auto"/>
                <w:highlight w:val="none"/>
              </w:rPr>
            </w:pPr>
            <w:r>
              <w:rPr>
                <w:color w:val="auto"/>
                <w:highlight w:val="none"/>
              </w:rPr>
              <w:t>　</w:t>
            </w:r>
          </w:p>
        </w:tc>
      </w:tr>
      <w:tr w14:paraId="67E51F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446" w:type="pct"/>
            <w:gridSpan w:val="2"/>
            <w:vAlign w:val="center"/>
          </w:tcPr>
          <w:p w14:paraId="28CBF7E5">
            <w:pPr>
              <w:pStyle w:val="49"/>
              <w:spacing w:line="360" w:lineRule="exact"/>
              <w:rPr>
                <w:color w:val="auto"/>
                <w:highlight w:val="none"/>
              </w:rPr>
            </w:pPr>
            <w:r>
              <w:rPr>
                <w:color w:val="auto"/>
                <w:highlight w:val="none"/>
              </w:rPr>
              <w:t>混凝土浇筑日期</w:t>
            </w:r>
          </w:p>
        </w:tc>
        <w:tc>
          <w:tcPr>
            <w:tcW w:w="1184" w:type="pct"/>
            <w:vAlign w:val="center"/>
          </w:tcPr>
          <w:p w14:paraId="41BEE559">
            <w:pPr>
              <w:pStyle w:val="49"/>
              <w:spacing w:line="360" w:lineRule="exact"/>
              <w:rPr>
                <w:color w:val="auto"/>
                <w:highlight w:val="none"/>
              </w:rPr>
            </w:pPr>
            <w:r>
              <w:rPr>
                <w:color w:val="auto"/>
                <w:highlight w:val="none"/>
              </w:rPr>
              <w:t>　</w:t>
            </w:r>
          </w:p>
        </w:tc>
        <w:tc>
          <w:tcPr>
            <w:tcW w:w="987" w:type="pct"/>
            <w:vAlign w:val="center"/>
          </w:tcPr>
          <w:p w14:paraId="4031B418">
            <w:pPr>
              <w:pStyle w:val="49"/>
              <w:spacing w:line="360" w:lineRule="exact"/>
              <w:rPr>
                <w:color w:val="auto"/>
                <w:highlight w:val="none"/>
              </w:rPr>
            </w:pPr>
            <w:r>
              <w:rPr>
                <w:color w:val="auto"/>
                <w:highlight w:val="none"/>
              </w:rPr>
              <w:t>模块出厂日期</w:t>
            </w:r>
          </w:p>
        </w:tc>
        <w:tc>
          <w:tcPr>
            <w:tcW w:w="1382" w:type="pct"/>
            <w:gridSpan w:val="2"/>
            <w:vAlign w:val="center"/>
          </w:tcPr>
          <w:p w14:paraId="10AEFF86">
            <w:pPr>
              <w:pStyle w:val="49"/>
              <w:spacing w:line="360" w:lineRule="exact"/>
              <w:rPr>
                <w:color w:val="auto"/>
                <w:highlight w:val="none"/>
              </w:rPr>
            </w:pPr>
            <w:r>
              <w:rPr>
                <w:color w:val="auto"/>
                <w:highlight w:val="none"/>
              </w:rPr>
              <w:t>　</w:t>
            </w:r>
          </w:p>
        </w:tc>
      </w:tr>
      <w:tr w14:paraId="1C26CE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67" w:type="pct"/>
            <w:vMerge w:val="restart"/>
            <w:vAlign w:val="center"/>
          </w:tcPr>
          <w:p w14:paraId="53FFB8FA">
            <w:pPr>
              <w:pStyle w:val="49"/>
              <w:spacing w:line="360" w:lineRule="exact"/>
              <w:rPr>
                <w:color w:val="auto"/>
                <w:highlight w:val="none"/>
              </w:rPr>
            </w:pPr>
            <w:r>
              <w:rPr>
                <w:color w:val="auto"/>
                <w:highlight w:val="none"/>
              </w:rPr>
              <w:t>性能检验评定结果</w:t>
            </w:r>
          </w:p>
        </w:tc>
        <w:tc>
          <w:tcPr>
            <w:tcW w:w="2163" w:type="pct"/>
            <w:gridSpan w:val="2"/>
            <w:vAlign w:val="center"/>
          </w:tcPr>
          <w:p w14:paraId="0B238F5E">
            <w:pPr>
              <w:pStyle w:val="49"/>
              <w:spacing w:line="360" w:lineRule="exact"/>
              <w:rPr>
                <w:color w:val="auto"/>
                <w:highlight w:val="none"/>
              </w:rPr>
            </w:pPr>
            <w:r>
              <w:rPr>
                <w:color w:val="auto"/>
                <w:highlight w:val="none"/>
              </w:rPr>
              <w:t>混凝土抗压强度</w:t>
            </w:r>
          </w:p>
        </w:tc>
        <w:tc>
          <w:tcPr>
            <w:tcW w:w="2369" w:type="pct"/>
            <w:gridSpan w:val="3"/>
            <w:vAlign w:val="center"/>
          </w:tcPr>
          <w:p w14:paraId="2C3E2D2D">
            <w:pPr>
              <w:pStyle w:val="49"/>
              <w:spacing w:line="360" w:lineRule="exact"/>
              <w:rPr>
                <w:color w:val="auto"/>
                <w:highlight w:val="none"/>
              </w:rPr>
            </w:pPr>
            <w:r>
              <w:rPr>
                <w:color w:val="auto"/>
                <w:highlight w:val="none"/>
              </w:rPr>
              <w:t>主筋</w:t>
            </w:r>
          </w:p>
        </w:tc>
      </w:tr>
      <w:tr w14:paraId="45B137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67" w:type="pct"/>
            <w:vMerge w:val="continue"/>
            <w:vAlign w:val="center"/>
          </w:tcPr>
          <w:p w14:paraId="1AE89C12">
            <w:pPr>
              <w:pStyle w:val="49"/>
              <w:spacing w:line="360" w:lineRule="exact"/>
              <w:rPr>
                <w:color w:val="auto"/>
                <w:highlight w:val="none"/>
              </w:rPr>
            </w:pPr>
          </w:p>
        </w:tc>
        <w:tc>
          <w:tcPr>
            <w:tcW w:w="978" w:type="pct"/>
            <w:vAlign w:val="center"/>
          </w:tcPr>
          <w:p w14:paraId="630CA54B">
            <w:pPr>
              <w:pStyle w:val="49"/>
              <w:spacing w:line="360" w:lineRule="exact"/>
              <w:rPr>
                <w:color w:val="auto"/>
                <w:highlight w:val="none"/>
              </w:rPr>
            </w:pPr>
            <w:r>
              <w:rPr>
                <w:color w:val="auto"/>
                <w:highlight w:val="none"/>
              </w:rPr>
              <w:t>试验编号</w:t>
            </w:r>
          </w:p>
        </w:tc>
        <w:tc>
          <w:tcPr>
            <w:tcW w:w="1184" w:type="pct"/>
            <w:vAlign w:val="center"/>
          </w:tcPr>
          <w:p w14:paraId="0B46D6E1">
            <w:pPr>
              <w:pStyle w:val="49"/>
              <w:spacing w:line="360" w:lineRule="exact"/>
              <w:rPr>
                <w:color w:val="auto"/>
                <w:highlight w:val="none"/>
              </w:rPr>
            </w:pPr>
            <w:r>
              <w:rPr>
                <w:color w:val="auto"/>
                <w:highlight w:val="none"/>
              </w:rPr>
              <w:t>达到设计强度（%）</w:t>
            </w:r>
          </w:p>
        </w:tc>
        <w:tc>
          <w:tcPr>
            <w:tcW w:w="987" w:type="pct"/>
            <w:vAlign w:val="center"/>
          </w:tcPr>
          <w:p w14:paraId="65399C5D">
            <w:pPr>
              <w:pStyle w:val="49"/>
              <w:spacing w:line="360" w:lineRule="exact"/>
              <w:rPr>
                <w:color w:val="auto"/>
                <w:highlight w:val="none"/>
              </w:rPr>
            </w:pPr>
            <w:r>
              <w:rPr>
                <w:color w:val="auto"/>
                <w:highlight w:val="none"/>
              </w:rPr>
              <w:t>试验编号</w:t>
            </w:r>
          </w:p>
        </w:tc>
        <w:tc>
          <w:tcPr>
            <w:tcW w:w="501" w:type="pct"/>
            <w:vAlign w:val="center"/>
          </w:tcPr>
          <w:p w14:paraId="0C4B2A48">
            <w:pPr>
              <w:pStyle w:val="49"/>
              <w:spacing w:line="360" w:lineRule="exact"/>
              <w:rPr>
                <w:color w:val="auto"/>
                <w:highlight w:val="none"/>
              </w:rPr>
            </w:pPr>
            <w:r>
              <w:rPr>
                <w:color w:val="auto"/>
                <w:highlight w:val="none"/>
              </w:rPr>
              <w:t>力学性能</w:t>
            </w:r>
          </w:p>
        </w:tc>
        <w:tc>
          <w:tcPr>
            <w:tcW w:w="881" w:type="pct"/>
            <w:vAlign w:val="center"/>
          </w:tcPr>
          <w:p w14:paraId="6071CC27">
            <w:pPr>
              <w:pStyle w:val="49"/>
              <w:spacing w:line="360" w:lineRule="exact"/>
              <w:rPr>
                <w:color w:val="auto"/>
                <w:highlight w:val="none"/>
              </w:rPr>
            </w:pPr>
            <w:r>
              <w:rPr>
                <w:color w:val="auto"/>
                <w:highlight w:val="none"/>
              </w:rPr>
              <w:t>工艺性能</w:t>
            </w:r>
          </w:p>
        </w:tc>
      </w:tr>
      <w:tr w14:paraId="44CAE0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67" w:type="pct"/>
            <w:vMerge w:val="continue"/>
            <w:vAlign w:val="center"/>
          </w:tcPr>
          <w:p w14:paraId="282C754A">
            <w:pPr>
              <w:pStyle w:val="49"/>
              <w:spacing w:line="360" w:lineRule="exact"/>
              <w:rPr>
                <w:color w:val="auto"/>
                <w:highlight w:val="none"/>
              </w:rPr>
            </w:pPr>
          </w:p>
        </w:tc>
        <w:tc>
          <w:tcPr>
            <w:tcW w:w="978" w:type="pct"/>
            <w:vAlign w:val="center"/>
          </w:tcPr>
          <w:p w14:paraId="3EC0089F">
            <w:pPr>
              <w:pStyle w:val="49"/>
              <w:spacing w:line="360" w:lineRule="exact"/>
              <w:rPr>
                <w:color w:val="auto"/>
                <w:highlight w:val="none"/>
              </w:rPr>
            </w:pPr>
            <w:r>
              <w:rPr>
                <w:color w:val="auto"/>
                <w:highlight w:val="none"/>
              </w:rPr>
              <w:t>　</w:t>
            </w:r>
          </w:p>
        </w:tc>
        <w:tc>
          <w:tcPr>
            <w:tcW w:w="1184" w:type="pct"/>
            <w:vAlign w:val="center"/>
          </w:tcPr>
          <w:p w14:paraId="40516446">
            <w:pPr>
              <w:pStyle w:val="49"/>
              <w:spacing w:line="360" w:lineRule="exact"/>
              <w:rPr>
                <w:color w:val="auto"/>
                <w:highlight w:val="none"/>
              </w:rPr>
            </w:pPr>
            <w:r>
              <w:rPr>
                <w:color w:val="auto"/>
                <w:highlight w:val="none"/>
              </w:rPr>
              <w:t>　</w:t>
            </w:r>
          </w:p>
        </w:tc>
        <w:tc>
          <w:tcPr>
            <w:tcW w:w="987" w:type="pct"/>
            <w:vAlign w:val="center"/>
          </w:tcPr>
          <w:p w14:paraId="0C58374F">
            <w:pPr>
              <w:pStyle w:val="49"/>
              <w:spacing w:line="360" w:lineRule="exact"/>
              <w:rPr>
                <w:color w:val="auto"/>
                <w:highlight w:val="none"/>
              </w:rPr>
            </w:pPr>
            <w:r>
              <w:rPr>
                <w:color w:val="auto"/>
                <w:highlight w:val="none"/>
              </w:rPr>
              <w:t>　</w:t>
            </w:r>
          </w:p>
        </w:tc>
        <w:tc>
          <w:tcPr>
            <w:tcW w:w="501" w:type="pct"/>
            <w:vAlign w:val="center"/>
          </w:tcPr>
          <w:p w14:paraId="13589368">
            <w:pPr>
              <w:pStyle w:val="49"/>
              <w:spacing w:line="360" w:lineRule="exact"/>
              <w:rPr>
                <w:color w:val="auto"/>
                <w:highlight w:val="none"/>
              </w:rPr>
            </w:pPr>
            <w:r>
              <w:rPr>
                <w:color w:val="auto"/>
                <w:highlight w:val="none"/>
              </w:rPr>
              <w:t>　</w:t>
            </w:r>
          </w:p>
        </w:tc>
        <w:tc>
          <w:tcPr>
            <w:tcW w:w="881" w:type="pct"/>
            <w:vAlign w:val="center"/>
          </w:tcPr>
          <w:p w14:paraId="6ED47DD9">
            <w:pPr>
              <w:pStyle w:val="49"/>
              <w:spacing w:line="360" w:lineRule="exact"/>
              <w:rPr>
                <w:color w:val="auto"/>
                <w:highlight w:val="none"/>
              </w:rPr>
            </w:pPr>
            <w:r>
              <w:rPr>
                <w:color w:val="auto"/>
                <w:highlight w:val="none"/>
              </w:rPr>
              <w:t>　</w:t>
            </w:r>
          </w:p>
        </w:tc>
      </w:tr>
      <w:tr w14:paraId="1BDEA4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67" w:type="pct"/>
            <w:vMerge w:val="continue"/>
            <w:vAlign w:val="center"/>
          </w:tcPr>
          <w:p w14:paraId="72D9A668">
            <w:pPr>
              <w:pStyle w:val="49"/>
              <w:spacing w:line="360" w:lineRule="exact"/>
              <w:rPr>
                <w:color w:val="auto"/>
                <w:highlight w:val="none"/>
              </w:rPr>
            </w:pPr>
          </w:p>
        </w:tc>
        <w:tc>
          <w:tcPr>
            <w:tcW w:w="2163" w:type="pct"/>
            <w:gridSpan w:val="2"/>
            <w:vAlign w:val="center"/>
          </w:tcPr>
          <w:p w14:paraId="52DF8C17">
            <w:pPr>
              <w:pStyle w:val="49"/>
              <w:spacing w:line="360" w:lineRule="exact"/>
              <w:rPr>
                <w:color w:val="auto"/>
                <w:highlight w:val="none"/>
              </w:rPr>
            </w:pPr>
            <w:r>
              <w:rPr>
                <w:color w:val="auto"/>
                <w:highlight w:val="none"/>
              </w:rPr>
              <w:t>外观</w:t>
            </w:r>
          </w:p>
        </w:tc>
        <w:tc>
          <w:tcPr>
            <w:tcW w:w="2369" w:type="pct"/>
            <w:gridSpan w:val="3"/>
            <w:vAlign w:val="center"/>
          </w:tcPr>
          <w:p w14:paraId="4ADB3BC1">
            <w:pPr>
              <w:pStyle w:val="49"/>
              <w:spacing w:line="360" w:lineRule="exact"/>
              <w:rPr>
                <w:color w:val="auto"/>
                <w:highlight w:val="none"/>
              </w:rPr>
            </w:pPr>
            <w:r>
              <w:rPr>
                <w:color w:val="auto"/>
                <w:highlight w:val="none"/>
              </w:rPr>
              <w:t>面层装饰材料</w:t>
            </w:r>
          </w:p>
        </w:tc>
      </w:tr>
      <w:tr w14:paraId="293E98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67" w:type="pct"/>
            <w:vMerge w:val="continue"/>
            <w:vAlign w:val="center"/>
          </w:tcPr>
          <w:p w14:paraId="3DFCDE6B">
            <w:pPr>
              <w:pStyle w:val="49"/>
              <w:spacing w:line="360" w:lineRule="exact"/>
              <w:rPr>
                <w:color w:val="auto"/>
                <w:highlight w:val="none"/>
              </w:rPr>
            </w:pPr>
          </w:p>
        </w:tc>
        <w:tc>
          <w:tcPr>
            <w:tcW w:w="978" w:type="pct"/>
            <w:vAlign w:val="center"/>
          </w:tcPr>
          <w:p w14:paraId="20E15013">
            <w:pPr>
              <w:pStyle w:val="49"/>
              <w:spacing w:line="360" w:lineRule="exact"/>
              <w:rPr>
                <w:color w:val="auto"/>
                <w:highlight w:val="none"/>
              </w:rPr>
            </w:pPr>
            <w:r>
              <w:rPr>
                <w:color w:val="auto"/>
                <w:highlight w:val="none"/>
              </w:rPr>
              <w:t>质量状况</w:t>
            </w:r>
          </w:p>
        </w:tc>
        <w:tc>
          <w:tcPr>
            <w:tcW w:w="1184" w:type="pct"/>
            <w:vAlign w:val="center"/>
          </w:tcPr>
          <w:p w14:paraId="24282D1D">
            <w:pPr>
              <w:pStyle w:val="49"/>
              <w:spacing w:line="360" w:lineRule="exact"/>
              <w:rPr>
                <w:color w:val="auto"/>
                <w:highlight w:val="none"/>
              </w:rPr>
            </w:pPr>
            <w:r>
              <w:rPr>
                <w:color w:val="auto"/>
                <w:highlight w:val="none"/>
              </w:rPr>
              <w:t>规格尺寸</w:t>
            </w:r>
          </w:p>
        </w:tc>
        <w:tc>
          <w:tcPr>
            <w:tcW w:w="1488" w:type="pct"/>
            <w:gridSpan w:val="2"/>
            <w:vAlign w:val="center"/>
          </w:tcPr>
          <w:p w14:paraId="59A0CBE9">
            <w:pPr>
              <w:pStyle w:val="49"/>
              <w:spacing w:line="360" w:lineRule="exact"/>
              <w:rPr>
                <w:color w:val="auto"/>
                <w:highlight w:val="none"/>
              </w:rPr>
            </w:pPr>
            <w:r>
              <w:rPr>
                <w:color w:val="auto"/>
                <w:highlight w:val="none"/>
              </w:rPr>
              <w:t>试验编号</w:t>
            </w:r>
          </w:p>
        </w:tc>
        <w:tc>
          <w:tcPr>
            <w:tcW w:w="881" w:type="pct"/>
            <w:vAlign w:val="center"/>
          </w:tcPr>
          <w:p w14:paraId="09347589">
            <w:pPr>
              <w:pStyle w:val="49"/>
              <w:spacing w:line="360" w:lineRule="exact"/>
              <w:rPr>
                <w:color w:val="auto"/>
                <w:highlight w:val="none"/>
              </w:rPr>
            </w:pPr>
            <w:r>
              <w:rPr>
                <w:color w:val="auto"/>
                <w:highlight w:val="none"/>
              </w:rPr>
              <w:t>试验结论</w:t>
            </w:r>
          </w:p>
        </w:tc>
      </w:tr>
      <w:tr w14:paraId="0E5E3F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67" w:type="pct"/>
            <w:vMerge w:val="continue"/>
            <w:vAlign w:val="center"/>
          </w:tcPr>
          <w:p w14:paraId="0F08FD9B">
            <w:pPr>
              <w:pStyle w:val="49"/>
              <w:spacing w:line="360" w:lineRule="exact"/>
              <w:rPr>
                <w:color w:val="auto"/>
                <w:highlight w:val="none"/>
              </w:rPr>
            </w:pPr>
          </w:p>
        </w:tc>
        <w:tc>
          <w:tcPr>
            <w:tcW w:w="978" w:type="pct"/>
            <w:vAlign w:val="center"/>
          </w:tcPr>
          <w:p w14:paraId="04495BE1">
            <w:pPr>
              <w:pStyle w:val="49"/>
              <w:spacing w:line="360" w:lineRule="exact"/>
              <w:rPr>
                <w:color w:val="auto"/>
                <w:highlight w:val="none"/>
              </w:rPr>
            </w:pPr>
            <w:r>
              <w:rPr>
                <w:color w:val="auto"/>
                <w:highlight w:val="none"/>
              </w:rPr>
              <w:t>　</w:t>
            </w:r>
          </w:p>
        </w:tc>
        <w:tc>
          <w:tcPr>
            <w:tcW w:w="1184" w:type="pct"/>
            <w:vAlign w:val="center"/>
          </w:tcPr>
          <w:p w14:paraId="6BC280DF">
            <w:pPr>
              <w:pStyle w:val="49"/>
              <w:spacing w:line="360" w:lineRule="exact"/>
              <w:rPr>
                <w:color w:val="auto"/>
                <w:highlight w:val="none"/>
              </w:rPr>
            </w:pPr>
            <w:r>
              <w:rPr>
                <w:color w:val="auto"/>
                <w:highlight w:val="none"/>
              </w:rPr>
              <w:t>　</w:t>
            </w:r>
          </w:p>
        </w:tc>
        <w:tc>
          <w:tcPr>
            <w:tcW w:w="987" w:type="pct"/>
            <w:vAlign w:val="center"/>
          </w:tcPr>
          <w:p w14:paraId="349DFC6E">
            <w:pPr>
              <w:pStyle w:val="49"/>
              <w:spacing w:line="360" w:lineRule="exact"/>
              <w:rPr>
                <w:color w:val="auto"/>
                <w:highlight w:val="none"/>
              </w:rPr>
            </w:pPr>
            <w:r>
              <w:rPr>
                <w:color w:val="auto"/>
                <w:highlight w:val="none"/>
              </w:rPr>
              <w:t>　</w:t>
            </w:r>
          </w:p>
        </w:tc>
        <w:tc>
          <w:tcPr>
            <w:tcW w:w="501" w:type="pct"/>
            <w:vAlign w:val="center"/>
          </w:tcPr>
          <w:p w14:paraId="2C444F71">
            <w:pPr>
              <w:pStyle w:val="49"/>
              <w:spacing w:line="360" w:lineRule="exact"/>
              <w:rPr>
                <w:color w:val="auto"/>
                <w:highlight w:val="none"/>
              </w:rPr>
            </w:pPr>
            <w:r>
              <w:rPr>
                <w:color w:val="auto"/>
                <w:highlight w:val="none"/>
              </w:rPr>
              <w:t>　</w:t>
            </w:r>
          </w:p>
        </w:tc>
        <w:tc>
          <w:tcPr>
            <w:tcW w:w="881" w:type="pct"/>
            <w:vAlign w:val="center"/>
          </w:tcPr>
          <w:p w14:paraId="5E4957E2">
            <w:pPr>
              <w:pStyle w:val="49"/>
              <w:spacing w:line="360" w:lineRule="exact"/>
              <w:rPr>
                <w:color w:val="auto"/>
                <w:highlight w:val="none"/>
              </w:rPr>
            </w:pPr>
            <w:r>
              <w:rPr>
                <w:color w:val="auto"/>
                <w:highlight w:val="none"/>
              </w:rPr>
              <w:t>　</w:t>
            </w:r>
          </w:p>
        </w:tc>
      </w:tr>
      <w:tr w14:paraId="29E7BF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67" w:type="pct"/>
            <w:vMerge w:val="continue"/>
            <w:vAlign w:val="center"/>
          </w:tcPr>
          <w:p w14:paraId="30EC9B05">
            <w:pPr>
              <w:pStyle w:val="49"/>
              <w:spacing w:line="360" w:lineRule="exact"/>
              <w:rPr>
                <w:color w:val="auto"/>
                <w:highlight w:val="none"/>
              </w:rPr>
            </w:pPr>
          </w:p>
        </w:tc>
        <w:tc>
          <w:tcPr>
            <w:tcW w:w="2163" w:type="pct"/>
            <w:gridSpan w:val="2"/>
            <w:vAlign w:val="center"/>
          </w:tcPr>
          <w:p w14:paraId="54B30951">
            <w:pPr>
              <w:pStyle w:val="49"/>
              <w:spacing w:line="360" w:lineRule="exact"/>
              <w:rPr>
                <w:color w:val="auto"/>
                <w:highlight w:val="none"/>
              </w:rPr>
            </w:pPr>
            <w:r>
              <w:rPr>
                <w:color w:val="auto"/>
                <w:highlight w:val="none"/>
              </w:rPr>
              <w:t>吊装测试</w:t>
            </w:r>
          </w:p>
        </w:tc>
        <w:tc>
          <w:tcPr>
            <w:tcW w:w="2369" w:type="pct"/>
            <w:gridSpan w:val="3"/>
            <w:vAlign w:val="center"/>
          </w:tcPr>
          <w:p w14:paraId="3680A4F8">
            <w:pPr>
              <w:pStyle w:val="49"/>
              <w:spacing w:line="360" w:lineRule="exact"/>
              <w:rPr>
                <w:color w:val="auto"/>
                <w:highlight w:val="none"/>
              </w:rPr>
            </w:pPr>
            <w:r>
              <w:rPr>
                <w:color w:val="auto"/>
                <w:highlight w:val="none"/>
              </w:rPr>
              <w:t>外墙（窗）防水性能测试</w:t>
            </w:r>
          </w:p>
        </w:tc>
      </w:tr>
      <w:tr w14:paraId="734189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67" w:type="pct"/>
            <w:vMerge w:val="continue"/>
            <w:vAlign w:val="center"/>
          </w:tcPr>
          <w:p w14:paraId="44708DBA">
            <w:pPr>
              <w:pStyle w:val="49"/>
              <w:spacing w:line="360" w:lineRule="exact"/>
              <w:rPr>
                <w:color w:val="auto"/>
                <w:highlight w:val="none"/>
              </w:rPr>
            </w:pPr>
          </w:p>
        </w:tc>
        <w:tc>
          <w:tcPr>
            <w:tcW w:w="978" w:type="pct"/>
            <w:vAlign w:val="center"/>
          </w:tcPr>
          <w:p w14:paraId="66105DF7">
            <w:pPr>
              <w:pStyle w:val="49"/>
              <w:spacing w:line="360" w:lineRule="exact"/>
              <w:rPr>
                <w:color w:val="auto"/>
                <w:highlight w:val="none"/>
              </w:rPr>
            </w:pPr>
            <w:r>
              <w:rPr>
                <w:color w:val="auto"/>
                <w:highlight w:val="none"/>
              </w:rPr>
              <w:t>试验编号</w:t>
            </w:r>
          </w:p>
        </w:tc>
        <w:tc>
          <w:tcPr>
            <w:tcW w:w="1184" w:type="pct"/>
            <w:vAlign w:val="center"/>
          </w:tcPr>
          <w:p w14:paraId="5DD34E32">
            <w:pPr>
              <w:pStyle w:val="49"/>
              <w:spacing w:line="360" w:lineRule="exact"/>
              <w:rPr>
                <w:color w:val="auto"/>
                <w:highlight w:val="none"/>
              </w:rPr>
            </w:pPr>
            <w:r>
              <w:rPr>
                <w:color w:val="auto"/>
                <w:highlight w:val="none"/>
              </w:rPr>
              <w:t>试验结论</w:t>
            </w:r>
          </w:p>
        </w:tc>
        <w:tc>
          <w:tcPr>
            <w:tcW w:w="1488" w:type="pct"/>
            <w:gridSpan w:val="2"/>
            <w:vAlign w:val="center"/>
          </w:tcPr>
          <w:p w14:paraId="31BC113D">
            <w:pPr>
              <w:pStyle w:val="49"/>
              <w:spacing w:line="360" w:lineRule="exact"/>
              <w:rPr>
                <w:color w:val="auto"/>
                <w:highlight w:val="none"/>
              </w:rPr>
            </w:pPr>
            <w:r>
              <w:rPr>
                <w:color w:val="auto"/>
                <w:highlight w:val="none"/>
              </w:rPr>
              <w:t>试验编号</w:t>
            </w:r>
          </w:p>
        </w:tc>
        <w:tc>
          <w:tcPr>
            <w:tcW w:w="881" w:type="pct"/>
            <w:vAlign w:val="center"/>
          </w:tcPr>
          <w:p w14:paraId="38C0B920">
            <w:pPr>
              <w:pStyle w:val="49"/>
              <w:spacing w:line="360" w:lineRule="exact"/>
              <w:rPr>
                <w:color w:val="auto"/>
                <w:highlight w:val="none"/>
              </w:rPr>
            </w:pPr>
            <w:r>
              <w:rPr>
                <w:color w:val="auto"/>
                <w:highlight w:val="none"/>
              </w:rPr>
              <w:t>试验结论</w:t>
            </w:r>
          </w:p>
        </w:tc>
      </w:tr>
      <w:tr w14:paraId="7E481C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67" w:type="pct"/>
            <w:vMerge w:val="continue"/>
            <w:vAlign w:val="center"/>
          </w:tcPr>
          <w:p w14:paraId="0FB2F532">
            <w:pPr>
              <w:pStyle w:val="49"/>
              <w:spacing w:line="360" w:lineRule="exact"/>
              <w:rPr>
                <w:color w:val="auto"/>
                <w:highlight w:val="none"/>
              </w:rPr>
            </w:pPr>
          </w:p>
        </w:tc>
        <w:tc>
          <w:tcPr>
            <w:tcW w:w="978" w:type="pct"/>
            <w:vAlign w:val="center"/>
          </w:tcPr>
          <w:p w14:paraId="1812B0F0">
            <w:pPr>
              <w:pStyle w:val="49"/>
              <w:spacing w:line="360" w:lineRule="exact"/>
              <w:rPr>
                <w:color w:val="auto"/>
                <w:highlight w:val="none"/>
              </w:rPr>
            </w:pPr>
            <w:r>
              <w:rPr>
                <w:color w:val="auto"/>
                <w:highlight w:val="none"/>
              </w:rPr>
              <w:t>　</w:t>
            </w:r>
          </w:p>
        </w:tc>
        <w:tc>
          <w:tcPr>
            <w:tcW w:w="1184" w:type="pct"/>
            <w:vAlign w:val="center"/>
          </w:tcPr>
          <w:p w14:paraId="6CF36099">
            <w:pPr>
              <w:pStyle w:val="49"/>
              <w:spacing w:line="360" w:lineRule="exact"/>
              <w:rPr>
                <w:color w:val="auto"/>
                <w:highlight w:val="none"/>
              </w:rPr>
            </w:pPr>
            <w:r>
              <w:rPr>
                <w:color w:val="auto"/>
                <w:highlight w:val="none"/>
              </w:rPr>
              <w:t>　</w:t>
            </w:r>
          </w:p>
        </w:tc>
        <w:tc>
          <w:tcPr>
            <w:tcW w:w="987" w:type="pct"/>
            <w:vAlign w:val="center"/>
          </w:tcPr>
          <w:p w14:paraId="2F190D91">
            <w:pPr>
              <w:pStyle w:val="49"/>
              <w:spacing w:line="360" w:lineRule="exact"/>
              <w:rPr>
                <w:color w:val="auto"/>
                <w:highlight w:val="none"/>
              </w:rPr>
            </w:pPr>
            <w:r>
              <w:rPr>
                <w:color w:val="auto"/>
                <w:highlight w:val="none"/>
              </w:rPr>
              <w:t>　</w:t>
            </w:r>
          </w:p>
        </w:tc>
        <w:tc>
          <w:tcPr>
            <w:tcW w:w="501" w:type="pct"/>
            <w:vAlign w:val="center"/>
          </w:tcPr>
          <w:p w14:paraId="5F858432">
            <w:pPr>
              <w:pStyle w:val="49"/>
              <w:spacing w:line="360" w:lineRule="exact"/>
              <w:rPr>
                <w:color w:val="auto"/>
                <w:highlight w:val="none"/>
              </w:rPr>
            </w:pPr>
            <w:r>
              <w:rPr>
                <w:color w:val="auto"/>
                <w:highlight w:val="none"/>
              </w:rPr>
              <w:t>　</w:t>
            </w:r>
          </w:p>
        </w:tc>
        <w:tc>
          <w:tcPr>
            <w:tcW w:w="881" w:type="pct"/>
            <w:vAlign w:val="center"/>
          </w:tcPr>
          <w:p w14:paraId="3205A140">
            <w:pPr>
              <w:pStyle w:val="49"/>
              <w:spacing w:line="360" w:lineRule="exact"/>
              <w:rPr>
                <w:color w:val="auto"/>
                <w:highlight w:val="none"/>
              </w:rPr>
            </w:pPr>
            <w:r>
              <w:rPr>
                <w:color w:val="auto"/>
                <w:highlight w:val="none"/>
              </w:rPr>
              <w:t>　</w:t>
            </w:r>
          </w:p>
        </w:tc>
      </w:tr>
      <w:tr w14:paraId="32D2CE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67" w:type="pct"/>
            <w:vMerge w:val="continue"/>
            <w:vAlign w:val="center"/>
          </w:tcPr>
          <w:p w14:paraId="2609E1BE">
            <w:pPr>
              <w:pStyle w:val="49"/>
              <w:spacing w:line="360" w:lineRule="exact"/>
              <w:rPr>
                <w:color w:val="auto"/>
                <w:highlight w:val="none"/>
              </w:rPr>
            </w:pPr>
          </w:p>
        </w:tc>
        <w:tc>
          <w:tcPr>
            <w:tcW w:w="2163" w:type="pct"/>
            <w:gridSpan w:val="2"/>
            <w:vAlign w:val="center"/>
          </w:tcPr>
          <w:p w14:paraId="28EABF83">
            <w:pPr>
              <w:pStyle w:val="49"/>
              <w:spacing w:line="360" w:lineRule="exact"/>
              <w:rPr>
                <w:color w:val="auto"/>
                <w:highlight w:val="none"/>
              </w:rPr>
            </w:pPr>
            <w:r>
              <w:rPr>
                <w:color w:val="auto"/>
                <w:highlight w:val="none"/>
              </w:rPr>
              <w:t>门、窗隔声性能测试</w:t>
            </w:r>
          </w:p>
        </w:tc>
        <w:tc>
          <w:tcPr>
            <w:tcW w:w="2369" w:type="pct"/>
            <w:gridSpan w:val="3"/>
            <w:vAlign w:val="center"/>
          </w:tcPr>
          <w:p w14:paraId="7DC36E2C">
            <w:pPr>
              <w:pStyle w:val="49"/>
              <w:spacing w:line="360" w:lineRule="exact"/>
              <w:rPr>
                <w:color w:val="auto"/>
                <w:highlight w:val="none"/>
              </w:rPr>
            </w:pPr>
            <w:r>
              <w:rPr>
                <w:color w:val="auto"/>
                <w:highlight w:val="none"/>
              </w:rPr>
              <w:t>门、窗保温性能测试</w:t>
            </w:r>
          </w:p>
        </w:tc>
      </w:tr>
      <w:tr w14:paraId="0BAADA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67" w:type="pct"/>
            <w:vMerge w:val="continue"/>
            <w:vAlign w:val="center"/>
          </w:tcPr>
          <w:p w14:paraId="270476CC">
            <w:pPr>
              <w:pStyle w:val="49"/>
              <w:spacing w:line="360" w:lineRule="exact"/>
              <w:rPr>
                <w:color w:val="auto"/>
                <w:highlight w:val="none"/>
              </w:rPr>
            </w:pPr>
          </w:p>
        </w:tc>
        <w:tc>
          <w:tcPr>
            <w:tcW w:w="978" w:type="pct"/>
            <w:vAlign w:val="center"/>
          </w:tcPr>
          <w:p w14:paraId="34DEFE60">
            <w:pPr>
              <w:pStyle w:val="49"/>
              <w:spacing w:line="360" w:lineRule="exact"/>
              <w:rPr>
                <w:color w:val="auto"/>
                <w:highlight w:val="none"/>
              </w:rPr>
            </w:pPr>
            <w:r>
              <w:rPr>
                <w:color w:val="auto"/>
                <w:highlight w:val="none"/>
              </w:rPr>
              <w:t>试验编号</w:t>
            </w:r>
          </w:p>
        </w:tc>
        <w:tc>
          <w:tcPr>
            <w:tcW w:w="1184" w:type="pct"/>
            <w:vAlign w:val="center"/>
          </w:tcPr>
          <w:p w14:paraId="3E5A6E2C">
            <w:pPr>
              <w:pStyle w:val="49"/>
              <w:spacing w:line="360" w:lineRule="exact"/>
              <w:rPr>
                <w:color w:val="auto"/>
                <w:highlight w:val="none"/>
              </w:rPr>
            </w:pPr>
            <w:r>
              <w:rPr>
                <w:color w:val="auto"/>
                <w:highlight w:val="none"/>
              </w:rPr>
              <w:t>试验结论</w:t>
            </w:r>
          </w:p>
        </w:tc>
        <w:tc>
          <w:tcPr>
            <w:tcW w:w="1488" w:type="pct"/>
            <w:gridSpan w:val="2"/>
            <w:vAlign w:val="center"/>
          </w:tcPr>
          <w:p w14:paraId="71FBAE6B">
            <w:pPr>
              <w:pStyle w:val="49"/>
              <w:spacing w:line="360" w:lineRule="exact"/>
              <w:rPr>
                <w:color w:val="auto"/>
                <w:highlight w:val="none"/>
              </w:rPr>
            </w:pPr>
            <w:r>
              <w:rPr>
                <w:color w:val="auto"/>
                <w:highlight w:val="none"/>
              </w:rPr>
              <w:t>试验编号</w:t>
            </w:r>
          </w:p>
        </w:tc>
        <w:tc>
          <w:tcPr>
            <w:tcW w:w="881" w:type="pct"/>
            <w:vAlign w:val="center"/>
          </w:tcPr>
          <w:p w14:paraId="450FB95C">
            <w:pPr>
              <w:pStyle w:val="49"/>
              <w:spacing w:line="360" w:lineRule="exact"/>
              <w:rPr>
                <w:color w:val="auto"/>
                <w:highlight w:val="none"/>
              </w:rPr>
            </w:pPr>
            <w:r>
              <w:rPr>
                <w:color w:val="auto"/>
                <w:highlight w:val="none"/>
              </w:rPr>
              <w:t>试验结论</w:t>
            </w:r>
          </w:p>
        </w:tc>
      </w:tr>
      <w:tr w14:paraId="72C367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67" w:type="pct"/>
            <w:vMerge w:val="continue"/>
            <w:vAlign w:val="center"/>
          </w:tcPr>
          <w:p w14:paraId="54C2B87F">
            <w:pPr>
              <w:pStyle w:val="49"/>
              <w:spacing w:line="360" w:lineRule="exact"/>
              <w:rPr>
                <w:color w:val="auto"/>
                <w:highlight w:val="none"/>
              </w:rPr>
            </w:pPr>
          </w:p>
        </w:tc>
        <w:tc>
          <w:tcPr>
            <w:tcW w:w="978" w:type="pct"/>
            <w:vAlign w:val="center"/>
          </w:tcPr>
          <w:p w14:paraId="3784DFC0">
            <w:pPr>
              <w:pStyle w:val="49"/>
              <w:spacing w:line="360" w:lineRule="exact"/>
              <w:rPr>
                <w:color w:val="auto"/>
                <w:highlight w:val="none"/>
              </w:rPr>
            </w:pPr>
            <w:r>
              <w:rPr>
                <w:color w:val="auto"/>
                <w:highlight w:val="none"/>
              </w:rPr>
              <w:t>　</w:t>
            </w:r>
          </w:p>
        </w:tc>
        <w:tc>
          <w:tcPr>
            <w:tcW w:w="1184" w:type="pct"/>
            <w:vAlign w:val="center"/>
          </w:tcPr>
          <w:p w14:paraId="1D701984">
            <w:pPr>
              <w:pStyle w:val="49"/>
              <w:spacing w:line="360" w:lineRule="exact"/>
              <w:rPr>
                <w:color w:val="auto"/>
                <w:highlight w:val="none"/>
              </w:rPr>
            </w:pPr>
            <w:r>
              <w:rPr>
                <w:color w:val="auto"/>
                <w:highlight w:val="none"/>
              </w:rPr>
              <w:t>　</w:t>
            </w:r>
          </w:p>
        </w:tc>
        <w:tc>
          <w:tcPr>
            <w:tcW w:w="987" w:type="pct"/>
            <w:vAlign w:val="center"/>
          </w:tcPr>
          <w:p w14:paraId="2404BB30">
            <w:pPr>
              <w:pStyle w:val="49"/>
              <w:spacing w:line="360" w:lineRule="exact"/>
              <w:rPr>
                <w:color w:val="auto"/>
                <w:highlight w:val="none"/>
              </w:rPr>
            </w:pPr>
            <w:r>
              <w:rPr>
                <w:color w:val="auto"/>
                <w:highlight w:val="none"/>
              </w:rPr>
              <w:t>　</w:t>
            </w:r>
          </w:p>
        </w:tc>
        <w:tc>
          <w:tcPr>
            <w:tcW w:w="501" w:type="pct"/>
            <w:vAlign w:val="center"/>
          </w:tcPr>
          <w:p w14:paraId="098693C7">
            <w:pPr>
              <w:pStyle w:val="49"/>
              <w:spacing w:line="360" w:lineRule="exact"/>
              <w:rPr>
                <w:color w:val="auto"/>
                <w:highlight w:val="none"/>
              </w:rPr>
            </w:pPr>
            <w:r>
              <w:rPr>
                <w:color w:val="auto"/>
                <w:highlight w:val="none"/>
              </w:rPr>
              <w:t>　</w:t>
            </w:r>
          </w:p>
        </w:tc>
        <w:tc>
          <w:tcPr>
            <w:tcW w:w="881" w:type="pct"/>
            <w:vAlign w:val="center"/>
          </w:tcPr>
          <w:p w14:paraId="52531DC6">
            <w:pPr>
              <w:pStyle w:val="49"/>
              <w:spacing w:line="360" w:lineRule="exact"/>
              <w:rPr>
                <w:color w:val="auto"/>
                <w:highlight w:val="none"/>
              </w:rPr>
            </w:pPr>
            <w:r>
              <w:rPr>
                <w:color w:val="auto"/>
                <w:highlight w:val="none"/>
              </w:rPr>
              <w:t>　</w:t>
            </w:r>
          </w:p>
        </w:tc>
      </w:tr>
    </w:tbl>
    <w:p w14:paraId="291F315C">
      <w:pPr>
        <w:rPr>
          <w:highlight w:val="none"/>
        </w:rPr>
      </w:pPr>
    </w:p>
    <w:p w14:paraId="73E894A9">
      <w:pPr>
        <w:jc w:val="center"/>
        <w:rPr>
          <w:rFonts w:hint="eastAsia" w:eastAsia="黑体"/>
          <w:highlight w:val="none"/>
          <w:lang w:val="en-US" w:eastAsia="zh-CN"/>
        </w:rPr>
      </w:pPr>
      <w:r>
        <w:rPr>
          <w:rFonts w:hint="eastAsia" w:eastAsia="黑体"/>
          <w:color w:val="auto"/>
          <w:kern w:val="0"/>
          <w:sz w:val="18"/>
          <w:szCs w:val="21"/>
          <w:highlight w:val="none"/>
          <w:lang w:val="en-US" w:eastAsia="zh-CN"/>
        </w:rPr>
        <w:t>续</w:t>
      </w:r>
      <w:r>
        <w:rPr>
          <w:rFonts w:eastAsia="黑体"/>
          <w:color w:val="auto"/>
          <w:kern w:val="0"/>
          <w:sz w:val="18"/>
          <w:szCs w:val="21"/>
          <w:highlight w:val="none"/>
        </w:rPr>
        <w:t>表</w:t>
      </w:r>
      <w:r>
        <w:rPr>
          <w:rFonts w:hint="eastAsia" w:eastAsia="黑体"/>
          <w:color w:val="auto"/>
          <w:kern w:val="0"/>
          <w:sz w:val="18"/>
          <w:szCs w:val="21"/>
          <w:highlight w:val="none"/>
          <w:lang w:val="en-US" w:eastAsia="zh-CN"/>
        </w:rPr>
        <w:t>C</w:t>
      </w:r>
    </w:p>
    <w:tbl>
      <w:tblPr>
        <w:tblStyle w:val="25"/>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73"/>
        <w:gridCol w:w="1200"/>
        <w:gridCol w:w="1454"/>
        <w:gridCol w:w="1211"/>
        <w:gridCol w:w="615"/>
        <w:gridCol w:w="1081"/>
      </w:tblGrid>
      <w:tr w14:paraId="140D60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67" w:type="pct"/>
            <w:vMerge w:val="restart"/>
            <w:vAlign w:val="center"/>
          </w:tcPr>
          <w:p w14:paraId="4CE46565">
            <w:pPr>
              <w:pStyle w:val="49"/>
              <w:spacing w:line="360" w:lineRule="exact"/>
              <w:rPr>
                <w:color w:val="auto"/>
                <w:highlight w:val="none"/>
              </w:rPr>
            </w:pPr>
            <w:r>
              <w:rPr>
                <w:color w:val="auto"/>
                <w:highlight w:val="none"/>
              </w:rPr>
              <w:t>性能检验评定结果</w:t>
            </w:r>
          </w:p>
        </w:tc>
        <w:tc>
          <w:tcPr>
            <w:tcW w:w="2163" w:type="pct"/>
            <w:gridSpan w:val="2"/>
            <w:vAlign w:val="center"/>
          </w:tcPr>
          <w:p w14:paraId="5ABA959B">
            <w:pPr>
              <w:pStyle w:val="49"/>
              <w:spacing w:line="360" w:lineRule="exact"/>
              <w:rPr>
                <w:color w:val="auto"/>
                <w:highlight w:val="none"/>
              </w:rPr>
            </w:pPr>
            <w:r>
              <w:rPr>
                <w:color w:val="auto"/>
                <w:highlight w:val="none"/>
              </w:rPr>
              <w:t>卫生间闭水试验</w:t>
            </w:r>
          </w:p>
        </w:tc>
        <w:tc>
          <w:tcPr>
            <w:tcW w:w="2369" w:type="pct"/>
            <w:gridSpan w:val="3"/>
            <w:vAlign w:val="center"/>
          </w:tcPr>
          <w:p w14:paraId="337FCE69">
            <w:pPr>
              <w:pStyle w:val="49"/>
              <w:spacing w:line="360" w:lineRule="exact"/>
              <w:rPr>
                <w:color w:val="auto"/>
                <w:highlight w:val="none"/>
              </w:rPr>
            </w:pPr>
            <w:r>
              <w:rPr>
                <w:color w:val="auto"/>
                <w:highlight w:val="none"/>
              </w:rPr>
              <w:t>消防测试</w:t>
            </w:r>
          </w:p>
        </w:tc>
      </w:tr>
      <w:tr w14:paraId="5E8E1C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67" w:type="pct"/>
            <w:vMerge w:val="continue"/>
            <w:vAlign w:val="center"/>
          </w:tcPr>
          <w:p w14:paraId="679161F4">
            <w:pPr>
              <w:pStyle w:val="49"/>
              <w:spacing w:line="360" w:lineRule="exact"/>
              <w:rPr>
                <w:color w:val="auto"/>
                <w:highlight w:val="none"/>
              </w:rPr>
            </w:pPr>
          </w:p>
        </w:tc>
        <w:tc>
          <w:tcPr>
            <w:tcW w:w="978" w:type="pct"/>
            <w:vAlign w:val="center"/>
          </w:tcPr>
          <w:p w14:paraId="6C8EC0C9">
            <w:pPr>
              <w:pStyle w:val="49"/>
              <w:spacing w:line="360" w:lineRule="exact"/>
              <w:rPr>
                <w:color w:val="auto"/>
                <w:highlight w:val="none"/>
              </w:rPr>
            </w:pPr>
            <w:r>
              <w:rPr>
                <w:color w:val="auto"/>
                <w:highlight w:val="none"/>
              </w:rPr>
              <w:t>试验编号</w:t>
            </w:r>
          </w:p>
        </w:tc>
        <w:tc>
          <w:tcPr>
            <w:tcW w:w="1184" w:type="pct"/>
            <w:vAlign w:val="center"/>
          </w:tcPr>
          <w:p w14:paraId="28E93D54">
            <w:pPr>
              <w:pStyle w:val="49"/>
              <w:spacing w:line="360" w:lineRule="exact"/>
              <w:rPr>
                <w:color w:val="auto"/>
                <w:highlight w:val="none"/>
              </w:rPr>
            </w:pPr>
            <w:r>
              <w:rPr>
                <w:color w:val="auto"/>
                <w:highlight w:val="none"/>
              </w:rPr>
              <w:t>试验结论</w:t>
            </w:r>
          </w:p>
        </w:tc>
        <w:tc>
          <w:tcPr>
            <w:tcW w:w="1488" w:type="pct"/>
            <w:gridSpan w:val="2"/>
            <w:vAlign w:val="center"/>
          </w:tcPr>
          <w:p w14:paraId="4AD068EA">
            <w:pPr>
              <w:pStyle w:val="49"/>
              <w:spacing w:line="360" w:lineRule="exact"/>
              <w:rPr>
                <w:color w:val="auto"/>
                <w:highlight w:val="none"/>
              </w:rPr>
            </w:pPr>
            <w:r>
              <w:rPr>
                <w:color w:val="auto"/>
                <w:highlight w:val="none"/>
              </w:rPr>
              <w:t>试验编号</w:t>
            </w:r>
          </w:p>
        </w:tc>
        <w:tc>
          <w:tcPr>
            <w:tcW w:w="881" w:type="pct"/>
            <w:vAlign w:val="center"/>
          </w:tcPr>
          <w:p w14:paraId="0C422472">
            <w:pPr>
              <w:pStyle w:val="49"/>
              <w:spacing w:line="360" w:lineRule="exact"/>
              <w:rPr>
                <w:color w:val="auto"/>
                <w:highlight w:val="none"/>
              </w:rPr>
            </w:pPr>
            <w:r>
              <w:rPr>
                <w:color w:val="auto"/>
                <w:highlight w:val="none"/>
              </w:rPr>
              <w:t>试验结论</w:t>
            </w:r>
          </w:p>
        </w:tc>
      </w:tr>
      <w:tr w14:paraId="0AF11A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67" w:type="pct"/>
            <w:vMerge w:val="continue"/>
            <w:vAlign w:val="center"/>
          </w:tcPr>
          <w:p w14:paraId="7F2DB53F">
            <w:pPr>
              <w:pStyle w:val="49"/>
              <w:spacing w:line="360" w:lineRule="exact"/>
              <w:rPr>
                <w:color w:val="auto"/>
                <w:highlight w:val="none"/>
              </w:rPr>
            </w:pPr>
          </w:p>
        </w:tc>
        <w:tc>
          <w:tcPr>
            <w:tcW w:w="978" w:type="pct"/>
            <w:vAlign w:val="center"/>
          </w:tcPr>
          <w:p w14:paraId="2551680B">
            <w:pPr>
              <w:pStyle w:val="49"/>
              <w:spacing w:line="360" w:lineRule="exact"/>
              <w:rPr>
                <w:color w:val="auto"/>
                <w:highlight w:val="none"/>
              </w:rPr>
            </w:pPr>
            <w:r>
              <w:rPr>
                <w:color w:val="auto"/>
                <w:highlight w:val="none"/>
              </w:rPr>
              <w:t>　</w:t>
            </w:r>
          </w:p>
        </w:tc>
        <w:tc>
          <w:tcPr>
            <w:tcW w:w="1184" w:type="pct"/>
            <w:vAlign w:val="center"/>
          </w:tcPr>
          <w:p w14:paraId="1F3DDEA3">
            <w:pPr>
              <w:pStyle w:val="49"/>
              <w:spacing w:line="360" w:lineRule="exact"/>
              <w:rPr>
                <w:color w:val="auto"/>
                <w:highlight w:val="none"/>
              </w:rPr>
            </w:pPr>
            <w:r>
              <w:rPr>
                <w:color w:val="auto"/>
                <w:highlight w:val="none"/>
              </w:rPr>
              <w:t>　</w:t>
            </w:r>
          </w:p>
        </w:tc>
        <w:tc>
          <w:tcPr>
            <w:tcW w:w="987" w:type="pct"/>
            <w:vAlign w:val="center"/>
          </w:tcPr>
          <w:p w14:paraId="045AA848">
            <w:pPr>
              <w:pStyle w:val="49"/>
              <w:spacing w:line="360" w:lineRule="exact"/>
              <w:rPr>
                <w:color w:val="auto"/>
                <w:highlight w:val="none"/>
              </w:rPr>
            </w:pPr>
            <w:r>
              <w:rPr>
                <w:color w:val="auto"/>
                <w:highlight w:val="none"/>
              </w:rPr>
              <w:t>　</w:t>
            </w:r>
          </w:p>
        </w:tc>
        <w:tc>
          <w:tcPr>
            <w:tcW w:w="501" w:type="pct"/>
            <w:vAlign w:val="center"/>
          </w:tcPr>
          <w:p w14:paraId="50FD1C26">
            <w:pPr>
              <w:pStyle w:val="49"/>
              <w:spacing w:line="360" w:lineRule="exact"/>
              <w:rPr>
                <w:color w:val="auto"/>
                <w:highlight w:val="none"/>
              </w:rPr>
            </w:pPr>
            <w:r>
              <w:rPr>
                <w:color w:val="auto"/>
                <w:highlight w:val="none"/>
              </w:rPr>
              <w:t>　</w:t>
            </w:r>
          </w:p>
        </w:tc>
        <w:tc>
          <w:tcPr>
            <w:tcW w:w="881" w:type="pct"/>
            <w:vAlign w:val="center"/>
          </w:tcPr>
          <w:p w14:paraId="24EB64AB">
            <w:pPr>
              <w:pStyle w:val="49"/>
              <w:spacing w:line="360" w:lineRule="exact"/>
              <w:rPr>
                <w:color w:val="auto"/>
                <w:highlight w:val="none"/>
              </w:rPr>
            </w:pPr>
            <w:r>
              <w:rPr>
                <w:color w:val="auto"/>
                <w:highlight w:val="none"/>
              </w:rPr>
              <w:t>　</w:t>
            </w:r>
          </w:p>
        </w:tc>
      </w:tr>
      <w:tr w14:paraId="66D0B2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118" w:type="pct"/>
            <w:gridSpan w:val="5"/>
            <w:vAlign w:val="center"/>
          </w:tcPr>
          <w:p w14:paraId="07C03986">
            <w:pPr>
              <w:pStyle w:val="49"/>
              <w:spacing w:line="360" w:lineRule="exact"/>
              <w:rPr>
                <w:color w:val="auto"/>
                <w:highlight w:val="none"/>
              </w:rPr>
            </w:pPr>
            <w:r>
              <w:rPr>
                <w:color w:val="auto"/>
                <w:highlight w:val="none"/>
              </w:rPr>
              <w:t>备注</w:t>
            </w:r>
          </w:p>
        </w:tc>
        <w:tc>
          <w:tcPr>
            <w:tcW w:w="881" w:type="pct"/>
            <w:vAlign w:val="center"/>
          </w:tcPr>
          <w:p w14:paraId="3C17634D">
            <w:pPr>
              <w:pStyle w:val="49"/>
              <w:spacing w:line="360" w:lineRule="exact"/>
              <w:rPr>
                <w:color w:val="auto"/>
                <w:highlight w:val="none"/>
              </w:rPr>
            </w:pPr>
            <w:r>
              <w:rPr>
                <w:color w:val="auto"/>
                <w:highlight w:val="none"/>
              </w:rPr>
              <w:t>结论</w:t>
            </w:r>
          </w:p>
        </w:tc>
      </w:tr>
      <w:tr w14:paraId="24E770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630" w:type="pct"/>
            <w:gridSpan w:val="3"/>
            <w:vAlign w:val="center"/>
          </w:tcPr>
          <w:p w14:paraId="2EE502C5">
            <w:pPr>
              <w:pStyle w:val="49"/>
              <w:spacing w:line="360" w:lineRule="exact"/>
              <w:rPr>
                <w:color w:val="auto"/>
                <w:highlight w:val="none"/>
              </w:rPr>
            </w:pPr>
            <w:r>
              <w:rPr>
                <w:color w:val="auto"/>
                <w:highlight w:val="none"/>
              </w:rPr>
              <w:t>供应单位技术负责人</w:t>
            </w:r>
          </w:p>
        </w:tc>
        <w:tc>
          <w:tcPr>
            <w:tcW w:w="1488" w:type="pct"/>
            <w:gridSpan w:val="2"/>
            <w:vAlign w:val="center"/>
          </w:tcPr>
          <w:p w14:paraId="5DC69257">
            <w:pPr>
              <w:pStyle w:val="49"/>
              <w:spacing w:line="360" w:lineRule="exact"/>
              <w:rPr>
                <w:color w:val="auto"/>
                <w:highlight w:val="none"/>
              </w:rPr>
            </w:pPr>
            <w:r>
              <w:rPr>
                <w:color w:val="auto"/>
                <w:highlight w:val="none"/>
              </w:rPr>
              <w:t>填表人</w:t>
            </w:r>
          </w:p>
        </w:tc>
        <w:tc>
          <w:tcPr>
            <w:tcW w:w="881" w:type="pct"/>
            <w:vMerge w:val="restart"/>
            <w:vAlign w:val="center"/>
          </w:tcPr>
          <w:p w14:paraId="5C02F433">
            <w:pPr>
              <w:pStyle w:val="49"/>
              <w:spacing w:line="360" w:lineRule="exact"/>
              <w:rPr>
                <w:color w:val="auto"/>
                <w:highlight w:val="none"/>
              </w:rPr>
            </w:pPr>
            <w:r>
              <w:rPr>
                <w:color w:val="auto"/>
                <w:highlight w:val="none"/>
              </w:rPr>
              <w:t>供应单位名称（盖章）</w:t>
            </w:r>
          </w:p>
        </w:tc>
      </w:tr>
      <w:tr w14:paraId="4B1895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630" w:type="pct"/>
            <w:gridSpan w:val="3"/>
            <w:vAlign w:val="center"/>
          </w:tcPr>
          <w:p w14:paraId="0A88F680">
            <w:pPr>
              <w:pStyle w:val="49"/>
              <w:spacing w:line="360" w:lineRule="exact"/>
              <w:rPr>
                <w:color w:val="auto"/>
                <w:highlight w:val="none"/>
              </w:rPr>
            </w:pPr>
            <w:r>
              <w:rPr>
                <w:color w:val="auto"/>
                <w:highlight w:val="none"/>
              </w:rPr>
              <w:t>　</w:t>
            </w:r>
          </w:p>
        </w:tc>
        <w:tc>
          <w:tcPr>
            <w:tcW w:w="1488" w:type="pct"/>
            <w:gridSpan w:val="2"/>
            <w:vAlign w:val="center"/>
          </w:tcPr>
          <w:p w14:paraId="536EDFE2">
            <w:pPr>
              <w:pStyle w:val="49"/>
              <w:spacing w:line="360" w:lineRule="exact"/>
              <w:rPr>
                <w:color w:val="auto"/>
                <w:highlight w:val="none"/>
              </w:rPr>
            </w:pPr>
            <w:r>
              <w:rPr>
                <w:color w:val="auto"/>
                <w:highlight w:val="none"/>
              </w:rPr>
              <w:t>　</w:t>
            </w:r>
          </w:p>
        </w:tc>
        <w:tc>
          <w:tcPr>
            <w:tcW w:w="881" w:type="pct"/>
            <w:vMerge w:val="continue"/>
            <w:vAlign w:val="center"/>
          </w:tcPr>
          <w:p w14:paraId="70169054">
            <w:pPr>
              <w:pStyle w:val="49"/>
              <w:spacing w:line="360" w:lineRule="exact"/>
              <w:rPr>
                <w:color w:val="auto"/>
                <w:highlight w:val="none"/>
              </w:rPr>
            </w:pPr>
          </w:p>
        </w:tc>
      </w:tr>
      <w:tr w14:paraId="4A7C3B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118" w:type="pct"/>
            <w:gridSpan w:val="5"/>
            <w:vAlign w:val="center"/>
          </w:tcPr>
          <w:p w14:paraId="394855AA">
            <w:pPr>
              <w:pStyle w:val="49"/>
              <w:spacing w:line="360" w:lineRule="exact"/>
              <w:rPr>
                <w:color w:val="auto"/>
                <w:highlight w:val="none"/>
              </w:rPr>
            </w:pPr>
            <w:r>
              <w:rPr>
                <w:color w:val="auto"/>
                <w:highlight w:val="none"/>
              </w:rPr>
              <w:t>填表日期：</w:t>
            </w:r>
          </w:p>
        </w:tc>
        <w:tc>
          <w:tcPr>
            <w:tcW w:w="881" w:type="pct"/>
            <w:vMerge w:val="continue"/>
            <w:vAlign w:val="center"/>
          </w:tcPr>
          <w:p w14:paraId="6A4BAF52">
            <w:pPr>
              <w:pStyle w:val="49"/>
              <w:spacing w:line="360" w:lineRule="exact"/>
              <w:rPr>
                <w:color w:val="auto"/>
                <w:highlight w:val="none"/>
              </w:rPr>
            </w:pPr>
          </w:p>
        </w:tc>
      </w:tr>
    </w:tbl>
    <w:p w14:paraId="1789F058">
      <w:pPr>
        <w:widowControl/>
        <w:spacing w:line="360" w:lineRule="exact"/>
        <w:jc w:val="left"/>
        <w:rPr>
          <w:color w:val="auto"/>
          <w:highlight w:val="none"/>
        </w:rPr>
      </w:pPr>
      <w:r>
        <w:rPr>
          <w:color w:val="auto"/>
          <w:highlight w:val="none"/>
        </w:rPr>
        <w:br w:type="page"/>
      </w:r>
    </w:p>
    <w:p w14:paraId="4AA581FD">
      <w:pPr>
        <w:pStyle w:val="2"/>
        <w:spacing w:before="166" w:beforeLines="50" w:after="166" w:afterLines="50" w:line="360" w:lineRule="auto"/>
        <w:jc w:val="center"/>
        <w:rPr>
          <w:rFonts w:eastAsia="黑体"/>
          <w:color w:val="auto"/>
          <w:sz w:val="28"/>
          <w:szCs w:val="28"/>
          <w:highlight w:val="none"/>
        </w:rPr>
      </w:pPr>
      <w:bookmarkStart w:id="1277" w:name="_Toc28181"/>
      <w:bookmarkStart w:id="1278" w:name="_Toc93999737"/>
      <w:bookmarkStart w:id="1279" w:name="_Toc19014"/>
      <w:bookmarkStart w:id="1280" w:name="_Toc5639"/>
      <w:bookmarkStart w:id="1281" w:name="_Toc82523981"/>
      <w:bookmarkStart w:id="1282" w:name="_Toc110958516"/>
      <w:bookmarkStart w:id="1283" w:name="_Toc23124"/>
      <w:bookmarkStart w:id="1284" w:name="_Toc15617"/>
      <w:bookmarkStart w:id="1285" w:name="_Toc93998976"/>
      <w:bookmarkStart w:id="1286" w:name="_Toc14256"/>
      <w:bookmarkStart w:id="1287" w:name="_Toc110952748"/>
      <w:bookmarkStart w:id="1288" w:name="_Toc19755"/>
      <w:bookmarkStart w:id="1289" w:name="_Toc9886"/>
      <w:bookmarkStart w:id="1290" w:name="_Toc14846"/>
      <w:bookmarkStart w:id="1291" w:name="_Toc5314"/>
      <w:bookmarkStart w:id="1292" w:name="_Toc24663"/>
      <w:r>
        <w:rPr>
          <w:rFonts w:hint="eastAsia" w:eastAsia="黑体"/>
          <w:color w:val="auto"/>
          <w:sz w:val="28"/>
          <w:szCs w:val="28"/>
          <w:highlight w:val="none"/>
          <w:lang w:eastAsia="zh-CN"/>
        </w:rPr>
        <w:t>本标准</w:t>
      </w:r>
      <w:r>
        <w:rPr>
          <w:rFonts w:eastAsia="黑体"/>
          <w:color w:val="auto"/>
          <w:sz w:val="28"/>
          <w:szCs w:val="28"/>
          <w:highlight w:val="none"/>
        </w:rPr>
        <w:t>用词说明</w:t>
      </w:r>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14:paraId="02D082D5">
      <w:pPr>
        <w:spacing w:line="360" w:lineRule="exact"/>
        <w:ind w:firstLine="0" w:firstLineChars="0"/>
        <w:jc w:val="left"/>
        <w:rPr>
          <w:bCs/>
          <w:color w:val="auto"/>
          <w:szCs w:val="21"/>
          <w:highlight w:val="none"/>
        </w:rPr>
      </w:pPr>
      <w:r>
        <w:rPr>
          <w:b/>
          <w:color w:val="auto"/>
          <w:szCs w:val="21"/>
          <w:highlight w:val="none"/>
        </w:rPr>
        <w:t>1</w:t>
      </w:r>
      <w:r>
        <w:rPr>
          <w:bCs/>
          <w:color w:val="auto"/>
          <w:szCs w:val="21"/>
          <w:highlight w:val="none"/>
        </w:rPr>
        <w:t xml:space="preserve">  为了便于在执行</w:t>
      </w:r>
      <w:r>
        <w:rPr>
          <w:rFonts w:hint="eastAsia"/>
          <w:bCs/>
          <w:color w:val="auto"/>
          <w:szCs w:val="21"/>
          <w:highlight w:val="none"/>
          <w:lang w:eastAsia="zh-CN"/>
        </w:rPr>
        <w:t>本标准</w:t>
      </w:r>
      <w:r>
        <w:rPr>
          <w:bCs/>
          <w:color w:val="auto"/>
          <w:szCs w:val="21"/>
          <w:highlight w:val="none"/>
        </w:rPr>
        <w:t>条文时区别对待，对要求严格程度不同的用词说明如下：</w:t>
      </w:r>
    </w:p>
    <w:p w14:paraId="1057B173">
      <w:pPr>
        <w:spacing w:line="360" w:lineRule="exact"/>
        <w:ind w:firstLine="422" w:firstLineChars="200"/>
        <w:jc w:val="left"/>
        <w:rPr>
          <w:bCs/>
          <w:color w:val="auto"/>
          <w:szCs w:val="21"/>
          <w:highlight w:val="none"/>
        </w:rPr>
      </w:pPr>
      <w:bookmarkStart w:id="1293" w:name="_Toc11941"/>
      <w:bookmarkStart w:id="1294" w:name="_Toc26382"/>
      <w:bookmarkStart w:id="1295" w:name="_Toc5524"/>
      <w:bookmarkStart w:id="1296" w:name="_Toc22920"/>
      <w:bookmarkStart w:id="1297" w:name="_Toc26893"/>
      <w:r>
        <w:rPr>
          <w:b/>
          <w:color w:val="auto"/>
          <w:szCs w:val="21"/>
          <w:highlight w:val="none"/>
        </w:rPr>
        <w:t>1</w:t>
      </w:r>
      <w:r>
        <w:rPr>
          <w:bCs/>
          <w:color w:val="auto"/>
          <w:szCs w:val="21"/>
          <w:highlight w:val="none"/>
        </w:rPr>
        <w:t>）表示很严格，非这样做不可的用词：</w:t>
      </w:r>
      <w:bookmarkEnd w:id="1293"/>
      <w:bookmarkEnd w:id="1294"/>
      <w:bookmarkEnd w:id="1295"/>
      <w:bookmarkEnd w:id="1296"/>
      <w:bookmarkEnd w:id="1297"/>
    </w:p>
    <w:p w14:paraId="0F4A7949">
      <w:pPr>
        <w:spacing w:line="360" w:lineRule="exact"/>
        <w:ind w:firstLine="630" w:firstLineChars="300"/>
        <w:jc w:val="left"/>
        <w:rPr>
          <w:color w:val="auto"/>
          <w:szCs w:val="21"/>
          <w:highlight w:val="none"/>
        </w:rPr>
      </w:pPr>
      <w:bookmarkStart w:id="1298" w:name="_Toc25963"/>
      <w:bookmarkStart w:id="1299" w:name="_Toc16286"/>
      <w:bookmarkStart w:id="1300" w:name="_Toc32178"/>
      <w:bookmarkStart w:id="1301" w:name="_Toc24071"/>
      <w:bookmarkStart w:id="1302" w:name="_Toc30494"/>
      <w:r>
        <w:rPr>
          <w:color w:val="auto"/>
          <w:szCs w:val="21"/>
          <w:highlight w:val="none"/>
        </w:rPr>
        <w:t>正面词采用“必须”，反面词采用“严禁”；</w:t>
      </w:r>
      <w:bookmarkEnd w:id="1298"/>
      <w:bookmarkEnd w:id="1299"/>
      <w:bookmarkEnd w:id="1300"/>
      <w:bookmarkEnd w:id="1301"/>
      <w:bookmarkEnd w:id="1302"/>
    </w:p>
    <w:p w14:paraId="2ECEF64E">
      <w:pPr>
        <w:spacing w:line="360" w:lineRule="exact"/>
        <w:ind w:firstLine="422" w:firstLineChars="200"/>
        <w:jc w:val="left"/>
        <w:rPr>
          <w:rFonts w:eastAsia="黑体"/>
          <w:color w:val="auto"/>
          <w:szCs w:val="21"/>
          <w:highlight w:val="none"/>
        </w:rPr>
      </w:pPr>
      <w:bookmarkStart w:id="1303" w:name="_Toc21952"/>
      <w:bookmarkStart w:id="1304" w:name="_Toc15799"/>
      <w:bookmarkStart w:id="1305" w:name="_Toc20287"/>
      <w:bookmarkStart w:id="1306" w:name="_Toc30275"/>
      <w:bookmarkStart w:id="1307" w:name="_Toc24280"/>
      <w:r>
        <w:rPr>
          <w:rFonts w:eastAsia="黑体"/>
          <w:b/>
          <w:bCs/>
          <w:color w:val="auto"/>
          <w:szCs w:val="21"/>
          <w:highlight w:val="none"/>
        </w:rPr>
        <w:t>2</w:t>
      </w:r>
      <w:r>
        <w:rPr>
          <w:rFonts w:eastAsia="黑体"/>
          <w:bCs/>
          <w:color w:val="auto"/>
          <w:szCs w:val="21"/>
          <w:highlight w:val="none"/>
        </w:rPr>
        <w:t>）</w:t>
      </w:r>
      <w:r>
        <w:rPr>
          <w:color w:val="auto"/>
          <w:szCs w:val="21"/>
          <w:highlight w:val="none"/>
        </w:rPr>
        <w:t>表示严格，在正常情况下均应这样做的用词：</w:t>
      </w:r>
      <w:bookmarkEnd w:id="1303"/>
      <w:bookmarkEnd w:id="1304"/>
      <w:bookmarkEnd w:id="1305"/>
      <w:bookmarkEnd w:id="1306"/>
      <w:bookmarkEnd w:id="1307"/>
    </w:p>
    <w:p w14:paraId="4EA0707A">
      <w:pPr>
        <w:spacing w:line="360" w:lineRule="exact"/>
        <w:ind w:firstLine="630" w:firstLineChars="300"/>
        <w:jc w:val="left"/>
        <w:rPr>
          <w:color w:val="auto"/>
          <w:szCs w:val="21"/>
          <w:highlight w:val="none"/>
        </w:rPr>
      </w:pPr>
      <w:r>
        <w:rPr>
          <w:color w:val="auto"/>
          <w:szCs w:val="21"/>
          <w:highlight w:val="none"/>
        </w:rPr>
        <w:t>正面词采用“应”，反面词采用“不应”或“不得”；</w:t>
      </w:r>
    </w:p>
    <w:p w14:paraId="065CEF92">
      <w:pPr>
        <w:spacing w:line="360" w:lineRule="exact"/>
        <w:ind w:firstLine="422" w:firstLineChars="200"/>
        <w:jc w:val="left"/>
        <w:rPr>
          <w:rFonts w:eastAsia="黑体"/>
          <w:color w:val="auto"/>
          <w:szCs w:val="21"/>
          <w:highlight w:val="none"/>
        </w:rPr>
      </w:pPr>
      <w:bookmarkStart w:id="1308" w:name="_Toc30858"/>
      <w:bookmarkStart w:id="1309" w:name="_Toc8656"/>
      <w:bookmarkStart w:id="1310" w:name="_Toc16982"/>
      <w:bookmarkStart w:id="1311" w:name="_Toc12205"/>
      <w:bookmarkStart w:id="1312" w:name="_Toc16910"/>
      <w:r>
        <w:rPr>
          <w:rFonts w:eastAsia="黑体"/>
          <w:b/>
          <w:bCs/>
          <w:color w:val="auto"/>
          <w:szCs w:val="21"/>
          <w:highlight w:val="none"/>
        </w:rPr>
        <w:t>3</w:t>
      </w:r>
      <w:r>
        <w:rPr>
          <w:rFonts w:eastAsia="黑体"/>
          <w:bCs/>
          <w:color w:val="auto"/>
          <w:szCs w:val="21"/>
          <w:highlight w:val="none"/>
        </w:rPr>
        <w:t>）</w:t>
      </w:r>
      <w:r>
        <w:rPr>
          <w:color w:val="auto"/>
          <w:szCs w:val="21"/>
          <w:highlight w:val="none"/>
        </w:rPr>
        <w:t>表示允许稍有选择，在条件许可时首先应这样做的用词：</w:t>
      </w:r>
      <w:bookmarkEnd w:id="1308"/>
      <w:bookmarkEnd w:id="1309"/>
      <w:bookmarkEnd w:id="1310"/>
      <w:bookmarkEnd w:id="1311"/>
      <w:bookmarkEnd w:id="1312"/>
    </w:p>
    <w:p w14:paraId="538E6FC0">
      <w:pPr>
        <w:spacing w:line="360" w:lineRule="exact"/>
        <w:ind w:firstLine="630" w:firstLineChars="300"/>
        <w:jc w:val="left"/>
        <w:rPr>
          <w:color w:val="auto"/>
          <w:szCs w:val="21"/>
          <w:highlight w:val="none"/>
        </w:rPr>
      </w:pPr>
      <w:r>
        <w:rPr>
          <w:color w:val="auto"/>
          <w:szCs w:val="21"/>
          <w:highlight w:val="none"/>
        </w:rPr>
        <w:t>正面词采用“宜”，反面词采用“不宜”；</w:t>
      </w:r>
    </w:p>
    <w:p w14:paraId="10AEB2B9">
      <w:pPr>
        <w:spacing w:line="360" w:lineRule="exact"/>
        <w:ind w:firstLine="422" w:firstLineChars="200"/>
        <w:jc w:val="left"/>
        <w:rPr>
          <w:color w:val="auto"/>
          <w:szCs w:val="21"/>
          <w:highlight w:val="none"/>
        </w:rPr>
      </w:pPr>
      <w:bookmarkStart w:id="1313" w:name="_Toc8006"/>
      <w:bookmarkStart w:id="1314" w:name="_Toc21018"/>
      <w:bookmarkStart w:id="1315" w:name="_Toc32148"/>
      <w:bookmarkStart w:id="1316" w:name="_Toc1091"/>
      <w:bookmarkStart w:id="1317" w:name="_Toc726"/>
      <w:r>
        <w:rPr>
          <w:rFonts w:eastAsia="黑体"/>
          <w:b/>
          <w:bCs/>
          <w:color w:val="auto"/>
          <w:szCs w:val="21"/>
          <w:highlight w:val="none"/>
        </w:rPr>
        <w:t>4</w:t>
      </w:r>
      <w:r>
        <w:rPr>
          <w:rFonts w:eastAsia="黑体"/>
          <w:bCs/>
          <w:color w:val="auto"/>
          <w:szCs w:val="21"/>
          <w:highlight w:val="none"/>
        </w:rPr>
        <w:t>）</w:t>
      </w:r>
      <w:r>
        <w:rPr>
          <w:color w:val="auto"/>
          <w:szCs w:val="21"/>
          <w:highlight w:val="none"/>
        </w:rPr>
        <w:t>表示有选择，在一定条件下可以这样做的用词，采用“可”。</w:t>
      </w:r>
      <w:bookmarkEnd w:id="1313"/>
      <w:bookmarkEnd w:id="1314"/>
      <w:bookmarkEnd w:id="1315"/>
      <w:bookmarkEnd w:id="1316"/>
      <w:bookmarkEnd w:id="1317"/>
    </w:p>
    <w:p w14:paraId="66BBAD22">
      <w:pPr>
        <w:spacing w:line="360" w:lineRule="exact"/>
        <w:ind w:firstLine="0" w:firstLineChars="0"/>
        <w:jc w:val="left"/>
        <w:rPr>
          <w:color w:val="auto"/>
          <w:szCs w:val="21"/>
          <w:highlight w:val="none"/>
        </w:rPr>
      </w:pPr>
      <w:r>
        <w:rPr>
          <w:rFonts w:eastAsia="黑体"/>
          <w:b/>
          <w:bCs/>
          <w:color w:val="auto"/>
          <w:szCs w:val="21"/>
          <w:highlight w:val="none"/>
        </w:rPr>
        <w:t>2</w:t>
      </w:r>
      <w:r>
        <w:rPr>
          <w:color w:val="auto"/>
          <w:szCs w:val="21"/>
          <w:highlight w:val="none"/>
        </w:rPr>
        <w:t xml:space="preserve">  条文中指明应按其他有关的标准执行的写法为“应符合……的规定”或“应按……执行”。</w:t>
      </w:r>
    </w:p>
    <w:p w14:paraId="246FAC9A">
      <w:pPr>
        <w:keepNext/>
        <w:keepLines/>
        <w:spacing w:before="360" w:after="360" w:line="360" w:lineRule="exact"/>
        <w:jc w:val="center"/>
        <w:outlineLvl w:val="0"/>
        <w:rPr>
          <w:bCs/>
          <w:color w:val="auto"/>
          <w:sz w:val="28"/>
          <w:szCs w:val="28"/>
          <w:highlight w:val="none"/>
        </w:rPr>
      </w:pPr>
      <w:r>
        <w:rPr>
          <w:color w:val="auto"/>
          <w:szCs w:val="21"/>
          <w:highlight w:val="none"/>
        </w:rPr>
        <w:br w:type="page"/>
      </w:r>
      <w:bookmarkStart w:id="1318" w:name="_Toc13730"/>
      <w:bookmarkStart w:id="1319" w:name="_Toc4442"/>
      <w:bookmarkStart w:id="1320" w:name="_Toc1234"/>
      <w:bookmarkStart w:id="1321" w:name="_Toc110958517"/>
      <w:bookmarkStart w:id="1322" w:name="_Toc27113"/>
      <w:bookmarkStart w:id="1323" w:name="_Toc17488"/>
      <w:bookmarkStart w:id="1324" w:name="_Toc4925"/>
      <w:bookmarkStart w:id="1325" w:name="_Toc25092"/>
      <w:bookmarkStart w:id="1326" w:name="_Toc14686"/>
      <w:bookmarkStart w:id="1327" w:name="_Toc18165"/>
      <w:bookmarkStart w:id="1328" w:name="_Toc16892"/>
      <w:bookmarkStart w:id="1329" w:name="_Toc110952749"/>
      <w:bookmarkStart w:id="1330" w:name="_Toc93998977"/>
      <w:bookmarkStart w:id="1331" w:name="_Toc93999738"/>
      <w:bookmarkStart w:id="1332" w:name="_Toc22775"/>
      <w:bookmarkStart w:id="1333" w:name="_Toc82523982"/>
      <w:bookmarkStart w:id="1334" w:name="_Toc31437"/>
      <w:r>
        <w:rPr>
          <w:rFonts w:eastAsia="黑体"/>
          <w:b/>
          <w:bCs/>
          <w:color w:val="auto"/>
          <w:kern w:val="44"/>
          <w:sz w:val="28"/>
          <w:szCs w:val="28"/>
          <w:highlight w:val="none"/>
        </w:rPr>
        <w:t>引用标准名录</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14:paraId="36F7E3A8">
      <w:pPr>
        <w:spacing w:line="360" w:lineRule="exact"/>
        <w:rPr>
          <w:rFonts w:hint="eastAsia" w:eastAsia="宋体"/>
          <w:color w:val="auto"/>
          <w:szCs w:val="21"/>
          <w:highlight w:val="none"/>
          <w:lang w:eastAsia="zh-CN"/>
        </w:rPr>
      </w:pPr>
      <w:r>
        <w:rPr>
          <w:rFonts w:hint="eastAsia"/>
          <w:color w:val="auto"/>
          <w:szCs w:val="21"/>
          <w:highlight w:val="none"/>
        </w:rPr>
        <w:t>《钢结构防火涂料》GB 14907</w:t>
      </w:r>
    </w:p>
    <w:p w14:paraId="27542052">
      <w:pPr>
        <w:spacing w:line="360" w:lineRule="exact"/>
        <w:rPr>
          <w:rFonts w:hint="eastAsia" w:eastAsia="宋体"/>
          <w:color w:val="auto"/>
          <w:szCs w:val="21"/>
          <w:highlight w:val="none"/>
          <w:lang w:eastAsia="zh-CN"/>
        </w:rPr>
      </w:pPr>
      <w:r>
        <w:rPr>
          <w:rFonts w:hint="eastAsia"/>
          <w:color w:val="auto"/>
          <w:szCs w:val="21"/>
          <w:highlight w:val="none"/>
        </w:rPr>
        <w:t>《建筑地基基础设计规范》GB 50007</w:t>
      </w:r>
    </w:p>
    <w:p w14:paraId="117E4367">
      <w:pPr>
        <w:spacing w:line="360" w:lineRule="exact"/>
        <w:rPr>
          <w:rFonts w:hint="eastAsia" w:eastAsia="宋体"/>
          <w:color w:val="auto"/>
          <w:szCs w:val="21"/>
          <w:highlight w:val="none"/>
          <w:lang w:eastAsia="zh-CN"/>
        </w:rPr>
      </w:pPr>
      <w:r>
        <w:rPr>
          <w:rFonts w:hint="eastAsia"/>
          <w:color w:val="auto"/>
          <w:szCs w:val="21"/>
          <w:highlight w:val="none"/>
        </w:rPr>
        <w:t>《建筑结构荷载规范》GB 50009</w:t>
      </w:r>
    </w:p>
    <w:p w14:paraId="0DDABB19">
      <w:pPr>
        <w:spacing w:line="360" w:lineRule="exact"/>
        <w:rPr>
          <w:rFonts w:hint="eastAsia" w:eastAsia="宋体"/>
          <w:color w:val="auto"/>
          <w:szCs w:val="21"/>
          <w:highlight w:val="none"/>
          <w:lang w:eastAsia="zh-CN"/>
        </w:rPr>
      </w:pPr>
      <w:r>
        <w:rPr>
          <w:rFonts w:hint="eastAsia"/>
          <w:color w:val="auto"/>
          <w:szCs w:val="21"/>
          <w:highlight w:val="none"/>
        </w:rPr>
        <w:t>《建筑抗震设计规范》GB 50011</w:t>
      </w:r>
    </w:p>
    <w:p w14:paraId="345EB860">
      <w:pPr>
        <w:spacing w:line="360" w:lineRule="exact"/>
        <w:rPr>
          <w:rFonts w:hint="eastAsia" w:eastAsia="宋体"/>
          <w:color w:val="auto"/>
          <w:szCs w:val="21"/>
          <w:highlight w:val="none"/>
          <w:lang w:eastAsia="zh-CN"/>
        </w:rPr>
      </w:pPr>
      <w:r>
        <w:rPr>
          <w:rFonts w:hint="eastAsia"/>
          <w:color w:val="auto"/>
          <w:szCs w:val="21"/>
          <w:highlight w:val="none"/>
        </w:rPr>
        <w:t>《建筑给水排水设计标准》GB 50015</w:t>
      </w:r>
    </w:p>
    <w:p w14:paraId="374226BB">
      <w:pPr>
        <w:spacing w:line="360" w:lineRule="exact"/>
        <w:rPr>
          <w:rFonts w:hint="eastAsia" w:eastAsia="宋体"/>
          <w:color w:val="auto"/>
          <w:szCs w:val="21"/>
          <w:highlight w:val="none"/>
          <w:lang w:eastAsia="zh-CN"/>
        </w:rPr>
      </w:pPr>
      <w:r>
        <w:rPr>
          <w:rFonts w:hint="eastAsia"/>
          <w:color w:val="auto"/>
          <w:szCs w:val="21"/>
          <w:highlight w:val="none"/>
        </w:rPr>
        <w:t>《建筑设计防火规范》GB 50016</w:t>
      </w:r>
    </w:p>
    <w:p w14:paraId="6CA6206D">
      <w:pPr>
        <w:spacing w:line="360" w:lineRule="exact"/>
        <w:rPr>
          <w:rFonts w:hint="eastAsia" w:eastAsia="宋体"/>
          <w:color w:val="auto"/>
          <w:szCs w:val="21"/>
          <w:highlight w:val="none"/>
          <w:lang w:eastAsia="zh-CN"/>
        </w:rPr>
      </w:pPr>
      <w:r>
        <w:rPr>
          <w:rFonts w:hint="eastAsia"/>
          <w:color w:val="auto"/>
          <w:szCs w:val="21"/>
          <w:highlight w:val="none"/>
        </w:rPr>
        <w:t>《工程测量标准》GB 50026</w:t>
      </w:r>
    </w:p>
    <w:p w14:paraId="07A100E0">
      <w:pPr>
        <w:spacing w:line="360" w:lineRule="exact"/>
        <w:rPr>
          <w:rFonts w:hint="eastAsia" w:eastAsia="宋体"/>
          <w:color w:val="auto"/>
          <w:szCs w:val="21"/>
          <w:highlight w:val="none"/>
          <w:lang w:eastAsia="zh-CN"/>
        </w:rPr>
      </w:pPr>
      <w:r>
        <w:rPr>
          <w:rFonts w:hint="eastAsia"/>
          <w:color w:val="auto"/>
          <w:szCs w:val="21"/>
          <w:highlight w:val="none"/>
        </w:rPr>
        <w:t>《城镇燃气设计规范》GB 50028</w:t>
      </w:r>
    </w:p>
    <w:p w14:paraId="1541C6C3">
      <w:pPr>
        <w:spacing w:line="360" w:lineRule="exact"/>
        <w:rPr>
          <w:rFonts w:hint="eastAsia" w:eastAsia="宋体"/>
          <w:color w:val="auto"/>
          <w:szCs w:val="21"/>
          <w:highlight w:val="none"/>
          <w:lang w:eastAsia="zh-CN"/>
        </w:rPr>
      </w:pPr>
      <w:r>
        <w:rPr>
          <w:rFonts w:hint="eastAsia"/>
          <w:color w:val="auto"/>
          <w:szCs w:val="21"/>
          <w:highlight w:val="none"/>
        </w:rPr>
        <w:t>《供配电系统设计规范》GB 50052</w:t>
      </w:r>
    </w:p>
    <w:p w14:paraId="003561B9">
      <w:pPr>
        <w:spacing w:line="360" w:lineRule="exact"/>
        <w:rPr>
          <w:rFonts w:hint="eastAsia" w:eastAsia="宋体"/>
          <w:color w:val="auto"/>
          <w:szCs w:val="21"/>
          <w:highlight w:val="none"/>
          <w:lang w:eastAsia="zh-CN"/>
        </w:rPr>
      </w:pPr>
      <w:r>
        <w:rPr>
          <w:rFonts w:hint="eastAsia"/>
          <w:color w:val="auto"/>
          <w:szCs w:val="21"/>
          <w:highlight w:val="none"/>
        </w:rPr>
        <w:t>《低压配电设计规范》GB 50054</w:t>
      </w:r>
    </w:p>
    <w:p w14:paraId="6619D30D">
      <w:pPr>
        <w:spacing w:line="360" w:lineRule="exact"/>
        <w:rPr>
          <w:rFonts w:hint="eastAsia" w:eastAsia="宋体"/>
          <w:color w:val="auto"/>
          <w:szCs w:val="21"/>
          <w:highlight w:val="none"/>
          <w:lang w:eastAsia="zh-CN"/>
        </w:rPr>
      </w:pPr>
      <w:r>
        <w:rPr>
          <w:rFonts w:hint="eastAsia"/>
          <w:color w:val="auto"/>
          <w:szCs w:val="21"/>
          <w:highlight w:val="none"/>
        </w:rPr>
        <w:t>《建筑物防雷设计规范》GB 50057</w:t>
      </w:r>
    </w:p>
    <w:p w14:paraId="1C0434F5">
      <w:pPr>
        <w:spacing w:line="360" w:lineRule="exact"/>
        <w:rPr>
          <w:rFonts w:hint="eastAsia" w:eastAsia="宋体"/>
          <w:color w:val="auto"/>
          <w:szCs w:val="21"/>
          <w:highlight w:val="none"/>
          <w:lang w:eastAsia="zh-CN"/>
        </w:rPr>
      </w:pPr>
      <w:r>
        <w:rPr>
          <w:rFonts w:hint="eastAsia"/>
          <w:color w:val="auto"/>
          <w:szCs w:val="21"/>
          <w:highlight w:val="none"/>
        </w:rPr>
        <w:t>《民用建筑隔声设计规范》GB 50118</w:t>
      </w:r>
    </w:p>
    <w:p w14:paraId="572E46E3">
      <w:pPr>
        <w:spacing w:line="360" w:lineRule="exact"/>
        <w:rPr>
          <w:rFonts w:hint="eastAsia" w:eastAsia="宋体"/>
          <w:color w:val="auto"/>
          <w:szCs w:val="21"/>
          <w:highlight w:val="none"/>
          <w:lang w:eastAsia="zh-CN"/>
        </w:rPr>
      </w:pPr>
      <w:r>
        <w:rPr>
          <w:rFonts w:hint="eastAsia"/>
          <w:color w:val="auto"/>
          <w:szCs w:val="21"/>
          <w:highlight w:val="none"/>
        </w:rPr>
        <w:t>《火灾自动报警系统施工及验收标准》GB 50166</w:t>
      </w:r>
    </w:p>
    <w:p w14:paraId="3BD5C8C0">
      <w:pPr>
        <w:spacing w:line="360" w:lineRule="exact"/>
        <w:rPr>
          <w:rFonts w:hint="eastAsia" w:eastAsia="宋体"/>
          <w:color w:val="auto"/>
          <w:szCs w:val="21"/>
          <w:highlight w:val="none"/>
          <w:lang w:eastAsia="zh-CN"/>
        </w:rPr>
      </w:pPr>
      <w:r>
        <w:rPr>
          <w:rFonts w:hint="eastAsia"/>
          <w:color w:val="auto"/>
          <w:szCs w:val="21"/>
          <w:highlight w:val="none"/>
        </w:rPr>
        <w:t>《民用建筑热工设计规范》GB 50176</w:t>
      </w:r>
    </w:p>
    <w:p w14:paraId="1B2575B1">
      <w:pPr>
        <w:spacing w:line="360" w:lineRule="exact"/>
        <w:rPr>
          <w:rFonts w:hint="eastAsia" w:eastAsia="宋体"/>
          <w:color w:val="auto"/>
          <w:szCs w:val="21"/>
          <w:highlight w:val="none"/>
          <w:lang w:eastAsia="zh-CN"/>
        </w:rPr>
      </w:pPr>
      <w:r>
        <w:rPr>
          <w:rFonts w:hint="eastAsia"/>
          <w:color w:val="auto"/>
          <w:szCs w:val="21"/>
          <w:highlight w:val="none"/>
        </w:rPr>
        <w:t>《公共建筑节能设计标准》GB 50189</w:t>
      </w:r>
    </w:p>
    <w:p w14:paraId="5F36EA72">
      <w:pPr>
        <w:spacing w:line="360" w:lineRule="exact"/>
        <w:rPr>
          <w:rFonts w:hint="eastAsia" w:eastAsia="宋体"/>
          <w:color w:val="auto"/>
          <w:szCs w:val="21"/>
          <w:highlight w:val="none"/>
          <w:lang w:eastAsia="zh-CN"/>
        </w:rPr>
      </w:pPr>
      <w:r>
        <w:rPr>
          <w:rFonts w:hint="eastAsia"/>
          <w:color w:val="auto"/>
          <w:szCs w:val="21"/>
          <w:highlight w:val="none"/>
        </w:rPr>
        <w:t>《混凝土结构工程施工质量验收规范》GB 50204</w:t>
      </w:r>
    </w:p>
    <w:p w14:paraId="54FE22F5">
      <w:pPr>
        <w:spacing w:line="360" w:lineRule="exact"/>
        <w:rPr>
          <w:rFonts w:hint="eastAsia" w:eastAsia="宋体"/>
          <w:color w:val="auto"/>
          <w:szCs w:val="21"/>
          <w:highlight w:val="none"/>
          <w:lang w:eastAsia="zh-CN"/>
        </w:rPr>
      </w:pPr>
      <w:r>
        <w:rPr>
          <w:rFonts w:hint="eastAsia"/>
          <w:color w:val="auto"/>
          <w:szCs w:val="21"/>
          <w:highlight w:val="none"/>
        </w:rPr>
        <w:t>《钢结构工程施工质量验收标准》GB 50205</w:t>
      </w:r>
    </w:p>
    <w:p w14:paraId="652DDA64">
      <w:pPr>
        <w:spacing w:line="360" w:lineRule="exact"/>
        <w:rPr>
          <w:rFonts w:hint="eastAsia" w:eastAsia="宋体"/>
          <w:color w:val="auto"/>
          <w:szCs w:val="21"/>
          <w:highlight w:val="none"/>
          <w:lang w:eastAsia="zh-CN"/>
        </w:rPr>
      </w:pPr>
      <w:r>
        <w:rPr>
          <w:rFonts w:hint="eastAsia"/>
          <w:color w:val="auto"/>
          <w:szCs w:val="21"/>
          <w:highlight w:val="none"/>
        </w:rPr>
        <w:t>《建筑装饰装修工程质量验收标准》GB 50210</w:t>
      </w:r>
    </w:p>
    <w:p w14:paraId="2ABC387D">
      <w:pPr>
        <w:spacing w:line="360" w:lineRule="exact"/>
        <w:rPr>
          <w:rFonts w:hint="eastAsia" w:eastAsia="宋体"/>
          <w:color w:val="auto"/>
          <w:szCs w:val="21"/>
          <w:highlight w:val="none"/>
          <w:lang w:eastAsia="zh-CN"/>
        </w:rPr>
      </w:pPr>
      <w:r>
        <w:rPr>
          <w:rFonts w:hint="eastAsia"/>
          <w:color w:val="auto"/>
          <w:szCs w:val="21"/>
          <w:highlight w:val="none"/>
        </w:rPr>
        <w:t>《建筑内部装修设计防火规范》GB 50222</w:t>
      </w:r>
    </w:p>
    <w:p w14:paraId="69C1737C">
      <w:pPr>
        <w:spacing w:line="360" w:lineRule="exact"/>
        <w:rPr>
          <w:rFonts w:hint="eastAsia" w:eastAsia="宋体"/>
          <w:color w:val="auto"/>
          <w:szCs w:val="21"/>
          <w:highlight w:val="none"/>
          <w:lang w:eastAsia="zh-CN"/>
        </w:rPr>
      </w:pPr>
      <w:r>
        <w:rPr>
          <w:rFonts w:hint="eastAsia"/>
          <w:color w:val="auto"/>
          <w:szCs w:val="21"/>
          <w:highlight w:val="none"/>
        </w:rPr>
        <w:t>《建筑给水排水及采暖工程施工质量验收规范》GB 50242</w:t>
      </w:r>
    </w:p>
    <w:p w14:paraId="412DDB16">
      <w:pPr>
        <w:spacing w:line="360" w:lineRule="exact"/>
        <w:rPr>
          <w:rFonts w:hint="eastAsia" w:eastAsia="宋体"/>
          <w:color w:val="auto"/>
          <w:szCs w:val="21"/>
          <w:highlight w:val="none"/>
          <w:lang w:eastAsia="zh-CN"/>
        </w:rPr>
      </w:pPr>
      <w:r>
        <w:rPr>
          <w:rFonts w:hint="eastAsia"/>
          <w:color w:val="auto"/>
          <w:szCs w:val="21"/>
          <w:highlight w:val="none"/>
        </w:rPr>
        <w:t>《通风与空调工程施工质量验收规范》GB 50243</w:t>
      </w:r>
    </w:p>
    <w:p w14:paraId="0967C0C3">
      <w:pPr>
        <w:spacing w:line="360" w:lineRule="exact"/>
        <w:rPr>
          <w:rFonts w:hint="eastAsia" w:eastAsia="宋体"/>
          <w:color w:val="auto"/>
          <w:szCs w:val="21"/>
          <w:highlight w:val="none"/>
          <w:lang w:eastAsia="zh-CN"/>
        </w:rPr>
      </w:pPr>
      <w:r>
        <w:rPr>
          <w:rFonts w:hint="eastAsia"/>
          <w:color w:val="auto"/>
          <w:szCs w:val="21"/>
          <w:highlight w:val="none"/>
        </w:rPr>
        <w:t>《建筑工程施工质量验收统一标准》GB 50300</w:t>
      </w:r>
    </w:p>
    <w:p w14:paraId="1B1A221A">
      <w:pPr>
        <w:spacing w:line="360" w:lineRule="exact"/>
        <w:rPr>
          <w:rFonts w:hint="eastAsia" w:eastAsia="宋体"/>
          <w:color w:val="auto"/>
          <w:szCs w:val="21"/>
          <w:highlight w:val="none"/>
          <w:lang w:eastAsia="zh-CN"/>
        </w:rPr>
      </w:pPr>
      <w:r>
        <w:rPr>
          <w:rFonts w:hint="eastAsia"/>
          <w:color w:val="auto"/>
          <w:szCs w:val="21"/>
          <w:highlight w:val="none"/>
        </w:rPr>
        <w:t>《建筑电气工程施工质量验收规范》GB 50303</w:t>
      </w:r>
    </w:p>
    <w:p w14:paraId="3024B503">
      <w:pPr>
        <w:spacing w:line="360" w:lineRule="exact"/>
        <w:rPr>
          <w:rFonts w:hint="eastAsia" w:eastAsia="宋体"/>
          <w:color w:val="auto"/>
          <w:szCs w:val="21"/>
          <w:highlight w:val="none"/>
          <w:lang w:eastAsia="zh-CN"/>
        </w:rPr>
      </w:pPr>
      <w:r>
        <w:rPr>
          <w:rFonts w:hint="eastAsia"/>
          <w:color w:val="auto"/>
          <w:szCs w:val="21"/>
          <w:highlight w:val="none"/>
        </w:rPr>
        <w:t>《民用建筑工程室内环境污染控制标准》GB 50325</w:t>
      </w:r>
    </w:p>
    <w:p w14:paraId="28B1FFAF">
      <w:pPr>
        <w:spacing w:line="360" w:lineRule="exact"/>
        <w:rPr>
          <w:rFonts w:hint="eastAsia" w:eastAsia="宋体"/>
          <w:color w:val="auto"/>
          <w:szCs w:val="21"/>
          <w:highlight w:val="none"/>
          <w:lang w:eastAsia="zh-CN"/>
        </w:rPr>
      </w:pPr>
      <w:r>
        <w:rPr>
          <w:rFonts w:hint="eastAsia"/>
          <w:color w:val="auto"/>
          <w:szCs w:val="21"/>
          <w:highlight w:val="none"/>
        </w:rPr>
        <w:t>《住宅装饰装修工程施工规范》GB 50327</w:t>
      </w:r>
    </w:p>
    <w:p w14:paraId="6C175688">
      <w:pPr>
        <w:spacing w:line="360" w:lineRule="exact"/>
        <w:rPr>
          <w:rFonts w:hint="eastAsia" w:eastAsia="宋体"/>
          <w:color w:val="auto"/>
          <w:szCs w:val="21"/>
          <w:highlight w:val="none"/>
          <w:lang w:eastAsia="zh-CN"/>
        </w:rPr>
      </w:pPr>
      <w:r>
        <w:rPr>
          <w:rFonts w:hint="eastAsia"/>
          <w:color w:val="auto"/>
          <w:szCs w:val="21"/>
          <w:highlight w:val="none"/>
        </w:rPr>
        <w:t>《屋面工程技术规范》GB 50345</w:t>
      </w:r>
    </w:p>
    <w:p w14:paraId="5F45E5D2">
      <w:pPr>
        <w:spacing w:line="360" w:lineRule="exact"/>
        <w:rPr>
          <w:rFonts w:hint="eastAsia" w:eastAsia="宋体"/>
          <w:color w:val="auto"/>
          <w:szCs w:val="21"/>
          <w:highlight w:val="none"/>
          <w:lang w:eastAsia="zh-CN"/>
        </w:rPr>
      </w:pPr>
      <w:r>
        <w:rPr>
          <w:rFonts w:hint="eastAsia"/>
          <w:color w:val="auto"/>
          <w:szCs w:val="21"/>
          <w:highlight w:val="none"/>
        </w:rPr>
        <w:t>《民用建筑设计统一标准》GB 50352</w:t>
      </w:r>
    </w:p>
    <w:p w14:paraId="353108C1">
      <w:pPr>
        <w:spacing w:line="360" w:lineRule="exact"/>
        <w:rPr>
          <w:rFonts w:hint="eastAsia" w:eastAsia="宋体"/>
          <w:color w:val="auto"/>
          <w:szCs w:val="21"/>
          <w:highlight w:val="none"/>
          <w:lang w:eastAsia="zh-CN"/>
        </w:rPr>
      </w:pPr>
      <w:r>
        <w:rPr>
          <w:rFonts w:hint="eastAsia"/>
          <w:color w:val="auto"/>
          <w:szCs w:val="21"/>
          <w:highlight w:val="none"/>
        </w:rPr>
        <w:t>《建筑节能工程施工质量验收标准》GB 50411</w:t>
      </w:r>
    </w:p>
    <w:p w14:paraId="10BF4679">
      <w:pPr>
        <w:spacing w:line="360" w:lineRule="exact"/>
        <w:rPr>
          <w:rFonts w:hint="eastAsia" w:eastAsia="宋体"/>
          <w:color w:val="auto"/>
          <w:szCs w:val="21"/>
          <w:highlight w:val="none"/>
          <w:lang w:eastAsia="zh-CN"/>
        </w:rPr>
      </w:pPr>
      <w:r>
        <w:rPr>
          <w:rFonts w:hint="eastAsia"/>
          <w:color w:val="auto"/>
          <w:szCs w:val="21"/>
          <w:highlight w:val="none"/>
        </w:rPr>
        <w:t>《钢结构焊接规范》GB 50661</w:t>
      </w:r>
    </w:p>
    <w:p w14:paraId="029EF206">
      <w:pPr>
        <w:spacing w:line="360" w:lineRule="exact"/>
        <w:rPr>
          <w:rFonts w:hint="eastAsia" w:eastAsia="宋体"/>
          <w:color w:val="auto"/>
          <w:szCs w:val="21"/>
          <w:highlight w:val="none"/>
          <w:lang w:eastAsia="zh-CN"/>
        </w:rPr>
      </w:pPr>
      <w:r>
        <w:rPr>
          <w:rFonts w:hint="eastAsia"/>
          <w:color w:val="auto"/>
          <w:szCs w:val="21"/>
          <w:highlight w:val="none"/>
        </w:rPr>
        <w:t>《混凝土结构工程施工规范》GB 50666</w:t>
      </w:r>
    </w:p>
    <w:p w14:paraId="41464BE3">
      <w:pPr>
        <w:spacing w:line="360" w:lineRule="exact"/>
        <w:rPr>
          <w:rFonts w:hint="eastAsia" w:eastAsia="宋体"/>
          <w:color w:val="auto"/>
          <w:szCs w:val="21"/>
          <w:highlight w:val="none"/>
          <w:lang w:eastAsia="zh-CN"/>
        </w:rPr>
      </w:pPr>
      <w:r>
        <w:rPr>
          <w:rFonts w:hint="eastAsia"/>
          <w:color w:val="auto"/>
          <w:szCs w:val="21"/>
          <w:highlight w:val="none"/>
        </w:rPr>
        <w:t>《坡屋面工程技术规范》GB 50693</w:t>
      </w:r>
    </w:p>
    <w:p w14:paraId="25D94EF6">
      <w:pPr>
        <w:spacing w:line="360" w:lineRule="exact"/>
        <w:rPr>
          <w:rFonts w:hint="eastAsia" w:eastAsia="宋体"/>
          <w:color w:val="auto"/>
          <w:szCs w:val="21"/>
          <w:highlight w:val="none"/>
          <w:lang w:eastAsia="zh-CN"/>
        </w:rPr>
      </w:pPr>
      <w:r>
        <w:rPr>
          <w:rFonts w:hint="eastAsia"/>
          <w:color w:val="auto"/>
          <w:szCs w:val="21"/>
          <w:highlight w:val="none"/>
        </w:rPr>
        <w:t>《民用建筑供暖通风与空气调节设计规范》GB 50736</w:t>
      </w:r>
    </w:p>
    <w:p w14:paraId="6047903E">
      <w:pPr>
        <w:spacing w:line="360" w:lineRule="exact"/>
        <w:rPr>
          <w:rFonts w:hint="eastAsia" w:eastAsia="宋体"/>
          <w:color w:val="auto"/>
          <w:szCs w:val="21"/>
          <w:highlight w:val="none"/>
          <w:lang w:eastAsia="zh-CN"/>
        </w:rPr>
      </w:pPr>
      <w:r>
        <w:rPr>
          <w:rFonts w:hint="eastAsia"/>
          <w:color w:val="auto"/>
          <w:szCs w:val="21"/>
          <w:highlight w:val="none"/>
        </w:rPr>
        <w:t>《钢结构工程施工规范》GB 50755</w:t>
      </w:r>
    </w:p>
    <w:p w14:paraId="6BE9A4D8">
      <w:pPr>
        <w:spacing w:line="360" w:lineRule="exact"/>
        <w:rPr>
          <w:rFonts w:hint="eastAsia" w:eastAsia="宋体"/>
          <w:color w:val="auto"/>
          <w:szCs w:val="21"/>
          <w:highlight w:val="none"/>
          <w:lang w:eastAsia="zh-CN"/>
        </w:rPr>
      </w:pPr>
      <w:r>
        <w:rPr>
          <w:rFonts w:hint="eastAsia"/>
          <w:color w:val="auto"/>
          <w:szCs w:val="21"/>
          <w:highlight w:val="none"/>
        </w:rPr>
        <w:t>《建筑机电工程抗震设计规范》GB 50981</w:t>
      </w:r>
    </w:p>
    <w:p w14:paraId="1A78E037">
      <w:pPr>
        <w:spacing w:line="360" w:lineRule="exact"/>
        <w:rPr>
          <w:rFonts w:hint="eastAsia" w:eastAsia="宋体"/>
          <w:color w:val="auto"/>
          <w:szCs w:val="21"/>
          <w:highlight w:val="none"/>
          <w:lang w:eastAsia="zh-CN"/>
        </w:rPr>
      </w:pPr>
      <w:r>
        <w:rPr>
          <w:rFonts w:hint="eastAsia"/>
          <w:color w:val="auto"/>
          <w:szCs w:val="21"/>
          <w:highlight w:val="none"/>
        </w:rPr>
        <w:t>《民用建筑电气设计标准》GB 51348</w:t>
      </w:r>
    </w:p>
    <w:p w14:paraId="60ED1A08">
      <w:pPr>
        <w:spacing w:line="360" w:lineRule="exact"/>
        <w:rPr>
          <w:rFonts w:hint="eastAsia" w:eastAsia="宋体"/>
          <w:color w:val="auto"/>
          <w:szCs w:val="21"/>
          <w:highlight w:val="none"/>
          <w:lang w:eastAsia="zh-CN"/>
        </w:rPr>
      </w:pPr>
      <w:r>
        <w:rPr>
          <w:rFonts w:hint="eastAsia"/>
          <w:color w:val="auto"/>
          <w:szCs w:val="21"/>
          <w:highlight w:val="none"/>
        </w:rPr>
        <w:t>《工程结构通用规范》GB 55001</w:t>
      </w:r>
    </w:p>
    <w:p w14:paraId="6739C009">
      <w:pPr>
        <w:spacing w:line="360" w:lineRule="exact"/>
        <w:rPr>
          <w:rFonts w:hint="eastAsia" w:eastAsia="宋体"/>
          <w:color w:val="auto"/>
          <w:szCs w:val="21"/>
          <w:highlight w:val="none"/>
          <w:lang w:eastAsia="zh-CN"/>
        </w:rPr>
      </w:pPr>
      <w:r>
        <w:rPr>
          <w:rFonts w:hint="eastAsia"/>
          <w:color w:val="auto"/>
          <w:szCs w:val="21"/>
          <w:highlight w:val="none"/>
        </w:rPr>
        <w:t>《钢结构通用规范》GB 55006</w:t>
      </w:r>
    </w:p>
    <w:p w14:paraId="089BDB75">
      <w:pPr>
        <w:spacing w:line="360" w:lineRule="exact"/>
        <w:rPr>
          <w:rFonts w:hint="eastAsia" w:eastAsia="宋体"/>
          <w:color w:val="auto"/>
          <w:szCs w:val="21"/>
          <w:highlight w:val="none"/>
          <w:lang w:eastAsia="zh-CN"/>
        </w:rPr>
      </w:pPr>
      <w:r>
        <w:rPr>
          <w:rFonts w:hint="eastAsia"/>
          <w:color w:val="auto"/>
          <w:szCs w:val="21"/>
          <w:highlight w:val="none"/>
        </w:rPr>
        <w:t>《混凝土结构通用规范》GB 55008</w:t>
      </w:r>
    </w:p>
    <w:p w14:paraId="527F2304">
      <w:pPr>
        <w:spacing w:line="360" w:lineRule="exact"/>
        <w:rPr>
          <w:rFonts w:hint="eastAsia" w:eastAsia="宋体"/>
          <w:color w:val="auto"/>
          <w:szCs w:val="21"/>
          <w:highlight w:val="none"/>
          <w:lang w:eastAsia="zh-CN"/>
        </w:rPr>
      </w:pPr>
      <w:r>
        <w:rPr>
          <w:rFonts w:hint="eastAsia"/>
          <w:color w:val="auto"/>
          <w:szCs w:val="21"/>
          <w:highlight w:val="none"/>
        </w:rPr>
        <w:t>《建筑节能与可再生能源利用通用规范》GB 55015</w:t>
      </w:r>
    </w:p>
    <w:p w14:paraId="0C083197">
      <w:pPr>
        <w:spacing w:line="360" w:lineRule="exact"/>
        <w:rPr>
          <w:rFonts w:hint="eastAsia" w:eastAsia="宋体"/>
          <w:color w:val="auto"/>
          <w:szCs w:val="21"/>
          <w:highlight w:val="none"/>
          <w:lang w:eastAsia="zh-CN"/>
        </w:rPr>
      </w:pPr>
      <w:r>
        <w:rPr>
          <w:rFonts w:hint="eastAsia"/>
          <w:color w:val="auto"/>
          <w:szCs w:val="21"/>
          <w:highlight w:val="none"/>
        </w:rPr>
        <w:t>《建筑环境通用规范》GB 55016</w:t>
      </w:r>
    </w:p>
    <w:p w14:paraId="3DAAE6A4">
      <w:pPr>
        <w:spacing w:line="360" w:lineRule="exact"/>
        <w:rPr>
          <w:rFonts w:hint="eastAsia" w:eastAsia="宋体"/>
          <w:color w:val="auto"/>
          <w:szCs w:val="21"/>
          <w:highlight w:val="none"/>
          <w:lang w:eastAsia="zh-CN"/>
        </w:rPr>
      </w:pPr>
      <w:r>
        <w:rPr>
          <w:rFonts w:hint="eastAsia"/>
          <w:color w:val="auto"/>
          <w:szCs w:val="21"/>
          <w:highlight w:val="none"/>
        </w:rPr>
        <w:t>《建筑给水排水与节水通用规范》GB 55020</w:t>
      </w:r>
    </w:p>
    <w:p w14:paraId="1CC0C82A">
      <w:pPr>
        <w:spacing w:line="360" w:lineRule="exact"/>
        <w:rPr>
          <w:rFonts w:hint="eastAsia" w:eastAsia="宋体"/>
          <w:color w:val="auto"/>
          <w:szCs w:val="21"/>
          <w:highlight w:val="none"/>
          <w:lang w:eastAsia="zh-CN"/>
        </w:rPr>
      </w:pPr>
      <w:r>
        <w:rPr>
          <w:rFonts w:hint="eastAsia"/>
          <w:color w:val="auto"/>
          <w:szCs w:val="21"/>
          <w:highlight w:val="none"/>
        </w:rPr>
        <w:t>《建筑电气与智能化通用规范》GB 55024</w:t>
      </w:r>
    </w:p>
    <w:p w14:paraId="6EE60FC2">
      <w:pPr>
        <w:spacing w:line="360" w:lineRule="exact"/>
        <w:rPr>
          <w:rFonts w:hint="eastAsia" w:eastAsia="宋体"/>
          <w:color w:val="auto"/>
          <w:szCs w:val="21"/>
          <w:highlight w:val="none"/>
          <w:lang w:eastAsia="zh-CN"/>
        </w:rPr>
      </w:pPr>
      <w:r>
        <w:rPr>
          <w:rFonts w:hint="eastAsia"/>
          <w:color w:val="auto"/>
          <w:szCs w:val="21"/>
          <w:highlight w:val="none"/>
        </w:rPr>
        <w:t>《碳素结构钢》GB/T 700</w:t>
      </w:r>
    </w:p>
    <w:p w14:paraId="3762D123">
      <w:pPr>
        <w:spacing w:line="360" w:lineRule="exact"/>
        <w:rPr>
          <w:rFonts w:hint="eastAsia" w:eastAsia="宋体"/>
          <w:color w:val="auto"/>
          <w:szCs w:val="21"/>
          <w:highlight w:val="none"/>
          <w:lang w:eastAsia="zh-CN"/>
        </w:rPr>
      </w:pPr>
      <w:r>
        <w:rPr>
          <w:rFonts w:hint="eastAsia"/>
          <w:color w:val="auto"/>
          <w:szCs w:val="21"/>
          <w:highlight w:val="none"/>
        </w:rPr>
        <w:t>《不锈钢棒》GB/T 1220</w:t>
      </w:r>
    </w:p>
    <w:p w14:paraId="4077DE91">
      <w:pPr>
        <w:spacing w:line="360" w:lineRule="exact"/>
        <w:rPr>
          <w:rFonts w:hint="eastAsia" w:eastAsia="宋体"/>
          <w:color w:val="auto"/>
          <w:szCs w:val="21"/>
          <w:highlight w:val="none"/>
          <w:lang w:eastAsia="zh-CN"/>
        </w:rPr>
      </w:pPr>
      <w:r>
        <w:rPr>
          <w:rFonts w:hint="eastAsia"/>
          <w:color w:val="auto"/>
          <w:szCs w:val="21"/>
          <w:highlight w:val="none"/>
        </w:rPr>
        <w:t>《钢筋混凝土用钢第1部分 热轧光圆钢筋》GB/T 1497.1</w:t>
      </w:r>
    </w:p>
    <w:p w14:paraId="0F5393C8">
      <w:pPr>
        <w:spacing w:line="360" w:lineRule="exact"/>
        <w:rPr>
          <w:rFonts w:hint="eastAsia" w:eastAsia="宋体"/>
          <w:color w:val="auto"/>
          <w:szCs w:val="21"/>
          <w:highlight w:val="none"/>
          <w:lang w:eastAsia="zh-CN"/>
        </w:rPr>
      </w:pPr>
      <w:r>
        <w:rPr>
          <w:rFonts w:hint="eastAsia"/>
          <w:color w:val="auto"/>
          <w:szCs w:val="21"/>
          <w:highlight w:val="none"/>
        </w:rPr>
        <w:t>《钢筋混凝土用钢第2部分 热轧带肋钢筋》GB/T 1497.2</w:t>
      </w:r>
    </w:p>
    <w:p w14:paraId="359AE41C">
      <w:pPr>
        <w:spacing w:line="360" w:lineRule="exact"/>
        <w:rPr>
          <w:rFonts w:hint="eastAsia" w:eastAsia="宋体"/>
          <w:color w:val="auto"/>
          <w:szCs w:val="21"/>
          <w:highlight w:val="none"/>
          <w:lang w:eastAsia="zh-CN"/>
        </w:rPr>
      </w:pPr>
      <w:r>
        <w:rPr>
          <w:rFonts w:hint="eastAsia"/>
          <w:color w:val="auto"/>
          <w:szCs w:val="21"/>
          <w:highlight w:val="none"/>
        </w:rPr>
        <w:t>《钢筋混凝土用钢第3部分 钢筋焊接网》GB/T 1497.3</w:t>
      </w:r>
    </w:p>
    <w:p w14:paraId="77AE7B53">
      <w:pPr>
        <w:spacing w:line="360" w:lineRule="exact"/>
        <w:rPr>
          <w:rFonts w:hint="eastAsia" w:eastAsia="宋体"/>
          <w:color w:val="auto"/>
          <w:szCs w:val="21"/>
          <w:highlight w:val="none"/>
          <w:lang w:eastAsia="zh-CN"/>
        </w:rPr>
      </w:pPr>
      <w:r>
        <w:rPr>
          <w:rFonts w:hint="eastAsia"/>
          <w:color w:val="auto"/>
          <w:szCs w:val="21"/>
          <w:highlight w:val="none"/>
        </w:rPr>
        <w:t>《不锈钢冷轧钢板和钢带》GB/T 3280</w:t>
      </w:r>
    </w:p>
    <w:p w14:paraId="6E695D45">
      <w:pPr>
        <w:spacing w:line="360" w:lineRule="exact"/>
        <w:rPr>
          <w:rFonts w:hint="eastAsia" w:eastAsia="宋体"/>
          <w:color w:val="auto"/>
          <w:szCs w:val="21"/>
          <w:highlight w:val="none"/>
          <w:lang w:eastAsia="zh-CN"/>
        </w:rPr>
      </w:pPr>
      <w:r>
        <w:rPr>
          <w:rFonts w:hint="eastAsia"/>
          <w:color w:val="auto"/>
          <w:szCs w:val="21"/>
          <w:highlight w:val="none"/>
        </w:rPr>
        <w:t>《不锈钢冷加工钢棒》GB/T 4226</w:t>
      </w:r>
    </w:p>
    <w:p w14:paraId="1B13425F">
      <w:pPr>
        <w:spacing w:line="360" w:lineRule="exact"/>
        <w:rPr>
          <w:rFonts w:hint="eastAsia" w:eastAsia="宋体"/>
          <w:color w:val="auto"/>
          <w:szCs w:val="21"/>
          <w:highlight w:val="none"/>
          <w:lang w:eastAsia="zh-CN"/>
        </w:rPr>
      </w:pPr>
      <w:r>
        <w:rPr>
          <w:rFonts w:hint="eastAsia"/>
          <w:color w:val="auto"/>
          <w:szCs w:val="21"/>
          <w:highlight w:val="none"/>
        </w:rPr>
        <w:t>《不锈钢热轧钢板和钢带》GB/T 4237</w:t>
      </w:r>
    </w:p>
    <w:p w14:paraId="4C20D60F">
      <w:pPr>
        <w:spacing w:line="360" w:lineRule="exact"/>
        <w:rPr>
          <w:rFonts w:hint="eastAsia" w:eastAsia="宋体"/>
          <w:color w:val="auto"/>
          <w:szCs w:val="21"/>
          <w:highlight w:val="none"/>
          <w:lang w:eastAsia="zh-CN"/>
        </w:rPr>
      </w:pPr>
      <w:r>
        <w:rPr>
          <w:rFonts w:hint="eastAsia"/>
          <w:color w:val="auto"/>
          <w:szCs w:val="21"/>
          <w:highlight w:val="none"/>
        </w:rPr>
        <w:t>《建筑模数协调标准》GB/T 50002</w:t>
      </w:r>
    </w:p>
    <w:p w14:paraId="2359B5AB">
      <w:pPr>
        <w:spacing w:line="360" w:lineRule="exact"/>
        <w:rPr>
          <w:rFonts w:hint="eastAsia" w:eastAsia="宋体"/>
          <w:color w:val="auto"/>
          <w:szCs w:val="21"/>
          <w:highlight w:val="none"/>
          <w:lang w:eastAsia="zh-CN"/>
        </w:rPr>
      </w:pPr>
      <w:r>
        <w:rPr>
          <w:rFonts w:hint="eastAsia"/>
          <w:color w:val="auto"/>
          <w:szCs w:val="21"/>
          <w:highlight w:val="none"/>
        </w:rPr>
        <w:t>《混凝土结构设计标准》GB/T 50010</w:t>
      </w:r>
    </w:p>
    <w:p w14:paraId="5B2592B7">
      <w:pPr>
        <w:spacing w:line="360" w:lineRule="exact"/>
        <w:rPr>
          <w:rFonts w:hint="eastAsia" w:eastAsia="宋体"/>
          <w:color w:val="auto"/>
          <w:szCs w:val="21"/>
          <w:highlight w:val="none"/>
          <w:lang w:eastAsia="zh-CN"/>
        </w:rPr>
      </w:pPr>
      <w:r>
        <w:rPr>
          <w:rFonts w:hint="eastAsia"/>
          <w:color w:val="auto"/>
          <w:szCs w:val="21"/>
          <w:highlight w:val="none"/>
        </w:rPr>
        <w:t>《交流电气装置的接地设计规范》GB/T 50065</w:t>
      </w:r>
    </w:p>
    <w:p w14:paraId="03BD3E9D">
      <w:pPr>
        <w:spacing w:line="360" w:lineRule="exact"/>
        <w:rPr>
          <w:rFonts w:hint="eastAsia" w:eastAsia="宋体"/>
          <w:color w:val="auto"/>
          <w:szCs w:val="21"/>
          <w:highlight w:val="none"/>
          <w:lang w:eastAsia="zh-CN"/>
        </w:rPr>
      </w:pPr>
      <w:r>
        <w:rPr>
          <w:rFonts w:hint="eastAsia"/>
          <w:color w:val="auto"/>
          <w:szCs w:val="21"/>
          <w:highlight w:val="none"/>
        </w:rPr>
        <w:t>《混凝土强度检验评定标准》GB/T 50107</w:t>
      </w:r>
    </w:p>
    <w:p w14:paraId="6D0CBFAF">
      <w:pPr>
        <w:spacing w:line="360" w:lineRule="exact"/>
        <w:rPr>
          <w:rFonts w:hint="eastAsia" w:eastAsia="宋体"/>
          <w:color w:val="auto"/>
          <w:szCs w:val="21"/>
          <w:highlight w:val="none"/>
          <w:lang w:eastAsia="zh-CN"/>
        </w:rPr>
      </w:pPr>
      <w:r>
        <w:rPr>
          <w:rFonts w:hint="eastAsia"/>
          <w:color w:val="auto"/>
          <w:szCs w:val="21"/>
          <w:highlight w:val="none"/>
        </w:rPr>
        <w:t>《人造板及饰面人造板理化性能试验方法》GB/T 17657</w:t>
      </w:r>
    </w:p>
    <w:p w14:paraId="61CA608B">
      <w:pPr>
        <w:spacing w:line="360" w:lineRule="exact"/>
        <w:rPr>
          <w:rFonts w:hint="eastAsia" w:eastAsia="宋体"/>
          <w:color w:val="auto"/>
          <w:szCs w:val="21"/>
          <w:highlight w:val="none"/>
          <w:lang w:eastAsia="zh-CN"/>
        </w:rPr>
      </w:pPr>
      <w:r>
        <w:rPr>
          <w:rFonts w:hint="eastAsia"/>
          <w:color w:val="auto"/>
          <w:szCs w:val="21"/>
          <w:highlight w:val="none"/>
        </w:rPr>
        <w:t>《建筑门窗洞口尺寸系列》GB/T 5824</w:t>
      </w:r>
    </w:p>
    <w:p w14:paraId="102BCC86">
      <w:pPr>
        <w:spacing w:line="360" w:lineRule="exact"/>
        <w:rPr>
          <w:rFonts w:hint="eastAsia" w:eastAsia="宋体"/>
          <w:color w:val="auto"/>
          <w:szCs w:val="21"/>
          <w:highlight w:val="none"/>
          <w:lang w:eastAsia="zh-CN"/>
        </w:rPr>
      </w:pPr>
      <w:r>
        <w:rPr>
          <w:rFonts w:hint="eastAsia"/>
          <w:color w:val="auto"/>
          <w:szCs w:val="21"/>
          <w:highlight w:val="none"/>
        </w:rPr>
        <w:t>《建筑工程绿色施工规范》GB/T 50905</w:t>
      </w:r>
    </w:p>
    <w:p w14:paraId="4769435D">
      <w:pPr>
        <w:spacing w:line="360" w:lineRule="exact"/>
        <w:rPr>
          <w:rFonts w:hint="eastAsia" w:eastAsia="宋体"/>
          <w:color w:val="auto"/>
          <w:szCs w:val="21"/>
          <w:highlight w:val="none"/>
          <w:lang w:eastAsia="zh-CN"/>
        </w:rPr>
      </w:pPr>
      <w:r>
        <w:rPr>
          <w:rFonts w:hint="eastAsia"/>
          <w:color w:val="auto"/>
          <w:szCs w:val="21"/>
          <w:highlight w:val="none"/>
        </w:rPr>
        <w:t>《装配式混凝土结构技术规程》JGJ 1</w:t>
      </w:r>
    </w:p>
    <w:p w14:paraId="392F1402">
      <w:pPr>
        <w:spacing w:line="360" w:lineRule="exact"/>
        <w:rPr>
          <w:rFonts w:hint="eastAsia" w:eastAsia="宋体"/>
          <w:color w:val="auto"/>
          <w:szCs w:val="21"/>
          <w:highlight w:val="none"/>
          <w:lang w:eastAsia="zh-CN"/>
        </w:rPr>
      </w:pPr>
      <w:r>
        <w:rPr>
          <w:rFonts w:hint="eastAsia"/>
          <w:color w:val="auto"/>
          <w:szCs w:val="21"/>
          <w:highlight w:val="none"/>
        </w:rPr>
        <w:t>《高层建筑混凝土结构技术规程》JGJ 3</w:t>
      </w:r>
    </w:p>
    <w:p w14:paraId="03D7C08E">
      <w:pPr>
        <w:spacing w:line="360" w:lineRule="exact"/>
        <w:rPr>
          <w:rFonts w:hint="eastAsia" w:eastAsia="宋体"/>
          <w:color w:val="auto"/>
          <w:szCs w:val="21"/>
          <w:highlight w:val="none"/>
          <w:lang w:eastAsia="zh-CN"/>
        </w:rPr>
      </w:pPr>
      <w:r>
        <w:rPr>
          <w:rFonts w:hint="eastAsia"/>
          <w:color w:val="auto"/>
          <w:szCs w:val="21"/>
          <w:highlight w:val="none"/>
        </w:rPr>
        <w:t>《钢筋焊接及验收规程》JGJ 18</w:t>
      </w:r>
    </w:p>
    <w:p w14:paraId="217E173C">
      <w:pPr>
        <w:spacing w:line="360" w:lineRule="exact"/>
        <w:rPr>
          <w:rFonts w:hint="eastAsia" w:eastAsia="宋体"/>
          <w:color w:val="auto"/>
          <w:szCs w:val="21"/>
          <w:highlight w:val="none"/>
          <w:lang w:eastAsia="zh-CN"/>
        </w:rPr>
      </w:pPr>
      <w:r>
        <w:rPr>
          <w:rFonts w:hint="eastAsia"/>
          <w:color w:val="auto"/>
          <w:szCs w:val="21"/>
          <w:highlight w:val="none"/>
        </w:rPr>
        <w:t>《建筑机械使用安全技术规程》JGJ 33</w:t>
      </w:r>
    </w:p>
    <w:p w14:paraId="1727503D">
      <w:pPr>
        <w:spacing w:line="360" w:lineRule="exact"/>
        <w:rPr>
          <w:rFonts w:hint="eastAsia" w:eastAsia="宋体"/>
          <w:color w:val="auto"/>
          <w:szCs w:val="21"/>
          <w:highlight w:val="none"/>
          <w:lang w:eastAsia="zh-CN"/>
        </w:rPr>
      </w:pPr>
      <w:r>
        <w:rPr>
          <w:rFonts w:hint="eastAsia"/>
          <w:color w:val="auto"/>
          <w:szCs w:val="21"/>
          <w:highlight w:val="none"/>
        </w:rPr>
        <w:t>《施工现场临时用电安全技术规范》JGJ 46</w:t>
      </w:r>
    </w:p>
    <w:p w14:paraId="0280674D">
      <w:pPr>
        <w:spacing w:line="360" w:lineRule="exact"/>
        <w:rPr>
          <w:rFonts w:hint="eastAsia" w:eastAsia="宋体"/>
          <w:color w:val="auto"/>
          <w:szCs w:val="21"/>
          <w:highlight w:val="none"/>
          <w:lang w:eastAsia="zh-CN"/>
        </w:rPr>
      </w:pPr>
      <w:r>
        <w:rPr>
          <w:rFonts w:hint="eastAsia"/>
          <w:color w:val="auto"/>
          <w:szCs w:val="21"/>
          <w:highlight w:val="none"/>
        </w:rPr>
        <w:t>《夏热冬暖地区居住建筑节能设计标准》JGJ 75</w:t>
      </w:r>
    </w:p>
    <w:p w14:paraId="0F3CCB4B">
      <w:pPr>
        <w:spacing w:line="360" w:lineRule="exact"/>
        <w:rPr>
          <w:rFonts w:hint="eastAsia" w:eastAsia="宋体"/>
          <w:color w:val="auto"/>
          <w:szCs w:val="21"/>
          <w:highlight w:val="none"/>
          <w:lang w:eastAsia="zh-CN"/>
        </w:rPr>
      </w:pPr>
      <w:r>
        <w:rPr>
          <w:rFonts w:hint="eastAsia"/>
          <w:color w:val="auto"/>
          <w:szCs w:val="21"/>
          <w:highlight w:val="none"/>
        </w:rPr>
        <w:t>《建筑施工高处作业安全技术规范》JGJ 80</w:t>
      </w:r>
    </w:p>
    <w:p w14:paraId="09F7FC95">
      <w:pPr>
        <w:spacing w:line="360" w:lineRule="exact"/>
        <w:rPr>
          <w:rFonts w:hint="eastAsia"/>
          <w:color w:val="auto"/>
          <w:szCs w:val="21"/>
          <w:highlight w:val="none"/>
        </w:rPr>
      </w:pPr>
      <w:r>
        <w:rPr>
          <w:rFonts w:hint="eastAsia"/>
          <w:color w:val="auto"/>
          <w:szCs w:val="21"/>
          <w:highlight w:val="none"/>
        </w:rPr>
        <w:t>《钢筋机械连接技术规程》JGJ 107</w:t>
      </w:r>
    </w:p>
    <w:p w14:paraId="33627397">
      <w:pPr>
        <w:spacing w:line="360" w:lineRule="exact"/>
        <w:rPr>
          <w:rFonts w:hint="eastAsia"/>
          <w:color w:val="auto"/>
          <w:szCs w:val="21"/>
          <w:highlight w:val="none"/>
        </w:rPr>
      </w:pPr>
      <w:r>
        <w:rPr>
          <w:rFonts w:hint="eastAsia"/>
          <w:color w:val="auto"/>
          <w:szCs w:val="21"/>
          <w:highlight w:val="none"/>
        </w:rPr>
        <w:t>《外墙饰面砖工程施工及验收规程》JGJ 126</w:t>
      </w:r>
    </w:p>
    <w:p w14:paraId="6A358E84">
      <w:pPr>
        <w:spacing w:line="360" w:lineRule="exact"/>
        <w:rPr>
          <w:rFonts w:hint="eastAsia"/>
          <w:color w:val="auto"/>
          <w:szCs w:val="21"/>
          <w:highlight w:val="none"/>
        </w:rPr>
      </w:pPr>
      <w:r>
        <w:rPr>
          <w:rFonts w:hint="eastAsia"/>
          <w:color w:val="auto"/>
          <w:szCs w:val="21"/>
          <w:highlight w:val="none"/>
        </w:rPr>
        <w:t>《清水混凝土应用技术规程》JGJ 169</w:t>
      </w:r>
    </w:p>
    <w:p w14:paraId="46FD1EBD">
      <w:pPr>
        <w:spacing w:line="360" w:lineRule="exact"/>
        <w:rPr>
          <w:rFonts w:hint="eastAsia"/>
          <w:color w:val="auto"/>
          <w:szCs w:val="21"/>
          <w:highlight w:val="none"/>
        </w:rPr>
      </w:pPr>
      <w:r>
        <w:rPr>
          <w:rFonts w:hint="eastAsia"/>
          <w:color w:val="auto"/>
          <w:szCs w:val="21"/>
          <w:highlight w:val="none"/>
        </w:rPr>
        <w:t>《建筑施工起重吊装工程安全技术规范》JGJ 276</w:t>
      </w:r>
    </w:p>
    <w:p w14:paraId="5EE5D1E8">
      <w:pPr>
        <w:spacing w:line="360" w:lineRule="exact"/>
        <w:rPr>
          <w:rFonts w:hint="eastAsia"/>
          <w:color w:val="auto"/>
          <w:szCs w:val="21"/>
          <w:highlight w:val="none"/>
        </w:rPr>
      </w:pPr>
      <w:r>
        <w:rPr>
          <w:rFonts w:hint="eastAsia"/>
          <w:color w:val="auto"/>
          <w:szCs w:val="21"/>
          <w:highlight w:val="none"/>
        </w:rPr>
        <w:t>《公共建筑吊顶工程技术规程》JGJ 345</w:t>
      </w:r>
    </w:p>
    <w:p w14:paraId="440E10DD">
      <w:pPr>
        <w:spacing w:line="360" w:lineRule="exact"/>
        <w:rPr>
          <w:rFonts w:hint="eastAsia"/>
          <w:color w:val="auto"/>
          <w:szCs w:val="21"/>
          <w:highlight w:val="none"/>
        </w:rPr>
      </w:pPr>
      <w:r>
        <w:rPr>
          <w:rFonts w:hint="eastAsia"/>
          <w:color w:val="auto"/>
          <w:szCs w:val="21"/>
          <w:highlight w:val="none"/>
        </w:rPr>
        <w:t>《住宅室内装饰装修设计规范》JGJ 367</w:t>
      </w:r>
    </w:p>
    <w:p w14:paraId="49CC7C1C">
      <w:pPr>
        <w:spacing w:line="360" w:lineRule="exact"/>
        <w:rPr>
          <w:rFonts w:hint="eastAsia"/>
          <w:color w:val="auto"/>
          <w:szCs w:val="21"/>
          <w:highlight w:val="none"/>
        </w:rPr>
      </w:pPr>
      <w:r>
        <w:rPr>
          <w:rFonts w:hint="eastAsia"/>
          <w:color w:val="auto"/>
          <w:szCs w:val="21"/>
          <w:highlight w:val="none"/>
        </w:rPr>
        <w:t>《轻骨料混凝土应用技术标准》JGJ/T 12</w:t>
      </w:r>
    </w:p>
    <w:p w14:paraId="3BC1DB46">
      <w:pPr>
        <w:spacing w:line="360" w:lineRule="exact"/>
        <w:rPr>
          <w:rFonts w:hint="eastAsia"/>
          <w:color w:val="auto"/>
          <w:szCs w:val="21"/>
          <w:highlight w:val="none"/>
        </w:rPr>
      </w:pPr>
      <w:r>
        <w:rPr>
          <w:rFonts w:hint="eastAsia"/>
          <w:color w:val="auto"/>
          <w:szCs w:val="21"/>
          <w:highlight w:val="none"/>
        </w:rPr>
        <w:t>《建筑工程饰面砖粘结强度检验标准》JGJ/T 110</w:t>
      </w:r>
    </w:p>
    <w:p w14:paraId="6548D83F">
      <w:pPr>
        <w:spacing w:line="360" w:lineRule="exact"/>
        <w:rPr>
          <w:rFonts w:hint="eastAsia"/>
          <w:color w:val="auto"/>
          <w:szCs w:val="21"/>
          <w:highlight w:val="none"/>
        </w:rPr>
      </w:pPr>
      <w:r>
        <w:rPr>
          <w:rFonts w:hint="eastAsia"/>
          <w:color w:val="auto"/>
          <w:szCs w:val="21"/>
          <w:highlight w:val="none"/>
        </w:rPr>
        <w:t>《建筑轻质条板隔墙技术规程》JGJ/T 157</w:t>
      </w:r>
    </w:p>
    <w:p w14:paraId="7308D4DF">
      <w:pPr>
        <w:spacing w:line="360" w:lineRule="exact"/>
        <w:rPr>
          <w:rFonts w:hint="eastAsia"/>
          <w:color w:val="auto"/>
          <w:szCs w:val="21"/>
          <w:highlight w:val="none"/>
        </w:rPr>
      </w:pPr>
      <w:r>
        <w:rPr>
          <w:rFonts w:hint="eastAsia"/>
          <w:color w:val="auto"/>
          <w:szCs w:val="21"/>
          <w:highlight w:val="none"/>
        </w:rPr>
        <w:t>《自密实混凝土应用技术规程》JGJ/T 283</w:t>
      </w:r>
    </w:p>
    <w:p w14:paraId="1BA8B8C6">
      <w:pPr>
        <w:spacing w:line="360" w:lineRule="exact"/>
        <w:rPr>
          <w:rFonts w:hint="eastAsia"/>
          <w:color w:val="auto"/>
          <w:szCs w:val="21"/>
          <w:highlight w:val="none"/>
        </w:rPr>
      </w:pPr>
      <w:r>
        <w:rPr>
          <w:rFonts w:hint="eastAsia"/>
          <w:color w:val="auto"/>
          <w:szCs w:val="21"/>
          <w:highlight w:val="none"/>
        </w:rPr>
        <w:t>《建筑防水工程技术规程》DBJ/T 15-19</w:t>
      </w:r>
    </w:p>
    <w:p w14:paraId="74FAD6CD">
      <w:pPr>
        <w:spacing w:line="360" w:lineRule="exact"/>
        <w:rPr>
          <w:rFonts w:hint="eastAsia"/>
          <w:color w:val="auto"/>
          <w:szCs w:val="21"/>
          <w:highlight w:val="none"/>
        </w:rPr>
      </w:pPr>
      <w:r>
        <w:rPr>
          <w:rFonts w:hint="eastAsia"/>
          <w:color w:val="auto"/>
          <w:szCs w:val="21"/>
          <w:highlight w:val="none"/>
        </w:rPr>
        <w:t>《居住建筑室内装配式装修技术规程》SJG 96</w:t>
      </w:r>
    </w:p>
    <w:p w14:paraId="6F23A662">
      <w:pPr>
        <w:spacing w:line="360" w:lineRule="exact"/>
        <w:rPr>
          <w:color w:val="auto"/>
          <w:szCs w:val="21"/>
          <w:highlight w:val="none"/>
        </w:rPr>
      </w:pPr>
      <w:r>
        <w:rPr>
          <w:rFonts w:hint="eastAsia"/>
          <w:color w:val="auto"/>
          <w:szCs w:val="21"/>
          <w:highlight w:val="none"/>
        </w:rPr>
        <w:t>《高层建筑混凝土结构技术规程》SJG 98</w:t>
      </w:r>
    </w:p>
    <w:p w14:paraId="5F1AAAF9">
      <w:pPr>
        <w:spacing w:line="360" w:lineRule="exact"/>
        <w:rPr>
          <w:color w:val="auto"/>
          <w:szCs w:val="21"/>
          <w:highlight w:val="none"/>
        </w:rPr>
      </w:pPr>
    </w:p>
    <w:p w14:paraId="0C38C7B0">
      <w:pPr>
        <w:spacing w:line="360" w:lineRule="exact"/>
        <w:rPr>
          <w:color w:val="auto"/>
          <w:szCs w:val="21"/>
          <w:highlight w:val="none"/>
        </w:rPr>
      </w:pPr>
    </w:p>
    <w:p w14:paraId="19E86F02">
      <w:pPr>
        <w:spacing w:line="360" w:lineRule="exact"/>
        <w:rPr>
          <w:color w:val="auto"/>
          <w:szCs w:val="21"/>
          <w:highlight w:val="none"/>
        </w:rPr>
      </w:pPr>
    </w:p>
    <w:p w14:paraId="64C213B1">
      <w:pPr>
        <w:spacing w:line="360" w:lineRule="exact"/>
        <w:rPr>
          <w:color w:val="auto"/>
          <w:szCs w:val="21"/>
          <w:highlight w:val="none"/>
        </w:rPr>
      </w:pPr>
    </w:p>
    <w:p w14:paraId="411D5F70">
      <w:pPr>
        <w:spacing w:line="360" w:lineRule="exact"/>
        <w:rPr>
          <w:color w:val="auto"/>
          <w:szCs w:val="21"/>
          <w:highlight w:val="none"/>
        </w:rPr>
      </w:pPr>
    </w:p>
    <w:p w14:paraId="315F92DD">
      <w:pPr>
        <w:spacing w:line="360" w:lineRule="exact"/>
        <w:rPr>
          <w:color w:val="auto"/>
          <w:szCs w:val="21"/>
          <w:highlight w:val="none"/>
        </w:rPr>
      </w:pPr>
    </w:p>
    <w:p w14:paraId="62B2BC36">
      <w:pPr>
        <w:spacing w:line="360" w:lineRule="exact"/>
        <w:rPr>
          <w:color w:val="auto"/>
          <w:szCs w:val="21"/>
          <w:highlight w:val="none"/>
        </w:rPr>
      </w:pPr>
    </w:p>
    <w:p w14:paraId="68872DEC">
      <w:pPr>
        <w:spacing w:line="360" w:lineRule="exact"/>
        <w:rPr>
          <w:color w:val="auto"/>
          <w:szCs w:val="21"/>
          <w:highlight w:val="none"/>
        </w:rPr>
      </w:pPr>
    </w:p>
    <w:p w14:paraId="0267AF42">
      <w:pPr>
        <w:spacing w:line="360" w:lineRule="exact"/>
        <w:rPr>
          <w:color w:val="auto"/>
          <w:szCs w:val="21"/>
          <w:highlight w:val="none"/>
        </w:rPr>
      </w:pPr>
    </w:p>
    <w:p w14:paraId="397EE9CB">
      <w:pPr>
        <w:spacing w:line="360" w:lineRule="exact"/>
        <w:rPr>
          <w:color w:val="auto"/>
          <w:szCs w:val="21"/>
          <w:highlight w:val="none"/>
        </w:rPr>
      </w:pPr>
    </w:p>
    <w:p w14:paraId="01449F58">
      <w:pPr>
        <w:spacing w:line="360" w:lineRule="exact"/>
        <w:rPr>
          <w:color w:val="auto"/>
          <w:szCs w:val="21"/>
          <w:highlight w:val="none"/>
        </w:rPr>
      </w:pPr>
    </w:p>
    <w:p w14:paraId="316B8FA6">
      <w:pPr>
        <w:pStyle w:val="24"/>
        <w:ind w:firstLine="200"/>
        <w:rPr>
          <w:rFonts w:ascii="Times New Roman" w:hAnsi="Times New Roman"/>
          <w:color w:val="auto"/>
          <w:szCs w:val="21"/>
          <w:highlight w:val="none"/>
          <w:lang w:eastAsia="zh-CN"/>
        </w:rPr>
      </w:pPr>
    </w:p>
    <w:p w14:paraId="6ABF31DD">
      <w:pPr>
        <w:pStyle w:val="24"/>
        <w:ind w:firstLine="200"/>
        <w:rPr>
          <w:rFonts w:ascii="Times New Roman" w:hAnsi="Times New Roman"/>
          <w:color w:val="auto"/>
          <w:szCs w:val="21"/>
          <w:highlight w:val="none"/>
          <w:lang w:eastAsia="zh-CN"/>
        </w:rPr>
      </w:pPr>
    </w:p>
    <w:p w14:paraId="033B3AF2">
      <w:pPr>
        <w:jc w:val="center"/>
        <w:rPr>
          <w:bCs/>
          <w:color w:val="auto"/>
          <w:sz w:val="32"/>
          <w:szCs w:val="32"/>
          <w:highlight w:val="none"/>
        </w:rPr>
      </w:pPr>
    </w:p>
    <w:p w14:paraId="0A11B065">
      <w:pPr>
        <w:jc w:val="center"/>
        <w:rPr>
          <w:rFonts w:hint="eastAsia"/>
          <w:bCs/>
          <w:color w:val="auto"/>
          <w:sz w:val="32"/>
          <w:szCs w:val="32"/>
          <w:highlight w:val="none"/>
        </w:rPr>
        <w:sectPr>
          <w:footerReference r:id="rId9" w:type="default"/>
          <w:pgSz w:w="7937" w:h="11509"/>
          <w:pgMar w:top="1083" w:right="1009" w:bottom="1083" w:left="1009" w:header="851" w:footer="992" w:gutter="0"/>
          <w:pgNumType w:fmt="decimal"/>
          <w:cols w:space="0" w:num="1"/>
          <w:docGrid w:type="lines" w:linePitch="333" w:charSpace="4423"/>
        </w:sectPr>
      </w:pPr>
    </w:p>
    <w:p w14:paraId="5C5338E4">
      <w:pPr>
        <w:jc w:val="center"/>
        <w:rPr>
          <w:bCs/>
          <w:color w:val="auto"/>
          <w:sz w:val="32"/>
          <w:szCs w:val="32"/>
          <w:highlight w:val="none"/>
        </w:rPr>
      </w:pPr>
      <w:r>
        <w:rPr>
          <w:rFonts w:hint="eastAsia"/>
          <w:bCs/>
          <w:color w:val="auto"/>
          <w:sz w:val="32"/>
          <w:szCs w:val="32"/>
          <w:highlight w:val="none"/>
        </w:rPr>
        <w:t>广东省标准</w:t>
      </w:r>
    </w:p>
    <w:p w14:paraId="2C967103">
      <w:pPr>
        <w:spacing w:line="851" w:lineRule="exact"/>
        <w:rPr>
          <w:bCs/>
          <w:color w:val="auto"/>
          <w:highlight w:val="none"/>
        </w:rPr>
      </w:pPr>
    </w:p>
    <w:p w14:paraId="43ADBA9B">
      <w:pPr>
        <w:spacing w:line="567" w:lineRule="exact"/>
        <w:jc w:val="center"/>
        <w:rPr>
          <w:rFonts w:eastAsia="黑体"/>
          <w:bCs/>
          <w:color w:val="auto"/>
          <w:sz w:val="32"/>
          <w:szCs w:val="32"/>
          <w:highlight w:val="none"/>
        </w:rPr>
      </w:pPr>
      <w:r>
        <w:rPr>
          <w:rFonts w:hint="eastAsia" w:eastAsia="黑体"/>
          <w:bCs/>
          <w:color w:val="auto"/>
          <w:sz w:val="32"/>
          <w:szCs w:val="32"/>
          <w:highlight w:val="none"/>
        </w:rPr>
        <w:t>混凝土模块化建筑技术标准</w:t>
      </w:r>
    </w:p>
    <w:p w14:paraId="2086D0A7">
      <w:pPr>
        <w:spacing w:line="567" w:lineRule="exact"/>
        <w:jc w:val="center"/>
        <w:rPr>
          <w:rFonts w:eastAsia="黑体"/>
          <w:bCs/>
          <w:color w:val="auto"/>
          <w:sz w:val="32"/>
          <w:szCs w:val="32"/>
          <w:highlight w:val="none"/>
        </w:rPr>
      </w:pPr>
    </w:p>
    <w:p w14:paraId="2238F0D1">
      <w:pPr>
        <w:spacing w:line="567" w:lineRule="exact"/>
        <w:jc w:val="center"/>
        <w:rPr>
          <w:rFonts w:eastAsia="黑体"/>
          <w:bCs/>
          <w:color w:val="auto"/>
          <w:sz w:val="32"/>
          <w:szCs w:val="32"/>
          <w:highlight w:val="none"/>
        </w:rPr>
      </w:pPr>
    </w:p>
    <w:p w14:paraId="2B7B3C99">
      <w:pPr>
        <w:spacing w:line="567" w:lineRule="exact"/>
        <w:jc w:val="center"/>
        <w:rPr>
          <w:rFonts w:eastAsia="黑体"/>
          <w:bCs/>
          <w:color w:val="auto"/>
          <w:sz w:val="32"/>
          <w:szCs w:val="32"/>
          <w:highlight w:val="none"/>
        </w:rPr>
      </w:pPr>
    </w:p>
    <w:p w14:paraId="1F43A7C5">
      <w:pPr>
        <w:jc w:val="center"/>
        <w:rPr>
          <w:b/>
          <w:bCs/>
          <w:color w:val="auto"/>
          <w:highlight w:val="none"/>
        </w:rPr>
      </w:pPr>
      <w:r>
        <w:rPr>
          <w:b/>
          <w:bCs/>
          <w:color w:val="auto"/>
          <w:highlight w:val="none"/>
        </w:rPr>
        <w:t>DBJ/T XX-XXX-20</w:t>
      </w:r>
      <w:r>
        <w:rPr>
          <w:rFonts w:hint="eastAsia"/>
          <w:b/>
          <w:bCs/>
          <w:color w:val="auto"/>
          <w:highlight w:val="none"/>
        </w:rPr>
        <w:t>1</w:t>
      </w:r>
      <w:r>
        <w:rPr>
          <w:b/>
          <w:bCs/>
          <w:color w:val="auto"/>
          <w:highlight w:val="none"/>
        </w:rPr>
        <w:t>X</w:t>
      </w:r>
    </w:p>
    <w:p w14:paraId="7504E9F5">
      <w:pPr>
        <w:spacing w:line="454" w:lineRule="exact"/>
        <w:jc w:val="center"/>
        <w:rPr>
          <w:b/>
          <w:bCs/>
          <w:color w:val="auto"/>
          <w:highlight w:val="none"/>
        </w:rPr>
      </w:pPr>
    </w:p>
    <w:p w14:paraId="7D5E36D6">
      <w:pPr>
        <w:pStyle w:val="2"/>
        <w:tabs>
          <w:tab w:val="left" w:pos="315"/>
        </w:tabs>
        <w:spacing w:before="156" w:after="156" w:line="288" w:lineRule="auto"/>
        <w:jc w:val="center"/>
        <w:rPr>
          <w:rFonts w:hint="default" w:ascii="Times New Roman" w:hAnsi="Times New Roman" w:eastAsia="宋体" w:cs="Times New Roman"/>
          <w:b/>
          <w:bCs/>
          <w:color w:val="auto"/>
          <w:sz w:val="28"/>
          <w:szCs w:val="32"/>
          <w:highlight w:val="none"/>
          <w:lang w:val="en-US" w:eastAsia="zh-CN"/>
        </w:rPr>
        <w:sectPr>
          <w:footerReference r:id="rId10" w:type="default"/>
          <w:footerReference r:id="rId11" w:type="even"/>
          <w:pgSz w:w="7937" w:h="11509"/>
          <w:pgMar w:top="1083" w:right="1009" w:bottom="1083" w:left="1009" w:header="851" w:footer="992" w:gutter="0"/>
          <w:pgNumType w:fmt="decimal"/>
          <w:cols w:space="0" w:num="1"/>
          <w:docGrid w:type="lines" w:linePitch="333" w:charSpace="4423"/>
        </w:sectPr>
      </w:pPr>
      <w:bookmarkStart w:id="1335" w:name="_Toc23307"/>
      <w:bookmarkStart w:id="1336" w:name="_Toc3413"/>
      <w:bookmarkStart w:id="1337" w:name="_Toc26407"/>
      <w:bookmarkStart w:id="1338" w:name="_Toc20864"/>
      <w:bookmarkStart w:id="1339" w:name="_Toc12613"/>
      <w:bookmarkStart w:id="1340" w:name="_Toc19431"/>
      <w:bookmarkStart w:id="1341" w:name="_Toc25618"/>
      <w:bookmarkStart w:id="1342" w:name="_Toc18037"/>
      <w:bookmarkStart w:id="1343" w:name="_Toc449"/>
      <w:bookmarkStart w:id="1344" w:name="_Toc23926"/>
      <w:r>
        <w:rPr>
          <w:rFonts w:hint="eastAsia"/>
          <w:color w:val="auto"/>
          <w:highlight w:val="none"/>
        </w:rPr>
        <w:t>条</w:t>
      </w:r>
      <w:bookmarkEnd w:id="1335"/>
      <w:bookmarkEnd w:id="1336"/>
      <w:bookmarkEnd w:id="1337"/>
      <w:bookmarkEnd w:id="1338"/>
      <w:bookmarkEnd w:id="1339"/>
      <w:bookmarkEnd w:id="1340"/>
      <w:bookmarkEnd w:id="1341"/>
      <w:bookmarkStart w:id="1345" w:name="_Toc26597"/>
      <w:r>
        <w:rPr>
          <w:rFonts w:hint="eastAsia"/>
          <w:color w:val="auto"/>
          <w:highlight w:val="none"/>
          <w:lang w:val="en-US" w:eastAsia="zh-CN"/>
        </w:rPr>
        <w:t>文说明</w:t>
      </w:r>
      <w:bookmarkEnd w:id="1342"/>
      <w:bookmarkEnd w:id="1343"/>
      <w:bookmarkEnd w:id="1344"/>
    </w:p>
    <w:p w14:paraId="7C36E666">
      <w:pPr>
        <w:jc w:val="center"/>
        <w:rPr>
          <w:rFonts w:ascii="Times New Roman" w:hAnsi="Times New Roman" w:eastAsia="宋体" w:cs="Times New Roman"/>
          <w:kern w:val="2"/>
          <w:sz w:val="21"/>
          <w:szCs w:val="22"/>
          <w:highlight w:val="none"/>
          <w:lang w:val="en-US" w:eastAsia="zh-CN" w:bidi="ar-SA"/>
        </w:rPr>
      </w:pPr>
      <w:bookmarkStart w:id="1346" w:name="_Toc22477"/>
      <w:bookmarkStart w:id="1347" w:name="_Toc10002"/>
      <w:r>
        <w:rPr>
          <w:rFonts w:hint="eastAsia" w:ascii="Times New Roman" w:hAnsi="Times New Roman" w:eastAsia="黑体" w:cs="Times New Roman"/>
          <w:b/>
          <w:bCs/>
          <w:color w:val="auto"/>
          <w:sz w:val="28"/>
          <w:szCs w:val="32"/>
          <w:highlight w:val="none"/>
        </w:rPr>
        <w:t xml:space="preserve">目 </w:t>
      </w:r>
      <w:r>
        <w:rPr>
          <w:rFonts w:hint="eastAsia" w:eastAsia="黑体" w:cs="Times New Roman"/>
          <w:b/>
          <w:bCs/>
          <w:color w:val="auto"/>
          <w:sz w:val="28"/>
          <w:szCs w:val="32"/>
          <w:highlight w:val="none"/>
          <w:lang w:val="en-US" w:eastAsia="zh-CN"/>
        </w:rPr>
        <w:t>次</w:t>
      </w:r>
      <w:r>
        <w:rPr>
          <w:highlight w:val="none"/>
        </w:rPr>
        <w:fldChar w:fldCharType="begin"/>
      </w:r>
      <w:r>
        <w:rPr>
          <w:highlight w:val="none"/>
        </w:rPr>
        <w:instrText xml:space="preserve">TOC \o "1-2" \h \u </w:instrText>
      </w:r>
      <w:r>
        <w:rPr>
          <w:highlight w:val="none"/>
        </w:rPr>
        <w:fldChar w:fldCharType="separate"/>
      </w:r>
    </w:p>
    <w:p w14:paraId="1E210B8B">
      <w:pPr>
        <w:pStyle w:val="17"/>
        <w:tabs>
          <w:tab w:val="right" w:leader="dot" w:pos="5919"/>
          <w:tab w:val="clear" w:pos="1050"/>
          <w:tab w:val="clear" w:pos="13948"/>
        </w:tabs>
        <w:rPr>
          <w:rFonts w:hint="default" w:ascii="Times New Roman" w:hAnsi="Times New Roman" w:eastAsia="宋体" w:cs="Times New Roman"/>
          <w:highlight w:val="none"/>
        </w:rPr>
      </w:pP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\l _Toc24314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szCs w:val="28"/>
          <w:highlight w:val="none"/>
        </w:rPr>
        <w:t>1  总则</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_Toc24314 \h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w:t>
      </w:r>
      <w:r>
        <w:rPr>
          <w:rFonts w:hint="default" w:ascii="Times New Roman" w:hAnsi="Times New Roman" w:eastAsia="宋体" w:cs="Times New Roman"/>
          <w:highlight w:val="none"/>
        </w:rPr>
        <w:fldChar w:fldCharType="end"/>
      </w:r>
      <w:r>
        <w:rPr>
          <w:rFonts w:hint="default" w:ascii="Times New Roman" w:hAnsi="Times New Roman" w:eastAsia="宋体" w:cs="Times New Roman"/>
          <w:highlight w:val="none"/>
        </w:rPr>
        <w:fldChar w:fldCharType="end"/>
      </w:r>
    </w:p>
    <w:p w14:paraId="44282EA0">
      <w:pPr>
        <w:pStyle w:val="17"/>
        <w:tabs>
          <w:tab w:val="right" w:leader="dot" w:pos="5919"/>
          <w:tab w:val="clear" w:pos="1050"/>
          <w:tab w:val="clear" w:pos="13948"/>
        </w:tabs>
        <w:rPr>
          <w:rFonts w:hint="default" w:ascii="Times New Roman" w:hAnsi="Times New Roman" w:eastAsia="宋体" w:cs="Times New Roman"/>
          <w:highlight w:val="none"/>
        </w:rPr>
      </w:pP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\l _Toc21017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szCs w:val="28"/>
          <w:highlight w:val="none"/>
        </w:rPr>
        <w:t>2  术语和符号</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_Toc21017 \h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3</w:t>
      </w:r>
      <w:r>
        <w:rPr>
          <w:rFonts w:hint="default" w:ascii="Times New Roman" w:hAnsi="Times New Roman" w:eastAsia="宋体" w:cs="Times New Roman"/>
          <w:highlight w:val="none"/>
        </w:rPr>
        <w:fldChar w:fldCharType="end"/>
      </w:r>
      <w:r>
        <w:rPr>
          <w:rFonts w:hint="default" w:ascii="Times New Roman" w:hAnsi="Times New Roman" w:eastAsia="宋体" w:cs="Times New Roman"/>
          <w:highlight w:val="none"/>
        </w:rPr>
        <w:fldChar w:fldCharType="end"/>
      </w:r>
    </w:p>
    <w:p w14:paraId="031F706F">
      <w:pPr>
        <w:pStyle w:val="20"/>
        <w:tabs>
          <w:tab w:val="right" w:leader="dot" w:pos="5919"/>
        </w:tabs>
        <w:rPr>
          <w:rFonts w:hint="default" w:ascii="Times New Roman" w:hAnsi="Times New Roman" w:eastAsia="宋体" w:cs="Times New Roman"/>
          <w:sz w:val="20"/>
          <w:szCs w:val="21"/>
          <w:highlight w:val="none"/>
        </w:rPr>
      </w:pPr>
      <w:r>
        <w:rPr>
          <w:rFonts w:hint="default" w:ascii="Times New Roman" w:hAnsi="Times New Roman" w:eastAsia="宋体" w:cs="Times New Roman"/>
          <w:sz w:val="20"/>
          <w:szCs w:val="21"/>
          <w:highlight w:val="none"/>
        </w:rPr>
        <w:fldChar w:fldCharType="begin"/>
      </w:r>
      <w:r>
        <w:rPr>
          <w:rFonts w:hint="default" w:ascii="Times New Roman" w:hAnsi="Times New Roman" w:eastAsia="宋体" w:cs="Times New Roman"/>
          <w:sz w:val="20"/>
          <w:szCs w:val="21"/>
          <w:highlight w:val="none"/>
        </w:rPr>
        <w:instrText xml:space="preserve"> HYPERLINK \l _Toc25512 </w:instrText>
      </w:r>
      <w:r>
        <w:rPr>
          <w:rFonts w:hint="default" w:ascii="Times New Roman" w:hAnsi="Times New Roman" w:eastAsia="宋体" w:cs="Times New Roman"/>
          <w:sz w:val="20"/>
          <w:szCs w:val="21"/>
          <w:highlight w:val="none"/>
        </w:rPr>
        <w:fldChar w:fldCharType="separate"/>
      </w:r>
      <w:r>
        <w:rPr>
          <w:rFonts w:hint="default" w:ascii="Times New Roman" w:hAnsi="Times New Roman" w:eastAsia="宋体" w:cs="Times New Roman"/>
          <w:sz w:val="20"/>
          <w:szCs w:val="22"/>
          <w:highlight w:val="none"/>
        </w:rPr>
        <w:t>2.1  术语</w:t>
      </w:r>
      <w:r>
        <w:rPr>
          <w:rFonts w:hint="default" w:ascii="Times New Roman" w:hAnsi="Times New Roman" w:eastAsia="宋体" w:cs="Times New Roman"/>
          <w:sz w:val="20"/>
          <w:szCs w:val="21"/>
          <w:highlight w:val="none"/>
        </w:rPr>
        <w:tab/>
      </w:r>
      <w:r>
        <w:rPr>
          <w:rFonts w:hint="default" w:ascii="Times New Roman" w:hAnsi="Times New Roman" w:eastAsia="宋体" w:cs="Times New Roman"/>
          <w:sz w:val="20"/>
          <w:szCs w:val="21"/>
          <w:highlight w:val="none"/>
        </w:rPr>
        <w:fldChar w:fldCharType="begin"/>
      </w:r>
      <w:r>
        <w:rPr>
          <w:rFonts w:hint="default" w:ascii="Times New Roman" w:hAnsi="Times New Roman" w:eastAsia="宋体" w:cs="Times New Roman"/>
          <w:sz w:val="20"/>
          <w:szCs w:val="21"/>
          <w:highlight w:val="none"/>
        </w:rPr>
        <w:instrText xml:space="preserve"> PAGEREF _Toc25512 \h </w:instrText>
      </w:r>
      <w:r>
        <w:rPr>
          <w:rFonts w:hint="default" w:ascii="Times New Roman" w:hAnsi="Times New Roman" w:eastAsia="宋体" w:cs="Times New Roman"/>
          <w:sz w:val="20"/>
          <w:szCs w:val="21"/>
          <w:highlight w:val="none"/>
        </w:rPr>
        <w:fldChar w:fldCharType="separate"/>
      </w:r>
      <w:r>
        <w:rPr>
          <w:rFonts w:hint="default" w:ascii="Times New Roman" w:hAnsi="Times New Roman" w:eastAsia="宋体" w:cs="Times New Roman"/>
          <w:sz w:val="20"/>
          <w:szCs w:val="21"/>
          <w:highlight w:val="none"/>
        </w:rPr>
        <w:t>3</w:t>
      </w:r>
      <w:r>
        <w:rPr>
          <w:rFonts w:hint="default" w:ascii="Times New Roman" w:hAnsi="Times New Roman" w:eastAsia="宋体" w:cs="Times New Roman"/>
          <w:sz w:val="20"/>
          <w:szCs w:val="21"/>
          <w:highlight w:val="none"/>
        </w:rPr>
        <w:fldChar w:fldCharType="end"/>
      </w:r>
      <w:r>
        <w:rPr>
          <w:rFonts w:hint="default" w:ascii="Times New Roman" w:hAnsi="Times New Roman" w:eastAsia="宋体" w:cs="Times New Roman"/>
          <w:sz w:val="20"/>
          <w:szCs w:val="21"/>
          <w:highlight w:val="none"/>
        </w:rPr>
        <w:fldChar w:fldCharType="end"/>
      </w:r>
    </w:p>
    <w:p w14:paraId="08CA2FEB">
      <w:pPr>
        <w:pStyle w:val="17"/>
        <w:tabs>
          <w:tab w:val="right" w:leader="dot" w:pos="5919"/>
          <w:tab w:val="clear" w:pos="1050"/>
          <w:tab w:val="clear" w:pos="13948"/>
        </w:tabs>
        <w:rPr>
          <w:rFonts w:hint="default" w:ascii="Times New Roman" w:hAnsi="Times New Roman" w:eastAsia="宋体" w:cs="Times New Roman"/>
          <w:highlight w:val="none"/>
        </w:rPr>
      </w:pP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\l _Toc14437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szCs w:val="28"/>
          <w:highlight w:val="none"/>
        </w:rPr>
        <w:t>3  基本规定</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_Toc14437 \h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5</w:t>
      </w:r>
      <w:r>
        <w:rPr>
          <w:rFonts w:hint="default" w:ascii="Times New Roman" w:hAnsi="Times New Roman" w:eastAsia="宋体" w:cs="Times New Roman"/>
          <w:highlight w:val="none"/>
        </w:rPr>
        <w:fldChar w:fldCharType="end"/>
      </w:r>
      <w:r>
        <w:rPr>
          <w:rFonts w:hint="default" w:ascii="Times New Roman" w:hAnsi="Times New Roman" w:eastAsia="宋体" w:cs="Times New Roman"/>
          <w:highlight w:val="none"/>
        </w:rPr>
        <w:fldChar w:fldCharType="end"/>
      </w:r>
    </w:p>
    <w:p w14:paraId="3000A1DF">
      <w:pPr>
        <w:pStyle w:val="17"/>
        <w:tabs>
          <w:tab w:val="right" w:leader="dot" w:pos="5919"/>
          <w:tab w:val="clear" w:pos="1050"/>
          <w:tab w:val="clear" w:pos="13948"/>
        </w:tabs>
        <w:rPr>
          <w:rFonts w:hint="default" w:ascii="Times New Roman" w:hAnsi="Times New Roman" w:eastAsia="宋体" w:cs="Times New Roman"/>
          <w:highlight w:val="none"/>
        </w:rPr>
      </w:pP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\l _Toc32608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szCs w:val="28"/>
          <w:highlight w:val="none"/>
        </w:rPr>
        <w:t>4  材料</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_Toc32608 \h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7</w:t>
      </w:r>
      <w:r>
        <w:rPr>
          <w:rFonts w:hint="default" w:ascii="Times New Roman" w:hAnsi="Times New Roman" w:eastAsia="宋体" w:cs="Times New Roman"/>
          <w:highlight w:val="none"/>
        </w:rPr>
        <w:fldChar w:fldCharType="end"/>
      </w:r>
      <w:r>
        <w:rPr>
          <w:rFonts w:hint="default" w:ascii="Times New Roman" w:hAnsi="Times New Roman" w:eastAsia="宋体" w:cs="Times New Roman"/>
          <w:highlight w:val="none"/>
        </w:rPr>
        <w:fldChar w:fldCharType="end"/>
      </w:r>
    </w:p>
    <w:p w14:paraId="591160BD">
      <w:pPr>
        <w:pStyle w:val="20"/>
        <w:tabs>
          <w:tab w:val="right" w:leader="dot" w:pos="5919"/>
        </w:tabs>
        <w:rPr>
          <w:rFonts w:hint="default" w:ascii="Times New Roman" w:hAnsi="Times New Roman" w:eastAsia="宋体" w:cs="Times New Roman"/>
          <w:sz w:val="20"/>
          <w:szCs w:val="21"/>
          <w:highlight w:val="none"/>
        </w:rPr>
      </w:pPr>
      <w:r>
        <w:rPr>
          <w:rFonts w:hint="default" w:ascii="Times New Roman" w:hAnsi="Times New Roman" w:eastAsia="宋体" w:cs="Times New Roman"/>
          <w:sz w:val="20"/>
          <w:szCs w:val="21"/>
          <w:highlight w:val="none"/>
        </w:rPr>
        <w:fldChar w:fldCharType="begin"/>
      </w:r>
      <w:r>
        <w:rPr>
          <w:rFonts w:hint="default" w:ascii="Times New Roman" w:hAnsi="Times New Roman" w:eastAsia="宋体" w:cs="Times New Roman"/>
          <w:sz w:val="20"/>
          <w:szCs w:val="21"/>
          <w:highlight w:val="none"/>
        </w:rPr>
        <w:instrText xml:space="preserve"> HYPERLINK \l _Toc30342 </w:instrText>
      </w:r>
      <w:r>
        <w:rPr>
          <w:rFonts w:hint="default" w:ascii="Times New Roman" w:hAnsi="Times New Roman" w:eastAsia="宋体" w:cs="Times New Roman"/>
          <w:sz w:val="20"/>
          <w:szCs w:val="21"/>
          <w:highlight w:val="none"/>
        </w:rPr>
        <w:fldChar w:fldCharType="separate"/>
      </w:r>
      <w:r>
        <w:rPr>
          <w:rFonts w:hint="default" w:ascii="Times New Roman" w:hAnsi="Times New Roman" w:eastAsia="宋体" w:cs="Times New Roman"/>
          <w:sz w:val="20"/>
          <w:szCs w:val="22"/>
          <w:highlight w:val="none"/>
        </w:rPr>
        <w:t>4.1  结构材料</w:t>
      </w:r>
      <w:r>
        <w:rPr>
          <w:rFonts w:hint="default" w:ascii="Times New Roman" w:hAnsi="Times New Roman" w:eastAsia="宋体" w:cs="Times New Roman"/>
          <w:sz w:val="20"/>
          <w:szCs w:val="21"/>
          <w:highlight w:val="none"/>
        </w:rPr>
        <w:tab/>
      </w:r>
      <w:r>
        <w:rPr>
          <w:rFonts w:hint="default" w:ascii="Times New Roman" w:hAnsi="Times New Roman" w:eastAsia="宋体" w:cs="Times New Roman"/>
          <w:sz w:val="20"/>
          <w:szCs w:val="21"/>
          <w:highlight w:val="none"/>
        </w:rPr>
        <w:fldChar w:fldCharType="begin"/>
      </w:r>
      <w:r>
        <w:rPr>
          <w:rFonts w:hint="default" w:ascii="Times New Roman" w:hAnsi="Times New Roman" w:eastAsia="宋体" w:cs="Times New Roman"/>
          <w:sz w:val="20"/>
          <w:szCs w:val="21"/>
          <w:highlight w:val="none"/>
        </w:rPr>
        <w:instrText xml:space="preserve"> PAGEREF _Toc30342 \h </w:instrText>
      </w:r>
      <w:r>
        <w:rPr>
          <w:rFonts w:hint="default" w:ascii="Times New Roman" w:hAnsi="Times New Roman" w:eastAsia="宋体" w:cs="Times New Roman"/>
          <w:sz w:val="20"/>
          <w:szCs w:val="21"/>
          <w:highlight w:val="none"/>
        </w:rPr>
        <w:fldChar w:fldCharType="separate"/>
      </w:r>
      <w:r>
        <w:rPr>
          <w:rFonts w:hint="default" w:ascii="Times New Roman" w:hAnsi="Times New Roman" w:eastAsia="宋体" w:cs="Times New Roman"/>
          <w:sz w:val="20"/>
          <w:szCs w:val="21"/>
          <w:highlight w:val="none"/>
        </w:rPr>
        <w:t>7</w:t>
      </w:r>
      <w:r>
        <w:rPr>
          <w:rFonts w:hint="default" w:ascii="Times New Roman" w:hAnsi="Times New Roman" w:eastAsia="宋体" w:cs="Times New Roman"/>
          <w:sz w:val="20"/>
          <w:szCs w:val="21"/>
          <w:highlight w:val="none"/>
        </w:rPr>
        <w:fldChar w:fldCharType="end"/>
      </w:r>
      <w:r>
        <w:rPr>
          <w:rFonts w:hint="default" w:ascii="Times New Roman" w:hAnsi="Times New Roman" w:eastAsia="宋体" w:cs="Times New Roman"/>
          <w:sz w:val="20"/>
          <w:szCs w:val="21"/>
          <w:highlight w:val="none"/>
        </w:rPr>
        <w:fldChar w:fldCharType="end"/>
      </w:r>
    </w:p>
    <w:p w14:paraId="36EE0166">
      <w:pPr>
        <w:pStyle w:val="20"/>
        <w:tabs>
          <w:tab w:val="right" w:leader="dot" w:pos="5919"/>
        </w:tabs>
        <w:rPr>
          <w:rFonts w:hint="default" w:ascii="Times New Roman" w:hAnsi="Times New Roman" w:eastAsia="宋体" w:cs="Times New Roman"/>
          <w:sz w:val="20"/>
          <w:szCs w:val="21"/>
          <w:highlight w:val="none"/>
        </w:rPr>
      </w:pPr>
      <w:r>
        <w:rPr>
          <w:rFonts w:hint="default" w:ascii="Times New Roman" w:hAnsi="Times New Roman" w:eastAsia="宋体" w:cs="Times New Roman"/>
          <w:sz w:val="20"/>
          <w:szCs w:val="21"/>
          <w:highlight w:val="none"/>
        </w:rPr>
        <w:fldChar w:fldCharType="begin"/>
      </w:r>
      <w:r>
        <w:rPr>
          <w:rFonts w:hint="default" w:ascii="Times New Roman" w:hAnsi="Times New Roman" w:eastAsia="宋体" w:cs="Times New Roman"/>
          <w:sz w:val="20"/>
          <w:szCs w:val="21"/>
          <w:highlight w:val="none"/>
        </w:rPr>
        <w:instrText xml:space="preserve"> HYPERLINK \l _Toc6592 </w:instrText>
      </w:r>
      <w:r>
        <w:rPr>
          <w:rFonts w:hint="default" w:ascii="Times New Roman" w:hAnsi="Times New Roman" w:eastAsia="宋体" w:cs="Times New Roman"/>
          <w:sz w:val="20"/>
          <w:szCs w:val="21"/>
          <w:highlight w:val="none"/>
        </w:rPr>
        <w:fldChar w:fldCharType="separate"/>
      </w:r>
      <w:r>
        <w:rPr>
          <w:rFonts w:hint="default" w:ascii="Times New Roman" w:hAnsi="Times New Roman" w:eastAsia="宋体" w:cs="Times New Roman"/>
          <w:sz w:val="20"/>
          <w:szCs w:val="22"/>
          <w:highlight w:val="none"/>
        </w:rPr>
        <w:t>4.3  其他材料</w:t>
      </w:r>
      <w:r>
        <w:rPr>
          <w:rFonts w:hint="default" w:ascii="Times New Roman" w:hAnsi="Times New Roman" w:eastAsia="宋体" w:cs="Times New Roman"/>
          <w:sz w:val="20"/>
          <w:szCs w:val="21"/>
          <w:highlight w:val="none"/>
        </w:rPr>
        <w:tab/>
      </w:r>
      <w:r>
        <w:rPr>
          <w:rFonts w:hint="default" w:ascii="Times New Roman" w:hAnsi="Times New Roman" w:eastAsia="宋体" w:cs="Times New Roman"/>
          <w:sz w:val="20"/>
          <w:szCs w:val="21"/>
          <w:highlight w:val="none"/>
        </w:rPr>
        <w:fldChar w:fldCharType="begin"/>
      </w:r>
      <w:r>
        <w:rPr>
          <w:rFonts w:hint="default" w:ascii="Times New Roman" w:hAnsi="Times New Roman" w:eastAsia="宋体" w:cs="Times New Roman"/>
          <w:sz w:val="20"/>
          <w:szCs w:val="21"/>
          <w:highlight w:val="none"/>
        </w:rPr>
        <w:instrText xml:space="preserve"> PAGEREF _Toc6592 \h </w:instrText>
      </w:r>
      <w:r>
        <w:rPr>
          <w:rFonts w:hint="default" w:ascii="Times New Roman" w:hAnsi="Times New Roman" w:eastAsia="宋体" w:cs="Times New Roman"/>
          <w:sz w:val="20"/>
          <w:szCs w:val="21"/>
          <w:highlight w:val="none"/>
        </w:rPr>
        <w:fldChar w:fldCharType="separate"/>
      </w:r>
      <w:r>
        <w:rPr>
          <w:rFonts w:hint="default" w:ascii="Times New Roman" w:hAnsi="Times New Roman" w:eastAsia="宋体" w:cs="Times New Roman"/>
          <w:sz w:val="20"/>
          <w:szCs w:val="21"/>
          <w:highlight w:val="none"/>
        </w:rPr>
        <w:t>7</w:t>
      </w:r>
      <w:r>
        <w:rPr>
          <w:rFonts w:hint="default" w:ascii="Times New Roman" w:hAnsi="Times New Roman" w:eastAsia="宋体" w:cs="Times New Roman"/>
          <w:sz w:val="20"/>
          <w:szCs w:val="21"/>
          <w:highlight w:val="none"/>
        </w:rPr>
        <w:fldChar w:fldCharType="end"/>
      </w:r>
      <w:r>
        <w:rPr>
          <w:rFonts w:hint="default" w:ascii="Times New Roman" w:hAnsi="Times New Roman" w:eastAsia="宋体" w:cs="Times New Roman"/>
          <w:sz w:val="20"/>
          <w:szCs w:val="21"/>
          <w:highlight w:val="none"/>
        </w:rPr>
        <w:fldChar w:fldCharType="end"/>
      </w:r>
    </w:p>
    <w:p w14:paraId="17D8250B">
      <w:pPr>
        <w:pStyle w:val="17"/>
        <w:tabs>
          <w:tab w:val="right" w:leader="dot" w:pos="5919"/>
          <w:tab w:val="clear" w:pos="1050"/>
          <w:tab w:val="clear" w:pos="13948"/>
        </w:tabs>
        <w:rPr>
          <w:rFonts w:hint="default" w:ascii="Times New Roman" w:hAnsi="Times New Roman" w:eastAsia="宋体" w:cs="Times New Roman"/>
          <w:highlight w:val="none"/>
        </w:rPr>
      </w:pP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\l _Toc3901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szCs w:val="28"/>
          <w:highlight w:val="none"/>
        </w:rPr>
        <w:t>5  建 筑 设 计</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_Toc3901 \h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9</w:t>
      </w:r>
      <w:r>
        <w:rPr>
          <w:rFonts w:hint="default" w:ascii="Times New Roman" w:hAnsi="Times New Roman" w:eastAsia="宋体" w:cs="Times New Roman"/>
          <w:highlight w:val="none"/>
        </w:rPr>
        <w:fldChar w:fldCharType="end"/>
      </w:r>
      <w:r>
        <w:rPr>
          <w:rFonts w:hint="default" w:ascii="Times New Roman" w:hAnsi="Times New Roman" w:eastAsia="宋体" w:cs="Times New Roman"/>
          <w:highlight w:val="none"/>
        </w:rPr>
        <w:fldChar w:fldCharType="end"/>
      </w:r>
    </w:p>
    <w:p w14:paraId="64E51795">
      <w:pPr>
        <w:pStyle w:val="20"/>
        <w:tabs>
          <w:tab w:val="right" w:leader="dot" w:pos="5919"/>
        </w:tabs>
        <w:rPr>
          <w:rFonts w:hint="default" w:ascii="Times New Roman" w:hAnsi="Times New Roman" w:eastAsia="宋体" w:cs="Times New Roman"/>
          <w:sz w:val="20"/>
          <w:szCs w:val="21"/>
          <w:highlight w:val="none"/>
        </w:rPr>
      </w:pPr>
      <w:r>
        <w:rPr>
          <w:rFonts w:hint="default" w:ascii="Times New Roman" w:hAnsi="Times New Roman" w:eastAsia="宋体" w:cs="Times New Roman"/>
          <w:sz w:val="20"/>
          <w:szCs w:val="21"/>
          <w:highlight w:val="none"/>
        </w:rPr>
        <w:fldChar w:fldCharType="begin"/>
      </w:r>
      <w:r>
        <w:rPr>
          <w:rFonts w:hint="default" w:ascii="Times New Roman" w:hAnsi="Times New Roman" w:eastAsia="宋体" w:cs="Times New Roman"/>
          <w:sz w:val="20"/>
          <w:szCs w:val="21"/>
          <w:highlight w:val="none"/>
        </w:rPr>
        <w:instrText xml:space="preserve"> HYPERLINK \l _Toc26038 </w:instrText>
      </w:r>
      <w:r>
        <w:rPr>
          <w:rFonts w:hint="default" w:ascii="Times New Roman" w:hAnsi="Times New Roman" w:eastAsia="宋体" w:cs="Times New Roman"/>
          <w:sz w:val="20"/>
          <w:szCs w:val="21"/>
          <w:highlight w:val="none"/>
        </w:rPr>
        <w:fldChar w:fldCharType="separate"/>
      </w:r>
      <w:r>
        <w:rPr>
          <w:rFonts w:hint="default" w:ascii="Times New Roman" w:hAnsi="Times New Roman" w:eastAsia="宋体" w:cs="Times New Roman"/>
          <w:sz w:val="20"/>
          <w:szCs w:val="22"/>
          <w:highlight w:val="none"/>
        </w:rPr>
        <w:t>5.2  系统集成设计</w:t>
      </w:r>
      <w:r>
        <w:rPr>
          <w:rFonts w:hint="default" w:ascii="Times New Roman" w:hAnsi="Times New Roman" w:eastAsia="宋体" w:cs="Times New Roman"/>
          <w:sz w:val="20"/>
          <w:szCs w:val="21"/>
          <w:highlight w:val="none"/>
        </w:rPr>
        <w:tab/>
      </w:r>
      <w:r>
        <w:rPr>
          <w:rFonts w:hint="default" w:ascii="Times New Roman" w:hAnsi="Times New Roman" w:eastAsia="宋体" w:cs="Times New Roman"/>
          <w:sz w:val="20"/>
          <w:szCs w:val="21"/>
          <w:highlight w:val="none"/>
        </w:rPr>
        <w:fldChar w:fldCharType="begin"/>
      </w:r>
      <w:r>
        <w:rPr>
          <w:rFonts w:hint="default" w:ascii="Times New Roman" w:hAnsi="Times New Roman" w:eastAsia="宋体" w:cs="Times New Roman"/>
          <w:sz w:val="20"/>
          <w:szCs w:val="21"/>
          <w:highlight w:val="none"/>
        </w:rPr>
        <w:instrText xml:space="preserve"> PAGEREF _Toc26038 \h </w:instrText>
      </w:r>
      <w:r>
        <w:rPr>
          <w:rFonts w:hint="default" w:ascii="Times New Roman" w:hAnsi="Times New Roman" w:eastAsia="宋体" w:cs="Times New Roman"/>
          <w:sz w:val="20"/>
          <w:szCs w:val="21"/>
          <w:highlight w:val="none"/>
        </w:rPr>
        <w:fldChar w:fldCharType="separate"/>
      </w:r>
      <w:r>
        <w:rPr>
          <w:rFonts w:hint="default" w:ascii="Times New Roman" w:hAnsi="Times New Roman" w:eastAsia="宋体" w:cs="Times New Roman"/>
          <w:sz w:val="20"/>
          <w:szCs w:val="21"/>
          <w:highlight w:val="none"/>
        </w:rPr>
        <w:t>9</w:t>
      </w:r>
      <w:r>
        <w:rPr>
          <w:rFonts w:hint="default" w:ascii="Times New Roman" w:hAnsi="Times New Roman" w:eastAsia="宋体" w:cs="Times New Roman"/>
          <w:sz w:val="20"/>
          <w:szCs w:val="21"/>
          <w:highlight w:val="none"/>
        </w:rPr>
        <w:fldChar w:fldCharType="end"/>
      </w:r>
      <w:r>
        <w:rPr>
          <w:rFonts w:hint="default" w:ascii="Times New Roman" w:hAnsi="Times New Roman" w:eastAsia="宋体" w:cs="Times New Roman"/>
          <w:sz w:val="20"/>
          <w:szCs w:val="21"/>
          <w:highlight w:val="none"/>
        </w:rPr>
        <w:fldChar w:fldCharType="end"/>
      </w:r>
    </w:p>
    <w:p w14:paraId="5F8A4202">
      <w:pPr>
        <w:pStyle w:val="20"/>
        <w:tabs>
          <w:tab w:val="right" w:leader="dot" w:pos="5919"/>
        </w:tabs>
        <w:rPr>
          <w:rFonts w:hint="default" w:ascii="Times New Roman" w:hAnsi="Times New Roman" w:eastAsia="宋体" w:cs="Times New Roman"/>
          <w:sz w:val="20"/>
          <w:szCs w:val="21"/>
          <w:highlight w:val="none"/>
        </w:rPr>
      </w:pPr>
      <w:r>
        <w:rPr>
          <w:rFonts w:hint="default" w:ascii="Times New Roman" w:hAnsi="Times New Roman" w:eastAsia="宋体" w:cs="Times New Roman"/>
          <w:sz w:val="20"/>
          <w:szCs w:val="21"/>
          <w:highlight w:val="none"/>
        </w:rPr>
        <w:fldChar w:fldCharType="begin"/>
      </w:r>
      <w:r>
        <w:rPr>
          <w:rFonts w:hint="default" w:ascii="Times New Roman" w:hAnsi="Times New Roman" w:eastAsia="宋体" w:cs="Times New Roman"/>
          <w:sz w:val="20"/>
          <w:szCs w:val="21"/>
          <w:highlight w:val="none"/>
        </w:rPr>
        <w:instrText xml:space="preserve"> HYPERLINK \l _Toc41 </w:instrText>
      </w:r>
      <w:r>
        <w:rPr>
          <w:rFonts w:hint="default" w:ascii="Times New Roman" w:hAnsi="Times New Roman" w:eastAsia="宋体" w:cs="Times New Roman"/>
          <w:sz w:val="20"/>
          <w:szCs w:val="21"/>
          <w:highlight w:val="none"/>
        </w:rPr>
        <w:fldChar w:fldCharType="separate"/>
      </w:r>
      <w:r>
        <w:rPr>
          <w:rFonts w:hint="default" w:ascii="Times New Roman" w:hAnsi="Times New Roman" w:eastAsia="宋体" w:cs="Times New Roman"/>
          <w:sz w:val="20"/>
          <w:szCs w:val="22"/>
          <w:highlight w:val="none"/>
        </w:rPr>
        <w:t>5.5  建筑构造</w:t>
      </w:r>
      <w:r>
        <w:rPr>
          <w:rFonts w:hint="default" w:ascii="Times New Roman" w:hAnsi="Times New Roman" w:eastAsia="宋体" w:cs="Times New Roman"/>
          <w:sz w:val="20"/>
          <w:szCs w:val="21"/>
          <w:highlight w:val="none"/>
        </w:rPr>
        <w:tab/>
      </w:r>
      <w:r>
        <w:rPr>
          <w:rFonts w:hint="default" w:ascii="Times New Roman" w:hAnsi="Times New Roman" w:eastAsia="宋体" w:cs="Times New Roman"/>
          <w:sz w:val="20"/>
          <w:szCs w:val="21"/>
          <w:highlight w:val="none"/>
        </w:rPr>
        <w:fldChar w:fldCharType="begin"/>
      </w:r>
      <w:r>
        <w:rPr>
          <w:rFonts w:hint="default" w:ascii="Times New Roman" w:hAnsi="Times New Roman" w:eastAsia="宋体" w:cs="Times New Roman"/>
          <w:sz w:val="20"/>
          <w:szCs w:val="21"/>
          <w:highlight w:val="none"/>
        </w:rPr>
        <w:instrText xml:space="preserve"> PAGEREF _Toc41 \h </w:instrText>
      </w:r>
      <w:r>
        <w:rPr>
          <w:rFonts w:hint="default" w:ascii="Times New Roman" w:hAnsi="Times New Roman" w:eastAsia="宋体" w:cs="Times New Roman"/>
          <w:sz w:val="20"/>
          <w:szCs w:val="21"/>
          <w:highlight w:val="none"/>
        </w:rPr>
        <w:fldChar w:fldCharType="separate"/>
      </w:r>
      <w:r>
        <w:rPr>
          <w:rFonts w:hint="default" w:ascii="Times New Roman" w:hAnsi="Times New Roman" w:eastAsia="宋体" w:cs="Times New Roman"/>
          <w:sz w:val="20"/>
          <w:szCs w:val="21"/>
          <w:highlight w:val="none"/>
        </w:rPr>
        <w:t>10</w:t>
      </w:r>
      <w:r>
        <w:rPr>
          <w:rFonts w:hint="default" w:ascii="Times New Roman" w:hAnsi="Times New Roman" w:eastAsia="宋体" w:cs="Times New Roman"/>
          <w:sz w:val="20"/>
          <w:szCs w:val="21"/>
          <w:highlight w:val="none"/>
        </w:rPr>
        <w:fldChar w:fldCharType="end"/>
      </w:r>
      <w:r>
        <w:rPr>
          <w:rFonts w:hint="default" w:ascii="Times New Roman" w:hAnsi="Times New Roman" w:eastAsia="宋体" w:cs="Times New Roman"/>
          <w:sz w:val="20"/>
          <w:szCs w:val="21"/>
          <w:highlight w:val="none"/>
        </w:rPr>
        <w:fldChar w:fldCharType="end"/>
      </w:r>
    </w:p>
    <w:p w14:paraId="503422EE">
      <w:pPr>
        <w:pStyle w:val="17"/>
        <w:tabs>
          <w:tab w:val="right" w:leader="dot" w:pos="5919"/>
          <w:tab w:val="clear" w:pos="1050"/>
          <w:tab w:val="clear" w:pos="13948"/>
        </w:tabs>
        <w:rPr>
          <w:rFonts w:hint="default" w:ascii="Times New Roman" w:hAnsi="Times New Roman" w:eastAsia="宋体" w:cs="Times New Roman"/>
          <w:highlight w:val="none"/>
        </w:rPr>
      </w:pP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\l _Toc20266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szCs w:val="28"/>
          <w:highlight w:val="none"/>
        </w:rPr>
        <w:t>6  结 构 设 计</w:t>
      </w:r>
      <w:r>
        <w:rPr>
          <w:rFonts w:hint="default" w:ascii="Times New Roman" w:hAnsi="Times New Roman" w:eastAsia="宋体" w:cs="Times New Roman"/>
          <w:highlight w:val="none"/>
        </w:rPr>
        <w:tab/>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PAGEREF _Toc20266 \h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highlight w:val="none"/>
        </w:rPr>
        <w:t>11</w:t>
      </w:r>
      <w:r>
        <w:rPr>
          <w:rFonts w:hint="default" w:ascii="Times New Roman" w:hAnsi="Times New Roman" w:eastAsia="宋体" w:cs="Times New Roman"/>
          <w:highlight w:val="none"/>
        </w:rPr>
        <w:fldChar w:fldCharType="end"/>
      </w:r>
      <w:r>
        <w:rPr>
          <w:rFonts w:hint="default" w:ascii="Times New Roman" w:hAnsi="Times New Roman" w:eastAsia="宋体" w:cs="Times New Roman"/>
          <w:highlight w:val="none"/>
        </w:rPr>
        <w:fldChar w:fldCharType="end"/>
      </w:r>
    </w:p>
    <w:p w14:paraId="4C7D521C">
      <w:pPr>
        <w:pStyle w:val="20"/>
        <w:tabs>
          <w:tab w:val="right" w:leader="dot" w:pos="5919"/>
        </w:tabs>
        <w:rPr>
          <w:rFonts w:hint="default" w:ascii="Times New Roman" w:hAnsi="Times New Roman" w:eastAsia="宋体" w:cs="Times New Roman"/>
          <w:sz w:val="20"/>
          <w:szCs w:val="21"/>
          <w:highlight w:val="none"/>
        </w:rPr>
      </w:pPr>
      <w:r>
        <w:rPr>
          <w:rFonts w:hint="default" w:ascii="Times New Roman" w:hAnsi="Times New Roman" w:eastAsia="宋体" w:cs="Times New Roman"/>
          <w:sz w:val="20"/>
          <w:szCs w:val="21"/>
          <w:highlight w:val="none"/>
        </w:rPr>
        <w:fldChar w:fldCharType="begin"/>
      </w:r>
      <w:r>
        <w:rPr>
          <w:rFonts w:hint="default" w:ascii="Times New Roman" w:hAnsi="Times New Roman" w:eastAsia="宋体" w:cs="Times New Roman"/>
          <w:sz w:val="20"/>
          <w:szCs w:val="21"/>
          <w:highlight w:val="none"/>
        </w:rPr>
        <w:instrText xml:space="preserve"> HYPERLINK \l _Toc24397 </w:instrText>
      </w:r>
      <w:r>
        <w:rPr>
          <w:rFonts w:hint="default" w:ascii="Times New Roman" w:hAnsi="Times New Roman" w:eastAsia="宋体" w:cs="Times New Roman"/>
          <w:sz w:val="20"/>
          <w:szCs w:val="21"/>
          <w:highlight w:val="none"/>
        </w:rPr>
        <w:fldChar w:fldCharType="separate"/>
      </w:r>
      <w:r>
        <w:rPr>
          <w:rFonts w:hint="default" w:ascii="Times New Roman" w:hAnsi="Times New Roman" w:eastAsia="宋体" w:cs="Times New Roman"/>
          <w:sz w:val="20"/>
          <w:szCs w:val="22"/>
          <w:highlight w:val="none"/>
        </w:rPr>
        <w:t>6.1  一般规定</w:t>
      </w:r>
      <w:r>
        <w:rPr>
          <w:rFonts w:hint="default" w:ascii="Times New Roman" w:hAnsi="Times New Roman" w:eastAsia="宋体" w:cs="Times New Roman"/>
          <w:sz w:val="20"/>
          <w:szCs w:val="21"/>
          <w:highlight w:val="none"/>
        </w:rPr>
        <w:tab/>
      </w:r>
      <w:r>
        <w:rPr>
          <w:rFonts w:hint="default" w:ascii="Times New Roman" w:hAnsi="Times New Roman" w:eastAsia="宋体" w:cs="Times New Roman"/>
          <w:sz w:val="20"/>
          <w:szCs w:val="21"/>
          <w:highlight w:val="none"/>
        </w:rPr>
        <w:fldChar w:fldCharType="begin"/>
      </w:r>
      <w:r>
        <w:rPr>
          <w:rFonts w:hint="default" w:ascii="Times New Roman" w:hAnsi="Times New Roman" w:eastAsia="宋体" w:cs="Times New Roman"/>
          <w:sz w:val="20"/>
          <w:szCs w:val="21"/>
          <w:highlight w:val="none"/>
        </w:rPr>
        <w:instrText xml:space="preserve"> PAGEREF _Toc24397 \h </w:instrText>
      </w:r>
      <w:r>
        <w:rPr>
          <w:rFonts w:hint="default" w:ascii="Times New Roman" w:hAnsi="Times New Roman" w:eastAsia="宋体" w:cs="Times New Roman"/>
          <w:sz w:val="20"/>
          <w:szCs w:val="21"/>
          <w:highlight w:val="none"/>
        </w:rPr>
        <w:fldChar w:fldCharType="separate"/>
      </w:r>
      <w:r>
        <w:rPr>
          <w:rFonts w:hint="default" w:ascii="Times New Roman" w:hAnsi="Times New Roman" w:eastAsia="宋体" w:cs="Times New Roman"/>
          <w:sz w:val="20"/>
          <w:szCs w:val="21"/>
          <w:highlight w:val="none"/>
        </w:rPr>
        <w:t>11</w:t>
      </w:r>
      <w:r>
        <w:rPr>
          <w:rFonts w:hint="default" w:ascii="Times New Roman" w:hAnsi="Times New Roman" w:eastAsia="宋体" w:cs="Times New Roman"/>
          <w:sz w:val="20"/>
          <w:szCs w:val="21"/>
          <w:highlight w:val="none"/>
        </w:rPr>
        <w:fldChar w:fldCharType="end"/>
      </w:r>
      <w:r>
        <w:rPr>
          <w:rFonts w:hint="default" w:ascii="Times New Roman" w:hAnsi="Times New Roman" w:eastAsia="宋体" w:cs="Times New Roman"/>
          <w:sz w:val="20"/>
          <w:szCs w:val="21"/>
          <w:highlight w:val="none"/>
        </w:rPr>
        <w:fldChar w:fldCharType="end"/>
      </w:r>
    </w:p>
    <w:p w14:paraId="1CA849C2">
      <w:pPr>
        <w:pStyle w:val="20"/>
        <w:tabs>
          <w:tab w:val="right" w:leader="dot" w:pos="5919"/>
        </w:tabs>
        <w:rPr>
          <w:rFonts w:hint="default" w:ascii="Times New Roman" w:hAnsi="Times New Roman" w:eastAsia="宋体" w:cs="Times New Roman"/>
          <w:sz w:val="20"/>
          <w:szCs w:val="21"/>
          <w:highlight w:val="none"/>
        </w:rPr>
      </w:pPr>
      <w:r>
        <w:rPr>
          <w:rFonts w:hint="default" w:ascii="Times New Roman" w:hAnsi="Times New Roman" w:eastAsia="宋体" w:cs="Times New Roman"/>
          <w:sz w:val="20"/>
          <w:szCs w:val="21"/>
          <w:highlight w:val="none"/>
        </w:rPr>
        <w:fldChar w:fldCharType="begin"/>
      </w:r>
      <w:r>
        <w:rPr>
          <w:rFonts w:hint="default" w:ascii="Times New Roman" w:hAnsi="Times New Roman" w:eastAsia="宋体" w:cs="Times New Roman"/>
          <w:sz w:val="20"/>
          <w:szCs w:val="21"/>
          <w:highlight w:val="none"/>
        </w:rPr>
        <w:instrText xml:space="preserve"> HYPERLINK \l _Toc28384 </w:instrText>
      </w:r>
      <w:r>
        <w:rPr>
          <w:rFonts w:hint="default" w:ascii="Times New Roman" w:hAnsi="Times New Roman" w:eastAsia="宋体" w:cs="Times New Roman"/>
          <w:sz w:val="20"/>
          <w:szCs w:val="21"/>
          <w:highlight w:val="none"/>
        </w:rPr>
        <w:fldChar w:fldCharType="separate"/>
      </w:r>
      <w:r>
        <w:rPr>
          <w:rFonts w:hint="default" w:ascii="Times New Roman" w:hAnsi="Times New Roman" w:eastAsia="宋体" w:cs="Times New Roman"/>
          <w:sz w:val="20"/>
          <w:szCs w:val="22"/>
          <w:highlight w:val="none"/>
        </w:rPr>
        <w:t>6.</w:t>
      </w:r>
      <w:r>
        <w:rPr>
          <w:rFonts w:hint="default" w:ascii="Times New Roman" w:hAnsi="Times New Roman" w:eastAsia="宋体" w:cs="Times New Roman"/>
          <w:sz w:val="20"/>
          <w:szCs w:val="22"/>
          <w:highlight w:val="none"/>
          <w:lang w:val="en-US" w:eastAsia="zh-CN"/>
        </w:rPr>
        <w:t>2</w:t>
      </w:r>
      <w:r>
        <w:rPr>
          <w:rFonts w:hint="default" w:ascii="Times New Roman" w:hAnsi="Times New Roman" w:eastAsia="宋体" w:cs="Times New Roman"/>
          <w:sz w:val="20"/>
          <w:szCs w:val="22"/>
          <w:highlight w:val="none"/>
        </w:rPr>
        <w:t xml:space="preserve">  </w:t>
      </w:r>
      <w:r>
        <w:rPr>
          <w:rFonts w:hint="default" w:ascii="Times New Roman" w:hAnsi="Times New Roman" w:eastAsia="宋体" w:cs="Times New Roman"/>
          <w:sz w:val="20"/>
          <w:szCs w:val="22"/>
          <w:highlight w:val="none"/>
          <w:lang w:val="en-US" w:eastAsia="zh-CN"/>
        </w:rPr>
        <w:t>结构布置</w:t>
      </w:r>
      <w:r>
        <w:rPr>
          <w:rFonts w:hint="default" w:ascii="Times New Roman" w:hAnsi="Times New Roman" w:eastAsia="宋体" w:cs="Times New Roman"/>
          <w:sz w:val="20"/>
          <w:szCs w:val="21"/>
          <w:highlight w:val="none"/>
        </w:rPr>
        <w:tab/>
      </w:r>
      <w:r>
        <w:rPr>
          <w:rFonts w:hint="default" w:ascii="Times New Roman" w:hAnsi="Times New Roman" w:eastAsia="宋体" w:cs="Times New Roman"/>
          <w:sz w:val="20"/>
          <w:szCs w:val="21"/>
          <w:highlight w:val="none"/>
        </w:rPr>
        <w:fldChar w:fldCharType="begin"/>
      </w:r>
      <w:r>
        <w:rPr>
          <w:rFonts w:hint="default" w:ascii="Times New Roman" w:hAnsi="Times New Roman" w:eastAsia="宋体" w:cs="Times New Roman"/>
          <w:sz w:val="20"/>
          <w:szCs w:val="21"/>
          <w:highlight w:val="none"/>
        </w:rPr>
        <w:instrText xml:space="preserve"> PAGEREF _Toc28384 \h </w:instrText>
      </w:r>
      <w:r>
        <w:rPr>
          <w:rFonts w:hint="default" w:ascii="Times New Roman" w:hAnsi="Times New Roman" w:eastAsia="宋体" w:cs="Times New Roman"/>
          <w:sz w:val="20"/>
          <w:szCs w:val="21"/>
          <w:highlight w:val="none"/>
        </w:rPr>
        <w:fldChar w:fldCharType="separate"/>
      </w:r>
      <w:r>
        <w:rPr>
          <w:rFonts w:hint="default" w:ascii="Times New Roman" w:hAnsi="Times New Roman" w:eastAsia="宋体" w:cs="Times New Roman"/>
          <w:sz w:val="20"/>
          <w:szCs w:val="21"/>
          <w:highlight w:val="none"/>
        </w:rPr>
        <w:t>13</w:t>
      </w:r>
      <w:r>
        <w:rPr>
          <w:rFonts w:hint="default" w:ascii="Times New Roman" w:hAnsi="Times New Roman" w:eastAsia="宋体" w:cs="Times New Roman"/>
          <w:sz w:val="20"/>
          <w:szCs w:val="21"/>
          <w:highlight w:val="none"/>
        </w:rPr>
        <w:fldChar w:fldCharType="end"/>
      </w:r>
      <w:r>
        <w:rPr>
          <w:rFonts w:hint="default" w:ascii="Times New Roman" w:hAnsi="Times New Roman" w:eastAsia="宋体" w:cs="Times New Roman"/>
          <w:sz w:val="20"/>
          <w:szCs w:val="21"/>
          <w:highlight w:val="none"/>
        </w:rPr>
        <w:fldChar w:fldCharType="end"/>
      </w:r>
    </w:p>
    <w:p w14:paraId="12EC4D35">
      <w:pPr>
        <w:pStyle w:val="20"/>
        <w:tabs>
          <w:tab w:val="right" w:leader="dot" w:pos="5919"/>
        </w:tabs>
        <w:rPr>
          <w:rFonts w:hint="default" w:ascii="Times New Roman" w:hAnsi="Times New Roman" w:eastAsia="宋体" w:cs="Times New Roman"/>
          <w:sz w:val="20"/>
          <w:szCs w:val="21"/>
          <w:highlight w:val="none"/>
        </w:rPr>
      </w:pPr>
      <w:r>
        <w:rPr>
          <w:rFonts w:hint="default" w:ascii="Times New Roman" w:hAnsi="Times New Roman" w:eastAsia="宋体" w:cs="Times New Roman"/>
          <w:sz w:val="20"/>
          <w:szCs w:val="21"/>
          <w:highlight w:val="none"/>
        </w:rPr>
        <w:fldChar w:fldCharType="begin"/>
      </w:r>
      <w:r>
        <w:rPr>
          <w:rFonts w:hint="default" w:ascii="Times New Roman" w:hAnsi="Times New Roman" w:eastAsia="宋体" w:cs="Times New Roman"/>
          <w:sz w:val="20"/>
          <w:szCs w:val="21"/>
          <w:highlight w:val="none"/>
        </w:rPr>
        <w:instrText xml:space="preserve"> HYPERLINK \l _Toc6630 </w:instrText>
      </w:r>
      <w:r>
        <w:rPr>
          <w:rFonts w:hint="default" w:ascii="Times New Roman" w:hAnsi="Times New Roman" w:eastAsia="宋体" w:cs="Times New Roman"/>
          <w:sz w:val="20"/>
          <w:szCs w:val="21"/>
          <w:highlight w:val="none"/>
        </w:rPr>
        <w:fldChar w:fldCharType="separate"/>
      </w:r>
      <w:r>
        <w:rPr>
          <w:rFonts w:hint="default" w:ascii="Times New Roman" w:hAnsi="Times New Roman" w:eastAsia="宋体" w:cs="Times New Roman"/>
          <w:sz w:val="20"/>
          <w:szCs w:val="22"/>
          <w:highlight w:val="none"/>
        </w:rPr>
        <w:t>6.</w:t>
      </w:r>
      <w:r>
        <w:rPr>
          <w:rFonts w:hint="default" w:ascii="Times New Roman" w:hAnsi="Times New Roman" w:eastAsia="宋体" w:cs="Times New Roman"/>
          <w:sz w:val="20"/>
          <w:szCs w:val="22"/>
          <w:highlight w:val="none"/>
          <w:lang w:val="en-US" w:eastAsia="zh-CN"/>
        </w:rPr>
        <w:t>3</w:t>
      </w:r>
      <w:r>
        <w:rPr>
          <w:rFonts w:hint="default" w:ascii="Times New Roman" w:hAnsi="Times New Roman" w:eastAsia="宋体" w:cs="Times New Roman"/>
          <w:sz w:val="20"/>
          <w:szCs w:val="22"/>
          <w:highlight w:val="none"/>
        </w:rPr>
        <w:t xml:space="preserve">  </w:t>
      </w:r>
      <w:r>
        <w:rPr>
          <w:rFonts w:hint="default" w:ascii="Times New Roman" w:hAnsi="Times New Roman" w:eastAsia="宋体" w:cs="Times New Roman"/>
          <w:sz w:val="20"/>
          <w:szCs w:val="22"/>
          <w:highlight w:val="none"/>
          <w:lang w:val="en-US" w:eastAsia="zh-CN"/>
        </w:rPr>
        <w:t>结构分析</w:t>
      </w:r>
      <w:r>
        <w:rPr>
          <w:rFonts w:hint="default" w:ascii="Times New Roman" w:hAnsi="Times New Roman" w:eastAsia="宋体" w:cs="Times New Roman"/>
          <w:sz w:val="20"/>
          <w:szCs w:val="21"/>
          <w:highlight w:val="none"/>
        </w:rPr>
        <w:tab/>
      </w:r>
      <w:r>
        <w:rPr>
          <w:rFonts w:hint="default" w:ascii="Times New Roman" w:hAnsi="Times New Roman" w:eastAsia="宋体" w:cs="Times New Roman"/>
          <w:sz w:val="20"/>
          <w:szCs w:val="21"/>
          <w:highlight w:val="none"/>
        </w:rPr>
        <w:fldChar w:fldCharType="begin"/>
      </w:r>
      <w:r>
        <w:rPr>
          <w:rFonts w:hint="default" w:ascii="Times New Roman" w:hAnsi="Times New Roman" w:eastAsia="宋体" w:cs="Times New Roman"/>
          <w:sz w:val="20"/>
          <w:szCs w:val="21"/>
          <w:highlight w:val="none"/>
        </w:rPr>
        <w:instrText xml:space="preserve"> PAGEREF _Toc6630 \h </w:instrText>
      </w:r>
      <w:r>
        <w:rPr>
          <w:rFonts w:hint="default" w:ascii="Times New Roman" w:hAnsi="Times New Roman" w:eastAsia="宋体" w:cs="Times New Roman"/>
          <w:sz w:val="20"/>
          <w:szCs w:val="21"/>
          <w:highlight w:val="none"/>
        </w:rPr>
        <w:fldChar w:fldCharType="separate"/>
      </w:r>
      <w:r>
        <w:rPr>
          <w:rFonts w:hint="default" w:ascii="Times New Roman" w:hAnsi="Times New Roman" w:eastAsia="宋体" w:cs="Times New Roman"/>
          <w:sz w:val="20"/>
          <w:szCs w:val="21"/>
          <w:highlight w:val="none"/>
        </w:rPr>
        <w:t>14</w:t>
      </w:r>
      <w:r>
        <w:rPr>
          <w:rFonts w:hint="default" w:ascii="Times New Roman" w:hAnsi="Times New Roman" w:eastAsia="宋体" w:cs="Times New Roman"/>
          <w:sz w:val="20"/>
          <w:szCs w:val="21"/>
          <w:highlight w:val="none"/>
        </w:rPr>
        <w:fldChar w:fldCharType="end"/>
      </w:r>
      <w:r>
        <w:rPr>
          <w:rFonts w:hint="default" w:ascii="Times New Roman" w:hAnsi="Times New Roman" w:eastAsia="宋体" w:cs="Times New Roman"/>
          <w:sz w:val="20"/>
          <w:szCs w:val="21"/>
          <w:highlight w:val="none"/>
        </w:rPr>
        <w:fldChar w:fldCharType="end"/>
      </w:r>
    </w:p>
    <w:p w14:paraId="4CFFA139">
      <w:pPr>
        <w:pStyle w:val="20"/>
        <w:tabs>
          <w:tab w:val="right" w:leader="dot" w:pos="5919"/>
        </w:tabs>
        <w:rPr>
          <w:rFonts w:hint="default" w:ascii="Times New Roman" w:hAnsi="Times New Roman" w:eastAsia="宋体" w:cs="Times New Roman"/>
          <w:sz w:val="20"/>
          <w:szCs w:val="21"/>
          <w:highlight w:val="none"/>
        </w:rPr>
      </w:pPr>
      <w:r>
        <w:rPr>
          <w:rFonts w:hint="default" w:ascii="Times New Roman" w:hAnsi="Times New Roman" w:eastAsia="宋体" w:cs="Times New Roman"/>
          <w:sz w:val="20"/>
          <w:szCs w:val="21"/>
          <w:highlight w:val="none"/>
        </w:rPr>
        <w:fldChar w:fldCharType="begin"/>
      </w:r>
      <w:r>
        <w:rPr>
          <w:rFonts w:hint="default" w:ascii="Times New Roman" w:hAnsi="Times New Roman" w:eastAsia="宋体" w:cs="Times New Roman"/>
          <w:sz w:val="20"/>
          <w:szCs w:val="21"/>
          <w:highlight w:val="none"/>
        </w:rPr>
        <w:instrText xml:space="preserve"> HYPERLINK \l _Toc32386 </w:instrText>
      </w:r>
      <w:r>
        <w:rPr>
          <w:rFonts w:hint="default" w:ascii="Times New Roman" w:hAnsi="Times New Roman" w:eastAsia="宋体" w:cs="Times New Roman"/>
          <w:sz w:val="20"/>
          <w:szCs w:val="21"/>
          <w:highlight w:val="none"/>
        </w:rPr>
        <w:fldChar w:fldCharType="separate"/>
      </w:r>
      <w:r>
        <w:rPr>
          <w:rFonts w:hint="default" w:ascii="Times New Roman" w:hAnsi="Times New Roman" w:eastAsia="宋体" w:cs="Times New Roman"/>
          <w:sz w:val="20"/>
          <w:szCs w:val="22"/>
          <w:highlight w:val="none"/>
        </w:rPr>
        <w:t>6.</w:t>
      </w:r>
      <w:r>
        <w:rPr>
          <w:rFonts w:hint="default" w:ascii="Times New Roman" w:hAnsi="Times New Roman" w:eastAsia="宋体" w:cs="Times New Roman"/>
          <w:sz w:val="20"/>
          <w:szCs w:val="22"/>
          <w:highlight w:val="none"/>
          <w:lang w:val="en-US" w:eastAsia="zh-CN"/>
        </w:rPr>
        <w:t>4</w:t>
      </w:r>
      <w:r>
        <w:rPr>
          <w:rFonts w:hint="default" w:ascii="Times New Roman" w:hAnsi="Times New Roman" w:eastAsia="宋体" w:cs="Times New Roman"/>
          <w:sz w:val="20"/>
          <w:szCs w:val="22"/>
          <w:highlight w:val="none"/>
        </w:rPr>
        <w:t xml:space="preserve">  </w:t>
      </w:r>
      <w:r>
        <w:rPr>
          <w:rFonts w:hint="default" w:ascii="Times New Roman" w:hAnsi="Times New Roman" w:eastAsia="宋体" w:cs="Times New Roman"/>
          <w:sz w:val="20"/>
          <w:szCs w:val="22"/>
          <w:highlight w:val="none"/>
          <w:lang w:val="en-US" w:eastAsia="zh-CN"/>
        </w:rPr>
        <w:t>模块构件和连接设计</w:t>
      </w:r>
      <w:r>
        <w:rPr>
          <w:rFonts w:hint="default" w:ascii="Times New Roman" w:hAnsi="Times New Roman" w:eastAsia="宋体" w:cs="Times New Roman"/>
          <w:sz w:val="20"/>
          <w:szCs w:val="21"/>
          <w:highlight w:val="none"/>
        </w:rPr>
        <w:tab/>
      </w:r>
      <w:r>
        <w:rPr>
          <w:rFonts w:hint="default" w:ascii="Times New Roman" w:hAnsi="Times New Roman" w:eastAsia="宋体" w:cs="Times New Roman"/>
          <w:sz w:val="20"/>
          <w:szCs w:val="21"/>
          <w:highlight w:val="none"/>
        </w:rPr>
        <w:fldChar w:fldCharType="begin"/>
      </w:r>
      <w:r>
        <w:rPr>
          <w:rFonts w:hint="default" w:ascii="Times New Roman" w:hAnsi="Times New Roman" w:eastAsia="宋体" w:cs="Times New Roman"/>
          <w:sz w:val="20"/>
          <w:szCs w:val="21"/>
          <w:highlight w:val="none"/>
        </w:rPr>
        <w:instrText xml:space="preserve"> PAGEREF _Toc32386 \h </w:instrText>
      </w:r>
      <w:r>
        <w:rPr>
          <w:rFonts w:hint="default" w:ascii="Times New Roman" w:hAnsi="Times New Roman" w:eastAsia="宋体" w:cs="Times New Roman"/>
          <w:sz w:val="20"/>
          <w:szCs w:val="21"/>
          <w:highlight w:val="none"/>
        </w:rPr>
        <w:fldChar w:fldCharType="separate"/>
      </w:r>
      <w:r>
        <w:rPr>
          <w:rFonts w:hint="default" w:ascii="Times New Roman" w:hAnsi="Times New Roman" w:eastAsia="宋体" w:cs="Times New Roman"/>
          <w:sz w:val="20"/>
          <w:szCs w:val="21"/>
          <w:highlight w:val="none"/>
        </w:rPr>
        <w:t>15</w:t>
      </w:r>
      <w:r>
        <w:rPr>
          <w:rFonts w:hint="default" w:ascii="Times New Roman" w:hAnsi="Times New Roman" w:eastAsia="宋体" w:cs="Times New Roman"/>
          <w:sz w:val="20"/>
          <w:szCs w:val="21"/>
          <w:highlight w:val="none"/>
        </w:rPr>
        <w:fldChar w:fldCharType="end"/>
      </w:r>
      <w:r>
        <w:rPr>
          <w:rFonts w:hint="default" w:ascii="Times New Roman" w:hAnsi="Times New Roman" w:eastAsia="宋体" w:cs="Times New Roman"/>
          <w:sz w:val="20"/>
          <w:szCs w:val="21"/>
          <w:highlight w:val="none"/>
        </w:rPr>
        <w:fldChar w:fldCharType="end"/>
      </w:r>
    </w:p>
    <w:p w14:paraId="396CD3A3">
      <w:pPr>
        <w:jc w:val="center"/>
        <w:rPr>
          <w:highlight w:val="none"/>
        </w:rPr>
        <w:sectPr>
          <w:headerReference r:id="rId12" w:type="default"/>
          <w:footerReference r:id="rId14" w:type="default"/>
          <w:headerReference r:id="rId13" w:type="even"/>
          <w:footerReference r:id="rId15" w:type="even"/>
          <w:pgSz w:w="7937" w:h="11509"/>
          <w:pgMar w:top="1083" w:right="1009" w:bottom="1083" w:left="1009" w:header="851" w:footer="992" w:gutter="0"/>
          <w:pgNumType w:fmt="decimal" w:start="1"/>
          <w:cols w:space="0" w:num="1"/>
          <w:docGrid w:type="lines" w:linePitch="333" w:charSpace="4423"/>
        </w:sectPr>
      </w:pPr>
      <w:r>
        <w:rPr>
          <w:highlight w:val="none"/>
        </w:rPr>
        <w:fldChar w:fldCharType="end"/>
      </w:r>
    </w:p>
    <w:p w14:paraId="2B7BDD48">
      <w:pPr>
        <w:pStyle w:val="2"/>
        <w:spacing w:before="166" w:beforeLines="50" w:after="166" w:afterLines="50" w:line="360" w:lineRule="auto"/>
        <w:jc w:val="center"/>
        <w:rPr>
          <w:rFonts w:hint="default" w:ascii="Times New Roman" w:hAnsi="Times New Roman" w:cs="Times New Roman"/>
          <w:b/>
          <w:bCs/>
          <w:color w:val="auto"/>
          <w:sz w:val="21"/>
          <w:szCs w:val="21"/>
          <w:highlight w:val="none"/>
          <w:lang w:val="en-US" w:eastAsia="zh-CN"/>
        </w:rPr>
      </w:pPr>
      <w:bookmarkStart w:id="1348" w:name="_Toc24314"/>
      <w:bookmarkStart w:id="1349" w:name="_Toc25673"/>
      <w:r>
        <w:rPr>
          <w:rFonts w:eastAsia="黑体"/>
          <w:color w:val="auto"/>
          <w:sz w:val="28"/>
          <w:szCs w:val="28"/>
          <w:highlight w:val="none"/>
        </w:rPr>
        <w:t>1  总    则</w:t>
      </w:r>
      <w:bookmarkEnd w:id="1345"/>
      <w:bookmarkEnd w:id="1346"/>
      <w:bookmarkEnd w:id="1347"/>
      <w:bookmarkEnd w:id="1348"/>
      <w:bookmarkEnd w:id="1349"/>
    </w:p>
    <w:p w14:paraId="2F9A0156">
      <w:pPr>
        <w:pStyle w:val="24"/>
        <w:ind w:left="0" w:firstLine="0" w:firstLineChars="0"/>
        <w:rPr>
          <w:rFonts w:hint="default" w:ascii="Times New Roman" w:hAnsi="Times New Roman" w:cs="Times New Roman"/>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 xml:space="preserve">1.0.1  </w:t>
      </w:r>
      <w:r>
        <w:rPr>
          <w:rFonts w:hint="default" w:ascii="Times New Roman" w:hAnsi="Times New Roman" w:cs="Times New Roman"/>
          <w:color w:val="auto"/>
          <w:sz w:val="21"/>
          <w:szCs w:val="21"/>
          <w:highlight w:val="none"/>
          <w:lang w:eastAsia="zh-CN"/>
        </w:rPr>
        <w:t>当前，我国劳动力人口显著下降，建筑业转型升级的背景下，国家大力发展新型建筑工业化，</w:t>
      </w:r>
      <w:bookmarkStart w:id="1350" w:name="OLE_LINK47"/>
      <w:r>
        <w:rPr>
          <w:rFonts w:hint="default" w:ascii="Times New Roman" w:hAnsi="Times New Roman" w:cs="Times New Roman"/>
          <w:color w:val="auto"/>
          <w:sz w:val="21"/>
          <w:szCs w:val="21"/>
          <w:highlight w:val="none"/>
          <w:lang w:val="en-US" w:eastAsia="zh-CN"/>
        </w:rPr>
        <w:t>混凝土</w:t>
      </w:r>
      <w:bookmarkEnd w:id="1350"/>
      <w:r>
        <w:rPr>
          <w:rFonts w:hint="default" w:ascii="Times New Roman" w:hAnsi="Times New Roman" w:cs="Times New Roman"/>
          <w:color w:val="auto"/>
          <w:sz w:val="21"/>
          <w:szCs w:val="21"/>
          <w:highlight w:val="none"/>
          <w:lang w:val="en-US" w:eastAsia="zh-CN"/>
        </w:rPr>
        <w:t>模块化</w:t>
      </w:r>
      <w:r>
        <w:rPr>
          <w:rFonts w:hint="default" w:ascii="Times New Roman" w:hAnsi="Times New Roman" w:cs="Times New Roman"/>
          <w:color w:val="auto"/>
          <w:sz w:val="21"/>
          <w:szCs w:val="21"/>
          <w:highlight w:val="none"/>
          <w:lang w:eastAsia="zh-CN"/>
        </w:rPr>
        <w:t>建筑</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图1</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eastAsia="zh-CN"/>
        </w:rPr>
        <w:t>是实现建筑工业化的有效途径。混凝土模块化建筑具有建筑空间模块化、设计制作集成化、生产工艺标准化、建筑施工装配化的特征，以及高集成度、高装配率、施工速度快等优势，在欧美及新加坡等发达国家已有较多应用案例，是绿色建筑和建筑工业化的发展方向之一。本标准所述的混凝土模块化建筑，包括</w:t>
      </w:r>
      <w:bookmarkStart w:id="1351" w:name="OLE_LINK99"/>
      <w:bookmarkStart w:id="1352" w:name="OLE_LINK106"/>
      <w:r>
        <w:rPr>
          <w:rFonts w:hint="default" w:ascii="Times New Roman" w:hAnsi="Times New Roman" w:cs="Times New Roman"/>
          <w:color w:val="auto"/>
          <w:sz w:val="21"/>
          <w:szCs w:val="21"/>
          <w:highlight w:val="none"/>
          <w:lang w:eastAsia="zh-CN"/>
        </w:rPr>
        <w:t>模块化全预制剪力墙结构</w:t>
      </w:r>
      <w:bookmarkEnd w:id="1351"/>
      <w:bookmarkStart w:id="1353" w:name="OLE_LINK101"/>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eastAsia="zh-CN"/>
        </w:rPr>
        <w:t>模块化叠合剪力墙结构</w:t>
      </w:r>
      <w:bookmarkEnd w:id="1352"/>
      <w:bookmarkEnd w:id="1353"/>
      <w:bookmarkStart w:id="1354" w:name="OLE_LINK49"/>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eastAsia="zh-CN"/>
        </w:rPr>
        <w:t>模块化</w:t>
      </w:r>
      <w:r>
        <w:rPr>
          <w:rFonts w:hint="default" w:ascii="Times New Roman" w:hAnsi="Times New Roman" w:cs="Times New Roman"/>
          <w:color w:val="auto"/>
          <w:sz w:val="21"/>
          <w:szCs w:val="21"/>
          <w:highlight w:val="none"/>
          <w:lang w:val="en-US" w:eastAsia="zh-CN"/>
        </w:rPr>
        <w:t>现浇</w:t>
      </w:r>
      <w:r>
        <w:rPr>
          <w:rFonts w:hint="default" w:ascii="Times New Roman" w:hAnsi="Times New Roman" w:cs="Times New Roman"/>
          <w:color w:val="auto"/>
          <w:sz w:val="21"/>
          <w:szCs w:val="21"/>
          <w:highlight w:val="none"/>
          <w:lang w:eastAsia="zh-CN"/>
        </w:rPr>
        <w:t>剪力墙结构、模块化框架结构</w:t>
      </w:r>
      <w:bookmarkEnd w:id="1354"/>
      <w:r>
        <w:rPr>
          <w:rFonts w:hint="default" w:ascii="Times New Roman" w:hAnsi="Times New Roman" w:cs="Times New Roman"/>
          <w:color w:val="auto"/>
          <w:sz w:val="21"/>
          <w:szCs w:val="21"/>
          <w:highlight w:val="none"/>
          <w:lang w:eastAsia="zh-CN"/>
        </w:rPr>
        <w:t>和</w:t>
      </w:r>
      <w:bookmarkStart w:id="1355" w:name="OLE_LINK50"/>
      <w:r>
        <w:rPr>
          <w:rFonts w:hint="default" w:ascii="Times New Roman" w:hAnsi="Times New Roman" w:cs="Times New Roman"/>
          <w:color w:val="auto"/>
          <w:sz w:val="21"/>
          <w:szCs w:val="21"/>
          <w:highlight w:val="none"/>
          <w:lang w:eastAsia="zh-CN"/>
        </w:rPr>
        <w:t>模块化框架-剪力</w:t>
      </w:r>
      <w:bookmarkEnd w:id="1355"/>
      <w:r>
        <w:rPr>
          <w:rFonts w:hint="default" w:ascii="Times New Roman" w:hAnsi="Times New Roman" w:cs="Times New Roman"/>
          <w:color w:val="auto"/>
          <w:sz w:val="21"/>
          <w:szCs w:val="21"/>
          <w:highlight w:val="none"/>
          <w:lang w:eastAsia="zh-CN"/>
        </w:rPr>
        <w:t>墙结构</w:t>
      </w:r>
      <w:r>
        <w:rPr>
          <w:rFonts w:hint="default" w:ascii="Times New Roman" w:hAnsi="Times New Roman" w:cs="Times New Roman"/>
          <w:color w:val="auto"/>
          <w:sz w:val="21"/>
          <w:szCs w:val="21"/>
          <w:highlight w:val="none"/>
          <w:lang w:val="en-US" w:eastAsia="zh-CN"/>
        </w:rPr>
        <w:t>等结构体系</w:t>
      </w:r>
      <w:r>
        <w:rPr>
          <w:rFonts w:hint="default" w:ascii="Times New Roman" w:hAnsi="Times New Roman" w:cs="Times New Roman"/>
          <w:color w:val="auto"/>
          <w:sz w:val="21"/>
          <w:szCs w:val="21"/>
          <w:highlight w:val="none"/>
          <w:lang w:eastAsia="zh-CN"/>
        </w:rPr>
        <w:t>。</w:t>
      </w:r>
    </w:p>
    <w:p w14:paraId="3225D261">
      <w:pPr>
        <w:ind w:firstLine="420" w:firstLineChars="200"/>
        <w:rPr>
          <w:rFonts w:hint="default" w:ascii="Times New Roman" w:hAnsi="Times New Roman" w:cs="Times New Roman"/>
          <w:color w:val="auto"/>
          <w:sz w:val="21"/>
          <w:szCs w:val="21"/>
          <w:highlight w:val="none"/>
        </w:rPr>
      </w:pPr>
      <w:bookmarkStart w:id="1356" w:name="OLE_LINK100"/>
      <w:r>
        <w:rPr>
          <w:rFonts w:hint="default" w:ascii="Times New Roman" w:hAnsi="Times New Roman" w:cs="Times New Roman"/>
          <w:color w:val="auto"/>
          <w:sz w:val="21"/>
          <w:szCs w:val="21"/>
          <w:highlight w:val="none"/>
          <w:lang w:eastAsia="zh-CN"/>
        </w:rPr>
        <w:t>模块化全预制剪力墙结构</w:t>
      </w:r>
      <w:bookmarkEnd w:id="1356"/>
      <w:r>
        <w:rPr>
          <w:rFonts w:hint="default" w:ascii="Times New Roman" w:hAnsi="Times New Roman" w:cs="Times New Roman"/>
          <w:color w:val="auto"/>
          <w:sz w:val="21"/>
          <w:szCs w:val="21"/>
          <w:highlight w:val="none"/>
        </w:rPr>
        <w:t>主体结构由全预制剪力墙、预制围护墙和全预制楼板等部分组成；</w:t>
      </w:r>
      <w:bookmarkStart w:id="1357" w:name="OLE_LINK51"/>
      <w:r>
        <w:rPr>
          <w:rFonts w:hint="default" w:ascii="Times New Roman" w:hAnsi="Times New Roman" w:cs="Times New Roman"/>
          <w:color w:val="auto"/>
          <w:sz w:val="21"/>
          <w:szCs w:val="21"/>
          <w:highlight w:val="none"/>
          <w:lang w:eastAsia="zh-CN"/>
        </w:rPr>
        <w:t>模块化叠合剪力墙结构</w:t>
      </w:r>
      <w:r>
        <w:rPr>
          <w:rFonts w:hint="default" w:ascii="Times New Roman" w:hAnsi="Times New Roman" w:cs="Times New Roman"/>
          <w:color w:val="auto"/>
          <w:sz w:val="21"/>
          <w:szCs w:val="21"/>
          <w:highlight w:val="none"/>
        </w:rPr>
        <w:t>主体结构由</w:t>
      </w:r>
      <w:bookmarkEnd w:id="1357"/>
      <w:r>
        <w:rPr>
          <w:rFonts w:hint="default" w:ascii="Times New Roman" w:hAnsi="Times New Roman" w:cs="Times New Roman"/>
          <w:color w:val="auto"/>
          <w:sz w:val="21"/>
          <w:szCs w:val="21"/>
          <w:highlight w:val="none"/>
        </w:rPr>
        <w:t>预制空心剪力墙（或双面叠合剪力墙）、双拼叠合剪力墙叶板、预制叠合边缘构件、预制空心边缘构件、预制承重围护一体化外墙、开槽型混凝土预制板、叠合梁</w:t>
      </w:r>
      <w:r>
        <w:rPr>
          <w:rFonts w:hint="default" w:ascii="Times New Roman" w:hAnsi="Times New Roman" w:cs="Times New Roman"/>
          <w:color w:val="auto"/>
          <w:sz w:val="21"/>
          <w:szCs w:val="21"/>
          <w:highlight w:val="none"/>
          <w:lang w:val="en-US" w:eastAsia="zh-CN"/>
        </w:rPr>
        <w:t>等构件组成</w:t>
      </w:r>
      <w:r>
        <w:rPr>
          <w:rFonts w:hint="default" w:ascii="Times New Roman" w:hAnsi="Times New Roman" w:cs="Times New Roman"/>
          <w:color w:val="auto"/>
          <w:sz w:val="21"/>
          <w:szCs w:val="21"/>
          <w:highlight w:val="none"/>
        </w:rPr>
        <w:t>，模块在现场吊装就位后，</w:t>
      </w:r>
      <w:r>
        <w:rPr>
          <w:rFonts w:hint="default" w:ascii="Times New Roman" w:hAnsi="Times New Roman" w:cs="Times New Roman"/>
          <w:color w:val="auto"/>
          <w:sz w:val="21"/>
          <w:szCs w:val="21"/>
          <w:highlight w:val="none"/>
          <w:lang w:val="en-US" w:eastAsia="zh-CN"/>
        </w:rPr>
        <w:t>安装</w:t>
      </w:r>
      <w:r>
        <w:rPr>
          <w:rFonts w:hint="default" w:ascii="Times New Roman" w:hAnsi="Times New Roman" w:cs="Times New Roman"/>
          <w:color w:val="auto"/>
          <w:sz w:val="21"/>
          <w:szCs w:val="21"/>
          <w:highlight w:val="none"/>
        </w:rPr>
        <w:t>叠合板面钢筋和节点连接钢筋，后浇筑剪力墙中空区域混凝土和叠合板混凝土形成叠合剪力墙结构体系。</w:t>
      </w:r>
    </w:p>
    <w:p w14:paraId="1E647B59">
      <w:pPr>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于混凝土模块结构而言，合适的模块单元的拆分方式及合理地选择模块的连接方法，影响着模块化建筑的生产、施工和安全性；模块单元的拆分方式决定了模块间拼缝的位置、模块的尺寸和形状等，模块合理的拼缝位置以及尺寸和形状的设计是十分重要的，它对建筑功能、建筑平立面、结构受力状况、模块单元承载能力、工程造价等都会产生一定的影响。鉴于此，本标准根据工程实践经验和科研试验，研究提出了适用于多层和高层的模块单元的确定原则、设计原则和节点连接装配方案，生产、施工方案，作为混凝土模块智能集成建筑的设计、生产、施工、质量验收的依据，对规范、推广混凝土模块化建筑有积极的指导作用。</w:t>
      </w:r>
    </w:p>
    <w:p w14:paraId="515F3D6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2643505" cy="1737360"/>
            <wp:effectExtent l="0" t="0" r="4445" b="1524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38"/>
                    <a:srcRect l="25351" r="4245"/>
                    <a:stretch>
                      <a:fillRect/>
                    </a:stretch>
                  </pic:blipFill>
                  <pic:spPr>
                    <a:xfrm>
                      <a:off x="0" y="0"/>
                      <a:ext cx="2643505" cy="1737360"/>
                    </a:xfrm>
                    <a:prstGeom prst="rect">
                      <a:avLst/>
                    </a:prstGeom>
                    <a:noFill/>
                    <a:ln>
                      <a:noFill/>
                    </a:ln>
                  </pic:spPr>
                </pic:pic>
              </a:graphicData>
            </a:graphic>
          </wp:inline>
        </w:drawing>
      </w:r>
    </w:p>
    <w:p w14:paraId="5C8C6AD6">
      <w:pPr>
        <w:jc w:val="center"/>
        <w:rPr>
          <w:rFonts w:hint="eastAsia" w:ascii="黑体" w:hAnsi="黑体" w:eastAsia="黑体" w:cs="黑体"/>
          <w:color w:val="auto"/>
          <w:sz w:val="18"/>
          <w:szCs w:val="18"/>
          <w:highlight w:val="none"/>
          <w:lang w:eastAsia="zh-CN"/>
        </w:rPr>
      </w:pPr>
      <w:r>
        <w:rPr>
          <w:rFonts w:hint="eastAsia" w:ascii="黑体" w:hAnsi="黑体" w:eastAsia="黑体" w:cs="黑体"/>
          <w:color w:val="auto"/>
          <w:sz w:val="18"/>
          <w:szCs w:val="18"/>
          <w:highlight w:val="none"/>
        </w:rPr>
        <w:t>图</w:t>
      </w:r>
      <w:r>
        <w:rPr>
          <w:rFonts w:hint="default" w:ascii="Times New Roman" w:hAnsi="Times New Roman" w:eastAsia="黑体" w:cs="Times New Roman"/>
          <w:b/>
          <w:bCs/>
          <w:color w:val="auto"/>
          <w:sz w:val="18"/>
          <w:szCs w:val="18"/>
          <w:highlight w:val="none"/>
        </w:rPr>
        <w:t>1</w:t>
      </w:r>
      <w:r>
        <w:rPr>
          <w:rFonts w:hint="eastAsia" w:ascii="黑体" w:hAnsi="黑体" w:eastAsia="黑体" w:cs="黑体"/>
          <w:color w:val="auto"/>
          <w:sz w:val="18"/>
          <w:szCs w:val="18"/>
          <w:highlight w:val="none"/>
        </w:rPr>
        <w:t xml:space="preserve"> </w:t>
      </w:r>
      <w:r>
        <w:rPr>
          <w:rFonts w:hint="eastAsia" w:ascii="黑体" w:hAnsi="黑体" w:eastAsia="黑体" w:cs="黑体"/>
          <w:color w:val="auto"/>
          <w:sz w:val="18"/>
          <w:szCs w:val="18"/>
          <w:highlight w:val="none"/>
          <w:lang w:val="en-US" w:eastAsia="zh-CN"/>
        </w:rPr>
        <w:t>混凝土</w:t>
      </w:r>
      <w:r>
        <w:rPr>
          <w:rFonts w:hint="eastAsia" w:ascii="黑体" w:hAnsi="黑体" w:eastAsia="黑体" w:cs="黑体"/>
          <w:color w:val="auto"/>
          <w:sz w:val="18"/>
          <w:szCs w:val="18"/>
          <w:highlight w:val="none"/>
        </w:rPr>
        <w:t>模块化建筑示意图</w:t>
      </w:r>
    </w:p>
    <w:p w14:paraId="6C71D36E">
      <w:pPr>
        <w:pStyle w:val="24"/>
        <w:ind w:left="0" w:firstLine="0" w:firstLineChars="0"/>
        <w:rPr>
          <w:rFonts w:hint="default" w:ascii="Times New Roman" w:hAnsi="Times New Roman" w:cs="Times New Roman"/>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1.0.2</w:t>
      </w:r>
      <w:r>
        <w:rPr>
          <w:rFonts w:hint="default" w:ascii="Times New Roman" w:hAnsi="Times New Roman" w:cs="Times New Roman"/>
          <w:b/>
          <w:color w:val="auto"/>
          <w:sz w:val="21"/>
          <w:szCs w:val="21"/>
          <w:highlight w:val="none"/>
          <w:lang w:eastAsia="zh-CN"/>
        </w:rPr>
        <w:t xml:space="preserve"> </w:t>
      </w:r>
      <w:r>
        <w:rPr>
          <w:rFonts w:hint="default" w:ascii="Times New Roman" w:hAnsi="Times New Roman" w:cs="Times New Roman"/>
          <w:color w:val="auto"/>
          <w:sz w:val="21"/>
          <w:szCs w:val="21"/>
          <w:highlight w:val="none"/>
          <w:lang w:eastAsia="zh-CN"/>
        </w:rPr>
        <w:t xml:space="preserve"> 本标准中的混凝土模块化建筑可用于住宅、教育、办公、医疗、酒店等，适合保障性住房、绿色农房、公寓、宿舍等标准化程度较高的建筑类型。</w:t>
      </w:r>
    </w:p>
    <w:p w14:paraId="2B33BC8C">
      <w:pP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br w:type="page"/>
      </w:r>
    </w:p>
    <w:p w14:paraId="46F058B9">
      <w:pPr>
        <w:pStyle w:val="2"/>
        <w:spacing w:before="166" w:beforeLines="50" w:after="166" w:afterLines="50" w:line="360" w:lineRule="auto"/>
        <w:jc w:val="center"/>
        <w:rPr>
          <w:rFonts w:eastAsia="黑体"/>
          <w:color w:val="auto"/>
          <w:sz w:val="28"/>
          <w:szCs w:val="28"/>
          <w:highlight w:val="none"/>
        </w:rPr>
      </w:pPr>
      <w:bookmarkStart w:id="1358" w:name="_Toc7149"/>
      <w:bookmarkStart w:id="1359" w:name="_Toc27176"/>
      <w:bookmarkStart w:id="1360" w:name="_Toc18534"/>
      <w:bookmarkStart w:id="1361" w:name="_Toc21017"/>
      <w:bookmarkStart w:id="1362" w:name="_Toc15271"/>
      <w:r>
        <w:rPr>
          <w:rFonts w:eastAsia="黑体"/>
          <w:color w:val="auto"/>
          <w:sz w:val="28"/>
          <w:szCs w:val="28"/>
          <w:highlight w:val="none"/>
        </w:rPr>
        <w:t>2  术语和符号</w:t>
      </w:r>
      <w:bookmarkEnd w:id="1358"/>
      <w:bookmarkEnd w:id="1359"/>
      <w:bookmarkEnd w:id="1360"/>
      <w:bookmarkEnd w:id="1361"/>
      <w:bookmarkEnd w:id="1362"/>
    </w:p>
    <w:p w14:paraId="09345A25">
      <w:pPr>
        <w:pStyle w:val="3"/>
        <w:spacing w:before="166" w:beforeLines="50" w:after="166" w:afterLines="50" w:line="360" w:lineRule="auto"/>
        <w:jc w:val="center"/>
        <w:rPr>
          <w:highlight w:val="none"/>
        </w:rPr>
      </w:pPr>
      <w:bookmarkStart w:id="1363" w:name="_Toc25586"/>
      <w:bookmarkStart w:id="1364" w:name="_Toc25512"/>
      <w:bookmarkStart w:id="1365" w:name="_Toc10234"/>
      <w:bookmarkStart w:id="1366" w:name="_Toc12460"/>
      <w:r>
        <w:rPr>
          <w:rFonts w:ascii="Times New Roman" w:hAnsi="Times New Roman" w:eastAsia="黑体" w:cs="Times New Roman"/>
          <w:b/>
          <w:color w:val="auto"/>
          <w:sz w:val="24"/>
          <w:szCs w:val="24"/>
          <w:highlight w:val="none"/>
        </w:rPr>
        <w:t xml:space="preserve">2.1 </w:t>
      </w:r>
      <w:r>
        <w:rPr>
          <w:rFonts w:ascii="Times New Roman" w:hAnsi="Times New Roman" w:eastAsia="黑体" w:cs="Times New Roman"/>
          <w:color w:val="auto"/>
          <w:sz w:val="24"/>
          <w:szCs w:val="24"/>
          <w:highlight w:val="none"/>
        </w:rPr>
        <w:t xml:space="preserve"> 术    语</w:t>
      </w:r>
      <w:bookmarkEnd w:id="1363"/>
      <w:bookmarkEnd w:id="1364"/>
      <w:bookmarkEnd w:id="1365"/>
      <w:bookmarkEnd w:id="1366"/>
    </w:p>
    <w:p w14:paraId="40B42446">
      <w:pPr>
        <w:spacing w:line="360" w:lineRule="exact"/>
        <w:ind w:firstLine="0" w:firstLineChars="0"/>
        <w:rPr>
          <w:rFonts w:hint="default" w:cs="Times New Roman"/>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2.1.1</w:t>
      </w:r>
      <w:r>
        <w:rPr>
          <w:rFonts w:hint="default" w:ascii="Times New Roman" w:hAnsi="Times New Roman" w:cs="Times New Roman"/>
          <w:b/>
          <w:color w:val="auto"/>
          <w:sz w:val="21"/>
          <w:szCs w:val="21"/>
          <w:highlight w:val="none"/>
          <w:lang w:eastAsia="zh-CN"/>
        </w:rPr>
        <w:t xml:space="preserve"> </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lang w:val="en-US" w:eastAsia="zh-CN"/>
        </w:rPr>
        <w:t>模块化建筑的模块形式应根据模块功能空间需求选择六面体、五面体或四面体。对有水、管线密集或现场质量管控难度大的功能空间（如卫生间、厨房、阳台）进行高集成设计时，应采用完整六面体模块，并在工厂完成装饰面制作及固定家具、五金洁具的安装。对其他集成度要求不高的无水空间（如起居室、卧室），为避免模块底板引起的楼层净空降低和无效建筑重量增加，在采取防止模块运输及安装过程模块开裂的有效措施后，可采用无底板的五面体模块，但五面体</w:t>
      </w:r>
      <w:r>
        <w:rPr>
          <w:rFonts w:hint="eastAsia" w:cs="Times New Roman"/>
          <w:color w:val="auto"/>
          <w:sz w:val="21"/>
          <w:szCs w:val="21"/>
          <w:highlight w:val="none"/>
          <w:lang w:val="en-US" w:eastAsia="zh-CN"/>
        </w:rPr>
        <w:t>模块仍应集成机电、装修等全专业的部品部件</w:t>
      </w:r>
      <w:r>
        <w:rPr>
          <w:rFonts w:hint="default" w:ascii="Times New Roman" w:hAnsi="Times New Roman" w:cs="Times New Roman"/>
          <w:color w:val="auto"/>
          <w:sz w:val="21"/>
          <w:szCs w:val="21"/>
          <w:highlight w:val="none"/>
          <w:lang w:val="en-US" w:eastAsia="zh-CN"/>
        </w:rPr>
        <w:t>。对特殊空间（如电梯井道），可采用无顶板和底板的四面体模块。</w:t>
      </w:r>
    </w:p>
    <w:p w14:paraId="7FDDFEA6">
      <w:pPr>
        <w:spacing w:line="360" w:lineRule="exac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2.1.2</w:t>
      </w:r>
      <w:r>
        <w:rPr>
          <w:rFonts w:hint="default" w:ascii="Times New Roman" w:hAnsi="Times New Roman" w:cs="Times New Roman"/>
          <w:b/>
          <w:color w:val="auto"/>
          <w:sz w:val="21"/>
          <w:szCs w:val="21"/>
          <w:highlight w:val="none"/>
          <w:lang w:eastAsia="zh-CN"/>
        </w:rPr>
        <w:t xml:space="preserve"> </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lang w:val="en-US" w:eastAsia="zh-CN"/>
        </w:rPr>
        <w:t>全预制模块单元在工厂内完成主体结构、机电管线和装饰装修等工序，运输至项目现场后吊装，完成竖向钢筋灌浆连接和水平拼缝连接，最后处理外立面拼缝，即可完成整栋楼的建造。适用于建筑高度24m以内的多层住宅项目。</w:t>
      </w:r>
    </w:p>
    <w:p w14:paraId="129A9716">
      <w:pPr>
        <w:spacing w:line="360" w:lineRule="exact"/>
        <w:rPr>
          <w:rFonts w:hint="default" w:ascii="Times New Roman" w:hAnsi="Times New Roman" w:cs="Times New Roman"/>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2.1.3</w:t>
      </w:r>
      <w:r>
        <w:rPr>
          <w:rFonts w:hint="default" w:ascii="Times New Roman" w:hAnsi="Times New Roman" w:cs="Times New Roman"/>
          <w:b/>
          <w:color w:val="auto"/>
          <w:sz w:val="21"/>
          <w:szCs w:val="21"/>
          <w:highlight w:val="none"/>
          <w:lang w:eastAsia="zh-CN"/>
        </w:rPr>
        <w:t xml:space="preserve"> </w:t>
      </w:r>
      <w:r>
        <w:rPr>
          <w:rFonts w:hint="default" w:ascii="Times New Roman" w:hAnsi="Times New Roman" w:cs="Times New Roman"/>
          <w:color w:val="auto"/>
          <w:sz w:val="21"/>
          <w:szCs w:val="21"/>
          <w:highlight w:val="none"/>
          <w:lang w:eastAsia="zh-CN"/>
        </w:rPr>
        <w:t xml:space="preserve"> 叠合模块单元包括预制空心剪力墙模块单元和预制叠合剪力墙模块单元，除模块预制底</w:t>
      </w:r>
      <w:bookmarkStart w:id="1367" w:name="OLE_LINK55"/>
      <w:r>
        <w:rPr>
          <w:rFonts w:hint="default" w:ascii="Times New Roman" w:hAnsi="Times New Roman" w:cs="Times New Roman"/>
          <w:color w:val="auto"/>
          <w:sz w:val="21"/>
          <w:szCs w:val="21"/>
          <w:highlight w:val="none"/>
          <w:lang w:eastAsia="zh-CN"/>
        </w:rPr>
        <w:t>板、预制顶板</w:t>
      </w:r>
      <w:bookmarkEnd w:id="1367"/>
      <w:r>
        <w:rPr>
          <w:rFonts w:hint="default" w:ascii="Times New Roman" w:hAnsi="Times New Roman" w:cs="Times New Roman"/>
          <w:color w:val="auto"/>
          <w:sz w:val="21"/>
          <w:szCs w:val="21"/>
          <w:highlight w:val="none"/>
          <w:lang w:eastAsia="zh-CN"/>
        </w:rPr>
        <w:t>、</w:t>
      </w:r>
      <w:bookmarkStart w:id="1368" w:name="OLE_LINK54"/>
      <w:r>
        <w:rPr>
          <w:rFonts w:hint="default" w:ascii="Times New Roman" w:hAnsi="Times New Roman" w:cs="Times New Roman"/>
          <w:color w:val="auto"/>
          <w:sz w:val="21"/>
          <w:szCs w:val="21"/>
          <w:highlight w:val="none"/>
          <w:lang w:eastAsia="zh-CN"/>
        </w:rPr>
        <w:t>模块墙和分隔墙外</w:t>
      </w:r>
      <w:bookmarkEnd w:id="1368"/>
      <w:r>
        <w:rPr>
          <w:rFonts w:hint="default" w:ascii="Times New Roman" w:hAnsi="Times New Roman" w:cs="Times New Roman"/>
          <w:color w:val="auto"/>
          <w:sz w:val="21"/>
          <w:szCs w:val="21"/>
          <w:highlight w:val="none"/>
          <w:lang w:eastAsia="zh-CN"/>
        </w:rPr>
        <w:t>，将主体结构预制剪力墙（包括双拼叠合剪力墙叶板、预制叠合剪力墙和预制空心剪力墙）以及叠合梁在模块上进行集成，最大限度发挥工厂构件生产的优势，减少现场钢筋绑扎和模板支设的工作量，以减少人工投入，降低建筑建造成本。</w:t>
      </w:r>
    </w:p>
    <w:p w14:paraId="6C75AE0F">
      <w:pPr>
        <w:pStyle w:val="52"/>
        <w:spacing w:line="360" w:lineRule="exact"/>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lang w:val="en-US" w:eastAsia="zh-CN"/>
        </w:rPr>
        <w:t xml:space="preserve">2.1.6 </w:t>
      </w:r>
      <w:r>
        <w:rPr>
          <w:rFonts w:hint="default" w:ascii="Times New Roman" w:hAnsi="Times New Roman" w:cs="Times New Roman"/>
          <w:color w:val="auto"/>
          <w:sz w:val="21"/>
          <w:szCs w:val="21"/>
          <w:highlight w:val="none"/>
        </w:rPr>
        <w:t>由带钢筋笼叠合边缘构件、叠合剪力墙和全预制剪力墙模块单元通过一系列构造措施现场拼接形成的完整的剪力墙结构。其构造措施包括预制叠合楼板，外墙预埋波纹管，内墙预留钢筋笼，并预留后浇边缘构件和后灌混凝土空心边缘构件。</w:t>
      </w:r>
    </w:p>
    <w:p w14:paraId="1E2EBE96">
      <w:pPr>
        <w:pStyle w:val="52"/>
        <w:spacing w:line="360" w:lineRule="exact"/>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lang w:val="en-US" w:eastAsia="zh-CN"/>
        </w:rPr>
        <w:t>2.1.7</w:t>
      </w:r>
      <w:bookmarkStart w:id="1369" w:name="OLE_LINK38"/>
      <w:r>
        <w:rPr>
          <w:rFonts w:hint="default" w:ascii="Times New Roman" w:hAnsi="Times New Roman" w:cs="Times New Roman"/>
          <w:b/>
          <w:color w:val="auto"/>
          <w:sz w:val="21"/>
          <w:szCs w:val="21"/>
          <w:highlight w:val="none"/>
          <w:lang w:eastAsia="zh-CN"/>
        </w:rPr>
        <w:t xml:space="preserve"> </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空心剪力墙</w:t>
      </w:r>
      <w:bookmarkEnd w:id="1369"/>
      <w:r>
        <w:rPr>
          <w:rFonts w:hint="default" w:ascii="Times New Roman" w:hAnsi="Times New Roman" w:cs="Times New Roman"/>
          <w:color w:val="auto"/>
          <w:sz w:val="21"/>
          <w:szCs w:val="21"/>
          <w:highlight w:val="none"/>
        </w:rPr>
        <w:t>（图2.1.</w:t>
      </w:r>
      <w:r>
        <w:rPr>
          <w:rFonts w:hint="default" w:ascii="Times New Roman" w:hAnsi="Times New Roman" w:cs="Times New Roman"/>
          <w:color w:val="auto"/>
          <w:sz w:val="21"/>
          <w:szCs w:val="21"/>
          <w:highlight w:val="none"/>
          <w:lang w:val="en-US" w:eastAsia="zh-CN"/>
        </w:rPr>
        <w:t>7</w:t>
      </w:r>
      <w:r>
        <w:rPr>
          <w:rFonts w:hint="default" w:ascii="Times New Roman" w:hAnsi="Times New Roman" w:cs="Times New Roman"/>
          <w:color w:val="auto"/>
          <w:sz w:val="21"/>
          <w:szCs w:val="21"/>
          <w:highlight w:val="none"/>
        </w:rPr>
        <w:t>）是一种预制空心墙板，它既是墙体模板，又是剪力墙构件的组成部分。空心剪力墙竖直方向</w:t>
      </w:r>
      <w:bookmarkStart w:id="1370" w:name="OLE_LINK39"/>
      <w:r>
        <w:rPr>
          <w:rFonts w:hint="default" w:ascii="Times New Roman" w:hAnsi="Times New Roman" w:cs="Times New Roman"/>
          <w:color w:val="auto"/>
          <w:sz w:val="21"/>
          <w:szCs w:val="21"/>
          <w:highlight w:val="none"/>
        </w:rPr>
        <w:t>通长孔洞</w:t>
      </w:r>
      <w:bookmarkEnd w:id="1370"/>
      <w:r>
        <w:rPr>
          <w:rFonts w:hint="default" w:ascii="Times New Roman" w:hAnsi="Times New Roman" w:cs="Times New Roman"/>
          <w:color w:val="auto"/>
          <w:sz w:val="21"/>
          <w:szCs w:val="21"/>
          <w:highlight w:val="none"/>
        </w:rPr>
        <w:t>的形状和尺寸可根据工程需要进行设计，但应满足混凝土浇筑过程中作为模板的承载能力要求。</w:t>
      </w:r>
    </w:p>
    <w:p w14:paraId="57BD96AF">
      <w:pPr>
        <w:pStyle w:val="52"/>
        <w:spacing w:line="360" w:lineRule="exact"/>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空心剪力墙内含的钢筋骨架（图2.1.</w:t>
      </w:r>
      <w:r>
        <w:rPr>
          <w:rFonts w:hint="default" w:ascii="Times New Roman" w:hAnsi="Times New Roman" w:cs="Times New Roman"/>
          <w:color w:val="auto"/>
          <w:sz w:val="21"/>
          <w:szCs w:val="21"/>
          <w:highlight w:val="none"/>
          <w:lang w:val="en-US" w:eastAsia="zh-CN"/>
        </w:rPr>
        <w:t>7</w:t>
      </w:r>
      <w:r>
        <w:rPr>
          <w:rFonts w:hint="default" w:ascii="Times New Roman" w:hAnsi="Times New Roman" w:cs="Times New Roman"/>
          <w:color w:val="auto"/>
          <w:sz w:val="21"/>
          <w:szCs w:val="21"/>
          <w:highlight w:val="none"/>
        </w:rPr>
        <w:t>）可用两片钢筋焊接网与拉筋焊接或绑扎成型。钢筋骨架竖直方向的钢筋作为墙体竖向分布钢筋；空心剪力墙可以根据工程需要做成大板，此时一般用平模生产，墙体水平受力分布钢筋可预制在大板内。大板空心墙模可参考相关产品及标准进行构造设计。</w:t>
      </w:r>
    </w:p>
    <w:p w14:paraId="4F094C6F">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br w:type="page"/>
      </w:r>
    </w:p>
    <w:p w14:paraId="22A0E8E6">
      <w:pPr>
        <w:pStyle w:val="2"/>
        <w:spacing w:before="166" w:beforeLines="50" w:after="166" w:afterLines="50" w:line="360" w:lineRule="auto"/>
        <w:jc w:val="center"/>
        <w:rPr>
          <w:rFonts w:eastAsia="黑体"/>
          <w:color w:val="auto"/>
          <w:sz w:val="28"/>
          <w:szCs w:val="28"/>
          <w:highlight w:val="none"/>
        </w:rPr>
      </w:pPr>
      <w:bookmarkStart w:id="1371" w:name="_Toc4515"/>
      <w:bookmarkStart w:id="1372" w:name="_Toc8980"/>
      <w:bookmarkStart w:id="1373" w:name="_Toc15505"/>
      <w:bookmarkStart w:id="1374" w:name="_Toc14548"/>
      <w:bookmarkStart w:id="1375" w:name="_Toc14437"/>
      <w:r>
        <w:rPr>
          <w:rFonts w:eastAsia="黑体"/>
          <w:color w:val="auto"/>
          <w:sz w:val="28"/>
          <w:szCs w:val="28"/>
          <w:highlight w:val="none"/>
        </w:rPr>
        <w:t>3  基 本 规 定</w:t>
      </w:r>
      <w:bookmarkEnd w:id="1371"/>
      <w:bookmarkEnd w:id="1372"/>
      <w:bookmarkEnd w:id="1373"/>
      <w:bookmarkEnd w:id="1374"/>
      <w:bookmarkEnd w:id="1375"/>
    </w:p>
    <w:p w14:paraId="21A9117C">
      <w:pPr>
        <w:widowControl/>
        <w:spacing w:line="360" w:lineRule="exact"/>
        <w:jc w:val="left"/>
        <w:rPr>
          <w:rFonts w:hint="default" w:ascii="Times New Roman" w:hAnsi="Times New Roman" w:cs="Times New Roman"/>
          <w:color w:val="auto"/>
          <w:kern w:val="0"/>
          <w:sz w:val="21"/>
          <w:szCs w:val="21"/>
          <w:highlight w:val="none"/>
          <w:lang w:eastAsia="zh-CN" w:bidi="ar"/>
        </w:rPr>
      </w:pPr>
      <w:r>
        <w:rPr>
          <w:rFonts w:hint="default" w:ascii="Times New Roman" w:hAnsi="Times New Roman" w:cs="Times New Roman"/>
          <w:b/>
          <w:bCs/>
          <w:color w:val="auto"/>
          <w:sz w:val="21"/>
          <w:szCs w:val="21"/>
          <w:highlight w:val="none"/>
          <w:lang w:val="en-US" w:eastAsia="zh-CN"/>
        </w:rPr>
        <w:t>3.0.1</w:t>
      </w:r>
      <w:r>
        <w:rPr>
          <w:rFonts w:hint="default" w:ascii="Times New Roman" w:hAnsi="Times New Roman" w:cs="Times New Roman"/>
          <w:b/>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混凝土模块化建筑的最大的特点，是它由若干个模块单元所组成。模块化建筑是一个系统工程，系统性和集成性是它的基本特征，通过系统集成的方法，实现设计、采购、生产、运输、施工安装和运营维护全过程的一体化。混凝土模块化建筑区别于传统建筑，将大量的现场作业转移到工厂中完成，同时，模块单元在工厂生产时集成了设备管线与内装，不仅需要各专业的协同设计，更需要不同单位间的紧密配合。为最大化发挥模块化特点，混凝土模块化建筑在建设过程应做到设计前置，在规划设计过程中系统化考虑建筑设计，生产，运输，安装等过程。建议对混凝土模块化建筑的工程建造采用EPC总承包，厂家生产加设计，或者其他倡导设计前置的合同模式</w:t>
      </w:r>
      <w:r>
        <w:rPr>
          <w:rFonts w:hint="default" w:ascii="Times New Roman" w:hAnsi="Times New Roman" w:cs="Times New Roman"/>
          <w:color w:val="auto"/>
          <w:kern w:val="0"/>
          <w:sz w:val="21"/>
          <w:szCs w:val="21"/>
          <w:highlight w:val="none"/>
          <w:lang w:bidi="ar"/>
        </w:rPr>
        <w:t xml:space="preserve"> </w:t>
      </w:r>
      <w:r>
        <w:rPr>
          <w:rFonts w:hint="default" w:ascii="Times New Roman" w:hAnsi="Times New Roman" w:cs="Times New Roman"/>
          <w:color w:val="auto"/>
          <w:kern w:val="0"/>
          <w:sz w:val="21"/>
          <w:szCs w:val="21"/>
          <w:highlight w:val="none"/>
          <w:lang w:eastAsia="zh-CN" w:bidi="ar"/>
        </w:rPr>
        <w:t>。</w:t>
      </w:r>
    </w:p>
    <w:p w14:paraId="1D7DB86A">
      <w:pPr>
        <w:widowControl/>
        <w:jc w:val="left"/>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lang w:val="en-US" w:eastAsia="zh-CN"/>
        </w:rPr>
        <w:t>3.0.2</w:t>
      </w:r>
      <w:r>
        <w:rPr>
          <w:rFonts w:hint="default" w:ascii="Times New Roman" w:hAnsi="Times New Roman" w:cs="Times New Roman"/>
          <w:b/>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 xml:space="preserve">混凝土模块化建筑的协同设计是工厂化生产、装配化施工建造的前提，应把一体化设计贯穿到工程设计全过程中，在整个建造过程中，实现全产业链上的各行业、各专业之间全过程的紧密合作；在设计的同时考虑工厂生产和现场装配的可实现性，对模块单元进行优化，从而提高模块化建筑的建造效率及质量，降低整体生产安装成本。 </w:t>
      </w:r>
    </w:p>
    <w:p w14:paraId="0AB97E32">
      <w:pPr>
        <w:widowControl/>
        <w:jc w:val="left"/>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lang w:val="en-US" w:eastAsia="zh-CN"/>
        </w:rPr>
        <w:t>3.0.3</w:t>
      </w:r>
      <w:r>
        <w:rPr>
          <w:rFonts w:hint="default" w:ascii="Times New Roman" w:hAnsi="Times New Roman" w:cs="Times New Roman"/>
          <w:b/>
          <w:color w:val="auto"/>
          <w:sz w:val="21"/>
          <w:szCs w:val="21"/>
          <w:highlight w:val="none"/>
          <w:lang w:eastAsia="zh-CN"/>
        </w:rPr>
        <w:t xml:space="preserve"> </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混凝土模块化建筑是由结构系统、围护系统、设备管线系统和内装系统等四大系统组成，是将预制部品部件通过模数协调，并以模块单元为单位在工厂进行制作安装，运送到现场后进行拼接组装，因此幕墙体系、内装体系、设备管线等设计均应前置，进行精细化的多专业管线综合设计。</w:t>
      </w:r>
    </w:p>
    <w:p w14:paraId="7DFBC10D">
      <w:pPr>
        <w:widowControl/>
        <w:jc w:val="left"/>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lang w:val="en-US" w:eastAsia="zh-CN"/>
        </w:rPr>
        <w:t>3.0.4</w:t>
      </w:r>
      <w:r>
        <w:rPr>
          <w:rFonts w:hint="default" w:ascii="Times New Roman" w:hAnsi="Times New Roman" w:cs="Times New Roman"/>
          <w:b/>
          <w:color w:val="auto"/>
          <w:sz w:val="21"/>
          <w:szCs w:val="21"/>
          <w:highlight w:val="none"/>
          <w:lang w:eastAsia="zh-CN"/>
        </w:rPr>
        <w:t xml:space="preserve"> </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模块的建筑设计，应进行模数协调，以满足施工装配化与部品部件标准化、通用化的要求。标准化设计是实施模块化建造的重要且有效的手段，没有标准化就不可能实现结构系统、围护系统、设备与管线系统以及内装系统的一体化集成。模数和模数协调是实现模块化建筑标准化设计的重要基础，有利于减少部品部件的规格种类，提高部品部件的重复使用率，有利于提高建造速度和工人的劳动效率，从而降低造价。宜通过新材料、新工艺的使用，满足建筑外立面的美观要求，实现标准化和多样化辩证的统一。</w:t>
      </w:r>
    </w:p>
    <w:p w14:paraId="4EE63EB0">
      <w:pPr>
        <w:widowControl/>
        <w:spacing w:line="360" w:lineRule="exact"/>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3.0.5</w:t>
      </w:r>
      <w:r>
        <w:rPr>
          <w:rFonts w:hint="default" w:ascii="Times New Roman" w:hAnsi="Times New Roman" w:cs="Times New Roman"/>
          <w:b/>
          <w:color w:val="auto"/>
          <w:sz w:val="21"/>
          <w:szCs w:val="21"/>
          <w:highlight w:val="none"/>
          <w:lang w:eastAsia="zh-CN"/>
        </w:rPr>
        <w:t xml:space="preserve"> </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lang w:val="en-US" w:eastAsia="zh-CN"/>
        </w:rPr>
        <w:t>模块单元的组成构件及其连接、接口</w:t>
      </w:r>
      <w:r>
        <w:rPr>
          <w:rFonts w:hint="default" w:ascii="Times New Roman" w:hAnsi="Times New Roman" w:cs="Times New Roman"/>
          <w:color w:val="auto"/>
          <w:sz w:val="21"/>
          <w:szCs w:val="21"/>
          <w:highlight w:val="none"/>
        </w:rPr>
        <w:t>实现标准化、通用化</w:t>
      </w:r>
      <w:r>
        <w:rPr>
          <w:rFonts w:hint="default" w:ascii="Times New Roman" w:hAnsi="Times New Roman" w:cs="Times New Roman"/>
          <w:color w:val="auto"/>
          <w:sz w:val="21"/>
          <w:szCs w:val="21"/>
          <w:highlight w:val="none"/>
          <w:lang w:val="en-US" w:eastAsia="zh-CN"/>
        </w:rPr>
        <w:t>能最大化发挥模块化建筑工业化生产的优势，并能有效降低模块化建筑的建造成本。</w:t>
      </w:r>
    </w:p>
    <w:p w14:paraId="3DA67F16">
      <w:pPr>
        <w:widowControl/>
        <w:jc w:val="left"/>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lang w:val="en-US" w:eastAsia="zh-CN"/>
        </w:rPr>
        <w:t>3.0.6</w:t>
      </w:r>
      <w:r>
        <w:rPr>
          <w:rFonts w:hint="default" w:ascii="Times New Roman" w:hAnsi="Times New Roman" w:cs="Times New Roman"/>
          <w:b/>
          <w:color w:val="auto"/>
          <w:sz w:val="21"/>
          <w:szCs w:val="21"/>
          <w:highlight w:val="none"/>
          <w:lang w:eastAsia="zh-CN"/>
        </w:rPr>
        <w:t xml:space="preserve"> </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与传统的建筑方法相比，模块化建筑有更多的连接接口。规定公差是为了建立模块单元之间，以及模块单元与各个功能系统之间的尺寸协调关系，以保证各种模块单元和各功能系统在施工现场能准确地装配在一起，安装接缝、放线定位中的偏差控制在允许的范围内，使接口的功能、质量和美观均达到设计预期的要求。</w:t>
      </w:r>
    </w:p>
    <w:p w14:paraId="7C198C4F">
      <w:pPr>
        <w:widowControl/>
        <w:spacing w:line="360" w:lineRule="exact"/>
        <w:jc w:val="left"/>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u w:val="none"/>
          <w:lang w:val="en-US" w:eastAsia="zh-CN"/>
        </w:rPr>
        <w:t>3.0.9</w:t>
      </w:r>
      <w:r>
        <w:rPr>
          <w:rFonts w:hint="default" w:ascii="Times New Roman" w:hAnsi="Times New Roman" w:cs="Times New Roman"/>
          <w:b/>
          <w:color w:val="auto"/>
          <w:sz w:val="21"/>
          <w:szCs w:val="21"/>
          <w:highlight w:val="none"/>
          <w:u w:val="none"/>
          <w:lang w:eastAsia="zh-CN"/>
        </w:rPr>
        <w:t xml:space="preserve"> </w:t>
      </w:r>
      <w:r>
        <w:rPr>
          <w:rFonts w:hint="default" w:ascii="Times New Roman" w:hAnsi="Times New Roman" w:cs="Times New Roman"/>
          <w:color w:val="auto"/>
          <w:sz w:val="21"/>
          <w:szCs w:val="21"/>
          <w:highlight w:val="none"/>
          <w:u w:val="none"/>
          <w:lang w:eastAsia="zh-CN"/>
        </w:rPr>
        <w:t xml:space="preserve"> </w:t>
      </w:r>
      <w:r>
        <w:rPr>
          <w:rFonts w:hint="default" w:ascii="Times New Roman" w:hAnsi="Times New Roman" w:cs="Times New Roman"/>
          <w:color w:val="auto"/>
          <w:sz w:val="21"/>
          <w:szCs w:val="21"/>
          <w:highlight w:val="none"/>
        </w:rPr>
        <w:t>混凝土模块化建筑区别于传统建筑，将大量的现场作业转移到工厂中完成，同时，模块单元在工厂生产时集成了设备管线与内装，不仅需要各专业的协同设计，更需要不同单位间的紧密配合，因此建议采用EPC总承包模式，便于项目实施。</w:t>
      </w:r>
    </w:p>
    <w:p w14:paraId="022FFA70">
      <w:pPr>
        <w:widowControl/>
        <w:jc w:val="left"/>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lang w:val="en-US" w:eastAsia="zh-CN"/>
        </w:rPr>
        <w:t>3.0.10</w:t>
      </w:r>
      <w:r>
        <w:rPr>
          <w:rFonts w:hint="default" w:ascii="Times New Roman" w:hAnsi="Times New Roman" w:cs="Times New Roman"/>
          <w:b/>
          <w:color w:val="auto"/>
          <w:sz w:val="21"/>
          <w:szCs w:val="21"/>
          <w:highlight w:val="none"/>
          <w:lang w:eastAsia="zh-CN"/>
        </w:rPr>
        <w:t xml:space="preserve"> </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建筑信息模型技术是混凝土模块装配式建筑建造过程的重要手段。通过信息数据平台管理系统将设计、生产、施工、物流和运营等各环节联系为一体化管理，对提高工程建设各阶段及各专业之间协同配合的效率，以及一体化管理水平具有重要作用。</w:t>
      </w:r>
    </w:p>
    <w:p w14:paraId="36C48CE0">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br w:type="page"/>
      </w:r>
    </w:p>
    <w:p w14:paraId="2F4FEF91">
      <w:pPr>
        <w:pStyle w:val="2"/>
        <w:spacing w:before="166" w:beforeLines="50" w:after="166" w:afterLines="50" w:line="360" w:lineRule="auto"/>
        <w:jc w:val="center"/>
        <w:rPr>
          <w:rFonts w:eastAsia="黑体"/>
          <w:color w:val="auto"/>
          <w:sz w:val="28"/>
          <w:szCs w:val="28"/>
          <w:highlight w:val="none"/>
        </w:rPr>
      </w:pPr>
      <w:bookmarkStart w:id="1376" w:name="_Toc15736"/>
      <w:bookmarkStart w:id="1377" w:name="_Toc32608"/>
      <w:bookmarkStart w:id="1378" w:name="_Toc32230"/>
      <w:bookmarkStart w:id="1379" w:name="_Toc19158"/>
      <w:bookmarkStart w:id="1380" w:name="_Toc11576"/>
      <w:r>
        <w:rPr>
          <w:rFonts w:eastAsia="黑体"/>
          <w:color w:val="auto"/>
          <w:sz w:val="28"/>
          <w:szCs w:val="28"/>
          <w:highlight w:val="none"/>
        </w:rPr>
        <w:t>4  材    料</w:t>
      </w:r>
      <w:bookmarkEnd w:id="1376"/>
      <w:bookmarkEnd w:id="1377"/>
      <w:bookmarkEnd w:id="1378"/>
      <w:bookmarkEnd w:id="1379"/>
      <w:bookmarkEnd w:id="1380"/>
    </w:p>
    <w:p w14:paraId="23EFD7CC">
      <w:pPr>
        <w:pStyle w:val="3"/>
        <w:spacing w:before="166" w:beforeLines="50" w:after="166" w:afterLines="50" w:line="360" w:lineRule="auto"/>
        <w:jc w:val="center"/>
        <w:rPr>
          <w:highlight w:val="none"/>
        </w:rPr>
      </w:pPr>
      <w:bookmarkStart w:id="1381" w:name="_Toc24090"/>
      <w:bookmarkStart w:id="1382" w:name="_Toc18281"/>
      <w:bookmarkStart w:id="1383" w:name="_Toc9213"/>
      <w:bookmarkStart w:id="1384" w:name="_Toc30342"/>
      <w:r>
        <w:rPr>
          <w:rFonts w:ascii="Times New Roman" w:hAnsi="Times New Roman" w:eastAsia="黑体" w:cs="Times New Roman"/>
          <w:b/>
          <w:color w:val="auto"/>
          <w:sz w:val="24"/>
          <w:szCs w:val="24"/>
          <w:highlight w:val="none"/>
        </w:rPr>
        <w:t xml:space="preserve">4.1 </w:t>
      </w:r>
      <w:r>
        <w:rPr>
          <w:rFonts w:ascii="Times New Roman" w:hAnsi="Times New Roman" w:eastAsia="黑体" w:cs="Times New Roman"/>
          <w:color w:val="auto"/>
          <w:sz w:val="24"/>
          <w:szCs w:val="24"/>
          <w:highlight w:val="none"/>
        </w:rPr>
        <w:t xml:space="preserve"> 结 构 材 料</w:t>
      </w:r>
      <w:bookmarkEnd w:id="1381"/>
      <w:bookmarkEnd w:id="1382"/>
      <w:bookmarkEnd w:id="1383"/>
      <w:bookmarkEnd w:id="1384"/>
    </w:p>
    <w:p w14:paraId="6398A97B">
      <w:pPr>
        <w:spacing w:line="360" w:lineRule="exact"/>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lang w:val="en-US" w:eastAsia="zh-CN"/>
        </w:rPr>
        <w:t>4.1.3</w:t>
      </w:r>
      <w:r>
        <w:rPr>
          <w:rFonts w:hint="default" w:ascii="Times New Roman" w:hAnsi="Times New Roman" w:cs="Times New Roman"/>
          <w:b/>
          <w:color w:val="auto"/>
          <w:sz w:val="21"/>
          <w:szCs w:val="21"/>
          <w:highlight w:val="none"/>
          <w:lang w:eastAsia="zh-CN"/>
        </w:rPr>
        <w:t xml:space="preserve"> </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混凝土模块单元需经历生产、运输、吊装等多道工序，为避免模块在以上工序中造成损坏，提高材料的利用效率，考虑在现行国家标准《混凝土结构设计</w:t>
      </w:r>
      <w:r>
        <w:rPr>
          <w:rFonts w:hint="default" w:ascii="Times New Roman" w:hAnsi="Times New Roman" w:cs="Times New Roman"/>
          <w:color w:val="auto"/>
          <w:sz w:val="21"/>
          <w:szCs w:val="21"/>
          <w:highlight w:val="none"/>
          <w:lang w:val="en-US" w:eastAsia="zh-CN"/>
        </w:rPr>
        <w:t>标准</w:t>
      </w:r>
      <w:r>
        <w:rPr>
          <w:rFonts w:hint="default" w:ascii="Times New Roman" w:hAnsi="Times New Roman" w:cs="Times New Roman"/>
          <w:color w:val="auto"/>
          <w:sz w:val="21"/>
          <w:szCs w:val="21"/>
          <w:highlight w:val="none"/>
        </w:rPr>
        <w:t>》GB/T 50010 的有关规定的基础上适当提高模块化结构混凝土的强度等级，要求最低强度等级不低于C30。</w:t>
      </w:r>
    </w:p>
    <w:p w14:paraId="76DDF835">
      <w:pPr>
        <w:widowControl/>
        <w:jc w:val="left"/>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lang w:val="en-US" w:eastAsia="zh-CN"/>
        </w:rPr>
        <w:t>4.1.10</w:t>
      </w:r>
      <w:r>
        <w:rPr>
          <w:rFonts w:hint="default" w:ascii="Times New Roman" w:hAnsi="Times New Roman" w:cs="Times New Roman"/>
          <w:b/>
          <w:color w:val="auto"/>
          <w:sz w:val="21"/>
          <w:szCs w:val="21"/>
          <w:highlight w:val="none"/>
          <w:lang w:eastAsia="zh-CN"/>
        </w:rPr>
        <w:t xml:space="preserve"> </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参考国家现行标准《水泥基灌浆材料应用技术规程》GB/T 50448行业标准《钢筋连接用套筒灌浆料》JG/T408和《钢筋套筒灌浆连接应用技术规程》JGJ 355制定了水平接缝灌浆料、插筋预留孔灌浆连接用灌浆料的性能要求。水平接缝用灌浆料要传递接缝的压力和剪力，其强度应高于构件，因此要求较高。灌浆料需采用成品干混料。</w:t>
      </w:r>
    </w:p>
    <w:p w14:paraId="719444B2">
      <w:pPr>
        <w:spacing w:line="36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4.1.11</w:t>
      </w:r>
      <w:r>
        <w:rPr>
          <w:rFonts w:hint="default" w:ascii="Times New Roman" w:hAnsi="Times New Roman" w:cs="Times New Roman"/>
          <w:b/>
          <w:color w:val="auto"/>
          <w:sz w:val="21"/>
          <w:szCs w:val="21"/>
          <w:highlight w:val="none"/>
          <w:lang w:eastAsia="zh-CN"/>
        </w:rPr>
        <w:t xml:space="preserve"> </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lang w:val="en-US" w:eastAsia="zh-CN"/>
        </w:rPr>
        <w:t>座浆料主要用于模块结构构件底部，需</w:t>
      </w:r>
      <w:r>
        <w:rPr>
          <w:rFonts w:hint="default" w:ascii="Times New Roman" w:hAnsi="Times New Roman" w:cs="Times New Roman"/>
          <w:color w:val="auto"/>
          <w:sz w:val="21"/>
          <w:szCs w:val="21"/>
          <w:highlight w:val="none"/>
        </w:rPr>
        <w:t>传递</w:t>
      </w:r>
      <w:r>
        <w:rPr>
          <w:rFonts w:hint="default" w:ascii="Times New Roman" w:hAnsi="Times New Roman" w:cs="Times New Roman"/>
          <w:color w:val="auto"/>
          <w:sz w:val="21"/>
          <w:szCs w:val="21"/>
          <w:highlight w:val="none"/>
          <w:lang w:val="en-US" w:eastAsia="zh-CN"/>
        </w:rPr>
        <w:t>竖向构件</w:t>
      </w:r>
      <w:r>
        <w:rPr>
          <w:rFonts w:hint="default" w:ascii="Times New Roman" w:hAnsi="Times New Roman" w:cs="Times New Roman"/>
          <w:color w:val="auto"/>
          <w:sz w:val="21"/>
          <w:szCs w:val="21"/>
          <w:highlight w:val="none"/>
        </w:rPr>
        <w:t>接缝的压力和剪力，其强度应高于构件，因此要求较高。</w:t>
      </w:r>
    </w:p>
    <w:p w14:paraId="2CA683BD">
      <w:pPr>
        <w:widowControl/>
        <w:jc w:val="left"/>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lang w:val="en-US" w:eastAsia="zh-CN"/>
        </w:rPr>
        <w:t>4.1.13</w:t>
      </w:r>
      <w:r>
        <w:rPr>
          <w:rFonts w:hint="default" w:ascii="Times New Roman" w:hAnsi="Times New Roman" w:cs="Times New Roman"/>
          <w:b/>
          <w:color w:val="auto"/>
          <w:sz w:val="21"/>
          <w:szCs w:val="21"/>
          <w:highlight w:val="none"/>
          <w:lang w:eastAsia="zh-CN"/>
        </w:rPr>
        <w:t xml:space="preserve"> </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lang w:val="en-US" w:eastAsia="zh-CN"/>
        </w:rPr>
        <w:t>本标准中自密实混凝土的性能要求参</w:t>
      </w:r>
      <w:r>
        <w:rPr>
          <w:rFonts w:hint="eastAsia" w:cs="Times New Roman"/>
          <w:color w:val="auto"/>
          <w:sz w:val="21"/>
          <w:szCs w:val="21"/>
          <w:highlight w:val="none"/>
          <w:lang w:val="en-US" w:eastAsia="zh-CN"/>
        </w:rPr>
        <w:t>照</w:t>
      </w:r>
      <w:r>
        <w:rPr>
          <w:rFonts w:hint="default" w:ascii="Times New Roman" w:hAnsi="Times New Roman" w:cs="Times New Roman"/>
          <w:color w:val="auto"/>
          <w:sz w:val="21"/>
          <w:szCs w:val="21"/>
          <w:highlight w:val="none"/>
          <w:lang w:val="en-US" w:eastAsia="zh-CN"/>
        </w:rPr>
        <w:t>现行行业标准《自密实混凝土应用技术规程》JGJ/T 283的规定。</w:t>
      </w:r>
      <w:r>
        <w:rPr>
          <w:rFonts w:hint="default" w:ascii="Times New Roman" w:hAnsi="Times New Roman" w:cs="Times New Roman"/>
          <w:color w:val="auto"/>
          <w:sz w:val="21"/>
          <w:szCs w:val="21"/>
          <w:highlight w:val="none"/>
        </w:rPr>
        <w:t>J-环扩展度J-Ring flow指J-环扩展度实验中，混凝土停止流动后，展开圆形的最大直径和与最大直径呈垂直方向的直径的平均值(mm)。</w:t>
      </w:r>
    </w:p>
    <w:p w14:paraId="2AAA5844">
      <w:pPr>
        <w:pStyle w:val="3"/>
        <w:spacing w:before="166" w:beforeLines="50" w:after="166" w:afterLines="50" w:line="360" w:lineRule="auto"/>
        <w:jc w:val="center"/>
        <w:rPr>
          <w:rFonts w:hint="default" w:ascii="Times New Roman" w:hAnsi="Times New Roman" w:cs="Times New Roman"/>
          <w:color w:val="auto"/>
          <w:sz w:val="21"/>
          <w:szCs w:val="21"/>
          <w:highlight w:val="none"/>
        </w:rPr>
      </w:pPr>
      <w:bookmarkStart w:id="1385" w:name="_Toc27050"/>
      <w:bookmarkStart w:id="1386" w:name="_Toc6592"/>
      <w:bookmarkStart w:id="1387" w:name="_Toc26624"/>
      <w:bookmarkStart w:id="1388" w:name="_Toc5794"/>
      <w:r>
        <w:rPr>
          <w:rFonts w:ascii="Times New Roman" w:hAnsi="Times New Roman" w:eastAsia="黑体" w:cs="Times New Roman"/>
          <w:b/>
          <w:color w:val="auto"/>
          <w:sz w:val="24"/>
          <w:szCs w:val="24"/>
          <w:highlight w:val="none"/>
        </w:rPr>
        <w:t xml:space="preserve">4.3 </w:t>
      </w:r>
      <w:r>
        <w:rPr>
          <w:rFonts w:ascii="Times New Roman" w:hAnsi="Times New Roman" w:eastAsia="黑体" w:cs="Times New Roman"/>
          <w:color w:val="auto"/>
          <w:sz w:val="24"/>
          <w:szCs w:val="24"/>
          <w:highlight w:val="none"/>
        </w:rPr>
        <w:t xml:space="preserve"> 其 他 材 料</w:t>
      </w:r>
      <w:bookmarkEnd w:id="1385"/>
      <w:bookmarkEnd w:id="1386"/>
      <w:bookmarkEnd w:id="1387"/>
      <w:bookmarkEnd w:id="1388"/>
    </w:p>
    <w:p w14:paraId="4C816F93">
      <w:pPr>
        <w:widowControl/>
        <w:jc w:val="left"/>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lang w:val="en-US" w:eastAsia="zh-CN"/>
        </w:rPr>
        <w:t>4.3.2</w:t>
      </w:r>
      <w:r>
        <w:rPr>
          <w:rFonts w:hint="default" w:ascii="Times New Roman" w:hAnsi="Times New Roman" w:cs="Times New Roman"/>
          <w:b/>
          <w:color w:val="auto"/>
          <w:sz w:val="21"/>
          <w:szCs w:val="21"/>
          <w:highlight w:val="none"/>
          <w:lang w:eastAsia="zh-CN"/>
        </w:rPr>
        <w:t xml:space="preserve"> </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 xml:space="preserve">为使得模块单元尽量轻质，容易吊装，对于模块化结构中的非承重墙体，应尽量减轻其重量。另外为避免模块单元中非承重墙体过多参与结构受力，造成结构计算分析偏差过大，应尽量采用强度等级较低的轻骨料混凝土。 </w:t>
      </w:r>
    </w:p>
    <w:p w14:paraId="46F45BAF">
      <w:pPr>
        <w:pStyle w:val="52"/>
        <w:spacing w:line="360" w:lineRule="exact"/>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lang w:val="en-US" w:eastAsia="zh-CN"/>
        </w:rPr>
        <w:t>4.3.5</w:t>
      </w:r>
      <w:r>
        <w:rPr>
          <w:rFonts w:hint="default" w:ascii="Times New Roman" w:hAnsi="Times New Roman" w:cs="Times New Roman"/>
          <w:b/>
          <w:bCs/>
          <w:color w:val="auto"/>
          <w:sz w:val="21"/>
          <w:szCs w:val="21"/>
          <w:highlight w:val="none"/>
          <w:lang w:eastAsia="zh-CN"/>
        </w:rPr>
        <w:t xml:space="preserve">  </w:t>
      </w:r>
      <w:r>
        <w:rPr>
          <w:rFonts w:hint="default" w:ascii="Times New Roman" w:hAnsi="Times New Roman" w:cs="Times New Roman"/>
          <w:color w:val="auto"/>
          <w:sz w:val="21"/>
          <w:szCs w:val="21"/>
          <w:highlight w:val="none"/>
        </w:rPr>
        <w:t>参考建工行业标准《建筑幕墙用硅酮结构密封胶》JG/T475-2015硅酮结构密封胶具有不低于25a的使用寿命。密封胶种类、数量较多，需根据应用环境、功能需求选用，装配式建筑用密封胶除应具有一定的变形能力、与混凝土材料具有相容性以外，尚需符合外观性能、材料性能以及在固化过程中的性能的相关要求。密封材料的耐久性是考察其在使用过程中能长期保持其粘结密封性能和本体性能的指标。在使用环境中，密封材料除经受紫外线、臭氧、温度、水等因素作用外，因温度变化等原因引起的接缝移动使材料本身经常承受周期变化的应力，因而其耐久性显得尤其重要。混凝土模块化建筑中，模块拼接处外漏密封材料直接接触日光、空气和水，容易老化。因此可在使用期内更换的，其耐久性要求不宜低于25年。不可在使用期内更换的材料，其耐久性的要求需与主体结构的使用年限适配。</w:t>
      </w:r>
    </w:p>
    <w:p w14:paraId="016B88CC">
      <w:pPr>
        <w:widowControl/>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密封胶性能应满足《混凝土建筑接缝用密封胶》JC/T 881的规定；《装配式混凝土结构技术规程》JGJ 1要求：硅酮、聚氨酯、聚硫密封胶应分别符合国家现行标准《硅酮建筑密封胶》GB/T</w:t>
      </w:r>
      <w:r>
        <w:rPr>
          <w:rFonts w:hint="eastAsia"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14683、《聚氨酯建筑密封胶》JC/T 482和《聚硫建筑密封胶》JC/T</w:t>
      </w:r>
      <w:r>
        <w:rPr>
          <w:rFonts w:hint="eastAsia"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483的规定；接缝中的背衬可采用发泡氯丁橡胶或聚乙烯塑料棒；考虑到目前市面较多采用硅烷改性聚醚密封胶（MS胶），MS建筑密封胶的性能可参考现行标准《建筑用硅烷改性聚醚密封胶》TFSI047的有关要求。</w:t>
      </w:r>
    </w:p>
    <w:p w14:paraId="29B2FC59">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br w:type="page"/>
      </w:r>
    </w:p>
    <w:p w14:paraId="14CDDE37">
      <w:pPr>
        <w:pStyle w:val="2"/>
        <w:spacing w:before="166" w:beforeLines="50" w:after="166" w:afterLines="50" w:line="360" w:lineRule="auto"/>
        <w:jc w:val="center"/>
        <w:rPr>
          <w:rFonts w:eastAsia="黑体"/>
          <w:color w:val="auto"/>
          <w:sz w:val="28"/>
          <w:szCs w:val="28"/>
          <w:highlight w:val="none"/>
        </w:rPr>
      </w:pPr>
      <w:bookmarkStart w:id="1389" w:name="_Toc3901"/>
      <w:bookmarkStart w:id="1390" w:name="_Toc11089"/>
      <w:bookmarkStart w:id="1391" w:name="_Toc27544"/>
      <w:bookmarkStart w:id="1392" w:name="_Toc2367"/>
      <w:bookmarkStart w:id="1393" w:name="_Toc18752"/>
      <w:r>
        <w:rPr>
          <w:rFonts w:eastAsia="黑体"/>
          <w:color w:val="auto"/>
          <w:sz w:val="28"/>
          <w:szCs w:val="28"/>
          <w:highlight w:val="none"/>
        </w:rPr>
        <w:t>5  建 筑 设 计</w:t>
      </w:r>
      <w:bookmarkEnd w:id="1389"/>
      <w:bookmarkEnd w:id="1390"/>
      <w:bookmarkEnd w:id="1391"/>
      <w:bookmarkEnd w:id="1392"/>
      <w:bookmarkEnd w:id="1393"/>
    </w:p>
    <w:p w14:paraId="41029E41">
      <w:pPr>
        <w:pStyle w:val="3"/>
        <w:spacing w:before="166" w:beforeLines="50" w:after="166" w:afterLines="50" w:line="360" w:lineRule="auto"/>
        <w:jc w:val="center"/>
        <w:rPr>
          <w:rFonts w:hint="default"/>
          <w:highlight w:val="none"/>
        </w:rPr>
      </w:pPr>
      <w:bookmarkStart w:id="1394" w:name="_Toc17203"/>
      <w:bookmarkStart w:id="1395" w:name="_Toc23740"/>
      <w:bookmarkStart w:id="1396" w:name="_Toc28911"/>
      <w:bookmarkStart w:id="1397" w:name="_Toc26038"/>
      <w:r>
        <w:rPr>
          <w:rFonts w:ascii="Times New Roman" w:hAnsi="Times New Roman" w:eastAsia="黑体" w:cs="Times New Roman"/>
          <w:b/>
          <w:color w:val="auto"/>
          <w:sz w:val="24"/>
          <w:szCs w:val="24"/>
          <w:highlight w:val="none"/>
        </w:rPr>
        <w:t xml:space="preserve">5.2 </w:t>
      </w:r>
      <w:r>
        <w:rPr>
          <w:rFonts w:ascii="Times New Roman" w:hAnsi="Times New Roman" w:eastAsia="黑体" w:cs="Times New Roman"/>
          <w:color w:val="auto"/>
          <w:sz w:val="24"/>
          <w:szCs w:val="24"/>
          <w:highlight w:val="none"/>
        </w:rPr>
        <w:t xml:space="preserve"> 系统集成设计</w:t>
      </w:r>
      <w:bookmarkEnd w:id="1394"/>
      <w:bookmarkEnd w:id="1395"/>
      <w:bookmarkEnd w:id="1396"/>
      <w:bookmarkEnd w:id="1397"/>
    </w:p>
    <w:p w14:paraId="5FD3C0DE">
      <w:pPr>
        <w:widowControl/>
        <w:jc w:val="left"/>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lang w:val="en-US" w:eastAsia="zh-CN"/>
        </w:rPr>
        <w:t>5.2.1</w:t>
      </w:r>
      <w:r>
        <w:rPr>
          <w:rFonts w:hint="default" w:ascii="Times New Roman" w:hAnsi="Times New Roman" w:cs="Times New Roman"/>
          <w:b/>
          <w:color w:val="auto"/>
          <w:sz w:val="21"/>
          <w:szCs w:val="21"/>
          <w:highlight w:val="none"/>
          <w:lang w:eastAsia="zh-CN"/>
        </w:rPr>
        <w:t xml:space="preserve"> </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 xml:space="preserve"> 有了基本的模数关系，才能实现模块单元之间、模块单元与内装系统之间以及各个内装系统之间的尺寸协调，实现设计与生产安装之间的尺寸配合。目前，工业发达国家水平方向的协调尺寸基本全部采用 3M。根据我国的国情，</w:t>
      </w:r>
      <w:r>
        <w:rPr>
          <w:rFonts w:hint="eastAsia" w:cs="Times New Roman"/>
          <w:color w:val="auto"/>
          <w:sz w:val="21"/>
          <w:szCs w:val="21"/>
          <w:highlight w:val="none"/>
          <w:lang w:eastAsia="zh-CN"/>
        </w:rPr>
        <w:t>本标准</w:t>
      </w:r>
      <w:r>
        <w:rPr>
          <w:rFonts w:hint="default" w:ascii="Times New Roman" w:hAnsi="Times New Roman" w:cs="Times New Roman"/>
          <w:color w:val="auto"/>
          <w:sz w:val="21"/>
          <w:szCs w:val="21"/>
          <w:highlight w:val="none"/>
        </w:rPr>
        <w:t xml:space="preserve">提出在模块化建筑中的空间模数参考系统以基本模数 1M 作为基础，1M等于100mm；有条件时可以采用 2M 和 3M 作为模数网格的基本尺寸。 </w:t>
      </w:r>
    </w:p>
    <w:p w14:paraId="0F170CFA">
      <w:pP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lang w:val="en-US" w:eastAsia="zh-CN"/>
        </w:rPr>
        <w:t>5.2.3</w:t>
      </w:r>
      <w:r>
        <w:rPr>
          <w:rFonts w:hint="default" w:ascii="Times New Roman" w:hAnsi="Times New Roman" w:cs="Times New Roman"/>
          <w:b/>
          <w:color w:val="auto"/>
          <w:sz w:val="21"/>
          <w:szCs w:val="21"/>
          <w:highlight w:val="none"/>
          <w:lang w:eastAsia="zh-CN"/>
        </w:rPr>
        <w:t xml:space="preserve"> </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模块单元沿水平方向的定位基准面宜采用中心线定位法，中心线应定位于模块单元间接口的中间位置；混凝土模块化建筑平面中相邻中心线间距尺寸应等于模块单元内部净尺寸、模块两侧墙体厚度与模块之间接口尺寸之和。混凝土模块化建筑的层高定位基准面应设置在模块单元底板的建筑完成面顶面，建筑层高为下层模块单元室内建筑完成面至上层模块单元室内建筑完成面之间的高度。</w:t>
      </w:r>
    </w:p>
    <w:p w14:paraId="67D9C374">
      <w:pPr>
        <w:widowControl/>
        <w:spacing w:line="360" w:lineRule="exact"/>
        <w:rPr>
          <w:rFonts w:hint="default" w:ascii="Times New Roman" w:hAnsi="Times New Roman" w:cs="Times New Roman"/>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5.2.4</w:t>
      </w:r>
      <w:r>
        <w:rPr>
          <w:rFonts w:hint="default" w:ascii="Times New Roman" w:hAnsi="Times New Roman" w:cs="Times New Roman"/>
          <w:b/>
          <w:color w:val="auto"/>
          <w:sz w:val="21"/>
          <w:szCs w:val="21"/>
          <w:highlight w:val="none"/>
          <w:lang w:eastAsia="zh-CN"/>
        </w:rPr>
        <w:t xml:space="preserve"> </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模块单元平面尺寸应符合建筑功能与人居环境要求，单个模块单元进深不宜超过10m，单个模块单元的宽度不宜超过4m</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楼梯间模块宜单独设计，宜采用2.4m、2.7m开间</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模块高度应符合国家有关建筑标准和模数规定，室内可居住房间净高不应小于2.6m，厨房、卫浴、走廊、通道等房间净高不应小于2.4m</w:t>
      </w:r>
      <w:r>
        <w:rPr>
          <w:rFonts w:hint="default" w:ascii="Times New Roman" w:hAnsi="Times New Roman" w:cs="Times New Roman"/>
          <w:color w:val="auto"/>
          <w:sz w:val="21"/>
          <w:szCs w:val="21"/>
          <w:highlight w:val="none"/>
          <w:lang w:eastAsia="zh-CN"/>
        </w:rPr>
        <w:t>。</w:t>
      </w:r>
    </w:p>
    <w:p w14:paraId="7BDB586D">
      <w:pPr>
        <w:widowControl/>
        <w:spacing w:line="360" w:lineRule="exac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模块单元尺寸应根据建筑设计要求，并综合生产、吊装、运输等条件确定；模块单元宽度标志尺寸不宜大于4.0m，长度标志尺寸不宜大于12m，高度标志尺寸不宜大于4.1m。</w:t>
      </w:r>
    </w:p>
    <w:p w14:paraId="5297BFD2">
      <w:pPr>
        <w:pStyle w:val="3"/>
        <w:spacing w:before="166" w:beforeLines="50" w:after="166" w:afterLines="50" w:line="360" w:lineRule="auto"/>
        <w:jc w:val="center"/>
        <w:rPr>
          <w:rFonts w:hint="default" w:ascii="Times New Roman" w:hAnsi="Times New Roman" w:cs="Times New Roman"/>
          <w:color w:val="auto"/>
          <w:sz w:val="21"/>
          <w:szCs w:val="21"/>
          <w:highlight w:val="none"/>
        </w:rPr>
      </w:pPr>
      <w:bookmarkStart w:id="1398" w:name="_Toc6677"/>
      <w:bookmarkStart w:id="1399" w:name="_Toc27814"/>
      <w:bookmarkStart w:id="1400" w:name="_Toc41"/>
      <w:bookmarkStart w:id="1401" w:name="_Toc12279"/>
      <w:r>
        <w:rPr>
          <w:rFonts w:ascii="Times New Roman" w:hAnsi="Times New Roman" w:eastAsia="黑体" w:cs="Times New Roman"/>
          <w:b/>
          <w:color w:val="auto"/>
          <w:sz w:val="24"/>
          <w:szCs w:val="24"/>
          <w:highlight w:val="none"/>
        </w:rPr>
        <w:t xml:space="preserve">5.5 </w:t>
      </w:r>
      <w:r>
        <w:rPr>
          <w:rFonts w:ascii="Times New Roman" w:hAnsi="Times New Roman" w:eastAsia="黑体" w:cs="Times New Roman"/>
          <w:color w:val="auto"/>
          <w:sz w:val="24"/>
          <w:szCs w:val="24"/>
          <w:highlight w:val="none"/>
        </w:rPr>
        <w:t xml:space="preserve"> 建筑构造</w:t>
      </w:r>
      <w:bookmarkEnd w:id="1398"/>
      <w:bookmarkEnd w:id="1399"/>
      <w:bookmarkEnd w:id="1400"/>
      <w:bookmarkEnd w:id="1401"/>
    </w:p>
    <w:p w14:paraId="52FEB304">
      <w:pPr>
        <w:autoSpaceDE w:val="0"/>
        <w:autoSpaceDN w:val="0"/>
        <w:adjustRightInd w:val="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5.5.9</w:t>
      </w:r>
      <w:r>
        <w:rPr>
          <w:rFonts w:hint="default" w:ascii="Times New Roman" w:hAnsi="Times New Roman" w:cs="Times New Roman"/>
          <w:b/>
          <w:color w:val="auto"/>
          <w:sz w:val="21"/>
          <w:szCs w:val="21"/>
          <w:highlight w:val="none"/>
          <w:lang w:eastAsia="zh-CN"/>
        </w:rPr>
        <w:t xml:space="preserve"> </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lang w:val="en-US" w:eastAsia="zh-CN"/>
        </w:rPr>
        <w:t>模块外门窗框的密闭性对建筑的防水和隔声至关重要，而预埋窗口相较于后装窗口来说，具有更好的防渗漏和隔声效果。对于模块化建筑来说，外门窗框有条件在工厂预埋在预制混凝土构件上，因此门窗框建议在工厂采用预埋工艺进行生产。</w:t>
      </w:r>
    </w:p>
    <w:p w14:paraId="677EE50E">
      <w:pP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br w:type="page"/>
      </w:r>
    </w:p>
    <w:p w14:paraId="52165CA6">
      <w:pPr>
        <w:pStyle w:val="2"/>
        <w:spacing w:before="166" w:beforeLines="50" w:after="166" w:afterLines="50" w:line="360" w:lineRule="auto"/>
        <w:jc w:val="center"/>
        <w:rPr>
          <w:rFonts w:eastAsia="黑体"/>
          <w:color w:val="auto"/>
          <w:sz w:val="28"/>
          <w:szCs w:val="28"/>
          <w:highlight w:val="none"/>
        </w:rPr>
      </w:pPr>
      <w:bookmarkStart w:id="1402" w:name="_Toc27366"/>
      <w:bookmarkStart w:id="1403" w:name="_Toc1108"/>
      <w:bookmarkStart w:id="1404" w:name="_Toc20266"/>
      <w:bookmarkStart w:id="1405" w:name="_Toc25134"/>
      <w:bookmarkStart w:id="1406" w:name="_Toc29803"/>
      <w:r>
        <w:rPr>
          <w:rFonts w:eastAsia="黑体"/>
          <w:color w:val="auto"/>
          <w:sz w:val="28"/>
          <w:szCs w:val="28"/>
          <w:highlight w:val="none"/>
        </w:rPr>
        <w:t>6  结 构 设 计</w:t>
      </w:r>
      <w:bookmarkEnd w:id="1402"/>
      <w:bookmarkEnd w:id="1403"/>
      <w:bookmarkEnd w:id="1404"/>
      <w:bookmarkEnd w:id="1405"/>
      <w:bookmarkEnd w:id="1406"/>
    </w:p>
    <w:p w14:paraId="09645C3A">
      <w:pPr>
        <w:pStyle w:val="3"/>
        <w:spacing w:before="166" w:beforeLines="50" w:after="166" w:afterLines="50" w:line="360" w:lineRule="auto"/>
        <w:jc w:val="center"/>
        <w:rPr>
          <w:rFonts w:hint="default"/>
          <w:highlight w:val="none"/>
          <w:lang w:val="en-US" w:eastAsia="zh-CN"/>
        </w:rPr>
      </w:pPr>
      <w:bookmarkStart w:id="1407" w:name="_Toc13157"/>
      <w:bookmarkStart w:id="1408" w:name="_Toc27296"/>
      <w:bookmarkStart w:id="1409" w:name="_Toc24397"/>
      <w:bookmarkStart w:id="1410" w:name="_Toc5722"/>
      <w:r>
        <w:rPr>
          <w:rFonts w:ascii="Times New Roman" w:hAnsi="Times New Roman" w:eastAsia="黑体" w:cs="Times New Roman"/>
          <w:b/>
          <w:color w:val="auto"/>
          <w:sz w:val="24"/>
          <w:szCs w:val="24"/>
          <w:highlight w:val="none"/>
        </w:rPr>
        <w:t xml:space="preserve">6.1 </w:t>
      </w:r>
      <w:r>
        <w:rPr>
          <w:rFonts w:ascii="Times New Roman" w:hAnsi="Times New Roman" w:eastAsia="黑体" w:cs="Times New Roman"/>
          <w:color w:val="auto"/>
          <w:sz w:val="24"/>
          <w:szCs w:val="24"/>
          <w:highlight w:val="none"/>
        </w:rPr>
        <w:t xml:space="preserve"> 一</w:t>
      </w:r>
      <w:r>
        <w:rPr>
          <w:rFonts w:hint="eastAsia" w:ascii="Times New Roman" w:hAnsi="Times New Roman" w:eastAsia="黑体" w:cs="Times New Roman"/>
          <w:color w:val="auto"/>
          <w:sz w:val="24"/>
          <w:szCs w:val="24"/>
          <w:highlight w:val="none"/>
          <w:lang w:val="en-US" w:eastAsia="zh-CN"/>
        </w:rPr>
        <w:t xml:space="preserve"> </w:t>
      </w:r>
      <w:r>
        <w:rPr>
          <w:rFonts w:ascii="Times New Roman" w:hAnsi="Times New Roman" w:eastAsia="黑体" w:cs="Times New Roman"/>
          <w:color w:val="auto"/>
          <w:sz w:val="24"/>
          <w:szCs w:val="24"/>
          <w:highlight w:val="none"/>
        </w:rPr>
        <w:t>般</w:t>
      </w:r>
      <w:r>
        <w:rPr>
          <w:rFonts w:hint="eastAsia" w:ascii="Times New Roman" w:hAnsi="Times New Roman" w:eastAsia="黑体" w:cs="Times New Roman"/>
          <w:color w:val="auto"/>
          <w:sz w:val="24"/>
          <w:szCs w:val="24"/>
          <w:highlight w:val="none"/>
          <w:lang w:val="en-US" w:eastAsia="zh-CN"/>
        </w:rPr>
        <w:t xml:space="preserve"> </w:t>
      </w:r>
      <w:r>
        <w:rPr>
          <w:rFonts w:ascii="Times New Roman" w:hAnsi="Times New Roman" w:eastAsia="黑体" w:cs="Times New Roman"/>
          <w:color w:val="auto"/>
          <w:sz w:val="24"/>
          <w:szCs w:val="24"/>
          <w:highlight w:val="none"/>
        </w:rPr>
        <w:t>规</w:t>
      </w:r>
      <w:r>
        <w:rPr>
          <w:rFonts w:hint="eastAsia" w:ascii="Times New Roman" w:hAnsi="Times New Roman" w:eastAsia="黑体" w:cs="Times New Roman"/>
          <w:color w:val="auto"/>
          <w:sz w:val="24"/>
          <w:szCs w:val="24"/>
          <w:highlight w:val="none"/>
          <w:lang w:val="en-US" w:eastAsia="zh-CN"/>
        </w:rPr>
        <w:t xml:space="preserve"> </w:t>
      </w:r>
      <w:r>
        <w:rPr>
          <w:rFonts w:ascii="Times New Roman" w:hAnsi="Times New Roman" w:eastAsia="黑体" w:cs="Times New Roman"/>
          <w:color w:val="auto"/>
          <w:sz w:val="24"/>
          <w:szCs w:val="24"/>
          <w:highlight w:val="none"/>
        </w:rPr>
        <w:t>定</w:t>
      </w:r>
      <w:bookmarkEnd w:id="1407"/>
      <w:bookmarkEnd w:id="1408"/>
      <w:bookmarkEnd w:id="1409"/>
      <w:bookmarkEnd w:id="1410"/>
    </w:p>
    <w:p w14:paraId="3EBB9F3E">
      <w:pPr>
        <w:widowControl/>
        <w:spacing w:line="360" w:lineRule="exact"/>
        <w:jc w:val="left"/>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lang w:val="en-US" w:eastAsia="zh-CN"/>
        </w:rPr>
        <w:t>6.1.1</w:t>
      </w:r>
      <w:r>
        <w:rPr>
          <w:rFonts w:hint="default" w:ascii="Times New Roman" w:hAnsi="Times New Roman" w:cs="Times New Roman"/>
          <w:b/>
          <w:color w:val="auto"/>
          <w:sz w:val="21"/>
          <w:szCs w:val="21"/>
          <w:highlight w:val="none"/>
          <w:lang w:eastAsia="zh-CN"/>
        </w:rPr>
        <w:t xml:space="preserve"> </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本标准涉及的模块化叠合剪力墙结构已开展了节点、构件和结构体系层面的系列试验研究和计算分析。</w:t>
      </w:r>
      <w:r>
        <w:rPr>
          <w:rFonts w:hint="default" w:ascii="Times New Roman" w:hAnsi="Times New Roman" w:cs="Times New Roman"/>
          <w:color w:val="auto"/>
          <w:sz w:val="21"/>
          <w:szCs w:val="21"/>
          <w:highlight w:val="none"/>
          <w:lang w:eastAsia="zh-CN"/>
        </w:rPr>
        <w:t>模块化</w:t>
      </w:r>
      <w:r>
        <w:rPr>
          <w:rFonts w:hint="default" w:ascii="Times New Roman" w:hAnsi="Times New Roman" w:cs="Times New Roman"/>
          <w:color w:val="auto"/>
          <w:sz w:val="21"/>
          <w:szCs w:val="21"/>
          <w:highlight w:val="none"/>
          <w:lang w:val="en-US" w:eastAsia="zh-CN"/>
        </w:rPr>
        <w:t>现浇</w:t>
      </w:r>
      <w:r>
        <w:rPr>
          <w:rFonts w:hint="default" w:ascii="Times New Roman" w:hAnsi="Times New Roman" w:cs="Times New Roman"/>
          <w:color w:val="auto"/>
          <w:sz w:val="21"/>
          <w:szCs w:val="21"/>
          <w:highlight w:val="none"/>
          <w:lang w:eastAsia="zh-CN"/>
        </w:rPr>
        <w:t>剪力墙结构</w:t>
      </w:r>
      <w:r>
        <w:rPr>
          <w:rFonts w:hint="default" w:ascii="Times New Roman" w:hAnsi="Times New Roman" w:cs="Times New Roman"/>
          <w:color w:val="auto"/>
          <w:sz w:val="21"/>
          <w:szCs w:val="21"/>
          <w:highlight w:val="none"/>
          <w:lang w:val="en-US" w:eastAsia="zh-CN"/>
        </w:rPr>
        <w:t>即为深圳市地方标准《混凝土模块化建筑技术规程》SJG 230-2023中的模块化现浇剪力墙结构，相关设计要求可参考此标准执行。</w:t>
      </w:r>
      <w:r>
        <w:rPr>
          <w:rFonts w:hint="default" w:ascii="Times New Roman" w:hAnsi="Times New Roman" w:cs="Times New Roman"/>
          <w:color w:val="auto"/>
          <w:sz w:val="21"/>
          <w:szCs w:val="21"/>
          <w:highlight w:val="none"/>
        </w:rPr>
        <w:t>当模块化房屋采用</w:t>
      </w:r>
      <w:r>
        <w:rPr>
          <w:rFonts w:hint="eastAsia" w:cs="Times New Roman"/>
          <w:color w:val="auto"/>
          <w:sz w:val="21"/>
          <w:szCs w:val="21"/>
          <w:highlight w:val="none"/>
          <w:lang w:eastAsia="zh-CN"/>
        </w:rPr>
        <w:t>本标准</w:t>
      </w:r>
      <w:r>
        <w:rPr>
          <w:rFonts w:hint="default" w:ascii="Times New Roman" w:hAnsi="Times New Roman" w:cs="Times New Roman"/>
          <w:color w:val="auto"/>
          <w:sz w:val="21"/>
          <w:szCs w:val="21"/>
          <w:highlight w:val="none"/>
        </w:rPr>
        <w:t>未规定的结构体系时，应进行专项论证。在进行专项论证时，根据实际结构类型、节点连接形式和模块单元形式及构造等，选取合理结构计算模型，并采取相应的加强措施。必要应补充相关试验进行补充研究。</w:t>
      </w:r>
    </w:p>
    <w:p w14:paraId="580ABFCC">
      <w:pPr>
        <w:pStyle w:val="52"/>
        <w:spacing w:line="360" w:lineRule="exact"/>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lang w:val="en-US" w:eastAsia="zh-CN"/>
        </w:rPr>
        <w:t>6.1.2</w:t>
      </w:r>
      <w:r>
        <w:rPr>
          <w:rFonts w:hint="default" w:ascii="Times New Roman" w:hAnsi="Times New Roman" w:cs="Times New Roman"/>
          <w:b/>
          <w:color w:val="auto"/>
          <w:sz w:val="21"/>
          <w:szCs w:val="21"/>
          <w:highlight w:val="none"/>
          <w:lang w:eastAsia="zh-CN"/>
        </w:rPr>
        <w:t xml:space="preserve"> </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编制组开展了叠合剪力墙+预制空心边缘构件与现浇构件对比试验</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图2</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，预制叠合剪力墙具备较好的抗震性能。在轴压比0.15时，全免模预制双面叠合剪力墙试件极限承载力优于现浇试件，极限位移、刚度基本一致；在轴压比0.45时，预制叠合剪力墙试件承载能力、延性更好</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均优于现浇试件，具有更好的耗能能力与变形能力；在轴压比0.5时，预制叠合剪力墙试件仍具备较好的抗震性能；各试件屈服位移角为1/416~1/194；极限位移角为1/96~1/51，均大于1/120。</w:t>
      </w:r>
    </w:p>
    <w:p w14:paraId="7CC7BC65">
      <w:pPr>
        <w:pStyle w:val="52"/>
        <w:spacing w:line="360" w:lineRule="exact"/>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预制空心边缘构件能够有效提升剪力墙整体抗震性能。轴压试验及拟静力试验结果表明，设置金属波纹管的边缘构件具有良好的抗压能力和抗震能力，相较于现浇构件，大幅降低了边缘构件混凝土破坏程度。</w:t>
      </w:r>
    </w:p>
    <w:p w14:paraId="67E16CA3">
      <w:pPr>
        <w:pStyle w:val="52"/>
        <w:spacing w:line="360" w:lineRule="exact"/>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边缘构件采用预制叠合边缘构件的叠合剪力墙试件与现浇剪力墙试件性能基本一致。在轴压比0.45时，二者承载能力、刚度基本一致，单面叠合墙试件极限位移高于现浇试件。</w:t>
      </w:r>
    </w:p>
    <w:p w14:paraId="15F879C2">
      <w:pPr>
        <w:jc w:val="center"/>
        <w:rPr>
          <w:highlight w:val="none"/>
        </w:rPr>
      </w:pPr>
      <w:r>
        <w:rPr>
          <w:highlight w:val="none"/>
        </w:rPr>
        <w:drawing>
          <wp:inline distT="0" distB="0" distL="114300" distR="114300">
            <wp:extent cx="2427605" cy="2570480"/>
            <wp:effectExtent l="0" t="0" r="10795" b="127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9"/>
                    <a:stretch>
                      <a:fillRect/>
                    </a:stretch>
                  </pic:blipFill>
                  <pic:spPr>
                    <a:xfrm>
                      <a:off x="0" y="0"/>
                      <a:ext cx="2427605" cy="2570480"/>
                    </a:xfrm>
                    <a:prstGeom prst="rect">
                      <a:avLst/>
                    </a:prstGeom>
                    <a:noFill/>
                    <a:ln>
                      <a:noFill/>
                    </a:ln>
                  </pic:spPr>
                </pic:pic>
              </a:graphicData>
            </a:graphic>
          </wp:inline>
        </w:drawing>
      </w:r>
    </w:p>
    <w:p w14:paraId="5AACCDE7">
      <w:pPr>
        <w:jc w:val="center"/>
        <w:rPr>
          <w:rFonts w:hint="eastAsia" w:ascii="黑体" w:hAnsi="黑体" w:eastAsia="黑体" w:cs="黑体"/>
          <w:color w:val="auto"/>
          <w:sz w:val="18"/>
          <w:szCs w:val="18"/>
          <w:highlight w:val="none"/>
          <w:lang w:eastAsia="zh-CN"/>
        </w:rPr>
      </w:pPr>
      <w:r>
        <w:rPr>
          <w:rFonts w:hint="eastAsia" w:ascii="黑体" w:hAnsi="黑体" w:eastAsia="黑体" w:cs="黑体"/>
          <w:color w:val="auto"/>
          <w:sz w:val="18"/>
          <w:szCs w:val="18"/>
          <w:highlight w:val="none"/>
        </w:rPr>
        <w:t>图</w:t>
      </w:r>
      <w:r>
        <w:rPr>
          <w:rFonts w:hint="eastAsia" w:eastAsia="黑体" w:cs="Times New Roman"/>
          <w:b/>
          <w:bCs/>
          <w:color w:val="auto"/>
          <w:sz w:val="18"/>
          <w:szCs w:val="18"/>
          <w:highlight w:val="none"/>
          <w:lang w:val="en-US" w:eastAsia="zh-CN"/>
        </w:rPr>
        <w:t>2</w:t>
      </w:r>
      <w:r>
        <w:rPr>
          <w:rFonts w:hint="eastAsia" w:ascii="黑体" w:hAnsi="黑体" w:eastAsia="黑体" w:cs="黑体"/>
          <w:color w:val="auto"/>
          <w:sz w:val="18"/>
          <w:szCs w:val="18"/>
          <w:highlight w:val="none"/>
        </w:rPr>
        <w:t xml:space="preserve"> </w:t>
      </w:r>
      <w:r>
        <w:rPr>
          <w:rFonts w:hint="eastAsia" w:ascii="黑体" w:hAnsi="黑体" w:eastAsia="黑体" w:cs="黑体"/>
          <w:color w:val="auto"/>
          <w:sz w:val="18"/>
          <w:szCs w:val="18"/>
          <w:highlight w:val="none"/>
          <w:lang w:val="en-US" w:eastAsia="zh-CN"/>
        </w:rPr>
        <w:t>叠合剪力墙抗震性能试验</w:t>
      </w:r>
    </w:p>
    <w:p w14:paraId="7E0784A7">
      <w:pPr>
        <w:pStyle w:val="52"/>
        <w:spacing w:line="360" w:lineRule="exact"/>
        <w:ind w:firstLine="420" w:firstLineChars="20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参考《装配式混凝土建筑技术标准》GB/T 51231、</w:t>
      </w:r>
      <w:r>
        <w:rPr>
          <w:rFonts w:hint="default" w:ascii="Times New Roman" w:hAnsi="Times New Roman" w:cs="Times New Roman"/>
          <w:color w:val="auto"/>
          <w:sz w:val="21"/>
          <w:szCs w:val="21"/>
          <w:highlight w:val="none"/>
          <w:lang w:val="en-US" w:eastAsia="zh-CN"/>
        </w:rPr>
        <w:t>《建筑与市政工程抗震通用规范》GB</w:t>
      </w:r>
      <w:r>
        <w:rPr>
          <w:rFonts w:hint="eastAsia"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lang w:val="en-US" w:eastAsia="zh-CN"/>
        </w:rPr>
        <w:t>55002</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《装配式混凝土结构技术规程》JGJ 1</w:t>
      </w:r>
      <w:r>
        <w:rPr>
          <w:rFonts w:hint="eastAsia" w:cs="Times New Roman"/>
          <w:color w:val="auto"/>
          <w:sz w:val="21"/>
          <w:szCs w:val="21"/>
          <w:highlight w:val="none"/>
          <w:lang w:val="en-US" w:eastAsia="zh-CN"/>
        </w:rPr>
        <w:t>和</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HYPERLINK "http://www.baidu.com/link?url=_rHerWvmsVOKiF4kqbvAIE8gPZbvtLvGtaE2VnJGjN2a1RvFMxwlwc4p-9cKJTevtPsqqioAVHpRm9XDSqyc-Ki2xvRAjSCTjjAvldbsS8_" \t "https://www.baidu.com/_blank"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装配整体式叠合剪力墙结构技术规程</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rPr>
        <w:t>》DBJ/T 15-210</w:t>
      </w:r>
      <w:r>
        <w:rPr>
          <w:rFonts w:hint="default" w:ascii="Times New Roman" w:hAnsi="Times New Roman" w:cs="Times New Roman"/>
          <w:color w:val="auto"/>
          <w:sz w:val="21"/>
          <w:szCs w:val="21"/>
          <w:highlight w:val="none"/>
          <w:lang w:val="en-US" w:eastAsia="zh-CN"/>
        </w:rPr>
        <w:t>的规定，</w:t>
      </w:r>
      <w:r>
        <w:rPr>
          <w:rFonts w:hint="default" w:ascii="Times New Roman" w:hAnsi="Times New Roman" w:cs="Times New Roman"/>
          <w:color w:val="auto"/>
          <w:sz w:val="21"/>
          <w:szCs w:val="21"/>
          <w:highlight w:val="none"/>
        </w:rPr>
        <w:t>并结合实践经验，确定了</w:t>
      </w:r>
      <w:r>
        <w:rPr>
          <w:rFonts w:hint="default" w:ascii="Times New Roman" w:hAnsi="Times New Roman" w:cs="Times New Roman"/>
          <w:color w:val="auto"/>
          <w:sz w:val="21"/>
          <w:szCs w:val="21"/>
          <w:highlight w:val="none"/>
          <w:lang w:val="en-US" w:eastAsia="zh-CN"/>
        </w:rPr>
        <w:t>本标准中5</w:t>
      </w:r>
      <w:r>
        <w:rPr>
          <w:rFonts w:hint="default" w:ascii="Times New Roman" w:hAnsi="Times New Roman" w:cs="Times New Roman"/>
          <w:color w:val="auto"/>
          <w:sz w:val="21"/>
          <w:szCs w:val="21"/>
          <w:highlight w:val="none"/>
        </w:rPr>
        <w:t>类混凝土模块结构最大适用高度</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以上类型模块化建筑结构体系的核心筒均采用现浇方式。当核心筒采用模块化方式或预制构件进行设计时，则应通过专门的审查、论证，补充更严格的计算分析，必要时进行相应的结构试验研究，采取专门的加强构造措施。</w:t>
      </w:r>
    </w:p>
    <w:p w14:paraId="74E0DC82">
      <w:pPr>
        <w:pStyle w:val="52"/>
        <w:spacing w:line="360" w:lineRule="exact"/>
        <w:ind w:firstLine="420" w:firstLineChars="200"/>
        <w:rPr>
          <w:rFonts w:hint="default" w:ascii="Times New Roman" w:hAnsi="Times New Roman" w:cs="Times New Roman"/>
          <w:color w:val="auto"/>
          <w:sz w:val="21"/>
          <w:szCs w:val="21"/>
          <w:highlight w:val="none"/>
          <w:lang w:val="en-US" w:eastAsia="zh-CN"/>
        </w:rPr>
      </w:pPr>
      <w:bookmarkStart w:id="1411" w:name="OLE_LINK43"/>
      <w:r>
        <w:rPr>
          <w:rFonts w:hint="default" w:ascii="Times New Roman" w:hAnsi="Times New Roman" w:cs="Times New Roman"/>
          <w:color w:val="auto"/>
          <w:sz w:val="21"/>
          <w:szCs w:val="21"/>
          <w:highlight w:val="none"/>
          <w:lang w:val="en-US" w:eastAsia="zh-CN"/>
        </w:rPr>
        <w:t>房屋高度超过表6.1.2规定的特殊工程，则应通过专门的审查、论证，补充更严格的计算分析，必要时进行相应的结构试验研究，采取专门的加强构造措施，如降低剪力墙轴压比限值，加大剪力墙构件配筋等。抗震设计的超限高层建筑，可按《高层建筑混凝土结构技术规程》JGJ</w:t>
      </w:r>
      <w:r>
        <w:rPr>
          <w:rFonts w:hint="eastAsia"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lang w:val="en-US" w:eastAsia="zh-CN"/>
        </w:rPr>
        <w:t>3的有关规定进行结构抗震性能设计。</w:t>
      </w:r>
    </w:p>
    <w:bookmarkEnd w:id="1411"/>
    <w:p w14:paraId="0AE0A277">
      <w:pPr>
        <w:spacing w:line="360" w:lineRule="exact"/>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lang w:val="en-US" w:eastAsia="zh-CN"/>
        </w:rPr>
        <w:t>6.1.3</w:t>
      </w:r>
      <w:r>
        <w:rPr>
          <w:rFonts w:hint="default" w:ascii="Times New Roman" w:hAnsi="Times New Roman" w:cs="Times New Roman"/>
          <w:b/>
          <w:color w:val="auto"/>
          <w:sz w:val="21"/>
          <w:szCs w:val="21"/>
          <w:highlight w:val="none"/>
          <w:lang w:eastAsia="zh-CN"/>
        </w:rPr>
        <w:t xml:space="preserve"> </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混凝土模块化建筑结构的抗震等级应根据不同的结构类型进行设计，并符合《装配式混凝土建筑技术标准》GB/T 51231、</w:t>
      </w:r>
      <w:bookmarkStart w:id="1412" w:name="OLE_LINK109"/>
      <w:r>
        <w:rPr>
          <w:rFonts w:hint="default" w:ascii="Times New Roman" w:hAnsi="Times New Roman" w:cs="Times New Roman"/>
          <w:color w:val="auto"/>
          <w:sz w:val="21"/>
          <w:szCs w:val="21"/>
          <w:highlight w:val="none"/>
        </w:rPr>
        <w:t>《装配式混凝土结构技术规程》</w:t>
      </w:r>
      <w:bookmarkStart w:id="1413" w:name="OLE_LINK108"/>
      <w:r>
        <w:rPr>
          <w:rFonts w:hint="default" w:ascii="Times New Roman" w:hAnsi="Times New Roman" w:cs="Times New Roman"/>
          <w:color w:val="auto"/>
          <w:sz w:val="21"/>
          <w:szCs w:val="21"/>
          <w:highlight w:val="none"/>
        </w:rPr>
        <w:t xml:space="preserve">JGJ </w:t>
      </w:r>
      <w:bookmarkEnd w:id="1412"/>
      <w:r>
        <w:rPr>
          <w:rFonts w:hint="default" w:ascii="Times New Roman" w:hAnsi="Times New Roman" w:cs="Times New Roman"/>
          <w:color w:val="auto"/>
          <w:sz w:val="21"/>
          <w:szCs w:val="21"/>
          <w:highlight w:val="none"/>
        </w:rPr>
        <w:t>1</w:t>
      </w:r>
      <w:bookmarkEnd w:id="1413"/>
      <w:r>
        <w:rPr>
          <w:rFonts w:hint="default" w:ascii="Times New Roman" w:hAnsi="Times New Roman" w:cs="Times New Roman"/>
          <w:color w:val="auto"/>
          <w:sz w:val="21"/>
          <w:szCs w:val="21"/>
          <w:highlight w:val="none"/>
        </w:rPr>
        <w:t>、</w:t>
      </w:r>
      <w:bookmarkStart w:id="1414" w:name="OLE_LINK9"/>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HYPERLINK "http://www.baidu.com/link?url=_rHerWvmsVOKiF4kqbvAIE8gPZbvtLvGtaE2VnJGjN2a1RvFMxwlwc4p-9cKJTevtPsqqioAVHpRm9XDSqyc-Ki2xvRAjSCTjjAvldbsS8_" \t "https://www.baidu.com/_blank"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装配整体式叠合剪力墙结构技术规程</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rPr>
        <w:t>》DBJ/T 15-210的有关规定</w:t>
      </w:r>
      <w:bookmarkEnd w:id="1414"/>
      <w:r>
        <w:rPr>
          <w:rFonts w:hint="default" w:ascii="Times New Roman" w:hAnsi="Times New Roman" w:cs="Times New Roman"/>
          <w:color w:val="auto"/>
          <w:sz w:val="21"/>
          <w:szCs w:val="21"/>
          <w:highlight w:val="none"/>
        </w:rPr>
        <w:t>。</w:t>
      </w:r>
    </w:p>
    <w:p w14:paraId="39A9CAE2">
      <w:pPr>
        <w:pStyle w:val="3"/>
        <w:spacing w:before="166" w:beforeLines="50" w:after="166" w:afterLines="50" w:line="360" w:lineRule="auto"/>
        <w:jc w:val="center"/>
        <w:rPr>
          <w:rFonts w:hint="default" w:ascii="Times New Roman" w:hAnsi="Times New Roman" w:eastAsia="黑体" w:cs="Times New Roman"/>
          <w:color w:val="auto"/>
          <w:sz w:val="21"/>
          <w:szCs w:val="21"/>
          <w:highlight w:val="none"/>
          <w:lang w:val="en-US" w:eastAsia="zh-CN"/>
        </w:rPr>
      </w:pPr>
      <w:bookmarkStart w:id="1415" w:name="_Toc1506"/>
      <w:bookmarkStart w:id="1416" w:name="_Toc28384"/>
      <w:r>
        <w:rPr>
          <w:rFonts w:ascii="Times New Roman" w:hAnsi="Times New Roman" w:eastAsia="黑体" w:cs="Times New Roman"/>
          <w:b/>
          <w:color w:val="auto"/>
          <w:sz w:val="24"/>
          <w:szCs w:val="24"/>
          <w:highlight w:val="none"/>
        </w:rPr>
        <w:t>6.</w:t>
      </w:r>
      <w:r>
        <w:rPr>
          <w:rFonts w:hint="eastAsia" w:ascii="Times New Roman" w:hAnsi="Times New Roman" w:eastAsia="黑体" w:cs="Times New Roman"/>
          <w:b/>
          <w:color w:val="auto"/>
          <w:sz w:val="24"/>
          <w:szCs w:val="24"/>
          <w:highlight w:val="none"/>
          <w:lang w:val="en-US" w:eastAsia="zh-CN"/>
        </w:rPr>
        <w:t>2</w:t>
      </w:r>
      <w:r>
        <w:rPr>
          <w:rFonts w:ascii="Times New Roman" w:hAnsi="Times New Roman" w:eastAsia="黑体" w:cs="Times New Roman"/>
          <w:b/>
          <w:color w:val="auto"/>
          <w:sz w:val="24"/>
          <w:szCs w:val="24"/>
          <w:highlight w:val="none"/>
        </w:rPr>
        <w:t xml:space="preserve"> </w:t>
      </w:r>
      <w:r>
        <w:rPr>
          <w:rFonts w:ascii="Times New Roman" w:hAnsi="Times New Roman" w:eastAsia="黑体" w:cs="Times New Roman"/>
          <w:color w:val="auto"/>
          <w:sz w:val="24"/>
          <w:szCs w:val="24"/>
          <w:highlight w:val="none"/>
        </w:rPr>
        <w:t xml:space="preserve"> </w:t>
      </w:r>
      <w:r>
        <w:rPr>
          <w:rFonts w:hint="eastAsia" w:ascii="Times New Roman" w:hAnsi="Times New Roman" w:eastAsia="黑体" w:cs="Times New Roman"/>
          <w:color w:val="auto"/>
          <w:sz w:val="24"/>
          <w:szCs w:val="24"/>
          <w:highlight w:val="none"/>
          <w:lang w:val="en-US" w:eastAsia="zh-CN"/>
        </w:rPr>
        <w:t>结 构 布 置</w:t>
      </w:r>
      <w:bookmarkEnd w:id="1415"/>
      <w:bookmarkEnd w:id="1416"/>
    </w:p>
    <w:p w14:paraId="4E675CDF">
      <w:pPr>
        <w:widowControl/>
        <w:spacing w:line="360" w:lineRule="exac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6.2.2</w:t>
      </w:r>
      <w:r>
        <w:rPr>
          <w:rFonts w:hint="default" w:ascii="Times New Roman" w:hAnsi="Times New Roman" w:cs="Times New Roman"/>
          <w:b/>
          <w:color w:val="auto"/>
          <w:sz w:val="21"/>
          <w:szCs w:val="21"/>
          <w:highlight w:val="none"/>
          <w:lang w:eastAsia="zh-CN"/>
        </w:rPr>
        <w:t xml:space="preserve"> </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在混凝土模块结构体系中，可以采用多种结构设计思路，当主体结构间的连接变得复杂多样时，宜采用试验分析的方式对其真实工作情况进行研究，软件模型应充分考虑其真实工作情况做出合理假定，计算软件的技术条件应符合行业规范的有关标准规定，并应说明其特殊处理的内容和依据，所有模型计算结果，应经分析论证确认其合理、有效后方可用于工程设计。模块内相邻叠合剪力墙之间采用现浇整体式接缝连接</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即在叠合剪力墙空腔内浇筑混凝土，以形成整体受力剪力墙。</w:t>
      </w:r>
    </w:p>
    <w:p w14:paraId="51BA45F9">
      <w:pPr>
        <w:widowControl/>
        <w:spacing w:line="360" w:lineRule="exact"/>
        <w:jc w:val="left"/>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lang w:val="en-US" w:eastAsia="zh-CN"/>
        </w:rPr>
        <w:t>6.2.4</w:t>
      </w:r>
      <w:r>
        <w:rPr>
          <w:rFonts w:hint="default" w:ascii="Times New Roman" w:hAnsi="Times New Roman" w:cs="Times New Roman"/>
          <w:b/>
          <w:color w:val="auto"/>
          <w:sz w:val="21"/>
          <w:szCs w:val="21"/>
          <w:highlight w:val="none"/>
          <w:lang w:eastAsia="zh-CN"/>
        </w:rPr>
        <w:t xml:space="preserve"> </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高层建筑的高宽比，是对结构刚度、整体稳定、承载能力和经济合理性的宏观控制；在结构设计满足</w:t>
      </w:r>
      <w:r>
        <w:rPr>
          <w:rFonts w:hint="eastAsia" w:cs="Times New Roman"/>
          <w:color w:val="auto"/>
          <w:sz w:val="21"/>
          <w:szCs w:val="21"/>
          <w:highlight w:val="none"/>
          <w:lang w:eastAsia="zh-CN"/>
        </w:rPr>
        <w:t>本标准</w:t>
      </w:r>
      <w:r>
        <w:rPr>
          <w:rFonts w:hint="default" w:ascii="Times New Roman" w:hAnsi="Times New Roman" w:cs="Times New Roman"/>
          <w:color w:val="auto"/>
          <w:sz w:val="21"/>
          <w:szCs w:val="21"/>
          <w:highlight w:val="none"/>
        </w:rPr>
        <w:t>规定的承载力、稳定、抗倾覆、变形和舒适度等基本要求后，仅从结构安全角度讲高宽比限值不是必须满足的，主要影响结构设计的经济性。</w:t>
      </w:r>
    </w:p>
    <w:p w14:paraId="20E1188E">
      <w:pPr>
        <w:widowControl/>
        <w:spacing w:line="360" w:lineRule="exact"/>
        <w:jc w:val="left"/>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lang w:val="en-US" w:eastAsia="zh-CN"/>
        </w:rPr>
        <w:t>6.3.2</w:t>
      </w:r>
      <w:r>
        <w:rPr>
          <w:rFonts w:hint="default" w:ascii="Times New Roman" w:hAnsi="Times New Roman" w:cs="Times New Roman"/>
          <w:b/>
          <w:color w:val="auto"/>
          <w:sz w:val="21"/>
          <w:szCs w:val="21"/>
          <w:highlight w:val="none"/>
          <w:lang w:eastAsia="zh-CN"/>
        </w:rPr>
        <w:t xml:space="preserve"> </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对于混凝土模块结构而言，楼盖系统由多个模块单元拼接组合而成，当楼盖系统在相邻模块板、梁之间增设加强措施，通过试验或理论分析能够使楼板在平面内连续时，可将整层楼盖假定为刚性楼板。</w:t>
      </w:r>
      <w:r>
        <w:rPr>
          <w:rFonts w:hint="default" w:ascii="Times New Roman" w:hAnsi="Times New Roman" w:cs="Times New Roman"/>
          <w:color w:val="auto"/>
          <w:sz w:val="21"/>
          <w:szCs w:val="21"/>
          <w:highlight w:val="none"/>
          <w:lang w:eastAsia="zh-CN"/>
        </w:rPr>
        <w:t>模块化全预制剪力墙结构</w:t>
      </w:r>
      <w:r>
        <w:rPr>
          <w:rFonts w:hint="default" w:ascii="Times New Roman" w:hAnsi="Times New Roman" w:cs="Times New Roman"/>
          <w:color w:val="auto"/>
          <w:sz w:val="21"/>
          <w:szCs w:val="21"/>
          <w:highlight w:val="none"/>
        </w:rPr>
        <w:t>、模块化叠合剪力墙结构和模块化现浇结构的楼盖主要通过在叠合板现浇面层和面层内钢筋网片连接，在弹性计算和弹塑性计算时，可认为整层楼盖为刚性楼板。</w:t>
      </w:r>
    </w:p>
    <w:p w14:paraId="218ECCDA">
      <w:pPr>
        <w:pStyle w:val="3"/>
        <w:widowControl/>
        <w:spacing w:before="166" w:beforeLines="50" w:after="166" w:afterLines="50" w:line="360" w:lineRule="auto"/>
        <w:jc w:val="center"/>
        <w:rPr>
          <w:rFonts w:hint="default" w:ascii="Times New Roman" w:hAnsi="Times New Roman" w:cs="Times New Roman"/>
          <w:color w:val="auto"/>
          <w:sz w:val="21"/>
          <w:szCs w:val="21"/>
          <w:highlight w:val="none"/>
        </w:rPr>
      </w:pPr>
      <w:bookmarkStart w:id="1417" w:name="_Toc6630"/>
      <w:bookmarkStart w:id="1418" w:name="_Toc23784"/>
      <w:r>
        <w:rPr>
          <w:rFonts w:ascii="Times New Roman" w:hAnsi="Times New Roman" w:eastAsia="黑体" w:cs="Times New Roman"/>
          <w:b/>
          <w:color w:val="auto"/>
          <w:sz w:val="24"/>
          <w:szCs w:val="24"/>
          <w:highlight w:val="none"/>
        </w:rPr>
        <w:t>6.</w:t>
      </w:r>
      <w:r>
        <w:rPr>
          <w:rFonts w:hint="eastAsia" w:ascii="Times New Roman" w:hAnsi="Times New Roman" w:eastAsia="黑体" w:cs="Times New Roman"/>
          <w:b/>
          <w:color w:val="auto"/>
          <w:sz w:val="24"/>
          <w:szCs w:val="24"/>
          <w:highlight w:val="none"/>
          <w:lang w:val="en-US" w:eastAsia="zh-CN"/>
        </w:rPr>
        <w:t>3</w:t>
      </w:r>
      <w:r>
        <w:rPr>
          <w:rFonts w:ascii="Times New Roman" w:hAnsi="Times New Roman" w:eastAsia="黑体" w:cs="Times New Roman"/>
          <w:b/>
          <w:color w:val="auto"/>
          <w:sz w:val="24"/>
          <w:szCs w:val="24"/>
          <w:highlight w:val="none"/>
        </w:rPr>
        <w:t xml:space="preserve"> </w:t>
      </w:r>
      <w:r>
        <w:rPr>
          <w:rFonts w:ascii="Times New Roman" w:hAnsi="Times New Roman" w:eastAsia="黑体" w:cs="Times New Roman"/>
          <w:color w:val="auto"/>
          <w:sz w:val="24"/>
          <w:szCs w:val="24"/>
          <w:highlight w:val="none"/>
        </w:rPr>
        <w:t xml:space="preserve"> </w:t>
      </w:r>
      <w:r>
        <w:rPr>
          <w:rFonts w:hint="eastAsia" w:ascii="Times New Roman" w:hAnsi="Times New Roman" w:eastAsia="黑体" w:cs="Times New Roman"/>
          <w:color w:val="auto"/>
          <w:sz w:val="24"/>
          <w:szCs w:val="24"/>
          <w:highlight w:val="none"/>
          <w:lang w:val="en-US" w:eastAsia="zh-CN"/>
        </w:rPr>
        <w:t>结 构 分 析</w:t>
      </w:r>
      <w:bookmarkEnd w:id="1417"/>
      <w:bookmarkEnd w:id="1418"/>
    </w:p>
    <w:p w14:paraId="7EF02990">
      <w:pPr>
        <w:widowControl/>
        <w:spacing w:line="360" w:lineRule="exact"/>
        <w:jc w:val="both"/>
        <w:rPr>
          <w:rFonts w:hint="default" w:ascii="Times New Roman" w:hAnsi="Times New Roman" w:cs="Times New Roman"/>
          <w:b/>
          <w:color w:val="auto"/>
          <w:sz w:val="21"/>
          <w:szCs w:val="21"/>
          <w:highlight w:val="none"/>
        </w:rPr>
      </w:pPr>
      <w:r>
        <w:rPr>
          <w:rFonts w:hint="default" w:ascii="Times New Roman" w:hAnsi="Times New Roman" w:cs="Times New Roman"/>
          <w:b/>
          <w:bCs/>
          <w:color w:val="auto"/>
          <w:sz w:val="21"/>
          <w:szCs w:val="21"/>
          <w:highlight w:val="none"/>
          <w:lang w:val="en-US" w:eastAsia="zh-CN"/>
        </w:rPr>
        <w:t>6.3.3</w:t>
      </w:r>
      <w:r>
        <w:rPr>
          <w:rFonts w:hint="default" w:ascii="Times New Roman" w:hAnsi="Times New Roman" w:cs="Times New Roman"/>
          <w:b/>
          <w:color w:val="auto"/>
          <w:sz w:val="21"/>
          <w:szCs w:val="21"/>
          <w:highlight w:val="none"/>
          <w:lang w:eastAsia="zh-CN"/>
        </w:rPr>
        <w:t xml:space="preserve"> </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lang w:val="zh-CN"/>
        </w:rPr>
        <w:t>预制剪力墙的接缝对墙抗侧刚度有一定的削弱作用，应考虑对弹性计算的内力进行调整，适当放大现浇墙肢在水平地震作用下的剪力和弯矩；预制剪力墙的剪力及弯矩不减小，偏于安全。</w:t>
      </w:r>
      <w:r>
        <w:rPr>
          <w:rFonts w:hint="default" w:ascii="Times New Roman" w:hAnsi="Times New Roman" w:cs="Times New Roman"/>
          <w:color w:val="auto"/>
          <w:sz w:val="21"/>
          <w:szCs w:val="21"/>
          <w:highlight w:val="none"/>
        </w:rPr>
        <w:t>参考《装配式混凝土结构技术规程》JGJ1和《</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HYPERLINK "http://www.baidu.com/link?url=_rHerWvmsVOKiF4kqbvAIE8gPZbvtLvGtaE2VnJGjN2a1RvFMxwlwc4p-9cKJTevtPsqqioAVHpRm9XDSqyc-Ki2xvRAjSCTjjAvldbsS8_" \t "https://www.baidu.com/_blank"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装配整体式叠合剪力墙结构技术规程</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rPr>
        <w:t>》DBJ/T 15</w:t>
      </w:r>
      <w:r>
        <w:rPr>
          <w:rFonts w:hint="eastAsia"/>
          <w:highlight w:val="none"/>
        </w:rPr>
        <w:t>-210</w:t>
      </w:r>
      <w:r>
        <w:rPr>
          <w:rFonts w:hint="default" w:ascii="Times New Roman" w:hAnsi="Times New Roman" w:cs="Times New Roman"/>
          <w:color w:val="auto"/>
          <w:sz w:val="21"/>
          <w:szCs w:val="21"/>
          <w:highlight w:val="none"/>
        </w:rPr>
        <w:t>的有关规定，将</w:t>
      </w:r>
      <w:r>
        <w:rPr>
          <w:rFonts w:hint="default" w:ascii="Times New Roman" w:hAnsi="Times New Roman" w:cs="Times New Roman"/>
          <w:color w:val="auto"/>
          <w:sz w:val="21"/>
          <w:szCs w:val="21"/>
          <w:highlight w:val="none"/>
          <w:lang w:val="zh-CN"/>
        </w:rPr>
        <w:t>现浇墙肢水平地震作用弯矩、剪力的增大系数</w:t>
      </w:r>
      <w:r>
        <w:rPr>
          <w:rFonts w:hint="default" w:ascii="Times New Roman" w:hAnsi="Times New Roman" w:cs="Times New Roman"/>
          <w:color w:val="auto"/>
          <w:sz w:val="21"/>
          <w:szCs w:val="21"/>
          <w:highlight w:val="none"/>
          <w:lang w:val="en-US" w:eastAsia="zh-CN"/>
        </w:rPr>
        <w:t>取1.1</w:t>
      </w:r>
      <w:r>
        <w:rPr>
          <w:rFonts w:hint="default" w:ascii="Times New Roman" w:hAnsi="Times New Roman" w:cs="Times New Roman"/>
          <w:color w:val="auto"/>
          <w:sz w:val="21"/>
          <w:szCs w:val="21"/>
          <w:highlight w:val="none"/>
        </w:rPr>
        <w:t>。</w:t>
      </w:r>
    </w:p>
    <w:p w14:paraId="6F20494F">
      <w:pPr>
        <w:widowControl/>
        <w:spacing w:line="360" w:lineRule="exact"/>
        <w:jc w:val="both"/>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lang w:val="en-US" w:eastAsia="zh-CN"/>
        </w:rPr>
        <w:t>6.3.5</w:t>
      </w:r>
      <w:r>
        <w:rPr>
          <w:rFonts w:hint="default" w:ascii="Times New Roman" w:hAnsi="Times New Roman" w:cs="Times New Roman"/>
          <w:b/>
          <w:color w:val="auto"/>
          <w:sz w:val="21"/>
          <w:szCs w:val="21"/>
          <w:highlight w:val="none"/>
          <w:lang w:eastAsia="zh-CN"/>
        </w:rPr>
        <w:t xml:space="preserve"> </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本条内容参考《</w:t>
      </w:r>
      <w:r>
        <w:rPr>
          <w:rFonts w:hint="default" w:ascii="Times New Roman" w:hAnsi="Times New Roman" w:cs="Times New Roman"/>
          <w:color w:val="auto"/>
          <w:sz w:val="21"/>
          <w:szCs w:val="21"/>
          <w:highlight w:val="none"/>
          <w:lang w:val="en-US" w:eastAsia="zh-CN"/>
        </w:rPr>
        <w:t>高层建筑工业化技术标准</w:t>
      </w:r>
      <w:r>
        <w:rPr>
          <w:rFonts w:hint="default" w:ascii="Times New Roman" w:hAnsi="Times New Roman" w:cs="Times New Roman"/>
          <w:color w:val="auto"/>
          <w:sz w:val="21"/>
          <w:szCs w:val="21"/>
          <w:highlight w:val="none"/>
        </w:rPr>
        <w:t>》DBJ</w:t>
      </w:r>
      <w:r>
        <w:rPr>
          <w:rFonts w:hint="default" w:ascii="Times New Roman" w:hAnsi="Times New Roman" w:cs="Times New Roman"/>
          <w:color w:val="auto"/>
          <w:sz w:val="21"/>
          <w:szCs w:val="21"/>
          <w:highlight w:val="none"/>
          <w:lang w:val="en-US" w:eastAsia="zh-CN"/>
        </w:rPr>
        <w:t>/T</w:t>
      </w:r>
      <w:r>
        <w:rPr>
          <w:rFonts w:hint="default" w:ascii="Times New Roman" w:hAnsi="Times New Roman" w:cs="Times New Roman"/>
          <w:color w:val="auto"/>
          <w:sz w:val="21"/>
          <w:szCs w:val="21"/>
          <w:highlight w:val="none"/>
        </w:rPr>
        <w:t xml:space="preserve"> 15-</w:t>
      </w:r>
      <w:r>
        <w:rPr>
          <w:rFonts w:hint="default" w:ascii="Times New Roman" w:hAnsi="Times New Roman" w:cs="Times New Roman"/>
          <w:color w:val="auto"/>
          <w:sz w:val="21"/>
          <w:szCs w:val="21"/>
          <w:highlight w:val="none"/>
          <w:lang w:val="en-US" w:eastAsia="zh-CN"/>
        </w:rPr>
        <w:t>265</w:t>
      </w:r>
      <w:r>
        <w:rPr>
          <w:rFonts w:hint="default" w:ascii="Times New Roman" w:hAnsi="Times New Roman" w:cs="Times New Roman"/>
          <w:color w:val="auto"/>
          <w:sz w:val="21"/>
          <w:szCs w:val="21"/>
          <w:highlight w:val="none"/>
        </w:rPr>
        <w:t>的有关规定确定。</w:t>
      </w:r>
    </w:p>
    <w:p w14:paraId="4E880D91">
      <w:pPr>
        <w:widowControl/>
        <w:spacing w:line="360" w:lineRule="exact"/>
        <w:jc w:val="left"/>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lang w:val="en-US" w:eastAsia="zh-CN"/>
        </w:rPr>
        <w:t>6.3.6</w:t>
      </w:r>
      <w:r>
        <w:rPr>
          <w:rFonts w:hint="default" w:ascii="Times New Roman" w:hAnsi="Times New Roman" w:cs="Times New Roman"/>
          <w:b/>
          <w:color w:val="auto"/>
          <w:sz w:val="21"/>
          <w:szCs w:val="21"/>
          <w:highlight w:val="none"/>
          <w:lang w:eastAsia="zh-CN"/>
        </w:rPr>
        <w:t xml:space="preserve"> </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混凝土模块化结构内隔墙和外围护墙</w:t>
      </w:r>
      <w:r>
        <w:rPr>
          <w:rFonts w:hint="default" w:ascii="Times New Roman" w:hAnsi="Times New Roman" w:cs="Times New Roman"/>
          <w:color w:val="auto"/>
          <w:sz w:val="21"/>
          <w:szCs w:val="21"/>
          <w:highlight w:val="none"/>
          <w:lang w:val="en-US" w:eastAsia="zh-CN"/>
        </w:rPr>
        <w:t>可</w:t>
      </w:r>
      <w:r>
        <w:rPr>
          <w:rFonts w:hint="default" w:ascii="Times New Roman" w:hAnsi="Times New Roman" w:cs="Times New Roman"/>
          <w:color w:val="auto"/>
          <w:sz w:val="21"/>
          <w:szCs w:val="21"/>
          <w:highlight w:val="none"/>
        </w:rPr>
        <w:t>采用与构件一体化生产的混凝土构件，</w:t>
      </w:r>
      <w:r>
        <w:rPr>
          <w:rFonts w:hint="default" w:ascii="Times New Roman" w:hAnsi="Times New Roman" w:cs="Times New Roman"/>
          <w:color w:val="auto"/>
          <w:sz w:val="21"/>
          <w:szCs w:val="21"/>
          <w:highlight w:val="none"/>
          <w:lang w:val="en-US" w:eastAsia="zh-CN"/>
        </w:rPr>
        <w:t>或采用轻质填充墙板构件，</w:t>
      </w:r>
      <w:r>
        <w:rPr>
          <w:rFonts w:hint="default" w:ascii="Times New Roman" w:hAnsi="Times New Roman" w:cs="Times New Roman"/>
          <w:color w:val="auto"/>
          <w:sz w:val="21"/>
          <w:szCs w:val="21"/>
          <w:highlight w:val="none"/>
        </w:rPr>
        <w:t>外围护墙与主体结构构件虽填充有柔性隔断，但与轻质填充材料相比，对主体结构刚度的影响仍较大。因此，模块化</w:t>
      </w:r>
      <w:r>
        <w:rPr>
          <w:rFonts w:hint="default" w:ascii="Times New Roman" w:hAnsi="Times New Roman" w:cs="Times New Roman"/>
          <w:color w:val="auto"/>
          <w:sz w:val="21"/>
          <w:szCs w:val="21"/>
          <w:highlight w:val="none"/>
          <w:lang w:val="en-US" w:eastAsia="zh-CN"/>
        </w:rPr>
        <w:t>全</w:t>
      </w:r>
      <w:r>
        <w:rPr>
          <w:rFonts w:hint="default" w:ascii="Times New Roman" w:hAnsi="Times New Roman" w:cs="Times New Roman"/>
          <w:color w:val="auto"/>
          <w:sz w:val="21"/>
          <w:szCs w:val="21"/>
          <w:highlight w:val="none"/>
        </w:rPr>
        <w:t>预制剪力墙结构和模块化叠合剪力墙结构的周期折减系数比现行规范进行了适当减小。</w:t>
      </w:r>
    </w:p>
    <w:p w14:paraId="445C53D0">
      <w:pPr>
        <w:widowControl/>
        <w:spacing w:line="360" w:lineRule="exact"/>
        <w:ind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当未采取特殊措施减少构造外墙对结构整体刚度影响时，结构自振周期折减系数的取值对框架-剪力墙结构应不大于0.7</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对剪力墙结构应不大于0.8</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其他结构应根据实际情况取值。构造外墙影响范围内的构件，包括支承构造外墙的梁及两侧竖向构件，应按有构造外墙和无构造外墙两种工况进行包络设计。当采取措施减少构造外墙对结构整体刚度影响时，应根据影响程度确定合适的结构自振周期折减系数，对框架一剪力墙结构不宜大于0.7</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对剪力墙结构不宜大于0.8。构造外墙厚度大于等于200mm时，应双层双向配筋，单侧分布钢筋配筋率应不小于0.1%</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构造外墙转角处应布置不小于2φ10的45°斜向钢筋。</w:t>
      </w:r>
    </w:p>
    <w:p w14:paraId="46A6EBF4">
      <w:pPr>
        <w:widowControl/>
        <w:spacing w:line="360" w:lineRule="exact"/>
        <w:jc w:val="left"/>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lang w:val="en-US" w:eastAsia="zh-CN"/>
        </w:rPr>
        <w:t>6.3.</w:t>
      </w:r>
      <w:r>
        <w:rPr>
          <w:rFonts w:hint="eastAsia" w:cs="Times New Roman"/>
          <w:b/>
          <w:bCs/>
          <w:color w:val="auto"/>
          <w:sz w:val="21"/>
          <w:szCs w:val="21"/>
          <w:highlight w:val="none"/>
          <w:lang w:val="en-US" w:eastAsia="zh-CN"/>
        </w:rPr>
        <w:t>10</w:t>
      </w:r>
      <w:r>
        <w:rPr>
          <w:rFonts w:hint="default" w:ascii="Times New Roman" w:hAnsi="Times New Roman" w:cs="Times New Roman"/>
          <w:b/>
          <w:color w:val="auto"/>
          <w:sz w:val="21"/>
          <w:szCs w:val="21"/>
          <w:highlight w:val="none"/>
          <w:lang w:eastAsia="zh-CN"/>
        </w:rPr>
        <w:t xml:space="preserve"> </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rPr>
        <w:t>混凝土模块化结构的楼、屋盖可根据叠合板布置及拼接方式进行确定，当采用间接式拼缝或密拼湿接拼缝时，可按双向传力楼盖进行考虑。</w:t>
      </w:r>
    </w:p>
    <w:p w14:paraId="05817C35">
      <w:pPr>
        <w:pStyle w:val="3"/>
        <w:widowControl/>
        <w:spacing w:before="166" w:beforeLines="50" w:after="166" w:afterLines="50" w:line="360" w:lineRule="auto"/>
        <w:jc w:val="center"/>
        <w:rPr>
          <w:rFonts w:hint="default" w:ascii="Times New Roman" w:hAnsi="Times New Roman" w:eastAsia="黑体" w:cs="Times New Roman"/>
          <w:color w:val="auto"/>
          <w:sz w:val="21"/>
          <w:szCs w:val="21"/>
          <w:highlight w:val="none"/>
          <w:lang w:val="en-US" w:eastAsia="zh-CN"/>
        </w:rPr>
      </w:pPr>
      <w:bookmarkStart w:id="1419" w:name="_Toc32386"/>
      <w:bookmarkStart w:id="1420" w:name="_Toc19048"/>
      <w:r>
        <w:rPr>
          <w:rFonts w:ascii="Times New Roman" w:hAnsi="Times New Roman" w:eastAsia="黑体" w:cs="Times New Roman"/>
          <w:b/>
          <w:color w:val="auto"/>
          <w:sz w:val="24"/>
          <w:szCs w:val="24"/>
          <w:highlight w:val="none"/>
        </w:rPr>
        <w:t>6.</w:t>
      </w:r>
      <w:r>
        <w:rPr>
          <w:rFonts w:hint="eastAsia" w:ascii="Times New Roman" w:hAnsi="Times New Roman" w:eastAsia="黑体" w:cs="Times New Roman"/>
          <w:b/>
          <w:color w:val="auto"/>
          <w:sz w:val="24"/>
          <w:szCs w:val="24"/>
          <w:highlight w:val="none"/>
          <w:lang w:val="en-US" w:eastAsia="zh-CN"/>
        </w:rPr>
        <w:t>4</w:t>
      </w:r>
      <w:r>
        <w:rPr>
          <w:rFonts w:ascii="Times New Roman" w:hAnsi="Times New Roman" w:eastAsia="黑体" w:cs="Times New Roman"/>
          <w:b/>
          <w:color w:val="auto"/>
          <w:sz w:val="24"/>
          <w:szCs w:val="24"/>
          <w:highlight w:val="none"/>
        </w:rPr>
        <w:t xml:space="preserve"> </w:t>
      </w:r>
      <w:r>
        <w:rPr>
          <w:rFonts w:ascii="Times New Roman" w:hAnsi="Times New Roman" w:eastAsia="黑体" w:cs="Times New Roman"/>
          <w:color w:val="auto"/>
          <w:sz w:val="24"/>
          <w:szCs w:val="24"/>
          <w:highlight w:val="none"/>
        </w:rPr>
        <w:t xml:space="preserve"> </w:t>
      </w:r>
      <w:r>
        <w:rPr>
          <w:rFonts w:hint="eastAsia" w:ascii="Times New Roman" w:hAnsi="Times New Roman" w:eastAsia="黑体" w:cs="Times New Roman"/>
          <w:color w:val="auto"/>
          <w:sz w:val="24"/>
          <w:szCs w:val="24"/>
          <w:highlight w:val="none"/>
          <w:lang w:val="en-US" w:eastAsia="zh-CN"/>
        </w:rPr>
        <w:t>模块构件和连接设计</w:t>
      </w:r>
      <w:bookmarkEnd w:id="1419"/>
      <w:bookmarkEnd w:id="1420"/>
    </w:p>
    <w:p w14:paraId="32CE8C88">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lang w:val="en-US" w:eastAsia="zh-CN"/>
        </w:rPr>
        <w:t>6.4.2</w:t>
      </w:r>
      <w:r>
        <w:rPr>
          <w:rFonts w:hint="default" w:ascii="Times New Roman" w:hAnsi="Times New Roman" w:cs="Times New Roman"/>
          <w:b/>
          <w:color w:val="auto"/>
          <w:sz w:val="21"/>
          <w:szCs w:val="21"/>
          <w:highlight w:val="none"/>
          <w:lang w:eastAsia="zh-CN"/>
        </w:rPr>
        <w:t xml:space="preserve"> </w:t>
      </w:r>
      <w:r>
        <w:rPr>
          <w:rFonts w:hint="default" w:ascii="Times New Roman" w:hAnsi="Times New Roman" w:cs="Times New Roman"/>
          <w:color w:val="auto"/>
          <w:sz w:val="21"/>
          <w:szCs w:val="21"/>
          <w:highlight w:val="none"/>
          <w:lang w:eastAsia="zh-CN"/>
        </w:rPr>
        <w:t xml:space="preserve"> </w:t>
      </w:r>
      <w:r>
        <w:rPr>
          <w:rFonts w:hint="default" w:ascii="Times New Roman" w:hAnsi="Times New Roman" w:cs="Times New Roman"/>
          <w:color w:val="auto"/>
          <w:sz w:val="21"/>
          <w:szCs w:val="21"/>
          <w:highlight w:val="none"/>
          <w:lang w:val="en-US" w:eastAsia="zh-CN"/>
        </w:rPr>
        <w:t>编制组开展了</w:t>
      </w:r>
      <w:r>
        <w:rPr>
          <w:rFonts w:hint="default" w:ascii="Times New Roman" w:hAnsi="Times New Roman" w:cs="Times New Roman"/>
          <w:color w:val="auto"/>
          <w:sz w:val="21"/>
          <w:szCs w:val="21"/>
          <w:highlight w:val="none"/>
        </w:rPr>
        <w:t>预制边缘构件与预制双面叠合墙板水平连接处竖向接缝的抗剪性能，设计了三组不同竖向接缝的直剪试验</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图3</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，每组2个平行试件，共计6个试件。试件破坏状态主要有竖向接缝破坏，钢筋断裂和竖向接缝破坏，钢筋未断裂两种</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图4</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w:t>
      </w:r>
    </w:p>
    <w:p w14:paraId="4ADD2220">
      <w:pPr>
        <w:spacing w:line="360" w:lineRule="exact"/>
        <w:ind w:firstLine="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根据</w:t>
      </w:r>
      <w:r>
        <w:rPr>
          <w:rFonts w:hint="eastAsia" w:cs="Times New Roman"/>
          <w:color w:val="auto"/>
          <w:sz w:val="21"/>
          <w:szCs w:val="21"/>
          <w:highlight w:val="none"/>
          <w:lang w:val="en-US" w:eastAsia="zh-CN"/>
        </w:rPr>
        <w:t>现行国家标准</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装配式混凝土建筑技术标准</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GB</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T 51231，竖向接缝剪力抗震设计公式为：</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54"/>
        <w:gridCol w:w="1181"/>
      </w:tblGrid>
      <w:tr w14:paraId="31275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4954" w:type="dxa"/>
            <w:vAlign w:val="center"/>
          </w:tcPr>
          <w:p w14:paraId="6FB08936">
            <w:pPr>
              <w:widowControl/>
              <w:spacing w:line="360" w:lineRule="exact"/>
              <w:jc w:val="left"/>
              <w:rPr>
                <w:rFonts w:hint="eastAsia"/>
                <w:color w:val="auto"/>
                <w:sz w:val="18"/>
                <w:szCs w:val="28"/>
                <w:highlight w:val="none"/>
                <w:vertAlign w:val="baseline"/>
                <w:lang w:val="en-US" w:eastAsia="zh-CN"/>
              </w:rPr>
            </w:pPr>
            <m:oMathPara>
              <m:oMath>
                <m:r>
                  <m:rPr>
                    <m:sty m:val="p"/>
                  </m:rPr>
                  <w:rPr>
                    <w:rFonts w:hint="default" w:ascii="Cambria Math" w:hAnsi="Cambria Math" w:cs="Times New Roman"/>
                    <w:color w:val="auto"/>
                    <w:sz w:val="21"/>
                    <w:szCs w:val="21"/>
                    <w:highlight w:val="none"/>
                  </w:rPr>
                  <m:t>V=0.04</m:t>
                </m:r>
                <m:sSub>
                  <m:sSubPr>
                    <m:ctrlPr>
                      <w:rPr>
                        <w:rFonts w:hint="default" w:ascii="Cambria Math" w:hAnsi="Cambria Math" w:cs="Times New Roman"/>
                        <w:i w:val="0"/>
                        <w:iCs w:val="0"/>
                        <w:color w:val="auto"/>
                        <w:sz w:val="21"/>
                        <w:szCs w:val="21"/>
                        <w:highlight w:val="none"/>
                      </w:rPr>
                    </m:ctrlPr>
                  </m:sSubPr>
                  <m:e>
                    <m:r>
                      <m:rPr>
                        <m:sty m:val="p"/>
                      </m:rPr>
                      <w:rPr>
                        <w:rFonts w:hint="default" w:ascii="Cambria Math" w:hAnsi="Cambria Math" w:cs="Times New Roman"/>
                        <w:color w:val="auto"/>
                        <w:sz w:val="21"/>
                        <w:szCs w:val="21"/>
                        <w:highlight w:val="none"/>
                      </w:rPr>
                      <m:t>f</m:t>
                    </m:r>
                    <m:ctrlPr>
                      <w:rPr>
                        <w:rFonts w:hint="default" w:ascii="Cambria Math" w:hAnsi="Cambria Math" w:cs="Times New Roman"/>
                        <w:i w:val="0"/>
                        <w:iCs w:val="0"/>
                        <w:color w:val="auto"/>
                        <w:sz w:val="21"/>
                        <w:szCs w:val="21"/>
                        <w:highlight w:val="none"/>
                      </w:rPr>
                    </m:ctrlPr>
                  </m:e>
                  <m:sub>
                    <m:r>
                      <m:rPr>
                        <m:sty m:val="p"/>
                      </m:rPr>
                      <w:rPr>
                        <w:rFonts w:hint="default" w:ascii="Cambria Math" w:hAnsi="Cambria Math" w:cs="Times New Roman"/>
                        <w:color w:val="auto"/>
                        <w:sz w:val="21"/>
                        <w:szCs w:val="21"/>
                        <w:highlight w:val="none"/>
                      </w:rPr>
                      <m:t>c</m:t>
                    </m:r>
                    <m:ctrlPr>
                      <w:rPr>
                        <w:rFonts w:hint="default" w:ascii="Cambria Math" w:hAnsi="Cambria Math" w:cs="Times New Roman"/>
                        <w:i w:val="0"/>
                        <w:iCs w:val="0"/>
                        <w:color w:val="auto"/>
                        <w:sz w:val="21"/>
                        <w:szCs w:val="21"/>
                        <w:highlight w:val="none"/>
                      </w:rPr>
                    </m:ctrlPr>
                  </m:sub>
                </m:sSub>
                <m:sSub>
                  <m:sSubPr>
                    <m:ctrlPr>
                      <w:rPr>
                        <w:rFonts w:hint="default" w:ascii="Cambria Math" w:hAnsi="Cambria Math" w:cs="Times New Roman"/>
                        <w:i w:val="0"/>
                        <w:iCs w:val="0"/>
                        <w:color w:val="auto"/>
                        <w:sz w:val="21"/>
                        <w:szCs w:val="21"/>
                        <w:highlight w:val="none"/>
                      </w:rPr>
                    </m:ctrlPr>
                  </m:sSubPr>
                  <m:e>
                    <m:r>
                      <m:rPr>
                        <m:sty m:val="p"/>
                      </m:rPr>
                      <w:rPr>
                        <w:rFonts w:hint="default" w:ascii="Cambria Math" w:hAnsi="Cambria Math" w:cs="Times New Roman"/>
                        <w:color w:val="auto"/>
                        <w:sz w:val="21"/>
                        <w:szCs w:val="21"/>
                        <w:highlight w:val="none"/>
                      </w:rPr>
                      <m:t>A</m:t>
                    </m:r>
                    <m:ctrlPr>
                      <w:rPr>
                        <w:rFonts w:hint="default" w:ascii="Cambria Math" w:hAnsi="Cambria Math" w:cs="Times New Roman"/>
                        <w:i w:val="0"/>
                        <w:iCs w:val="0"/>
                        <w:color w:val="auto"/>
                        <w:sz w:val="21"/>
                        <w:szCs w:val="21"/>
                        <w:highlight w:val="none"/>
                      </w:rPr>
                    </m:ctrlPr>
                  </m:e>
                  <m:sub>
                    <m:r>
                      <m:rPr>
                        <m:sty m:val="p"/>
                      </m:rPr>
                      <w:rPr>
                        <w:rFonts w:hint="default" w:ascii="Cambria Math" w:hAnsi="Cambria Math" w:cs="Times New Roman"/>
                        <w:color w:val="auto"/>
                        <w:sz w:val="21"/>
                        <w:szCs w:val="21"/>
                        <w:highlight w:val="none"/>
                      </w:rPr>
                      <m:t>cl</m:t>
                    </m:r>
                    <m:ctrlPr>
                      <w:rPr>
                        <w:rFonts w:hint="default" w:ascii="Cambria Math" w:hAnsi="Cambria Math" w:cs="Times New Roman"/>
                        <w:i w:val="0"/>
                        <w:iCs w:val="0"/>
                        <w:color w:val="auto"/>
                        <w:sz w:val="21"/>
                        <w:szCs w:val="21"/>
                        <w:highlight w:val="none"/>
                      </w:rPr>
                    </m:ctrlPr>
                  </m:sub>
                </m:sSub>
                <m:r>
                  <m:rPr>
                    <m:sty m:val="p"/>
                  </m:rPr>
                  <w:rPr>
                    <w:rFonts w:hint="default" w:ascii="Cambria Math" w:hAnsi="Cambria Math" w:cs="Times New Roman"/>
                    <w:color w:val="auto"/>
                    <w:sz w:val="21"/>
                    <w:szCs w:val="21"/>
                    <w:highlight w:val="none"/>
                  </w:rPr>
                  <m:t>+0.06</m:t>
                </m:r>
                <m:sSub>
                  <m:sSubPr>
                    <m:ctrlPr>
                      <w:rPr>
                        <w:rFonts w:hint="default" w:ascii="Cambria Math" w:hAnsi="Cambria Math" w:cs="Times New Roman"/>
                        <w:i w:val="0"/>
                        <w:iCs w:val="0"/>
                        <w:color w:val="auto"/>
                        <w:sz w:val="21"/>
                        <w:szCs w:val="21"/>
                        <w:highlight w:val="none"/>
                      </w:rPr>
                    </m:ctrlPr>
                  </m:sSubPr>
                  <m:e>
                    <m:r>
                      <m:rPr>
                        <m:sty m:val="p"/>
                      </m:rPr>
                      <w:rPr>
                        <w:rFonts w:hint="default" w:ascii="Cambria Math" w:hAnsi="Cambria Math" w:cs="Times New Roman"/>
                        <w:color w:val="auto"/>
                        <w:sz w:val="21"/>
                        <w:szCs w:val="21"/>
                        <w:highlight w:val="none"/>
                      </w:rPr>
                      <m:t>f</m:t>
                    </m:r>
                    <m:ctrlPr>
                      <w:rPr>
                        <w:rFonts w:hint="default" w:ascii="Cambria Math" w:hAnsi="Cambria Math" w:cs="Times New Roman"/>
                        <w:i w:val="0"/>
                        <w:iCs w:val="0"/>
                        <w:color w:val="auto"/>
                        <w:sz w:val="21"/>
                        <w:szCs w:val="21"/>
                        <w:highlight w:val="none"/>
                      </w:rPr>
                    </m:ctrlPr>
                  </m:e>
                  <m:sub>
                    <m:r>
                      <m:rPr>
                        <m:sty m:val="p"/>
                      </m:rPr>
                      <w:rPr>
                        <w:rFonts w:hint="default" w:ascii="Cambria Math" w:hAnsi="Cambria Math" w:cs="Times New Roman"/>
                        <w:color w:val="auto"/>
                        <w:sz w:val="21"/>
                        <w:szCs w:val="21"/>
                        <w:highlight w:val="none"/>
                      </w:rPr>
                      <m:t>c</m:t>
                    </m:r>
                    <m:ctrlPr>
                      <w:rPr>
                        <w:rFonts w:hint="default" w:ascii="Cambria Math" w:hAnsi="Cambria Math" w:cs="Times New Roman"/>
                        <w:i w:val="0"/>
                        <w:iCs w:val="0"/>
                        <w:color w:val="auto"/>
                        <w:sz w:val="21"/>
                        <w:szCs w:val="21"/>
                        <w:highlight w:val="none"/>
                      </w:rPr>
                    </m:ctrlPr>
                  </m:sub>
                </m:sSub>
                <m:sSub>
                  <m:sSubPr>
                    <m:ctrlPr>
                      <w:rPr>
                        <w:rFonts w:hint="default" w:ascii="Cambria Math" w:hAnsi="Cambria Math" w:cs="Times New Roman"/>
                        <w:i w:val="0"/>
                        <w:iCs w:val="0"/>
                        <w:color w:val="auto"/>
                        <w:sz w:val="21"/>
                        <w:szCs w:val="21"/>
                        <w:highlight w:val="none"/>
                      </w:rPr>
                    </m:ctrlPr>
                  </m:sSubPr>
                  <m:e>
                    <m:r>
                      <m:rPr>
                        <m:sty m:val="p"/>
                      </m:rPr>
                      <w:rPr>
                        <w:rFonts w:hint="default" w:ascii="Cambria Math" w:hAnsi="Cambria Math" w:cs="Times New Roman"/>
                        <w:color w:val="auto"/>
                        <w:sz w:val="21"/>
                        <w:szCs w:val="21"/>
                        <w:highlight w:val="none"/>
                      </w:rPr>
                      <m:t>A</m:t>
                    </m:r>
                    <m:ctrlPr>
                      <w:rPr>
                        <w:rFonts w:hint="default" w:ascii="Cambria Math" w:hAnsi="Cambria Math" w:cs="Times New Roman"/>
                        <w:i w:val="0"/>
                        <w:iCs w:val="0"/>
                        <w:color w:val="auto"/>
                        <w:sz w:val="21"/>
                        <w:szCs w:val="21"/>
                        <w:highlight w:val="none"/>
                      </w:rPr>
                    </m:ctrlPr>
                  </m:e>
                  <m:sub>
                    <m:r>
                      <m:rPr>
                        <m:sty m:val="p"/>
                      </m:rPr>
                      <w:rPr>
                        <w:rFonts w:hint="default" w:ascii="Cambria Math" w:hAnsi="Cambria Math" w:cs="Times New Roman"/>
                        <w:color w:val="auto"/>
                        <w:sz w:val="21"/>
                        <w:szCs w:val="21"/>
                        <w:highlight w:val="none"/>
                      </w:rPr>
                      <m:t>k</m:t>
                    </m:r>
                    <m:ctrlPr>
                      <w:rPr>
                        <w:rFonts w:hint="default" w:ascii="Cambria Math" w:hAnsi="Cambria Math" w:cs="Times New Roman"/>
                        <w:i w:val="0"/>
                        <w:iCs w:val="0"/>
                        <w:color w:val="auto"/>
                        <w:sz w:val="21"/>
                        <w:szCs w:val="21"/>
                        <w:highlight w:val="none"/>
                      </w:rPr>
                    </m:ctrlPr>
                  </m:sub>
                </m:sSub>
                <m:r>
                  <m:rPr>
                    <m:sty m:val="p"/>
                  </m:rPr>
                  <w:rPr>
                    <w:rFonts w:hint="default" w:ascii="Cambria Math" w:hAnsi="Cambria Math" w:cs="Times New Roman"/>
                    <w:color w:val="auto"/>
                    <w:sz w:val="21"/>
                    <w:szCs w:val="21"/>
                    <w:highlight w:val="none"/>
                  </w:rPr>
                  <m:t>+1.65</m:t>
                </m:r>
                <m:sSub>
                  <m:sSubPr>
                    <m:ctrlPr>
                      <w:rPr>
                        <w:rFonts w:hint="default" w:ascii="Cambria Math" w:hAnsi="Cambria Math" w:cs="Times New Roman"/>
                        <w:i w:val="0"/>
                        <w:iCs w:val="0"/>
                        <w:color w:val="auto"/>
                        <w:sz w:val="21"/>
                        <w:szCs w:val="21"/>
                        <w:highlight w:val="none"/>
                      </w:rPr>
                    </m:ctrlPr>
                  </m:sSubPr>
                  <m:e>
                    <m:r>
                      <m:rPr>
                        <m:sty m:val="p"/>
                      </m:rPr>
                      <w:rPr>
                        <w:rFonts w:hint="default" w:ascii="Cambria Math" w:hAnsi="Cambria Math" w:cs="Times New Roman"/>
                        <w:color w:val="auto"/>
                        <w:sz w:val="21"/>
                        <w:szCs w:val="21"/>
                        <w:highlight w:val="none"/>
                      </w:rPr>
                      <m:t>A</m:t>
                    </m:r>
                    <m:ctrlPr>
                      <w:rPr>
                        <w:rFonts w:hint="default" w:ascii="Cambria Math" w:hAnsi="Cambria Math" w:cs="Times New Roman"/>
                        <w:i w:val="0"/>
                        <w:iCs w:val="0"/>
                        <w:color w:val="auto"/>
                        <w:sz w:val="21"/>
                        <w:szCs w:val="21"/>
                        <w:highlight w:val="none"/>
                      </w:rPr>
                    </m:ctrlPr>
                  </m:e>
                  <m:sub>
                    <m:r>
                      <m:rPr>
                        <m:sty m:val="p"/>
                      </m:rPr>
                      <w:rPr>
                        <w:rFonts w:hint="default" w:ascii="Cambria Math" w:hAnsi="Cambria Math" w:cs="Times New Roman"/>
                        <w:color w:val="auto"/>
                        <w:sz w:val="21"/>
                        <w:szCs w:val="21"/>
                        <w:highlight w:val="none"/>
                      </w:rPr>
                      <m:t>sd</m:t>
                    </m:r>
                    <m:ctrlPr>
                      <w:rPr>
                        <w:rFonts w:hint="default" w:ascii="Cambria Math" w:hAnsi="Cambria Math" w:cs="Times New Roman"/>
                        <w:i w:val="0"/>
                        <w:iCs w:val="0"/>
                        <w:color w:val="auto"/>
                        <w:sz w:val="21"/>
                        <w:szCs w:val="21"/>
                        <w:highlight w:val="none"/>
                      </w:rPr>
                    </m:ctrlPr>
                  </m:sub>
                </m:sSub>
                <m:rad>
                  <m:radPr>
                    <m:degHide m:val="1"/>
                    <m:ctrlPr>
                      <w:rPr>
                        <w:rFonts w:hint="default" w:ascii="Cambria Math" w:hAnsi="Cambria Math" w:cs="Times New Roman"/>
                        <w:i w:val="0"/>
                        <w:iCs w:val="0"/>
                        <w:color w:val="auto"/>
                        <w:sz w:val="21"/>
                        <w:szCs w:val="21"/>
                        <w:highlight w:val="none"/>
                      </w:rPr>
                    </m:ctrlPr>
                  </m:radPr>
                  <m:deg>
                    <m:ctrlPr>
                      <w:rPr>
                        <w:rFonts w:hint="default" w:ascii="Cambria Math" w:hAnsi="Cambria Math" w:cs="Times New Roman"/>
                        <w:i w:val="0"/>
                        <w:iCs w:val="0"/>
                        <w:color w:val="auto"/>
                        <w:sz w:val="21"/>
                        <w:szCs w:val="21"/>
                        <w:highlight w:val="none"/>
                      </w:rPr>
                    </m:ctrlPr>
                  </m:deg>
                  <m:e>
                    <m:sSub>
                      <m:sSubPr>
                        <m:ctrlPr>
                          <w:rPr>
                            <w:rFonts w:hint="default" w:ascii="Cambria Math" w:hAnsi="Cambria Math" w:cs="Times New Roman"/>
                            <w:i w:val="0"/>
                            <w:iCs w:val="0"/>
                            <w:color w:val="auto"/>
                            <w:sz w:val="21"/>
                            <w:szCs w:val="21"/>
                            <w:highlight w:val="none"/>
                          </w:rPr>
                        </m:ctrlPr>
                      </m:sSubPr>
                      <m:e>
                        <m:r>
                          <m:rPr>
                            <m:sty m:val="p"/>
                          </m:rPr>
                          <w:rPr>
                            <w:rFonts w:hint="default" w:ascii="Cambria Math" w:hAnsi="Cambria Math" w:cs="Times New Roman"/>
                            <w:color w:val="auto"/>
                            <w:sz w:val="21"/>
                            <w:szCs w:val="21"/>
                            <w:highlight w:val="none"/>
                          </w:rPr>
                          <m:t>f</m:t>
                        </m:r>
                        <m:ctrlPr>
                          <w:rPr>
                            <w:rFonts w:hint="default" w:ascii="Cambria Math" w:hAnsi="Cambria Math" w:cs="Times New Roman"/>
                            <w:i w:val="0"/>
                            <w:iCs w:val="0"/>
                            <w:color w:val="auto"/>
                            <w:sz w:val="21"/>
                            <w:szCs w:val="21"/>
                            <w:highlight w:val="none"/>
                          </w:rPr>
                        </m:ctrlPr>
                      </m:e>
                      <m:sub>
                        <m:r>
                          <m:rPr>
                            <m:sty m:val="p"/>
                          </m:rPr>
                          <w:rPr>
                            <w:rFonts w:hint="default" w:ascii="Cambria Math" w:hAnsi="Cambria Math" w:cs="Times New Roman"/>
                            <w:color w:val="auto"/>
                            <w:sz w:val="21"/>
                            <w:szCs w:val="21"/>
                            <w:highlight w:val="none"/>
                          </w:rPr>
                          <m:t>c</m:t>
                        </m:r>
                        <m:ctrlPr>
                          <w:rPr>
                            <w:rFonts w:hint="default" w:ascii="Cambria Math" w:hAnsi="Cambria Math" w:cs="Times New Roman"/>
                            <w:i w:val="0"/>
                            <w:iCs w:val="0"/>
                            <w:color w:val="auto"/>
                            <w:sz w:val="21"/>
                            <w:szCs w:val="21"/>
                            <w:highlight w:val="none"/>
                          </w:rPr>
                        </m:ctrlPr>
                      </m:sub>
                    </m:sSub>
                    <m:sSub>
                      <m:sSubPr>
                        <m:ctrlPr>
                          <w:rPr>
                            <w:rFonts w:hint="default" w:ascii="Cambria Math" w:hAnsi="Cambria Math" w:cs="Times New Roman"/>
                            <w:i w:val="0"/>
                            <w:iCs w:val="0"/>
                            <w:color w:val="auto"/>
                            <w:sz w:val="21"/>
                            <w:szCs w:val="21"/>
                            <w:highlight w:val="none"/>
                          </w:rPr>
                        </m:ctrlPr>
                      </m:sSubPr>
                      <m:e>
                        <m:r>
                          <m:rPr>
                            <m:sty m:val="p"/>
                          </m:rPr>
                          <w:rPr>
                            <w:rFonts w:hint="default" w:ascii="Cambria Math" w:hAnsi="Cambria Math" w:cs="Times New Roman"/>
                            <w:color w:val="auto"/>
                            <w:sz w:val="21"/>
                            <w:szCs w:val="21"/>
                            <w:highlight w:val="none"/>
                          </w:rPr>
                          <m:t>f</m:t>
                        </m:r>
                        <m:ctrlPr>
                          <w:rPr>
                            <w:rFonts w:hint="default" w:ascii="Cambria Math" w:hAnsi="Cambria Math" w:cs="Times New Roman"/>
                            <w:i w:val="0"/>
                            <w:iCs w:val="0"/>
                            <w:color w:val="auto"/>
                            <w:sz w:val="21"/>
                            <w:szCs w:val="21"/>
                            <w:highlight w:val="none"/>
                          </w:rPr>
                        </m:ctrlPr>
                      </m:e>
                      <m:sub>
                        <m:r>
                          <m:rPr>
                            <m:sty m:val="p"/>
                          </m:rPr>
                          <w:rPr>
                            <w:rFonts w:hint="default" w:ascii="Cambria Math" w:hAnsi="Cambria Math" w:cs="Times New Roman"/>
                            <w:color w:val="auto"/>
                            <w:sz w:val="21"/>
                            <w:szCs w:val="21"/>
                            <w:highlight w:val="none"/>
                          </w:rPr>
                          <m:t>y</m:t>
                        </m:r>
                        <m:ctrlPr>
                          <w:rPr>
                            <w:rFonts w:hint="default" w:ascii="Cambria Math" w:hAnsi="Cambria Math" w:cs="Times New Roman"/>
                            <w:i w:val="0"/>
                            <w:iCs w:val="0"/>
                            <w:color w:val="auto"/>
                            <w:sz w:val="21"/>
                            <w:szCs w:val="21"/>
                            <w:highlight w:val="none"/>
                          </w:rPr>
                        </m:ctrlPr>
                      </m:sub>
                    </m:sSub>
                    <m:ctrlPr>
                      <w:rPr>
                        <w:rFonts w:hint="default" w:ascii="Cambria Math" w:hAnsi="Cambria Math" w:cs="Times New Roman"/>
                        <w:i w:val="0"/>
                        <w:iCs w:val="0"/>
                        <w:color w:val="auto"/>
                        <w:sz w:val="21"/>
                        <w:szCs w:val="21"/>
                        <w:highlight w:val="none"/>
                      </w:rPr>
                    </m:ctrlPr>
                  </m:e>
                </m:rad>
              </m:oMath>
            </m:oMathPara>
          </w:p>
        </w:tc>
        <w:tc>
          <w:tcPr>
            <w:tcW w:w="1181" w:type="dxa"/>
            <w:vAlign w:val="center"/>
          </w:tcPr>
          <w:p w14:paraId="6CE17CF4">
            <w:pPr>
              <w:widowControl/>
              <w:spacing w:line="360" w:lineRule="exact"/>
              <w:jc w:val="center"/>
              <w:rPr>
                <w:rFonts w:hint="default"/>
                <w:color w:val="auto"/>
                <w:sz w:val="18"/>
                <w:szCs w:val="28"/>
                <w:highlight w:val="none"/>
                <w:vertAlign w:val="baseline"/>
                <w:lang w:val="en-US" w:eastAsia="zh-CN"/>
              </w:rPr>
            </w:pPr>
            <w:r>
              <w:rPr>
                <w:rFonts w:hint="eastAsia"/>
                <w:color w:val="auto"/>
                <w:sz w:val="18"/>
                <w:szCs w:val="28"/>
                <w:highlight w:val="none"/>
                <w:vertAlign w:val="baseline"/>
                <w:lang w:val="en-US" w:eastAsia="zh-CN"/>
              </w:rPr>
              <w:t>(1)</w:t>
            </w:r>
          </w:p>
        </w:tc>
      </w:tr>
    </w:tbl>
    <w:p w14:paraId="5A868B0A">
      <w:pPr>
        <w:spacing w:line="36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根据上述计算公式分别计算得到竖向接缝抗剪承载力理论计算值，对试验值</w:t>
      </w:r>
      <m:oMath>
        <m:sSub>
          <m:sSubPr>
            <m:ctrlPr>
              <w:rPr>
                <w:rFonts w:hint="default" w:ascii="Cambria Math" w:hAnsi="Cambria Math" w:cs="Times New Roman"/>
                <w:i w:val="0"/>
                <w:color w:val="auto"/>
                <w:sz w:val="21"/>
                <w:szCs w:val="21"/>
                <w:highlight w:val="none"/>
              </w:rPr>
            </m:ctrlPr>
          </m:sSubPr>
          <m:e>
            <m:r>
              <m:rPr>
                <m:sty m:val="p"/>
              </m:rPr>
              <w:rPr>
                <w:rFonts w:hint="default" w:ascii="Cambria Math" w:hAnsi="Cambria Math" w:cs="Times New Roman"/>
                <w:color w:val="auto"/>
                <w:sz w:val="21"/>
                <w:szCs w:val="21"/>
                <w:highlight w:val="none"/>
              </w:rPr>
              <m:t>V</m:t>
            </m:r>
            <m:ctrlPr>
              <w:rPr>
                <w:rFonts w:hint="default" w:ascii="Cambria Math" w:hAnsi="Cambria Math" w:cs="Times New Roman"/>
                <w:i w:val="0"/>
                <w:color w:val="auto"/>
                <w:sz w:val="21"/>
                <w:szCs w:val="21"/>
                <w:highlight w:val="none"/>
              </w:rPr>
            </m:ctrlPr>
          </m:e>
          <m:sub>
            <m:r>
              <m:rPr>
                <m:sty m:val="p"/>
              </m:rPr>
              <w:rPr>
                <w:rFonts w:hint="default" w:ascii="Cambria Math" w:hAnsi="Cambria Math" w:cs="Times New Roman"/>
                <w:color w:val="auto"/>
                <w:sz w:val="21"/>
                <w:szCs w:val="21"/>
                <w:highlight w:val="none"/>
              </w:rPr>
              <m:t>t</m:t>
            </m:r>
            <m:ctrlPr>
              <w:rPr>
                <w:rFonts w:hint="default" w:ascii="Cambria Math" w:hAnsi="Cambria Math" w:cs="Times New Roman"/>
                <w:i w:val="0"/>
                <w:color w:val="auto"/>
                <w:sz w:val="21"/>
                <w:szCs w:val="21"/>
                <w:highlight w:val="none"/>
              </w:rPr>
            </m:ctrlPr>
          </m:sub>
        </m:sSub>
      </m:oMath>
      <w:r>
        <w:rPr>
          <w:rFonts w:hint="default" w:ascii="Times New Roman" w:hAnsi="Times New Roman" w:cs="Times New Roman"/>
          <w:color w:val="auto"/>
          <w:sz w:val="21"/>
          <w:szCs w:val="21"/>
          <w:highlight w:val="none"/>
        </w:rPr>
        <w:t>和上述公式计算理论值</w:t>
      </w:r>
      <m:oMath>
        <m:sSub>
          <m:sSubPr>
            <m:ctrlPr>
              <w:rPr>
                <w:rFonts w:hint="default" w:ascii="Cambria Math" w:hAnsi="Cambria Math" w:cs="Times New Roman"/>
                <w:i w:val="0"/>
                <w:color w:val="auto"/>
                <w:sz w:val="21"/>
                <w:szCs w:val="21"/>
                <w:highlight w:val="none"/>
              </w:rPr>
            </m:ctrlPr>
          </m:sSubPr>
          <m:e>
            <m:r>
              <m:rPr>
                <m:sty m:val="p"/>
              </m:rPr>
              <w:rPr>
                <w:rFonts w:hint="default" w:ascii="Cambria Math" w:hAnsi="Cambria Math" w:cs="Times New Roman"/>
                <w:color w:val="auto"/>
                <w:sz w:val="21"/>
                <w:szCs w:val="21"/>
                <w:highlight w:val="none"/>
              </w:rPr>
              <m:t>V</m:t>
            </m:r>
            <m:ctrlPr>
              <w:rPr>
                <w:rFonts w:hint="default" w:ascii="Cambria Math" w:hAnsi="Cambria Math" w:cs="Times New Roman"/>
                <w:i w:val="0"/>
                <w:color w:val="auto"/>
                <w:sz w:val="21"/>
                <w:szCs w:val="21"/>
                <w:highlight w:val="none"/>
              </w:rPr>
            </m:ctrlPr>
          </m:e>
          <m:sub>
            <m:r>
              <m:rPr>
                <m:sty m:val="p"/>
              </m:rPr>
              <w:rPr>
                <w:rFonts w:hint="default" w:ascii="Cambria Math" w:hAnsi="Cambria Math" w:cs="Times New Roman"/>
                <w:color w:val="auto"/>
                <w:sz w:val="21"/>
                <w:szCs w:val="21"/>
                <w:highlight w:val="none"/>
              </w:rPr>
              <m:t>c</m:t>
            </m:r>
            <m:ctrlPr>
              <w:rPr>
                <w:rFonts w:hint="default" w:ascii="Cambria Math" w:hAnsi="Cambria Math" w:cs="Times New Roman"/>
                <w:i w:val="0"/>
                <w:color w:val="auto"/>
                <w:sz w:val="21"/>
                <w:szCs w:val="21"/>
                <w:highlight w:val="none"/>
              </w:rPr>
            </m:ctrlPr>
          </m:sub>
        </m:sSub>
      </m:oMath>
      <w:r>
        <w:rPr>
          <w:rFonts w:hint="default" w:ascii="Times New Roman" w:hAnsi="Times New Roman" w:cs="Times New Roman"/>
          <w:color w:val="auto"/>
          <w:sz w:val="21"/>
          <w:szCs w:val="21"/>
          <w:highlight w:val="none"/>
        </w:rPr>
        <w:t>进行对比，得到</w:t>
      </w:r>
      <m:oMath>
        <m:sSub>
          <m:sSubPr>
            <m:ctrlPr>
              <w:rPr>
                <w:rFonts w:hint="default" w:ascii="Cambria Math" w:hAnsi="Cambria Math" w:cs="Times New Roman"/>
                <w:i w:val="0"/>
                <w:color w:val="auto"/>
                <w:sz w:val="21"/>
                <w:szCs w:val="21"/>
                <w:highlight w:val="none"/>
              </w:rPr>
            </m:ctrlPr>
          </m:sSubPr>
          <m:e>
            <m:r>
              <m:rPr>
                <m:sty m:val="p"/>
              </m:rPr>
              <w:rPr>
                <w:rFonts w:hint="default" w:ascii="Cambria Math" w:hAnsi="Cambria Math" w:cs="Times New Roman"/>
                <w:color w:val="auto"/>
                <w:sz w:val="21"/>
                <w:szCs w:val="21"/>
                <w:highlight w:val="none"/>
              </w:rPr>
              <m:t>V</m:t>
            </m:r>
            <m:ctrlPr>
              <w:rPr>
                <w:rFonts w:hint="default" w:ascii="Cambria Math" w:hAnsi="Cambria Math" w:cs="Times New Roman"/>
                <w:i w:val="0"/>
                <w:color w:val="auto"/>
                <w:sz w:val="21"/>
                <w:szCs w:val="21"/>
                <w:highlight w:val="none"/>
              </w:rPr>
            </m:ctrlPr>
          </m:e>
          <m:sub>
            <m:r>
              <m:rPr>
                <m:sty m:val="p"/>
              </m:rPr>
              <w:rPr>
                <w:rFonts w:hint="default" w:ascii="Cambria Math" w:hAnsi="Cambria Math" w:cs="Times New Roman"/>
                <w:color w:val="auto"/>
                <w:sz w:val="21"/>
                <w:szCs w:val="21"/>
                <w:highlight w:val="none"/>
              </w:rPr>
              <m:t>t</m:t>
            </m:r>
            <m:ctrlPr>
              <w:rPr>
                <w:rFonts w:hint="default" w:ascii="Cambria Math" w:hAnsi="Cambria Math" w:cs="Times New Roman"/>
                <w:i w:val="0"/>
                <w:color w:val="auto"/>
                <w:sz w:val="21"/>
                <w:szCs w:val="21"/>
                <w:highlight w:val="none"/>
              </w:rPr>
            </m:ctrlPr>
          </m:sub>
        </m:sSub>
        <m:r>
          <m:rPr>
            <m:sty m:val="p"/>
          </m:rPr>
          <w:rPr>
            <w:rFonts w:hint="default" w:ascii="Cambria Math" w:hAnsi="Cambria Math" w:cs="Times New Roman"/>
            <w:color w:val="auto"/>
            <w:sz w:val="21"/>
            <w:szCs w:val="21"/>
            <w:highlight w:val="none"/>
          </w:rPr>
          <m:t>/</m:t>
        </m:r>
        <m:sSub>
          <m:sSubPr>
            <m:ctrlPr>
              <w:rPr>
                <w:rFonts w:hint="default" w:ascii="Cambria Math" w:hAnsi="Cambria Math" w:cs="Times New Roman"/>
                <w:i w:val="0"/>
                <w:color w:val="auto"/>
                <w:sz w:val="21"/>
                <w:szCs w:val="21"/>
                <w:highlight w:val="none"/>
              </w:rPr>
            </m:ctrlPr>
          </m:sSubPr>
          <m:e>
            <m:r>
              <m:rPr>
                <m:sty m:val="p"/>
              </m:rPr>
              <w:rPr>
                <w:rFonts w:hint="default" w:ascii="Cambria Math" w:hAnsi="Cambria Math" w:cs="Times New Roman"/>
                <w:color w:val="auto"/>
                <w:sz w:val="21"/>
                <w:szCs w:val="21"/>
                <w:highlight w:val="none"/>
              </w:rPr>
              <m:t>V</m:t>
            </m:r>
            <m:ctrlPr>
              <w:rPr>
                <w:rFonts w:hint="default" w:ascii="Cambria Math" w:hAnsi="Cambria Math" w:cs="Times New Roman"/>
                <w:i w:val="0"/>
                <w:color w:val="auto"/>
                <w:sz w:val="21"/>
                <w:szCs w:val="21"/>
                <w:highlight w:val="none"/>
              </w:rPr>
            </m:ctrlPr>
          </m:e>
          <m:sub>
            <m:r>
              <m:rPr>
                <m:sty m:val="p"/>
              </m:rPr>
              <w:rPr>
                <w:rFonts w:hint="default" w:ascii="Cambria Math" w:hAnsi="Cambria Math" w:cs="Times New Roman"/>
                <w:color w:val="auto"/>
                <w:sz w:val="21"/>
                <w:szCs w:val="21"/>
                <w:highlight w:val="none"/>
              </w:rPr>
              <m:t>c</m:t>
            </m:r>
            <m:ctrlPr>
              <w:rPr>
                <w:rFonts w:hint="default" w:ascii="Cambria Math" w:hAnsi="Cambria Math" w:cs="Times New Roman"/>
                <w:i w:val="0"/>
                <w:color w:val="auto"/>
                <w:sz w:val="21"/>
                <w:szCs w:val="21"/>
                <w:highlight w:val="none"/>
              </w:rPr>
            </m:ctrlPr>
          </m:sub>
        </m:sSub>
      </m:oMath>
      <w:r>
        <w:rPr>
          <w:rFonts w:hint="default" w:ascii="Times New Roman" w:hAnsi="Times New Roman" w:cs="Times New Roman"/>
          <w:color w:val="auto"/>
          <w:sz w:val="21"/>
          <w:szCs w:val="21"/>
          <w:highlight w:val="none"/>
        </w:rPr>
        <w:t>值域为1.27~1.31。</w:t>
      </w:r>
      <w:r>
        <w:rPr>
          <w:rFonts w:hint="default" w:ascii="Times New Roman" w:hAnsi="Times New Roman" w:cs="Times New Roman"/>
          <w:color w:val="auto"/>
          <w:sz w:val="21"/>
          <w:szCs w:val="21"/>
          <w:highlight w:val="none"/>
          <w:lang w:val="en-US" w:eastAsia="zh-CN"/>
        </w:rPr>
        <w:t>表明采用上述公式计算竖向拼缝的抗剪承载力具有足够的安全储备。</w:t>
      </w:r>
    </w:p>
    <w:p w14:paraId="007642BF">
      <w:pPr>
        <w:jc w:val="center"/>
        <w:rPr>
          <w:highlight w:val="none"/>
        </w:rPr>
      </w:pPr>
      <w:r>
        <w:rPr>
          <w:rFonts w:hint="default" w:ascii="Times New Roman" w:hAnsi="Times New Roman" w:cs="Times New Roman"/>
          <w:color w:val="auto"/>
          <w:sz w:val="21"/>
          <w:szCs w:val="21"/>
          <w:highlight w:val="none"/>
        </w:rPr>
        <w:drawing>
          <wp:inline distT="0" distB="0" distL="0" distR="0">
            <wp:extent cx="1725930" cy="1854200"/>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725930" cy="1854200"/>
                    </a:xfrm>
                    <a:prstGeom prst="rect">
                      <a:avLst/>
                    </a:prstGeom>
                    <a:noFill/>
                    <a:ln>
                      <a:noFill/>
                    </a:ln>
                  </pic:spPr>
                </pic:pic>
              </a:graphicData>
            </a:graphic>
          </wp:inline>
        </w:drawing>
      </w:r>
    </w:p>
    <w:p w14:paraId="238C8DEC">
      <w:pPr>
        <w:jc w:val="center"/>
        <w:rPr>
          <w:rFonts w:hint="default"/>
          <w:highlight w:val="none"/>
          <w:lang w:val="en-US"/>
        </w:rPr>
      </w:pPr>
      <w:r>
        <w:rPr>
          <w:rFonts w:hint="eastAsia" w:ascii="黑体" w:hAnsi="黑体" w:eastAsia="黑体" w:cs="黑体"/>
          <w:color w:val="auto"/>
          <w:sz w:val="18"/>
          <w:szCs w:val="18"/>
          <w:highlight w:val="none"/>
        </w:rPr>
        <w:t>图</w:t>
      </w:r>
      <w:r>
        <w:rPr>
          <w:rFonts w:hint="eastAsia" w:eastAsia="黑体" w:cs="Times New Roman"/>
          <w:b/>
          <w:bCs/>
          <w:color w:val="auto"/>
          <w:sz w:val="18"/>
          <w:szCs w:val="18"/>
          <w:highlight w:val="none"/>
          <w:lang w:val="en-US" w:eastAsia="zh-CN"/>
        </w:rPr>
        <w:t>3</w:t>
      </w:r>
      <w:r>
        <w:rPr>
          <w:rFonts w:hint="eastAsia" w:ascii="黑体" w:hAnsi="黑体" w:eastAsia="黑体" w:cs="黑体"/>
          <w:color w:val="auto"/>
          <w:sz w:val="18"/>
          <w:szCs w:val="18"/>
          <w:highlight w:val="none"/>
          <w:lang w:val="en-US" w:eastAsia="zh-CN"/>
        </w:rPr>
        <w:t xml:space="preserve"> </w:t>
      </w:r>
      <w:r>
        <w:rPr>
          <w:rFonts w:hint="eastAsia" w:ascii="黑体" w:hAnsi="黑体" w:eastAsia="黑体" w:cs="黑体"/>
          <w:color w:val="auto"/>
          <w:sz w:val="18"/>
          <w:szCs w:val="18"/>
          <w:highlight w:val="none"/>
        </w:rPr>
        <w:t>直剪试件</w:t>
      </w:r>
      <w:r>
        <w:rPr>
          <w:rFonts w:hint="eastAsia" w:ascii="黑体" w:hAnsi="黑体" w:eastAsia="黑体" w:cs="黑体"/>
          <w:color w:val="auto"/>
          <w:sz w:val="18"/>
          <w:szCs w:val="18"/>
          <w:highlight w:val="none"/>
          <w:lang w:val="en-US" w:eastAsia="zh-CN"/>
        </w:rPr>
        <w:t>试验示意图</w:t>
      </w:r>
    </w:p>
    <w:tbl>
      <w:tblPr>
        <w:tblStyle w:val="26"/>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66"/>
        <w:gridCol w:w="3067"/>
      </w:tblGrid>
      <w:tr w14:paraId="71FEB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1" w:hRule="atLeast"/>
          <w:jc w:val="center"/>
        </w:trPr>
        <w:tc>
          <w:tcPr>
            <w:tcW w:w="2500" w:type="pct"/>
            <w:vAlign w:val="center"/>
          </w:tcPr>
          <w:p w14:paraId="569CF07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sz w:val="21"/>
                <w:szCs w:val="21"/>
                <w:highlight w:val="none"/>
              </w:rPr>
              <w:drawing>
                <wp:inline distT="0" distB="0" distL="114300" distR="114300">
                  <wp:extent cx="1800225" cy="1339850"/>
                  <wp:effectExtent l="0" t="0" r="9525" b="1270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41"/>
                          <a:stretch>
                            <a:fillRect/>
                          </a:stretch>
                        </pic:blipFill>
                        <pic:spPr>
                          <a:xfrm>
                            <a:off x="0" y="0"/>
                            <a:ext cx="1800225" cy="1339850"/>
                          </a:xfrm>
                          <a:prstGeom prst="rect">
                            <a:avLst/>
                          </a:prstGeom>
                          <a:noFill/>
                          <a:ln>
                            <a:noFill/>
                          </a:ln>
                        </pic:spPr>
                      </pic:pic>
                    </a:graphicData>
                  </a:graphic>
                </wp:inline>
              </w:drawing>
            </w:r>
          </w:p>
        </w:tc>
        <w:tc>
          <w:tcPr>
            <w:tcW w:w="2500" w:type="pct"/>
            <w:vAlign w:val="center"/>
          </w:tcPr>
          <w:p w14:paraId="746549E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drawing>
                <wp:inline distT="0" distB="0" distL="114300" distR="114300">
                  <wp:extent cx="1800225" cy="1354455"/>
                  <wp:effectExtent l="0" t="0" r="9525" b="1714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42"/>
                          <a:stretch>
                            <a:fillRect/>
                          </a:stretch>
                        </pic:blipFill>
                        <pic:spPr>
                          <a:xfrm>
                            <a:off x="0" y="0"/>
                            <a:ext cx="1800225" cy="1354455"/>
                          </a:xfrm>
                          <a:prstGeom prst="rect">
                            <a:avLst/>
                          </a:prstGeom>
                          <a:noFill/>
                          <a:ln>
                            <a:noFill/>
                          </a:ln>
                        </pic:spPr>
                      </pic:pic>
                    </a:graphicData>
                  </a:graphic>
                </wp:inline>
              </w:drawing>
            </w:r>
          </w:p>
        </w:tc>
      </w:tr>
      <w:tr w14:paraId="18C85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500" w:type="pct"/>
            <w:vAlign w:val="center"/>
          </w:tcPr>
          <w:p w14:paraId="579AFCB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（a）裂缝开展</w:t>
            </w:r>
          </w:p>
        </w:tc>
        <w:tc>
          <w:tcPr>
            <w:tcW w:w="2500" w:type="pct"/>
            <w:vAlign w:val="center"/>
          </w:tcPr>
          <w:p w14:paraId="161726E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（b）接缝破坏</w:t>
            </w:r>
          </w:p>
        </w:tc>
      </w:tr>
      <w:tr w14:paraId="4ED48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1" w:hRule="atLeast"/>
          <w:jc w:val="center"/>
        </w:trPr>
        <w:tc>
          <w:tcPr>
            <w:tcW w:w="2500" w:type="pct"/>
            <w:vAlign w:val="center"/>
          </w:tcPr>
          <w:p w14:paraId="3A2B88B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drawing>
                <wp:inline distT="0" distB="0" distL="114300" distR="114300">
                  <wp:extent cx="1800225" cy="1384935"/>
                  <wp:effectExtent l="0" t="0" r="9525" b="571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43"/>
                          <a:stretch>
                            <a:fillRect/>
                          </a:stretch>
                        </pic:blipFill>
                        <pic:spPr>
                          <a:xfrm>
                            <a:off x="0" y="0"/>
                            <a:ext cx="1800225" cy="1384935"/>
                          </a:xfrm>
                          <a:prstGeom prst="rect">
                            <a:avLst/>
                          </a:prstGeom>
                          <a:noFill/>
                          <a:ln>
                            <a:noFill/>
                          </a:ln>
                        </pic:spPr>
                      </pic:pic>
                    </a:graphicData>
                  </a:graphic>
                </wp:inline>
              </w:drawing>
            </w:r>
          </w:p>
        </w:tc>
        <w:tc>
          <w:tcPr>
            <w:tcW w:w="2500" w:type="pct"/>
            <w:vAlign w:val="center"/>
          </w:tcPr>
          <w:p w14:paraId="11588EC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drawing>
                <wp:inline distT="0" distB="0" distL="114300" distR="114300">
                  <wp:extent cx="1800225" cy="1351280"/>
                  <wp:effectExtent l="0" t="0" r="9525" b="127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44"/>
                          <a:stretch>
                            <a:fillRect/>
                          </a:stretch>
                        </pic:blipFill>
                        <pic:spPr>
                          <a:xfrm>
                            <a:off x="0" y="0"/>
                            <a:ext cx="1800225" cy="1351280"/>
                          </a:xfrm>
                          <a:prstGeom prst="rect">
                            <a:avLst/>
                          </a:prstGeom>
                          <a:noFill/>
                          <a:ln>
                            <a:noFill/>
                          </a:ln>
                        </pic:spPr>
                      </pic:pic>
                    </a:graphicData>
                  </a:graphic>
                </wp:inline>
              </w:drawing>
            </w:r>
          </w:p>
        </w:tc>
      </w:tr>
      <w:tr w14:paraId="3CAD3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vAlign w:val="center"/>
          </w:tcPr>
          <w:p w14:paraId="22C36C5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（c）接缝错位明显</w:t>
            </w:r>
          </w:p>
        </w:tc>
        <w:tc>
          <w:tcPr>
            <w:tcW w:w="2500" w:type="pct"/>
            <w:vAlign w:val="center"/>
          </w:tcPr>
          <w:p w14:paraId="2107072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（d）钢筋断裂</w:t>
            </w:r>
          </w:p>
        </w:tc>
      </w:tr>
      <w:tr w14:paraId="7DAE7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2"/>
            <w:vAlign w:val="center"/>
          </w:tcPr>
          <w:p w14:paraId="28D96F32">
            <w:pPr>
              <w:spacing w:line="360" w:lineRule="exact"/>
              <w:ind w:firstLine="360" w:firstLineChars="200"/>
              <w:jc w:val="center"/>
              <w:rPr>
                <w:rFonts w:hint="default" w:ascii="Times New Roman" w:hAnsi="Times New Roman" w:eastAsia="宋体" w:cs="Times New Roman"/>
                <w:color w:val="auto"/>
                <w:sz w:val="21"/>
                <w:szCs w:val="21"/>
                <w:highlight w:val="none"/>
                <w:lang w:val="en-US" w:eastAsia="zh-CN"/>
              </w:rPr>
            </w:pPr>
            <w:r>
              <w:rPr>
                <w:rFonts w:hint="eastAsia" w:ascii="黑体" w:hAnsi="黑体" w:eastAsia="黑体" w:cs="黑体"/>
                <w:color w:val="auto"/>
                <w:sz w:val="18"/>
                <w:szCs w:val="18"/>
                <w:highlight w:val="none"/>
              </w:rPr>
              <w:t>图</w:t>
            </w:r>
            <w:r>
              <w:rPr>
                <w:rFonts w:hint="eastAsia" w:eastAsia="黑体" w:cs="Times New Roman"/>
                <w:b/>
                <w:bCs/>
                <w:color w:val="auto"/>
                <w:sz w:val="18"/>
                <w:szCs w:val="18"/>
                <w:highlight w:val="none"/>
                <w:lang w:val="en-US" w:eastAsia="zh-CN"/>
              </w:rPr>
              <w:t>4</w:t>
            </w:r>
            <w:r>
              <w:rPr>
                <w:rFonts w:hint="eastAsia" w:ascii="黑体" w:hAnsi="黑体" w:eastAsia="黑体" w:cs="黑体"/>
                <w:color w:val="auto"/>
                <w:sz w:val="18"/>
                <w:szCs w:val="18"/>
                <w:highlight w:val="none"/>
                <w:lang w:val="en-US" w:eastAsia="zh-CN"/>
              </w:rPr>
              <w:t xml:space="preserve"> </w:t>
            </w:r>
            <w:r>
              <w:rPr>
                <w:rFonts w:hint="eastAsia" w:ascii="黑体" w:hAnsi="黑体" w:eastAsia="黑体" w:cs="黑体"/>
                <w:color w:val="auto"/>
                <w:sz w:val="18"/>
                <w:szCs w:val="18"/>
                <w:highlight w:val="none"/>
              </w:rPr>
              <w:t>直剪试件</w:t>
            </w:r>
            <w:r>
              <w:rPr>
                <w:rFonts w:hint="eastAsia" w:ascii="黑体" w:hAnsi="黑体" w:eastAsia="黑体" w:cs="黑体"/>
                <w:color w:val="auto"/>
                <w:sz w:val="18"/>
                <w:szCs w:val="18"/>
                <w:highlight w:val="none"/>
                <w:lang w:val="en-US" w:eastAsia="zh-CN"/>
              </w:rPr>
              <w:t>试验结果</w:t>
            </w:r>
          </w:p>
        </w:tc>
      </w:tr>
    </w:tbl>
    <w:p w14:paraId="33416183">
      <w:pPr>
        <w:pStyle w:val="24"/>
        <w:ind w:left="0" w:firstLine="0" w:firstLineChars="0"/>
        <w:rPr>
          <w:rFonts w:hint="default" w:ascii="Times New Roman" w:hAnsi="Times New Roman" w:cs="Times New Roman"/>
          <w:color w:val="auto"/>
          <w:sz w:val="18"/>
          <w:szCs w:val="28"/>
          <w:highlight w:val="none"/>
          <w:lang w:eastAsia="zh-CN"/>
        </w:rPr>
      </w:pPr>
      <w:r>
        <w:rPr>
          <w:rFonts w:hint="default" w:ascii="Times New Roman" w:hAnsi="Times New Roman" w:cs="Times New Roman"/>
          <w:b/>
          <w:bCs/>
          <w:color w:val="auto"/>
          <w:sz w:val="21"/>
          <w:szCs w:val="21"/>
          <w:highlight w:val="none"/>
          <w:lang w:val="en-US" w:eastAsia="zh-CN"/>
        </w:rPr>
        <w:t>6.4.11</w:t>
      </w:r>
      <w:r>
        <w:rPr>
          <w:rFonts w:hint="default" w:ascii="Times New Roman" w:hAnsi="Times New Roman" w:cs="Times New Roman"/>
          <w:b/>
          <w:color w:val="auto"/>
          <w:sz w:val="21"/>
          <w:szCs w:val="21"/>
          <w:highlight w:val="none"/>
          <w:lang w:eastAsia="zh-CN"/>
        </w:rPr>
        <w:t xml:space="preserve"> </w:t>
      </w:r>
      <w:r>
        <w:rPr>
          <w:rFonts w:hint="default" w:ascii="Times New Roman" w:hAnsi="Times New Roman" w:cs="Times New Roman"/>
          <w:color w:val="auto"/>
          <w:sz w:val="21"/>
          <w:szCs w:val="21"/>
          <w:highlight w:val="none"/>
          <w:lang w:eastAsia="zh-CN"/>
        </w:rPr>
        <w:t xml:space="preserve"> 预制不出筋开槽叠合板能避免出筋叠合板钢筋与梁钢筋碰撞的问题，可有效提高施工效率。根据清华大学的试验，开槽型预制板在生产、施工过程中独立承载，叠合层浇筑后形成开槽型混凝土叠合板。此外，由于桁架钢筋对于预制板刚度的提升作用非常有限，且桁架筋上弦杆的面外屈曲会导致预制板的承载力降低，因此，当无特殊需求时，开槽性混凝土预制板表面不设置桁架钢筋，只需要设置垂直于叠合板长度方向的拉毛面即可。</w:t>
      </w:r>
    </w:p>
    <w:p w14:paraId="77AC3A1A">
      <w:pPr>
        <w:rPr>
          <w:highlight w:val="none"/>
        </w:rPr>
      </w:pPr>
    </w:p>
    <w:sectPr>
      <w:footerReference r:id="rId16" w:type="default"/>
      <w:pgSz w:w="7937" w:h="11509"/>
      <w:pgMar w:top="1083" w:right="1009" w:bottom="1083" w:left="1009" w:header="851" w:footer="992" w:gutter="0"/>
      <w:pgNumType w:fmt="decimal" w:start="1"/>
      <w:cols w:space="0" w:num="1"/>
      <w:docGrid w:type="lines" w:linePitch="333" w:charSpace="4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MingLiU_HKSCS">
    <w:altName w:val="PMingLiU-ExtB"/>
    <w:panose1 w:val="02020500000000000000"/>
    <w:charset w:val="88"/>
    <w:family w:val="roman"/>
    <w:pitch w:val="default"/>
    <w:sig w:usb0="00000000" w:usb1="00000000" w:usb2="00000016" w:usb3="00000000" w:csb0="00100001" w:csb1="00000000"/>
  </w:font>
  <w:font w:name="Segoe UI">
    <w:panose1 w:val="020B0502040204020203"/>
    <w:charset w:val="00"/>
    <w:family w:val="swiss"/>
    <w:pitch w:val="default"/>
    <w:sig w:usb0="E4002EFF" w:usb1="C000E47F"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F87F6">
    <w:pPr>
      <w:pStyle w:val="15"/>
      <w:jc w:val="right"/>
      <w:rPr>
        <w:rFonts w:ascii="Times New Roman" w:hAnsi="Times New Roman" w:cs="Times New Roman"/>
        <w:i/>
        <w:iCs/>
        <w:sz w:val="21"/>
        <w:szCs w:val="21"/>
      </w:rPr>
    </w:pPr>
    <w:r>
      <w:rPr>
        <w:sz w:val="21"/>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8305"/>
                          </w:sdtPr>
                          <w:sdtEndPr>
                            <w:rPr>
                              <w:rFonts w:ascii="Times New Roman" w:hAnsi="Times New Roman" w:cs="Times New Roman"/>
                              <w:i/>
                              <w:iCs/>
                              <w:sz w:val="21"/>
                              <w:szCs w:val="21"/>
                            </w:rPr>
                          </w:sdtEndPr>
                          <w:sdtContent>
                            <w:p w14:paraId="6C21D7C8">
                              <w:pPr>
                                <w:pStyle w:val="15"/>
                                <w:jc w:val="right"/>
                                <w:rPr>
                                  <w:rFonts w:ascii="Times New Roman" w:hAnsi="Times New Roman" w:cs="Times New Roman"/>
                                  <w:i/>
                                  <w:iCs/>
                                  <w:sz w:val="21"/>
                                  <w:szCs w:val="21"/>
                                </w:rPr>
                              </w:pPr>
                              <w:r>
                                <w:rPr>
                                  <w:rFonts w:ascii="Times New Roman" w:hAnsi="Times New Roman" w:cs="Times New Roman"/>
                                  <w:i/>
                                  <w:iCs/>
                                  <w:sz w:val="21"/>
                                  <w:szCs w:val="21"/>
                                </w:rPr>
                                <w:fldChar w:fldCharType="begin"/>
                              </w:r>
                              <w:r>
                                <w:rPr>
                                  <w:rFonts w:ascii="Times New Roman" w:hAnsi="Times New Roman" w:cs="Times New Roman"/>
                                  <w:i/>
                                  <w:iCs/>
                                  <w:sz w:val="21"/>
                                  <w:szCs w:val="21"/>
                                </w:rPr>
                                <w:instrText xml:space="preserve">PAGE   \* MERGEFORMAT</w:instrText>
                              </w:r>
                              <w:r>
                                <w:rPr>
                                  <w:rFonts w:ascii="Times New Roman" w:hAnsi="Times New Roman" w:cs="Times New Roman"/>
                                  <w:i/>
                                  <w:iCs/>
                                  <w:sz w:val="21"/>
                                  <w:szCs w:val="21"/>
                                </w:rPr>
                                <w:fldChar w:fldCharType="separate"/>
                              </w:r>
                              <w:r>
                                <w:rPr>
                                  <w:rFonts w:ascii="Times New Roman" w:hAnsi="Times New Roman" w:cs="Times New Roman"/>
                                  <w:i/>
                                  <w:iCs/>
                                  <w:sz w:val="21"/>
                                  <w:szCs w:val="21"/>
                                  <w:lang w:val="zh-CN"/>
                                </w:rPr>
                                <w:t>45</w:t>
                              </w:r>
                              <w:r>
                                <w:rPr>
                                  <w:rFonts w:ascii="Times New Roman" w:hAnsi="Times New Roman" w:cs="Times New Roman"/>
                                  <w:i/>
                                  <w:iCs/>
                                  <w:sz w:val="21"/>
                                  <w:szCs w:val="21"/>
                                </w:rPr>
                                <w:fldChar w:fldCharType="end"/>
                              </w:r>
                            </w:p>
                          </w:sdtContent>
                        </w:sdt>
                        <w:p w14:paraId="40059BE7">
                          <w:pPr>
                            <w:rPr>
                              <w:rFonts w:ascii="Times New Roman" w:hAnsi="Times New Roman" w:cs="Times New Roman"/>
                              <w:i/>
                              <w:iCs/>
                              <w:sz w:val="21"/>
                              <w:szCs w:val="21"/>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sdt>
                    <w:sdtPr>
                      <w:id w:val="147458305"/>
                    </w:sdtPr>
                    <w:sdtEndPr>
                      <w:rPr>
                        <w:rFonts w:ascii="Times New Roman" w:hAnsi="Times New Roman" w:cs="Times New Roman"/>
                        <w:i/>
                        <w:iCs/>
                        <w:sz w:val="21"/>
                        <w:szCs w:val="21"/>
                      </w:rPr>
                    </w:sdtEndPr>
                    <w:sdtContent>
                      <w:p w14:paraId="6C21D7C8">
                        <w:pPr>
                          <w:pStyle w:val="15"/>
                          <w:jc w:val="right"/>
                          <w:rPr>
                            <w:rFonts w:ascii="Times New Roman" w:hAnsi="Times New Roman" w:cs="Times New Roman"/>
                            <w:i/>
                            <w:iCs/>
                            <w:sz w:val="21"/>
                            <w:szCs w:val="21"/>
                          </w:rPr>
                        </w:pPr>
                        <w:r>
                          <w:rPr>
                            <w:rFonts w:ascii="Times New Roman" w:hAnsi="Times New Roman" w:cs="Times New Roman"/>
                            <w:i/>
                            <w:iCs/>
                            <w:sz w:val="21"/>
                            <w:szCs w:val="21"/>
                          </w:rPr>
                          <w:fldChar w:fldCharType="begin"/>
                        </w:r>
                        <w:r>
                          <w:rPr>
                            <w:rFonts w:ascii="Times New Roman" w:hAnsi="Times New Roman" w:cs="Times New Roman"/>
                            <w:i/>
                            <w:iCs/>
                            <w:sz w:val="21"/>
                            <w:szCs w:val="21"/>
                          </w:rPr>
                          <w:instrText xml:space="preserve">PAGE   \* MERGEFORMAT</w:instrText>
                        </w:r>
                        <w:r>
                          <w:rPr>
                            <w:rFonts w:ascii="Times New Roman" w:hAnsi="Times New Roman" w:cs="Times New Roman"/>
                            <w:i/>
                            <w:iCs/>
                            <w:sz w:val="21"/>
                            <w:szCs w:val="21"/>
                          </w:rPr>
                          <w:fldChar w:fldCharType="separate"/>
                        </w:r>
                        <w:r>
                          <w:rPr>
                            <w:rFonts w:ascii="Times New Roman" w:hAnsi="Times New Roman" w:cs="Times New Roman"/>
                            <w:i/>
                            <w:iCs/>
                            <w:sz w:val="21"/>
                            <w:szCs w:val="21"/>
                            <w:lang w:val="zh-CN"/>
                          </w:rPr>
                          <w:t>45</w:t>
                        </w:r>
                        <w:r>
                          <w:rPr>
                            <w:rFonts w:ascii="Times New Roman" w:hAnsi="Times New Roman" w:cs="Times New Roman"/>
                            <w:i/>
                            <w:iCs/>
                            <w:sz w:val="21"/>
                            <w:szCs w:val="21"/>
                          </w:rPr>
                          <w:fldChar w:fldCharType="end"/>
                        </w:r>
                      </w:p>
                    </w:sdtContent>
                  </w:sdt>
                  <w:p w14:paraId="40059BE7">
                    <w:pPr>
                      <w:rPr>
                        <w:rFonts w:ascii="Times New Roman" w:hAnsi="Times New Roman" w:cs="Times New Roman"/>
                        <w:i/>
                        <w:iCs/>
                        <w:sz w:val="21"/>
                        <w:szCs w:val="21"/>
                      </w:rPr>
                    </w:pPr>
                  </w:p>
                </w:txbxContent>
              </v:textbox>
            </v:shape>
          </w:pict>
        </mc:Fallback>
      </mc:AlternateContent>
    </w:r>
  </w:p>
  <w:p w14:paraId="25A65AD3">
    <w:pPr>
      <w:pStyle w:val="15"/>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9B47F">
    <w:pPr>
      <w:pStyle w:val="15"/>
      <w:rPr>
        <w:rFonts w:hint="eastAsia"/>
      </w:rPr>
    </w:pPr>
    <w: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9B39C5">
                          <w:pPr>
                            <w:pStyle w:val="15"/>
                            <w:rPr>
                              <w:rFonts w:hint="eastAsia"/>
                            </w:rPr>
                          </w:pPr>
                          <w:r>
                            <w:fldChar w:fldCharType="begin"/>
                          </w:r>
                          <w:r>
                            <w:instrText xml:space="preserve">PAGE   \* MERGEFORMAT</w:instrText>
                          </w:r>
                          <w:r>
                            <w:fldChar w:fldCharType="separate"/>
                          </w:r>
                          <w:r>
                            <w:rPr>
                              <w:lang w:val="zh-CN"/>
                            </w:rP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5B9B39C5">
                    <w:pPr>
                      <w:pStyle w:val="15"/>
                      <w:rPr>
                        <w:rFonts w:hint="eastAsia"/>
                      </w:rPr>
                    </w:pPr>
                    <w:r>
                      <w:fldChar w:fldCharType="begin"/>
                    </w:r>
                    <w:r>
                      <w:instrText xml:space="preserve">PAGE   \* MERGEFORMAT</w:instrText>
                    </w:r>
                    <w:r>
                      <w:fldChar w:fldCharType="separate"/>
                    </w:r>
                    <w:r>
                      <w:rPr>
                        <w:lang w:val="zh-CN"/>
                      </w:rPr>
                      <w:t>58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8FCC9">
    <w:pPr>
      <w:pStyle w:val="15"/>
      <w:jc w:val="center"/>
      <w:rPr>
        <w:rFonts w:hint="eastAsia"/>
      </w:rPr>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BD61C7">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3DBD61C7">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1624832"/>
    </w:sdtPr>
    <w:sdtEndPr>
      <w:rPr>
        <w:rFonts w:ascii="Times New Roman" w:hAnsi="Times New Roman" w:cs="Times New Roman"/>
        <w:i/>
        <w:iCs/>
        <w:sz w:val="21"/>
        <w:szCs w:val="21"/>
        <w:lang w:val="zh-CN"/>
      </w:rPr>
    </w:sdtEndPr>
    <w:sdtContent>
      <w:p w14:paraId="0FE0C9F7">
        <w:pPr>
          <w:pStyle w:val="15"/>
          <w:rPr>
            <w:rFonts w:ascii="Times New Roman" w:hAnsi="Times New Roman" w:cs="Times New Roman"/>
            <w:i/>
            <w:iCs/>
            <w:sz w:val="21"/>
            <w:szCs w:val="21"/>
            <w:lang w:val="zh-CN"/>
          </w:rPr>
        </w:pPr>
        <w:r>
          <w:rPr>
            <w:rFonts w:ascii="Times New Roman" w:hAnsi="Times New Roman" w:cs="Times New Roman"/>
            <w:i/>
            <w:iCs/>
            <w:sz w:val="21"/>
            <w:szCs w:val="21"/>
            <w:lang w:val="zh-CN"/>
          </w:rPr>
          <w:fldChar w:fldCharType="begin"/>
        </w:r>
        <w:r>
          <w:rPr>
            <w:rFonts w:ascii="Times New Roman" w:hAnsi="Times New Roman" w:cs="Times New Roman"/>
            <w:i/>
            <w:iCs/>
            <w:sz w:val="21"/>
            <w:szCs w:val="21"/>
            <w:lang w:val="zh-CN"/>
          </w:rPr>
          <w:instrText xml:space="preserve">PAGE   \* MERGEFORMAT</w:instrText>
        </w:r>
        <w:r>
          <w:rPr>
            <w:rFonts w:ascii="Times New Roman" w:hAnsi="Times New Roman" w:cs="Times New Roman"/>
            <w:i/>
            <w:iCs/>
            <w:sz w:val="21"/>
            <w:szCs w:val="21"/>
            <w:lang w:val="zh-CN"/>
          </w:rPr>
          <w:fldChar w:fldCharType="separate"/>
        </w:r>
        <w:r>
          <w:rPr>
            <w:rFonts w:ascii="Times New Roman" w:hAnsi="Times New Roman" w:cs="Times New Roman"/>
            <w:i/>
            <w:iCs/>
            <w:sz w:val="21"/>
            <w:szCs w:val="21"/>
            <w:lang w:val="zh-CN"/>
          </w:rPr>
          <w:t>54</w:t>
        </w:r>
        <w:r>
          <w:rPr>
            <w:rFonts w:ascii="Times New Roman" w:hAnsi="Times New Roman" w:cs="Times New Roman"/>
            <w:i/>
            <w:iCs/>
            <w:sz w:val="21"/>
            <w:szCs w:val="21"/>
            <w:lang w:val="zh-CN"/>
          </w:rPr>
          <w:fldChar w:fldCharType="end"/>
        </w:r>
      </w:p>
    </w:sdtContent>
  </w:sdt>
  <w:p w14:paraId="3A3B1F26">
    <w:pPr>
      <w:pStyle w:val="15"/>
      <w:jc w:val="right"/>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E1A84">
    <w:pPr>
      <w:pStyle w:val="15"/>
      <w:jc w:val="right"/>
      <w:rPr>
        <w:rFonts w:hint="eastAsia"/>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195A95">
                          <w:pPr>
                            <w:pStyle w:val="15"/>
                            <w:jc w:val="right"/>
                            <w:rPr>
                              <w:rFonts w:hint="eastAsia"/>
                            </w:rPr>
                          </w:pPr>
                          <w:r>
                            <w:fldChar w:fldCharType="begin"/>
                          </w:r>
                          <w:r>
                            <w:instrText xml:space="preserve">PAGE   \* MERGEFORMAT</w:instrText>
                          </w:r>
                          <w:r>
                            <w:fldChar w:fldCharType="separate"/>
                          </w:r>
                          <w:r>
                            <w:rPr>
                              <w:lang w:val="zh-CN"/>
                            </w:rP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1195A95">
                    <w:pPr>
                      <w:pStyle w:val="15"/>
                      <w:jc w:val="right"/>
                      <w:rPr>
                        <w:rFonts w:hint="eastAsia"/>
                      </w:rPr>
                    </w:pPr>
                    <w:r>
                      <w:fldChar w:fldCharType="begin"/>
                    </w:r>
                    <w:r>
                      <w:instrText xml:space="preserve">PAGE   \* MERGEFORMAT</w:instrText>
                    </w:r>
                    <w:r>
                      <w:fldChar w:fldCharType="separate"/>
                    </w:r>
                    <w:r>
                      <w:rPr>
                        <w:lang w:val="zh-CN"/>
                      </w:rPr>
                      <w:t>57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9B39F">
    <w:pPr>
      <w:pStyle w:val="15"/>
      <w:rPr>
        <w:rFonts w:hint="eastAsia"/>
      </w:rPr>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85B129">
                          <w:pPr>
                            <w:pStyle w:val="15"/>
                            <w:rPr>
                              <w:rFonts w:hint="eastAsia"/>
                            </w:rPr>
                          </w:pPr>
                          <w:r>
                            <w:fldChar w:fldCharType="begin"/>
                          </w:r>
                          <w:r>
                            <w:instrText xml:space="preserve">PAGE   \* MERGEFORMAT</w:instrText>
                          </w:r>
                          <w:r>
                            <w:fldChar w:fldCharType="separate"/>
                          </w:r>
                          <w:r>
                            <w:rPr>
                              <w:lang w:val="zh-CN"/>
                            </w:rP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2585B129">
                    <w:pPr>
                      <w:pStyle w:val="15"/>
                      <w:rPr>
                        <w:rFonts w:hint="eastAsia"/>
                      </w:rPr>
                    </w:pPr>
                    <w:r>
                      <w:fldChar w:fldCharType="begin"/>
                    </w:r>
                    <w:r>
                      <w:instrText xml:space="preserve">PAGE   \* MERGEFORMAT</w:instrText>
                    </w:r>
                    <w:r>
                      <w:fldChar w:fldCharType="separate"/>
                    </w:r>
                    <w:r>
                      <w:rPr>
                        <w:lang w:val="zh-CN"/>
                      </w:rPr>
                      <w:t>58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5B7A3">
    <w:pPr>
      <w:pStyle w:val="15"/>
      <w:jc w:val="right"/>
      <w:rPr>
        <w:rFonts w:hint="eastAsia"/>
      </w:rPr>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ED36D0">
                          <w:pPr>
                            <w:pStyle w:val="15"/>
                            <w:jc w:val="right"/>
                            <w:rPr>
                              <w:rFonts w:hint="eastAsia"/>
                            </w:rPr>
                          </w:pPr>
                          <w:r>
                            <w:fldChar w:fldCharType="begin"/>
                          </w:r>
                          <w:r>
                            <w:instrText xml:space="preserve">PAGE   \* MERGEFORMAT</w:instrText>
                          </w:r>
                          <w:r>
                            <w:fldChar w:fldCharType="separate"/>
                          </w:r>
                          <w:r>
                            <w:rPr>
                              <w:lang w:val="zh-CN"/>
                            </w:rP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qPGc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SKKZQsXPP76f&#10;f/4+//pGcAaBGuvniHuwiAztO9OibYZzj8PIuy2dil8wIvAD63SRV7SB8HhpNp3NxnBx+IYN8LOn&#10;69b58F4YRaKRU4f6JVnZcetDFzqExGzabGopUw2lJk1Or6/ejt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So8ZywCAABXBAAADgAAAAAAAAABACAAAAAfAQAAZHJzL2Uyb0RvYy54bWxQSwUGAAAAAAYA&#10;BgBZAQAAvQUAAAAA&#10;">
              <v:fill on="f" focussize="0,0"/>
              <v:stroke on="f" weight="0.5pt"/>
              <v:imagedata o:title=""/>
              <o:lock v:ext="edit" aspectratio="f"/>
              <v:textbox inset="0mm,0mm,0mm,0mm" style="mso-fit-shape-to-text:t;">
                <w:txbxContent>
                  <w:p w14:paraId="53ED36D0">
                    <w:pPr>
                      <w:pStyle w:val="15"/>
                      <w:jc w:val="right"/>
                      <w:rPr>
                        <w:rFonts w:hint="eastAsia"/>
                      </w:rPr>
                    </w:pPr>
                    <w:r>
                      <w:fldChar w:fldCharType="begin"/>
                    </w:r>
                    <w:r>
                      <w:instrText xml:space="preserve">PAGE   \* MERGEFORMAT</w:instrText>
                    </w:r>
                    <w:r>
                      <w:fldChar w:fldCharType="separate"/>
                    </w:r>
                    <w:r>
                      <w:rPr>
                        <w:lang w:val="zh-CN"/>
                      </w:rPr>
                      <w:t>57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C8830">
    <w:pPr>
      <w:pStyle w:val="15"/>
      <w:jc w:val="right"/>
      <w:rPr>
        <w:rFonts w:hint="eastAsia"/>
      </w:rPr>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03AC66">
                          <w:pPr>
                            <w:pStyle w:val="15"/>
                            <w:jc w:val="right"/>
                            <w:rPr>
                              <w:rFonts w:hint="eastAsia"/>
                            </w:rPr>
                          </w:pPr>
                          <w:r>
                            <w:fldChar w:fldCharType="begin"/>
                          </w:r>
                          <w:r>
                            <w:instrText xml:space="preserve">PAGE   \* MERGEFORMAT</w:instrText>
                          </w:r>
                          <w:r>
                            <w:fldChar w:fldCharType="separate"/>
                          </w:r>
                          <w:r>
                            <w:rPr>
                              <w:lang w:val="zh-CN"/>
                            </w:rP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703AC66">
                    <w:pPr>
                      <w:pStyle w:val="15"/>
                      <w:jc w:val="right"/>
                      <w:rPr>
                        <w:rFonts w:hint="eastAsia"/>
                      </w:rPr>
                    </w:pPr>
                    <w:r>
                      <w:fldChar w:fldCharType="begin"/>
                    </w:r>
                    <w:r>
                      <w:instrText xml:space="preserve">PAGE   \* MERGEFORMAT</w:instrText>
                    </w:r>
                    <w:r>
                      <w:fldChar w:fldCharType="separate"/>
                    </w:r>
                    <w:r>
                      <w:rPr>
                        <w:lang w:val="zh-CN"/>
                      </w:rPr>
                      <w:t>57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C9A21">
    <w:pPr>
      <w:pStyle w:val="15"/>
      <w:jc w:val="right"/>
      <w:rPr>
        <w:rFonts w:hint="eastAsia"/>
      </w:rPr>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32337E">
                          <w:pPr>
                            <w:pStyle w:val="15"/>
                            <w:jc w:val="right"/>
                            <w:rPr>
                              <w:rFonts w:hint="eastAsia"/>
                            </w:rPr>
                          </w:pPr>
                          <w:r>
                            <w:fldChar w:fldCharType="begin"/>
                          </w:r>
                          <w:r>
                            <w:instrText xml:space="preserve">PAGE   \* MERGEFORMAT</w:instrText>
                          </w:r>
                          <w:r>
                            <w:fldChar w:fldCharType="separate"/>
                          </w:r>
                          <w:r>
                            <w:rPr>
                              <w:lang w:val="zh-CN"/>
                            </w:rP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732337E">
                    <w:pPr>
                      <w:pStyle w:val="15"/>
                      <w:jc w:val="right"/>
                      <w:rPr>
                        <w:rFonts w:hint="eastAsia"/>
                      </w:rPr>
                    </w:pPr>
                    <w:r>
                      <w:fldChar w:fldCharType="begin"/>
                    </w:r>
                    <w:r>
                      <w:instrText xml:space="preserve">PAGE   \* MERGEFORMAT</w:instrText>
                    </w:r>
                    <w:r>
                      <w:fldChar w:fldCharType="separate"/>
                    </w:r>
                    <w:r>
                      <w:rPr>
                        <w:lang w:val="zh-CN"/>
                      </w:rPr>
                      <w:t>57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5626B">
    <w:pPr>
      <w:pStyle w:val="15"/>
      <w:rPr>
        <w:rFonts w:hint="eastAsia"/>
      </w:rPr>
    </w:pP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FB90A0">
                          <w:pPr>
                            <w:pStyle w:val="15"/>
                            <w:rPr>
                              <w:rFonts w:hint="eastAsia"/>
                            </w:rPr>
                          </w:pPr>
                          <w:r>
                            <w:fldChar w:fldCharType="begin"/>
                          </w:r>
                          <w:r>
                            <w:instrText xml:space="preserve">PAGE   \* MERGEFORMAT</w:instrText>
                          </w:r>
                          <w:r>
                            <w:fldChar w:fldCharType="separate"/>
                          </w:r>
                          <w:r>
                            <w:rPr>
                              <w:lang w:val="zh-CN"/>
                            </w:rP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5FB90A0">
                    <w:pPr>
                      <w:pStyle w:val="15"/>
                      <w:rPr>
                        <w:rFonts w:hint="eastAsia"/>
                      </w:rPr>
                    </w:pPr>
                    <w:r>
                      <w:fldChar w:fldCharType="begin"/>
                    </w:r>
                    <w:r>
                      <w:instrText xml:space="preserve">PAGE   \* MERGEFORMAT</w:instrText>
                    </w:r>
                    <w:r>
                      <w:fldChar w:fldCharType="separate"/>
                    </w:r>
                    <w:r>
                      <w:rPr>
                        <w:lang w:val="zh-CN"/>
                      </w:rPr>
                      <w:t>58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D7174">
    <w:pPr>
      <w:pStyle w:val="15"/>
      <w:jc w:val="right"/>
      <w:rPr>
        <w:rFonts w:hint="eastAsia"/>
      </w:rPr>
    </w:pP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0BA914">
                          <w:pPr>
                            <w:pStyle w:val="15"/>
                            <w:jc w:val="right"/>
                            <w:rPr>
                              <w:rFonts w:hint="eastAsia" w:eastAsiaTheme="minorEastAsia"/>
                              <w:lang w:val="en-US" w:eastAsia="zh-CN"/>
                            </w:rPr>
                          </w:pPr>
                          <w:r>
                            <w:rPr>
                              <w:rFonts w:hint="eastAsia"/>
                              <w:lang w:val="en-US" w:eastAsia="zh-CN"/>
                            </w:rPr>
                            <w:t>I</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14:paraId="7E0BA914">
                    <w:pPr>
                      <w:pStyle w:val="15"/>
                      <w:jc w:val="right"/>
                      <w:rPr>
                        <w:rFonts w:hint="eastAsia" w:eastAsiaTheme="minorEastAsia"/>
                        <w:lang w:val="en-US" w:eastAsia="zh-CN"/>
                      </w:rPr>
                    </w:pPr>
                    <w:r>
                      <w:rPr>
                        <w:rFonts w:hint="eastAsia"/>
                        <w:lang w:val="en-US" w:eastAsia="zh-CN"/>
                      </w:rPr>
                      <w:t>I</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EC52B">
    <w:pPr>
      <w:pStyle w:val="1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9E981">
    <w:pPr>
      <w:pStyle w:val="16"/>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0EB2A">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5D55AB"/>
    <w:multiLevelType w:val="multilevel"/>
    <w:tmpl w:val="155D55AB"/>
    <w:lvl w:ilvl="0" w:tentative="0">
      <w:start w:val="1"/>
      <w:numFmt w:val="chineseCountingThousand"/>
      <w:suff w:val="space"/>
      <w:lvlText w:val="第%1章"/>
      <w:lvlJc w:val="left"/>
      <w:pPr>
        <w:ind w:left="0" w:firstLine="0"/>
      </w:pPr>
      <w:rPr>
        <w:rFonts w:hint="default" w:ascii="Times New Roman" w:hAnsi="Times New Roman" w:eastAsia="仿宋_GB2312"/>
        <w:b/>
        <w:i w:val="0"/>
        <w:sz w:val="28"/>
        <w:szCs w:val="32"/>
      </w:rPr>
    </w:lvl>
    <w:lvl w:ilvl="1" w:tentative="0">
      <w:start w:val="1"/>
      <w:numFmt w:val="chineseCountingThousand"/>
      <w:suff w:val="space"/>
      <w:lvlText w:val="第%2节"/>
      <w:lvlJc w:val="left"/>
      <w:pPr>
        <w:ind w:left="360" w:firstLine="0"/>
      </w:pPr>
      <w:rPr>
        <w:rFonts w:hint="eastAsia" w:ascii="宋体" w:hAnsi="Times New Roman" w:eastAsia="宋体"/>
        <w:b/>
        <w:i w:val="0"/>
        <w:sz w:val="28"/>
        <w:lang w:val="en-US"/>
      </w:rPr>
    </w:lvl>
    <w:lvl w:ilvl="2" w:tentative="0">
      <w:start w:val="1"/>
      <w:numFmt w:val="decimal"/>
      <w:suff w:val="space"/>
      <w:lvlText w:val="%3."/>
      <w:lvlJc w:val="left"/>
      <w:pPr>
        <w:ind w:left="0" w:firstLine="0"/>
      </w:pPr>
      <w:rPr>
        <w:rFonts w:hint="eastAsia" w:ascii="宋体" w:hAnsi="仿宋" w:eastAsia="宋体"/>
        <w:sz w:val="28"/>
      </w:rPr>
    </w:lvl>
    <w:lvl w:ilvl="3" w:tentative="0">
      <w:start w:val="1"/>
      <w:numFmt w:val="decimal"/>
      <w:isLgl/>
      <w:suff w:val="space"/>
      <w:lvlText w:val="%3.%4"/>
      <w:lvlJc w:val="left"/>
      <w:pPr>
        <w:ind w:left="0" w:firstLine="0"/>
      </w:pPr>
      <w:rPr>
        <w:rFonts w:hint="eastAsia" w:ascii="宋体" w:hAnsi="Times New Roman" w:eastAsia="宋体"/>
        <w:sz w:val="28"/>
      </w:rPr>
    </w:lvl>
    <w:lvl w:ilvl="4" w:tentative="0">
      <w:start w:val="1"/>
      <w:numFmt w:val="decimal"/>
      <w:pStyle w:val="5"/>
      <w:isLgl/>
      <w:suff w:val="space"/>
      <w:lvlText w:val="%3.%4.%5"/>
      <w:lvlJc w:val="left"/>
      <w:pPr>
        <w:ind w:left="1008" w:hanging="1008"/>
      </w:pPr>
      <w:rPr>
        <w:rFonts w:hint="eastAsia" w:ascii="宋体" w:eastAsia="宋体"/>
        <w:sz w:val="28"/>
      </w:rPr>
    </w:lvl>
    <w:lvl w:ilvl="5" w:tentative="0">
      <w:start w:val="1"/>
      <w:numFmt w:val="decimal"/>
      <w:suff w:val="space"/>
      <w:lvlText w:val="%3.%4.%5.%6"/>
      <w:lvlJc w:val="left"/>
      <w:pPr>
        <w:ind w:left="0" w:firstLine="0"/>
      </w:pPr>
      <w:rPr>
        <w:rFonts w:hint="default" w:ascii="Times New Roman" w:hAnsi="Times New Roman" w:eastAsia="宋体"/>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40B83141"/>
    <w:multiLevelType w:val="singleLevel"/>
    <w:tmpl w:val="40B83141"/>
    <w:lvl w:ilvl="0" w:tentative="0">
      <w:start w:val="8"/>
      <w:numFmt w:val="upperLetter"/>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HorizontalSpacing w:val="221"/>
  <w:drawingGridVerticalSpacing w:val="33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sDQyNze1MDMwNrEwMzRR0lEKTi0uzszPAykwrAUAuJHaTiwAAAA="/>
    <w:docVar w:name="commondata" w:val="eyJoZGlkIjoiOGI0MTA4MTIxZTU4Mjg0YzIyNzA4ZGVkNmI2MzdiNDgifQ=="/>
    <w:docVar w:name="KSO_WPS_MARK_KEY" w:val="321155b8-2708-4268-9de6-d989b4248868"/>
  </w:docVars>
  <w:rsids>
    <w:rsidRoot w:val="00172A27"/>
    <w:rsid w:val="0000089D"/>
    <w:rsid w:val="00001624"/>
    <w:rsid w:val="00001C98"/>
    <w:rsid w:val="000029A3"/>
    <w:rsid w:val="000037F2"/>
    <w:rsid w:val="00003C8F"/>
    <w:rsid w:val="00005136"/>
    <w:rsid w:val="00010951"/>
    <w:rsid w:val="000132C3"/>
    <w:rsid w:val="00013371"/>
    <w:rsid w:val="000147ED"/>
    <w:rsid w:val="000173A8"/>
    <w:rsid w:val="0001792A"/>
    <w:rsid w:val="000224C7"/>
    <w:rsid w:val="000234EF"/>
    <w:rsid w:val="000241EB"/>
    <w:rsid w:val="00025516"/>
    <w:rsid w:val="000274D7"/>
    <w:rsid w:val="000279FE"/>
    <w:rsid w:val="000302E4"/>
    <w:rsid w:val="000314A3"/>
    <w:rsid w:val="00031929"/>
    <w:rsid w:val="00031BF6"/>
    <w:rsid w:val="00032019"/>
    <w:rsid w:val="000329D2"/>
    <w:rsid w:val="000334DD"/>
    <w:rsid w:val="00033CE3"/>
    <w:rsid w:val="00033E79"/>
    <w:rsid w:val="00033F88"/>
    <w:rsid w:val="00040B1C"/>
    <w:rsid w:val="00042C70"/>
    <w:rsid w:val="00042DC3"/>
    <w:rsid w:val="000433FB"/>
    <w:rsid w:val="00044A77"/>
    <w:rsid w:val="00044AEA"/>
    <w:rsid w:val="00044CB2"/>
    <w:rsid w:val="00045502"/>
    <w:rsid w:val="00045FC0"/>
    <w:rsid w:val="000463B9"/>
    <w:rsid w:val="00046418"/>
    <w:rsid w:val="00046FEF"/>
    <w:rsid w:val="00050B5A"/>
    <w:rsid w:val="000529D0"/>
    <w:rsid w:val="00053BB3"/>
    <w:rsid w:val="00055131"/>
    <w:rsid w:val="00055734"/>
    <w:rsid w:val="00055FC3"/>
    <w:rsid w:val="0005770D"/>
    <w:rsid w:val="0006062B"/>
    <w:rsid w:val="000607EF"/>
    <w:rsid w:val="0006137B"/>
    <w:rsid w:val="000618B4"/>
    <w:rsid w:val="00062909"/>
    <w:rsid w:val="000636B7"/>
    <w:rsid w:val="000639A5"/>
    <w:rsid w:val="00063A73"/>
    <w:rsid w:val="0006425A"/>
    <w:rsid w:val="00064B00"/>
    <w:rsid w:val="000700D0"/>
    <w:rsid w:val="00070DD9"/>
    <w:rsid w:val="00070DE6"/>
    <w:rsid w:val="00071671"/>
    <w:rsid w:val="0007229E"/>
    <w:rsid w:val="0007275B"/>
    <w:rsid w:val="0007423D"/>
    <w:rsid w:val="000753D7"/>
    <w:rsid w:val="00075D7D"/>
    <w:rsid w:val="00075EA2"/>
    <w:rsid w:val="00077E82"/>
    <w:rsid w:val="00082CB7"/>
    <w:rsid w:val="000833EE"/>
    <w:rsid w:val="000835D0"/>
    <w:rsid w:val="00083CAA"/>
    <w:rsid w:val="00084478"/>
    <w:rsid w:val="000845CF"/>
    <w:rsid w:val="00085220"/>
    <w:rsid w:val="000858EA"/>
    <w:rsid w:val="00086B3A"/>
    <w:rsid w:val="00090BEB"/>
    <w:rsid w:val="000918F4"/>
    <w:rsid w:val="00091BB7"/>
    <w:rsid w:val="000924F7"/>
    <w:rsid w:val="00094671"/>
    <w:rsid w:val="00094FEC"/>
    <w:rsid w:val="00095C3D"/>
    <w:rsid w:val="000A0BAA"/>
    <w:rsid w:val="000A146D"/>
    <w:rsid w:val="000A295E"/>
    <w:rsid w:val="000A4376"/>
    <w:rsid w:val="000A4809"/>
    <w:rsid w:val="000A4C8B"/>
    <w:rsid w:val="000A582D"/>
    <w:rsid w:val="000A5CCD"/>
    <w:rsid w:val="000A6461"/>
    <w:rsid w:val="000A698C"/>
    <w:rsid w:val="000A6FBF"/>
    <w:rsid w:val="000A712E"/>
    <w:rsid w:val="000B3582"/>
    <w:rsid w:val="000B5277"/>
    <w:rsid w:val="000B65EC"/>
    <w:rsid w:val="000B68E3"/>
    <w:rsid w:val="000B6CA6"/>
    <w:rsid w:val="000C02E7"/>
    <w:rsid w:val="000C19E3"/>
    <w:rsid w:val="000C1A3D"/>
    <w:rsid w:val="000C2ADA"/>
    <w:rsid w:val="000C3866"/>
    <w:rsid w:val="000C4323"/>
    <w:rsid w:val="000C60B9"/>
    <w:rsid w:val="000C7C82"/>
    <w:rsid w:val="000D05C6"/>
    <w:rsid w:val="000D066D"/>
    <w:rsid w:val="000D15D6"/>
    <w:rsid w:val="000D2278"/>
    <w:rsid w:val="000D2A96"/>
    <w:rsid w:val="000D2DDC"/>
    <w:rsid w:val="000D3DAE"/>
    <w:rsid w:val="000D4669"/>
    <w:rsid w:val="000D4A7F"/>
    <w:rsid w:val="000E10A5"/>
    <w:rsid w:val="000E1422"/>
    <w:rsid w:val="000E1D0C"/>
    <w:rsid w:val="000E20EA"/>
    <w:rsid w:val="000E2737"/>
    <w:rsid w:val="000E3BA8"/>
    <w:rsid w:val="000E47AA"/>
    <w:rsid w:val="000E480B"/>
    <w:rsid w:val="000E53FC"/>
    <w:rsid w:val="000E5F1D"/>
    <w:rsid w:val="000E63AC"/>
    <w:rsid w:val="000F0FE5"/>
    <w:rsid w:val="000F1210"/>
    <w:rsid w:val="000F15FB"/>
    <w:rsid w:val="000F3310"/>
    <w:rsid w:val="000F4B53"/>
    <w:rsid w:val="000F4BF6"/>
    <w:rsid w:val="000F6479"/>
    <w:rsid w:val="000F6564"/>
    <w:rsid w:val="00101450"/>
    <w:rsid w:val="00105479"/>
    <w:rsid w:val="00107A8C"/>
    <w:rsid w:val="00107C3B"/>
    <w:rsid w:val="00110C5F"/>
    <w:rsid w:val="0011288F"/>
    <w:rsid w:val="0011366A"/>
    <w:rsid w:val="0011479F"/>
    <w:rsid w:val="001150F8"/>
    <w:rsid w:val="00117090"/>
    <w:rsid w:val="00117BA4"/>
    <w:rsid w:val="00122FDB"/>
    <w:rsid w:val="0012334A"/>
    <w:rsid w:val="00123905"/>
    <w:rsid w:val="00124E84"/>
    <w:rsid w:val="00126AAD"/>
    <w:rsid w:val="00127A2D"/>
    <w:rsid w:val="00130A51"/>
    <w:rsid w:val="00132813"/>
    <w:rsid w:val="00132D80"/>
    <w:rsid w:val="00133592"/>
    <w:rsid w:val="0013419C"/>
    <w:rsid w:val="00136FBC"/>
    <w:rsid w:val="001370EA"/>
    <w:rsid w:val="001375AE"/>
    <w:rsid w:val="00140512"/>
    <w:rsid w:val="00140E0E"/>
    <w:rsid w:val="00141996"/>
    <w:rsid w:val="00141E96"/>
    <w:rsid w:val="00142249"/>
    <w:rsid w:val="00143A5E"/>
    <w:rsid w:val="00143BEE"/>
    <w:rsid w:val="001450B2"/>
    <w:rsid w:val="00145D0C"/>
    <w:rsid w:val="00146985"/>
    <w:rsid w:val="00147D9A"/>
    <w:rsid w:val="0015077D"/>
    <w:rsid w:val="00150A4A"/>
    <w:rsid w:val="00150C5D"/>
    <w:rsid w:val="0015108A"/>
    <w:rsid w:val="00151B31"/>
    <w:rsid w:val="00151CB4"/>
    <w:rsid w:val="001526C9"/>
    <w:rsid w:val="0015281C"/>
    <w:rsid w:val="00153306"/>
    <w:rsid w:val="0015430B"/>
    <w:rsid w:val="001555A2"/>
    <w:rsid w:val="00156B4D"/>
    <w:rsid w:val="00157253"/>
    <w:rsid w:val="001579AA"/>
    <w:rsid w:val="00161673"/>
    <w:rsid w:val="00163174"/>
    <w:rsid w:val="001632A6"/>
    <w:rsid w:val="0016372D"/>
    <w:rsid w:val="00164C66"/>
    <w:rsid w:val="00164D32"/>
    <w:rsid w:val="001659D6"/>
    <w:rsid w:val="00166C40"/>
    <w:rsid w:val="00167416"/>
    <w:rsid w:val="00167D30"/>
    <w:rsid w:val="00170D1A"/>
    <w:rsid w:val="00171B53"/>
    <w:rsid w:val="00172F88"/>
    <w:rsid w:val="00173751"/>
    <w:rsid w:val="001739C4"/>
    <w:rsid w:val="00174C1D"/>
    <w:rsid w:val="0017539B"/>
    <w:rsid w:val="00175683"/>
    <w:rsid w:val="00175BB5"/>
    <w:rsid w:val="00175E8D"/>
    <w:rsid w:val="00181995"/>
    <w:rsid w:val="00181C7A"/>
    <w:rsid w:val="00182EB0"/>
    <w:rsid w:val="001832C6"/>
    <w:rsid w:val="00185C34"/>
    <w:rsid w:val="00185F0F"/>
    <w:rsid w:val="001860A7"/>
    <w:rsid w:val="0018641D"/>
    <w:rsid w:val="00191093"/>
    <w:rsid w:val="00191B28"/>
    <w:rsid w:val="00192AA6"/>
    <w:rsid w:val="00193A49"/>
    <w:rsid w:val="001949D8"/>
    <w:rsid w:val="00194E26"/>
    <w:rsid w:val="00195D93"/>
    <w:rsid w:val="00196124"/>
    <w:rsid w:val="001971E8"/>
    <w:rsid w:val="0019761A"/>
    <w:rsid w:val="00197B4E"/>
    <w:rsid w:val="001A2024"/>
    <w:rsid w:val="001A30F7"/>
    <w:rsid w:val="001A3C03"/>
    <w:rsid w:val="001A50DC"/>
    <w:rsid w:val="001A7801"/>
    <w:rsid w:val="001A7E20"/>
    <w:rsid w:val="001B0DFD"/>
    <w:rsid w:val="001B2483"/>
    <w:rsid w:val="001B2E0A"/>
    <w:rsid w:val="001B3431"/>
    <w:rsid w:val="001B5EF3"/>
    <w:rsid w:val="001B7572"/>
    <w:rsid w:val="001C0D19"/>
    <w:rsid w:val="001C2B48"/>
    <w:rsid w:val="001C555B"/>
    <w:rsid w:val="001C6835"/>
    <w:rsid w:val="001D0680"/>
    <w:rsid w:val="001D0FD1"/>
    <w:rsid w:val="001D1F29"/>
    <w:rsid w:val="001D22D3"/>
    <w:rsid w:val="001D22E3"/>
    <w:rsid w:val="001D35F3"/>
    <w:rsid w:val="001D3602"/>
    <w:rsid w:val="001D363C"/>
    <w:rsid w:val="001D39F5"/>
    <w:rsid w:val="001D4A74"/>
    <w:rsid w:val="001D68F7"/>
    <w:rsid w:val="001D71E8"/>
    <w:rsid w:val="001D7814"/>
    <w:rsid w:val="001D7F4C"/>
    <w:rsid w:val="001E186C"/>
    <w:rsid w:val="001E24F1"/>
    <w:rsid w:val="001E2E1C"/>
    <w:rsid w:val="001E36E3"/>
    <w:rsid w:val="001E5422"/>
    <w:rsid w:val="001E57D6"/>
    <w:rsid w:val="001E57ED"/>
    <w:rsid w:val="001F0C20"/>
    <w:rsid w:val="001F1185"/>
    <w:rsid w:val="001F1638"/>
    <w:rsid w:val="001F22C2"/>
    <w:rsid w:val="001F281C"/>
    <w:rsid w:val="001F2A2D"/>
    <w:rsid w:val="001F5912"/>
    <w:rsid w:val="001F661E"/>
    <w:rsid w:val="001F6770"/>
    <w:rsid w:val="001F6E26"/>
    <w:rsid w:val="0020016D"/>
    <w:rsid w:val="00200C44"/>
    <w:rsid w:val="002014FA"/>
    <w:rsid w:val="00201BE8"/>
    <w:rsid w:val="00202222"/>
    <w:rsid w:val="00202247"/>
    <w:rsid w:val="00202A21"/>
    <w:rsid w:val="00203F82"/>
    <w:rsid w:val="00204DA5"/>
    <w:rsid w:val="00206954"/>
    <w:rsid w:val="0020702C"/>
    <w:rsid w:val="00207C24"/>
    <w:rsid w:val="00207CA2"/>
    <w:rsid w:val="00210F2A"/>
    <w:rsid w:val="002111DC"/>
    <w:rsid w:val="0021292C"/>
    <w:rsid w:val="00215DA8"/>
    <w:rsid w:val="00217269"/>
    <w:rsid w:val="00217395"/>
    <w:rsid w:val="00220FA6"/>
    <w:rsid w:val="00222B4F"/>
    <w:rsid w:val="002236F9"/>
    <w:rsid w:val="00224064"/>
    <w:rsid w:val="00225620"/>
    <w:rsid w:val="00225A0B"/>
    <w:rsid w:val="00226269"/>
    <w:rsid w:val="00226866"/>
    <w:rsid w:val="00230494"/>
    <w:rsid w:val="002308C0"/>
    <w:rsid w:val="002333ED"/>
    <w:rsid w:val="00234557"/>
    <w:rsid w:val="00236084"/>
    <w:rsid w:val="00237998"/>
    <w:rsid w:val="00240336"/>
    <w:rsid w:val="00240EB1"/>
    <w:rsid w:val="00242240"/>
    <w:rsid w:val="002428E5"/>
    <w:rsid w:val="00242D00"/>
    <w:rsid w:val="00243214"/>
    <w:rsid w:val="0024387A"/>
    <w:rsid w:val="002443A8"/>
    <w:rsid w:val="00247037"/>
    <w:rsid w:val="002477AA"/>
    <w:rsid w:val="0025083D"/>
    <w:rsid w:val="00251C58"/>
    <w:rsid w:val="00252218"/>
    <w:rsid w:val="0025292A"/>
    <w:rsid w:val="00257459"/>
    <w:rsid w:val="00262A6D"/>
    <w:rsid w:val="00263A0C"/>
    <w:rsid w:val="002646EC"/>
    <w:rsid w:val="002650E7"/>
    <w:rsid w:val="0026568F"/>
    <w:rsid w:val="00265736"/>
    <w:rsid w:val="00266AF8"/>
    <w:rsid w:val="00271283"/>
    <w:rsid w:val="00271704"/>
    <w:rsid w:val="00271C6F"/>
    <w:rsid w:val="00274EEF"/>
    <w:rsid w:val="00275CF1"/>
    <w:rsid w:val="00276814"/>
    <w:rsid w:val="00277D43"/>
    <w:rsid w:val="0028249B"/>
    <w:rsid w:val="00282C9A"/>
    <w:rsid w:val="00282F0A"/>
    <w:rsid w:val="0028337A"/>
    <w:rsid w:val="00283849"/>
    <w:rsid w:val="0028391C"/>
    <w:rsid w:val="00283DD9"/>
    <w:rsid w:val="00285F04"/>
    <w:rsid w:val="002879E7"/>
    <w:rsid w:val="00290148"/>
    <w:rsid w:val="0029184F"/>
    <w:rsid w:val="00292B6F"/>
    <w:rsid w:val="00295175"/>
    <w:rsid w:val="002952F0"/>
    <w:rsid w:val="002968C5"/>
    <w:rsid w:val="002A173E"/>
    <w:rsid w:val="002A49A1"/>
    <w:rsid w:val="002A5258"/>
    <w:rsid w:val="002A5D2B"/>
    <w:rsid w:val="002A5D7A"/>
    <w:rsid w:val="002A6DDB"/>
    <w:rsid w:val="002A7C8C"/>
    <w:rsid w:val="002B0800"/>
    <w:rsid w:val="002B0B29"/>
    <w:rsid w:val="002B1AA6"/>
    <w:rsid w:val="002B3B78"/>
    <w:rsid w:val="002B45C7"/>
    <w:rsid w:val="002B52F2"/>
    <w:rsid w:val="002B5638"/>
    <w:rsid w:val="002B59ED"/>
    <w:rsid w:val="002B5A43"/>
    <w:rsid w:val="002B649A"/>
    <w:rsid w:val="002C0A58"/>
    <w:rsid w:val="002C167C"/>
    <w:rsid w:val="002C29F3"/>
    <w:rsid w:val="002C31CC"/>
    <w:rsid w:val="002C3486"/>
    <w:rsid w:val="002C35B2"/>
    <w:rsid w:val="002C446A"/>
    <w:rsid w:val="002C6604"/>
    <w:rsid w:val="002C7699"/>
    <w:rsid w:val="002C7A76"/>
    <w:rsid w:val="002D1024"/>
    <w:rsid w:val="002D1676"/>
    <w:rsid w:val="002D25B1"/>
    <w:rsid w:val="002D2886"/>
    <w:rsid w:val="002D2F7F"/>
    <w:rsid w:val="002D302C"/>
    <w:rsid w:val="002D3056"/>
    <w:rsid w:val="002D410B"/>
    <w:rsid w:val="002D4419"/>
    <w:rsid w:val="002D48C7"/>
    <w:rsid w:val="002D5E4E"/>
    <w:rsid w:val="002D6335"/>
    <w:rsid w:val="002D6C1B"/>
    <w:rsid w:val="002D6C74"/>
    <w:rsid w:val="002D6DD5"/>
    <w:rsid w:val="002D71F4"/>
    <w:rsid w:val="002E062D"/>
    <w:rsid w:val="002E185A"/>
    <w:rsid w:val="002E1C1C"/>
    <w:rsid w:val="002E24A9"/>
    <w:rsid w:val="002E2C27"/>
    <w:rsid w:val="002E315E"/>
    <w:rsid w:val="002E3ADB"/>
    <w:rsid w:val="002E3E6C"/>
    <w:rsid w:val="002E6336"/>
    <w:rsid w:val="002E6790"/>
    <w:rsid w:val="002E6D04"/>
    <w:rsid w:val="002E74B2"/>
    <w:rsid w:val="002E7B10"/>
    <w:rsid w:val="002F14F1"/>
    <w:rsid w:val="002F1842"/>
    <w:rsid w:val="002F37D7"/>
    <w:rsid w:val="002F5A98"/>
    <w:rsid w:val="002F6673"/>
    <w:rsid w:val="002F66A2"/>
    <w:rsid w:val="002F6702"/>
    <w:rsid w:val="00300F1C"/>
    <w:rsid w:val="003014A1"/>
    <w:rsid w:val="00301E97"/>
    <w:rsid w:val="00302CFA"/>
    <w:rsid w:val="00303582"/>
    <w:rsid w:val="003100AB"/>
    <w:rsid w:val="0031151A"/>
    <w:rsid w:val="00311D71"/>
    <w:rsid w:val="00312ABC"/>
    <w:rsid w:val="00313EA0"/>
    <w:rsid w:val="003158C1"/>
    <w:rsid w:val="00316347"/>
    <w:rsid w:val="003176A9"/>
    <w:rsid w:val="00320560"/>
    <w:rsid w:val="003207A0"/>
    <w:rsid w:val="003213E0"/>
    <w:rsid w:val="00321D32"/>
    <w:rsid w:val="003238D9"/>
    <w:rsid w:val="0032471A"/>
    <w:rsid w:val="00324E8F"/>
    <w:rsid w:val="0032605D"/>
    <w:rsid w:val="003263B0"/>
    <w:rsid w:val="00326B0D"/>
    <w:rsid w:val="00327E5B"/>
    <w:rsid w:val="00330418"/>
    <w:rsid w:val="00330609"/>
    <w:rsid w:val="00331914"/>
    <w:rsid w:val="00333299"/>
    <w:rsid w:val="00333E85"/>
    <w:rsid w:val="00336089"/>
    <w:rsid w:val="003360A7"/>
    <w:rsid w:val="003368BE"/>
    <w:rsid w:val="003409A4"/>
    <w:rsid w:val="00341620"/>
    <w:rsid w:val="003416CE"/>
    <w:rsid w:val="00342A5B"/>
    <w:rsid w:val="00343255"/>
    <w:rsid w:val="0034416A"/>
    <w:rsid w:val="00345C76"/>
    <w:rsid w:val="0034658D"/>
    <w:rsid w:val="00347A60"/>
    <w:rsid w:val="00347D15"/>
    <w:rsid w:val="00350331"/>
    <w:rsid w:val="003519C3"/>
    <w:rsid w:val="00351E76"/>
    <w:rsid w:val="00354249"/>
    <w:rsid w:val="00355FDA"/>
    <w:rsid w:val="0035776F"/>
    <w:rsid w:val="0035781E"/>
    <w:rsid w:val="00363D87"/>
    <w:rsid w:val="00365259"/>
    <w:rsid w:val="003654AC"/>
    <w:rsid w:val="00366927"/>
    <w:rsid w:val="00370CE5"/>
    <w:rsid w:val="00372353"/>
    <w:rsid w:val="00374194"/>
    <w:rsid w:val="00375BEC"/>
    <w:rsid w:val="00375FB0"/>
    <w:rsid w:val="00380BBD"/>
    <w:rsid w:val="00381677"/>
    <w:rsid w:val="00381737"/>
    <w:rsid w:val="00381F73"/>
    <w:rsid w:val="00382331"/>
    <w:rsid w:val="00382EBC"/>
    <w:rsid w:val="003832C4"/>
    <w:rsid w:val="0038410C"/>
    <w:rsid w:val="00384C50"/>
    <w:rsid w:val="00384E67"/>
    <w:rsid w:val="0038534B"/>
    <w:rsid w:val="00387005"/>
    <w:rsid w:val="003912B4"/>
    <w:rsid w:val="00392F72"/>
    <w:rsid w:val="0039306E"/>
    <w:rsid w:val="003A04DF"/>
    <w:rsid w:val="003A18FA"/>
    <w:rsid w:val="003A3412"/>
    <w:rsid w:val="003A39E4"/>
    <w:rsid w:val="003A455A"/>
    <w:rsid w:val="003A4796"/>
    <w:rsid w:val="003A4FC3"/>
    <w:rsid w:val="003A5627"/>
    <w:rsid w:val="003A5BA4"/>
    <w:rsid w:val="003A6559"/>
    <w:rsid w:val="003A6810"/>
    <w:rsid w:val="003A684D"/>
    <w:rsid w:val="003A758E"/>
    <w:rsid w:val="003A7769"/>
    <w:rsid w:val="003B0800"/>
    <w:rsid w:val="003B0806"/>
    <w:rsid w:val="003B2490"/>
    <w:rsid w:val="003B468D"/>
    <w:rsid w:val="003B4C60"/>
    <w:rsid w:val="003B5032"/>
    <w:rsid w:val="003B76D2"/>
    <w:rsid w:val="003B792C"/>
    <w:rsid w:val="003C00B2"/>
    <w:rsid w:val="003C05F5"/>
    <w:rsid w:val="003C1B23"/>
    <w:rsid w:val="003C2A2C"/>
    <w:rsid w:val="003C308E"/>
    <w:rsid w:val="003C6406"/>
    <w:rsid w:val="003C701E"/>
    <w:rsid w:val="003D02D8"/>
    <w:rsid w:val="003D244D"/>
    <w:rsid w:val="003D2597"/>
    <w:rsid w:val="003D3622"/>
    <w:rsid w:val="003D39F4"/>
    <w:rsid w:val="003D64ED"/>
    <w:rsid w:val="003E0958"/>
    <w:rsid w:val="003E0C9A"/>
    <w:rsid w:val="003E11E3"/>
    <w:rsid w:val="003E1A69"/>
    <w:rsid w:val="003E1EF1"/>
    <w:rsid w:val="003E1F9A"/>
    <w:rsid w:val="003E3130"/>
    <w:rsid w:val="003E55AB"/>
    <w:rsid w:val="003E657C"/>
    <w:rsid w:val="003F1184"/>
    <w:rsid w:val="003F367A"/>
    <w:rsid w:val="003F398F"/>
    <w:rsid w:val="003F3B1C"/>
    <w:rsid w:val="003F3B1F"/>
    <w:rsid w:val="003F4FEC"/>
    <w:rsid w:val="003F536D"/>
    <w:rsid w:val="003F6A45"/>
    <w:rsid w:val="003F7FDA"/>
    <w:rsid w:val="0040056E"/>
    <w:rsid w:val="00401EF9"/>
    <w:rsid w:val="00402096"/>
    <w:rsid w:val="0040217E"/>
    <w:rsid w:val="00402370"/>
    <w:rsid w:val="00402F58"/>
    <w:rsid w:val="0040478D"/>
    <w:rsid w:val="0040486A"/>
    <w:rsid w:val="004054C5"/>
    <w:rsid w:val="004074B8"/>
    <w:rsid w:val="00407634"/>
    <w:rsid w:val="00407A2E"/>
    <w:rsid w:val="004107A3"/>
    <w:rsid w:val="00413388"/>
    <w:rsid w:val="00413B97"/>
    <w:rsid w:val="00413F08"/>
    <w:rsid w:val="00413F7A"/>
    <w:rsid w:val="0041446F"/>
    <w:rsid w:val="00415242"/>
    <w:rsid w:val="00415432"/>
    <w:rsid w:val="00416712"/>
    <w:rsid w:val="00417831"/>
    <w:rsid w:val="00421639"/>
    <w:rsid w:val="00422F4A"/>
    <w:rsid w:val="00423ADE"/>
    <w:rsid w:val="004245C5"/>
    <w:rsid w:val="004248F6"/>
    <w:rsid w:val="00424A36"/>
    <w:rsid w:val="00424F0D"/>
    <w:rsid w:val="00425142"/>
    <w:rsid w:val="004258A6"/>
    <w:rsid w:val="004259F5"/>
    <w:rsid w:val="0042663C"/>
    <w:rsid w:val="00426739"/>
    <w:rsid w:val="004272A1"/>
    <w:rsid w:val="004272CC"/>
    <w:rsid w:val="00430A1D"/>
    <w:rsid w:val="00430AAA"/>
    <w:rsid w:val="00432958"/>
    <w:rsid w:val="00432FC6"/>
    <w:rsid w:val="004337CC"/>
    <w:rsid w:val="004371D3"/>
    <w:rsid w:val="004371FC"/>
    <w:rsid w:val="0044017E"/>
    <w:rsid w:val="004409B5"/>
    <w:rsid w:val="00440C18"/>
    <w:rsid w:val="00440D89"/>
    <w:rsid w:val="00442283"/>
    <w:rsid w:val="00442D10"/>
    <w:rsid w:val="004434DC"/>
    <w:rsid w:val="00443520"/>
    <w:rsid w:val="004443C4"/>
    <w:rsid w:val="004447E1"/>
    <w:rsid w:val="00444DF9"/>
    <w:rsid w:val="00444E00"/>
    <w:rsid w:val="00445F77"/>
    <w:rsid w:val="00446DAE"/>
    <w:rsid w:val="00446FFF"/>
    <w:rsid w:val="00450073"/>
    <w:rsid w:val="00450782"/>
    <w:rsid w:val="00450954"/>
    <w:rsid w:val="00450F11"/>
    <w:rsid w:val="00450F13"/>
    <w:rsid w:val="0045122F"/>
    <w:rsid w:val="00451270"/>
    <w:rsid w:val="00451467"/>
    <w:rsid w:val="00452287"/>
    <w:rsid w:val="00452BEA"/>
    <w:rsid w:val="00455E06"/>
    <w:rsid w:val="00456E76"/>
    <w:rsid w:val="0045764A"/>
    <w:rsid w:val="00460ED4"/>
    <w:rsid w:val="004640CE"/>
    <w:rsid w:val="004658BE"/>
    <w:rsid w:val="0046647B"/>
    <w:rsid w:val="00467783"/>
    <w:rsid w:val="0047192B"/>
    <w:rsid w:val="0047260C"/>
    <w:rsid w:val="004728E6"/>
    <w:rsid w:val="0047392D"/>
    <w:rsid w:val="0047443A"/>
    <w:rsid w:val="00474499"/>
    <w:rsid w:val="004744E3"/>
    <w:rsid w:val="00476E14"/>
    <w:rsid w:val="004811BB"/>
    <w:rsid w:val="004820B8"/>
    <w:rsid w:val="004825BF"/>
    <w:rsid w:val="00482746"/>
    <w:rsid w:val="00482A46"/>
    <w:rsid w:val="004834AD"/>
    <w:rsid w:val="004837BD"/>
    <w:rsid w:val="00487508"/>
    <w:rsid w:val="00491C73"/>
    <w:rsid w:val="0049319F"/>
    <w:rsid w:val="00493DE0"/>
    <w:rsid w:val="004946C9"/>
    <w:rsid w:val="00494870"/>
    <w:rsid w:val="004954DB"/>
    <w:rsid w:val="0049684D"/>
    <w:rsid w:val="0049691F"/>
    <w:rsid w:val="00496C45"/>
    <w:rsid w:val="00496E45"/>
    <w:rsid w:val="00496E60"/>
    <w:rsid w:val="00496EB7"/>
    <w:rsid w:val="00496F85"/>
    <w:rsid w:val="0049781C"/>
    <w:rsid w:val="004A04A2"/>
    <w:rsid w:val="004A0DA4"/>
    <w:rsid w:val="004A1D58"/>
    <w:rsid w:val="004A4EB2"/>
    <w:rsid w:val="004A5267"/>
    <w:rsid w:val="004A5271"/>
    <w:rsid w:val="004A584E"/>
    <w:rsid w:val="004A7894"/>
    <w:rsid w:val="004B25D8"/>
    <w:rsid w:val="004B3150"/>
    <w:rsid w:val="004B3ABC"/>
    <w:rsid w:val="004B3C3F"/>
    <w:rsid w:val="004B4AEE"/>
    <w:rsid w:val="004B525F"/>
    <w:rsid w:val="004B59AE"/>
    <w:rsid w:val="004B5E5B"/>
    <w:rsid w:val="004B61FA"/>
    <w:rsid w:val="004B6F55"/>
    <w:rsid w:val="004C0036"/>
    <w:rsid w:val="004C0DC5"/>
    <w:rsid w:val="004C129E"/>
    <w:rsid w:val="004C1316"/>
    <w:rsid w:val="004C1748"/>
    <w:rsid w:val="004C3F96"/>
    <w:rsid w:val="004C457A"/>
    <w:rsid w:val="004C45EC"/>
    <w:rsid w:val="004C4D71"/>
    <w:rsid w:val="004C5991"/>
    <w:rsid w:val="004D02BF"/>
    <w:rsid w:val="004D0677"/>
    <w:rsid w:val="004D06D2"/>
    <w:rsid w:val="004D1556"/>
    <w:rsid w:val="004D36EC"/>
    <w:rsid w:val="004D3EBC"/>
    <w:rsid w:val="004D47B3"/>
    <w:rsid w:val="004D4C4D"/>
    <w:rsid w:val="004E0BD2"/>
    <w:rsid w:val="004E1697"/>
    <w:rsid w:val="004E2FB3"/>
    <w:rsid w:val="004E311B"/>
    <w:rsid w:val="004E3967"/>
    <w:rsid w:val="004E3E24"/>
    <w:rsid w:val="004E4FFE"/>
    <w:rsid w:val="004E54A7"/>
    <w:rsid w:val="004E563E"/>
    <w:rsid w:val="004E59CE"/>
    <w:rsid w:val="004E7DBC"/>
    <w:rsid w:val="004F0495"/>
    <w:rsid w:val="004F04AE"/>
    <w:rsid w:val="004F0615"/>
    <w:rsid w:val="004F13D8"/>
    <w:rsid w:val="004F1866"/>
    <w:rsid w:val="004F2477"/>
    <w:rsid w:val="004F41ED"/>
    <w:rsid w:val="004F4506"/>
    <w:rsid w:val="004F4C49"/>
    <w:rsid w:val="004F7B53"/>
    <w:rsid w:val="005008CF"/>
    <w:rsid w:val="00500C0A"/>
    <w:rsid w:val="0050250F"/>
    <w:rsid w:val="00502F93"/>
    <w:rsid w:val="00503312"/>
    <w:rsid w:val="005039D6"/>
    <w:rsid w:val="0050679F"/>
    <w:rsid w:val="00510E39"/>
    <w:rsid w:val="005116EE"/>
    <w:rsid w:val="00513A4D"/>
    <w:rsid w:val="00514DBD"/>
    <w:rsid w:val="00515383"/>
    <w:rsid w:val="00516CF6"/>
    <w:rsid w:val="005177F2"/>
    <w:rsid w:val="005210CF"/>
    <w:rsid w:val="0052168D"/>
    <w:rsid w:val="005217FF"/>
    <w:rsid w:val="0052197B"/>
    <w:rsid w:val="00522927"/>
    <w:rsid w:val="00524822"/>
    <w:rsid w:val="00524C17"/>
    <w:rsid w:val="00526B44"/>
    <w:rsid w:val="00526CCC"/>
    <w:rsid w:val="005271A5"/>
    <w:rsid w:val="00527676"/>
    <w:rsid w:val="00530BEF"/>
    <w:rsid w:val="005313AC"/>
    <w:rsid w:val="00532EAC"/>
    <w:rsid w:val="00533992"/>
    <w:rsid w:val="00533C2E"/>
    <w:rsid w:val="0053518F"/>
    <w:rsid w:val="00537056"/>
    <w:rsid w:val="00537281"/>
    <w:rsid w:val="00540767"/>
    <w:rsid w:val="005410E3"/>
    <w:rsid w:val="00541578"/>
    <w:rsid w:val="0054158B"/>
    <w:rsid w:val="0054174F"/>
    <w:rsid w:val="00542DC9"/>
    <w:rsid w:val="00542FAD"/>
    <w:rsid w:val="00546DC0"/>
    <w:rsid w:val="005478CD"/>
    <w:rsid w:val="00547B20"/>
    <w:rsid w:val="0055008B"/>
    <w:rsid w:val="0055034B"/>
    <w:rsid w:val="005507CF"/>
    <w:rsid w:val="00553403"/>
    <w:rsid w:val="005538DA"/>
    <w:rsid w:val="00554095"/>
    <w:rsid w:val="00554357"/>
    <w:rsid w:val="0055492F"/>
    <w:rsid w:val="00555F4F"/>
    <w:rsid w:val="005576B6"/>
    <w:rsid w:val="00557883"/>
    <w:rsid w:val="00557C42"/>
    <w:rsid w:val="0056048C"/>
    <w:rsid w:val="005650AF"/>
    <w:rsid w:val="00565665"/>
    <w:rsid w:val="00565D95"/>
    <w:rsid w:val="00565F98"/>
    <w:rsid w:val="00567C96"/>
    <w:rsid w:val="00571548"/>
    <w:rsid w:val="00571BB4"/>
    <w:rsid w:val="00571BD9"/>
    <w:rsid w:val="00571CCD"/>
    <w:rsid w:val="0057255B"/>
    <w:rsid w:val="00573EA7"/>
    <w:rsid w:val="00574038"/>
    <w:rsid w:val="00574366"/>
    <w:rsid w:val="00574552"/>
    <w:rsid w:val="00575939"/>
    <w:rsid w:val="00575FDB"/>
    <w:rsid w:val="0057601A"/>
    <w:rsid w:val="00576330"/>
    <w:rsid w:val="00577828"/>
    <w:rsid w:val="00577B05"/>
    <w:rsid w:val="00577C2B"/>
    <w:rsid w:val="00577F9E"/>
    <w:rsid w:val="00582C56"/>
    <w:rsid w:val="00583D85"/>
    <w:rsid w:val="00583ED0"/>
    <w:rsid w:val="00584A2D"/>
    <w:rsid w:val="00584B33"/>
    <w:rsid w:val="00586620"/>
    <w:rsid w:val="00587E83"/>
    <w:rsid w:val="00592ABB"/>
    <w:rsid w:val="00592C0A"/>
    <w:rsid w:val="00592DE4"/>
    <w:rsid w:val="0059382E"/>
    <w:rsid w:val="005945B0"/>
    <w:rsid w:val="00594E99"/>
    <w:rsid w:val="0059550F"/>
    <w:rsid w:val="00596413"/>
    <w:rsid w:val="00597342"/>
    <w:rsid w:val="005A12B4"/>
    <w:rsid w:val="005A1FF0"/>
    <w:rsid w:val="005A2794"/>
    <w:rsid w:val="005A2D77"/>
    <w:rsid w:val="005A34A1"/>
    <w:rsid w:val="005A4033"/>
    <w:rsid w:val="005A4683"/>
    <w:rsid w:val="005A563A"/>
    <w:rsid w:val="005A564B"/>
    <w:rsid w:val="005A5DF9"/>
    <w:rsid w:val="005A637D"/>
    <w:rsid w:val="005A67DF"/>
    <w:rsid w:val="005A6964"/>
    <w:rsid w:val="005A6FEE"/>
    <w:rsid w:val="005A6FF7"/>
    <w:rsid w:val="005B1746"/>
    <w:rsid w:val="005B3D6E"/>
    <w:rsid w:val="005B3FD5"/>
    <w:rsid w:val="005B6FF2"/>
    <w:rsid w:val="005C2049"/>
    <w:rsid w:val="005C21EA"/>
    <w:rsid w:val="005C31C5"/>
    <w:rsid w:val="005C3670"/>
    <w:rsid w:val="005C55BC"/>
    <w:rsid w:val="005C59EB"/>
    <w:rsid w:val="005C5FFE"/>
    <w:rsid w:val="005C602A"/>
    <w:rsid w:val="005C7513"/>
    <w:rsid w:val="005D0F79"/>
    <w:rsid w:val="005D1619"/>
    <w:rsid w:val="005D1ED4"/>
    <w:rsid w:val="005D2737"/>
    <w:rsid w:val="005D2797"/>
    <w:rsid w:val="005D3812"/>
    <w:rsid w:val="005D3C1E"/>
    <w:rsid w:val="005D3DDA"/>
    <w:rsid w:val="005D4A01"/>
    <w:rsid w:val="005D5501"/>
    <w:rsid w:val="005D73E5"/>
    <w:rsid w:val="005E040F"/>
    <w:rsid w:val="005E108C"/>
    <w:rsid w:val="005E1517"/>
    <w:rsid w:val="005E158B"/>
    <w:rsid w:val="005E1F00"/>
    <w:rsid w:val="005E2FA2"/>
    <w:rsid w:val="005E5B94"/>
    <w:rsid w:val="005E7D7D"/>
    <w:rsid w:val="005F06B1"/>
    <w:rsid w:val="005F1505"/>
    <w:rsid w:val="005F1986"/>
    <w:rsid w:val="005F1C3F"/>
    <w:rsid w:val="005F20E3"/>
    <w:rsid w:val="005F2A29"/>
    <w:rsid w:val="005F3D50"/>
    <w:rsid w:val="005F3F80"/>
    <w:rsid w:val="005F446E"/>
    <w:rsid w:val="005F4A19"/>
    <w:rsid w:val="005F52EF"/>
    <w:rsid w:val="005F58AF"/>
    <w:rsid w:val="005F74D3"/>
    <w:rsid w:val="005F78BB"/>
    <w:rsid w:val="005F7E03"/>
    <w:rsid w:val="00600C14"/>
    <w:rsid w:val="00600CAF"/>
    <w:rsid w:val="006013C3"/>
    <w:rsid w:val="00601B4A"/>
    <w:rsid w:val="0060496E"/>
    <w:rsid w:val="00605A97"/>
    <w:rsid w:val="00606AF8"/>
    <w:rsid w:val="0060787F"/>
    <w:rsid w:val="00607D6A"/>
    <w:rsid w:val="006104DC"/>
    <w:rsid w:val="006114F2"/>
    <w:rsid w:val="006117B8"/>
    <w:rsid w:val="00612D9D"/>
    <w:rsid w:val="00613A69"/>
    <w:rsid w:val="00615EEB"/>
    <w:rsid w:val="00617558"/>
    <w:rsid w:val="0062007D"/>
    <w:rsid w:val="006234AC"/>
    <w:rsid w:val="0062615C"/>
    <w:rsid w:val="00626F66"/>
    <w:rsid w:val="0062763C"/>
    <w:rsid w:val="006305E9"/>
    <w:rsid w:val="00631548"/>
    <w:rsid w:val="0063202B"/>
    <w:rsid w:val="00632297"/>
    <w:rsid w:val="00634072"/>
    <w:rsid w:val="006349A1"/>
    <w:rsid w:val="00634CC7"/>
    <w:rsid w:val="00634E08"/>
    <w:rsid w:val="00635E0E"/>
    <w:rsid w:val="0063692E"/>
    <w:rsid w:val="006375DE"/>
    <w:rsid w:val="00637CCB"/>
    <w:rsid w:val="00640F35"/>
    <w:rsid w:val="00641E60"/>
    <w:rsid w:val="006425A1"/>
    <w:rsid w:val="006429BA"/>
    <w:rsid w:val="00643D7F"/>
    <w:rsid w:val="006456CB"/>
    <w:rsid w:val="00645756"/>
    <w:rsid w:val="00645818"/>
    <w:rsid w:val="00646FC5"/>
    <w:rsid w:val="006507B3"/>
    <w:rsid w:val="0065652E"/>
    <w:rsid w:val="00656C7B"/>
    <w:rsid w:val="00662146"/>
    <w:rsid w:val="00662EC4"/>
    <w:rsid w:val="006632A7"/>
    <w:rsid w:val="006633A1"/>
    <w:rsid w:val="006644C0"/>
    <w:rsid w:val="00665E5A"/>
    <w:rsid w:val="0066710D"/>
    <w:rsid w:val="00667784"/>
    <w:rsid w:val="00667D3C"/>
    <w:rsid w:val="00670526"/>
    <w:rsid w:val="00670BF4"/>
    <w:rsid w:val="0067219B"/>
    <w:rsid w:val="0067327D"/>
    <w:rsid w:val="006754EB"/>
    <w:rsid w:val="00675C39"/>
    <w:rsid w:val="006763A4"/>
    <w:rsid w:val="00677458"/>
    <w:rsid w:val="00677B27"/>
    <w:rsid w:val="006805CD"/>
    <w:rsid w:val="006816CB"/>
    <w:rsid w:val="006841FE"/>
    <w:rsid w:val="00684742"/>
    <w:rsid w:val="00684948"/>
    <w:rsid w:val="006853A9"/>
    <w:rsid w:val="00686458"/>
    <w:rsid w:val="0069259C"/>
    <w:rsid w:val="0069272F"/>
    <w:rsid w:val="0069399C"/>
    <w:rsid w:val="0069651E"/>
    <w:rsid w:val="00696A7A"/>
    <w:rsid w:val="00696E14"/>
    <w:rsid w:val="006A2796"/>
    <w:rsid w:val="006A3149"/>
    <w:rsid w:val="006A4445"/>
    <w:rsid w:val="006A56D2"/>
    <w:rsid w:val="006A5931"/>
    <w:rsid w:val="006A5D5A"/>
    <w:rsid w:val="006A6E72"/>
    <w:rsid w:val="006A7016"/>
    <w:rsid w:val="006A7DD8"/>
    <w:rsid w:val="006B0C22"/>
    <w:rsid w:val="006B168C"/>
    <w:rsid w:val="006B20DD"/>
    <w:rsid w:val="006B3C50"/>
    <w:rsid w:val="006B3E7E"/>
    <w:rsid w:val="006B4D4F"/>
    <w:rsid w:val="006B4F22"/>
    <w:rsid w:val="006B628A"/>
    <w:rsid w:val="006B67AE"/>
    <w:rsid w:val="006C024A"/>
    <w:rsid w:val="006C0F38"/>
    <w:rsid w:val="006C4B3C"/>
    <w:rsid w:val="006C5514"/>
    <w:rsid w:val="006C57DE"/>
    <w:rsid w:val="006C630D"/>
    <w:rsid w:val="006D0762"/>
    <w:rsid w:val="006D0CE9"/>
    <w:rsid w:val="006D1263"/>
    <w:rsid w:val="006D1468"/>
    <w:rsid w:val="006D3112"/>
    <w:rsid w:val="006D3201"/>
    <w:rsid w:val="006D3BDD"/>
    <w:rsid w:val="006D693E"/>
    <w:rsid w:val="006D6E70"/>
    <w:rsid w:val="006D7BD8"/>
    <w:rsid w:val="006E258F"/>
    <w:rsid w:val="006E2E3E"/>
    <w:rsid w:val="006E2F38"/>
    <w:rsid w:val="006E30DB"/>
    <w:rsid w:val="006E34E0"/>
    <w:rsid w:val="006E34FA"/>
    <w:rsid w:val="006E6FF8"/>
    <w:rsid w:val="006F10CB"/>
    <w:rsid w:val="006F1DC7"/>
    <w:rsid w:val="006F29A2"/>
    <w:rsid w:val="006F2E33"/>
    <w:rsid w:val="006F3E8B"/>
    <w:rsid w:val="006F3F64"/>
    <w:rsid w:val="006F65E9"/>
    <w:rsid w:val="006F67C2"/>
    <w:rsid w:val="006F6AC9"/>
    <w:rsid w:val="00700DD0"/>
    <w:rsid w:val="0070234A"/>
    <w:rsid w:val="007043D5"/>
    <w:rsid w:val="00705350"/>
    <w:rsid w:val="007054D4"/>
    <w:rsid w:val="007066F0"/>
    <w:rsid w:val="0070796C"/>
    <w:rsid w:val="00707CA4"/>
    <w:rsid w:val="00713520"/>
    <w:rsid w:val="00716E60"/>
    <w:rsid w:val="00716ECE"/>
    <w:rsid w:val="00717B77"/>
    <w:rsid w:val="007207E8"/>
    <w:rsid w:val="007219F1"/>
    <w:rsid w:val="00722128"/>
    <w:rsid w:val="007228B9"/>
    <w:rsid w:val="007233DE"/>
    <w:rsid w:val="007253A6"/>
    <w:rsid w:val="00726691"/>
    <w:rsid w:val="007271B3"/>
    <w:rsid w:val="007272D1"/>
    <w:rsid w:val="00731210"/>
    <w:rsid w:val="007312E2"/>
    <w:rsid w:val="0073179A"/>
    <w:rsid w:val="00732040"/>
    <w:rsid w:val="00734AF8"/>
    <w:rsid w:val="00734B4A"/>
    <w:rsid w:val="00735436"/>
    <w:rsid w:val="0073613C"/>
    <w:rsid w:val="00737F0D"/>
    <w:rsid w:val="0074026B"/>
    <w:rsid w:val="0074059D"/>
    <w:rsid w:val="00742CAA"/>
    <w:rsid w:val="00744325"/>
    <w:rsid w:val="00745722"/>
    <w:rsid w:val="00747637"/>
    <w:rsid w:val="00747A4B"/>
    <w:rsid w:val="00747BEA"/>
    <w:rsid w:val="007502A5"/>
    <w:rsid w:val="0075143B"/>
    <w:rsid w:val="00752975"/>
    <w:rsid w:val="00753B09"/>
    <w:rsid w:val="00754F88"/>
    <w:rsid w:val="0075530C"/>
    <w:rsid w:val="007565B0"/>
    <w:rsid w:val="00757FC4"/>
    <w:rsid w:val="00760016"/>
    <w:rsid w:val="0076062D"/>
    <w:rsid w:val="00761947"/>
    <w:rsid w:val="00763001"/>
    <w:rsid w:val="00763072"/>
    <w:rsid w:val="00763461"/>
    <w:rsid w:val="00764227"/>
    <w:rsid w:val="007644BB"/>
    <w:rsid w:val="007662C8"/>
    <w:rsid w:val="00766A99"/>
    <w:rsid w:val="007675E2"/>
    <w:rsid w:val="00767815"/>
    <w:rsid w:val="0077010D"/>
    <w:rsid w:val="007725F7"/>
    <w:rsid w:val="00773919"/>
    <w:rsid w:val="00774A47"/>
    <w:rsid w:val="007766F3"/>
    <w:rsid w:val="00777855"/>
    <w:rsid w:val="00777BDA"/>
    <w:rsid w:val="00781F41"/>
    <w:rsid w:val="00781FAB"/>
    <w:rsid w:val="007846EF"/>
    <w:rsid w:val="007853C4"/>
    <w:rsid w:val="00785564"/>
    <w:rsid w:val="007871E0"/>
    <w:rsid w:val="007872BD"/>
    <w:rsid w:val="007872C8"/>
    <w:rsid w:val="00787441"/>
    <w:rsid w:val="00787A47"/>
    <w:rsid w:val="00787BFD"/>
    <w:rsid w:val="00787DE3"/>
    <w:rsid w:val="007900A8"/>
    <w:rsid w:val="00790B0D"/>
    <w:rsid w:val="00793474"/>
    <w:rsid w:val="0079750A"/>
    <w:rsid w:val="00797E27"/>
    <w:rsid w:val="007A1BDD"/>
    <w:rsid w:val="007A3BD2"/>
    <w:rsid w:val="007A551B"/>
    <w:rsid w:val="007A6049"/>
    <w:rsid w:val="007A7ED4"/>
    <w:rsid w:val="007B1DC2"/>
    <w:rsid w:val="007B27F4"/>
    <w:rsid w:val="007B31DC"/>
    <w:rsid w:val="007B3DF0"/>
    <w:rsid w:val="007B4B94"/>
    <w:rsid w:val="007B52A9"/>
    <w:rsid w:val="007C1A6D"/>
    <w:rsid w:val="007C1CF6"/>
    <w:rsid w:val="007C3C5B"/>
    <w:rsid w:val="007C4DCF"/>
    <w:rsid w:val="007C50BC"/>
    <w:rsid w:val="007C5167"/>
    <w:rsid w:val="007C65F1"/>
    <w:rsid w:val="007C77F5"/>
    <w:rsid w:val="007C7DC5"/>
    <w:rsid w:val="007C7FCB"/>
    <w:rsid w:val="007D4042"/>
    <w:rsid w:val="007D5AE7"/>
    <w:rsid w:val="007D613C"/>
    <w:rsid w:val="007D61C7"/>
    <w:rsid w:val="007D7561"/>
    <w:rsid w:val="007E1EF4"/>
    <w:rsid w:val="007E2955"/>
    <w:rsid w:val="007E37CD"/>
    <w:rsid w:val="007E4ADD"/>
    <w:rsid w:val="007E51B2"/>
    <w:rsid w:val="007E51FE"/>
    <w:rsid w:val="007E5C01"/>
    <w:rsid w:val="007E5CBD"/>
    <w:rsid w:val="007E68E9"/>
    <w:rsid w:val="007F0D99"/>
    <w:rsid w:val="007F1562"/>
    <w:rsid w:val="007F1812"/>
    <w:rsid w:val="007F21A8"/>
    <w:rsid w:val="007F26A8"/>
    <w:rsid w:val="007F7991"/>
    <w:rsid w:val="0080062D"/>
    <w:rsid w:val="00800F0F"/>
    <w:rsid w:val="00801FCE"/>
    <w:rsid w:val="0080295E"/>
    <w:rsid w:val="00802A38"/>
    <w:rsid w:val="00802F90"/>
    <w:rsid w:val="00803E76"/>
    <w:rsid w:val="00804F85"/>
    <w:rsid w:val="008056C5"/>
    <w:rsid w:val="00805DBB"/>
    <w:rsid w:val="00805F0D"/>
    <w:rsid w:val="00807877"/>
    <w:rsid w:val="00810EEC"/>
    <w:rsid w:val="00810F3A"/>
    <w:rsid w:val="0081442D"/>
    <w:rsid w:val="008146AB"/>
    <w:rsid w:val="00814746"/>
    <w:rsid w:val="0081487C"/>
    <w:rsid w:val="00814B96"/>
    <w:rsid w:val="0081517B"/>
    <w:rsid w:val="00815738"/>
    <w:rsid w:val="0081645D"/>
    <w:rsid w:val="00816BA3"/>
    <w:rsid w:val="00820E0D"/>
    <w:rsid w:val="00821628"/>
    <w:rsid w:val="00823239"/>
    <w:rsid w:val="008247E9"/>
    <w:rsid w:val="0082483E"/>
    <w:rsid w:val="00825653"/>
    <w:rsid w:val="00827A81"/>
    <w:rsid w:val="00827BD7"/>
    <w:rsid w:val="00827C64"/>
    <w:rsid w:val="008318F8"/>
    <w:rsid w:val="00831981"/>
    <w:rsid w:val="00831CDC"/>
    <w:rsid w:val="00832788"/>
    <w:rsid w:val="00832B41"/>
    <w:rsid w:val="008333C6"/>
    <w:rsid w:val="00833DAA"/>
    <w:rsid w:val="008350EE"/>
    <w:rsid w:val="00837F3E"/>
    <w:rsid w:val="0084040E"/>
    <w:rsid w:val="00840811"/>
    <w:rsid w:val="008414E5"/>
    <w:rsid w:val="00841D1A"/>
    <w:rsid w:val="008420D4"/>
    <w:rsid w:val="00842785"/>
    <w:rsid w:val="00842AF1"/>
    <w:rsid w:val="00842E94"/>
    <w:rsid w:val="00843606"/>
    <w:rsid w:val="00847295"/>
    <w:rsid w:val="00847F9D"/>
    <w:rsid w:val="00850607"/>
    <w:rsid w:val="00850E0B"/>
    <w:rsid w:val="008522A7"/>
    <w:rsid w:val="008541F0"/>
    <w:rsid w:val="00855A7A"/>
    <w:rsid w:val="008560E7"/>
    <w:rsid w:val="00856F71"/>
    <w:rsid w:val="00861316"/>
    <w:rsid w:val="00863623"/>
    <w:rsid w:val="008643C8"/>
    <w:rsid w:val="00864F9A"/>
    <w:rsid w:val="00865092"/>
    <w:rsid w:val="008653A9"/>
    <w:rsid w:val="008711A6"/>
    <w:rsid w:val="00871462"/>
    <w:rsid w:val="008719B7"/>
    <w:rsid w:val="00871A72"/>
    <w:rsid w:val="00871CF6"/>
    <w:rsid w:val="008725B4"/>
    <w:rsid w:val="00873729"/>
    <w:rsid w:val="00873B0C"/>
    <w:rsid w:val="008755BF"/>
    <w:rsid w:val="00875DB7"/>
    <w:rsid w:val="00876FB0"/>
    <w:rsid w:val="0088079D"/>
    <w:rsid w:val="00881FA4"/>
    <w:rsid w:val="00882099"/>
    <w:rsid w:val="008820A5"/>
    <w:rsid w:val="00882217"/>
    <w:rsid w:val="00884552"/>
    <w:rsid w:val="008869F0"/>
    <w:rsid w:val="00886A3B"/>
    <w:rsid w:val="00887356"/>
    <w:rsid w:val="00894C37"/>
    <w:rsid w:val="008956F7"/>
    <w:rsid w:val="00895F11"/>
    <w:rsid w:val="00896915"/>
    <w:rsid w:val="00896F7C"/>
    <w:rsid w:val="008972E1"/>
    <w:rsid w:val="00897DC5"/>
    <w:rsid w:val="008A050A"/>
    <w:rsid w:val="008A078B"/>
    <w:rsid w:val="008A0E86"/>
    <w:rsid w:val="008A22CA"/>
    <w:rsid w:val="008A4084"/>
    <w:rsid w:val="008A51C0"/>
    <w:rsid w:val="008A52DC"/>
    <w:rsid w:val="008A59A5"/>
    <w:rsid w:val="008A5DC9"/>
    <w:rsid w:val="008A79CE"/>
    <w:rsid w:val="008B07AC"/>
    <w:rsid w:val="008B0FBC"/>
    <w:rsid w:val="008B124C"/>
    <w:rsid w:val="008B141C"/>
    <w:rsid w:val="008B20DE"/>
    <w:rsid w:val="008B2267"/>
    <w:rsid w:val="008B3936"/>
    <w:rsid w:val="008B482F"/>
    <w:rsid w:val="008B5B62"/>
    <w:rsid w:val="008B7593"/>
    <w:rsid w:val="008B7963"/>
    <w:rsid w:val="008C1D48"/>
    <w:rsid w:val="008C25FC"/>
    <w:rsid w:val="008C2772"/>
    <w:rsid w:val="008C359A"/>
    <w:rsid w:val="008C5D29"/>
    <w:rsid w:val="008C7387"/>
    <w:rsid w:val="008C7CE3"/>
    <w:rsid w:val="008D26D1"/>
    <w:rsid w:val="008D4737"/>
    <w:rsid w:val="008D52F4"/>
    <w:rsid w:val="008D590C"/>
    <w:rsid w:val="008D6A3A"/>
    <w:rsid w:val="008E1309"/>
    <w:rsid w:val="008E1EB7"/>
    <w:rsid w:val="008E24A2"/>
    <w:rsid w:val="008E2AE7"/>
    <w:rsid w:val="008E38DB"/>
    <w:rsid w:val="008E3BAD"/>
    <w:rsid w:val="008E43C5"/>
    <w:rsid w:val="008E449C"/>
    <w:rsid w:val="008E5DF8"/>
    <w:rsid w:val="008E5ED3"/>
    <w:rsid w:val="008F39BB"/>
    <w:rsid w:val="008F4062"/>
    <w:rsid w:val="008F49A7"/>
    <w:rsid w:val="008F5796"/>
    <w:rsid w:val="008F5D37"/>
    <w:rsid w:val="008F6C43"/>
    <w:rsid w:val="00900838"/>
    <w:rsid w:val="00900E30"/>
    <w:rsid w:val="009037CF"/>
    <w:rsid w:val="009037E2"/>
    <w:rsid w:val="00903849"/>
    <w:rsid w:val="00903A76"/>
    <w:rsid w:val="00903C2C"/>
    <w:rsid w:val="009046E4"/>
    <w:rsid w:val="0090472D"/>
    <w:rsid w:val="009049D9"/>
    <w:rsid w:val="00904B57"/>
    <w:rsid w:val="00905A76"/>
    <w:rsid w:val="009061F4"/>
    <w:rsid w:val="00907C2E"/>
    <w:rsid w:val="009104B8"/>
    <w:rsid w:val="00910D2F"/>
    <w:rsid w:val="00910ECA"/>
    <w:rsid w:val="00910F88"/>
    <w:rsid w:val="00911C1D"/>
    <w:rsid w:val="009123CD"/>
    <w:rsid w:val="00913B3A"/>
    <w:rsid w:val="00914749"/>
    <w:rsid w:val="00914E44"/>
    <w:rsid w:val="00915057"/>
    <w:rsid w:val="0091541A"/>
    <w:rsid w:val="00915EDD"/>
    <w:rsid w:val="009160D3"/>
    <w:rsid w:val="0092037B"/>
    <w:rsid w:val="00920823"/>
    <w:rsid w:val="00922C00"/>
    <w:rsid w:val="00923ED8"/>
    <w:rsid w:val="0092470D"/>
    <w:rsid w:val="00925936"/>
    <w:rsid w:val="00925A8D"/>
    <w:rsid w:val="009319CB"/>
    <w:rsid w:val="00934D5D"/>
    <w:rsid w:val="00936860"/>
    <w:rsid w:val="00936A50"/>
    <w:rsid w:val="00940BF9"/>
    <w:rsid w:val="00940E8D"/>
    <w:rsid w:val="009420C1"/>
    <w:rsid w:val="009432EE"/>
    <w:rsid w:val="009433A2"/>
    <w:rsid w:val="00943802"/>
    <w:rsid w:val="009439FD"/>
    <w:rsid w:val="0094512F"/>
    <w:rsid w:val="00945145"/>
    <w:rsid w:val="00945BA0"/>
    <w:rsid w:val="0094615C"/>
    <w:rsid w:val="00947519"/>
    <w:rsid w:val="009503DD"/>
    <w:rsid w:val="00950CCE"/>
    <w:rsid w:val="0095143F"/>
    <w:rsid w:val="009524AF"/>
    <w:rsid w:val="009529F9"/>
    <w:rsid w:val="009533FE"/>
    <w:rsid w:val="009552A6"/>
    <w:rsid w:val="00956314"/>
    <w:rsid w:val="00957951"/>
    <w:rsid w:val="009605F6"/>
    <w:rsid w:val="00960E80"/>
    <w:rsid w:val="009610E3"/>
    <w:rsid w:val="00961351"/>
    <w:rsid w:val="009619CF"/>
    <w:rsid w:val="00963A2F"/>
    <w:rsid w:val="0096435C"/>
    <w:rsid w:val="00965868"/>
    <w:rsid w:val="00965C1E"/>
    <w:rsid w:val="0097190F"/>
    <w:rsid w:val="00975FD5"/>
    <w:rsid w:val="00976E5C"/>
    <w:rsid w:val="00981EF5"/>
    <w:rsid w:val="009838BF"/>
    <w:rsid w:val="0098439E"/>
    <w:rsid w:val="00984A69"/>
    <w:rsid w:val="0098556D"/>
    <w:rsid w:val="00990565"/>
    <w:rsid w:val="00990825"/>
    <w:rsid w:val="00992526"/>
    <w:rsid w:val="0099287D"/>
    <w:rsid w:val="009933B1"/>
    <w:rsid w:val="0099384A"/>
    <w:rsid w:val="009944BD"/>
    <w:rsid w:val="00994609"/>
    <w:rsid w:val="00994B9F"/>
    <w:rsid w:val="009958D6"/>
    <w:rsid w:val="00996280"/>
    <w:rsid w:val="0099745C"/>
    <w:rsid w:val="00997864"/>
    <w:rsid w:val="00997C03"/>
    <w:rsid w:val="009A0545"/>
    <w:rsid w:val="009A0EFF"/>
    <w:rsid w:val="009A1463"/>
    <w:rsid w:val="009A31A1"/>
    <w:rsid w:val="009A3390"/>
    <w:rsid w:val="009A4C3F"/>
    <w:rsid w:val="009A59FE"/>
    <w:rsid w:val="009A6C46"/>
    <w:rsid w:val="009A6EF9"/>
    <w:rsid w:val="009A7338"/>
    <w:rsid w:val="009A74F3"/>
    <w:rsid w:val="009A776A"/>
    <w:rsid w:val="009B0660"/>
    <w:rsid w:val="009B1572"/>
    <w:rsid w:val="009B173A"/>
    <w:rsid w:val="009B181C"/>
    <w:rsid w:val="009B1A47"/>
    <w:rsid w:val="009B26E3"/>
    <w:rsid w:val="009B27B1"/>
    <w:rsid w:val="009B2B66"/>
    <w:rsid w:val="009B2F1F"/>
    <w:rsid w:val="009B3C16"/>
    <w:rsid w:val="009B44C5"/>
    <w:rsid w:val="009B60AD"/>
    <w:rsid w:val="009B6373"/>
    <w:rsid w:val="009B6D67"/>
    <w:rsid w:val="009C1067"/>
    <w:rsid w:val="009C2004"/>
    <w:rsid w:val="009C2885"/>
    <w:rsid w:val="009C3208"/>
    <w:rsid w:val="009C46BE"/>
    <w:rsid w:val="009C5261"/>
    <w:rsid w:val="009C5629"/>
    <w:rsid w:val="009C5C80"/>
    <w:rsid w:val="009C6229"/>
    <w:rsid w:val="009C6482"/>
    <w:rsid w:val="009C69D0"/>
    <w:rsid w:val="009C6DEB"/>
    <w:rsid w:val="009C6EC5"/>
    <w:rsid w:val="009D0315"/>
    <w:rsid w:val="009D079E"/>
    <w:rsid w:val="009D1B09"/>
    <w:rsid w:val="009D20C9"/>
    <w:rsid w:val="009D3458"/>
    <w:rsid w:val="009D38C7"/>
    <w:rsid w:val="009D3A04"/>
    <w:rsid w:val="009D7524"/>
    <w:rsid w:val="009E2D70"/>
    <w:rsid w:val="009E4AAF"/>
    <w:rsid w:val="009E5019"/>
    <w:rsid w:val="009E51A8"/>
    <w:rsid w:val="009E6B93"/>
    <w:rsid w:val="009E794A"/>
    <w:rsid w:val="009F0215"/>
    <w:rsid w:val="009F0218"/>
    <w:rsid w:val="009F0E08"/>
    <w:rsid w:val="009F13CB"/>
    <w:rsid w:val="009F17CE"/>
    <w:rsid w:val="009F4C08"/>
    <w:rsid w:val="009F7BC0"/>
    <w:rsid w:val="00A00D9F"/>
    <w:rsid w:val="00A015AD"/>
    <w:rsid w:val="00A01E1A"/>
    <w:rsid w:val="00A01E22"/>
    <w:rsid w:val="00A02692"/>
    <w:rsid w:val="00A02E7C"/>
    <w:rsid w:val="00A02EA2"/>
    <w:rsid w:val="00A03748"/>
    <w:rsid w:val="00A04D77"/>
    <w:rsid w:val="00A063D2"/>
    <w:rsid w:val="00A06A3B"/>
    <w:rsid w:val="00A07ADB"/>
    <w:rsid w:val="00A10792"/>
    <w:rsid w:val="00A111C8"/>
    <w:rsid w:val="00A12467"/>
    <w:rsid w:val="00A127A4"/>
    <w:rsid w:val="00A12931"/>
    <w:rsid w:val="00A12B39"/>
    <w:rsid w:val="00A12BB2"/>
    <w:rsid w:val="00A1320C"/>
    <w:rsid w:val="00A13852"/>
    <w:rsid w:val="00A140D8"/>
    <w:rsid w:val="00A15DBD"/>
    <w:rsid w:val="00A1731D"/>
    <w:rsid w:val="00A17ACC"/>
    <w:rsid w:val="00A221E8"/>
    <w:rsid w:val="00A23A0C"/>
    <w:rsid w:val="00A260B7"/>
    <w:rsid w:val="00A2634D"/>
    <w:rsid w:val="00A279E2"/>
    <w:rsid w:val="00A3152F"/>
    <w:rsid w:val="00A31A2E"/>
    <w:rsid w:val="00A31BCE"/>
    <w:rsid w:val="00A339BA"/>
    <w:rsid w:val="00A3457A"/>
    <w:rsid w:val="00A34FB0"/>
    <w:rsid w:val="00A36E23"/>
    <w:rsid w:val="00A40BC3"/>
    <w:rsid w:val="00A42EBA"/>
    <w:rsid w:val="00A43BBB"/>
    <w:rsid w:val="00A46956"/>
    <w:rsid w:val="00A472F9"/>
    <w:rsid w:val="00A508B3"/>
    <w:rsid w:val="00A5153F"/>
    <w:rsid w:val="00A52EC0"/>
    <w:rsid w:val="00A53915"/>
    <w:rsid w:val="00A55832"/>
    <w:rsid w:val="00A5673B"/>
    <w:rsid w:val="00A60AA5"/>
    <w:rsid w:val="00A619F2"/>
    <w:rsid w:val="00A631DA"/>
    <w:rsid w:val="00A639A3"/>
    <w:rsid w:val="00A641C0"/>
    <w:rsid w:val="00A650EC"/>
    <w:rsid w:val="00A654E8"/>
    <w:rsid w:val="00A65D8D"/>
    <w:rsid w:val="00A67216"/>
    <w:rsid w:val="00A67608"/>
    <w:rsid w:val="00A7057A"/>
    <w:rsid w:val="00A706C7"/>
    <w:rsid w:val="00A7089A"/>
    <w:rsid w:val="00A70C20"/>
    <w:rsid w:val="00A71784"/>
    <w:rsid w:val="00A72708"/>
    <w:rsid w:val="00A727EC"/>
    <w:rsid w:val="00A72C16"/>
    <w:rsid w:val="00A72E42"/>
    <w:rsid w:val="00A7322D"/>
    <w:rsid w:val="00A7444A"/>
    <w:rsid w:val="00A745F3"/>
    <w:rsid w:val="00A7512B"/>
    <w:rsid w:val="00A76948"/>
    <w:rsid w:val="00A7785E"/>
    <w:rsid w:val="00A77F00"/>
    <w:rsid w:val="00A822F3"/>
    <w:rsid w:val="00A843AB"/>
    <w:rsid w:val="00A86F0E"/>
    <w:rsid w:val="00A87774"/>
    <w:rsid w:val="00A877C9"/>
    <w:rsid w:val="00A878A8"/>
    <w:rsid w:val="00A910C2"/>
    <w:rsid w:val="00A92FE3"/>
    <w:rsid w:val="00A972CF"/>
    <w:rsid w:val="00AA0C49"/>
    <w:rsid w:val="00AA0DE9"/>
    <w:rsid w:val="00AA1597"/>
    <w:rsid w:val="00AA20F9"/>
    <w:rsid w:val="00AA3799"/>
    <w:rsid w:val="00AA3BC7"/>
    <w:rsid w:val="00AA486F"/>
    <w:rsid w:val="00AA4C3D"/>
    <w:rsid w:val="00AA6261"/>
    <w:rsid w:val="00AA6E69"/>
    <w:rsid w:val="00AA6EBD"/>
    <w:rsid w:val="00AA78D0"/>
    <w:rsid w:val="00AA7951"/>
    <w:rsid w:val="00AA7A09"/>
    <w:rsid w:val="00AB214E"/>
    <w:rsid w:val="00AB5272"/>
    <w:rsid w:val="00AB5AF7"/>
    <w:rsid w:val="00AB67D3"/>
    <w:rsid w:val="00AB6AA3"/>
    <w:rsid w:val="00AB7C91"/>
    <w:rsid w:val="00AB7DFE"/>
    <w:rsid w:val="00AC162D"/>
    <w:rsid w:val="00AC17A2"/>
    <w:rsid w:val="00AC4CD2"/>
    <w:rsid w:val="00AC7F9D"/>
    <w:rsid w:val="00AD063A"/>
    <w:rsid w:val="00AD1CC9"/>
    <w:rsid w:val="00AD230C"/>
    <w:rsid w:val="00AD394C"/>
    <w:rsid w:val="00AD3FFD"/>
    <w:rsid w:val="00AD40F7"/>
    <w:rsid w:val="00AD4515"/>
    <w:rsid w:val="00AD55BF"/>
    <w:rsid w:val="00AD5A21"/>
    <w:rsid w:val="00AD6EA1"/>
    <w:rsid w:val="00AE230C"/>
    <w:rsid w:val="00AE29ED"/>
    <w:rsid w:val="00AE39D6"/>
    <w:rsid w:val="00AE3C03"/>
    <w:rsid w:val="00AE3D4C"/>
    <w:rsid w:val="00AE3F92"/>
    <w:rsid w:val="00AE5E70"/>
    <w:rsid w:val="00AE5F3E"/>
    <w:rsid w:val="00AE7575"/>
    <w:rsid w:val="00AF1907"/>
    <w:rsid w:val="00AF25C1"/>
    <w:rsid w:val="00AF3010"/>
    <w:rsid w:val="00AF3696"/>
    <w:rsid w:val="00AF3DC7"/>
    <w:rsid w:val="00AF45F4"/>
    <w:rsid w:val="00AF480C"/>
    <w:rsid w:val="00AF5693"/>
    <w:rsid w:val="00AF5826"/>
    <w:rsid w:val="00AF5898"/>
    <w:rsid w:val="00AF62E8"/>
    <w:rsid w:val="00AF7ACC"/>
    <w:rsid w:val="00B0206F"/>
    <w:rsid w:val="00B0258C"/>
    <w:rsid w:val="00B027B3"/>
    <w:rsid w:val="00B0349E"/>
    <w:rsid w:val="00B03788"/>
    <w:rsid w:val="00B059CD"/>
    <w:rsid w:val="00B07962"/>
    <w:rsid w:val="00B07DC1"/>
    <w:rsid w:val="00B07DF5"/>
    <w:rsid w:val="00B1058E"/>
    <w:rsid w:val="00B11E5B"/>
    <w:rsid w:val="00B123C3"/>
    <w:rsid w:val="00B123F3"/>
    <w:rsid w:val="00B129D7"/>
    <w:rsid w:val="00B12F34"/>
    <w:rsid w:val="00B13129"/>
    <w:rsid w:val="00B13D96"/>
    <w:rsid w:val="00B13EDA"/>
    <w:rsid w:val="00B140B0"/>
    <w:rsid w:val="00B14942"/>
    <w:rsid w:val="00B14C67"/>
    <w:rsid w:val="00B15479"/>
    <w:rsid w:val="00B15ECB"/>
    <w:rsid w:val="00B16166"/>
    <w:rsid w:val="00B16546"/>
    <w:rsid w:val="00B2005E"/>
    <w:rsid w:val="00B2079D"/>
    <w:rsid w:val="00B2112D"/>
    <w:rsid w:val="00B21BCF"/>
    <w:rsid w:val="00B21E7D"/>
    <w:rsid w:val="00B22D8A"/>
    <w:rsid w:val="00B234B7"/>
    <w:rsid w:val="00B23CF3"/>
    <w:rsid w:val="00B2444C"/>
    <w:rsid w:val="00B245CC"/>
    <w:rsid w:val="00B2572A"/>
    <w:rsid w:val="00B25998"/>
    <w:rsid w:val="00B26A7E"/>
    <w:rsid w:val="00B279C5"/>
    <w:rsid w:val="00B27CD5"/>
    <w:rsid w:val="00B300CD"/>
    <w:rsid w:val="00B32435"/>
    <w:rsid w:val="00B32B8E"/>
    <w:rsid w:val="00B3301E"/>
    <w:rsid w:val="00B33450"/>
    <w:rsid w:val="00B33487"/>
    <w:rsid w:val="00B33CD5"/>
    <w:rsid w:val="00B355FC"/>
    <w:rsid w:val="00B35666"/>
    <w:rsid w:val="00B41A33"/>
    <w:rsid w:val="00B4296F"/>
    <w:rsid w:val="00B4354F"/>
    <w:rsid w:val="00B44D6C"/>
    <w:rsid w:val="00B44DE6"/>
    <w:rsid w:val="00B465C2"/>
    <w:rsid w:val="00B46CA9"/>
    <w:rsid w:val="00B47969"/>
    <w:rsid w:val="00B50B53"/>
    <w:rsid w:val="00B52AA3"/>
    <w:rsid w:val="00B53FEA"/>
    <w:rsid w:val="00B56022"/>
    <w:rsid w:val="00B56984"/>
    <w:rsid w:val="00B56B16"/>
    <w:rsid w:val="00B57C44"/>
    <w:rsid w:val="00B619AF"/>
    <w:rsid w:val="00B62134"/>
    <w:rsid w:val="00B64B00"/>
    <w:rsid w:val="00B664C7"/>
    <w:rsid w:val="00B67F98"/>
    <w:rsid w:val="00B724E2"/>
    <w:rsid w:val="00B72504"/>
    <w:rsid w:val="00B74496"/>
    <w:rsid w:val="00B7462E"/>
    <w:rsid w:val="00B74E46"/>
    <w:rsid w:val="00B769B9"/>
    <w:rsid w:val="00B7746A"/>
    <w:rsid w:val="00B778AC"/>
    <w:rsid w:val="00B8065B"/>
    <w:rsid w:val="00B841EA"/>
    <w:rsid w:val="00B84B98"/>
    <w:rsid w:val="00B84D57"/>
    <w:rsid w:val="00B84F56"/>
    <w:rsid w:val="00B85D94"/>
    <w:rsid w:val="00B86C1A"/>
    <w:rsid w:val="00B8749A"/>
    <w:rsid w:val="00B90ED0"/>
    <w:rsid w:val="00B90F94"/>
    <w:rsid w:val="00B91361"/>
    <w:rsid w:val="00B92400"/>
    <w:rsid w:val="00B92BF4"/>
    <w:rsid w:val="00B93324"/>
    <w:rsid w:val="00B9359A"/>
    <w:rsid w:val="00B9582E"/>
    <w:rsid w:val="00B964CC"/>
    <w:rsid w:val="00B971C0"/>
    <w:rsid w:val="00B97BCA"/>
    <w:rsid w:val="00BA13BC"/>
    <w:rsid w:val="00BA364A"/>
    <w:rsid w:val="00BA48CC"/>
    <w:rsid w:val="00BA5E1A"/>
    <w:rsid w:val="00BA6D40"/>
    <w:rsid w:val="00BA7F13"/>
    <w:rsid w:val="00BB0994"/>
    <w:rsid w:val="00BB31D3"/>
    <w:rsid w:val="00BB3BC1"/>
    <w:rsid w:val="00BB4471"/>
    <w:rsid w:val="00BB4CB8"/>
    <w:rsid w:val="00BB5CA1"/>
    <w:rsid w:val="00BB7C1D"/>
    <w:rsid w:val="00BC03CF"/>
    <w:rsid w:val="00BC2241"/>
    <w:rsid w:val="00BC2962"/>
    <w:rsid w:val="00BC3212"/>
    <w:rsid w:val="00BC3819"/>
    <w:rsid w:val="00BC3C54"/>
    <w:rsid w:val="00BC6071"/>
    <w:rsid w:val="00BD087B"/>
    <w:rsid w:val="00BD1DE9"/>
    <w:rsid w:val="00BD1F73"/>
    <w:rsid w:val="00BD37BA"/>
    <w:rsid w:val="00BD3E7C"/>
    <w:rsid w:val="00BD4C75"/>
    <w:rsid w:val="00BD6238"/>
    <w:rsid w:val="00BD719D"/>
    <w:rsid w:val="00BE039E"/>
    <w:rsid w:val="00BE0C26"/>
    <w:rsid w:val="00BE0DB2"/>
    <w:rsid w:val="00BE484E"/>
    <w:rsid w:val="00BF07EB"/>
    <w:rsid w:val="00BF36BA"/>
    <w:rsid w:val="00BF4C79"/>
    <w:rsid w:val="00BF53A0"/>
    <w:rsid w:val="00BF6433"/>
    <w:rsid w:val="00C0042F"/>
    <w:rsid w:val="00C007BC"/>
    <w:rsid w:val="00C02A1E"/>
    <w:rsid w:val="00C03EE3"/>
    <w:rsid w:val="00C04633"/>
    <w:rsid w:val="00C048FD"/>
    <w:rsid w:val="00C049BF"/>
    <w:rsid w:val="00C04F70"/>
    <w:rsid w:val="00C0522D"/>
    <w:rsid w:val="00C069A5"/>
    <w:rsid w:val="00C06D67"/>
    <w:rsid w:val="00C070C0"/>
    <w:rsid w:val="00C10DD5"/>
    <w:rsid w:val="00C1148B"/>
    <w:rsid w:val="00C12465"/>
    <w:rsid w:val="00C13309"/>
    <w:rsid w:val="00C137EA"/>
    <w:rsid w:val="00C14295"/>
    <w:rsid w:val="00C15DEC"/>
    <w:rsid w:val="00C16914"/>
    <w:rsid w:val="00C16A34"/>
    <w:rsid w:val="00C16A60"/>
    <w:rsid w:val="00C17CCA"/>
    <w:rsid w:val="00C20ACC"/>
    <w:rsid w:val="00C20BEF"/>
    <w:rsid w:val="00C21815"/>
    <w:rsid w:val="00C22867"/>
    <w:rsid w:val="00C2305F"/>
    <w:rsid w:val="00C23339"/>
    <w:rsid w:val="00C23DF6"/>
    <w:rsid w:val="00C24005"/>
    <w:rsid w:val="00C251E8"/>
    <w:rsid w:val="00C2613B"/>
    <w:rsid w:val="00C263F3"/>
    <w:rsid w:val="00C26514"/>
    <w:rsid w:val="00C26628"/>
    <w:rsid w:val="00C31D1E"/>
    <w:rsid w:val="00C35AC9"/>
    <w:rsid w:val="00C36AA8"/>
    <w:rsid w:val="00C36C32"/>
    <w:rsid w:val="00C36F5C"/>
    <w:rsid w:val="00C37460"/>
    <w:rsid w:val="00C40037"/>
    <w:rsid w:val="00C402C1"/>
    <w:rsid w:val="00C40C56"/>
    <w:rsid w:val="00C412CC"/>
    <w:rsid w:val="00C42527"/>
    <w:rsid w:val="00C43769"/>
    <w:rsid w:val="00C43CC9"/>
    <w:rsid w:val="00C4441F"/>
    <w:rsid w:val="00C45EFE"/>
    <w:rsid w:val="00C47F77"/>
    <w:rsid w:val="00C504D7"/>
    <w:rsid w:val="00C50ADC"/>
    <w:rsid w:val="00C50AE7"/>
    <w:rsid w:val="00C51148"/>
    <w:rsid w:val="00C511DB"/>
    <w:rsid w:val="00C5179F"/>
    <w:rsid w:val="00C51F4C"/>
    <w:rsid w:val="00C52DFC"/>
    <w:rsid w:val="00C539C2"/>
    <w:rsid w:val="00C568C8"/>
    <w:rsid w:val="00C57099"/>
    <w:rsid w:val="00C57ABE"/>
    <w:rsid w:val="00C61561"/>
    <w:rsid w:val="00C63465"/>
    <w:rsid w:val="00C663C4"/>
    <w:rsid w:val="00C66517"/>
    <w:rsid w:val="00C67E4C"/>
    <w:rsid w:val="00C67E92"/>
    <w:rsid w:val="00C706A2"/>
    <w:rsid w:val="00C71FBB"/>
    <w:rsid w:val="00C74BC1"/>
    <w:rsid w:val="00C75721"/>
    <w:rsid w:val="00C75909"/>
    <w:rsid w:val="00C778A1"/>
    <w:rsid w:val="00C80D68"/>
    <w:rsid w:val="00C8143E"/>
    <w:rsid w:val="00C82EE5"/>
    <w:rsid w:val="00C8520B"/>
    <w:rsid w:val="00C8635C"/>
    <w:rsid w:val="00C8639B"/>
    <w:rsid w:val="00C86663"/>
    <w:rsid w:val="00C87525"/>
    <w:rsid w:val="00C87A02"/>
    <w:rsid w:val="00C87A56"/>
    <w:rsid w:val="00C90699"/>
    <w:rsid w:val="00C915BA"/>
    <w:rsid w:val="00C92618"/>
    <w:rsid w:val="00C92DF9"/>
    <w:rsid w:val="00C943A2"/>
    <w:rsid w:val="00C94A79"/>
    <w:rsid w:val="00C95112"/>
    <w:rsid w:val="00C9539C"/>
    <w:rsid w:val="00C955EE"/>
    <w:rsid w:val="00C97828"/>
    <w:rsid w:val="00CA3D1A"/>
    <w:rsid w:val="00CA48BD"/>
    <w:rsid w:val="00CA4AB4"/>
    <w:rsid w:val="00CA5873"/>
    <w:rsid w:val="00CA5CA6"/>
    <w:rsid w:val="00CA7EC1"/>
    <w:rsid w:val="00CB13CE"/>
    <w:rsid w:val="00CB146F"/>
    <w:rsid w:val="00CB224E"/>
    <w:rsid w:val="00CB3D90"/>
    <w:rsid w:val="00CB4269"/>
    <w:rsid w:val="00CB4A19"/>
    <w:rsid w:val="00CB62E0"/>
    <w:rsid w:val="00CB6601"/>
    <w:rsid w:val="00CB6DA5"/>
    <w:rsid w:val="00CC0BD7"/>
    <w:rsid w:val="00CC3A7E"/>
    <w:rsid w:val="00CC3E58"/>
    <w:rsid w:val="00CC40E8"/>
    <w:rsid w:val="00CD1232"/>
    <w:rsid w:val="00CD1275"/>
    <w:rsid w:val="00CD5158"/>
    <w:rsid w:val="00CD5AFC"/>
    <w:rsid w:val="00CD67BA"/>
    <w:rsid w:val="00CD6AC9"/>
    <w:rsid w:val="00CD6F0A"/>
    <w:rsid w:val="00CD7E3A"/>
    <w:rsid w:val="00CE00BB"/>
    <w:rsid w:val="00CE0316"/>
    <w:rsid w:val="00CE03E1"/>
    <w:rsid w:val="00CE0B14"/>
    <w:rsid w:val="00CE19FE"/>
    <w:rsid w:val="00CE39FE"/>
    <w:rsid w:val="00CE752B"/>
    <w:rsid w:val="00CE7AEE"/>
    <w:rsid w:val="00CF00C7"/>
    <w:rsid w:val="00CF01FB"/>
    <w:rsid w:val="00CF1718"/>
    <w:rsid w:val="00CF3777"/>
    <w:rsid w:val="00CF422D"/>
    <w:rsid w:val="00CF45E7"/>
    <w:rsid w:val="00CF6022"/>
    <w:rsid w:val="00CF6F75"/>
    <w:rsid w:val="00CF7C41"/>
    <w:rsid w:val="00D00F76"/>
    <w:rsid w:val="00D017CC"/>
    <w:rsid w:val="00D01B79"/>
    <w:rsid w:val="00D022FB"/>
    <w:rsid w:val="00D0248A"/>
    <w:rsid w:val="00D0297F"/>
    <w:rsid w:val="00D03016"/>
    <w:rsid w:val="00D04136"/>
    <w:rsid w:val="00D044C6"/>
    <w:rsid w:val="00D07661"/>
    <w:rsid w:val="00D076DD"/>
    <w:rsid w:val="00D07A6D"/>
    <w:rsid w:val="00D101D6"/>
    <w:rsid w:val="00D1039D"/>
    <w:rsid w:val="00D10D08"/>
    <w:rsid w:val="00D113C2"/>
    <w:rsid w:val="00D13914"/>
    <w:rsid w:val="00D14535"/>
    <w:rsid w:val="00D14F18"/>
    <w:rsid w:val="00D17B0C"/>
    <w:rsid w:val="00D207DB"/>
    <w:rsid w:val="00D21EFA"/>
    <w:rsid w:val="00D227A5"/>
    <w:rsid w:val="00D22B5C"/>
    <w:rsid w:val="00D23322"/>
    <w:rsid w:val="00D254FB"/>
    <w:rsid w:val="00D27607"/>
    <w:rsid w:val="00D31200"/>
    <w:rsid w:val="00D31281"/>
    <w:rsid w:val="00D32013"/>
    <w:rsid w:val="00D32838"/>
    <w:rsid w:val="00D33865"/>
    <w:rsid w:val="00D33C0E"/>
    <w:rsid w:val="00D342D1"/>
    <w:rsid w:val="00D34808"/>
    <w:rsid w:val="00D364B1"/>
    <w:rsid w:val="00D3750E"/>
    <w:rsid w:val="00D40415"/>
    <w:rsid w:val="00D40A02"/>
    <w:rsid w:val="00D411CF"/>
    <w:rsid w:val="00D42567"/>
    <w:rsid w:val="00D42699"/>
    <w:rsid w:val="00D42846"/>
    <w:rsid w:val="00D42DE8"/>
    <w:rsid w:val="00D43E21"/>
    <w:rsid w:val="00D453AC"/>
    <w:rsid w:val="00D45490"/>
    <w:rsid w:val="00D45550"/>
    <w:rsid w:val="00D503FA"/>
    <w:rsid w:val="00D51CC0"/>
    <w:rsid w:val="00D51FDA"/>
    <w:rsid w:val="00D5435D"/>
    <w:rsid w:val="00D5453A"/>
    <w:rsid w:val="00D548E5"/>
    <w:rsid w:val="00D56AF8"/>
    <w:rsid w:val="00D57B3F"/>
    <w:rsid w:val="00D57CAA"/>
    <w:rsid w:val="00D608E9"/>
    <w:rsid w:val="00D61841"/>
    <w:rsid w:val="00D61A77"/>
    <w:rsid w:val="00D64451"/>
    <w:rsid w:val="00D64BCC"/>
    <w:rsid w:val="00D6711C"/>
    <w:rsid w:val="00D70CD0"/>
    <w:rsid w:val="00D724EF"/>
    <w:rsid w:val="00D74B7E"/>
    <w:rsid w:val="00D75095"/>
    <w:rsid w:val="00D764E6"/>
    <w:rsid w:val="00D77E66"/>
    <w:rsid w:val="00D80A98"/>
    <w:rsid w:val="00D81B06"/>
    <w:rsid w:val="00D835F0"/>
    <w:rsid w:val="00D8652E"/>
    <w:rsid w:val="00D86856"/>
    <w:rsid w:val="00D922F9"/>
    <w:rsid w:val="00D926CB"/>
    <w:rsid w:val="00D92A91"/>
    <w:rsid w:val="00D92F9F"/>
    <w:rsid w:val="00D936EA"/>
    <w:rsid w:val="00D97DD8"/>
    <w:rsid w:val="00DA007A"/>
    <w:rsid w:val="00DA0F31"/>
    <w:rsid w:val="00DA14FB"/>
    <w:rsid w:val="00DA2033"/>
    <w:rsid w:val="00DA28B0"/>
    <w:rsid w:val="00DA3348"/>
    <w:rsid w:val="00DA4FCF"/>
    <w:rsid w:val="00DA5D43"/>
    <w:rsid w:val="00DB0880"/>
    <w:rsid w:val="00DB0D34"/>
    <w:rsid w:val="00DB16E0"/>
    <w:rsid w:val="00DB2C75"/>
    <w:rsid w:val="00DB3EFD"/>
    <w:rsid w:val="00DB4154"/>
    <w:rsid w:val="00DB4238"/>
    <w:rsid w:val="00DB42C6"/>
    <w:rsid w:val="00DB42ED"/>
    <w:rsid w:val="00DB47B5"/>
    <w:rsid w:val="00DB57EF"/>
    <w:rsid w:val="00DB5AB6"/>
    <w:rsid w:val="00DB5FC0"/>
    <w:rsid w:val="00DB7563"/>
    <w:rsid w:val="00DC086D"/>
    <w:rsid w:val="00DC22C6"/>
    <w:rsid w:val="00DC2E80"/>
    <w:rsid w:val="00DC41F0"/>
    <w:rsid w:val="00DC4C34"/>
    <w:rsid w:val="00DC4C44"/>
    <w:rsid w:val="00DC60BE"/>
    <w:rsid w:val="00DC6833"/>
    <w:rsid w:val="00DC6B56"/>
    <w:rsid w:val="00DC6D99"/>
    <w:rsid w:val="00DC77B3"/>
    <w:rsid w:val="00DC78D9"/>
    <w:rsid w:val="00DD0E0F"/>
    <w:rsid w:val="00DD106A"/>
    <w:rsid w:val="00DD2F48"/>
    <w:rsid w:val="00DD3F84"/>
    <w:rsid w:val="00DD472A"/>
    <w:rsid w:val="00DD4753"/>
    <w:rsid w:val="00DD47CB"/>
    <w:rsid w:val="00DD48FC"/>
    <w:rsid w:val="00DD5ED1"/>
    <w:rsid w:val="00DD6347"/>
    <w:rsid w:val="00DD6534"/>
    <w:rsid w:val="00DD66B1"/>
    <w:rsid w:val="00DD7BD2"/>
    <w:rsid w:val="00DD7DEF"/>
    <w:rsid w:val="00DE0E7D"/>
    <w:rsid w:val="00DE26BF"/>
    <w:rsid w:val="00DE430A"/>
    <w:rsid w:val="00DE4483"/>
    <w:rsid w:val="00DE484A"/>
    <w:rsid w:val="00DE6D1E"/>
    <w:rsid w:val="00DE7408"/>
    <w:rsid w:val="00DE746B"/>
    <w:rsid w:val="00DF06DE"/>
    <w:rsid w:val="00DF1A5B"/>
    <w:rsid w:val="00DF266C"/>
    <w:rsid w:val="00DF3A5F"/>
    <w:rsid w:val="00DF3B49"/>
    <w:rsid w:val="00DF50FD"/>
    <w:rsid w:val="00DF6CE6"/>
    <w:rsid w:val="00E00836"/>
    <w:rsid w:val="00E008F8"/>
    <w:rsid w:val="00E01699"/>
    <w:rsid w:val="00E0277F"/>
    <w:rsid w:val="00E02AA4"/>
    <w:rsid w:val="00E04588"/>
    <w:rsid w:val="00E045D5"/>
    <w:rsid w:val="00E04B97"/>
    <w:rsid w:val="00E058CC"/>
    <w:rsid w:val="00E062D8"/>
    <w:rsid w:val="00E06613"/>
    <w:rsid w:val="00E07446"/>
    <w:rsid w:val="00E07902"/>
    <w:rsid w:val="00E103A9"/>
    <w:rsid w:val="00E10744"/>
    <w:rsid w:val="00E108D0"/>
    <w:rsid w:val="00E125F2"/>
    <w:rsid w:val="00E128BB"/>
    <w:rsid w:val="00E135B3"/>
    <w:rsid w:val="00E15846"/>
    <w:rsid w:val="00E15DEB"/>
    <w:rsid w:val="00E16B6F"/>
    <w:rsid w:val="00E17A61"/>
    <w:rsid w:val="00E215D2"/>
    <w:rsid w:val="00E22736"/>
    <w:rsid w:val="00E23383"/>
    <w:rsid w:val="00E23C47"/>
    <w:rsid w:val="00E24193"/>
    <w:rsid w:val="00E25F4E"/>
    <w:rsid w:val="00E27D4D"/>
    <w:rsid w:val="00E31095"/>
    <w:rsid w:val="00E32BE8"/>
    <w:rsid w:val="00E34C20"/>
    <w:rsid w:val="00E34E90"/>
    <w:rsid w:val="00E3522D"/>
    <w:rsid w:val="00E35ABE"/>
    <w:rsid w:val="00E36023"/>
    <w:rsid w:val="00E372D7"/>
    <w:rsid w:val="00E377FB"/>
    <w:rsid w:val="00E37F36"/>
    <w:rsid w:val="00E4005B"/>
    <w:rsid w:val="00E403C2"/>
    <w:rsid w:val="00E409B6"/>
    <w:rsid w:val="00E41345"/>
    <w:rsid w:val="00E41693"/>
    <w:rsid w:val="00E4230F"/>
    <w:rsid w:val="00E43012"/>
    <w:rsid w:val="00E44771"/>
    <w:rsid w:val="00E466FF"/>
    <w:rsid w:val="00E504C7"/>
    <w:rsid w:val="00E50D0A"/>
    <w:rsid w:val="00E5164D"/>
    <w:rsid w:val="00E52599"/>
    <w:rsid w:val="00E52A83"/>
    <w:rsid w:val="00E53574"/>
    <w:rsid w:val="00E53715"/>
    <w:rsid w:val="00E53864"/>
    <w:rsid w:val="00E53BFC"/>
    <w:rsid w:val="00E5680E"/>
    <w:rsid w:val="00E56AA4"/>
    <w:rsid w:val="00E60E4A"/>
    <w:rsid w:val="00E614F5"/>
    <w:rsid w:val="00E63AB7"/>
    <w:rsid w:val="00E64C12"/>
    <w:rsid w:val="00E65F99"/>
    <w:rsid w:val="00E66270"/>
    <w:rsid w:val="00E66B5A"/>
    <w:rsid w:val="00E66B76"/>
    <w:rsid w:val="00E67996"/>
    <w:rsid w:val="00E7063C"/>
    <w:rsid w:val="00E70AF6"/>
    <w:rsid w:val="00E71753"/>
    <w:rsid w:val="00E721ED"/>
    <w:rsid w:val="00E726F8"/>
    <w:rsid w:val="00E74ABC"/>
    <w:rsid w:val="00E74DE7"/>
    <w:rsid w:val="00E7510C"/>
    <w:rsid w:val="00E76536"/>
    <w:rsid w:val="00E76F2C"/>
    <w:rsid w:val="00E7712B"/>
    <w:rsid w:val="00E77CC9"/>
    <w:rsid w:val="00E81B1E"/>
    <w:rsid w:val="00E81B78"/>
    <w:rsid w:val="00E82103"/>
    <w:rsid w:val="00E8331C"/>
    <w:rsid w:val="00E836E2"/>
    <w:rsid w:val="00E848A3"/>
    <w:rsid w:val="00E85C1F"/>
    <w:rsid w:val="00E85D9F"/>
    <w:rsid w:val="00E863F5"/>
    <w:rsid w:val="00E865D1"/>
    <w:rsid w:val="00E86BE6"/>
    <w:rsid w:val="00E87191"/>
    <w:rsid w:val="00E90369"/>
    <w:rsid w:val="00E94E33"/>
    <w:rsid w:val="00E9527B"/>
    <w:rsid w:val="00E952FE"/>
    <w:rsid w:val="00E95781"/>
    <w:rsid w:val="00E95C3C"/>
    <w:rsid w:val="00E961E4"/>
    <w:rsid w:val="00E96B53"/>
    <w:rsid w:val="00E96D41"/>
    <w:rsid w:val="00E97020"/>
    <w:rsid w:val="00E9767D"/>
    <w:rsid w:val="00EA1000"/>
    <w:rsid w:val="00EA1912"/>
    <w:rsid w:val="00EA2621"/>
    <w:rsid w:val="00EA279E"/>
    <w:rsid w:val="00EA463B"/>
    <w:rsid w:val="00EA4ECC"/>
    <w:rsid w:val="00EA7004"/>
    <w:rsid w:val="00EB15B9"/>
    <w:rsid w:val="00EB17BC"/>
    <w:rsid w:val="00EB31A1"/>
    <w:rsid w:val="00EB3CFE"/>
    <w:rsid w:val="00EB3D75"/>
    <w:rsid w:val="00EB44F0"/>
    <w:rsid w:val="00EB4CB0"/>
    <w:rsid w:val="00EB5036"/>
    <w:rsid w:val="00EB5EC7"/>
    <w:rsid w:val="00EB6FAF"/>
    <w:rsid w:val="00EB7593"/>
    <w:rsid w:val="00EB77CF"/>
    <w:rsid w:val="00EC2AAF"/>
    <w:rsid w:val="00EC2BE2"/>
    <w:rsid w:val="00EC3880"/>
    <w:rsid w:val="00EC42BD"/>
    <w:rsid w:val="00EC56A8"/>
    <w:rsid w:val="00EC59E6"/>
    <w:rsid w:val="00EC6AD9"/>
    <w:rsid w:val="00EC7095"/>
    <w:rsid w:val="00EC7E30"/>
    <w:rsid w:val="00ED1927"/>
    <w:rsid w:val="00ED19B4"/>
    <w:rsid w:val="00ED1DCF"/>
    <w:rsid w:val="00ED1E5C"/>
    <w:rsid w:val="00ED24A1"/>
    <w:rsid w:val="00ED2CA6"/>
    <w:rsid w:val="00ED35C3"/>
    <w:rsid w:val="00ED4788"/>
    <w:rsid w:val="00ED6819"/>
    <w:rsid w:val="00ED6A7A"/>
    <w:rsid w:val="00ED6C8A"/>
    <w:rsid w:val="00ED715A"/>
    <w:rsid w:val="00ED74BB"/>
    <w:rsid w:val="00EE27A5"/>
    <w:rsid w:val="00EE2D50"/>
    <w:rsid w:val="00EE2ECD"/>
    <w:rsid w:val="00EE36FE"/>
    <w:rsid w:val="00EE37B9"/>
    <w:rsid w:val="00EE40AA"/>
    <w:rsid w:val="00EE4808"/>
    <w:rsid w:val="00EE50AF"/>
    <w:rsid w:val="00EE57DA"/>
    <w:rsid w:val="00EE6780"/>
    <w:rsid w:val="00EE696F"/>
    <w:rsid w:val="00EE6CCA"/>
    <w:rsid w:val="00EF14B0"/>
    <w:rsid w:val="00EF2216"/>
    <w:rsid w:val="00EF2412"/>
    <w:rsid w:val="00EF2A1B"/>
    <w:rsid w:val="00EF2A45"/>
    <w:rsid w:val="00EF5348"/>
    <w:rsid w:val="00EF5C80"/>
    <w:rsid w:val="00EF63B0"/>
    <w:rsid w:val="00EF6B99"/>
    <w:rsid w:val="00EF6CC2"/>
    <w:rsid w:val="00EF79CB"/>
    <w:rsid w:val="00F003E1"/>
    <w:rsid w:val="00F025FC"/>
    <w:rsid w:val="00F04462"/>
    <w:rsid w:val="00F04D79"/>
    <w:rsid w:val="00F067BA"/>
    <w:rsid w:val="00F07077"/>
    <w:rsid w:val="00F076D2"/>
    <w:rsid w:val="00F076F6"/>
    <w:rsid w:val="00F1276A"/>
    <w:rsid w:val="00F12B2B"/>
    <w:rsid w:val="00F13614"/>
    <w:rsid w:val="00F138A2"/>
    <w:rsid w:val="00F138B5"/>
    <w:rsid w:val="00F1428E"/>
    <w:rsid w:val="00F142D7"/>
    <w:rsid w:val="00F14A85"/>
    <w:rsid w:val="00F14CE3"/>
    <w:rsid w:val="00F20057"/>
    <w:rsid w:val="00F2034E"/>
    <w:rsid w:val="00F20BC9"/>
    <w:rsid w:val="00F22540"/>
    <w:rsid w:val="00F22980"/>
    <w:rsid w:val="00F22E4D"/>
    <w:rsid w:val="00F23EB2"/>
    <w:rsid w:val="00F26205"/>
    <w:rsid w:val="00F3441E"/>
    <w:rsid w:val="00F35D03"/>
    <w:rsid w:val="00F35E93"/>
    <w:rsid w:val="00F3603B"/>
    <w:rsid w:val="00F36ED8"/>
    <w:rsid w:val="00F373A9"/>
    <w:rsid w:val="00F409DA"/>
    <w:rsid w:val="00F41090"/>
    <w:rsid w:val="00F42CAE"/>
    <w:rsid w:val="00F43957"/>
    <w:rsid w:val="00F43CCA"/>
    <w:rsid w:val="00F443F7"/>
    <w:rsid w:val="00F44F5B"/>
    <w:rsid w:val="00F45044"/>
    <w:rsid w:val="00F46163"/>
    <w:rsid w:val="00F46C22"/>
    <w:rsid w:val="00F46D41"/>
    <w:rsid w:val="00F46F7A"/>
    <w:rsid w:val="00F47F98"/>
    <w:rsid w:val="00F54D3A"/>
    <w:rsid w:val="00F55481"/>
    <w:rsid w:val="00F565F4"/>
    <w:rsid w:val="00F56CF3"/>
    <w:rsid w:val="00F56E5F"/>
    <w:rsid w:val="00F6112F"/>
    <w:rsid w:val="00F624E0"/>
    <w:rsid w:val="00F624EE"/>
    <w:rsid w:val="00F625CD"/>
    <w:rsid w:val="00F62EAF"/>
    <w:rsid w:val="00F64B5F"/>
    <w:rsid w:val="00F65382"/>
    <w:rsid w:val="00F65EE1"/>
    <w:rsid w:val="00F670B3"/>
    <w:rsid w:val="00F704B2"/>
    <w:rsid w:val="00F72C1A"/>
    <w:rsid w:val="00F73CBE"/>
    <w:rsid w:val="00F73CE7"/>
    <w:rsid w:val="00F745F1"/>
    <w:rsid w:val="00F75C81"/>
    <w:rsid w:val="00F75E17"/>
    <w:rsid w:val="00F7666B"/>
    <w:rsid w:val="00F77B8D"/>
    <w:rsid w:val="00F81025"/>
    <w:rsid w:val="00F81356"/>
    <w:rsid w:val="00F813A2"/>
    <w:rsid w:val="00F821A0"/>
    <w:rsid w:val="00F8259B"/>
    <w:rsid w:val="00F82680"/>
    <w:rsid w:val="00F83174"/>
    <w:rsid w:val="00F83B74"/>
    <w:rsid w:val="00F863F1"/>
    <w:rsid w:val="00F867FC"/>
    <w:rsid w:val="00F86F90"/>
    <w:rsid w:val="00F90EA7"/>
    <w:rsid w:val="00F912D6"/>
    <w:rsid w:val="00F91E88"/>
    <w:rsid w:val="00F9341C"/>
    <w:rsid w:val="00F93CEF"/>
    <w:rsid w:val="00F94473"/>
    <w:rsid w:val="00F945A4"/>
    <w:rsid w:val="00FA00B9"/>
    <w:rsid w:val="00FA0291"/>
    <w:rsid w:val="00FA1249"/>
    <w:rsid w:val="00FA251D"/>
    <w:rsid w:val="00FA2635"/>
    <w:rsid w:val="00FA29C5"/>
    <w:rsid w:val="00FA314A"/>
    <w:rsid w:val="00FA4761"/>
    <w:rsid w:val="00FA6425"/>
    <w:rsid w:val="00FB03BE"/>
    <w:rsid w:val="00FB187B"/>
    <w:rsid w:val="00FB2B7C"/>
    <w:rsid w:val="00FB32C6"/>
    <w:rsid w:val="00FB35DE"/>
    <w:rsid w:val="00FB3935"/>
    <w:rsid w:val="00FB3C55"/>
    <w:rsid w:val="00FB5103"/>
    <w:rsid w:val="00FB58B2"/>
    <w:rsid w:val="00FB5A22"/>
    <w:rsid w:val="00FB5DC2"/>
    <w:rsid w:val="00FC1302"/>
    <w:rsid w:val="00FC34BB"/>
    <w:rsid w:val="00FC49CE"/>
    <w:rsid w:val="00FC56AF"/>
    <w:rsid w:val="00FC5772"/>
    <w:rsid w:val="00FC79B8"/>
    <w:rsid w:val="00FC7BD3"/>
    <w:rsid w:val="00FC7EA4"/>
    <w:rsid w:val="00FC7F4F"/>
    <w:rsid w:val="00FD0591"/>
    <w:rsid w:val="00FD13CB"/>
    <w:rsid w:val="00FD3816"/>
    <w:rsid w:val="00FD3CEA"/>
    <w:rsid w:val="00FD47ED"/>
    <w:rsid w:val="00FE1C50"/>
    <w:rsid w:val="00FE1DB5"/>
    <w:rsid w:val="00FE27F6"/>
    <w:rsid w:val="00FE333C"/>
    <w:rsid w:val="00FE4231"/>
    <w:rsid w:val="00FE4FD5"/>
    <w:rsid w:val="00FE5188"/>
    <w:rsid w:val="00FE7D20"/>
    <w:rsid w:val="00FF011F"/>
    <w:rsid w:val="00FF1A34"/>
    <w:rsid w:val="00FF2491"/>
    <w:rsid w:val="00FF25C9"/>
    <w:rsid w:val="00FF3899"/>
    <w:rsid w:val="00FF3F3D"/>
    <w:rsid w:val="00FF6A91"/>
    <w:rsid w:val="00FF7218"/>
    <w:rsid w:val="019B1886"/>
    <w:rsid w:val="01A04713"/>
    <w:rsid w:val="01A90B50"/>
    <w:rsid w:val="01E21BC8"/>
    <w:rsid w:val="01E33C05"/>
    <w:rsid w:val="02791FA7"/>
    <w:rsid w:val="02A17AE1"/>
    <w:rsid w:val="02DC6146"/>
    <w:rsid w:val="031F5DA4"/>
    <w:rsid w:val="03456CD9"/>
    <w:rsid w:val="036E638B"/>
    <w:rsid w:val="03CC4CBA"/>
    <w:rsid w:val="03E219EE"/>
    <w:rsid w:val="05610244"/>
    <w:rsid w:val="05E2177E"/>
    <w:rsid w:val="06000A2A"/>
    <w:rsid w:val="060A3D44"/>
    <w:rsid w:val="062C0F31"/>
    <w:rsid w:val="062E2713"/>
    <w:rsid w:val="06573416"/>
    <w:rsid w:val="06645909"/>
    <w:rsid w:val="06D47618"/>
    <w:rsid w:val="06D86136"/>
    <w:rsid w:val="06DC13A7"/>
    <w:rsid w:val="06FC16F2"/>
    <w:rsid w:val="07013F1B"/>
    <w:rsid w:val="071B5D5C"/>
    <w:rsid w:val="074402CA"/>
    <w:rsid w:val="077B788D"/>
    <w:rsid w:val="078A6212"/>
    <w:rsid w:val="07E50358"/>
    <w:rsid w:val="08A70F86"/>
    <w:rsid w:val="08B95EB8"/>
    <w:rsid w:val="08BE2E56"/>
    <w:rsid w:val="09400065"/>
    <w:rsid w:val="098C025E"/>
    <w:rsid w:val="09960A2D"/>
    <w:rsid w:val="09EF0A51"/>
    <w:rsid w:val="0A11216D"/>
    <w:rsid w:val="0ACC0600"/>
    <w:rsid w:val="0AF773B6"/>
    <w:rsid w:val="0B166658"/>
    <w:rsid w:val="0B8B4D9D"/>
    <w:rsid w:val="0BBD6FD4"/>
    <w:rsid w:val="0BC41A42"/>
    <w:rsid w:val="0C2422E1"/>
    <w:rsid w:val="0C307DA8"/>
    <w:rsid w:val="0C4531A7"/>
    <w:rsid w:val="0C4A176B"/>
    <w:rsid w:val="0C637FED"/>
    <w:rsid w:val="0C9A4134"/>
    <w:rsid w:val="0D391B71"/>
    <w:rsid w:val="0DDC3D4D"/>
    <w:rsid w:val="0DEA5B02"/>
    <w:rsid w:val="0E216CB2"/>
    <w:rsid w:val="0E633CC7"/>
    <w:rsid w:val="0E7D34F0"/>
    <w:rsid w:val="0EA12652"/>
    <w:rsid w:val="0EAD3C8F"/>
    <w:rsid w:val="0ECA75C0"/>
    <w:rsid w:val="0EF12AE6"/>
    <w:rsid w:val="0F231D46"/>
    <w:rsid w:val="0F9E3C8E"/>
    <w:rsid w:val="0FD64203"/>
    <w:rsid w:val="0FD7240A"/>
    <w:rsid w:val="0FE82078"/>
    <w:rsid w:val="0FFA2953"/>
    <w:rsid w:val="100C1E2C"/>
    <w:rsid w:val="100E3BC7"/>
    <w:rsid w:val="10790B66"/>
    <w:rsid w:val="1089732F"/>
    <w:rsid w:val="11665A0D"/>
    <w:rsid w:val="119105B0"/>
    <w:rsid w:val="1329427D"/>
    <w:rsid w:val="1343765B"/>
    <w:rsid w:val="135A77E4"/>
    <w:rsid w:val="13692D76"/>
    <w:rsid w:val="138F1F49"/>
    <w:rsid w:val="14595A9E"/>
    <w:rsid w:val="14676C8E"/>
    <w:rsid w:val="14974CD5"/>
    <w:rsid w:val="14B0734C"/>
    <w:rsid w:val="154B0F2F"/>
    <w:rsid w:val="155452CE"/>
    <w:rsid w:val="15B058AD"/>
    <w:rsid w:val="15B845CE"/>
    <w:rsid w:val="15C25E6E"/>
    <w:rsid w:val="15D531F8"/>
    <w:rsid w:val="162F2A50"/>
    <w:rsid w:val="163861F6"/>
    <w:rsid w:val="166B41A8"/>
    <w:rsid w:val="16936C01"/>
    <w:rsid w:val="17067BF0"/>
    <w:rsid w:val="17775CA4"/>
    <w:rsid w:val="17FA7064"/>
    <w:rsid w:val="1803367E"/>
    <w:rsid w:val="181D612E"/>
    <w:rsid w:val="18481DE0"/>
    <w:rsid w:val="18AA5B83"/>
    <w:rsid w:val="18AA60A3"/>
    <w:rsid w:val="18E01DC6"/>
    <w:rsid w:val="19387195"/>
    <w:rsid w:val="195D2BF7"/>
    <w:rsid w:val="199B2CE9"/>
    <w:rsid w:val="19AB6CD9"/>
    <w:rsid w:val="19B149DA"/>
    <w:rsid w:val="19F47F82"/>
    <w:rsid w:val="1A2F0B0B"/>
    <w:rsid w:val="1AFC1DB7"/>
    <w:rsid w:val="1B44244F"/>
    <w:rsid w:val="1B4B596D"/>
    <w:rsid w:val="1B683F8D"/>
    <w:rsid w:val="1B776825"/>
    <w:rsid w:val="1B7B773C"/>
    <w:rsid w:val="1B7D0CB0"/>
    <w:rsid w:val="1B8530D6"/>
    <w:rsid w:val="1B8F7AA3"/>
    <w:rsid w:val="1BEA14D8"/>
    <w:rsid w:val="1BFE2FCD"/>
    <w:rsid w:val="1C1B3898"/>
    <w:rsid w:val="1C440CEA"/>
    <w:rsid w:val="1C491C10"/>
    <w:rsid w:val="1C597125"/>
    <w:rsid w:val="1C5E6F87"/>
    <w:rsid w:val="1C807311"/>
    <w:rsid w:val="1CDC687E"/>
    <w:rsid w:val="1CFA6362"/>
    <w:rsid w:val="1D186578"/>
    <w:rsid w:val="1D3C7FA0"/>
    <w:rsid w:val="1D3E17D8"/>
    <w:rsid w:val="1D603CB5"/>
    <w:rsid w:val="1D641852"/>
    <w:rsid w:val="1D9B201B"/>
    <w:rsid w:val="1DA30F10"/>
    <w:rsid w:val="1DA76E27"/>
    <w:rsid w:val="1DAC0C4B"/>
    <w:rsid w:val="1DE84070"/>
    <w:rsid w:val="1DEB35BE"/>
    <w:rsid w:val="1E2A2877"/>
    <w:rsid w:val="1EBB641D"/>
    <w:rsid w:val="1EFD053E"/>
    <w:rsid w:val="1F025825"/>
    <w:rsid w:val="1F056373"/>
    <w:rsid w:val="1F0A60FE"/>
    <w:rsid w:val="1F8D685B"/>
    <w:rsid w:val="1F9049C8"/>
    <w:rsid w:val="1FCB4CF7"/>
    <w:rsid w:val="1FDD0830"/>
    <w:rsid w:val="1FE9712E"/>
    <w:rsid w:val="204F7036"/>
    <w:rsid w:val="20E66D21"/>
    <w:rsid w:val="20F31281"/>
    <w:rsid w:val="211C044B"/>
    <w:rsid w:val="215D7142"/>
    <w:rsid w:val="216B3C80"/>
    <w:rsid w:val="219E1A02"/>
    <w:rsid w:val="21B80361"/>
    <w:rsid w:val="21D36013"/>
    <w:rsid w:val="21DD783A"/>
    <w:rsid w:val="21DE58B5"/>
    <w:rsid w:val="21F065DA"/>
    <w:rsid w:val="22280E5C"/>
    <w:rsid w:val="22490941"/>
    <w:rsid w:val="22883AFD"/>
    <w:rsid w:val="2316727D"/>
    <w:rsid w:val="232E5815"/>
    <w:rsid w:val="23414D23"/>
    <w:rsid w:val="235A4184"/>
    <w:rsid w:val="23B128E6"/>
    <w:rsid w:val="23EE59D1"/>
    <w:rsid w:val="24330BD4"/>
    <w:rsid w:val="24332BBD"/>
    <w:rsid w:val="2483647E"/>
    <w:rsid w:val="248A7E55"/>
    <w:rsid w:val="24BB4F12"/>
    <w:rsid w:val="24D67EC4"/>
    <w:rsid w:val="24F457B4"/>
    <w:rsid w:val="250861E4"/>
    <w:rsid w:val="253324A1"/>
    <w:rsid w:val="25424C7B"/>
    <w:rsid w:val="255453A2"/>
    <w:rsid w:val="256E143B"/>
    <w:rsid w:val="258C0A34"/>
    <w:rsid w:val="259D5310"/>
    <w:rsid w:val="25B9034F"/>
    <w:rsid w:val="25E0043C"/>
    <w:rsid w:val="26A26C90"/>
    <w:rsid w:val="26DC45AC"/>
    <w:rsid w:val="26F63F93"/>
    <w:rsid w:val="270E57F5"/>
    <w:rsid w:val="273D047F"/>
    <w:rsid w:val="274B743A"/>
    <w:rsid w:val="27855D23"/>
    <w:rsid w:val="27C64A2E"/>
    <w:rsid w:val="27E71B74"/>
    <w:rsid w:val="281D3EA0"/>
    <w:rsid w:val="2823562B"/>
    <w:rsid w:val="2863617E"/>
    <w:rsid w:val="28753626"/>
    <w:rsid w:val="28774EED"/>
    <w:rsid w:val="288B5D3D"/>
    <w:rsid w:val="28AF7F64"/>
    <w:rsid w:val="28E7613D"/>
    <w:rsid w:val="28EC786F"/>
    <w:rsid w:val="28F51B58"/>
    <w:rsid w:val="28FF42BD"/>
    <w:rsid w:val="2A55340C"/>
    <w:rsid w:val="2A5A534F"/>
    <w:rsid w:val="2A7135D6"/>
    <w:rsid w:val="2A7950B3"/>
    <w:rsid w:val="2A8233DF"/>
    <w:rsid w:val="2AA63D8F"/>
    <w:rsid w:val="2AB550AA"/>
    <w:rsid w:val="2AD22E02"/>
    <w:rsid w:val="2B911481"/>
    <w:rsid w:val="2C2B64B2"/>
    <w:rsid w:val="2CA15706"/>
    <w:rsid w:val="2CB13B76"/>
    <w:rsid w:val="2CFE48F4"/>
    <w:rsid w:val="2D0A1E13"/>
    <w:rsid w:val="2D0B7011"/>
    <w:rsid w:val="2D303AC8"/>
    <w:rsid w:val="2D317A84"/>
    <w:rsid w:val="2DBA53E2"/>
    <w:rsid w:val="2E325EDC"/>
    <w:rsid w:val="2E41220A"/>
    <w:rsid w:val="2E4364E9"/>
    <w:rsid w:val="2E6D7F16"/>
    <w:rsid w:val="2E7126C2"/>
    <w:rsid w:val="2EAA4FDA"/>
    <w:rsid w:val="2EBF0EAE"/>
    <w:rsid w:val="2ED75D90"/>
    <w:rsid w:val="2EE22B9B"/>
    <w:rsid w:val="2F2575EE"/>
    <w:rsid w:val="2F6F6F61"/>
    <w:rsid w:val="2F702CF3"/>
    <w:rsid w:val="30096E59"/>
    <w:rsid w:val="300E6DC1"/>
    <w:rsid w:val="30E70012"/>
    <w:rsid w:val="30FF6E3E"/>
    <w:rsid w:val="310C54C6"/>
    <w:rsid w:val="31797200"/>
    <w:rsid w:val="317E5262"/>
    <w:rsid w:val="318D2AEF"/>
    <w:rsid w:val="31CE4E56"/>
    <w:rsid w:val="31D879AA"/>
    <w:rsid w:val="31EC4135"/>
    <w:rsid w:val="31FB7BF6"/>
    <w:rsid w:val="320A04D0"/>
    <w:rsid w:val="321303F8"/>
    <w:rsid w:val="323E1F4C"/>
    <w:rsid w:val="325B4596"/>
    <w:rsid w:val="32E665F5"/>
    <w:rsid w:val="32E72810"/>
    <w:rsid w:val="32EF005F"/>
    <w:rsid w:val="333F70F3"/>
    <w:rsid w:val="33440421"/>
    <w:rsid w:val="3352130B"/>
    <w:rsid w:val="3457176D"/>
    <w:rsid w:val="34666D76"/>
    <w:rsid w:val="34A7178A"/>
    <w:rsid w:val="34D5744C"/>
    <w:rsid w:val="352F64F2"/>
    <w:rsid w:val="3540458B"/>
    <w:rsid w:val="36456976"/>
    <w:rsid w:val="36545584"/>
    <w:rsid w:val="36AA055C"/>
    <w:rsid w:val="36CE4D44"/>
    <w:rsid w:val="36DF3F4D"/>
    <w:rsid w:val="36EC2F3E"/>
    <w:rsid w:val="37454BFA"/>
    <w:rsid w:val="37533A8E"/>
    <w:rsid w:val="37BD5D31"/>
    <w:rsid w:val="37F05781"/>
    <w:rsid w:val="37F76B0F"/>
    <w:rsid w:val="37FF7EA9"/>
    <w:rsid w:val="380E11D2"/>
    <w:rsid w:val="38455FA5"/>
    <w:rsid w:val="38BF122F"/>
    <w:rsid w:val="38E809FD"/>
    <w:rsid w:val="39171AA6"/>
    <w:rsid w:val="393E72BA"/>
    <w:rsid w:val="3942291B"/>
    <w:rsid w:val="396629B5"/>
    <w:rsid w:val="397544B2"/>
    <w:rsid w:val="39993362"/>
    <w:rsid w:val="39CB6421"/>
    <w:rsid w:val="39D912C5"/>
    <w:rsid w:val="39EA4247"/>
    <w:rsid w:val="3A2B6D34"/>
    <w:rsid w:val="3A626EEC"/>
    <w:rsid w:val="3AF72466"/>
    <w:rsid w:val="3B1D4504"/>
    <w:rsid w:val="3B295DFD"/>
    <w:rsid w:val="3B3A0F4B"/>
    <w:rsid w:val="3B3B26BC"/>
    <w:rsid w:val="3BAD1CF4"/>
    <w:rsid w:val="3BBF2A7E"/>
    <w:rsid w:val="3C2C0BE8"/>
    <w:rsid w:val="3C3D746F"/>
    <w:rsid w:val="3C8E1189"/>
    <w:rsid w:val="3CC6014B"/>
    <w:rsid w:val="3CE63A61"/>
    <w:rsid w:val="3D1148A3"/>
    <w:rsid w:val="3D2F78F0"/>
    <w:rsid w:val="3DCD09C6"/>
    <w:rsid w:val="3E0071E5"/>
    <w:rsid w:val="3E0C7BA6"/>
    <w:rsid w:val="3E0E318F"/>
    <w:rsid w:val="3E42660A"/>
    <w:rsid w:val="3E4B6CCC"/>
    <w:rsid w:val="3E5D5C00"/>
    <w:rsid w:val="3EB81BB6"/>
    <w:rsid w:val="3ECE1791"/>
    <w:rsid w:val="3EFE6DDF"/>
    <w:rsid w:val="3F59755D"/>
    <w:rsid w:val="3F5F0F49"/>
    <w:rsid w:val="3F7204B7"/>
    <w:rsid w:val="3FAA3385"/>
    <w:rsid w:val="3FC0190F"/>
    <w:rsid w:val="3FC76DC7"/>
    <w:rsid w:val="3FFF2586"/>
    <w:rsid w:val="40677739"/>
    <w:rsid w:val="41044E9E"/>
    <w:rsid w:val="41422E49"/>
    <w:rsid w:val="4158270A"/>
    <w:rsid w:val="417440EB"/>
    <w:rsid w:val="41761EDC"/>
    <w:rsid w:val="418E2AD2"/>
    <w:rsid w:val="41F54E1E"/>
    <w:rsid w:val="42044303"/>
    <w:rsid w:val="420E4AEB"/>
    <w:rsid w:val="42814B39"/>
    <w:rsid w:val="43052C2B"/>
    <w:rsid w:val="43316B9B"/>
    <w:rsid w:val="435B634B"/>
    <w:rsid w:val="4365471F"/>
    <w:rsid w:val="439A0483"/>
    <w:rsid w:val="439E57C9"/>
    <w:rsid w:val="440957B7"/>
    <w:rsid w:val="443C445C"/>
    <w:rsid w:val="44420D62"/>
    <w:rsid w:val="448054C2"/>
    <w:rsid w:val="4495579B"/>
    <w:rsid w:val="45390BAE"/>
    <w:rsid w:val="455F6A4D"/>
    <w:rsid w:val="456834EB"/>
    <w:rsid w:val="458C4D3B"/>
    <w:rsid w:val="459A7A02"/>
    <w:rsid w:val="45EF0E26"/>
    <w:rsid w:val="464C641F"/>
    <w:rsid w:val="46635C24"/>
    <w:rsid w:val="46743A9F"/>
    <w:rsid w:val="467A3533"/>
    <w:rsid w:val="474A6C5C"/>
    <w:rsid w:val="474C398C"/>
    <w:rsid w:val="47C23324"/>
    <w:rsid w:val="480F68C5"/>
    <w:rsid w:val="4856210A"/>
    <w:rsid w:val="488061BD"/>
    <w:rsid w:val="489F5239"/>
    <w:rsid w:val="48AA417F"/>
    <w:rsid w:val="48D97676"/>
    <w:rsid w:val="48FD5F50"/>
    <w:rsid w:val="491830B4"/>
    <w:rsid w:val="495964C5"/>
    <w:rsid w:val="496A2039"/>
    <w:rsid w:val="49A862A6"/>
    <w:rsid w:val="49AE5692"/>
    <w:rsid w:val="4A7C1AFB"/>
    <w:rsid w:val="4B4A7BF2"/>
    <w:rsid w:val="4B971D44"/>
    <w:rsid w:val="4BEF1680"/>
    <w:rsid w:val="4C3744FA"/>
    <w:rsid w:val="4C491AB7"/>
    <w:rsid w:val="4C621474"/>
    <w:rsid w:val="4C7402D7"/>
    <w:rsid w:val="4CA6442E"/>
    <w:rsid w:val="4CAC2B2C"/>
    <w:rsid w:val="4CB82F87"/>
    <w:rsid w:val="4CC47B4C"/>
    <w:rsid w:val="4CE35913"/>
    <w:rsid w:val="4D344FB4"/>
    <w:rsid w:val="4DEA173F"/>
    <w:rsid w:val="4E3002BE"/>
    <w:rsid w:val="4E3C528E"/>
    <w:rsid w:val="4E4640DB"/>
    <w:rsid w:val="4E6A4F74"/>
    <w:rsid w:val="4E7E5FEB"/>
    <w:rsid w:val="4E850579"/>
    <w:rsid w:val="4E874B12"/>
    <w:rsid w:val="4E893F49"/>
    <w:rsid w:val="4EBD30D8"/>
    <w:rsid w:val="4EC97ECF"/>
    <w:rsid w:val="4ED61174"/>
    <w:rsid w:val="4EFE604D"/>
    <w:rsid w:val="4F077BBF"/>
    <w:rsid w:val="4F491728"/>
    <w:rsid w:val="4F9257EE"/>
    <w:rsid w:val="4FDE745A"/>
    <w:rsid w:val="4FEE4796"/>
    <w:rsid w:val="508C6C00"/>
    <w:rsid w:val="50AE3B32"/>
    <w:rsid w:val="50DB222E"/>
    <w:rsid w:val="50F4638B"/>
    <w:rsid w:val="512C0155"/>
    <w:rsid w:val="51470C1D"/>
    <w:rsid w:val="51C81416"/>
    <w:rsid w:val="52095F7F"/>
    <w:rsid w:val="52362F27"/>
    <w:rsid w:val="524C4B59"/>
    <w:rsid w:val="52585463"/>
    <w:rsid w:val="526A0375"/>
    <w:rsid w:val="52BB6C5F"/>
    <w:rsid w:val="53882062"/>
    <w:rsid w:val="53A73262"/>
    <w:rsid w:val="5438650E"/>
    <w:rsid w:val="543C4C73"/>
    <w:rsid w:val="544432F1"/>
    <w:rsid w:val="545F2D48"/>
    <w:rsid w:val="54723052"/>
    <w:rsid w:val="549A1C35"/>
    <w:rsid w:val="549E7802"/>
    <w:rsid w:val="54B00533"/>
    <w:rsid w:val="54F32271"/>
    <w:rsid w:val="55241022"/>
    <w:rsid w:val="55345D1A"/>
    <w:rsid w:val="554A7E27"/>
    <w:rsid w:val="5564469E"/>
    <w:rsid w:val="556534F9"/>
    <w:rsid w:val="55A92684"/>
    <w:rsid w:val="55F64438"/>
    <w:rsid w:val="56061E36"/>
    <w:rsid w:val="56165E3E"/>
    <w:rsid w:val="56333B4D"/>
    <w:rsid w:val="56633896"/>
    <w:rsid w:val="566F4D8A"/>
    <w:rsid w:val="56FA67C9"/>
    <w:rsid w:val="5705494D"/>
    <w:rsid w:val="570C5643"/>
    <w:rsid w:val="5732128B"/>
    <w:rsid w:val="57415259"/>
    <w:rsid w:val="5757086C"/>
    <w:rsid w:val="582052F6"/>
    <w:rsid w:val="58336C1B"/>
    <w:rsid w:val="5859658F"/>
    <w:rsid w:val="58A36C64"/>
    <w:rsid w:val="58A76BF2"/>
    <w:rsid w:val="58C7152D"/>
    <w:rsid w:val="58D92334"/>
    <w:rsid w:val="58DF1094"/>
    <w:rsid w:val="59317A50"/>
    <w:rsid w:val="59634BDB"/>
    <w:rsid w:val="598900F2"/>
    <w:rsid w:val="59E02241"/>
    <w:rsid w:val="5A332759"/>
    <w:rsid w:val="5A661FDC"/>
    <w:rsid w:val="5AB726D5"/>
    <w:rsid w:val="5ABD1678"/>
    <w:rsid w:val="5AD559EF"/>
    <w:rsid w:val="5B123603"/>
    <w:rsid w:val="5B417B4A"/>
    <w:rsid w:val="5B647993"/>
    <w:rsid w:val="5BB17A59"/>
    <w:rsid w:val="5BE9550E"/>
    <w:rsid w:val="5BF70DC8"/>
    <w:rsid w:val="5C6555B0"/>
    <w:rsid w:val="5C9F3736"/>
    <w:rsid w:val="5CAF3662"/>
    <w:rsid w:val="5CC9378A"/>
    <w:rsid w:val="5CF87C1E"/>
    <w:rsid w:val="5D2A02CF"/>
    <w:rsid w:val="5D3715D8"/>
    <w:rsid w:val="5D447851"/>
    <w:rsid w:val="5DAD0266"/>
    <w:rsid w:val="5E007115"/>
    <w:rsid w:val="5E207B84"/>
    <w:rsid w:val="5EB64D45"/>
    <w:rsid w:val="5EC11376"/>
    <w:rsid w:val="5EC92FF7"/>
    <w:rsid w:val="5EE4753E"/>
    <w:rsid w:val="5FBBA1A8"/>
    <w:rsid w:val="5FFA19CD"/>
    <w:rsid w:val="602B7839"/>
    <w:rsid w:val="603E6E84"/>
    <w:rsid w:val="604662CD"/>
    <w:rsid w:val="60467304"/>
    <w:rsid w:val="604B2494"/>
    <w:rsid w:val="60565C5F"/>
    <w:rsid w:val="6057093E"/>
    <w:rsid w:val="60630D2F"/>
    <w:rsid w:val="606755C6"/>
    <w:rsid w:val="612D08CE"/>
    <w:rsid w:val="61395BD4"/>
    <w:rsid w:val="613B077E"/>
    <w:rsid w:val="61D66406"/>
    <w:rsid w:val="62014FB6"/>
    <w:rsid w:val="6210640F"/>
    <w:rsid w:val="626F6333"/>
    <w:rsid w:val="62F4403F"/>
    <w:rsid w:val="62FD58CE"/>
    <w:rsid w:val="63100901"/>
    <w:rsid w:val="634A4724"/>
    <w:rsid w:val="63D865C0"/>
    <w:rsid w:val="641C3007"/>
    <w:rsid w:val="641F57FC"/>
    <w:rsid w:val="64332B4B"/>
    <w:rsid w:val="643678A2"/>
    <w:rsid w:val="643958C7"/>
    <w:rsid w:val="64AA322C"/>
    <w:rsid w:val="64F055ED"/>
    <w:rsid w:val="65043CE5"/>
    <w:rsid w:val="657C13E9"/>
    <w:rsid w:val="658C5994"/>
    <w:rsid w:val="65935A74"/>
    <w:rsid w:val="65AC202B"/>
    <w:rsid w:val="65C07996"/>
    <w:rsid w:val="661029C7"/>
    <w:rsid w:val="662564A6"/>
    <w:rsid w:val="663071AD"/>
    <w:rsid w:val="66500DEB"/>
    <w:rsid w:val="66BC8C78"/>
    <w:rsid w:val="66CE0BC7"/>
    <w:rsid w:val="66E263FE"/>
    <w:rsid w:val="66F6669C"/>
    <w:rsid w:val="674C2769"/>
    <w:rsid w:val="676A4358"/>
    <w:rsid w:val="67882AB8"/>
    <w:rsid w:val="67DC1F7A"/>
    <w:rsid w:val="67DD0BBE"/>
    <w:rsid w:val="680266C6"/>
    <w:rsid w:val="68142F96"/>
    <w:rsid w:val="68280053"/>
    <w:rsid w:val="6837750A"/>
    <w:rsid w:val="68672FDA"/>
    <w:rsid w:val="688A31A0"/>
    <w:rsid w:val="68C97E54"/>
    <w:rsid w:val="68E96089"/>
    <w:rsid w:val="694B7E7A"/>
    <w:rsid w:val="69994730"/>
    <w:rsid w:val="69CB6B2D"/>
    <w:rsid w:val="6A0E540E"/>
    <w:rsid w:val="6A32764B"/>
    <w:rsid w:val="6A751D37"/>
    <w:rsid w:val="6A7C1ED2"/>
    <w:rsid w:val="6AC81AC2"/>
    <w:rsid w:val="6ACD4147"/>
    <w:rsid w:val="6B2E320E"/>
    <w:rsid w:val="6B8168B2"/>
    <w:rsid w:val="6BC6435F"/>
    <w:rsid w:val="6BCB4FD8"/>
    <w:rsid w:val="6BDB430C"/>
    <w:rsid w:val="6BE8638A"/>
    <w:rsid w:val="6C0E723F"/>
    <w:rsid w:val="6C107F7D"/>
    <w:rsid w:val="6C4453AD"/>
    <w:rsid w:val="6C501013"/>
    <w:rsid w:val="6C561BA6"/>
    <w:rsid w:val="6CDB7539"/>
    <w:rsid w:val="6D2364AB"/>
    <w:rsid w:val="6D967F60"/>
    <w:rsid w:val="6D9D0299"/>
    <w:rsid w:val="6DAF561B"/>
    <w:rsid w:val="6DCA3DA3"/>
    <w:rsid w:val="6DEF44FA"/>
    <w:rsid w:val="6E5B49FB"/>
    <w:rsid w:val="6E6D74BA"/>
    <w:rsid w:val="6E99703A"/>
    <w:rsid w:val="6ED91229"/>
    <w:rsid w:val="6EEA2046"/>
    <w:rsid w:val="6F276C60"/>
    <w:rsid w:val="6F2C3609"/>
    <w:rsid w:val="6F5B75DF"/>
    <w:rsid w:val="6F7774F7"/>
    <w:rsid w:val="6F90257D"/>
    <w:rsid w:val="6FEF1E19"/>
    <w:rsid w:val="6FFEEDF7"/>
    <w:rsid w:val="700B668E"/>
    <w:rsid w:val="702B40F9"/>
    <w:rsid w:val="70824D25"/>
    <w:rsid w:val="70830FBF"/>
    <w:rsid w:val="709D11C2"/>
    <w:rsid w:val="70BB6825"/>
    <w:rsid w:val="70CC469E"/>
    <w:rsid w:val="712C7868"/>
    <w:rsid w:val="71FE5643"/>
    <w:rsid w:val="72247F25"/>
    <w:rsid w:val="725D148B"/>
    <w:rsid w:val="725E49FD"/>
    <w:rsid w:val="72976FDD"/>
    <w:rsid w:val="72C00916"/>
    <w:rsid w:val="72CBD257"/>
    <w:rsid w:val="72FA1D73"/>
    <w:rsid w:val="73257B6D"/>
    <w:rsid w:val="733B4CEA"/>
    <w:rsid w:val="733E21D0"/>
    <w:rsid w:val="73AC6F81"/>
    <w:rsid w:val="73B733AB"/>
    <w:rsid w:val="73F54A48"/>
    <w:rsid w:val="73F83D4F"/>
    <w:rsid w:val="740404AF"/>
    <w:rsid w:val="74517936"/>
    <w:rsid w:val="74970E63"/>
    <w:rsid w:val="74E94187"/>
    <w:rsid w:val="74F87C6B"/>
    <w:rsid w:val="75286F53"/>
    <w:rsid w:val="75544086"/>
    <w:rsid w:val="755705D0"/>
    <w:rsid w:val="75BC3B6F"/>
    <w:rsid w:val="75C024B7"/>
    <w:rsid w:val="75C4732A"/>
    <w:rsid w:val="75C80722"/>
    <w:rsid w:val="7606442A"/>
    <w:rsid w:val="76323442"/>
    <w:rsid w:val="768B4D55"/>
    <w:rsid w:val="7693393A"/>
    <w:rsid w:val="76D704E4"/>
    <w:rsid w:val="76E02FF1"/>
    <w:rsid w:val="76EEC792"/>
    <w:rsid w:val="77112A42"/>
    <w:rsid w:val="771863F0"/>
    <w:rsid w:val="77AF712A"/>
    <w:rsid w:val="77FA8F08"/>
    <w:rsid w:val="781613FD"/>
    <w:rsid w:val="78626344"/>
    <w:rsid w:val="78937D70"/>
    <w:rsid w:val="789F50CF"/>
    <w:rsid w:val="78BA627E"/>
    <w:rsid w:val="79022CB1"/>
    <w:rsid w:val="79692029"/>
    <w:rsid w:val="798C3A5E"/>
    <w:rsid w:val="79C0276F"/>
    <w:rsid w:val="79D24905"/>
    <w:rsid w:val="79EF019D"/>
    <w:rsid w:val="7A2F0777"/>
    <w:rsid w:val="7A3F1FFC"/>
    <w:rsid w:val="7A5114C1"/>
    <w:rsid w:val="7A5F5873"/>
    <w:rsid w:val="7ABA3AA8"/>
    <w:rsid w:val="7AC96BFE"/>
    <w:rsid w:val="7B050FBB"/>
    <w:rsid w:val="7B403C31"/>
    <w:rsid w:val="7BBB590B"/>
    <w:rsid w:val="7BFE4FF0"/>
    <w:rsid w:val="7C272826"/>
    <w:rsid w:val="7C294AFE"/>
    <w:rsid w:val="7C3F1254"/>
    <w:rsid w:val="7C420474"/>
    <w:rsid w:val="7C4955C7"/>
    <w:rsid w:val="7C807CD9"/>
    <w:rsid w:val="7CE37DAA"/>
    <w:rsid w:val="7CEC6480"/>
    <w:rsid w:val="7CFD3528"/>
    <w:rsid w:val="7D0D021A"/>
    <w:rsid w:val="7D374324"/>
    <w:rsid w:val="7D671C4B"/>
    <w:rsid w:val="7D723791"/>
    <w:rsid w:val="7DBB54B6"/>
    <w:rsid w:val="7DE66B44"/>
    <w:rsid w:val="7E4748C9"/>
    <w:rsid w:val="7E5B7557"/>
    <w:rsid w:val="7E6D7DAE"/>
    <w:rsid w:val="7E77734F"/>
    <w:rsid w:val="7E957E26"/>
    <w:rsid w:val="7F160E03"/>
    <w:rsid w:val="7F454426"/>
    <w:rsid w:val="7F587460"/>
    <w:rsid w:val="7F7A4508"/>
    <w:rsid w:val="7F9E1B0A"/>
    <w:rsid w:val="7FAF37CB"/>
    <w:rsid w:val="7FB56E1B"/>
    <w:rsid w:val="7FC00B62"/>
    <w:rsid w:val="7FDA13D2"/>
    <w:rsid w:val="7FE15A5D"/>
    <w:rsid w:val="7FFC56CA"/>
    <w:rsid w:val="7FFF35B4"/>
    <w:rsid w:val="9FF79F63"/>
    <w:rsid w:val="B77F2A4B"/>
    <w:rsid w:val="BF75A23F"/>
    <w:rsid w:val="BFFF8555"/>
    <w:rsid w:val="DFB76936"/>
    <w:rsid w:val="DFE7A066"/>
    <w:rsid w:val="E1E5730B"/>
    <w:rsid w:val="E5DF0CE1"/>
    <w:rsid w:val="E6FF9C87"/>
    <w:rsid w:val="E7EF2A17"/>
    <w:rsid w:val="EA65E403"/>
    <w:rsid w:val="EFF6E8DC"/>
    <w:rsid w:val="F3EF8CC0"/>
    <w:rsid w:val="F6FFDA01"/>
    <w:rsid w:val="F7CB78A7"/>
    <w:rsid w:val="FABD746A"/>
    <w:rsid w:val="FAEF9E4D"/>
    <w:rsid w:val="FAFA6210"/>
    <w:rsid w:val="FDFF01A7"/>
    <w:rsid w:val="FF2B4B0B"/>
    <w:rsid w:val="FFF7E96B"/>
    <w:rsid w:val="FFFBC151"/>
    <w:rsid w:val="FFFFCD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nhideWhenUsed="0" w:uiPriority="0" w:semiHidden="0"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4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73"/>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unhideWhenUsed/>
    <w:qFormat/>
    <w:uiPriority w:val="0"/>
    <w:pPr>
      <w:keepNext/>
      <w:keepLines/>
      <w:spacing w:before="260" w:after="260" w:line="416" w:lineRule="auto"/>
      <w:outlineLvl w:val="2"/>
    </w:pPr>
    <w:rPr>
      <w:rFonts w:asciiTheme="minorHAnsi" w:hAnsiTheme="minorHAnsi" w:eastAsiaTheme="minorEastAsia" w:cstheme="minorBidi"/>
      <w:b/>
      <w:bCs/>
      <w:sz w:val="32"/>
      <w:szCs w:val="32"/>
    </w:rPr>
  </w:style>
  <w:style w:type="paragraph" w:styleId="5">
    <w:name w:val="heading 5"/>
    <w:basedOn w:val="1"/>
    <w:next w:val="1"/>
    <w:qFormat/>
    <w:uiPriority w:val="9"/>
    <w:pPr>
      <w:keepNext/>
      <w:keepLines/>
      <w:numPr>
        <w:ilvl w:val="4"/>
        <w:numId w:val="1"/>
      </w:numPr>
      <w:spacing w:line="360" w:lineRule="auto"/>
      <w:outlineLvl w:val="4"/>
    </w:pPr>
    <w:rPr>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rPr>
      <w:rFonts w:asciiTheme="minorHAnsi" w:hAnsiTheme="minorHAnsi" w:eastAsiaTheme="minorEastAsia" w:cstheme="minorBidi"/>
    </w:rPr>
  </w:style>
  <w:style w:type="paragraph" w:styleId="7">
    <w:name w:val="caption"/>
    <w:basedOn w:val="1"/>
    <w:next w:val="1"/>
    <w:qFormat/>
    <w:uiPriority w:val="35"/>
    <w:rPr>
      <w:rFonts w:ascii="Cambria" w:hAnsi="Cambria" w:eastAsia="黑体"/>
      <w:sz w:val="20"/>
      <w:szCs w:val="20"/>
    </w:rPr>
  </w:style>
  <w:style w:type="paragraph" w:styleId="8">
    <w:name w:val="annotation text"/>
    <w:basedOn w:val="1"/>
    <w:link w:val="64"/>
    <w:semiHidden/>
    <w:unhideWhenUsed/>
    <w:qFormat/>
    <w:uiPriority w:val="99"/>
    <w:pPr>
      <w:jc w:val="left"/>
    </w:pPr>
  </w:style>
  <w:style w:type="paragraph" w:styleId="9">
    <w:name w:val="Body Text"/>
    <w:basedOn w:val="1"/>
    <w:next w:val="10"/>
    <w:link w:val="55"/>
    <w:qFormat/>
    <w:uiPriority w:val="1"/>
    <w:pPr>
      <w:ind w:left="110"/>
      <w:jc w:val="left"/>
    </w:pPr>
    <w:rPr>
      <w:rFonts w:ascii="宋体" w:hAnsi="宋体"/>
      <w:color w:val="000000" w:themeColor="text1"/>
      <w:kern w:val="0"/>
      <w:sz w:val="20"/>
      <w:szCs w:val="20"/>
      <w:lang w:eastAsia="en-US"/>
      <w14:textFill>
        <w14:solidFill>
          <w14:schemeClr w14:val="tx1"/>
        </w14:solidFill>
      </w14:textFill>
    </w:rPr>
  </w:style>
  <w:style w:type="paragraph" w:styleId="10">
    <w:name w:val="toc 5"/>
    <w:basedOn w:val="1"/>
    <w:next w:val="1"/>
    <w:unhideWhenUsed/>
    <w:qFormat/>
    <w:uiPriority w:val="39"/>
    <w:pPr>
      <w:ind w:left="1680" w:leftChars="800"/>
    </w:pPr>
    <w:rPr>
      <w:rFonts w:asciiTheme="minorHAnsi" w:hAnsiTheme="minorHAnsi" w:eastAsiaTheme="minorEastAsia" w:cstheme="minorBidi"/>
    </w:rPr>
  </w:style>
  <w:style w:type="paragraph" w:styleId="11">
    <w:name w:val="toc 3"/>
    <w:basedOn w:val="1"/>
    <w:next w:val="1"/>
    <w:unhideWhenUsed/>
    <w:qFormat/>
    <w:uiPriority w:val="39"/>
    <w:pPr>
      <w:ind w:left="840" w:leftChars="400"/>
    </w:pPr>
    <w:rPr>
      <w:rFonts w:asciiTheme="minorHAnsi" w:hAnsiTheme="minorHAnsi" w:eastAsiaTheme="minorEastAsia" w:cstheme="minorBidi"/>
    </w:rPr>
  </w:style>
  <w:style w:type="paragraph" w:styleId="12">
    <w:name w:val="toc 8"/>
    <w:basedOn w:val="1"/>
    <w:next w:val="1"/>
    <w:unhideWhenUsed/>
    <w:qFormat/>
    <w:uiPriority w:val="39"/>
    <w:pPr>
      <w:ind w:left="2940" w:leftChars="1400"/>
    </w:pPr>
    <w:rPr>
      <w:rFonts w:asciiTheme="minorHAnsi" w:hAnsiTheme="minorHAnsi" w:eastAsiaTheme="minorEastAsia" w:cstheme="minorBidi"/>
    </w:rPr>
  </w:style>
  <w:style w:type="paragraph" w:styleId="13">
    <w:name w:val="Date"/>
    <w:basedOn w:val="1"/>
    <w:next w:val="1"/>
    <w:link w:val="66"/>
    <w:semiHidden/>
    <w:unhideWhenUsed/>
    <w:qFormat/>
    <w:uiPriority w:val="99"/>
    <w:pPr>
      <w:ind w:left="100" w:leftChars="2500"/>
    </w:pPr>
  </w:style>
  <w:style w:type="paragraph" w:styleId="14">
    <w:name w:val="Balloon Text"/>
    <w:basedOn w:val="1"/>
    <w:link w:val="61"/>
    <w:semiHidden/>
    <w:unhideWhenUsed/>
    <w:qFormat/>
    <w:uiPriority w:val="99"/>
    <w:rPr>
      <w:sz w:val="18"/>
      <w:szCs w:val="18"/>
    </w:rPr>
  </w:style>
  <w:style w:type="paragraph" w:styleId="15">
    <w:name w:val="footer"/>
    <w:basedOn w:val="1"/>
    <w:link w:val="35"/>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6">
    <w:name w:val="header"/>
    <w:basedOn w:val="1"/>
    <w:link w:val="34"/>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7">
    <w:name w:val="toc 1"/>
    <w:basedOn w:val="1"/>
    <w:next w:val="1"/>
    <w:unhideWhenUsed/>
    <w:qFormat/>
    <w:uiPriority w:val="39"/>
    <w:pPr>
      <w:tabs>
        <w:tab w:val="left" w:pos="1050"/>
        <w:tab w:val="right" w:leader="dot" w:pos="13948"/>
      </w:tabs>
      <w:ind w:firstLine="0"/>
    </w:pPr>
    <w:rPr>
      <w:rFonts w:asciiTheme="minorAscii" w:hAnsiTheme="minorAscii" w:eastAsiaTheme="minorEastAsia" w:cstheme="minorBidi"/>
    </w:rPr>
  </w:style>
  <w:style w:type="paragraph" w:styleId="18">
    <w:name w:val="toc 4"/>
    <w:basedOn w:val="1"/>
    <w:next w:val="1"/>
    <w:unhideWhenUsed/>
    <w:qFormat/>
    <w:uiPriority w:val="39"/>
    <w:pPr>
      <w:ind w:left="1260" w:leftChars="600"/>
    </w:pPr>
    <w:rPr>
      <w:rFonts w:asciiTheme="minorHAnsi" w:hAnsiTheme="minorHAnsi" w:eastAsiaTheme="minorEastAsia" w:cstheme="minorBidi"/>
    </w:rPr>
  </w:style>
  <w:style w:type="paragraph" w:styleId="19">
    <w:name w:val="toc 6"/>
    <w:basedOn w:val="1"/>
    <w:next w:val="1"/>
    <w:unhideWhenUsed/>
    <w:qFormat/>
    <w:uiPriority w:val="39"/>
    <w:pPr>
      <w:ind w:left="2100" w:leftChars="1000"/>
    </w:pPr>
    <w:rPr>
      <w:rFonts w:asciiTheme="minorHAnsi" w:hAnsiTheme="minorHAnsi" w:eastAsiaTheme="minorEastAsia" w:cstheme="minorBidi"/>
    </w:rPr>
  </w:style>
  <w:style w:type="paragraph" w:styleId="20">
    <w:name w:val="toc 2"/>
    <w:basedOn w:val="1"/>
    <w:next w:val="1"/>
    <w:unhideWhenUsed/>
    <w:qFormat/>
    <w:uiPriority w:val="39"/>
    <w:pPr>
      <w:ind w:left="420" w:leftChars="200"/>
    </w:pPr>
    <w:rPr>
      <w:rFonts w:asciiTheme="minorHAnsi" w:hAnsiTheme="minorHAnsi" w:eastAsiaTheme="minorEastAsia" w:cstheme="minorBidi"/>
    </w:rPr>
  </w:style>
  <w:style w:type="paragraph" w:styleId="21">
    <w:name w:val="toc 9"/>
    <w:basedOn w:val="1"/>
    <w:next w:val="1"/>
    <w:unhideWhenUsed/>
    <w:qFormat/>
    <w:uiPriority w:val="39"/>
    <w:pPr>
      <w:ind w:left="3360" w:leftChars="1600"/>
    </w:pPr>
    <w:rPr>
      <w:rFonts w:asciiTheme="minorHAnsi" w:hAnsiTheme="minorHAnsi" w:eastAsiaTheme="minorEastAsia" w:cstheme="minorBidi"/>
    </w:rPr>
  </w:style>
  <w:style w:type="paragraph" w:styleId="22">
    <w:name w:val="Normal (Web)"/>
    <w:basedOn w:val="1"/>
    <w:semiHidden/>
    <w:unhideWhenUsed/>
    <w:qFormat/>
    <w:uiPriority w:val="99"/>
    <w:pPr>
      <w:spacing w:beforeAutospacing="1" w:afterAutospacing="1"/>
      <w:jc w:val="left"/>
    </w:pPr>
    <w:rPr>
      <w:kern w:val="0"/>
      <w:sz w:val="24"/>
    </w:rPr>
  </w:style>
  <w:style w:type="paragraph" w:styleId="23">
    <w:name w:val="annotation subject"/>
    <w:basedOn w:val="8"/>
    <w:next w:val="8"/>
    <w:link w:val="65"/>
    <w:semiHidden/>
    <w:unhideWhenUsed/>
    <w:qFormat/>
    <w:uiPriority w:val="99"/>
    <w:rPr>
      <w:b/>
      <w:bCs/>
    </w:rPr>
  </w:style>
  <w:style w:type="paragraph" w:styleId="24">
    <w:name w:val="Body Text First Indent"/>
    <w:basedOn w:val="9"/>
    <w:next w:val="1"/>
    <w:qFormat/>
    <w:uiPriority w:val="0"/>
    <w:pPr>
      <w:ind w:firstLine="420" w:firstLineChars="100"/>
    </w:p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qFormat/>
    <w:uiPriority w:val="22"/>
    <w:rPr>
      <w:b/>
      <w:bCs/>
    </w:rPr>
  </w:style>
  <w:style w:type="character" w:styleId="29">
    <w:name w:val="endnote reference"/>
    <w:basedOn w:val="27"/>
    <w:qFormat/>
    <w:uiPriority w:val="0"/>
    <w:rPr>
      <w:vertAlign w:val="superscript"/>
    </w:rPr>
  </w:style>
  <w:style w:type="character" w:styleId="30">
    <w:name w:val="FollowedHyperlink"/>
    <w:basedOn w:val="27"/>
    <w:semiHidden/>
    <w:unhideWhenUsed/>
    <w:qFormat/>
    <w:uiPriority w:val="99"/>
    <w:rPr>
      <w:color w:val="0000CC"/>
      <w:sz w:val="22"/>
      <w:szCs w:val="22"/>
      <w:u w:val="single"/>
    </w:rPr>
  </w:style>
  <w:style w:type="character" w:styleId="31">
    <w:name w:val="Emphasis"/>
    <w:qFormat/>
    <w:uiPriority w:val="20"/>
    <w:rPr>
      <w:rFonts w:eastAsia="华文新魏"/>
      <w:sz w:val="24"/>
    </w:rPr>
  </w:style>
  <w:style w:type="character" w:styleId="32">
    <w:name w:val="Hyperlink"/>
    <w:basedOn w:val="27"/>
    <w:unhideWhenUsed/>
    <w:qFormat/>
    <w:uiPriority w:val="99"/>
    <w:rPr>
      <w:color w:val="0563C1" w:themeColor="hyperlink"/>
      <w:u w:val="single"/>
      <w14:textFill>
        <w14:solidFill>
          <w14:schemeClr w14:val="hlink"/>
        </w14:solidFill>
      </w14:textFill>
    </w:rPr>
  </w:style>
  <w:style w:type="character" w:styleId="33">
    <w:name w:val="annotation reference"/>
    <w:basedOn w:val="27"/>
    <w:semiHidden/>
    <w:unhideWhenUsed/>
    <w:qFormat/>
    <w:uiPriority w:val="99"/>
    <w:rPr>
      <w:sz w:val="21"/>
      <w:szCs w:val="21"/>
    </w:rPr>
  </w:style>
  <w:style w:type="character" w:customStyle="1" w:styleId="34">
    <w:name w:val="页眉 字符"/>
    <w:basedOn w:val="27"/>
    <w:link w:val="16"/>
    <w:qFormat/>
    <w:uiPriority w:val="99"/>
    <w:rPr>
      <w:sz w:val="18"/>
      <w:szCs w:val="18"/>
    </w:rPr>
  </w:style>
  <w:style w:type="character" w:customStyle="1" w:styleId="35">
    <w:name w:val="页脚 字符"/>
    <w:basedOn w:val="27"/>
    <w:link w:val="15"/>
    <w:qFormat/>
    <w:uiPriority w:val="99"/>
    <w:rPr>
      <w:sz w:val="18"/>
      <w:szCs w:val="18"/>
    </w:rPr>
  </w:style>
  <w:style w:type="paragraph" w:customStyle="1" w:styleId="36">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7">
    <w:name w:val="标准标志"/>
    <w:basedOn w:val="36"/>
    <w:next w:val="36"/>
    <w:qFormat/>
    <w:uiPriority w:val="99"/>
    <w:rPr>
      <w:color w:val="auto"/>
    </w:rPr>
  </w:style>
  <w:style w:type="paragraph" w:customStyle="1" w:styleId="38">
    <w:name w:val="其他标准称谓"/>
    <w:basedOn w:val="36"/>
    <w:next w:val="36"/>
    <w:qFormat/>
    <w:uiPriority w:val="99"/>
    <w:rPr>
      <w:color w:val="auto"/>
    </w:rPr>
  </w:style>
  <w:style w:type="paragraph" w:customStyle="1" w:styleId="39">
    <w:name w:val="TOC 标题3"/>
    <w:basedOn w:val="2"/>
    <w:next w:val="1"/>
    <w:unhideWhenUsed/>
    <w:qFormat/>
    <w:uiPriority w:val="39"/>
    <w:pPr>
      <w:outlineLvl w:val="9"/>
    </w:pPr>
  </w:style>
  <w:style w:type="character" w:customStyle="1" w:styleId="40">
    <w:name w:val="标题 1 字符"/>
    <w:basedOn w:val="27"/>
    <w:link w:val="2"/>
    <w:qFormat/>
    <w:uiPriority w:val="9"/>
    <w:rPr>
      <w:rFonts w:ascii="Times New Roman" w:hAnsi="Times New Roman" w:eastAsia="宋体" w:cs="Times New Roman"/>
      <w:b/>
      <w:bCs/>
      <w:kern w:val="44"/>
      <w:sz w:val="44"/>
      <w:szCs w:val="44"/>
    </w:rPr>
  </w:style>
  <w:style w:type="character" w:customStyle="1" w:styleId="41">
    <w:name w:val="标题 2 字符"/>
    <w:basedOn w:val="27"/>
    <w:semiHidden/>
    <w:qFormat/>
    <w:uiPriority w:val="0"/>
    <w:rPr>
      <w:rFonts w:asciiTheme="majorHAnsi" w:hAnsiTheme="majorHAnsi" w:eastAsiaTheme="majorEastAsia" w:cstheme="majorBidi"/>
      <w:b/>
      <w:bCs/>
      <w:sz w:val="32"/>
      <w:szCs w:val="32"/>
    </w:rPr>
  </w:style>
  <w:style w:type="character" w:styleId="42">
    <w:name w:val="Placeholder Text"/>
    <w:basedOn w:val="27"/>
    <w:semiHidden/>
    <w:qFormat/>
    <w:uiPriority w:val="99"/>
    <w:rPr>
      <w:color w:val="808080"/>
    </w:rPr>
  </w:style>
  <w:style w:type="character" w:customStyle="1" w:styleId="43">
    <w:name w:val="标题 3 字符"/>
    <w:basedOn w:val="27"/>
    <w:link w:val="4"/>
    <w:qFormat/>
    <w:uiPriority w:val="0"/>
    <w:rPr>
      <w:b/>
      <w:bCs/>
      <w:sz w:val="32"/>
      <w:szCs w:val="32"/>
    </w:rPr>
  </w:style>
  <w:style w:type="paragraph" w:styleId="44">
    <w:name w:val="List Paragraph"/>
    <w:basedOn w:val="1"/>
    <w:qFormat/>
    <w:uiPriority w:val="99"/>
    <w:pPr>
      <w:ind w:firstLine="420" w:firstLineChars="200"/>
    </w:pPr>
  </w:style>
  <w:style w:type="paragraph" w:styleId="45">
    <w:name w:val="Quote"/>
    <w:basedOn w:val="1"/>
    <w:next w:val="1"/>
    <w:link w:val="46"/>
    <w:qFormat/>
    <w:uiPriority w:val="29"/>
    <w:rPr>
      <w:rFonts w:ascii="Calibri" w:hAnsi="Calibri" w:eastAsia="华文楷体"/>
      <w:sz w:val="24"/>
    </w:rPr>
  </w:style>
  <w:style w:type="character" w:customStyle="1" w:styleId="46">
    <w:name w:val="引用 字符"/>
    <w:basedOn w:val="27"/>
    <w:link w:val="45"/>
    <w:qFormat/>
    <w:uiPriority w:val="29"/>
    <w:rPr>
      <w:rFonts w:ascii="Calibri" w:hAnsi="Calibri" w:eastAsia="华文楷体" w:cs="Times New Roman"/>
      <w:kern w:val="2"/>
      <w:sz w:val="24"/>
      <w:szCs w:val="22"/>
    </w:rPr>
  </w:style>
  <w:style w:type="character" w:customStyle="1" w:styleId="47">
    <w:name w:val="无间隔 字符"/>
    <w:link w:val="48"/>
    <w:qFormat/>
    <w:locked/>
    <w:uiPriority w:val="1"/>
    <w:rPr>
      <w:rFonts w:ascii="Calibri" w:hAnsi="Calibri" w:eastAsia="宋体" w:cs="Times New Roman"/>
      <w:kern w:val="2"/>
      <w:sz w:val="28"/>
      <w:szCs w:val="22"/>
    </w:rPr>
  </w:style>
  <w:style w:type="paragraph" w:styleId="48">
    <w:name w:val="No Spacing"/>
    <w:basedOn w:val="1"/>
    <w:link w:val="47"/>
    <w:qFormat/>
    <w:uiPriority w:val="1"/>
    <w:pPr>
      <w:widowControl/>
      <w:spacing w:line="312" w:lineRule="auto"/>
      <w:ind w:firstLine="200" w:firstLineChars="200"/>
      <w:jc w:val="left"/>
    </w:pPr>
    <w:rPr>
      <w:rFonts w:ascii="Calibri" w:hAnsi="Calibri"/>
      <w:sz w:val="28"/>
    </w:rPr>
  </w:style>
  <w:style w:type="paragraph" w:customStyle="1" w:styleId="49">
    <w:name w:val="表格文字"/>
    <w:basedOn w:val="1"/>
    <w:link w:val="51"/>
    <w:qFormat/>
    <w:uiPriority w:val="0"/>
    <w:pPr>
      <w:autoSpaceDE w:val="0"/>
      <w:autoSpaceDN w:val="0"/>
      <w:adjustRightInd w:val="0"/>
      <w:jc w:val="center"/>
    </w:pPr>
    <w:rPr>
      <w:kern w:val="0"/>
      <w:sz w:val="15"/>
      <w:szCs w:val="21"/>
    </w:rPr>
  </w:style>
  <w:style w:type="paragraph" w:customStyle="1" w:styleId="50">
    <w:name w:val="图表名"/>
    <w:basedOn w:val="1"/>
    <w:link w:val="53"/>
    <w:qFormat/>
    <w:uiPriority w:val="0"/>
    <w:pPr>
      <w:autoSpaceDE w:val="0"/>
      <w:autoSpaceDN w:val="0"/>
      <w:adjustRightInd w:val="0"/>
      <w:jc w:val="center"/>
    </w:pPr>
    <w:rPr>
      <w:rFonts w:eastAsia="黑体"/>
      <w:kern w:val="0"/>
      <w:sz w:val="18"/>
      <w:szCs w:val="21"/>
    </w:rPr>
  </w:style>
  <w:style w:type="character" w:customStyle="1" w:styleId="51">
    <w:name w:val="表格文字 字符"/>
    <w:basedOn w:val="27"/>
    <w:link w:val="49"/>
    <w:qFormat/>
    <w:uiPriority w:val="0"/>
    <w:rPr>
      <w:rFonts w:ascii="Times New Roman" w:hAnsi="Times New Roman" w:eastAsia="宋体" w:cs="Times New Roman"/>
      <w:sz w:val="15"/>
      <w:szCs w:val="21"/>
    </w:rPr>
  </w:style>
  <w:style w:type="paragraph" w:customStyle="1" w:styleId="52">
    <w:name w:val="表格标注"/>
    <w:basedOn w:val="1"/>
    <w:link w:val="54"/>
    <w:qFormat/>
    <w:uiPriority w:val="0"/>
    <w:rPr>
      <w:sz w:val="15"/>
    </w:rPr>
  </w:style>
  <w:style w:type="character" w:customStyle="1" w:styleId="53">
    <w:name w:val="图表名 字符"/>
    <w:basedOn w:val="27"/>
    <w:link w:val="50"/>
    <w:qFormat/>
    <w:uiPriority w:val="0"/>
    <w:rPr>
      <w:rFonts w:ascii="Times New Roman" w:hAnsi="Times New Roman" w:eastAsia="黑体" w:cs="Times New Roman"/>
      <w:sz w:val="18"/>
      <w:szCs w:val="21"/>
    </w:rPr>
  </w:style>
  <w:style w:type="character" w:customStyle="1" w:styleId="54">
    <w:name w:val="表格标注 字符"/>
    <w:basedOn w:val="27"/>
    <w:link w:val="52"/>
    <w:qFormat/>
    <w:uiPriority w:val="0"/>
    <w:rPr>
      <w:rFonts w:ascii="Times New Roman" w:hAnsi="Times New Roman" w:eastAsia="宋体" w:cs="Times New Roman"/>
      <w:kern w:val="2"/>
      <w:sz w:val="15"/>
      <w:szCs w:val="22"/>
    </w:rPr>
  </w:style>
  <w:style w:type="character" w:customStyle="1" w:styleId="55">
    <w:name w:val="正文文本 字符"/>
    <w:basedOn w:val="27"/>
    <w:link w:val="9"/>
    <w:qFormat/>
    <w:uiPriority w:val="1"/>
    <w:rPr>
      <w:rFonts w:ascii="宋体" w:hAnsi="宋体" w:eastAsia="宋体" w:cs="Times New Roman"/>
      <w:color w:val="000000" w:themeColor="text1"/>
      <w:lang w:eastAsia="en-US"/>
      <w14:textFill>
        <w14:solidFill>
          <w14:schemeClr w14:val="tx1"/>
        </w14:solidFill>
      </w14:textFill>
    </w:rPr>
  </w:style>
  <w:style w:type="character" w:customStyle="1" w:styleId="56">
    <w:name w:val="Body text|1_"/>
    <w:link w:val="57"/>
    <w:qFormat/>
    <w:uiPriority w:val="0"/>
    <w:rPr>
      <w:rFonts w:ascii="宋体" w:hAnsi="宋体" w:eastAsia="宋体" w:cs="宋体"/>
      <w:lang w:val="zh-TW" w:eastAsia="zh-TW" w:bidi="zh-TW"/>
    </w:rPr>
  </w:style>
  <w:style w:type="paragraph" w:customStyle="1" w:styleId="57">
    <w:name w:val="Body text|1"/>
    <w:basedOn w:val="1"/>
    <w:link w:val="56"/>
    <w:qFormat/>
    <w:uiPriority w:val="0"/>
    <w:pPr>
      <w:spacing w:line="329" w:lineRule="auto"/>
      <w:jc w:val="left"/>
    </w:pPr>
    <w:rPr>
      <w:rFonts w:ascii="宋体" w:hAnsi="宋体" w:cs="宋体"/>
      <w:kern w:val="0"/>
      <w:sz w:val="20"/>
      <w:szCs w:val="20"/>
      <w:lang w:val="zh-TW" w:eastAsia="zh-TW" w:bidi="zh-TW"/>
    </w:rPr>
  </w:style>
  <w:style w:type="character" w:customStyle="1" w:styleId="58">
    <w:name w:val="Other|1_"/>
    <w:link w:val="59"/>
    <w:qFormat/>
    <w:uiPriority w:val="0"/>
    <w:rPr>
      <w:rFonts w:ascii="宋体" w:hAnsi="宋体" w:eastAsia="宋体" w:cs="宋体"/>
      <w:lang w:val="zh-TW" w:eastAsia="zh-TW" w:bidi="zh-TW"/>
    </w:rPr>
  </w:style>
  <w:style w:type="paragraph" w:customStyle="1" w:styleId="59">
    <w:name w:val="Other|1"/>
    <w:basedOn w:val="1"/>
    <w:link w:val="58"/>
    <w:qFormat/>
    <w:uiPriority w:val="0"/>
    <w:pPr>
      <w:spacing w:line="329" w:lineRule="auto"/>
      <w:jc w:val="left"/>
    </w:pPr>
    <w:rPr>
      <w:rFonts w:ascii="宋体" w:hAnsi="宋体" w:cs="宋体"/>
      <w:kern w:val="0"/>
      <w:sz w:val="20"/>
      <w:szCs w:val="20"/>
      <w:lang w:val="zh-TW" w:eastAsia="zh-TW" w:bidi="zh-TW"/>
    </w:rPr>
  </w:style>
  <w:style w:type="paragraph" w:customStyle="1" w:styleId="60">
    <w:name w:val="一般条文"/>
    <w:basedOn w:val="1"/>
    <w:qFormat/>
    <w:uiPriority w:val="0"/>
    <w:rPr>
      <w:color w:val="000000" w:themeColor="text1"/>
      <w:szCs w:val="21"/>
      <w14:textFill>
        <w14:solidFill>
          <w14:schemeClr w14:val="tx1"/>
        </w14:solidFill>
      </w14:textFill>
    </w:rPr>
  </w:style>
  <w:style w:type="character" w:customStyle="1" w:styleId="61">
    <w:name w:val="批注框文本 字符"/>
    <w:basedOn w:val="27"/>
    <w:link w:val="14"/>
    <w:semiHidden/>
    <w:qFormat/>
    <w:uiPriority w:val="99"/>
    <w:rPr>
      <w:rFonts w:ascii="Times New Roman" w:hAnsi="Times New Roman" w:eastAsia="宋体" w:cs="Times New Roman"/>
      <w:kern w:val="2"/>
      <w:sz w:val="18"/>
      <w:szCs w:val="18"/>
    </w:rPr>
  </w:style>
  <w:style w:type="paragraph" w:customStyle="1" w:styleId="62">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table" w:customStyle="1" w:styleId="63">
    <w:name w:val="网格型1"/>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4">
    <w:name w:val="批注文字 字符"/>
    <w:basedOn w:val="27"/>
    <w:link w:val="8"/>
    <w:semiHidden/>
    <w:qFormat/>
    <w:uiPriority w:val="99"/>
    <w:rPr>
      <w:rFonts w:ascii="Times New Roman" w:hAnsi="Times New Roman" w:eastAsia="宋体" w:cs="Times New Roman"/>
      <w:kern w:val="2"/>
      <w:sz w:val="21"/>
      <w:szCs w:val="22"/>
    </w:rPr>
  </w:style>
  <w:style w:type="character" w:customStyle="1" w:styleId="65">
    <w:name w:val="批注主题 字符"/>
    <w:basedOn w:val="64"/>
    <w:link w:val="23"/>
    <w:semiHidden/>
    <w:qFormat/>
    <w:uiPriority w:val="99"/>
    <w:rPr>
      <w:rFonts w:ascii="Times New Roman" w:hAnsi="Times New Roman" w:eastAsia="宋体" w:cs="Times New Roman"/>
      <w:b/>
      <w:bCs/>
      <w:kern w:val="2"/>
      <w:sz w:val="21"/>
      <w:szCs w:val="22"/>
    </w:rPr>
  </w:style>
  <w:style w:type="character" w:customStyle="1" w:styleId="66">
    <w:name w:val="日期 字符"/>
    <w:basedOn w:val="27"/>
    <w:link w:val="13"/>
    <w:semiHidden/>
    <w:qFormat/>
    <w:uiPriority w:val="99"/>
    <w:rPr>
      <w:rFonts w:ascii="Times New Roman" w:hAnsi="Times New Roman" w:eastAsia="宋体" w:cs="Times New Roman"/>
      <w:kern w:val="2"/>
      <w:sz w:val="21"/>
      <w:szCs w:val="22"/>
    </w:rPr>
  </w:style>
  <w:style w:type="paragraph" w:customStyle="1" w:styleId="67">
    <w:name w:val="修订1"/>
    <w:hidden/>
    <w:semiHidden/>
    <w:qFormat/>
    <w:uiPriority w:val="99"/>
    <w:rPr>
      <w:rFonts w:ascii="Times New Roman" w:hAnsi="Times New Roman" w:eastAsia="宋体" w:cs="Times New Roman"/>
      <w:kern w:val="2"/>
      <w:sz w:val="21"/>
      <w:szCs w:val="22"/>
      <w:lang w:val="en-US" w:eastAsia="zh-CN" w:bidi="ar-SA"/>
    </w:rPr>
  </w:style>
  <w:style w:type="paragraph" w:customStyle="1" w:styleId="68">
    <w:name w:val="修订2"/>
    <w:hidden/>
    <w:semiHidden/>
    <w:qFormat/>
    <w:uiPriority w:val="99"/>
    <w:rPr>
      <w:rFonts w:ascii="Times New Roman" w:hAnsi="Times New Roman" w:eastAsia="宋体" w:cs="Times New Roman"/>
      <w:kern w:val="2"/>
      <w:sz w:val="21"/>
      <w:szCs w:val="22"/>
      <w:lang w:val="en-US" w:eastAsia="zh-CN" w:bidi="ar-SA"/>
    </w:rPr>
  </w:style>
  <w:style w:type="paragraph" w:customStyle="1" w:styleId="69">
    <w:name w:val="修订3"/>
    <w:hidden/>
    <w:semiHidden/>
    <w:qFormat/>
    <w:uiPriority w:val="99"/>
    <w:rPr>
      <w:rFonts w:ascii="Times New Roman" w:hAnsi="Times New Roman" w:eastAsia="宋体" w:cs="Times New Roman"/>
      <w:kern w:val="2"/>
      <w:sz w:val="21"/>
      <w:szCs w:val="22"/>
      <w:lang w:val="en-US" w:eastAsia="zh-CN" w:bidi="ar-SA"/>
    </w:rPr>
  </w:style>
  <w:style w:type="paragraph" w:customStyle="1" w:styleId="70">
    <w:name w:val="WPSOffice手动目录 1"/>
    <w:qFormat/>
    <w:uiPriority w:val="0"/>
    <w:rPr>
      <w:rFonts w:ascii="Times New Roman" w:hAnsi="Times New Roman" w:eastAsia="宋体" w:cs="Times New Roman"/>
      <w:lang w:val="en-US" w:eastAsia="zh-CN" w:bidi="ar-SA"/>
    </w:rPr>
  </w:style>
  <w:style w:type="paragraph" w:customStyle="1" w:styleId="71">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7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73">
    <w:name w:val="标题 2 字符1"/>
    <w:basedOn w:val="27"/>
    <w:link w:val="3"/>
    <w:semiHidden/>
    <w:qFormat/>
    <w:uiPriority w:val="0"/>
    <w:rPr>
      <w:rFonts w:asciiTheme="majorHAnsi" w:hAnsiTheme="majorHAnsi" w:eastAsiaTheme="majorEastAsia" w:cstheme="majorBidi"/>
      <w:b/>
      <w:bCs/>
      <w:sz w:val="32"/>
      <w:szCs w:val="32"/>
    </w:rPr>
  </w:style>
  <w:style w:type="paragraph" w:customStyle="1" w:styleId="74">
    <w:name w:val="条文解释"/>
    <w:basedOn w:val="1"/>
    <w:qFormat/>
    <w:uiPriority w:val="0"/>
    <w:pPr>
      <w:ind w:firstLine="200" w:firstLineChars="200"/>
    </w:pPr>
    <w:rPr>
      <w:szCs w:val="20"/>
    </w:rPr>
  </w:style>
  <w:style w:type="paragraph" w:customStyle="1" w:styleId="75">
    <w:name w:val="图（表）注"/>
    <w:basedOn w:val="76"/>
    <w:qFormat/>
    <w:uiPriority w:val="0"/>
    <w:rPr>
      <w:rFonts w:eastAsia="宋体"/>
      <w:sz w:val="16"/>
    </w:rPr>
  </w:style>
  <w:style w:type="paragraph" w:customStyle="1" w:styleId="76">
    <w:name w:val="图名"/>
    <w:basedOn w:val="7"/>
    <w:qFormat/>
    <w:uiPriority w:val="0"/>
    <w:pPr>
      <w:spacing w:beforeLines="25" w:afterLines="25"/>
      <w:jc w:val="center"/>
    </w:pPr>
    <w:rPr>
      <w:rFonts w:ascii="Times New Roman" w:hAnsi="Times New Roman"/>
      <w:sz w:val="18"/>
      <w:szCs w:val="21"/>
    </w:rPr>
  </w:style>
  <w:style w:type="paragraph" w:customStyle="1" w:styleId="77">
    <w:name w:val="表格居中"/>
    <w:next w:val="1"/>
    <w:qFormat/>
    <w:uiPriority w:val="0"/>
    <w:pPr>
      <w:widowControl w:val="0"/>
      <w:jc w:val="center"/>
    </w:pPr>
    <w:rPr>
      <w:rFonts w:ascii="Times New Roman" w:hAnsi="Times New Roman" w:eastAsia="仿宋_GB2312" w:cs="MingLiU_HKSCS"/>
      <w:kern w:val="2"/>
      <w:sz w:val="18"/>
      <w:szCs w:val="21"/>
      <w:lang w:val="en-US" w:eastAsia="zh-CN" w:bidi="ar-SA"/>
    </w:rPr>
  </w:style>
  <w:style w:type="character" w:customStyle="1" w:styleId="78">
    <w:name w:val="font-bold"/>
    <w:basedOn w:val="27"/>
    <w:qFormat/>
    <w:uiPriority w:val="0"/>
  </w:style>
  <w:style w:type="paragraph" w:customStyle="1" w:styleId="79">
    <w:name w:val="Revision"/>
    <w:hidden/>
    <w:unhideWhenUsed/>
    <w:qFormat/>
    <w:uiPriority w:val="99"/>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emf"/><Relationship Id="rId4" Type="http://schemas.openxmlformats.org/officeDocument/2006/relationships/footer" Target="footer1.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emf"/><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142</Pages>
  <Words>1802</Words>
  <Characters>3490</Characters>
  <Lines>3557</Lines>
  <Paragraphs>3352</Paragraphs>
  <TotalTime>72</TotalTime>
  <ScaleCrop>false</ScaleCrop>
  <LinksUpToDate>false</LinksUpToDate>
  <CharactersWithSpaces>4198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2023-05-08T20:33:00Z</dcterms:created>
  <dc:creator>admin</dc:creator>
  <cp:lastModifiedBy>陌</cp:lastModifiedBy>
  <cp:lastPrinted>2025-07-14T23:44:00Z</cp:lastPrinted>
  <dcterms:modified xsi:type="dcterms:W3CDTF">2025-08-14T09:01:33Z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5AC05D7604C9468FA6AE8C25B9D81DA5_13</vt:lpwstr>
  </property>
  <property fmtid="{D5CDD505-2E9C-101B-9397-08002B2CF9AE}" pid="4" name="KSOTemplateDocerSaveRecord">
    <vt:lpwstr>eyJoZGlkIjoiYmNhZDU5Nzc0MWRjZjgzYTk5MjI0N2JhZjg4OWRhMWIiLCJ1c2VySWQiOiIxMjA5OTQ0MDAwIn0=</vt:lpwstr>
  </property>
</Properties>
</file>