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8ADC0">
      <w:pPr>
        <w:spacing w:line="240" w:lineRule="auto"/>
        <w:jc w:val="both"/>
        <w:rPr>
          <w:rFonts w:hint="eastAsia" w:eastAsia="黑体" w:cs="Times New Roman"/>
          <w:sz w:val="32"/>
          <w:szCs w:val="32"/>
          <w:lang w:val="en-US" w:eastAsia="zh-CN"/>
        </w:rPr>
      </w:pPr>
      <w:r>
        <w:rPr>
          <w:rFonts w:hint="eastAsia" w:eastAsia="黑体" w:cs="Times New Roman"/>
          <w:sz w:val="32"/>
          <w:szCs w:val="32"/>
          <w:lang w:val="en-US" w:eastAsia="zh-CN"/>
        </w:rPr>
        <w:drawing>
          <wp:anchor distT="0" distB="0" distL="114300" distR="114300" simplePos="0" relativeHeight="251661312" behindDoc="0" locked="0" layoutInCell="1" allowOverlap="1">
            <wp:simplePos x="0" y="0"/>
            <wp:positionH relativeFrom="page">
              <wp:posOffset>4733925</wp:posOffset>
            </wp:positionH>
            <wp:positionV relativeFrom="page">
              <wp:posOffset>968375</wp:posOffset>
            </wp:positionV>
            <wp:extent cx="1720215" cy="800100"/>
            <wp:effectExtent l="0" t="0" r="13335" b="0"/>
            <wp:wrapNone/>
            <wp:docPr id="29"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descr="说明: GD"/>
                    <pic:cNvPicPr>
                      <a:picLocks noChangeAspect="1"/>
                    </pic:cNvPicPr>
                  </pic:nvPicPr>
                  <pic:blipFill>
                    <a:blip r:embed="rId19"/>
                    <a:stretch>
                      <a:fillRect/>
                    </a:stretch>
                  </pic:blipFill>
                  <pic:spPr>
                    <a:xfrm>
                      <a:off x="0" y="0"/>
                      <a:ext cx="1720215" cy="800100"/>
                    </a:xfrm>
                    <a:prstGeom prst="rect">
                      <a:avLst/>
                    </a:prstGeom>
                    <a:noFill/>
                    <a:ln>
                      <a:noFill/>
                    </a:ln>
                  </pic:spPr>
                </pic:pic>
              </a:graphicData>
            </a:graphic>
          </wp:anchor>
        </w:drawing>
      </w:r>
      <w:r>
        <w:rPr>
          <w:rFonts w:hint="eastAsia" w:eastAsia="黑体" w:cs="Times New Roman"/>
          <w:sz w:val="32"/>
          <w:szCs w:val="32"/>
          <w:lang w:val="en-US" w:eastAsia="zh-CN"/>
        </w:rPr>
        <w:t xml:space="preserve">         </w:t>
      </w:r>
    </w:p>
    <w:p w14:paraId="6444920F">
      <w:pPr>
        <w:spacing w:line="240" w:lineRule="auto"/>
        <w:jc w:val="both"/>
        <w:rPr>
          <w:rFonts w:hint="eastAsia" w:eastAsia="宋体" w:cs="Times New Roman"/>
          <w:sz w:val="21"/>
          <w:szCs w:val="24"/>
        </w:rPr>
      </w:pPr>
      <w:r>
        <w:rPr>
          <w:rFonts w:hint="eastAsia" w:eastAsia="黑体" w:cs="Times New Roman"/>
          <w:sz w:val="32"/>
          <w:szCs w:val="32"/>
          <w:lang w:val="en-US" w:eastAsia="zh-CN"/>
        </w:rPr>
        <w:t xml:space="preserve">         </w:t>
      </w:r>
      <w:r>
        <w:rPr>
          <w:rFonts w:eastAsia="黑体" w:cs="Times New Roman"/>
          <w:spacing w:val="28"/>
          <w:sz w:val="48"/>
          <w:szCs w:val="48"/>
        </w:rPr>
        <w:t>广东省标准</w:t>
      </w:r>
      <w:r>
        <w:rPr>
          <w:rFonts w:eastAsia="黑体" w:cs="Times New Roman"/>
          <w:sz w:val="32"/>
          <w:szCs w:val="32"/>
        </w:rPr>
        <w:t xml:space="preserve">            </w:t>
      </w:r>
      <w:r>
        <w:rPr>
          <w:rFonts w:hint="eastAsia" w:eastAsia="宋体" w:cs="Times New Roman"/>
          <w:color w:val="000000"/>
          <w:sz w:val="52"/>
          <w:szCs w:val="24"/>
        </w:rPr>
        <w:t xml:space="preserve">   </w:t>
      </w:r>
    </w:p>
    <w:p w14:paraId="55AC1CBE">
      <w:pPr>
        <w:spacing w:line="240" w:lineRule="auto"/>
        <w:rPr>
          <w:rFonts w:hint="eastAsia" w:eastAsia="宋体" w:cs="Times New Roman"/>
          <w:sz w:val="21"/>
          <w:szCs w:val="24"/>
        </w:rPr>
      </w:pPr>
    </w:p>
    <w:p w14:paraId="45019789">
      <w:pPr>
        <w:spacing w:line="240" w:lineRule="auto"/>
        <w:rPr>
          <w:rFonts w:hint="eastAsia" w:eastAsia="宋体" w:cs="Times New Roman"/>
          <w:sz w:val="21"/>
          <w:szCs w:val="24"/>
        </w:rPr>
      </w:pPr>
      <w:r>
        <w:rPr>
          <w:rFonts w:hint="eastAsia" w:eastAsia="宋体" w:cs="Times New Roman"/>
          <w:sz w:val="21"/>
          <w:szCs w:val="24"/>
        </w:rPr>
        <w:t xml:space="preserve">                              </w:t>
      </w:r>
      <w:bookmarkStart w:id="0" w:name="_Toc337542810"/>
      <w:r>
        <w:rPr>
          <w:rFonts w:hint="eastAsia" w:eastAsia="宋体" w:cs="Times New Roman"/>
          <w:sz w:val="21"/>
          <w:szCs w:val="24"/>
        </w:rPr>
        <w:t xml:space="preserve">  </w:t>
      </w:r>
      <w:r>
        <w:rPr>
          <w:rFonts w:hint="eastAsia" w:eastAsia="宋体" w:cs="Times New Roman"/>
          <w:sz w:val="21"/>
          <w:szCs w:val="24"/>
          <w:lang w:val="en-US" w:eastAsia="zh-CN"/>
        </w:rPr>
        <w:t xml:space="preserve">                                            </w:t>
      </w:r>
      <w:r>
        <w:rPr>
          <w:rFonts w:hint="eastAsia" w:eastAsia="宋体" w:cs="Times New Roman"/>
          <w:sz w:val="21"/>
          <w:szCs w:val="24"/>
        </w:rPr>
        <w:t xml:space="preserve">  </w:t>
      </w:r>
      <w:r>
        <w:rPr>
          <w:rFonts w:hint="eastAsia" w:eastAsia="宋体" w:cs="Times New Roman"/>
          <w:sz w:val="21"/>
          <w:szCs w:val="24"/>
          <w:lang w:val="en-US" w:eastAsia="zh-CN"/>
        </w:rPr>
        <w:t xml:space="preserve">       </w:t>
      </w:r>
      <w:r>
        <w:rPr>
          <w:rFonts w:hint="eastAsia" w:eastAsia="宋体" w:cs="Times New Roman"/>
          <w:sz w:val="21"/>
          <w:szCs w:val="24"/>
        </w:rPr>
        <w:t xml:space="preserve"> </w:t>
      </w:r>
    </w:p>
    <w:p w14:paraId="4C68798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eastAsia="宋体" w:cs="Times New Roman"/>
          <w:spacing w:val="17"/>
          <w:sz w:val="30"/>
          <w:szCs w:val="30"/>
          <w:lang w:val="en-US" w:eastAsia="zh-CN"/>
        </w:rPr>
      </w:pPr>
      <w:r>
        <w:rPr>
          <w:rFonts w:hint="eastAsia" w:eastAsia="宋体" w:cs="Times New Roman"/>
          <w:sz w:val="21"/>
          <w:szCs w:val="24"/>
          <w:lang w:val="en-US" w:eastAsia="zh-CN"/>
        </w:rPr>
        <w:t xml:space="preserve">                                                      </w:t>
      </w:r>
      <w:r>
        <w:rPr>
          <w:rFonts w:hint="eastAsia" w:eastAsia="宋体" w:cs="Times New Roman"/>
          <w:sz w:val="21"/>
          <w:szCs w:val="24"/>
        </w:rPr>
        <w:t xml:space="preserve"> </w:t>
      </w:r>
      <w:r>
        <w:rPr>
          <w:rFonts w:eastAsia="宋体" w:cs="Times New Roman"/>
          <w:spacing w:val="23"/>
          <w:sz w:val="30"/>
          <w:szCs w:val="30"/>
        </w:rPr>
        <w:t>DBJ</w:t>
      </w:r>
      <w:r>
        <w:rPr>
          <w:rFonts w:hint="eastAsia" w:eastAsia="宋体" w:cs="Times New Roman"/>
          <w:spacing w:val="23"/>
          <w:sz w:val="30"/>
          <w:szCs w:val="30"/>
          <w:lang w:val="en-US" w:eastAsia="zh-CN"/>
        </w:rPr>
        <w:t>/T 15</w:t>
      </w:r>
      <w:r>
        <w:rPr>
          <w:rFonts w:eastAsia="宋体" w:cs="Times New Roman"/>
          <w:spacing w:val="23"/>
          <w:sz w:val="30"/>
          <w:szCs w:val="30"/>
        </w:rPr>
        <w:t>-</w:t>
      </w:r>
      <w:r>
        <w:rPr>
          <w:rFonts w:hint="eastAsia" w:ascii="黑体" w:hAnsi="黑体" w:eastAsia="黑体" w:cs="Times New Roman"/>
          <w:sz w:val="28"/>
          <w:szCs w:val="28"/>
          <w:lang w:val="en-US" w:eastAsia="zh-CN"/>
        </w:rPr>
        <w:t>XX</w:t>
      </w:r>
      <w:r>
        <w:rPr>
          <w:rFonts w:eastAsia="宋体" w:cs="Times New Roman"/>
          <w:spacing w:val="23"/>
          <w:sz w:val="30"/>
          <w:szCs w:val="30"/>
        </w:rPr>
        <w:t>-</w:t>
      </w:r>
      <w:bookmarkEnd w:id="0"/>
      <w:r>
        <w:rPr>
          <w:rFonts w:eastAsia="宋体" w:cs="Times New Roman"/>
          <w:spacing w:val="0"/>
          <w:sz w:val="30"/>
          <w:szCs w:val="30"/>
        </w:rPr>
        <w:t>20</w:t>
      </w:r>
      <w:r>
        <w:rPr>
          <w:rFonts w:hint="eastAsia" w:ascii="黑体" w:hAnsi="黑体" w:eastAsia="黑体" w:cs="Times New Roman"/>
          <w:sz w:val="28"/>
          <w:szCs w:val="28"/>
          <w:lang w:val="en-US" w:eastAsia="zh-CN"/>
        </w:rPr>
        <w:t>XX</w:t>
      </w:r>
    </w:p>
    <w:p w14:paraId="5274E6D1">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eastAsia="宋体" w:cs="Times New Roman"/>
          <w:sz w:val="28"/>
          <w:szCs w:val="28"/>
        </w:rPr>
      </w:pPr>
      <w:r>
        <w:rPr>
          <w:rFonts w:eastAsia="宋体"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30" name="直接连接符 30"/>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2xaSdQAAAAHAQAADwAAAAAAAAABACAAAAAiAAAAZHJzL2Rvd25y&#10;ZXYueG1sUEsBAhQAFAAAAAgAh07iQFgQjSECAgAA9AMAAA4AAAAAAAAAAQAgAAAAIwEAAGRycy9l&#10;Mm9Eb2MueG1sUEsFBgAAAAAGAAYAWQEAAJcFAAAAAA==&#10;">
                <v:fill on="f" focussize="0,0"/>
                <v:stroke color="#000000" joinstyle="round"/>
                <v:imagedata o:title=""/>
                <o:lock v:ext="edit" aspectratio="f"/>
              </v:line>
            </w:pict>
          </mc:Fallback>
        </mc:AlternateContent>
      </w:r>
      <w:r>
        <w:rPr>
          <w:rFonts w:hint="eastAsia" w:eastAsia="宋体" w:cs="Times New Roman"/>
          <w:sz w:val="28"/>
          <w:szCs w:val="28"/>
          <w:lang w:val="en-US" w:eastAsia="zh-CN"/>
        </w:rPr>
        <w:t xml:space="preserve">                                        </w:t>
      </w:r>
      <w:r>
        <w:rPr>
          <w:rFonts w:hint="eastAsia" w:ascii="黑体" w:hAnsi="黑体" w:eastAsia="黑体" w:cs="Times New Roman"/>
          <w:sz w:val="28"/>
          <w:szCs w:val="28"/>
        </w:rPr>
        <w:t xml:space="preserve">备案号 J </w:t>
      </w:r>
      <w:r>
        <w:rPr>
          <w:rFonts w:hint="eastAsia" w:ascii="黑体" w:hAnsi="黑体" w:eastAsia="黑体" w:cs="Times New Roman"/>
          <w:sz w:val="28"/>
          <w:szCs w:val="28"/>
          <w:lang w:val="en-US" w:eastAsia="zh-CN"/>
        </w:rPr>
        <w:t>XXXXX</w:t>
      </w:r>
      <w:r>
        <w:rPr>
          <w:rFonts w:hint="eastAsia" w:ascii="黑体" w:hAnsi="黑体" w:eastAsia="黑体" w:cs="Times New Roman"/>
          <w:sz w:val="28"/>
          <w:szCs w:val="28"/>
        </w:rPr>
        <w:t>-20</w:t>
      </w:r>
      <w:r>
        <w:rPr>
          <w:rFonts w:hint="eastAsia" w:ascii="黑体" w:hAnsi="黑体" w:eastAsia="黑体" w:cs="Times New Roman"/>
          <w:sz w:val="28"/>
          <w:szCs w:val="28"/>
          <w:lang w:val="en-US" w:eastAsia="zh-CN"/>
        </w:rPr>
        <w:t>XX</w:t>
      </w:r>
    </w:p>
    <w:p w14:paraId="21996DE0">
      <w:pPr>
        <w:spacing w:line="240" w:lineRule="auto"/>
        <w:jc w:val="center"/>
        <w:rPr>
          <w:rFonts w:ascii="宋体" w:hAnsi="宋体" w:eastAsia="宋体" w:cs="Times New Roman"/>
          <w:b/>
          <w:sz w:val="48"/>
          <w:szCs w:val="48"/>
        </w:rPr>
      </w:pPr>
    </w:p>
    <w:p w14:paraId="0648A2C3">
      <w:pPr>
        <w:spacing w:line="240" w:lineRule="auto"/>
        <w:jc w:val="center"/>
        <w:outlineLvl w:val="0"/>
        <w:rPr>
          <w:rFonts w:hint="eastAsia" w:ascii="宋体" w:hAnsi="宋体" w:eastAsia="宋体" w:cs="Times New Roman"/>
          <w:b/>
          <w:sz w:val="48"/>
          <w:szCs w:val="48"/>
        </w:rPr>
      </w:pPr>
      <w:bookmarkStart w:id="1" w:name="_Toc375640674"/>
    </w:p>
    <w:bookmarkEnd w:id="1"/>
    <w:p w14:paraId="10DEA743">
      <w:pPr>
        <w:spacing w:line="240" w:lineRule="auto"/>
        <w:jc w:val="center"/>
        <w:outlineLvl w:val="0"/>
        <w:rPr>
          <w:rFonts w:hint="eastAsia" w:ascii="宋体" w:hAnsi="宋体" w:eastAsia="宋体" w:cs="Times New Roman"/>
          <w:b/>
          <w:sz w:val="48"/>
          <w:szCs w:val="48"/>
          <w:lang w:eastAsia="zh-CN"/>
        </w:rPr>
      </w:pPr>
      <w:r>
        <w:rPr>
          <w:rFonts w:hint="eastAsia" w:ascii="宋体" w:hAnsi="宋体" w:eastAsia="宋体" w:cs="Times New Roman"/>
          <w:b/>
          <w:sz w:val="48"/>
          <w:szCs w:val="48"/>
          <w:lang w:eastAsia="zh-CN"/>
        </w:rPr>
        <w:t>城镇</w:t>
      </w:r>
      <w:r>
        <w:rPr>
          <w:rFonts w:hint="eastAsia" w:ascii="宋体" w:hAnsi="宋体" w:eastAsia="宋体" w:cs="Times New Roman"/>
          <w:b/>
          <w:sz w:val="48"/>
          <w:szCs w:val="48"/>
        </w:rPr>
        <w:t>给水管道检测与评估</w:t>
      </w:r>
      <w:r>
        <w:rPr>
          <w:rFonts w:hint="eastAsia" w:ascii="宋体" w:hAnsi="宋体" w:eastAsia="宋体" w:cs="Times New Roman"/>
          <w:b/>
          <w:sz w:val="48"/>
          <w:szCs w:val="48"/>
          <w:lang w:val="en-US" w:eastAsia="zh-CN"/>
        </w:rPr>
        <w:t>技术</w:t>
      </w:r>
      <w:r>
        <w:rPr>
          <w:rFonts w:hint="eastAsia" w:ascii="宋体" w:hAnsi="宋体" w:eastAsia="宋体" w:cs="Times New Roman"/>
          <w:b/>
          <w:sz w:val="48"/>
          <w:szCs w:val="48"/>
          <w:lang w:eastAsia="zh-CN"/>
        </w:rPr>
        <w:t>标准</w:t>
      </w:r>
    </w:p>
    <w:p w14:paraId="76AE71D2">
      <w:pPr>
        <w:spacing w:line="240" w:lineRule="auto"/>
        <w:rPr>
          <w:rFonts w:eastAsia="宋体" w:cs="Times New Roman"/>
          <w:sz w:val="21"/>
          <w:szCs w:val="24"/>
        </w:rPr>
      </w:pPr>
    </w:p>
    <w:p w14:paraId="10996FC1">
      <w:pPr>
        <w:spacing w:line="240" w:lineRule="auto"/>
        <w:jc w:val="center"/>
        <w:rPr>
          <w:rFonts w:hint="eastAsia" w:eastAsia="宋体" w:cs="Times New Roman"/>
          <w:b/>
          <w:sz w:val="28"/>
          <w:szCs w:val="28"/>
        </w:rPr>
      </w:pPr>
      <w:r>
        <w:rPr>
          <w:rFonts w:hint="eastAsia" w:eastAsia="宋体" w:cs="Times New Roman"/>
          <w:b/>
          <w:sz w:val="28"/>
          <w:szCs w:val="28"/>
        </w:rPr>
        <w:t>Standard for inspection and evaluation of urban water supply pipelines</w:t>
      </w:r>
    </w:p>
    <w:p w14:paraId="476B70DF">
      <w:pPr>
        <w:spacing w:line="240" w:lineRule="auto"/>
        <w:jc w:val="center"/>
        <w:rPr>
          <w:rFonts w:hint="eastAsia" w:eastAsia="宋体" w:cs="Times New Roman"/>
          <w:b/>
          <w:sz w:val="28"/>
          <w:szCs w:val="28"/>
        </w:rPr>
      </w:pPr>
    </w:p>
    <w:p w14:paraId="3526DD0C">
      <w:pPr>
        <w:spacing w:line="240" w:lineRule="auto"/>
        <w:jc w:val="center"/>
        <w:rPr>
          <w:rFonts w:eastAsia="宋体" w:cs="Times New Roman"/>
          <w:b/>
          <w:color w:val="000000"/>
          <w:sz w:val="30"/>
          <w:szCs w:val="30"/>
        </w:rPr>
      </w:pPr>
      <w:r>
        <w:rPr>
          <w:rFonts w:hint="eastAsia" w:eastAsia="宋体" w:cs="Times New Roman"/>
          <w:b/>
          <w:color w:val="000000"/>
          <w:sz w:val="30"/>
          <w:szCs w:val="30"/>
        </w:rPr>
        <w:t>(</w:t>
      </w:r>
      <w:r>
        <w:rPr>
          <w:rFonts w:hint="eastAsia" w:eastAsia="宋体" w:cs="Times New Roman"/>
          <w:b/>
          <w:color w:val="000000"/>
          <w:sz w:val="30"/>
          <w:szCs w:val="30"/>
          <w:lang w:eastAsia="zh-CN"/>
        </w:rPr>
        <w:t>征求意见</w:t>
      </w:r>
      <w:r>
        <w:rPr>
          <w:rFonts w:hint="eastAsia" w:eastAsia="宋体" w:cs="Times New Roman"/>
          <w:b/>
          <w:color w:val="000000"/>
          <w:sz w:val="30"/>
          <w:szCs w:val="30"/>
        </w:rPr>
        <w:t>稿)</w:t>
      </w:r>
    </w:p>
    <w:p w14:paraId="00532326">
      <w:pPr>
        <w:spacing w:line="240" w:lineRule="auto"/>
        <w:rPr>
          <w:rFonts w:eastAsia="宋体" w:cs="Times New Roman"/>
          <w:sz w:val="21"/>
          <w:szCs w:val="24"/>
        </w:rPr>
      </w:pPr>
    </w:p>
    <w:p w14:paraId="06D3D103">
      <w:pPr>
        <w:spacing w:line="240" w:lineRule="auto"/>
        <w:rPr>
          <w:rFonts w:eastAsia="宋体" w:cs="Times New Roman"/>
          <w:sz w:val="21"/>
          <w:szCs w:val="24"/>
        </w:rPr>
      </w:pPr>
    </w:p>
    <w:p w14:paraId="1580704A">
      <w:pPr>
        <w:spacing w:line="240" w:lineRule="auto"/>
        <w:rPr>
          <w:rFonts w:eastAsia="宋体" w:cs="Times New Roman"/>
          <w:sz w:val="21"/>
          <w:szCs w:val="24"/>
        </w:rPr>
      </w:pPr>
    </w:p>
    <w:p w14:paraId="01AA59C1">
      <w:pPr>
        <w:spacing w:line="240" w:lineRule="auto"/>
        <w:rPr>
          <w:rFonts w:eastAsia="宋体" w:cs="Times New Roman"/>
          <w:sz w:val="21"/>
          <w:szCs w:val="24"/>
        </w:rPr>
      </w:pPr>
    </w:p>
    <w:p w14:paraId="4C84E516">
      <w:pPr>
        <w:pStyle w:val="2"/>
        <w:rPr>
          <w:rFonts w:eastAsia="宋体" w:cs="Times New Roman"/>
          <w:sz w:val="21"/>
          <w:szCs w:val="24"/>
        </w:rPr>
      </w:pPr>
    </w:p>
    <w:p w14:paraId="15EF3302">
      <w:pPr>
        <w:pStyle w:val="2"/>
        <w:rPr>
          <w:rFonts w:eastAsia="宋体" w:cs="Times New Roman"/>
          <w:sz w:val="21"/>
          <w:szCs w:val="24"/>
        </w:rPr>
      </w:pPr>
    </w:p>
    <w:p w14:paraId="6EDFA09E">
      <w:pPr>
        <w:pStyle w:val="2"/>
        <w:rPr>
          <w:rFonts w:eastAsia="宋体" w:cs="Times New Roman"/>
          <w:sz w:val="21"/>
          <w:szCs w:val="24"/>
        </w:rPr>
      </w:pPr>
    </w:p>
    <w:p w14:paraId="2F2752F5">
      <w:pPr>
        <w:spacing w:line="240" w:lineRule="auto"/>
        <w:rPr>
          <w:rFonts w:eastAsia="宋体" w:cs="Times New Roman"/>
          <w:sz w:val="21"/>
          <w:szCs w:val="24"/>
        </w:rPr>
      </w:pPr>
    </w:p>
    <w:p w14:paraId="428819E0">
      <w:pPr>
        <w:pStyle w:val="2"/>
      </w:pPr>
    </w:p>
    <w:p w14:paraId="77EAB182">
      <w:pPr>
        <w:pStyle w:val="2"/>
      </w:pPr>
    </w:p>
    <w:p w14:paraId="55DA56B8">
      <w:pPr>
        <w:spacing w:line="240" w:lineRule="auto"/>
        <w:rPr>
          <w:rFonts w:eastAsia="宋体" w:cs="Times New Roman"/>
          <w:sz w:val="21"/>
          <w:szCs w:val="24"/>
        </w:rPr>
      </w:pPr>
    </w:p>
    <w:p w14:paraId="69683815">
      <w:pPr>
        <w:spacing w:line="240" w:lineRule="auto"/>
        <w:rPr>
          <w:rFonts w:eastAsia="宋体" w:cs="Times New Roman"/>
          <w:sz w:val="21"/>
          <w:szCs w:val="24"/>
        </w:rPr>
      </w:pPr>
    </w:p>
    <w:p w14:paraId="500F2930">
      <w:pPr>
        <w:spacing w:line="240" w:lineRule="auto"/>
        <w:rPr>
          <w:rFonts w:eastAsia="宋体" w:cs="Times New Roman"/>
          <w:sz w:val="21"/>
          <w:szCs w:val="24"/>
        </w:rPr>
      </w:pPr>
    </w:p>
    <w:p w14:paraId="66689757">
      <w:pPr>
        <w:spacing w:line="240" w:lineRule="auto"/>
        <w:rPr>
          <w:rFonts w:eastAsia="宋体" w:cs="Times New Roman"/>
          <w:sz w:val="21"/>
          <w:szCs w:val="24"/>
        </w:rPr>
      </w:pPr>
    </w:p>
    <w:p w14:paraId="2CE60B55">
      <w:pPr>
        <w:spacing w:line="240" w:lineRule="auto"/>
        <w:rPr>
          <w:rFonts w:eastAsia="宋体" w:cs="Times New Roman"/>
          <w:sz w:val="21"/>
          <w:szCs w:val="24"/>
        </w:rPr>
      </w:pPr>
    </w:p>
    <w:p w14:paraId="70715434">
      <w:pPr>
        <w:spacing w:line="240" w:lineRule="auto"/>
        <w:rPr>
          <w:rFonts w:eastAsia="宋体" w:cs="Times New Roman"/>
          <w:sz w:val="21"/>
          <w:szCs w:val="24"/>
        </w:rPr>
      </w:pPr>
    </w:p>
    <w:p w14:paraId="2D991497">
      <w:pPr>
        <w:spacing w:line="240" w:lineRule="auto"/>
        <w:rPr>
          <w:rFonts w:eastAsia="宋体" w:cs="Times New Roman"/>
          <w:sz w:val="21"/>
          <w:szCs w:val="24"/>
        </w:rPr>
      </w:pPr>
    </w:p>
    <w:p w14:paraId="1CE0C409">
      <w:pPr>
        <w:spacing w:line="240" w:lineRule="auto"/>
        <w:rPr>
          <w:rFonts w:eastAsia="宋体" w:cs="Times New Roman"/>
          <w:sz w:val="21"/>
          <w:szCs w:val="24"/>
        </w:rPr>
      </w:pPr>
    </w:p>
    <w:p w14:paraId="4A372A1A">
      <w:pPr>
        <w:spacing w:line="240" w:lineRule="auto"/>
        <w:rPr>
          <w:rFonts w:eastAsia="宋体" w:cs="Times New Roman"/>
          <w:sz w:val="21"/>
          <w:szCs w:val="24"/>
        </w:rPr>
      </w:pPr>
    </w:p>
    <w:p w14:paraId="29D226DD">
      <w:pPr>
        <w:spacing w:line="240" w:lineRule="auto"/>
        <w:rPr>
          <w:rFonts w:eastAsia="宋体" w:cs="Times New Roman"/>
          <w:sz w:val="21"/>
          <w:szCs w:val="24"/>
        </w:rPr>
      </w:pPr>
    </w:p>
    <w:p w14:paraId="644646B9">
      <w:pPr>
        <w:spacing w:line="240" w:lineRule="auto"/>
        <w:rPr>
          <w:rFonts w:eastAsia="黑体" w:cs="Times New Roman"/>
          <w:sz w:val="28"/>
          <w:szCs w:val="28"/>
        </w:rPr>
      </w:pPr>
      <w:r>
        <w:rPr>
          <w:rFonts w:eastAsia="宋体" w:cs="Times New Roman"/>
          <w:b/>
          <w:bCs/>
          <w:sz w:val="32"/>
          <w:szCs w:val="24"/>
        </w:rPr>
        <w:t xml:space="preserve">  </w:t>
      </w:r>
      <w:r>
        <w:rPr>
          <w:rFonts w:eastAsia="黑体" w:cs="Times New Roman"/>
          <w:sz w:val="28"/>
          <w:szCs w:val="28"/>
        </w:rPr>
        <w:t>20</w:t>
      </w:r>
      <w:r>
        <w:rPr>
          <w:rFonts w:hint="eastAsia" w:ascii="黑体" w:hAnsi="黑体" w:eastAsia="黑体" w:cs="Times New Roman"/>
          <w:sz w:val="28"/>
          <w:szCs w:val="28"/>
          <w:lang w:val="en-US" w:eastAsia="zh-CN"/>
        </w:rPr>
        <w:t>XX</w:t>
      </w:r>
      <w:r>
        <w:rPr>
          <w:rFonts w:eastAsia="黑体" w:cs="Times New Roman"/>
          <w:sz w:val="28"/>
          <w:szCs w:val="28"/>
        </w:rPr>
        <w:t>-</w:t>
      </w:r>
      <w:r>
        <w:rPr>
          <w:rFonts w:hint="eastAsia" w:ascii="黑体" w:hAnsi="黑体" w:eastAsia="黑体" w:cs="Times New Roman"/>
          <w:sz w:val="28"/>
          <w:szCs w:val="28"/>
          <w:lang w:val="en-US" w:eastAsia="zh-CN"/>
        </w:rPr>
        <w:t>XX</w:t>
      </w:r>
      <w:r>
        <w:rPr>
          <w:rFonts w:eastAsia="黑体" w:cs="Times New Roman"/>
          <w:sz w:val="28"/>
          <w:szCs w:val="28"/>
        </w:rPr>
        <w:t>-</w:t>
      </w:r>
      <w:r>
        <w:rPr>
          <w:rFonts w:hint="eastAsia" w:ascii="黑体" w:hAnsi="黑体" w:eastAsia="黑体" w:cs="Times New Roman"/>
          <w:sz w:val="28"/>
          <w:szCs w:val="28"/>
          <w:lang w:val="en-US" w:eastAsia="zh-CN"/>
        </w:rPr>
        <w:t>XX</w:t>
      </w:r>
      <w:r>
        <w:rPr>
          <w:rFonts w:eastAsia="黑体" w:cs="Times New Roman"/>
          <w:sz w:val="28"/>
          <w:szCs w:val="28"/>
        </w:rPr>
        <w:t xml:space="preserve">  发布              </w:t>
      </w:r>
      <w:r>
        <w:rPr>
          <w:rFonts w:hint="eastAsia" w:eastAsia="黑体" w:cs="Times New Roman"/>
          <w:sz w:val="28"/>
          <w:szCs w:val="28"/>
          <w:lang w:val="en-US" w:eastAsia="zh-CN"/>
        </w:rPr>
        <w:t xml:space="preserve">       </w:t>
      </w:r>
      <w:r>
        <w:rPr>
          <w:rFonts w:eastAsia="黑体" w:cs="Times New Roman"/>
          <w:sz w:val="28"/>
          <w:szCs w:val="28"/>
        </w:rPr>
        <w:t xml:space="preserve">     20</w:t>
      </w:r>
      <w:r>
        <w:rPr>
          <w:rFonts w:hint="eastAsia" w:ascii="黑体" w:hAnsi="黑体" w:eastAsia="黑体" w:cs="Times New Roman"/>
          <w:sz w:val="28"/>
          <w:szCs w:val="28"/>
          <w:lang w:val="en-US" w:eastAsia="zh-CN"/>
        </w:rPr>
        <w:t>XX</w:t>
      </w:r>
      <w:r>
        <w:rPr>
          <w:rFonts w:eastAsia="黑体" w:cs="Times New Roman"/>
          <w:sz w:val="28"/>
          <w:szCs w:val="28"/>
        </w:rPr>
        <w:t>-</w:t>
      </w:r>
      <w:r>
        <w:rPr>
          <w:rFonts w:hint="eastAsia" w:ascii="黑体" w:hAnsi="黑体" w:eastAsia="黑体" w:cs="Times New Roman"/>
          <w:sz w:val="28"/>
          <w:szCs w:val="28"/>
          <w:lang w:val="en-US" w:eastAsia="zh-CN"/>
        </w:rPr>
        <w:t>XX</w:t>
      </w:r>
      <w:r>
        <w:rPr>
          <w:rFonts w:eastAsia="黑体" w:cs="Times New Roman"/>
          <w:sz w:val="28"/>
          <w:szCs w:val="28"/>
        </w:rPr>
        <w:t>-</w:t>
      </w:r>
      <w:r>
        <w:rPr>
          <w:rFonts w:hint="eastAsia" w:ascii="黑体" w:hAnsi="黑体" w:eastAsia="黑体" w:cs="Times New Roman"/>
          <w:sz w:val="28"/>
          <w:szCs w:val="28"/>
          <w:lang w:val="en-US" w:eastAsia="zh-CN"/>
        </w:rPr>
        <w:t>XX</w:t>
      </w:r>
      <w:r>
        <w:rPr>
          <w:rFonts w:hint="eastAsia" w:eastAsia="黑体" w:cs="Times New Roman"/>
          <w:sz w:val="28"/>
          <w:szCs w:val="28"/>
        </w:rPr>
        <w:t xml:space="preserve">  </w:t>
      </w:r>
      <w:r>
        <w:rPr>
          <w:rFonts w:eastAsia="黑体" w:cs="Times New Roman"/>
          <w:sz w:val="28"/>
          <w:szCs w:val="28"/>
        </w:rPr>
        <w:t>实施</w:t>
      </w:r>
    </w:p>
    <w:p w14:paraId="5CF093E1">
      <w:pPr>
        <w:tabs>
          <w:tab w:val="left" w:pos="8235"/>
        </w:tabs>
        <w:spacing w:line="240" w:lineRule="auto"/>
        <w:rPr>
          <w:rFonts w:eastAsia="黑体" w:cs="Times New Roman"/>
          <w:b/>
          <w:sz w:val="28"/>
          <w:szCs w:val="28"/>
        </w:rPr>
      </w:pPr>
      <w:r>
        <w:rPr>
          <w:rFonts w:eastAsia="黑体" w:cs="Times New Roman"/>
          <w:b/>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28" name="直接连接符 28"/>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4pt;height:2.1pt;width:441pt;z-index:251660288;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0oqvtIAAAAFAQAADwAAAAAAAAABACAAAAAiAAAAZHJzL2Rvd25yZXYueG1sUEsB&#10;AhQAFAAAAAgAh07iQDCesFj7AQAA6gMAAA4AAAAAAAAAAQAgAAAAIQEAAGRycy9lMm9Eb2MueG1s&#10;UEsFBgAAAAAGAAYAWQEAAI4FAAAAAA==&#10;">
                <v:fill on="f" focussize="0,0"/>
                <v:stroke color="#000000" joinstyle="round"/>
                <v:imagedata o:title=""/>
                <o:lock v:ext="edit" aspectratio="f"/>
              </v:line>
            </w:pict>
          </mc:Fallback>
        </mc:AlternateContent>
      </w:r>
      <w:r>
        <w:rPr>
          <w:rFonts w:eastAsia="黑体" w:cs="Times New Roman"/>
          <w:b/>
          <w:sz w:val="28"/>
          <w:szCs w:val="28"/>
        </w:rPr>
        <w:tab/>
      </w:r>
    </w:p>
    <w:p w14:paraId="28AC50B2">
      <w:pPr>
        <w:pStyle w:val="2"/>
      </w:pPr>
    </w:p>
    <w:p w14:paraId="740EAB7F">
      <w:pPr>
        <w:spacing w:line="240" w:lineRule="auto"/>
        <w:jc w:val="center"/>
        <w:rPr>
          <w:rFonts w:eastAsia="宋体" w:cs="Times New Roman"/>
          <w:sz w:val="21"/>
          <w:szCs w:val="24"/>
        </w:rPr>
      </w:pPr>
      <w:r>
        <w:rPr>
          <w:rFonts w:eastAsia="黑体" w:cs="Times New Roman"/>
          <w:sz w:val="32"/>
          <w:szCs w:val="32"/>
        </w:rPr>
        <w:t>广东省住房和城乡建设厅</w:t>
      </w:r>
      <w:r>
        <w:rPr>
          <w:rFonts w:eastAsia="黑体" w:cs="Times New Roman"/>
          <w:spacing w:val="20"/>
          <w:sz w:val="28"/>
          <w:szCs w:val="28"/>
        </w:rPr>
        <w:t xml:space="preserve">  </w:t>
      </w:r>
      <w:r>
        <w:rPr>
          <w:rFonts w:eastAsia="黑体" w:cs="Times New Roman"/>
          <w:spacing w:val="20"/>
          <w:sz w:val="32"/>
          <w:szCs w:val="32"/>
        </w:rPr>
        <w:t>发布</w:t>
      </w:r>
    </w:p>
    <w:p w14:paraId="7D2372DE">
      <w:pPr>
        <w:spacing w:line="240" w:lineRule="auto"/>
        <w:jc w:val="right"/>
        <w:rPr>
          <w:rFonts w:eastAsia="宋体" w:cs="Times New Roman"/>
          <w:sz w:val="21"/>
          <w:szCs w:val="24"/>
        </w:rPr>
      </w:pPr>
    </w:p>
    <w:p w14:paraId="0F8422C2">
      <w:pPr>
        <w:spacing w:line="240" w:lineRule="auto"/>
        <w:jc w:val="right"/>
      </w:pPr>
      <w:r>
        <w:rPr>
          <w:rFonts w:hint="eastAsia" w:eastAsia="宋体" w:cs="Times New Roman"/>
          <w:sz w:val="21"/>
          <w:szCs w:val="24"/>
          <w:lang w:eastAsia="zh-CN"/>
        </w:rPr>
        <w:t>本标准不涉及专利</w:t>
      </w:r>
    </w:p>
    <w:p w14:paraId="7562F699">
      <w:pPr>
        <w:pStyle w:val="2"/>
      </w:pPr>
    </w:p>
    <w:p w14:paraId="4284EF28">
      <w:pPr>
        <w:pStyle w:val="18"/>
        <w:ind w:left="480"/>
        <w:sectPr>
          <w:footerReference r:id="rId7" w:type="first"/>
          <w:footerReference r:id="rId5" w:type="default"/>
          <w:footerReference r:id="rId6" w:type="even"/>
          <w:pgSz w:w="11907" w:h="16839"/>
          <w:pgMar w:top="1389" w:right="1287" w:bottom="1440" w:left="1803" w:header="720" w:footer="720" w:gutter="0"/>
          <w:pgBorders>
            <w:top w:val="none" w:sz="0" w:space="0"/>
            <w:left w:val="none" w:sz="0" w:space="0"/>
            <w:bottom w:val="none" w:sz="0" w:space="0"/>
            <w:right w:val="none" w:sz="0" w:space="0"/>
          </w:pgBorders>
          <w:pgNumType w:fmt="upperRoman" w:start="1"/>
          <w:cols w:space="720" w:num="1"/>
          <w:docGrid w:linePitch="360" w:charSpace="0"/>
        </w:sectPr>
      </w:pPr>
    </w:p>
    <w:p w14:paraId="4CC46FB7">
      <w:pPr>
        <w:snapToGrid w:val="0"/>
        <w:spacing w:line="312" w:lineRule="auto"/>
        <w:rPr>
          <w:rFonts w:hint="eastAsia" w:ascii="宋体" w:hAnsi="宋体"/>
          <w:vanish/>
          <w:color w:val="000000"/>
        </w:rPr>
      </w:pPr>
    </w:p>
    <w:p w14:paraId="02C4E6D1">
      <w:pPr>
        <w:widowControl/>
        <w:spacing w:line="360" w:lineRule="auto"/>
        <w:jc w:val="center"/>
        <w:rPr>
          <w:rFonts w:ascii="宋体" w:hAnsi="宋体" w:cs="宋体"/>
          <w:color w:val="000000"/>
          <w:kern w:val="0"/>
          <w:sz w:val="24"/>
        </w:rPr>
      </w:pPr>
    </w:p>
    <w:p w14:paraId="08C2B057">
      <w:pPr>
        <w:widowControl/>
        <w:spacing w:line="360" w:lineRule="auto"/>
        <w:jc w:val="center"/>
        <w:rPr>
          <w:rFonts w:ascii="宋体" w:hAnsi="宋体" w:cs="宋体"/>
          <w:color w:val="000000"/>
          <w:kern w:val="0"/>
          <w:sz w:val="24"/>
        </w:rPr>
      </w:pPr>
    </w:p>
    <w:p w14:paraId="048E8E3C">
      <w:pPr>
        <w:widowControl/>
        <w:spacing w:line="360" w:lineRule="auto"/>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广东省住房和城乡建设厅关于发布广东省标准</w:t>
      </w:r>
    </w:p>
    <w:p w14:paraId="28420F09">
      <w:pPr>
        <w:widowControl/>
        <w:spacing w:line="360" w:lineRule="auto"/>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《城镇给水管道检测与评估</w:t>
      </w:r>
      <w:r>
        <w:rPr>
          <w:rFonts w:hint="eastAsia" w:ascii="黑体" w:hAnsi="黑体" w:eastAsia="黑体" w:cs="黑体"/>
          <w:b w:val="0"/>
          <w:bCs w:val="0"/>
          <w:color w:val="000000"/>
          <w:kern w:val="0"/>
          <w:sz w:val="28"/>
          <w:szCs w:val="28"/>
          <w:lang w:val="en-US" w:eastAsia="zh-CN"/>
        </w:rPr>
        <w:t>技术</w:t>
      </w:r>
      <w:r>
        <w:rPr>
          <w:rFonts w:hint="eastAsia" w:ascii="黑体" w:hAnsi="黑体" w:eastAsia="黑体" w:cs="黑体"/>
          <w:b w:val="0"/>
          <w:bCs w:val="0"/>
          <w:color w:val="000000"/>
          <w:kern w:val="0"/>
          <w:sz w:val="28"/>
          <w:szCs w:val="28"/>
        </w:rPr>
        <w:t>标准》的公告</w:t>
      </w:r>
    </w:p>
    <w:p w14:paraId="55DDF088">
      <w:pPr>
        <w:widowControl/>
        <w:spacing w:before="312" w:line="360" w:lineRule="auto"/>
        <w:jc w:val="center"/>
        <w:rPr>
          <w:rFonts w:hint="eastAsia" w:ascii="宋体" w:hAnsi="宋体" w:cs="宋体"/>
          <w:color w:val="000000"/>
          <w:kern w:val="0"/>
          <w:sz w:val="24"/>
        </w:rPr>
      </w:pPr>
      <w:r>
        <w:rPr>
          <w:rFonts w:hint="eastAsia" w:ascii="宋体" w:hAnsi="宋体" w:cs="宋体"/>
          <w:color w:val="000000"/>
          <w:kern w:val="0"/>
          <w:sz w:val="24"/>
        </w:rPr>
        <w:t>粤建公告〔202×〕××号</w:t>
      </w:r>
    </w:p>
    <w:p w14:paraId="714488A9">
      <w:pPr>
        <w:widowControl/>
        <w:spacing w:line="360" w:lineRule="auto"/>
        <w:rPr>
          <w:rFonts w:hint="eastAsia" w:ascii="宋体" w:hAnsi="宋体" w:cs="宋体"/>
          <w:color w:val="000000"/>
          <w:kern w:val="0"/>
          <w:sz w:val="24"/>
        </w:rPr>
      </w:pPr>
    </w:p>
    <w:p w14:paraId="4CE8738E">
      <w:pPr>
        <w:widowControl/>
        <w:spacing w:line="360" w:lineRule="auto"/>
        <w:ind w:firstLine="480"/>
        <w:rPr>
          <w:rFonts w:hint="eastAsia" w:ascii="宋体" w:hAnsi="宋体" w:cs="宋体"/>
          <w:color w:val="000000"/>
          <w:kern w:val="0"/>
          <w:sz w:val="24"/>
        </w:rPr>
      </w:pPr>
      <w:r>
        <w:rPr>
          <w:rFonts w:hint="eastAsia" w:ascii="宋体" w:hAnsi="宋体" w:cs="宋体"/>
          <w:color w:val="000000"/>
          <w:kern w:val="0"/>
          <w:sz w:val="24"/>
        </w:rPr>
        <w:t>经组织专家委员会审查，现批准《城镇给水管道检测与评估</w:t>
      </w:r>
      <w:r>
        <w:rPr>
          <w:rFonts w:hint="eastAsia" w:ascii="宋体" w:hAnsi="宋体" w:cs="宋体"/>
          <w:color w:val="000000"/>
          <w:kern w:val="0"/>
          <w:sz w:val="24"/>
          <w:lang w:val="en-US" w:eastAsia="zh-CN"/>
        </w:rPr>
        <w:t>技术</w:t>
      </w:r>
      <w:r>
        <w:rPr>
          <w:rFonts w:hint="eastAsia" w:ascii="宋体" w:hAnsi="宋体" w:cs="宋体"/>
          <w:color w:val="000000"/>
          <w:kern w:val="0"/>
          <w:sz w:val="24"/>
        </w:rPr>
        <w:t>标准》为广东省地方标准，编号为DBJ/T××-××-202×。本标准自202×年××月×日起实施。</w:t>
      </w:r>
    </w:p>
    <w:p w14:paraId="0D256A6B">
      <w:pPr>
        <w:widowControl/>
        <w:spacing w:line="360" w:lineRule="auto"/>
        <w:ind w:firstLine="480"/>
        <w:rPr>
          <w:rFonts w:hint="eastAsia" w:ascii="宋体" w:hAnsi="宋体" w:cs="宋体"/>
          <w:color w:val="000000"/>
          <w:kern w:val="0"/>
          <w:sz w:val="24"/>
        </w:rPr>
      </w:pPr>
      <w:r>
        <w:rPr>
          <w:rFonts w:hint="eastAsia" w:ascii="宋体" w:hAnsi="宋体" w:cs="宋体"/>
          <w:color w:val="000000"/>
          <w:kern w:val="0"/>
          <w:sz w:val="24"/>
        </w:rPr>
        <w:t>本标准由</w:t>
      </w:r>
      <w:bookmarkStart w:id="2" w:name="_Hlk180694672"/>
      <w:r>
        <w:rPr>
          <w:rFonts w:hint="eastAsia" w:ascii="宋体" w:hAnsi="宋体" w:cs="宋体"/>
          <w:color w:val="000000"/>
          <w:kern w:val="0"/>
          <w:sz w:val="24"/>
        </w:rPr>
        <w:t>广东省住房和城乡建设厅</w:t>
      </w:r>
      <w:bookmarkEnd w:id="2"/>
      <w:r>
        <w:rPr>
          <w:rFonts w:hint="eastAsia" w:ascii="宋体" w:hAnsi="宋体" w:cs="宋体"/>
          <w:color w:val="000000"/>
          <w:kern w:val="0"/>
          <w:sz w:val="24"/>
        </w:rPr>
        <w:t>负责管理，由主编单位负责具体技术内容的解释，于出版后在广东省住房和城乡建设厅门户网站（</w:t>
      </w:r>
      <w:r>
        <w:rPr>
          <w:rFonts w:ascii="宋体" w:hAnsi="宋体" w:cs="宋体"/>
          <w:color w:val="000000"/>
          <w:kern w:val="0"/>
          <w:sz w:val="24"/>
        </w:rPr>
        <w:t>http://zfcxjst.gd.gov.cn</w:t>
      </w:r>
      <w:r>
        <w:rPr>
          <w:rFonts w:hint="eastAsia" w:ascii="宋体" w:hAnsi="宋体" w:cs="宋体"/>
          <w:color w:val="000000"/>
          <w:kern w:val="0"/>
          <w:sz w:val="24"/>
        </w:rPr>
        <w:t>）公开标准全文。</w:t>
      </w:r>
    </w:p>
    <w:p w14:paraId="1A20E89B">
      <w:pPr>
        <w:widowControl/>
        <w:spacing w:line="360" w:lineRule="auto"/>
        <w:ind w:firstLine="480"/>
        <w:rPr>
          <w:rFonts w:hint="eastAsia" w:ascii="宋体" w:hAnsi="宋体" w:cs="宋体"/>
          <w:color w:val="000000"/>
          <w:kern w:val="0"/>
          <w:sz w:val="24"/>
        </w:rPr>
      </w:pPr>
    </w:p>
    <w:p w14:paraId="39D36BC6">
      <w:pPr>
        <w:widowControl/>
        <w:spacing w:line="360" w:lineRule="auto"/>
        <w:ind w:firstLine="480"/>
        <w:jc w:val="right"/>
        <w:rPr>
          <w:rFonts w:hint="eastAsia" w:ascii="宋体" w:hAnsi="宋体" w:cs="宋体"/>
          <w:color w:val="000000"/>
          <w:kern w:val="0"/>
          <w:sz w:val="24"/>
        </w:rPr>
      </w:pPr>
    </w:p>
    <w:p w14:paraId="72C24FAA">
      <w:pPr>
        <w:widowControl/>
        <w:spacing w:line="360" w:lineRule="auto"/>
        <w:ind w:firstLine="480"/>
        <w:jc w:val="right"/>
        <w:rPr>
          <w:rFonts w:hint="eastAsia" w:ascii="宋体" w:hAnsi="宋体" w:cs="宋体"/>
          <w:color w:val="000000"/>
          <w:kern w:val="0"/>
          <w:sz w:val="24"/>
        </w:rPr>
      </w:pPr>
    </w:p>
    <w:p w14:paraId="4066F18D">
      <w:pPr>
        <w:widowControl/>
        <w:spacing w:line="360" w:lineRule="auto"/>
        <w:ind w:right="105"/>
        <w:jc w:val="right"/>
        <w:rPr>
          <w:rFonts w:hint="eastAsia" w:ascii="宋体" w:hAnsi="宋体" w:cs="宋体"/>
          <w:color w:val="000000"/>
          <w:kern w:val="0"/>
          <w:sz w:val="24"/>
        </w:rPr>
      </w:pPr>
      <w:r>
        <w:rPr>
          <w:rFonts w:hint="eastAsia" w:ascii="宋体" w:hAnsi="宋体" w:cs="宋体"/>
          <w:color w:val="000000"/>
          <w:kern w:val="0"/>
          <w:sz w:val="24"/>
        </w:rPr>
        <w:t>广东省住房和城乡建设厅</w:t>
      </w:r>
    </w:p>
    <w:p w14:paraId="7911C125">
      <w:pPr>
        <w:snapToGrid w:val="0"/>
        <w:spacing w:line="312" w:lineRule="auto"/>
        <w:ind w:firstLine="6480" w:firstLineChars="2700"/>
        <w:rPr>
          <w:rFonts w:hint="eastAsia" w:ascii="宋体" w:hAnsi="宋体"/>
          <w:vanish/>
          <w:color w:val="000000"/>
        </w:rPr>
      </w:pPr>
      <w:r>
        <w:rPr>
          <w:rFonts w:hint="eastAsia" w:ascii="宋体" w:hAnsi="宋体" w:cs="宋体"/>
          <w:color w:val="000000"/>
          <w:kern w:val="0"/>
          <w:sz w:val="24"/>
        </w:rPr>
        <w:t>202×年××月××日</w:t>
      </w:r>
    </w:p>
    <w:p w14:paraId="3C398148">
      <w:pPr>
        <w:jc w:val="center"/>
        <w:rPr>
          <w:rFonts w:hint="eastAsia" w:eastAsia="黑体"/>
          <w:sz w:val="28"/>
        </w:rPr>
      </w:pPr>
    </w:p>
    <w:p w14:paraId="270921E8">
      <w:pPr>
        <w:pStyle w:val="2"/>
        <w:rPr>
          <w:rFonts w:hint="eastAsia"/>
        </w:rPr>
      </w:pPr>
    </w:p>
    <w:p w14:paraId="4C20BAE6">
      <w:pPr>
        <w:pStyle w:val="2"/>
        <w:rPr>
          <w:rFonts w:hint="eastAsia"/>
        </w:rPr>
        <w:sectPr>
          <w:footerReference r:id="rId9" w:type="first"/>
          <w:footerReference r:id="rId8" w:type="default"/>
          <w:pgSz w:w="11907" w:h="16839"/>
          <w:pgMar w:top="1361" w:right="1559" w:bottom="1361" w:left="1560" w:header="720" w:footer="720" w:gutter="0"/>
          <w:pgBorders>
            <w:top w:val="none" w:sz="0" w:space="0"/>
            <w:left w:val="none" w:sz="0" w:space="0"/>
            <w:bottom w:val="none" w:sz="0" w:space="0"/>
            <w:right w:val="none" w:sz="0" w:space="0"/>
          </w:pgBorders>
          <w:pgNumType w:fmt="upperRoman" w:start="1"/>
          <w:cols w:space="720" w:num="1"/>
          <w:titlePg/>
          <w:docGrid w:linePitch="360" w:charSpace="0"/>
        </w:sectPr>
      </w:pPr>
    </w:p>
    <w:p w14:paraId="5EB660DA">
      <w:pPr>
        <w:jc w:val="center"/>
        <w:rPr>
          <w:rFonts w:eastAsia="黑体"/>
          <w:sz w:val="28"/>
        </w:rPr>
      </w:pPr>
      <w:r>
        <w:rPr>
          <w:rFonts w:hint="eastAsia" w:eastAsia="黑体"/>
          <w:sz w:val="28"/>
        </w:rPr>
        <w:t>前</w:t>
      </w:r>
      <w:bookmarkStart w:id="3" w:name="BKQY"/>
      <w:r>
        <w:rPr>
          <w:rFonts w:eastAsia="黑体"/>
          <w:sz w:val="28"/>
        </w:rPr>
        <w:t xml:space="preserve">  </w:t>
      </w:r>
      <w:r>
        <w:rPr>
          <w:rFonts w:hint="eastAsia" w:eastAsia="黑体"/>
          <w:sz w:val="28"/>
        </w:rPr>
        <w:t>言</w:t>
      </w:r>
      <w:bookmarkEnd w:id="3"/>
    </w:p>
    <w:p w14:paraId="443D0179">
      <w:pPr>
        <w:ind w:firstLine="480" w:firstLineChars="200"/>
        <w:rPr>
          <w:szCs w:val="24"/>
        </w:rPr>
      </w:pPr>
    </w:p>
    <w:p w14:paraId="534CDEC4">
      <w:pPr>
        <w:ind w:firstLine="480" w:firstLineChars="200"/>
        <w:rPr>
          <w:szCs w:val="24"/>
        </w:rPr>
      </w:pPr>
      <w:r>
        <w:rPr>
          <w:rFonts w:hint="eastAsia"/>
          <w:szCs w:val="24"/>
        </w:rPr>
        <w:t>根据《广东省市场监督管理局关于批准下达2023年第二批广东省地方标准制修订计划的通知》（粤市监标准﹝2023﹞591号）</w:t>
      </w:r>
      <w:r>
        <w:rPr>
          <w:szCs w:val="24"/>
        </w:rPr>
        <w:t>的要</w:t>
      </w:r>
      <w:r>
        <w:rPr>
          <w:rFonts w:hint="eastAsia"/>
          <w:szCs w:val="24"/>
        </w:rPr>
        <w:t>求，编制组经过深入调查研究，认真总结工程实践经验，参考有关国内、国际标准并在广泛征求意见的基础上，制定本</w:t>
      </w:r>
      <w:r>
        <w:rPr>
          <w:rFonts w:hint="eastAsia"/>
          <w:szCs w:val="24"/>
          <w:lang w:eastAsia="zh-CN"/>
        </w:rPr>
        <w:t>标准</w:t>
      </w:r>
      <w:r>
        <w:rPr>
          <w:rFonts w:hint="eastAsia"/>
          <w:szCs w:val="24"/>
        </w:rPr>
        <w:t>。</w:t>
      </w:r>
    </w:p>
    <w:p w14:paraId="5CA544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Cs w:val="24"/>
        </w:rPr>
      </w:pPr>
      <w:r>
        <w:rPr>
          <w:rFonts w:hint="eastAsia" w:ascii="宋体" w:hAnsi="宋体"/>
          <w:color w:val="auto"/>
          <w:sz w:val="24"/>
          <w:highlight w:val="none"/>
          <w:lang w:val="en-US" w:eastAsia="zh-CN"/>
        </w:rPr>
        <w:t>本标准不涉及专利。</w:t>
      </w:r>
    </w:p>
    <w:p w14:paraId="60C1A03A">
      <w:pPr>
        <w:ind w:firstLine="480" w:firstLineChars="200"/>
        <w:rPr>
          <w:szCs w:val="24"/>
        </w:rPr>
      </w:pPr>
      <w:r>
        <w:rPr>
          <w:rFonts w:hint="eastAsia"/>
          <w:szCs w:val="24"/>
        </w:rPr>
        <w:t>本</w:t>
      </w:r>
      <w:r>
        <w:rPr>
          <w:rFonts w:hint="eastAsia"/>
          <w:szCs w:val="24"/>
          <w:lang w:eastAsia="zh-CN"/>
        </w:rPr>
        <w:t>标准</w:t>
      </w:r>
      <w:r>
        <w:rPr>
          <w:rFonts w:hint="eastAsia"/>
          <w:szCs w:val="24"/>
        </w:rPr>
        <w:t>共分12章和</w:t>
      </w:r>
      <w:r>
        <w:rPr>
          <w:rFonts w:hint="eastAsia"/>
          <w:szCs w:val="24"/>
          <w:lang w:val="en-US" w:eastAsia="zh-CN"/>
        </w:rPr>
        <w:t>4</w:t>
      </w:r>
      <w:r>
        <w:rPr>
          <w:rFonts w:hint="eastAsia"/>
          <w:szCs w:val="24"/>
        </w:rPr>
        <w:t>个附录，主要技术内容包括：总则、术语和符号、基本规定、电视检测、声呐检测、超声波检测、电磁检测、噪声管内检测、其他方法检测、管道评估、附属设施检查与评估、成果资料</w:t>
      </w:r>
      <w:r>
        <w:rPr>
          <w:rFonts w:hint="eastAsia"/>
          <w:szCs w:val="24"/>
          <w:lang w:eastAsia="zh-CN"/>
        </w:rPr>
        <w:t>等</w:t>
      </w:r>
      <w:r>
        <w:rPr>
          <w:rFonts w:hint="eastAsia"/>
          <w:szCs w:val="24"/>
        </w:rPr>
        <w:t>。</w:t>
      </w:r>
    </w:p>
    <w:p w14:paraId="33435566">
      <w:pPr>
        <w:ind w:firstLine="480" w:firstLineChars="200"/>
        <w:rPr>
          <w:rFonts w:ascii="Times New Roman" w:hAnsi="Times New Roman" w:cs="Times New Roman"/>
          <w:szCs w:val="24"/>
        </w:rPr>
      </w:pPr>
      <w:r>
        <w:rPr>
          <w:rFonts w:hint="eastAsia"/>
          <w:szCs w:val="24"/>
        </w:rPr>
        <w:t>本</w:t>
      </w:r>
      <w:r>
        <w:rPr>
          <w:rFonts w:hint="eastAsia"/>
          <w:szCs w:val="24"/>
          <w:lang w:eastAsia="zh-CN"/>
        </w:rPr>
        <w:t>标准</w:t>
      </w:r>
      <w:r>
        <w:rPr>
          <w:rFonts w:hint="eastAsia"/>
          <w:szCs w:val="24"/>
        </w:rPr>
        <w:t>由</w:t>
      </w:r>
      <w:r>
        <w:rPr>
          <w:rFonts w:hint="eastAsia" w:ascii="宋体" w:hAnsi="宋体"/>
          <w:color w:val="auto"/>
          <w:sz w:val="24"/>
          <w:highlight w:val="none"/>
        </w:rPr>
        <w:t>广东省住房和城乡建设厅负责管理</w:t>
      </w:r>
      <w:r>
        <w:rPr>
          <w:rFonts w:hint="eastAsia"/>
          <w:szCs w:val="24"/>
        </w:rPr>
        <w:t>，由广州市市政集团有限公司负责具体技术内容的解释。执行过程中如有意见或建议，请</w:t>
      </w:r>
      <w:r>
        <w:rPr>
          <w:rFonts w:hint="eastAsia"/>
          <w:szCs w:val="24"/>
          <w:lang w:eastAsia="zh-CN"/>
        </w:rPr>
        <w:t>反馈至</w:t>
      </w:r>
      <w:r>
        <w:rPr>
          <w:rFonts w:hint="eastAsia"/>
          <w:szCs w:val="24"/>
        </w:rPr>
        <w:t>广州市市政集团有限公司</w:t>
      </w:r>
      <w:r>
        <w:rPr>
          <w:rFonts w:hint="default" w:ascii="Times New Roman" w:hAnsi="Times New Roman" w:cs="Times New Roman"/>
          <w:szCs w:val="24"/>
        </w:rPr>
        <w:t>（地址：广州市越秀区环市东路338号银政大厦7楼，邮政编码：510060</w:t>
      </w:r>
      <w:r>
        <w:rPr>
          <w:rFonts w:hint="default" w:ascii="Times New Roman" w:hAnsi="Times New Roman" w:cs="Times New Roman"/>
          <w:szCs w:val="24"/>
          <w:lang w:eastAsia="zh-CN"/>
        </w:rPr>
        <w:t>，</w:t>
      </w:r>
      <w:r>
        <w:rPr>
          <w:rFonts w:hint="default" w:ascii="Times New Roman" w:hAnsi="Times New Roman" w:cs="Times New Roman"/>
          <w:color w:val="auto"/>
          <w:sz w:val="24"/>
          <w:highlight w:val="none"/>
          <w:lang w:val="en-US" w:eastAsia="zh-CN"/>
        </w:rPr>
        <w:t>电子邮箱：1007138145@qq.com</w:t>
      </w:r>
      <w:r>
        <w:rPr>
          <w:rFonts w:hint="default" w:ascii="Times New Roman" w:hAnsi="Times New Roman" w:cs="Times New Roman"/>
          <w:szCs w:val="24"/>
        </w:rPr>
        <w:t>）</w:t>
      </w:r>
      <w:r>
        <w:rPr>
          <w:rFonts w:ascii="Times New Roman" w:hAnsi="Times New Roman" w:cs="Times New Roman"/>
          <w:szCs w:val="24"/>
        </w:rPr>
        <w:t>。</w:t>
      </w:r>
    </w:p>
    <w:p w14:paraId="1C5AE256">
      <w:pPr>
        <w:spacing w:line="400" w:lineRule="exact"/>
        <w:ind w:firstLine="560" w:firstLineChars="200"/>
        <w:rPr>
          <w:rFonts w:hint="eastAsia"/>
          <w:szCs w:val="24"/>
        </w:rPr>
      </w:pPr>
      <w:r>
        <w:rPr>
          <w:rFonts w:eastAsia="黑体"/>
          <w:spacing w:val="20"/>
          <w:szCs w:val="24"/>
        </w:rPr>
        <w:t>主编单位</w:t>
      </w:r>
      <w:r>
        <w:rPr>
          <w:b/>
          <w:bCs/>
          <w:szCs w:val="24"/>
        </w:rPr>
        <w:t>：</w:t>
      </w:r>
      <w:r>
        <w:rPr>
          <w:rFonts w:hint="eastAsia"/>
          <w:szCs w:val="24"/>
        </w:rPr>
        <w:t>广州市市政集团有限公司</w:t>
      </w:r>
    </w:p>
    <w:p w14:paraId="654CB141">
      <w:pPr>
        <w:spacing w:line="400" w:lineRule="exact"/>
        <w:ind w:firstLine="1920" w:firstLineChars="800"/>
        <w:rPr>
          <w:szCs w:val="24"/>
        </w:rPr>
      </w:pPr>
      <w:r>
        <w:rPr>
          <w:rFonts w:hint="eastAsia"/>
          <w:szCs w:val="24"/>
        </w:rPr>
        <w:t>广州市市政公路协会</w:t>
      </w:r>
    </w:p>
    <w:p w14:paraId="733886F1">
      <w:pPr>
        <w:spacing w:line="400" w:lineRule="exact"/>
        <w:ind w:firstLine="560" w:firstLineChars="200"/>
        <w:rPr>
          <w:rFonts w:hint="eastAsia"/>
          <w:szCs w:val="24"/>
        </w:rPr>
      </w:pPr>
      <w:r>
        <w:rPr>
          <w:rFonts w:eastAsia="黑体"/>
          <w:spacing w:val="20"/>
          <w:szCs w:val="24"/>
        </w:rPr>
        <w:t>参编单位</w:t>
      </w:r>
      <w:r>
        <w:rPr>
          <w:b/>
          <w:spacing w:val="20"/>
          <w:szCs w:val="24"/>
        </w:rPr>
        <w:t>：</w:t>
      </w:r>
      <w:r>
        <w:rPr>
          <w:rFonts w:hint="eastAsia"/>
          <w:szCs w:val="24"/>
        </w:rPr>
        <w:t>深圳市博铭维技术股份有限公司</w:t>
      </w:r>
    </w:p>
    <w:p w14:paraId="507B0F52">
      <w:pPr>
        <w:spacing w:line="400" w:lineRule="exact"/>
        <w:ind w:leftChars="600" w:firstLine="480" w:firstLineChars="200"/>
        <w:rPr>
          <w:rFonts w:hint="eastAsia"/>
          <w:szCs w:val="24"/>
        </w:rPr>
      </w:pPr>
      <w:r>
        <w:rPr>
          <w:rFonts w:hint="eastAsia"/>
          <w:szCs w:val="24"/>
        </w:rPr>
        <w:t>广州易探检测有限公司</w:t>
      </w:r>
    </w:p>
    <w:p w14:paraId="3997695E">
      <w:pPr>
        <w:spacing w:line="400" w:lineRule="exact"/>
        <w:ind w:leftChars="600" w:firstLine="480" w:firstLineChars="200"/>
        <w:rPr>
          <w:rFonts w:hint="eastAsia"/>
          <w:szCs w:val="24"/>
        </w:rPr>
      </w:pPr>
      <w:r>
        <w:rPr>
          <w:rFonts w:hint="eastAsia"/>
          <w:szCs w:val="24"/>
        </w:rPr>
        <w:t>武汉中仪物联技术股份有限公司</w:t>
      </w:r>
    </w:p>
    <w:p w14:paraId="4AC994F2">
      <w:pPr>
        <w:spacing w:line="400" w:lineRule="exact"/>
        <w:ind w:leftChars="600" w:firstLine="480" w:firstLineChars="200"/>
        <w:rPr>
          <w:rFonts w:hint="eastAsia"/>
          <w:szCs w:val="24"/>
        </w:rPr>
      </w:pPr>
      <w:r>
        <w:rPr>
          <w:rFonts w:hint="eastAsia"/>
          <w:szCs w:val="24"/>
        </w:rPr>
        <w:t>赛莱默</w:t>
      </w:r>
      <w:r>
        <w:rPr>
          <w:rFonts w:hint="eastAsia"/>
          <w:szCs w:val="24"/>
          <w:lang w:eastAsia="zh-CN"/>
        </w:rPr>
        <w:t>（</w:t>
      </w:r>
      <w:r>
        <w:rPr>
          <w:rFonts w:hint="eastAsia"/>
          <w:szCs w:val="24"/>
        </w:rPr>
        <w:t>中国</w:t>
      </w:r>
      <w:r>
        <w:rPr>
          <w:rFonts w:hint="eastAsia"/>
          <w:szCs w:val="24"/>
          <w:lang w:eastAsia="zh-CN"/>
        </w:rPr>
        <w:t>）</w:t>
      </w:r>
      <w:r>
        <w:rPr>
          <w:rFonts w:hint="eastAsia"/>
          <w:szCs w:val="24"/>
        </w:rPr>
        <w:t>有限公司</w:t>
      </w:r>
    </w:p>
    <w:p w14:paraId="7049CDC8">
      <w:pPr>
        <w:spacing w:line="400" w:lineRule="exact"/>
        <w:ind w:leftChars="600" w:firstLine="480" w:firstLineChars="200"/>
        <w:rPr>
          <w:rFonts w:hint="eastAsia"/>
          <w:szCs w:val="24"/>
        </w:rPr>
      </w:pPr>
      <w:r>
        <w:rPr>
          <w:rFonts w:hint="eastAsia"/>
          <w:szCs w:val="24"/>
        </w:rPr>
        <w:t>广州市尚晟机电设备有限公司</w:t>
      </w:r>
    </w:p>
    <w:p w14:paraId="5BF1FCBE">
      <w:pPr>
        <w:spacing w:line="400" w:lineRule="exact"/>
        <w:ind w:leftChars="600" w:firstLine="480" w:firstLineChars="200"/>
        <w:rPr>
          <w:rFonts w:hint="eastAsia"/>
          <w:szCs w:val="24"/>
        </w:rPr>
      </w:pPr>
      <w:r>
        <w:rPr>
          <w:rFonts w:hint="eastAsia"/>
          <w:szCs w:val="24"/>
        </w:rPr>
        <w:t>广州市自来水有限公司</w:t>
      </w:r>
    </w:p>
    <w:p w14:paraId="1EA0B9AD">
      <w:pPr>
        <w:spacing w:line="400" w:lineRule="exact"/>
        <w:ind w:leftChars="600" w:firstLine="480" w:firstLineChars="200"/>
        <w:rPr>
          <w:rFonts w:hint="eastAsia"/>
          <w:szCs w:val="24"/>
        </w:rPr>
      </w:pPr>
      <w:r>
        <w:rPr>
          <w:rFonts w:hint="eastAsia"/>
          <w:szCs w:val="24"/>
        </w:rPr>
        <w:t>广州市第一市政工程有限公司</w:t>
      </w:r>
    </w:p>
    <w:p w14:paraId="00775CB3">
      <w:pPr>
        <w:spacing w:line="400" w:lineRule="exact"/>
        <w:ind w:leftChars="600" w:firstLine="480" w:firstLineChars="200"/>
        <w:rPr>
          <w:szCs w:val="24"/>
        </w:rPr>
      </w:pPr>
      <w:r>
        <w:rPr>
          <w:rFonts w:hint="eastAsia"/>
          <w:szCs w:val="24"/>
        </w:rPr>
        <w:t>广东水电二局集团有限公司</w:t>
      </w:r>
    </w:p>
    <w:p w14:paraId="54784D22">
      <w:pPr>
        <w:spacing w:line="400" w:lineRule="exact"/>
        <w:ind w:leftChars="600" w:firstLine="480" w:firstLineChars="200"/>
        <w:rPr>
          <w:rFonts w:hint="eastAsia"/>
          <w:szCs w:val="24"/>
        </w:rPr>
      </w:pPr>
      <w:r>
        <w:rPr>
          <w:rFonts w:hint="eastAsia"/>
          <w:szCs w:val="24"/>
        </w:rPr>
        <w:t>广州市市政工程机械施工有限公司</w:t>
      </w:r>
    </w:p>
    <w:p w14:paraId="661F98F7">
      <w:pPr>
        <w:spacing w:line="400" w:lineRule="exact"/>
        <w:ind w:leftChars="600" w:firstLine="480" w:firstLineChars="200"/>
        <w:rPr>
          <w:rFonts w:hint="eastAsia"/>
          <w:szCs w:val="24"/>
        </w:rPr>
      </w:pPr>
      <w:r>
        <w:rPr>
          <w:rFonts w:hint="eastAsia"/>
          <w:szCs w:val="24"/>
        </w:rPr>
        <w:t>上海防灾救灾研究所</w:t>
      </w:r>
    </w:p>
    <w:p w14:paraId="618AD117">
      <w:pPr>
        <w:spacing w:line="400" w:lineRule="exact"/>
        <w:ind w:leftChars="600" w:firstLine="480" w:firstLineChars="200"/>
        <w:rPr>
          <w:rFonts w:hint="eastAsia"/>
          <w:szCs w:val="24"/>
        </w:rPr>
      </w:pPr>
      <w:r>
        <w:rPr>
          <w:rFonts w:hint="eastAsia"/>
          <w:szCs w:val="24"/>
        </w:rPr>
        <w:t>中山大学</w:t>
      </w:r>
    </w:p>
    <w:p w14:paraId="40133DA4">
      <w:pPr>
        <w:spacing w:line="400" w:lineRule="exact"/>
        <w:ind w:leftChars="600" w:firstLine="480" w:firstLineChars="200"/>
        <w:jc w:val="left"/>
        <w:rPr>
          <w:rFonts w:hint="eastAsia"/>
          <w:szCs w:val="24"/>
        </w:rPr>
      </w:pPr>
      <w:r>
        <w:rPr>
          <w:rFonts w:hint="eastAsia"/>
          <w:szCs w:val="24"/>
        </w:rPr>
        <w:t>广东省建筑设计研究院集团股份有限公司</w:t>
      </w:r>
    </w:p>
    <w:p w14:paraId="3AE6D729">
      <w:pPr>
        <w:spacing w:line="400" w:lineRule="exact"/>
        <w:ind w:leftChars="600" w:firstLine="480" w:firstLineChars="200"/>
        <w:jc w:val="left"/>
      </w:pPr>
      <w:r>
        <w:rPr>
          <w:rFonts w:hint="eastAsia"/>
        </w:rPr>
        <w:t>广东省城镇供水协会</w:t>
      </w:r>
    </w:p>
    <w:p w14:paraId="150110FB">
      <w:pPr>
        <w:spacing w:before="120" w:beforeLines="50"/>
        <w:ind w:firstLine="480" w:firstLineChars="200"/>
        <w:jc w:val="left"/>
        <w:rPr>
          <w:rFonts w:hint="eastAsia"/>
          <w:szCs w:val="24"/>
        </w:rPr>
      </w:pPr>
      <w:r>
        <w:rPr>
          <w:rFonts w:eastAsia="黑体"/>
          <w:szCs w:val="24"/>
        </w:rPr>
        <w:t>主要起草人</w:t>
      </w:r>
      <w:r>
        <w:rPr>
          <w:b/>
          <w:bCs/>
          <w:szCs w:val="24"/>
        </w:rPr>
        <w:t>：</w:t>
      </w:r>
      <w:r>
        <w:rPr>
          <w:rFonts w:hint="eastAsia"/>
          <w:szCs w:val="24"/>
        </w:rPr>
        <w:t>安关峰　张</w:t>
      </w:r>
      <w:r>
        <w:rPr>
          <w:rFonts w:hint="eastAsia"/>
          <w:szCs w:val="24"/>
          <w:lang w:val="en-US" w:eastAsia="zh-CN"/>
        </w:rPr>
        <w:t xml:space="preserve">  </w:t>
      </w:r>
      <w:r>
        <w:rPr>
          <w:rFonts w:hint="eastAsia"/>
          <w:szCs w:val="24"/>
        </w:rPr>
        <w:t>蓉　代</w:t>
      </w:r>
      <w:r>
        <w:rPr>
          <w:rFonts w:hint="eastAsia"/>
          <w:szCs w:val="24"/>
          <w:lang w:val="en-US" w:eastAsia="zh-CN"/>
        </w:rPr>
        <w:t xml:space="preserve">  </w:t>
      </w:r>
      <w:r>
        <w:rPr>
          <w:rFonts w:hint="eastAsia"/>
          <w:szCs w:val="24"/>
        </w:rPr>
        <w:t>毅　王五平　董跃勇　</w:t>
      </w:r>
    </w:p>
    <w:p w14:paraId="1DDEA4D4">
      <w:pPr>
        <w:spacing w:before="120" w:beforeLines="50"/>
        <w:ind w:leftChars="600" w:firstLine="480" w:firstLineChars="200"/>
        <w:jc w:val="left"/>
        <w:rPr>
          <w:rFonts w:hint="eastAsia"/>
          <w:szCs w:val="24"/>
        </w:rPr>
      </w:pPr>
      <w:r>
        <w:rPr>
          <w:rFonts w:hint="eastAsia"/>
          <w:szCs w:val="24"/>
        </w:rPr>
        <w:t>郑洪标　徐</w:t>
      </w:r>
      <w:r>
        <w:rPr>
          <w:rFonts w:hint="eastAsia"/>
          <w:szCs w:val="24"/>
          <w:lang w:val="en-US" w:eastAsia="zh-CN"/>
        </w:rPr>
        <w:t xml:space="preserve">  </w:t>
      </w:r>
      <w:r>
        <w:rPr>
          <w:rFonts w:hint="eastAsia"/>
          <w:szCs w:val="24"/>
        </w:rPr>
        <w:t>政　徐城彬　陈海英　萧能舜　</w:t>
      </w:r>
    </w:p>
    <w:p w14:paraId="4C2ADA75">
      <w:pPr>
        <w:spacing w:before="120" w:beforeLines="50"/>
        <w:ind w:leftChars="600" w:firstLine="480" w:firstLineChars="200"/>
        <w:jc w:val="left"/>
        <w:rPr>
          <w:rFonts w:hint="eastAsia"/>
          <w:szCs w:val="24"/>
        </w:rPr>
      </w:pPr>
      <w:r>
        <w:rPr>
          <w:rFonts w:hint="eastAsia"/>
          <w:szCs w:val="24"/>
        </w:rPr>
        <w:t>李志坚　何祥洪　谢开杰　周泽辉　刘</w:t>
      </w:r>
      <w:r>
        <w:rPr>
          <w:rFonts w:hint="eastAsia"/>
          <w:szCs w:val="24"/>
          <w:lang w:val="en-US" w:eastAsia="zh-CN"/>
        </w:rPr>
        <w:t xml:space="preserve">  </w:t>
      </w:r>
      <w:r>
        <w:rPr>
          <w:rFonts w:hint="eastAsia"/>
          <w:szCs w:val="24"/>
        </w:rPr>
        <w:t>伟　</w:t>
      </w:r>
    </w:p>
    <w:p w14:paraId="263595C9">
      <w:pPr>
        <w:spacing w:before="120" w:beforeLines="50"/>
        <w:ind w:leftChars="600" w:firstLine="480" w:firstLineChars="200"/>
        <w:jc w:val="left"/>
        <w:rPr>
          <w:rFonts w:hint="eastAsia"/>
          <w:szCs w:val="24"/>
        </w:rPr>
      </w:pPr>
      <w:r>
        <w:rPr>
          <w:rFonts w:hint="eastAsia"/>
          <w:szCs w:val="24"/>
          <w:lang w:eastAsia="zh-CN"/>
        </w:rPr>
        <w:t>刘</w:t>
      </w:r>
      <w:r>
        <w:rPr>
          <w:rFonts w:hint="eastAsia"/>
          <w:szCs w:val="24"/>
          <w:lang w:val="en-US" w:eastAsia="zh-CN"/>
        </w:rPr>
        <w:t xml:space="preserve">  </w:t>
      </w:r>
      <w:r>
        <w:rPr>
          <w:rFonts w:hint="eastAsia"/>
          <w:szCs w:val="24"/>
          <w:lang w:eastAsia="zh-CN"/>
        </w:rPr>
        <w:t>锴</w:t>
      </w:r>
      <w:r>
        <w:rPr>
          <w:rFonts w:hint="eastAsia"/>
          <w:szCs w:val="24"/>
        </w:rPr>
        <w:t>　马保松　胡群芳　杨俊超　刘添俊　</w:t>
      </w:r>
    </w:p>
    <w:p w14:paraId="164C5B32">
      <w:pPr>
        <w:spacing w:before="120" w:beforeLines="50"/>
        <w:ind w:leftChars="600" w:firstLine="480" w:firstLineChars="200"/>
        <w:jc w:val="left"/>
        <w:rPr>
          <w:rFonts w:hint="eastAsia"/>
          <w:szCs w:val="24"/>
        </w:rPr>
      </w:pPr>
      <w:r>
        <w:rPr>
          <w:rFonts w:hint="eastAsia"/>
          <w:szCs w:val="24"/>
        </w:rPr>
        <w:t>王</w:t>
      </w:r>
      <w:r>
        <w:rPr>
          <w:rFonts w:hint="eastAsia"/>
          <w:szCs w:val="24"/>
          <w:lang w:val="en-US" w:eastAsia="zh-CN"/>
        </w:rPr>
        <w:t xml:space="preserve">  </w:t>
      </w:r>
      <w:r>
        <w:rPr>
          <w:rFonts w:hint="eastAsia"/>
          <w:szCs w:val="24"/>
        </w:rPr>
        <w:t>谭　陈浩亮　徐德意　钟</w:t>
      </w:r>
      <w:r>
        <w:rPr>
          <w:rFonts w:hint="eastAsia"/>
          <w:szCs w:val="24"/>
          <w:lang w:val="en-US" w:eastAsia="zh-CN"/>
        </w:rPr>
        <w:t xml:space="preserve">  </w:t>
      </w:r>
      <w:r>
        <w:rPr>
          <w:rFonts w:hint="eastAsia"/>
          <w:szCs w:val="24"/>
        </w:rPr>
        <w:t>亮　马春景　</w:t>
      </w:r>
    </w:p>
    <w:p w14:paraId="10160B41">
      <w:pPr>
        <w:spacing w:before="120" w:beforeLines="50"/>
        <w:ind w:leftChars="600" w:firstLine="480" w:firstLineChars="200"/>
        <w:jc w:val="left"/>
        <w:rPr>
          <w:rFonts w:eastAsia="宋体"/>
          <w:szCs w:val="24"/>
        </w:rPr>
      </w:pPr>
      <w:r>
        <w:rPr>
          <w:rFonts w:hint="eastAsia"/>
          <w:szCs w:val="24"/>
        </w:rPr>
        <w:t>何伟雄　</w:t>
      </w:r>
    </w:p>
    <w:p w14:paraId="0B93B180">
      <w:pPr>
        <w:ind w:firstLine="480" w:firstLineChars="200"/>
        <w:rPr>
          <w:color w:val="FF0000"/>
          <w:szCs w:val="24"/>
        </w:rPr>
        <w:sectPr>
          <w:pgSz w:w="11907" w:h="16839"/>
          <w:pgMar w:top="1361" w:right="1559" w:bottom="1361" w:left="1560" w:header="720" w:footer="720" w:gutter="0"/>
          <w:pgBorders>
            <w:top w:val="none" w:sz="0" w:space="0"/>
            <w:left w:val="none" w:sz="0" w:space="0"/>
            <w:bottom w:val="none" w:sz="0" w:space="0"/>
            <w:right w:val="none" w:sz="0" w:space="0"/>
          </w:pgBorders>
          <w:pgNumType w:fmt="upperRoman" w:start="1"/>
          <w:cols w:space="720" w:num="1"/>
          <w:titlePg/>
          <w:docGrid w:linePitch="360" w:charSpace="0"/>
        </w:sectPr>
      </w:pPr>
      <w:r>
        <w:rPr>
          <w:rFonts w:eastAsia="黑体"/>
          <w:szCs w:val="24"/>
        </w:rPr>
        <w:t>主要审查人</w:t>
      </w:r>
      <w:r>
        <w:rPr>
          <w:b/>
          <w:szCs w:val="24"/>
        </w:rPr>
        <w:t>：</w:t>
      </w:r>
      <w:r>
        <w:rPr>
          <w:rFonts w:hint="eastAsia"/>
          <w:color w:val="000000" w:themeColor="text1"/>
          <w:szCs w:val="24"/>
          <w14:textFill>
            <w14:solidFill>
              <w14:schemeClr w14:val="tx1"/>
            </w14:solidFill>
          </w14:textFill>
        </w:rPr>
        <w:t>××××</w:t>
      </w:r>
    </w:p>
    <w:p w14:paraId="24C07817">
      <w:pPr>
        <w:spacing w:line="240" w:lineRule="auto"/>
        <w:jc w:val="center"/>
        <w:rPr>
          <w:rFonts w:hint="eastAsia" w:ascii="宋体" w:hAnsi="宋体" w:eastAsia="宋体"/>
          <w:b/>
          <w:bCs/>
          <w:sz w:val="32"/>
          <w:szCs w:val="32"/>
          <w:lang w:eastAsia="zh-CN"/>
        </w:rPr>
      </w:pPr>
      <w:r>
        <w:rPr>
          <w:rFonts w:ascii="宋体" w:hAnsi="宋体" w:eastAsia="宋体"/>
          <w:b/>
          <w:bCs/>
          <w:sz w:val="32"/>
          <w:szCs w:val="32"/>
        </w:rPr>
        <w:t>目</w:t>
      </w:r>
      <w:r>
        <w:rPr>
          <w:rFonts w:hint="eastAsia" w:ascii="宋体" w:hAnsi="宋体" w:eastAsia="宋体"/>
          <w:b/>
          <w:bCs/>
          <w:sz w:val="32"/>
          <w:szCs w:val="32"/>
        </w:rPr>
        <w:t>　　</w:t>
      </w:r>
      <w:r>
        <w:rPr>
          <w:rFonts w:hint="eastAsia" w:ascii="宋体" w:hAnsi="宋体" w:eastAsia="宋体"/>
          <w:b/>
          <w:bCs/>
          <w:sz w:val="32"/>
          <w:szCs w:val="32"/>
          <w:lang w:val="en-US" w:eastAsia="zh-CN"/>
        </w:rPr>
        <w:t>次</w:t>
      </w:r>
    </w:p>
    <w:p w14:paraId="5E3372E0">
      <w:pPr>
        <w:pStyle w:val="2"/>
        <w:ind w:firstLine="240"/>
      </w:pPr>
    </w:p>
    <w:p w14:paraId="067C25E3">
      <w:pPr>
        <w:pStyle w:val="22"/>
        <w:tabs>
          <w:tab w:val="right" w:leader="dot" w:pos="8788"/>
          <w:tab w:val="clear" w:pos="8296"/>
        </w:tabs>
      </w:pPr>
      <w:r>
        <w:rPr>
          <w:rFonts w:hint="eastAsia"/>
          <w:color w:val="000000" w:themeColor="text1"/>
          <w:szCs w:val="24"/>
          <w14:textFill>
            <w14:solidFill>
              <w14:schemeClr w14:val="tx1"/>
            </w14:solidFill>
          </w14:textFill>
        </w:rPr>
        <w:fldChar w:fldCharType="begin"/>
      </w:r>
      <w:r>
        <w:rPr>
          <w:rFonts w:hint="eastAsia"/>
          <w:color w:val="000000" w:themeColor="text1"/>
          <w:szCs w:val="24"/>
          <w14:textFill>
            <w14:solidFill>
              <w14:schemeClr w14:val="tx1"/>
            </w14:solidFill>
          </w14:textFill>
        </w:rPr>
        <w:instrText xml:space="preserve">TOC \o "1-2" \h \u </w:instrText>
      </w:r>
      <w:r>
        <w:rPr>
          <w:rFonts w:hint="eastAsia"/>
          <w:color w:val="000000" w:themeColor="text1"/>
          <w:szCs w:val="24"/>
          <w14:textFill>
            <w14:solidFill>
              <w14:schemeClr w14:val="tx1"/>
            </w14:solidFill>
          </w14:textFill>
        </w:rPr>
        <w:fldChar w:fldCharType="separate"/>
      </w:r>
      <w:r>
        <w:fldChar w:fldCharType="begin"/>
      </w:r>
      <w:r>
        <w:instrText xml:space="preserve"> HYPERLINK \l "_Toc31907" </w:instrText>
      </w:r>
      <w:r>
        <w:fldChar w:fldCharType="separate"/>
      </w:r>
      <w:r>
        <w:t>1　总　　则</w:t>
      </w:r>
      <w:r>
        <w:tab/>
      </w:r>
      <w:r>
        <w:fldChar w:fldCharType="begin"/>
      </w:r>
      <w:r>
        <w:instrText xml:space="preserve"> PAGEREF _Toc31907 \h </w:instrText>
      </w:r>
      <w:r>
        <w:fldChar w:fldCharType="separate"/>
      </w:r>
      <w:r>
        <w:t>1</w:t>
      </w:r>
      <w:r>
        <w:fldChar w:fldCharType="end"/>
      </w:r>
      <w:r>
        <w:fldChar w:fldCharType="end"/>
      </w:r>
    </w:p>
    <w:p w14:paraId="7C131786">
      <w:pPr>
        <w:pStyle w:val="22"/>
        <w:tabs>
          <w:tab w:val="right" w:leader="dot" w:pos="8788"/>
          <w:tab w:val="clear" w:pos="8296"/>
        </w:tabs>
      </w:pPr>
      <w:r>
        <w:fldChar w:fldCharType="begin"/>
      </w:r>
      <w:r>
        <w:instrText xml:space="preserve"> HYPERLINK \l "_Toc25461" </w:instrText>
      </w:r>
      <w:r>
        <w:fldChar w:fldCharType="separate"/>
      </w:r>
      <w:r>
        <w:rPr>
          <w:rFonts w:hint="eastAsia"/>
        </w:rPr>
        <w:t>2　术语和符号</w:t>
      </w:r>
      <w:r>
        <w:tab/>
      </w:r>
      <w:r>
        <w:fldChar w:fldCharType="begin"/>
      </w:r>
      <w:r>
        <w:instrText xml:space="preserve"> PAGEREF _Toc25461 \h </w:instrText>
      </w:r>
      <w:r>
        <w:fldChar w:fldCharType="separate"/>
      </w:r>
      <w:r>
        <w:t>2</w:t>
      </w:r>
      <w:r>
        <w:fldChar w:fldCharType="end"/>
      </w:r>
      <w:r>
        <w:fldChar w:fldCharType="end"/>
      </w:r>
    </w:p>
    <w:p w14:paraId="32140E66">
      <w:pPr>
        <w:pStyle w:val="24"/>
        <w:tabs>
          <w:tab w:val="right" w:leader="dot" w:pos="8788"/>
        </w:tabs>
        <w:ind w:left="480"/>
      </w:pPr>
      <w:r>
        <w:fldChar w:fldCharType="begin"/>
      </w:r>
      <w:r>
        <w:instrText xml:space="preserve"> HYPERLINK \l "_Toc9707" </w:instrText>
      </w:r>
      <w:r>
        <w:fldChar w:fldCharType="separate"/>
      </w:r>
      <w:r>
        <w:rPr>
          <w:rFonts w:hint="eastAsia"/>
        </w:rPr>
        <w:t>2.1　术语</w:t>
      </w:r>
      <w:r>
        <w:tab/>
      </w:r>
      <w:r>
        <w:fldChar w:fldCharType="begin"/>
      </w:r>
      <w:r>
        <w:instrText xml:space="preserve"> PAGEREF _Toc9707 \h </w:instrText>
      </w:r>
      <w:r>
        <w:fldChar w:fldCharType="separate"/>
      </w:r>
      <w:r>
        <w:t>2</w:t>
      </w:r>
      <w:r>
        <w:fldChar w:fldCharType="end"/>
      </w:r>
      <w:r>
        <w:fldChar w:fldCharType="end"/>
      </w:r>
    </w:p>
    <w:p w14:paraId="31BFCF86">
      <w:pPr>
        <w:pStyle w:val="24"/>
        <w:tabs>
          <w:tab w:val="right" w:leader="dot" w:pos="8788"/>
        </w:tabs>
        <w:ind w:left="480"/>
      </w:pPr>
      <w:r>
        <w:fldChar w:fldCharType="begin"/>
      </w:r>
      <w:r>
        <w:instrText xml:space="preserve"> HYPERLINK \l "_Toc14247" </w:instrText>
      </w:r>
      <w:r>
        <w:fldChar w:fldCharType="separate"/>
      </w:r>
      <w:r>
        <w:rPr>
          <w:rFonts w:hint="eastAsia"/>
        </w:rPr>
        <w:t>2.2　符号</w:t>
      </w:r>
      <w:r>
        <w:tab/>
      </w:r>
      <w:r>
        <w:fldChar w:fldCharType="begin"/>
      </w:r>
      <w:r>
        <w:instrText xml:space="preserve"> PAGEREF _Toc14247 \h </w:instrText>
      </w:r>
      <w:r>
        <w:fldChar w:fldCharType="separate"/>
      </w:r>
      <w:r>
        <w:t>3</w:t>
      </w:r>
      <w:r>
        <w:fldChar w:fldCharType="end"/>
      </w:r>
      <w:r>
        <w:fldChar w:fldCharType="end"/>
      </w:r>
    </w:p>
    <w:p w14:paraId="10473FB1">
      <w:pPr>
        <w:pStyle w:val="22"/>
        <w:tabs>
          <w:tab w:val="right" w:leader="dot" w:pos="8788"/>
          <w:tab w:val="clear" w:pos="8296"/>
        </w:tabs>
      </w:pPr>
      <w:r>
        <w:fldChar w:fldCharType="begin"/>
      </w:r>
      <w:r>
        <w:instrText xml:space="preserve"> HYPERLINK \l "_Toc29769" </w:instrText>
      </w:r>
      <w:r>
        <w:fldChar w:fldCharType="separate"/>
      </w:r>
      <w:r>
        <w:rPr>
          <w:rFonts w:hint="eastAsia"/>
        </w:rPr>
        <w:t>3　基本规定</w:t>
      </w:r>
      <w:r>
        <w:tab/>
      </w:r>
      <w:r>
        <w:fldChar w:fldCharType="begin"/>
      </w:r>
      <w:r>
        <w:instrText xml:space="preserve"> PAGEREF _Toc29769 \h </w:instrText>
      </w:r>
      <w:r>
        <w:fldChar w:fldCharType="separate"/>
      </w:r>
      <w:r>
        <w:t>5</w:t>
      </w:r>
      <w:r>
        <w:fldChar w:fldCharType="end"/>
      </w:r>
      <w:r>
        <w:fldChar w:fldCharType="end"/>
      </w:r>
    </w:p>
    <w:p w14:paraId="1BFDC94B">
      <w:pPr>
        <w:pStyle w:val="22"/>
        <w:tabs>
          <w:tab w:val="right" w:leader="dot" w:pos="8788"/>
          <w:tab w:val="clear" w:pos="8296"/>
        </w:tabs>
      </w:pPr>
      <w:r>
        <w:fldChar w:fldCharType="begin"/>
      </w:r>
      <w:r>
        <w:instrText xml:space="preserve"> HYPERLINK \l "_Toc12621" </w:instrText>
      </w:r>
      <w:r>
        <w:fldChar w:fldCharType="separate"/>
      </w:r>
      <w:r>
        <w:rPr>
          <w:rFonts w:hint="eastAsia"/>
        </w:rPr>
        <w:t>4　电视检测</w:t>
      </w:r>
      <w:r>
        <w:tab/>
      </w:r>
      <w:r>
        <w:fldChar w:fldCharType="begin"/>
      </w:r>
      <w:r>
        <w:instrText xml:space="preserve"> PAGEREF _Toc12621 \h </w:instrText>
      </w:r>
      <w:r>
        <w:fldChar w:fldCharType="separate"/>
      </w:r>
      <w:r>
        <w:t>7</w:t>
      </w:r>
      <w:r>
        <w:fldChar w:fldCharType="end"/>
      </w:r>
      <w:r>
        <w:fldChar w:fldCharType="end"/>
      </w:r>
    </w:p>
    <w:p w14:paraId="1FF11D2B">
      <w:pPr>
        <w:pStyle w:val="24"/>
        <w:tabs>
          <w:tab w:val="right" w:leader="dot" w:pos="8788"/>
        </w:tabs>
        <w:ind w:left="480"/>
      </w:pPr>
      <w:r>
        <w:fldChar w:fldCharType="begin"/>
      </w:r>
      <w:r>
        <w:instrText xml:space="preserve"> HYPERLINK \l "_Toc2100" </w:instrText>
      </w:r>
      <w:r>
        <w:fldChar w:fldCharType="separate"/>
      </w:r>
      <w:r>
        <w:rPr>
          <w:rFonts w:hint="eastAsia"/>
        </w:rPr>
        <w:t>4.1　一般规定</w:t>
      </w:r>
      <w:r>
        <w:tab/>
      </w:r>
      <w:r>
        <w:fldChar w:fldCharType="begin"/>
      </w:r>
      <w:r>
        <w:instrText xml:space="preserve"> PAGEREF _Toc2100 \h </w:instrText>
      </w:r>
      <w:r>
        <w:fldChar w:fldCharType="separate"/>
      </w:r>
      <w:r>
        <w:t>7</w:t>
      </w:r>
      <w:r>
        <w:fldChar w:fldCharType="end"/>
      </w:r>
      <w:r>
        <w:fldChar w:fldCharType="end"/>
      </w:r>
    </w:p>
    <w:p w14:paraId="6D51C261">
      <w:pPr>
        <w:pStyle w:val="24"/>
        <w:tabs>
          <w:tab w:val="right" w:leader="dot" w:pos="8788"/>
        </w:tabs>
        <w:ind w:left="480"/>
      </w:pPr>
      <w:r>
        <w:fldChar w:fldCharType="begin"/>
      </w:r>
      <w:r>
        <w:instrText xml:space="preserve"> HYPERLINK \l "_Toc26010" </w:instrText>
      </w:r>
      <w:r>
        <w:fldChar w:fldCharType="separate"/>
      </w:r>
      <w:r>
        <w:rPr>
          <w:rFonts w:hint="eastAsia"/>
        </w:rPr>
        <w:t>4.2　检测设备</w:t>
      </w:r>
      <w:r>
        <w:tab/>
      </w:r>
      <w:r>
        <w:fldChar w:fldCharType="begin"/>
      </w:r>
      <w:r>
        <w:instrText xml:space="preserve"> PAGEREF _Toc26010 \h </w:instrText>
      </w:r>
      <w:r>
        <w:fldChar w:fldCharType="separate"/>
      </w:r>
      <w:r>
        <w:t>8</w:t>
      </w:r>
      <w:r>
        <w:fldChar w:fldCharType="end"/>
      </w:r>
      <w:r>
        <w:fldChar w:fldCharType="end"/>
      </w:r>
    </w:p>
    <w:p w14:paraId="63199AD6">
      <w:pPr>
        <w:pStyle w:val="24"/>
        <w:tabs>
          <w:tab w:val="right" w:leader="dot" w:pos="8788"/>
        </w:tabs>
        <w:ind w:left="480"/>
      </w:pPr>
      <w:r>
        <w:fldChar w:fldCharType="begin"/>
      </w:r>
      <w:r>
        <w:instrText xml:space="preserve"> HYPERLINK \l "_Toc17227" </w:instrText>
      </w:r>
      <w:r>
        <w:fldChar w:fldCharType="separate"/>
      </w:r>
      <w:r>
        <w:rPr>
          <w:rFonts w:hint="eastAsia"/>
        </w:rPr>
        <w:t>4.3　检测方法</w:t>
      </w:r>
      <w:r>
        <w:tab/>
      </w:r>
      <w:r>
        <w:fldChar w:fldCharType="begin"/>
      </w:r>
      <w:r>
        <w:instrText xml:space="preserve"> PAGEREF _Toc17227 \h </w:instrText>
      </w:r>
      <w:r>
        <w:fldChar w:fldCharType="separate"/>
      </w:r>
      <w:r>
        <w:t>9</w:t>
      </w:r>
      <w:r>
        <w:fldChar w:fldCharType="end"/>
      </w:r>
      <w:r>
        <w:fldChar w:fldCharType="end"/>
      </w:r>
    </w:p>
    <w:p w14:paraId="49F63A51">
      <w:pPr>
        <w:pStyle w:val="24"/>
        <w:tabs>
          <w:tab w:val="right" w:leader="dot" w:pos="8788"/>
        </w:tabs>
        <w:ind w:left="480"/>
      </w:pPr>
      <w:r>
        <w:fldChar w:fldCharType="begin"/>
      </w:r>
      <w:r>
        <w:instrText xml:space="preserve"> HYPERLINK \l "_Toc13309" </w:instrText>
      </w:r>
      <w:r>
        <w:fldChar w:fldCharType="separate"/>
      </w:r>
      <w:r>
        <w:rPr>
          <w:rFonts w:hint="eastAsia"/>
        </w:rPr>
        <w:t>4.4　结果判读</w:t>
      </w:r>
      <w:r>
        <w:tab/>
      </w:r>
      <w:r>
        <w:fldChar w:fldCharType="begin"/>
      </w:r>
      <w:r>
        <w:instrText xml:space="preserve"> PAGEREF _Toc13309 \h </w:instrText>
      </w:r>
      <w:r>
        <w:fldChar w:fldCharType="separate"/>
      </w:r>
      <w:r>
        <w:t>10</w:t>
      </w:r>
      <w:r>
        <w:fldChar w:fldCharType="end"/>
      </w:r>
      <w:r>
        <w:fldChar w:fldCharType="end"/>
      </w:r>
    </w:p>
    <w:p w14:paraId="097E3940">
      <w:pPr>
        <w:pStyle w:val="22"/>
        <w:tabs>
          <w:tab w:val="right" w:leader="dot" w:pos="8788"/>
          <w:tab w:val="clear" w:pos="8296"/>
        </w:tabs>
      </w:pPr>
      <w:r>
        <w:fldChar w:fldCharType="begin"/>
      </w:r>
      <w:r>
        <w:instrText xml:space="preserve"> HYPERLINK \l "_Toc16971" </w:instrText>
      </w:r>
      <w:r>
        <w:fldChar w:fldCharType="separate"/>
      </w:r>
      <w:r>
        <w:rPr>
          <w:rFonts w:hint="eastAsia"/>
        </w:rPr>
        <w:t>5　声呐检测</w:t>
      </w:r>
      <w:r>
        <w:tab/>
      </w:r>
      <w:r>
        <w:fldChar w:fldCharType="begin"/>
      </w:r>
      <w:r>
        <w:instrText xml:space="preserve"> PAGEREF _Toc16971 \h </w:instrText>
      </w:r>
      <w:r>
        <w:fldChar w:fldCharType="separate"/>
      </w:r>
      <w:r>
        <w:t>12</w:t>
      </w:r>
      <w:r>
        <w:fldChar w:fldCharType="end"/>
      </w:r>
      <w:r>
        <w:fldChar w:fldCharType="end"/>
      </w:r>
    </w:p>
    <w:p w14:paraId="2ECB96C4">
      <w:pPr>
        <w:pStyle w:val="24"/>
        <w:tabs>
          <w:tab w:val="right" w:leader="dot" w:pos="8788"/>
        </w:tabs>
        <w:ind w:left="480"/>
      </w:pPr>
      <w:r>
        <w:fldChar w:fldCharType="begin"/>
      </w:r>
      <w:r>
        <w:instrText xml:space="preserve"> HYPERLINK \l "_Toc15651" </w:instrText>
      </w:r>
      <w:r>
        <w:fldChar w:fldCharType="separate"/>
      </w:r>
      <w:r>
        <w:rPr>
          <w:rFonts w:hint="eastAsia"/>
        </w:rPr>
        <w:t>5.1　一般规定</w:t>
      </w:r>
      <w:r>
        <w:tab/>
      </w:r>
      <w:r>
        <w:fldChar w:fldCharType="begin"/>
      </w:r>
      <w:r>
        <w:instrText xml:space="preserve"> PAGEREF _Toc15651 \h </w:instrText>
      </w:r>
      <w:r>
        <w:fldChar w:fldCharType="separate"/>
      </w:r>
      <w:r>
        <w:t>12</w:t>
      </w:r>
      <w:r>
        <w:fldChar w:fldCharType="end"/>
      </w:r>
      <w:r>
        <w:fldChar w:fldCharType="end"/>
      </w:r>
    </w:p>
    <w:p w14:paraId="5C35732E">
      <w:pPr>
        <w:pStyle w:val="24"/>
        <w:tabs>
          <w:tab w:val="right" w:leader="dot" w:pos="8788"/>
        </w:tabs>
        <w:ind w:left="480"/>
      </w:pPr>
      <w:r>
        <w:fldChar w:fldCharType="begin"/>
      </w:r>
      <w:r>
        <w:instrText xml:space="preserve"> HYPERLINK \l "_Toc18054" </w:instrText>
      </w:r>
      <w:r>
        <w:fldChar w:fldCharType="separate"/>
      </w:r>
      <w:r>
        <w:rPr>
          <w:rFonts w:hint="eastAsia"/>
        </w:rPr>
        <w:t>5.2　检测设备</w:t>
      </w:r>
      <w:r>
        <w:tab/>
      </w:r>
      <w:r>
        <w:fldChar w:fldCharType="begin"/>
      </w:r>
      <w:r>
        <w:instrText xml:space="preserve"> PAGEREF _Toc18054 \h </w:instrText>
      </w:r>
      <w:r>
        <w:fldChar w:fldCharType="separate"/>
      </w:r>
      <w:r>
        <w:t>12</w:t>
      </w:r>
      <w:r>
        <w:fldChar w:fldCharType="end"/>
      </w:r>
      <w:r>
        <w:fldChar w:fldCharType="end"/>
      </w:r>
    </w:p>
    <w:p w14:paraId="385133E0">
      <w:pPr>
        <w:pStyle w:val="24"/>
        <w:tabs>
          <w:tab w:val="right" w:leader="dot" w:pos="8788"/>
        </w:tabs>
        <w:ind w:left="480"/>
      </w:pPr>
      <w:r>
        <w:fldChar w:fldCharType="begin"/>
      </w:r>
      <w:r>
        <w:instrText xml:space="preserve"> HYPERLINK \l "_Toc15110" </w:instrText>
      </w:r>
      <w:r>
        <w:fldChar w:fldCharType="separate"/>
      </w:r>
      <w:r>
        <w:rPr>
          <w:rFonts w:hint="eastAsia"/>
        </w:rPr>
        <w:t>5.3　检测方法</w:t>
      </w:r>
      <w:r>
        <w:tab/>
      </w:r>
      <w:r>
        <w:fldChar w:fldCharType="begin"/>
      </w:r>
      <w:r>
        <w:instrText xml:space="preserve"> PAGEREF _Toc15110 \h </w:instrText>
      </w:r>
      <w:r>
        <w:fldChar w:fldCharType="separate"/>
      </w:r>
      <w:r>
        <w:t>13</w:t>
      </w:r>
      <w:r>
        <w:fldChar w:fldCharType="end"/>
      </w:r>
      <w:r>
        <w:fldChar w:fldCharType="end"/>
      </w:r>
    </w:p>
    <w:p w14:paraId="2E35436D">
      <w:pPr>
        <w:pStyle w:val="24"/>
        <w:tabs>
          <w:tab w:val="right" w:leader="dot" w:pos="8788"/>
        </w:tabs>
        <w:ind w:left="480"/>
      </w:pPr>
      <w:r>
        <w:fldChar w:fldCharType="begin"/>
      </w:r>
      <w:r>
        <w:instrText xml:space="preserve"> HYPERLINK \l "_Toc28732" </w:instrText>
      </w:r>
      <w:r>
        <w:fldChar w:fldCharType="separate"/>
      </w:r>
      <w:r>
        <w:rPr>
          <w:rFonts w:hint="eastAsia"/>
        </w:rPr>
        <w:t>5.4　结果判读</w:t>
      </w:r>
      <w:r>
        <w:tab/>
      </w:r>
      <w:r>
        <w:fldChar w:fldCharType="begin"/>
      </w:r>
      <w:r>
        <w:instrText xml:space="preserve"> PAGEREF _Toc28732 \h </w:instrText>
      </w:r>
      <w:r>
        <w:fldChar w:fldCharType="separate"/>
      </w:r>
      <w:r>
        <w:t>14</w:t>
      </w:r>
      <w:r>
        <w:fldChar w:fldCharType="end"/>
      </w:r>
      <w:r>
        <w:fldChar w:fldCharType="end"/>
      </w:r>
    </w:p>
    <w:p w14:paraId="7845505C">
      <w:pPr>
        <w:pStyle w:val="22"/>
        <w:tabs>
          <w:tab w:val="right" w:leader="dot" w:pos="8788"/>
          <w:tab w:val="clear" w:pos="8296"/>
        </w:tabs>
      </w:pPr>
      <w:r>
        <w:fldChar w:fldCharType="begin"/>
      </w:r>
      <w:r>
        <w:instrText xml:space="preserve"> HYPERLINK \l "_Toc2671" </w:instrText>
      </w:r>
      <w:r>
        <w:fldChar w:fldCharType="separate"/>
      </w:r>
      <w:r>
        <w:rPr>
          <w:rFonts w:hint="eastAsia"/>
        </w:rPr>
        <w:t>6　超声波检测</w:t>
      </w:r>
      <w:r>
        <w:tab/>
      </w:r>
      <w:r>
        <w:fldChar w:fldCharType="begin"/>
      </w:r>
      <w:r>
        <w:instrText xml:space="preserve"> PAGEREF _Toc2671 \h </w:instrText>
      </w:r>
      <w:r>
        <w:fldChar w:fldCharType="separate"/>
      </w:r>
      <w:r>
        <w:t>15</w:t>
      </w:r>
      <w:r>
        <w:fldChar w:fldCharType="end"/>
      </w:r>
      <w:r>
        <w:fldChar w:fldCharType="end"/>
      </w:r>
    </w:p>
    <w:p w14:paraId="0E179F4C">
      <w:pPr>
        <w:pStyle w:val="24"/>
        <w:tabs>
          <w:tab w:val="right" w:leader="dot" w:pos="8788"/>
        </w:tabs>
        <w:ind w:left="480"/>
      </w:pPr>
      <w:r>
        <w:fldChar w:fldCharType="begin"/>
      </w:r>
      <w:r>
        <w:instrText xml:space="preserve"> HYPERLINK \l "_Toc30855" </w:instrText>
      </w:r>
      <w:r>
        <w:fldChar w:fldCharType="separate"/>
      </w:r>
      <w:r>
        <w:rPr>
          <w:rFonts w:hint="eastAsia"/>
        </w:rPr>
        <w:t>6.1　一般规定</w:t>
      </w:r>
      <w:r>
        <w:tab/>
      </w:r>
      <w:r>
        <w:fldChar w:fldCharType="begin"/>
      </w:r>
      <w:r>
        <w:instrText xml:space="preserve"> PAGEREF _Toc30855 \h </w:instrText>
      </w:r>
      <w:r>
        <w:fldChar w:fldCharType="separate"/>
      </w:r>
      <w:r>
        <w:t>15</w:t>
      </w:r>
      <w:r>
        <w:fldChar w:fldCharType="end"/>
      </w:r>
      <w:r>
        <w:fldChar w:fldCharType="end"/>
      </w:r>
    </w:p>
    <w:p w14:paraId="7B48A258">
      <w:pPr>
        <w:pStyle w:val="24"/>
        <w:tabs>
          <w:tab w:val="right" w:leader="dot" w:pos="8788"/>
        </w:tabs>
        <w:ind w:left="480"/>
      </w:pPr>
      <w:r>
        <w:fldChar w:fldCharType="begin"/>
      </w:r>
      <w:r>
        <w:instrText xml:space="preserve"> HYPERLINK \l "_Toc31128" </w:instrText>
      </w:r>
      <w:r>
        <w:fldChar w:fldCharType="separate"/>
      </w:r>
      <w:r>
        <w:rPr>
          <w:rFonts w:hint="eastAsia"/>
        </w:rPr>
        <w:t>6.2　检测设备</w:t>
      </w:r>
      <w:r>
        <w:tab/>
      </w:r>
      <w:r>
        <w:fldChar w:fldCharType="begin"/>
      </w:r>
      <w:r>
        <w:instrText xml:space="preserve"> PAGEREF _Toc31128 \h </w:instrText>
      </w:r>
      <w:r>
        <w:fldChar w:fldCharType="separate"/>
      </w:r>
      <w:r>
        <w:t>15</w:t>
      </w:r>
      <w:r>
        <w:fldChar w:fldCharType="end"/>
      </w:r>
      <w:r>
        <w:fldChar w:fldCharType="end"/>
      </w:r>
    </w:p>
    <w:p w14:paraId="681970E3">
      <w:pPr>
        <w:pStyle w:val="24"/>
        <w:tabs>
          <w:tab w:val="right" w:leader="dot" w:pos="8788"/>
        </w:tabs>
        <w:ind w:left="480"/>
      </w:pPr>
      <w:r>
        <w:fldChar w:fldCharType="begin"/>
      </w:r>
      <w:r>
        <w:instrText xml:space="preserve"> HYPERLINK \l "_Toc20485" </w:instrText>
      </w:r>
      <w:r>
        <w:fldChar w:fldCharType="separate"/>
      </w:r>
      <w:r>
        <w:rPr>
          <w:rFonts w:hint="eastAsia"/>
        </w:rPr>
        <w:t>6.3　检测方法</w:t>
      </w:r>
      <w:r>
        <w:tab/>
      </w:r>
      <w:r>
        <w:fldChar w:fldCharType="begin"/>
      </w:r>
      <w:r>
        <w:instrText xml:space="preserve"> PAGEREF _Toc20485 \h </w:instrText>
      </w:r>
      <w:r>
        <w:fldChar w:fldCharType="separate"/>
      </w:r>
      <w:r>
        <w:t>16</w:t>
      </w:r>
      <w:r>
        <w:fldChar w:fldCharType="end"/>
      </w:r>
      <w:r>
        <w:fldChar w:fldCharType="end"/>
      </w:r>
    </w:p>
    <w:p w14:paraId="53361A07">
      <w:pPr>
        <w:pStyle w:val="24"/>
        <w:tabs>
          <w:tab w:val="right" w:leader="dot" w:pos="8788"/>
        </w:tabs>
        <w:ind w:left="480"/>
      </w:pPr>
      <w:r>
        <w:fldChar w:fldCharType="begin"/>
      </w:r>
      <w:r>
        <w:instrText xml:space="preserve"> HYPERLINK \l "_Toc19666" </w:instrText>
      </w:r>
      <w:r>
        <w:fldChar w:fldCharType="separate"/>
      </w:r>
      <w:r>
        <w:rPr>
          <w:rFonts w:hint="eastAsia"/>
        </w:rPr>
        <w:t>6.4　结果判读</w:t>
      </w:r>
      <w:r>
        <w:tab/>
      </w:r>
      <w:r>
        <w:fldChar w:fldCharType="begin"/>
      </w:r>
      <w:r>
        <w:instrText xml:space="preserve"> PAGEREF _Toc19666 \h </w:instrText>
      </w:r>
      <w:r>
        <w:fldChar w:fldCharType="separate"/>
      </w:r>
      <w:r>
        <w:t>17</w:t>
      </w:r>
      <w:r>
        <w:fldChar w:fldCharType="end"/>
      </w:r>
      <w:r>
        <w:fldChar w:fldCharType="end"/>
      </w:r>
    </w:p>
    <w:p w14:paraId="342C11A5">
      <w:pPr>
        <w:pStyle w:val="22"/>
        <w:tabs>
          <w:tab w:val="right" w:leader="dot" w:pos="8788"/>
          <w:tab w:val="clear" w:pos="8296"/>
        </w:tabs>
      </w:pPr>
      <w:r>
        <w:fldChar w:fldCharType="begin"/>
      </w:r>
      <w:r>
        <w:instrText xml:space="preserve"> HYPERLINK \l "_Toc28508" </w:instrText>
      </w:r>
      <w:r>
        <w:fldChar w:fldCharType="separate"/>
      </w:r>
      <w:r>
        <w:rPr>
          <w:rFonts w:hint="eastAsia"/>
        </w:rPr>
        <w:t>7　电磁检测</w:t>
      </w:r>
      <w:r>
        <w:tab/>
      </w:r>
      <w:r>
        <w:fldChar w:fldCharType="begin"/>
      </w:r>
      <w:r>
        <w:instrText xml:space="preserve"> PAGEREF _Toc28508 \h </w:instrText>
      </w:r>
      <w:r>
        <w:fldChar w:fldCharType="separate"/>
      </w:r>
      <w:r>
        <w:t>18</w:t>
      </w:r>
      <w:r>
        <w:fldChar w:fldCharType="end"/>
      </w:r>
      <w:r>
        <w:fldChar w:fldCharType="end"/>
      </w:r>
    </w:p>
    <w:p w14:paraId="277384AC">
      <w:pPr>
        <w:pStyle w:val="24"/>
        <w:tabs>
          <w:tab w:val="right" w:leader="dot" w:pos="8788"/>
        </w:tabs>
        <w:ind w:left="480"/>
      </w:pPr>
      <w:r>
        <w:fldChar w:fldCharType="begin"/>
      </w:r>
      <w:r>
        <w:instrText xml:space="preserve"> HYPERLINK \l "_Toc12632" </w:instrText>
      </w:r>
      <w:r>
        <w:fldChar w:fldCharType="separate"/>
      </w:r>
      <w:r>
        <w:rPr>
          <w:rFonts w:hint="eastAsia"/>
        </w:rPr>
        <w:t>7.1　一般规定</w:t>
      </w:r>
      <w:r>
        <w:tab/>
      </w:r>
      <w:r>
        <w:fldChar w:fldCharType="begin"/>
      </w:r>
      <w:r>
        <w:instrText xml:space="preserve"> PAGEREF _Toc12632 \h </w:instrText>
      </w:r>
      <w:r>
        <w:fldChar w:fldCharType="separate"/>
      </w:r>
      <w:r>
        <w:t>18</w:t>
      </w:r>
      <w:r>
        <w:fldChar w:fldCharType="end"/>
      </w:r>
      <w:r>
        <w:fldChar w:fldCharType="end"/>
      </w:r>
    </w:p>
    <w:p w14:paraId="2177276E">
      <w:pPr>
        <w:pStyle w:val="24"/>
        <w:tabs>
          <w:tab w:val="right" w:leader="dot" w:pos="8788"/>
        </w:tabs>
        <w:ind w:left="480"/>
      </w:pPr>
      <w:r>
        <w:fldChar w:fldCharType="begin"/>
      </w:r>
      <w:r>
        <w:instrText xml:space="preserve"> HYPERLINK \l "_Toc20811" </w:instrText>
      </w:r>
      <w:r>
        <w:fldChar w:fldCharType="separate"/>
      </w:r>
      <w:r>
        <w:rPr>
          <w:rFonts w:hint="eastAsia"/>
        </w:rPr>
        <w:t>7.2　检测设备</w:t>
      </w:r>
      <w:r>
        <w:tab/>
      </w:r>
      <w:r>
        <w:fldChar w:fldCharType="begin"/>
      </w:r>
      <w:r>
        <w:instrText xml:space="preserve"> PAGEREF _Toc20811 \h </w:instrText>
      </w:r>
      <w:r>
        <w:fldChar w:fldCharType="separate"/>
      </w:r>
      <w:r>
        <w:t>18</w:t>
      </w:r>
      <w:r>
        <w:fldChar w:fldCharType="end"/>
      </w:r>
      <w:r>
        <w:fldChar w:fldCharType="end"/>
      </w:r>
    </w:p>
    <w:p w14:paraId="734355C2">
      <w:pPr>
        <w:pStyle w:val="24"/>
        <w:tabs>
          <w:tab w:val="right" w:leader="dot" w:pos="8788"/>
        </w:tabs>
        <w:ind w:left="480"/>
      </w:pPr>
      <w:r>
        <w:fldChar w:fldCharType="begin"/>
      </w:r>
      <w:r>
        <w:instrText xml:space="preserve"> HYPERLINK \l "_Toc22450" </w:instrText>
      </w:r>
      <w:r>
        <w:fldChar w:fldCharType="separate"/>
      </w:r>
      <w:r>
        <w:rPr>
          <w:rFonts w:hint="eastAsia"/>
        </w:rPr>
        <w:t>7.3　检测方法</w:t>
      </w:r>
      <w:r>
        <w:tab/>
      </w:r>
      <w:r>
        <w:fldChar w:fldCharType="begin"/>
      </w:r>
      <w:r>
        <w:instrText xml:space="preserve"> PAGEREF _Toc22450 \h </w:instrText>
      </w:r>
      <w:r>
        <w:fldChar w:fldCharType="separate"/>
      </w:r>
      <w:r>
        <w:t>20</w:t>
      </w:r>
      <w:r>
        <w:fldChar w:fldCharType="end"/>
      </w:r>
      <w:r>
        <w:fldChar w:fldCharType="end"/>
      </w:r>
    </w:p>
    <w:p w14:paraId="26D7E2FB">
      <w:pPr>
        <w:pStyle w:val="24"/>
        <w:tabs>
          <w:tab w:val="right" w:leader="dot" w:pos="8788"/>
        </w:tabs>
        <w:ind w:left="480"/>
      </w:pPr>
      <w:r>
        <w:fldChar w:fldCharType="begin"/>
      </w:r>
      <w:r>
        <w:instrText xml:space="preserve"> HYPERLINK \l "_Toc2540" </w:instrText>
      </w:r>
      <w:r>
        <w:fldChar w:fldCharType="separate"/>
      </w:r>
      <w:r>
        <w:rPr>
          <w:rFonts w:hint="eastAsia"/>
        </w:rPr>
        <w:t>7.4　结果判读</w:t>
      </w:r>
      <w:r>
        <w:tab/>
      </w:r>
      <w:r>
        <w:fldChar w:fldCharType="begin"/>
      </w:r>
      <w:r>
        <w:instrText xml:space="preserve"> PAGEREF _Toc2540 \h </w:instrText>
      </w:r>
      <w:r>
        <w:fldChar w:fldCharType="separate"/>
      </w:r>
      <w:r>
        <w:t>21</w:t>
      </w:r>
      <w:r>
        <w:fldChar w:fldCharType="end"/>
      </w:r>
      <w:r>
        <w:fldChar w:fldCharType="end"/>
      </w:r>
    </w:p>
    <w:p w14:paraId="549E843C">
      <w:pPr>
        <w:pStyle w:val="22"/>
        <w:tabs>
          <w:tab w:val="right" w:leader="dot" w:pos="8788"/>
          <w:tab w:val="clear" w:pos="8296"/>
        </w:tabs>
      </w:pPr>
      <w:r>
        <w:fldChar w:fldCharType="begin"/>
      </w:r>
      <w:r>
        <w:instrText xml:space="preserve"> HYPERLINK \l "_Toc31328" </w:instrText>
      </w:r>
      <w:r>
        <w:fldChar w:fldCharType="separate"/>
      </w:r>
      <w:r>
        <w:rPr>
          <w:rFonts w:hint="eastAsia"/>
        </w:rPr>
        <w:t>8　噪声管内检测</w:t>
      </w:r>
      <w:r>
        <w:tab/>
      </w:r>
      <w:r>
        <w:fldChar w:fldCharType="begin"/>
      </w:r>
      <w:r>
        <w:instrText xml:space="preserve"> PAGEREF _Toc31328 \h </w:instrText>
      </w:r>
      <w:r>
        <w:fldChar w:fldCharType="separate"/>
      </w:r>
      <w:r>
        <w:t>22</w:t>
      </w:r>
      <w:r>
        <w:fldChar w:fldCharType="end"/>
      </w:r>
      <w:r>
        <w:fldChar w:fldCharType="end"/>
      </w:r>
    </w:p>
    <w:p w14:paraId="63EA980A">
      <w:pPr>
        <w:pStyle w:val="24"/>
        <w:tabs>
          <w:tab w:val="right" w:leader="dot" w:pos="8788"/>
        </w:tabs>
        <w:ind w:left="480"/>
      </w:pPr>
      <w:r>
        <w:fldChar w:fldCharType="begin"/>
      </w:r>
      <w:r>
        <w:instrText xml:space="preserve"> HYPERLINK \l "_Toc19788" </w:instrText>
      </w:r>
      <w:r>
        <w:fldChar w:fldCharType="separate"/>
      </w:r>
      <w:r>
        <w:rPr>
          <w:rFonts w:hint="eastAsia"/>
        </w:rPr>
        <w:t>8.1　一般规定</w:t>
      </w:r>
      <w:r>
        <w:tab/>
      </w:r>
      <w:r>
        <w:fldChar w:fldCharType="begin"/>
      </w:r>
      <w:r>
        <w:instrText xml:space="preserve"> PAGEREF _Toc19788 \h </w:instrText>
      </w:r>
      <w:r>
        <w:fldChar w:fldCharType="separate"/>
      </w:r>
      <w:r>
        <w:t>22</w:t>
      </w:r>
      <w:r>
        <w:fldChar w:fldCharType="end"/>
      </w:r>
      <w:r>
        <w:fldChar w:fldCharType="end"/>
      </w:r>
    </w:p>
    <w:p w14:paraId="3DC1479B">
      <w:pPr>
        <w:pStyle w:val="24"/>
        <w:tabs>
          <w:tab w:val="right" w:leader="dot" w:pos="8788"/>
        </w:tabs>
        <w:ind w:left="480"/>
      </w:pPr>
      <w:r>
        <w:fldChar w:fldCharType="begin"/>
      </w:r>
      <w:r>
        <w:instrText xml:space="preserve"> HYPERLINK \l "_Toc31393" </w:instrText>
      </w:r>
      <w:r>
        <w:fldChar w:fldCharType="separate"/>
      </w:r>
      <w:r>
        <w:rPr>
          <w:rFonts w:hint="eastAsia"/>
        </w:rPr>
        <w:t>8.2　检测设备</w:t>
      </w:r>
      <w:r>
        <w:tab/>
      </w:r>
      <w:r>
        <w:fldChar w:fldCharType="begin"/>
      </w:r>
      <w:r>
        <w:instrText xml:space="preserve"> PAGEREF _Toc31393 \h </w:instrText>
      </w:r>
      <w:r>
        <w:fldChar w:fldCharType="separate"/>
      </w:r>
      <w:r>
        <w:t>22</w:t>
      </w:r>
      <w:r>
        <w:fldChar w:fldCharType="end"/>
      </w:r>
      <w:r>
        <w:fldChar w:fldCharType="end"/>
      </w:r>
    </w:p>
    <w:p w14:paraId="3FE07E60">
      <w:pPr>
        <w:pStyle w:val="24"/>
        <w:tabs>
          <w:tab w:val="right" w:leader="dot" w:pos="8788"/>
        </w:tabs>
        <w:ind w:left="480"/>
      </w:pPr>
      <w:r>
        <w:fldChar w:fldCharType="begin"/>
      </w:r>
      <w:r>
        <w:instrText xml:space="preserve"> HYPERLINK \l "_Toc1930" </w:instrText>
      </w:r>
      <w:r>
        <w:fldChar w:fldCharType="separate"/>
      </w:r>
      <w:r>
        <w:rPr>
          <w:rFonts w:hint="eastAsia"/>
        </w:rPr>
        <w:t>8.3　检测方法</w:t>
      </w:r>
      <w:r>
        <w:tab/>
      </w:r>
      <w:r>
        <w:fldChar w:fldCharType="begin"/>
      </w:r>
      <w:r>
        <w:instrText xml:space="preserve"> PAGEREF _Toc1930 \h </w:instrText>
      </w:r>
      <w:r>
        <w:fldChar w:fldCharType="separate"/>
      </w:r>
      <w:r>
        <w:t>23</w:t>
      </w:r>
      <w:r>
        <w:fldChar w:fldCharType="end"/>
      </w:r>
      <w:r>
        <w:fldChar w:fldCharType="end"/>
      </w:r>
    </w:p>
    <w:p w14:paraId="467875AE">
      <w:pPr>
        <w:pStyle w:val="24"/>
        <w:tabs>
          <w:tab w:val="right" w:leader="dot" w:pos="8788"/>
        </w:tabs>
        <w:ind w:left="480"/>
      </w:pPr>
      <w:r>
        <w:fldChar w:fldCharType="begin"/>
      </w:r>
      <w:r>
        <w:instrText xml:space="preserve"> HYPERLINK \l "_Toc19591" </w:instrText>
      </w:r>
      <w:r>
        <w:fldChar w:fldCharType="separate"/>
      </w:r>
      <w:r>
        <w:rPr>
          <w:rFonts w:hint="eastAsia"/>
        </w:rPr>
        <w:t>8.4　结果判读</w:t>
      </w:r>
      <w:r>
        <w:tab/>
      </w:r>
      <w:r>
        <w:fldChar w:fldCharType="begin"/>
      </w:r>
      <w:r>
        <w:instrText xml:space="preserve"> PAGEREF _Toc19591 \h </w:instrText>
      </w:r>
      <w:r>
        <w:fldChar w:fldCharType="separate"/>
      </w:r>
      <w:r>
        <w:t>24</w:t>
      </w:r>
      <w:r>
        <w:fldChar w:fldCharType="end"/>
      </w:r>
      <w:r>
        <w:fldChar w:fldCharType="end"/>
      </w:r>
    </w:p>
    <w:p w14:paraId="20F323DC">
      <w:pPr>
        <w:pStyle w:val="22"/>
        <w:tabs>
          <w:tab w:val="right" w:leader="dot" w:pos="8788"/>
          <w:tab w:val="clear" w:pos="8296"/>
        </w:tabs>
      </w:pPr>
      <w:r>
        <w:fldChar w:fldCharType="begin"/>
      </w:r>
      <w:r>
        <w:instrText xml:space="preserve"> HYPERLINK \l "_Toc31509" </w:instrText>
      </w:r>
      <w:r>
        <w:fldChar w:fldCharType="separate"/>
      </w:r>
      <w:r>
        <w:rPr>
          <w:rFonts w:hint="eastAsia"/>
        </w:rPr>
        <w:t>9　其他方法检测</w:t>
      </w:r>
      <w:r>
        <w:tab/>
      </w:r>
      <w:r>
        <w:fldChar w:fldCharType="begin"/>
      </w:r>
      <w:r>
        <w:instrText xml:space="preserve"> PAGEREF _Toc31509 \h </w:instrText>
      </w:r>
      <w:r>
        <w:fldChar w:fldCharType="separate"/>
      </w:r>
      <w:r>
        <w:t>25</w:t>
      </w:r>
      <w:r>
        <w:fldChar w:fldCharType="end"/>
      </w:r>
      <w:r>
        <w:fldChar w:fldCharType="end"/>
      </w:r>
    </w:p>
    <w:p w14:paraId="65ADDCA5">
      <w:pPr>
        <w:pStyle w:val="24"/>
        <w:tabs>
          <w:tab w:val="right" w:leader="dot" w:pos="8788"/>
        </w:tabs>
        <w:ind w:left="480"/>
      </w:pPr>
      <w:r>
        <w:fldChar w:fldCharType="begin"/>
      </w:r>
      <w:r>
        <w:instrText xml:space="preserve"> HYPERLINK \l "_Toc29897" </w:instrText>
      </w:r>
      <w:r>
        <w:fldChar w:fldCharType="separate"/>
      </w:r>
      <w:r>
        <w:rPr>
          <w:rFonts w:hint="eastAsia"/>
        </w:rPr>
        <w:t>9.1　一般规定</w:t>
      </w:r>
      <w:r>
        <w:tab/>
      </w:r>
      <w:r>
        <w:fldChar w:fldCharType="begin"/>
      </w:r>
      <w:r>
        <w:instrText xml:space="preserve"> PAGEREF _Toc29897 \h </w:instrText>
      </w:r>
      <w:r>
        <w:fldChar w:fldCharType="separate"/>
      </w:r>
      <w:r>
        <w:t>25</w:t>
      </w:r>
      <w:r>
        <w:fldChar w:fldCharType="end"/>
      </w:r>
      <w:r>
        <w:fldChar w:fldCharType="end"/>
      </w:r>
    </w:p>
    <w:p w14:paraId="58ED4D89">
      <w:pPr>
        <w:pStyle w:val="24"/>
        <w:tabs>
          <w:tab w:val="right" w:leader="dot" w:pos="8788"/>
        </w:tabs>
        <w:ind w:left="480"/>
      </w:pPr>
      <w:r>
        <w:fldChar w:fldCharType="begin"/>
      </w:r>
      <w:r>
        <w:instrText xml:space="preserve"> HYPERLINK \l "_Toc15817" </w:instrText>
      </w:r>
      <w:r>
        <w:fldChar w:fldCharType="separate"/>
      </w:r>
      <w:r>
        <w:rPr>
          <w:rFonts w:hint="eastAsia"/>
        </w:rPr>
        <w:t>9.2　</w:t>
      </w:r>
      <w:r>
        <w:rPr>
          <w:rFonts w:hint="eastAsia" w:ascii="宋体" w:hAnsi="宋体" w:eastAsia="宋体" w:cs="宋体"/>
        </w:rPr>
        <w:t>流量法检测</w:t>
      </w:r>
      <w:r>
        <w:tab/>
      </w:r>
      <w:r>
        <w:fldChar w:fldCharType="begin"/>
      </w:r>
      <w:r>
        <w:instrText xml:space="preserve"> PAGEREF _Toc15817 \h </w:instrText>
      </w:r>
      <w:r>
        <w:fldChar w:fldCharType="separate"/>
      </w:r>
      <w:r>
        <w:t>25</w:t>
      </w:r>
      <w:r>
        <w:fldChar w:fldCharType="end"/>
      </w:r>
      <w:r>
        <w:fldChar w:fldCharType="end"/>
      </w:r>
    </w:p>
    <w:p w14:paraId="55579960">
      <w:pPr>
        <w:pStyle w:val="24"/>
        <w:tabs>
          <w:tab w:val="right" w:leader="dot" w:pos="8788"/>
        </w:tabs>
        <w:ind w:left="480"/>
      </w:pPr>
      <w:r>
        <w:fldChar w:fldCharType="begin"/>
      </w:r>
      <w:r>
        <w:instrText xml:space="preserve"> HYPERLINK \l "_Toc11747" </w:instrText>
      </w:r>
      <w:r>
        <w:fldChar w:fldCharType="separate"/>
      </w:r>
      <w:r>
        <w:rPr>
          <w:rFonts w:hint="eastAsia"/>
        </w:rPr>
        <w:t>9.3　压力法检测</w:t>
      </w:r>
      <w:r>
        <w:tab/>
      </w:r>
      <w:r>
        <w:fldChar w:fldCharType="begin"/>
      </w:r>
      <w:r>
        <w:instrText xml:space="preserve"> PAGEREF _Toc11747 \h </w:instrText>
      </w:r>
      <w:r>
        <w:fldChar w:fldCharType="separate"/>
      </w:r>
      <w:r>
        <w:t>26</w:t>
      </w:r>
      <w:r>
        <w:fldChar w:fldCharType="end"/>
      </w:r>
      <w:r>
        <w:fldChar w:fldCharType="end"/>
      </w:r>
    </w:p>
    <w:p w14:paraId="4CCECBC9">
      <w:pPr>
        <w:pStyle w:val="24"/>
        <w:tabs>
          <w:tab w:val="right" w:leader="dot" w:pos="8788"/>
        </w:tabs>
        <w:ind w:left="480"/>
      </w:pPr>
      <w:r>
        <w:fldChar w:fldCharType="begin"/>
      </w:r>
      <w:r>
        <w:instrText xml:space="preserve"> HYPERLINK \l "_Toc29684" </w:instrText>
      </w:r>
      <w:r>
        <w:fldChar w:fldCharType="separate"/>
      </w:r>
      <w:r>
        <w:rPr>
          <w:rFonts w:hint="eastAsia"/>
        </w:rPr>
        <w:t>9.4　听音法检测</w:t>
      </w:r>
      <w:r>
        <w:tab/>
      </w:r>
      <w:r>
        <w:fldChar w:fldCharType="begin"/>
      </w:r>
      <w:r>
        <w:instrText xml:space="preserve"> PAGEREF _Toc29684 \h </w:instrText>
      </w:r>
      <w:r>
        <w:fldChar w:fldCharType="separate"/>
      </w:r>
      <w:r>
        <w:t>26</w:t>
      </w:r>
      <w:r>
        <w:fldChar w:fldCharType="end"/>
      </w:r>
      <w:r>
        <w:fldChar w:fldCharType="end"/>
      </w:r>
    </w:p>
    <w:p w14:paraId="22D104C6">
      <w:pPr>
        <w:pStyle w:val="24"/>
        <w:tabs>
          <w:tab w:val="right" w:leader="dot" w:pos="8788"/>
        </w:tabs>
        <w:ind w:left="480"/>
      </w:pPr>
      <w:r>
        <w:fldChar w:fldCharType="begin"/>
      </w:r>
      <w:r>
        <w:instrText xml:space="preserve"> HYPERLINK \l "_Toc14221" </w:instrText>
      </w:r>
      <w:r>
        <w:fldChar w:fldCharType="separate"/>
      </w:r>
      <w:r>
        <w:rPr>
          <w:rFonts w:hint="eastAsia"/>
        </w:rPr>
        <w:t>9.5　相关分析法检测</w:t>
      </w:r>
      <w:r>
        <w:tab/>
      </w:r>
      <w:r>
        <w:fldChar w:fldCharType="begin"/>
      </w:r>
      <w:r>
        <w:instrText xml:space="preserve"> PAGEREF _Toc14221 \h </w:instrText>
      </w:r>
      <w:r>
        <w:fldChar w:fldCharType="separate"/>
      </w:r>
      <w:r>
        <w:t>26</w:t>
      </w:r>
      <w:r>
        <w:fldChar w:fldCharType="end"/>
      </w:r>
      <w:r>
        <w:fldChar w:fldCharType="end"/>
      </w:r>
    </w:p>
    <w:p w14:paraId="19155C6F">
      <w:pPr>
        <w:pStyle w:val="24"/>
        <w:tabs>
          <w:tab w:val="right" w:leader="dot" w:pos="8788"/>
        </w:tabs>
        <w:ind w:left="480"/>
      </w:pPr>
      <w:r>
        <w:fldChar w:fldCharType="begin"/>
      </w:r>
      <w:r>
        <w:instrText xml:space="preserve"> HYPERLINK \l "_Toc24721" </w:instrText>
      </w:r>
      <w:r>
        <w:fldChar w:fldCharType="separate"/>
      </w:r>
      <w:r>
        <w:rPr>
          <w:rFonts w:hint="eastAsia"/>
        </w:rPr>
        <w:t>9.6　噪声法检测</w:t>
      </w:r>
      <w:r>
        <w:tab/>
      </w:r>
      <w:r>
        <w:fldChar w:fldCharType="begin"/>
      </w:r>
      <w:r>
        <w:instrText xml:space="preserve"> PAGEREF _Toc24721 \h </w:instrText>
      </w:r>
      <w:r>
        <w:fldChar w:fldCharType="separate"/>
      </w:r>
      <w:r>
        <w:t>26</w:t>
      </w:r>
      <w:r>
        <w:fldChar w:fldCharType="end"/>
      </w:r>
      <w:r>
        <w:fldChar w:fldCharType="end"/>
      </w:r>
    </w:p>
    <w:p w14:paraId="6E4BBDA0">
      <w:pPr>
        <w:pStyle w:val="24"/>
        <w:tabs>
          <w:tab w:val="right" w:leader="dot" w:pos="8788"/>
        </w:tabs>
        <w:ind w:left="480"/>
      </w:pPr>
      <w:r>
        <w:fldChar w:fldCharType="begin"/>
      </w:r>
      <w:r>
        <w:instrText xml:space="preserve"> HYPERLINK \l "_Toc10893" </w:instrText>
      </w:r>
      <w:r>
        <w:fldChar w:fldCharType="separate"/>
      </w:r>
      <w:r>
        <w:rPr>
          <w:rFonts w:hint="eastAsia"/>
        </w:rPr>
        <w:t>9.7　气体检测分析法</w:t>
      </w:r>
      <w:r>
        <w:tab/>
      </w:r>
      <w:r>
        <w:fldChar w:fldCharType="begin"/>
      </w:r>
      <w:r>
        <w:instrText xml:space="preserve"> PAGEREF _Toc10893 \h </w:instrText>
      </w:r>
      <w:r>
        <w:fldChar w:fldCharType="separate"/>
      </w:r>
      <w:r>
        <w:t>27</w:t>
      </w:r>
      <w:r>
        <w:fldChar w:fldCharType="end"/>
      </w:r>
      <w:r>
        <w:fldChar w:fldCharType="end"/>
      </w:r>
    </w:p>
    <w:p w14:paraId="260A8071">
      <w:pPr>
        <w:pStyle w:val="22"/>
        <w:tabs>
          <w:tab w:val="right" w:leader="dot" w:pos="8788"/>
          <w:tab w:val="clear" w:pos="8296"/>
        </w:tabs>
      </w:pPr>
      <w:r>
        <w:fldChar w:fldCharType="begin"/>
      </w:r>
      <w:r>
        <w:instrText xml:space="preserve"> HYPERLINK \l "_Toc23601" </w:instrText>
      </w:r>
      <w:r>
        <w:fldChar w:fldCharType="separate"/>
      </w:r>
      <w:r>
        <w:rPr>
          <w:rFonts w:hint="eastAsia" w:eastAsia="华文宋体"/>
          <w:bCs/>
          <w:kern w:val="44"/>
          <w:szCs w:val="44"/>
        </w:rPr>
        <w:t>10　管道评估</w:t>
      </w:r>
      <w:r>
        <w:tab/>
      </w:r>
      <w:r>
        <w:fldChar w:fldCharType="begin"/>
      </w:r>
      <w:r>
        <w:instrText xml:space="preserve"> PAGEREF _Toc23601 \h </w:instrText>
      </w:r>
      <w:r>
        <w:fldChar w:fldCharType="separate"/>
      </w:r>
      <w:r>
        <w:t>28</w:t>
      </w:r>
      <w:r>
        <w:fldChar w:fldCharType="end"/>
      </w:r>
      <w:r>
        <w:fldChar w:fldCharType="end"/>
      </w:r>
    </w:p>
    <w:p w14:paraId="248856F9">
      <w:pPr>
        <w:pStyle w:val="24"/>
        <w:tabs>
          <w:tab w:val="right" w:leader="dot" w:pos="8788"/>
        </w:tabs>
        <w:ind w:left="480"/>
      </w:pPr>
      <w:r>
        <w:fldChar w:fldCharType="begin"/>
      </w:r>
      <w:r>
        <w:instrText xml:space="preserve"> HYPERLINK \l "_Toc15469" </w:instrText>
      </w:r>
      <w:r>
        <w:fldChar w:fldCharType="separate"/>
      </w:r>
      <w:r>
        <w:rPr>
          <w:rFonts w:hint="eastAsia"/>
        </w:rPr>
        <w:t>10.1　一般规定</w:t>
      </w:r>
      <w:r>
        <w:tab/>
      </w:r>
      <w:r>
        <w:fldChar w:fldCharType="begin"/>
      </w:r>
      <w:r>
        <w:instrText xml:space="preserve"> PAGEREF _Toc15469 \h </w:instrText>
      </w:r>
      <w:r>
        <w:fldChar w:fldCharType="separate"/>
      </w:r>
      <w:r>
        <w:t>28</w:t>
      </w:r>
      <w:r>
        <w:fldChar w:fldCharType="end"/>
      </w:r>
      <w:r>
        <w:fldChar w:fldCharType="end"/>
      </w:r>
    </w:p>
    <w:p w14:paraId="2DEAE6F7">
      <w:pPr>
        <w:pStyle w:val="24"/>
        <w:tabs>
          <w:tab w:val="right" w:leader="dot" w:pos="8788"/>
        </w:tabs>
        <w:ind w:left="480"/>
      </w:pPr>
      <w:r>
        <w:fldChar w:fldCharType="begin"/>
      </w:r>
      <w:r>
        <w:instrText xml:space="preserve"> HYPERLINK \l "_Toc4210" </w:instrText>
      </w:r>
      <w:r>
        <w:fldChar w:fldCharType="separate"/>
      </w:r>
      <w:r>
        <w:rPr>
          <w:rFonts w:hint="eastAsia"/>
        </w:rPr>
        <w:t>10.2　检测缺陷类型、代码及等级</w:t>
      </w:r>
      <w:r>
        <w:tab/>
      </w:r>
      <w:r>
        <w:fldChar w:fldCharType="begin"/>
      </w:r>
      <w:r>
        <w:instrText xml:space="preserve"> PAGEREF _Toc4210 \h </w:instrText>
      </w:r>
      <w:r>
        <w:fldChar w:fldCharType="separate"/>
      </w:r>
      <w:r>
        <w:t>28</w:t>
      </w:r>
      <w:r>
        <w:fldChar w:fldCharType="end"/>
      </w:r>
      <w:r>
        <w:fldChar w:fldCharType="end"/>
      </w:r>
    </w:p>
    <w:p w14:paraId="3AE353EA">
      <w:pPr>
        <w:pStyle w:val="24"/>
        <w:tabs>
          <w:tab w:val="right" w:leader="dot" w:pos="8788"/>
        </w:tabs>
        <w:ind w:left="480"/>
      </w:pPr>
      <w:r>
        <w:fldChar w:fldCharType="begin"/>
      </w:r>
      <w:r>
        <w:instrText xml:space="preserve"> HYPERLINK \l "_Toc31140" </w:instrText>
      </w:r>
      <w:r>
        <w:fldChar w:fldCharType="separate"/>
      </w:r>
      <w:r>
        <w:rPr>
          <w:rFonts w:hint="eastAsia"/>
        </w:rPr>
        <w:t>10.3　结构性状况评估</w:t>
      </w:r>
      <w:r>
        <w:tab/>
      </w:r>
      <w:r>
        <w:fldChar w:fldCharType="begin"/>
      </w:r>
      <w:r>
        <w:instrText xml:space="preserve"> PAGEREF _Toc31140 \h </w:instrText>
      </w:r>
      <w:r>
        <w:fldChar w:fldCharType="separate"/>
      </w:r>
      <w:r>
        <w:t>32</w:t>
      </w:r>
      <w:r>
        <w:fldChar w:fldCharType="end"/>
      </w:r>
      <w:r>
        <w:fldChar w:fldCharType="end"/>
      </w:r>
    </w:p>
    <w:p w14:paraId="426C60C8">
      <w:pPr>
        <w:pStyle w:val="24"/>
        <w:tabs>
          <w:tab w:val="right" w:leader="dot" w:pos="8788"/>
        </w:tabs>
        <w:ind w:left="480"/>
      </w:pPr>
      <w:r>
        <w:fldChar w:fldCharType="begin"/>
      </w:r>
      <w:r>
        <w:instrText xml:space="preserve"> HYPERLINK \l "_Toc1017" </w:instrText>
      </w:r>
      <w:r>
        <w:fldChar w:fldCharType="separate"/>
      </w:r>
      <w:r>
        <w:rPr>
          <w:rFonts w:hint="eastAsia"/>
        </w:rPr>
        <w:t>10.4　功能性状况评估</w:t>
      </w:r>
      <w:r>
        <w:tab/>
      </w:r>
      <w:r>
        <w:fldChar w:fldCharType="begin"/>
      </w:r>
      <w:r>
        <w:instrText xml:space="preserve"> PAGEREF _Toc1017 \h </w:instrText>
      </w:r>
      <w:r>
        <w:fldChar w:fldCharType="separate"/>
      </w:r>
      <w:r>
        <w:t>33</w:t>
      </w:r>
      <w:r>
        <w:fldChar w:fldCharType="end"/>
      </w:r>
      <w:r>
        <w:fldChar w:fldCharType="end"/>
      </w:r>
    </w:p>
    <w:p w14:paraId="096DF021">
      <w:pPr>
        <w:pStyle w:val="24"/>
        <w:tabs>
          <w:tab w:val="right" w:leader="dot" w:pos="8788"/>
        </w:tabs>
        <w:ind w:left="480"/>
      </w:pPr>
      <w:r>
        <w:fldChar w:fldCharType="begin"/>
      </w:r>
      <w:r>
        <w:instrText xml:space="preserve"> HYPERLINK \l "_Toc29226" </w:instrText>
      </w:r>
      <w:r>
        <w:fldChar w:fldCharType="separate"/>
      </w:r>
      <w:r>
        <w:rPr>
          <w:rFonts w:hint="eastAsia"/>
        </w:rPr>
        <w:t>10.5　管段失效后果风险评估</w:t>
      </w:r>
      <w:r>
        <w:tab/>
      </w:r>
      <w:r>
        <w:fldChar w:fldCharType="begin"/>
      </w:r>
      <w:r>
        <w:instrText xml:space="preserve"> PAGEREF _Toc29226 \h </w:instrText>
      </w:r>
      <w:r>
        <w:fldChar w:fldCharType="separate"/>
      </w:r>
      <w:r>
        <w:t>34</w:t>
      </w:r>
      <w:r>
        <w:fldChar w:fldCharType="end"/>
      </w:r>
      <w:r>
        <w:fldChar w:fldCharType="end"/>
      </w:r>
    </w:p>
    <w:p w14:paraId="2A373F9F">
      <w:pPr>
        <w:pStyle w:val="22"/>
        <w:tabs>
          <w:tab w:val="right" w:leader="dot" w:pos="8788"/>
          <w:tab w:val="clear" w:pos="8296"/>
        </w:tabs>
      </w:pPr>
      <w:r>
        <w:fldChar w:fldCharType="begin"/>
      </w:r>
      <w:r>
        <w:instrText xml:space="preserve"> HYPERLINK \l "_Toc9017" </w:instrText>
      </w:r>
      <w:r>
        <w:fldChar w:fldCharType="separate"/>
      </w:r>
      <w:r>
        <w:rPr>
          <w:rFonts w:hint="eastAsia"/>
        </w:rPr>
        <w:t>11　</w:t>
      </w:r>
      <w:bookmarkStart w:id="4" w:name="OLE_LINK7"/>
      <w:r>
        <w:rPr>
          <w:rFonts w:hint="eastAsia"/>
        </w:rPr>
        <w:t>附属设施检查与评估</w:t>
      </w:r>
      <w:bookmarkEnd w:id="4"/>
      <w:r>
        <w:tab/>
      </w:r>
      <w:r>
        <w:fldChar w:fldCharType="begin"/>
      </w:r>
      <w:r>
        <w:instrText xml:space="preserve"> PAGEREF _Toc9017 \h </w:instrText>
      </w:r>
      <w:r>
        <w:fldChar w:fldCharType="separate"/>
      </w:r>
      <w:r>
        <w:t>36</w:t>
      </w:r>
      <w:r>
        <w:fldChar w:fldCharType="end"/>
      </w:r>
      <w:r>
        <w:fldChar w:fldCharType="end"/>
      </w:r>
    </w:p>
    <w:p w14:paraId="1BC82012">
      <w:pPr>
        <w:pStyle w:val="24"/>
        <w:tabs>
          <w:tab w:val="right" w:leader="dot" w:pos="8788"/>
        </w:tabs>
        <w:ind w:left="480"/>
      </w:pPr>
      <w:r>
        <w:fldChar w:fldCharType="begin"/>
      </w:r>
      <w:r>
        <w:instrText xml:space="preserve"> HYPERLINK \l "_Toc29589" </w:instrText>
      </w:r>
      <w:r>
        <w:fldChar w:fldCharType="separate"/>
      </w:r>
      <w:r>
        <w:rPr>
          <w:rFonts w:hint="eastAsia"/>
        </w:rPr>
        <w:t>11.1　一般规定</w:t>
      </w:r>
      <w:r>
        <w:tab/>
      </w:r>
      <w:r>
        <w:fldChar w:fldCharType="begin"/>
      </w:r>
      <w:r>
        <w:instrText xml:space="preserve"> PAGEREF _Toc29589 \h </w:instrText>
      </w:r>
      <w:r>
        <w:fldChar w:fldCharType="separate"/>
      </w:r>
      <w:r>
        <w:t>36</w:t>
      </w:r>
      <w:r>
        <w:fldChar w:fldCharType="end"/>
      </w:r>
      <w:r>
        <w:fldChar w:fldCharType="end"/>
      </w:r>
    </w:p>
    <w:p w14:paraId="6E854C44">
      <w:pPr>
        <w:pStyle w:val="24"/>
        <w:tabs>
          <w:tab w:val="right" w:leader="dot" w:pos="8788"/>
        </w:tabs>
        <w:ind w:left="480"/>
      </w:pPr>
      <w:r>
        <w:fldChar w:fldCharType="begin"/>
      </w:r>
      <w:r>
        <w:instrText xml:space="preserve"> HYPERLINK \l "_Toc5275" </w:instrText>
      </w:r>
      <w:r>
        <w:fldChar w:fldCharType="separate"/>
      </w:r>
      <w:r>
        <w:rPr>
          <w:rFonts w:hint="eastAsia"/>
        </w:rPr>
        <w:t>11.2　检查</w:t>
      </w:r>
      <w:r>
        <w:tab/>
      </w:r>
      <w:r>
        <w:fldChar w:fldCharType="begin"/>
      </w:r>
      <w:r>
        <w:instrText xml:space="preserve"> PAGEREF _Toc5275 \h </w:instrText>
      </w:r>
      <w:r>
        <w:fldChar w:fldCharType="separate"/>
      </w:r>
      <w:r>
        <w:t>36</w:t>
      </w:r>
      <w:r>
        <w:fldChar w:fldCharType="end"/>
      </w:r>
      <w:r>
        <w:fldChar w:fldCharType="end"/>
      </w:r>
    </w:p>
    <w:p w14:paraId="148C4953">
      <w:pPr>
        <w:pStyle w:val="24"/>
        <w:tabs>
          <w:tab w:val="right" w:leader="dot" w:pos="8788"/>
        </w:tabs>
        <w:ind w:left="480"/>
      </w:pPr>
      <w:r>
        <w:fldChar w:fldCharType="begin"/>
      </w:r>
      <w:r>
        <w:instrText xml:space="preserve"> HYPERLINK \l "_Toc1323" </w:instrText>
      </w:r>
      <w:r>
        <w:fldChar w:fldCharType="separate"/>
      </w:r>
      <w:r>
        <w:rPr>
          <w:rFonts w:hint="eastAsia"/>
        </w:rPr>
        <w:t>11.3　评估</w:t>
      </w:r>
      <w:r>
        <w:tab/>
      </w:r>
      <w:r>
        <w:fldChar w:fldCharType="begin"/>
      </w:r>
      <w:r>
        <w:instrText xml:space="preserve"> PAGEREF _Toc1323 \h </w:instrText>
      </w:r>
      <w:r>
        <w:fldChar w:fldCharType="separate"/>
      </w:r>
      <w:r>
        <w:t>38</w:t>
      </w:r>
      <w:r>
        <w:fldChar w:fldCharType="end"/>
      </w:r>
      <w:r>
        <w:fldChar w:fldCharType="end"/>
      </w:r>
    </w:p>
    <w:p w14:paraId="74606BEB">
      <w:pPr>
        <w:pStyle w:val="22"/>
        <w:tabs>
          <w:tab w:val="right" w:leader="dot" w:pos="8788"/>
          <w:tab w:val="clear" w:pos="8296"/>
        </w:tabs>
      </w:pPr>
      <w:r>
        <w:fldChar w:fldCharType="begin"/>
      </w:r>
      <w:r>
        <w:instrText xml:space="preserve"> HYPERLINK \l "_Toc23233" </w:instrText>
      </w:r>
      <w:r>
        <w:fldChar w:fldCharType="separate"/>
      </w:r>
      <w:r>
        <w:rPr>
          <w:rFonts w:hint="eastAsia"/>
        </w:rPr>
        <w:t>12　成果资料</w:t>
      </w:r>
      <w:r>
        <w:tab/>
      </w:r>
      <w:r>
        <w:fldChar w:fldCharType="begin"/>
      </w:r>
      <w:r>
        <w:instrText xml:space="preserve"> PAGEREF _Toc23233 \h </w:instrText>
      </w:r>
      <w:r>
        <w:fldChar w:fldCharType="separate"/>
      </w:r>
      <w:r>
        <w:t>42</w:t>
      </w:r>
      <w:r>
        <w:fldChar w:fldCharType="end"/>
      </w:r>
      <w:r>
        <w:fldChar w:fldCharType="end"/>
      </w:r>
    </w:p>
    <w:p w14:paraId="5D7DEA39">
      <w:pPr>
        <w:pStyle w:val="22"/>
        <w:tabs>
          <w:tab w:val="right" w:leader="dot" w:pos="8788"/>
          <w:tab w:val="clear" w:pos="8296"/>
        </w:tabs>
      </w:pPr>
      <w:bookmarkStart w:id="5" w:name="OLE_LINK8"/>
      <w:r>
        <w:rPr>
          <w:rFonts w:hint="eastAsia"/>
          <w:color w:val="000000" w:themeColor="text1"/>
          <w:szCs w:val="24"/>
          <w14:textFill>
            <w14:solidFill>
              <w14:schemeClr w14:val="tx1"/>
            </w14:solidFill>
          </w14:textFill>
        </w:rPr>
        <w:fldChar w:fldCharType="begin"/>
      </w:r>
      <w:r>
        <w:rPr>
          <w:rFonts w:hint="eastAsia"/>
          <w:szCs w:val="24"/>
        </w:rPr>
        <w:instrText xml:space="preserve"> HYPERLINK \l _Toc1824 </w:instrText>
      </w:r>
      <w:r>
        <w:rPr>
          <w:rFonts w:hint="eastAsia"/>
          <w:szCs w:val="24"/>
        </w:rPr>
        <w:fldChar w:fldCharType="separate"/>
      </w:r>
      <w:r>
        <w:rPr>
          <w:rFonts w:hint="eastAsia" w:eastAsia="宋体" w:cs="Times New Roman"/>
          <w:szCs w:val="30"/>
        </w:rPr>
        <w:t>附录A　给水管道检测记录表</w:t>
      </w:r>
      <w:r>
        <w:tab/>
      </w:r>
      <w:r>
        <w:fldChar w:fldCharType="begin"/>
      </w:r>
      <w:r>
        <w:instrText xml:space="preserve"> PAGEREF _Toc1824 \h </w:instrText>
      </w:r>
      <w:r>
        <w:fldChar w:fldCharType="separate"/>
      </w:r>
      <w:r>
        <w:t>43</w:t>
      </w:r>
      <w:r>
        <w:fldChar w:fldCharType="end"/>
      </w:r>
      <w:r>
        <w:rPr>
          <w:rFonts w:hint="eastAsia"/>
          <w:color w:val="000000" w:themeColor="text1"/>
          <w:szCs w:val="24"/>
          <w14:textFill>
            <w14:solidFill>
              <w14:schemeClr w14:val="tx1"/>
            </w14:solidFill>
          </w14:textFill>
        </w:rPr>
        <w:fldChar w:fldCharType="end"/>
      </w:r>
    </w:p>
    <w:p w14:paraId="4A02B4F1">
      <w:pPr>
        <w:pStyle w:val="22"/>
        <w:tabs>
          <w:tab w:val="right" w:leader="dot" w:pos="8788"/>
          <w:tab w:val="clear" w:pos="8296"/>
        </w:tabs>
      </w:pPr>
      <w:r>
        <w:fldChar w:fldCharType="begin"/>
      </w:r>
      <w:r>
        <w:instrText xml:space="preserve"> HYPERLINK \l "_Toc32268" </w:instrText>
      </w:r>
      <w:r>
        <w:fldChar w:fldCharType="separate"/>
      </w:r>
      <w:r>
        <w:rPr>
          <w:rFonts w:hint="eastAsia"/>
          <w:bCs/>
        </w:rPr>
        <w:t>附录B　断丝位置及数量汇总表</w:t>
      </w:r>
      <w:r>
        <w:tab/>
      </w:r>
      <w:r>
        <w:fldChar w:fldCharType="begin"/>
      </w:r>
      <w:r>
        <w:instrText xml:space="preserve"> PAGEREF _Toc32268 \h </w:instrText>
      </w:r>
      <w:r>
        <w:fldChar w:fldCharType="separate"/>
      </w:r>
      <w:r>
        <w:t>52</w:t>
      </w:r>
      <w:r>
        <w:fldChar w:fldCharType="end"/>
      </w:r>
      <w:r>
        <w:fldChar w:fldCharType="end"/>
      </w:r>
    </w:p>
    <w:p w14:paraId="7C1B6511">
      <w:pPr>
        <w:pStyle w:val="22"/>
        <w:tabs>
          <w:tab w:val="right" w:leader="dot" w:pos="8788"/>
          <w:tab w:val="clear" w:pos="8296"/>
        </w:tabs>
      </w:pPr>
      <w:r>
        <w:fldChar w:fldCharType="begin"/>
      </w:r>
      <w:r>
        <w:instrText xml:space="preserve"> HYPERLINK \l "_Toc20095" </w:instrText>
      </w:r>
      <w:r>
        <w:fldChar w:fldCharType="separate"/>
      </w:r>
      <w:r>
        <w:rPr>
          <w:rFonts w:hint="eastAsia" w:eastAsia="宋体" w:cs="Times New Roman"/>
          <w:szCs w:val="30"/>
        </w:rPr>
        <w:t>附录C　附属设施检查记录表</w:t>
      </w:r>
      <w:r>
        <w:tab/>
      </w:r>
      <w:r>
        <w:fldChar w:fldCharType="begin"/>
      </w:r>
      <w:r>
        <w:instrText xml:space="preserve"> PAGEREF _Toc20095 \h </w:instrText>
      </w:r>
      <w:r>
        <w:fldChar w:fldCharType="separate"/>
      </w:r>
      <w:r>
        <w:t>53</w:t>
      </w:r>
      <w:r>
        <w:fldChar w:fldCharType="end"/>
      </w:r>
      <w:r>
        <w:fldChar w:fldCharType="end"/>
      </w:r>
    </w:p>
    <w:p w14:paraId="7FE6895A">
      <w:pPr>
        <w:pStyle w:val="22"/>
        <w:tabs>
          <w:tab w:val="right" w:leader="dot" w:pos="8788"/>
          <w:tab w:val="clear" w:pos="8296"/>
        </w:tabs>
      </w:pPr>
      <w:r>
        <w:fldChar w:fldCharType="begin"/>
      </w:r>
      <w:r>
        <w:instrText xml:space="preserve"> HYPERLINK \l "_Toc6194" </w:instrText>
      </w:r>
      <w:r>
        <w:fldChar w:fldCharType="separate"/>
      </w:r>
      <w:r>
        <w:rPr>
          <w:rFonts w:hint="eastAsia" w:eastAsia="宋体" w:cs="Times New Roman"/>
          <w:szCs w:val="30"/>
        </w:rPr>
        <w:t>附录D　检测成果表</w:t>
      </w:r>
      <w:r>
        <w:tab/>
      </w:r>
      <w:r>
        <w:fldChar w:fldCharType="begin"/>
      </w:r>
      <w:r>
        <w:instrText xml:space="preserve"> PAGEREF _Toc6194 \h </w:instrText>
      </w:r>
      <w:r>
        <w:fldChar w:fldCharType="separate"/>
      </w:r>
      <w:r>
        <w:t>56</w:t>
      </w:r>
      <w:r>
        <w:fldChar w:fldCharType="end"/>
      </w:r>
      <w:r>
        <w:fldChar w:fldCharType="end"/>
      </w:r>
      <w:bookmarkEnd w:id="5"/>
    </w:p>
    <w:p w14:paraId="05DEEC37">
      <w:pPr>
        <w:pStyle w:val="22"/>
        <w:tabs>
          <w:tab w:val="right" w:leader="dot" w:pos="8788"/>
          <w:tab w:val="clear" w:pos="8296"/>
        </w:tabs>
      </w:pPr>
      <w:r>
        <w:rPr>
          <w:rFonts w:hint="eastAsia"/>
          <w:lang w:eastAsia="zh-CN"/>
        </w:rPr>
        <w:t>本标准</w:t>
      </w:r>
      <w:r>
        <w:fldChar w:fldCharType="begin"/>
      </w:r>
      <w:r>
        <w:instrText xml:space="preserve"> HYPERLINK \l "_Toc14821" </w:instrText>
      </w:r>
      <w:r>
        <w:fldChar w:fldCharType="separate"/>
      </w:r>
      <w:r>
        <w:t>用词说明</w:t>
      </w:r>
      <w:r>
        <w:tab/>
      </w:r>
      <w:r>
        <w:fldChar w:fldCharType="begin"/>
      </w:r>
      <w:r>
        <w:instrText xml:space="preserve"> PAGEREF _Toc14821 \h </w:instrText>
      </w:r>
      <w:r>
        <w:fldChar w:fldCharType="separate"/>
      </w:r>
      <w:r>
        <w:t>59</w:t>
      </w:r>
      <w:r>
        <w:fldChar w:fldCharType="end"/>
      </w:r>
      <w:r>
        <w:fldChar w:fldCharType="end"/>
      </w:r>
    </w:p>
    <w:p w14:paraId="09EDD952">
      <w:pPr>
        <w:pStyle w:val="22"/>
        <w:tabs>
          <w:tab w:val="right" w:leader="dot" w:pos="8788"/>
          <w:tab w:val="clear" w:pos="8296"/>
        </w:tabs>
      </w:pPr>
      <w:r>
        <w:fldChar w:fldCharType="begin"/>
      </w:r>
      <w:r>
        <w:instrText xml:space="preserve"> HYPERLINK \l "_Toc2194" </w:instrText>
      </w:r>
      <w:r>
        <w:fldChar w:fldCharType="separate"/>
      </w:r>
      <w:r>
        <w:rPr>
          <w:rFonts w:cs="Times New Roman"/>
        </w:rPr>
        <w:t>引用标准名录</w:t>
      </w:r>
      <w:r>
        <w:tab/>
      </w:r>
      <w:r>
        <w:fldChar w:fldCharType="begin"/>
      </w:r>
      <w:r>
        <w:instrText xml:space="preserve"> PAGEREF _Toc2194 \h </w:instrText>
      </w:r>
      <w:r>
        <w:fldChar w:fldCharType="separate"/>
      </w:r>
      <w:r>
        <w:t>60</w:t>
      </w:r>
      <w:r>
        <w:fldChar w:fldCharType="end"/>
      </w:r>
      <w:r>
        <w:fldChar w:fldCharType="end"/>
      </w:r>
    </w:p>
    <w:p w14:paraId="0765F321">
      <w:pPr>
        <w:pStyle w:val="22"/>
        <w:tabs>
          <w:tab w:val="right" w:leader="dot" w:pos="8788"/>
          <w:tab w:val="clear" w:pos="8296"/>
        </w:tabs>
        <w:rPr>
          <w:rFonts w:hint="default" w:eastAsiaTheme="minorEastAsia"/>
          <w:lang w:val="en-US" w:eastAsia="zh-CN"/>
        </w:rPr>
      </w:pPr>
      <w:r>
        <w:rPr>
          <w:rFonts w:hint="eastAsia"/>
          <w:color w:val="000000" w:themeColor="text1"/>
          <w:szCs w:val="24"/>
          <w14:textFill>
            <w14:solidFill>
              <w14:schemeClr w14:val="tx1"/>
            </w14:solidFill>
          </w14:textFill>
        </w:rPr>
        <w:fldChar w:fldCharType="end"/>
      </w:r>
      <w:r>
        <w:rPr>
          <w:rFonts w:hint="eastAsia"/>
          <w:color w:val="000000" w:themeColor="text1"/>
          <w:szCs w:val="24"/>
          <w:lang w:eastAsia="zh-CN"/>
          <w14:textFill>
            <w14:solidFill>
              <w14:schemeClr w14:val="tx1"/>
            </w14:solidFill>
          </w14:textFill>
        </w:rPr>
        <w:t>附：条文说明</w:t>
      </w:r>
      <w:r>
        <w:rPr>
          <w:color w:val="auto"/>
        </w:rPr>
        <w:tab/>
      </w:r>
      <w:r>
        <w:rPr>
          <w:rFonts w:hint="eastAsia"/>
          <w:color w:val="auto"/>
          <w:lang w:eastAsia="zh-CN"/>
        </w:rPr>
        <w:t>6</w:t>
      </w:r>
      <w:r>
        <w:rPr>
          <w:rFonts w:hint="eastAsia"/>
          <w:color w:val="auto"/>
          <w:lang w:val="en-US" w:eastAsia="zh-CN"/>
        </w:rPr>
        <w:t>1</w:t>
      </w:r>
    </w:p>
    <w:p w14:paraId="0F2B2BF8">
      <w:pPr>
        <w:pStyle w:val="2"/>
        <w:ind w:firstLine="240"/>
        <w:rPr>
          <w:color w:val="000000" w:themeColor="text1"/>
          <w:szCs w:val="24"/>
          <w14:textFill>
            <w14:solidFill>
              <w14:schemeClr w14:val="tx1"/>
            </w14:solidFill>
          </w14:textFill>
        </w:rPr>
      </w:pPr>
    </w:p>
    <w:p w14:paraId="147C08C9">
      <w:pPr>
        <w:pStyle w:val="2"/>
        <w:ind w:firstLine="240"/>
        <w:rPr>
          <w:color w:val="000000" w:themeColor="text1"/>
          <w:szCs w:val="24"/>
          <w14:textFill>
            <w14:solidFill>
              <w14:schemeClr w14:val="tx1"/>
            </w14:solidFill>
          </w14:textFill>
        </w:rPr>
        <w:sectPr>
          <w:pgSz w:w="11907" w:h="16839"/>
          <w:pgMar w:top="1361" w:right="1559" w:bottom="1361" w:left="1560" w:header="720" w:footer="720" w:gutter="0"/>
          <w:pgNumType w:fmt="upperRoman" w:start="1"/>
          <w:cols w:space="720" w:num="1"/>
          <w:titlePg/>
          <w:docGrid w:linePitch="360" w:charSpace="0"/>
        </w:sectPr>
      </w:pPr>
    </w:p>
    <w:p w14:paraId="6329897B">
      <w:pPr>
        <w:spacing w:line="240" w:lineRule="auto"/>
        <w:jc w:val="center"/>
        <w:rPr>
          <w:rFonts w:cs="Times New Roman"/>
          <w:b/>
          <w:bCs/>
          <w:sz w:val="32"/>
          <w:szCs w:val="32"/>
        </w:rPr>
      </w:pPr>
      <w:r>
        <w:rPr>
          <w:rFonts w:eastAsia="宋体" w:cs="Times New Roman"/>
          <w:b/>
          <w:bCs/>
          <w:sz w:val="32"/>
          <w:szCs w:val="32"/>
        </w:rPr>
        <w:t>Contents</w:t>
      </w:r>
    </w:p>
    <w:p w14:paraId="76D4458E">
      <w:pPr>
        <w:pStyle w:val="22"/>
        <w:tabs>
          <w:tab w:val="right" w:leader="dot" w:pos="8306"/>
          <w:tab w:val="clear" w:pos="8296"/>
        </w:tabs>
      </w:pPr>
      <w:r>
        <w:fldChar w:fldCharType="begin"/>
      </w:r>
      <w:r>
        <w:instrText xml:space="preserve">TOC \o "1-2" \h \u </w:instrText>
      </w:r>
      <w:r>
        <w:fldChar w:fldCharType="separate"/>
      </w:r>
      <w:r>
        <w:fldChar w:fldCharType="begin"/>
      </w:r>
      <w:r>
        <w:instrText xml:space="preserve"> HYPERLINK \l "_Toc21344" </w:instrText>
      </w:r>
      <w:r>
        <w:fldChar w:fldCharType="separate"/>
      </w:r>
      <w:r>
        <w:t>1　</w:t>
      </w:r>
      <w:r>
        <w:rPr>
          <w:rFonts w:hint="eastAsia"/>
        </w:rPr>
        <w:t>General provisions</w:t>
      </w:r>
      <w:r>
        <w:tab/>
      </w:r>
      <w:r>
        <w:fldChar w:fldCharType="begin"/>
      </w:r>
      <w:r>
        <w:instrText xml:space="preserve"> PAGEREF _Toc21344 \h </w:instrText>
      </w:r>
      <w:r>
        <w:fldChar w:fldCharType="separate"/>
      </w:r>
      <w:r>
        <w:t>1</w:t>
      </w:r>
      <w:r>
        <w:fldChar w:fldCharType="end"/>
      </w:r>
      <w:r>
        <w:fldChar w:fldCharType="end"/>
      </w:r>
    </w:p>
    <w:p w14:paraId="0FD0CACE">
      <w:pPr>
        <w:pStyle w:val="22"/>
        <w:tabs>
          <w:tab w:val="right" w:leader="dot" w:pos="8306"/>
          <w:tab w:val="clear" w:pos="8296"/>
        </w:tabs>
      </w:pPr>
      <w:r>
        <w:fldChar w:fldCharType="begin"/>
      </w:r>
      <w:r>
        <w:instrText xml:space="preserve"> HYPERLINK \l "_Toc16966" </w:instrText>
      </w:r>
      <w:r>
        <w:fldChar w:fldCharType="separate"/>
      </w:r>
      <w:r>
        <w:rPr>
          <w:rFonts w:hint="eastAsia"/>
        </w:rPr>
        <w:t>2　Terms and symbols</w:t>
      </w:r>
      <w:r>
        <w:tab/>
      </w:r>
      <w:r>
        <w:fldChar w:fldCharType="begin"/>
      </w:r>
      <w:r>
        <w:instrText xml:space="preserve"> PAGEREF _Toc16966 \h </w:instrText>
      </w:r>
      <w:r>
        <w:fldChar w:fldCharType="separate"/>
      </w:r>
      <w:r>
        <w:t>2</w:t>
      </w:r>
      <w:r>
        <w:fldChar w:fldCharType="end"/>
      </w:r>
      <w:r>
        <w:fldChar w:fldCharType="end"/>
      </w:r>
    </w:p>
    <w:p w14:paraId="28F02492">
      <w:pPr>
        <w:pStyle w:val="24"/>
        <w:tabs>
          <w:tab w:val="right" w:leader="dot" w:pos="8306"/>
        </w:tabs>
        <w:ind w:left="480"/>
      </w:pPr>
      <w:r>
        <w:fldChar w:fldCharType="begin"/>
      </w:r>
      <w:r>
        <w:instrText xml:space="preserve"> HYPERLINK \l "_Toc8322" </w:instrText>
      </w:r>
      <w:r>
        <w:fldChar w:fldCharType="separate"/>
      </w:r>
      <w:r>
        <w:rPr>
          <w:rFonts w:hint="eastAsia"/>
        </w:rPr>
        <w:t>2.1　Terms</w:t>
      </w:r>
      <w:r>
        <w:tab/>
      </w:r>
      <w:r>
        <w:fldChar w:fldCharType="begin"/>
      </w:r>
      <w:r>
        <w:instrText xml:space="preserve"> PAGEREF _Toc8322 \h </w:instrText>
      </w:r>
      <w:r>
        <w:fldChar w:fldCharType="separate"/>
      </w:r>
      <w:r>
        <w:t>2</w:t>
      </w:r>
      <w:r>
        <w:fldChar w:fldCharType="end"/>
      </w:r>
      <w:r>
        <w:fldChar w:fldCharType="end"/>
      </w:r>
    </w:p>
    <w:p w14:paraId="6C90D5B6">
      <w:pPr>
        <w:pStyle w:val="24"/>
        <w:tabs>
          <w:tab w:val="right" w:leader="dot" w:pos="8306"/>
        </w:tabs>
        <w:ind w:left="480"/>
      </w:pPr>
      <w:r>
        <w:fldChar w:fldCharType="begin"/>
      </w:r>
      <w:r>
        <w:instrText xml:space="preserve"> HYPERLINK \l "_Toc31025" </w:instrText>
      </w:r>
      <w:r>
        <w:fldChar w:fldCharType="separate"/>
      </w:r>
      <w:r>
        <w:rPr>
          <w:rFonts w:hint="eastAsia"/>
        </w:rPr>
        <w:t>2.2　Symbols</w:t>
      </w:r>
      <w:r>
        <w:tab/>
      </w:r>
      <w:r>
        <w:fldChar w:fldCharType="begin"/>
      </w:r>
      <w:r>
        <w:instrText xml:space="preserve"> PAGEREF _Toc31025 \h </w:instrText>
      </w:r>
      <w:r>
        <w:fldChar w:fldCharType="separate"/>
      </w:r>
      <w:r>
        <w:t>3</w:t>
      </w:r>
      <w:r>
        <w:fldChar w:fldCharType="end"/>
      </w:r>
      <w:r>
        <w:fldChar w:fldCharType="end"/>
      </w:r>
    </w:p>
    <w:p w14:paraId="787E6670">
      <w:pPr>
        <w:pStyle w:val="22"/>
        <w:tabs>
          <w:tab w:val="right" w:leader="dot" w:pos="8306"/>
          <w:tab w:val="clear" w:pos="8296"/>
        </w:tabs>
      </w:pPr>
      <w:r>
        <w:fldChar w:fldCharType="begin"/>
      </w:r>
      <w:r>
        <w:instrText xml:space="preserve"> HYPERLINK \l "_Toc30831" </w:instrText>
      </w:r>
      <w:r>
        <w:fldChar w:fldCharType="separate"/>
      </w:r>
      <w:r>
        <w:rPr>
          <w:rFonts w:hint="eastAsia"/>
        </w:rPr>
        <w:t>3　Basic requirements</w:t>
      </w:r>
      <w:r>
        <w:tab/>
      </w:r>
      <w:r>
        <w:fldChar w:fldCharType="begin"/>
      </w:r>
      <w:r>
        <w:instrText xml:space="preserve"> PAGEREF _Toc30831 \h </w:instrText>
      </w:r>
      <w:r>
        <w:fldChar w:fldCharType="separate"/>
      </w:r>
      <w:r>
        <w:t>5</w:t>
      </w:r>
      <w:r>
        <w:fldChar w:fldCharType="end"/>
      </w:r>
      <w:r>
        <w:fldChar w:fldCharType="end"/>
      </w:r>
    </w:p>
    <w:p w14:paraId="3D78CFE8">
      <w:pPr>
        <w:pStyle w:val="22"/>
        <w:tabs>
          <w:tab w:val="right" w:leader="dot" w:pos="8306"/>
          <w:tab w:val="clear" w:pos="8296"/>
        </w:tabs>
      </w:pPr>
      <w:r>
        <w:fldChar w:fldCharType="begin"/>
      </w:r>
      <w:r>
        <w:instrText xml:space="preserve"> HYPERLINK \l "_Toc29832" </w:instrText>
      </w:r>
      <w:r>
        <w:fldChar w:fldCharType="separate"/>
      </w:r>
      <w:r>
        <w:rPr>
          <w:rFonts w:hint="eastAsia"/>
        </w:rPr>
        <w:t>4　Closed circuit television inspection</w:t>
      </w:r>
      <w:r>
        <w:tab/>
      </w:r>
      <w:r>
        <w:fldChar w:fldCharType="begin"/>
      </w:r>
      <w:r>
        <w:instrText xml:space="preserve"> PAGEREF _Toc29832 \h </w:instrText>
      </w:r>
      <w:r>
        <w:fldChar w:fldCharType="separate"/>
      </w:r>
      <w:r>
        <w:t>7</w:t>
      </w:r>
      <w:r>
        <w:fldChar w:fldCharType="end"/>
      </w:r>
      <w:r>
        <w:fldChar w:fldCharType="end"/>
      </w:r>
    </w:p>
    <w:p w14:paraId="1809EBC9">
      <w:pPr>
        <w:pStyle w:val="24"/>
        <w:tabs>
          <w:tab w:val="right" w:leader="dot" w:pos="8306"/>
        </w:tabs>
        <w:ind w:left="480"/>
      </w:pPr>
      <w:r>
        <w:fldChar w:fldCharType="begin"/>
      </w:r>
      <w:r>
        <w:instrText xml:space="preserve"> HYPERLINK \l "_Toc4532" </w:instrText>
      </w:r>
      <w:r>
        <w:fldChar w:fldCharType="separate"/>
      </w:r>
      <w:r>
        <w:rPr>
          <w:rFonts w:hint="eastAsia"/>
        </w:rPr>
        <w:t>4.1　General requirements</w:t>
      </w:r>
      <w:r>
        <w:tab/>
      </w:r>
      <w:r>
        <w:fldChar w:fldCharType="begin"/>
      </w:r>
      <w:r>
        <w:instrText xml:space="preserve"> PAGEREF _Toc4532 \h </w:instrText>
      </w:r>
      <w:r>
        <w:fldChar w:fldCharType="separate"/>
      </w:r>
      <w:r>
        <w:t>7</w:t>
      </w:r>
      <w:r>
        <w:fldChar w:fldCharType="end"/>
      </w:r>
      <w:r>
        <w:fldChar w:fldCharType="end"/>
      </w:r>
    </w:p>
    <w:p w14:paraId="29A40925">
      <w:pPr>
        <w:pStyle w:val="24"/>
        <w:tabs>
          <w:tab w:val="right" w:leader="dot" w:pos="8306"/>
        </w:tabs>
        <w:ind w:left="480"/>
      </w:pPr>
      <w:r>
        <w:fldChar w:fldCharType="begin"/>
      </w:r>
      <w:r>
        <w:instrText xml:space="preserve"> HYPERLINK \l "_Toc18682" </w:instrText>
      </w:r>
      <w:r>
        <w:fldChar w:fldCharType="separate"/>
      </w:r>
      <w:r>
        <w:rPr>
          <w:rFonts w:hint="eastAsia"/>
        </w:rPr>
        <w:t>4.2　Equipment</w:t>
      </w:r>
      <w:r>
        <w:tab/>
      </w:r>
      <w:r>
        <w:fldChar w:fldCharType="begin"/>
      </w:r>
      <w:r>
        <w:instrText xml:space="preserve"> PAGEREF _Toc18682 \h </w:instrText>
      </w:r>
      <w:r>
        <w:fldChar w:fldCharType="separate"/>
      </w:r>
      <w:r>
        <w:t>8</w:t>
      </w:r>
      <w:r>
        <w:fldChar w:fldCharType="end"/>
      </w:r>
      <w:r>
        <w:fldChar w:fldCharType="end"/>
      </w:r>
    </w:p>
    <w:p w14:paraId="182B4F65">
      <w:pPr>
        <w:pStyle w:val="24"/>
        <w:tabs>
          <w:tab w:val="right" w:leader="dot" w:pos="8306"/>
        </w:tabs>
        <w:ind w:left="480"/>
      </w:pPr>
      <w:r>
        <w:fldChar w:fldCharType="begin"/>
      </w:r>
      <w:r>
        <w:instrText xml:space="preserve"> HYPERLINK \l "_Toc27958" </w:instrText>
      </w:r>
      <w:r>
        <w:fldChar w:fldCharType="separate"/>
      </w:r>
      <w:r>
        <w:rPr>
          <w:rFonts w:hint="eastAsia"/>
        </w:rPr>
        <w:t>4.3　Method of inspection</w:t>
      </w:r>
      <w:r>
        <w:tab/>
      </w:r>
      <w:r>
        <w:fldChar w:fldCharType="begin"/>
      </w:r>
      <w:r>
        <w:instrText xml:space="preserve"> PAGEREF _Toc27958 \h </w:instrText>
      </w:r>
      <w:r>
        <w:fldChar w:fldCharType="separate"/>
      </w:r>
      <w:r>
        <w:t>9</w:t>
      </w:r>
      <w:r>
        <w:fldChar w:fldCharType="end"/>
      </w:r>
      <w:r>
        <w:fldChar w:fldCharType="end"/>
      </w:r>
    </w:p>
    <w:p w14:paraId="6FC9B085">
      <w:pPr>
        <w:pStyle w:val="24"/>
        <w:tabs>
          <w:tab w:val="right" w:leader="dot" w:pos="8306"/>
        </w:tabs>
        <w:ind w:left="480"/>
      </w:pPr>
      <w:r>
        <w:fldChar w:fldCharType="begin"/>
      </w:r>
      <w:r>
        <w:instrText xml:space="preserve"> HYPERLINK \l "_Toc32516" </w:instrText>
      </w:r>
      <w:r>
        <w:fldChar w:fldCharType="separate"/>
      </w:r>
      <w:r>
        <w:rPr>
          <w:rFonts w:hint="eastAsia"/>
        </w:rPr>
        <w:t>4.4　Result interpretation</w:t>
      </w:r>
      <w:r>
        <w:tab/>
      </w:r>
      <w:r>
        <w:fldChar w:fldCharType="begin"/>
      </w:r>
      <w:r>
        <w:instrText xml:space="preserve"> PAGEREF _Toc32516 \h </w:instrText>
      </w:r>
      <w:r>
        <w:fldChar w:fldCharType="separate"/>
      </w:r>
      <w:r>
        <w:t>10</w:t>
      </w:r>
      <w:r>
        <w:fldChar w:fldCharType="end"/>
      </w:r>
      <w:r>
        <w:fldChar w:fldCharType="end"/>
      </w:r>
    </w:p>
    <w:p w14:paraId="776C3A12">
      <w:pPr>
        <w:pStyle w:val="22"/>
        <w:tabs>
          <w:tab w:val="right" w:leader="dot" w:pos="8306"/>
          <w:tab w:val="clear" w:pos="8296"/>
        </w:tabs>
      </w:pPr>
      <w:r>
        <w:fldChar w:fldCharType="begin"/>
      </w:r>
      <w:r>
        <w:instrText xml:space="preserve"> HYPERLINK \l "_Toc30725" </w:instrText>
      </w:r>
      <w:r>
        <w:fldChar w:fldCharType="separate"/>
      </w:r>
      <w:r>
        <w:rPr>
          <w:rFonts w:hint="eastAsia"/>
        </w:rPr>
        <w:t>5　Sonar inspection</w:t>
      </w:r>
      <w:r>
        <w:tab/>
      </w:r>
      <w:r>
        <w:t>12</w:t>
      </w:r>
      <w:r>
        <w:fldChar w:fldCharType="end"/>
      </w:r>
    </w:p>
    <w:p w14:paraId="401218C8">
      <w:pPr>
        <w:pStyle w:val="24"/>
        <w:tabs>
          <w:tab w:val="right" w:leader="dot" w:pos="8306"/>
        </w:tabs>
        <w:ind w:left="480"/>
      </w:pPr>
      <w:r>
        <w:fldChar w:fldCharType="begin"/>
      </w:r>
      <w:r>
        <w:instrText xml:space="preserve"> HYPERLINK \l "_Toc17395" </w:instrText>
      </w:r>
      <w:r>
        <w:fldChar w:fldCharType="separate"/>
      </w:r>
      <w:r>
        <w:rPr>
          <w:rFonts w:hint="eastAsia"/>
        </w:rPr>
        <w:t>5.1　General requirements</w:t>
      </w:r>
      <w:r>
        <w:tab/>
      </w:r>
      <w:r>
        <w:t>12</w:t>
      </w:r>
      <w:r>
        <w:fldChar w:fldCharType="end"/>
      </w:r>
    </w:p>
    <w:p w14:paraId="6745C419">
      <w:pPr>
        <w:pStyle w:val="24"/>
        <w:tabs>
          <w:tab w:val="right" w:leader="dot" w:pos="8306"/>
        </w:tabs>
        <w:ind w:left="480"/>
      </w:pPr>
      <w:r>
        <w:fldChar w:fldCharType="begin"/>
      </w:r>
      <w:r>
        <w:instrText xml:space="preserve"> HYPERLINK \l "_Toc13513" </w:instrText>
      </w:r>
      <w:r>
        <w:fldChar w:fldCharType="separate"/>
      </w:r>
      <w:r>
        <w:rPr>
          <w:rFonts w:hint="eastAsia"/>
        </w:rPr>
        <w:t>5.2　Equipment</w:t>
      </w:r>
      <w:r>
        <w:tab/>
      </w:r>
      <w:r>
        <w:t>12</w:t>
      </w:r>
      <w:r>
        <w:fldChar w:fldCharType="end"/>
      </w:r>
    </w:p>
    <w:p w14:paraId="39C2C125">
      <w:pPr>
        <w:pStyle w:val="24"/>
        <w:tabs>
          <w:tab w:val="right" w:leader="dot" w:pos="8306"/>
        </w:tabs>
        <w:ind w:left="480"/>
      </w:pPr>
      <w:r>
        <w:fldChar w:fldCharType="begin"/>
      </w:r>
      <w:r>
        <w:instrText xml:space="preserve"> HYPERLINK \l "_Toc14356" </w:instrText>
      </w:r>
      <w:r>
        <w:fldChar w:fldCharType="separate"/>
      </w:r>
      <w:r>
        <w:rPr>
          <w:rFonts w:hint="eastAsia"/>
        </w:rPr>
        <w:t>5.3　Method of inspection</w:t>
      </w:r>
      <w:r>
        <w:tab/>
      </w:r>
      <w:r>
        <w:t>13</w:t>
      </w:r>
      <w:r>
        <w:fldChar w:fldCharType="end"/>
      </w:r>
    </w:p>
    <w:p w14:paraId="752D7151">
      <w:pPr>
        <w:pStyle w:val="24"/>
        <w:tabs>
          <w:tab w:val="right" w:leader="dot" w:pos="8306"/>
        </w:tabs>
        <w:ind w:left="480"/>
      </w:pPr>
      <w:r>
        <w:fldChar w:fldCharType="begin"/>
      </w:r>
      <w:r>
        <w:instrText xml:space="preserve"> HYPERLINK \l "_Toc29117" </w:instrText>
      </w:r>
      <w:r>
        <w:fldChar w:fldCharType="separate"/>
      </w:r>
      <w:r>
        <w:rPr>
          <w:rFonts w:hint="eastAsia"/>
        </w:rPr>
        <w:t>5.4　Result interpretation</w:t>
      </w:r>
      <w:r>
        <w:tab/>
      </w:r>
      <w:r>
        <w:t>14</w:t>
      </w:r>
      <w:r>
        <w:fldChar w:fldCharType="end"/>
      </w:r>
    </w:p>
    <w:p w14:paraId="5731E3C4">
      <w:pPr>
        <w:pStyle w:val="22"/>
        <w:tabs>
          <w:tab w:val="right" w:leader="dot" w:pos="8306"/>
          <w:tab w:val="clear" w:pos="8296"/>
        </w:tabs>
      </w:pPr>
      <w:r>
        <w:fldChar w:fldCharType="begin"/>
      </w:r>
      <w:r>
        <w:instrText xml:space="preserve"> HYPERLINK \l "_Toc27476" </w:instrText>
      </w:r>
      <w:r>
        <w:fldChar w:fldCharType="separate"/>
      </w:r>
      <w:r>
        <w:rPr>
          <w:rFonts w:hint="eastAsia"/>
        </w:rPr>
        <w:t>6　Ultrasonic Inspection</w:t>
      </w:r>
      <w:r>
        <w:tab/>
      </w:r>
      <w:r>
        <w:t>15</w:t>
      </w:r>
      <w:r>
        <w:fldChar w:fldCharType="end"/>
      </w:r>
    </w:p>
    <w:p w14:paraId="6B64E8C1">
      <w:pPr>
        <w:pStyle w:val="24"/>
        <w:tabs>
          <w:tab w:val="right" w:leader="dot" w:pos="8306"/>
        </w:tabs>
        <w:ind w:left="480"/>
      </w:pPr>
      <w:r>
        <w:fldChar w:fldCharType="begin"/>
      </w:r>
      <w:r>
        <w:instrText xml:space="preserve"> HYPERLINK \l "_Toc30541" </w:instrText>
      </w:r>
      <w:r>
        <w:fldChar w:fldCharType="separate"/>
      </w:r>
      <w:r>
        <w:rPr>
          <w:rFonts w:hint="eastAsia"/>
        </w:rPr>
        <w:t>6.1　General requirements</w:t>
      </w:r>
      <w:r>
        <w:tab/>
      </w:r>
      <w:r>
        <w:t>15</w:t>
      </w:r>
      <w:r>
        <w:fldChar w:fldCharType="end"/>
      </w:r>
    </w:p>
    <w:p w14:paraId="57BFD157">
      <w:pPr>
        <w:pStyle w:val="24"/>
        <w:tabs>
          <w:tab w:val="right" w:leader="dot" w:pos="8306"/>
        </w:tabs>
        <w:ind w:left="480"/>
      </w:pPr>
      <w:r>
        <w:fldChar w:fldCharType="begin"/>
      </w:r>
      <w:r>
        <w:instrText xml:space="preserve"> HYPERLINK \l "_Toc25558" </w:instrText>
      </w:r>
      <w:r>
        <w:fldChar w:fldCharType="separate"/>
      </w:r>
      <w:r>
        <w:rPr>
          <w:rFonts w:hint="eastAsia"/>
        </w:rPr>
        <w:t>6.2　Equipment</w:t>
      </w:r>
      <w:r>
        <w:tab/>
      </w:r>
      <w:r>
        <w:t>15</w:t>
      </w:r>
      <w:r>
        <w:fldChar w:fldCharType="end"/>
      </w:r>
    </w:p>
    <w:p w14:paraId="304C28C5">
      <w:pPr>
        <w:pStyle w:val="24"/>
        <w:tabs>
          <w:tab w:val="right" w:leader="dot" w:pos="8306"/>
        </w:tabs>
        <w:ind w:left="480"/>
      </w:pPr>
      <w:r>
        <w:fldChar w:fldCharType="begin"/>
      </w:r>
      <w:r>
        <w:instrText xml:space="preserve"> HYPERLINK \l "_Toc15569" </w:instrText>
      </w:r>
      <w:r>
        <w:fldChar w:fldCharType="separate"/>
      </w:r>
      <w:r>
        <w:rPr>
          <w:rFonts w:hint="eastAsia"/>
        </w:rPr>
        <w:t>6.3　Method of inspection</w:t>
      </w:r>
      <w:r>
        <w:tab/>
      </w:r>
      <w:r>
        <w:t>16</w:t>
      </w:r>
      <w:r>
        <w:fldChar w:fldCharType="end"/>
      </w:r>
    </w:p>
    <w:p w14:paraId="4D2A2ED2">
      <w:pPr>
        <w:pStyle w:val="24"/>
        <w:tabs>
          <w:tab w:val="right" w:leader="dot" w:pos="8306"/>
        </w:tabs>
        <w:ind w:left="480"/>
      </w:pPr>
      <w:r>
        <w:fldChar w:fldCharType="begin"/>
      </w:r>
      <w:r>
        <w:instrText xml:space="preserve"> HYPERLINK \l "_Toc9806" </w:instrText>
      </w:r>
      <w:r>
        <w:fldChar w:fldCharType="separate"/>
      </w:r>
      <w:r>
        <w:rPr>
          <w:rFonts w:hint="eastAsia"/>
        </w:rPr>
        <w:t>6.4　Result interpretation</w:t>
      </w:r>
      <w:r>
        <w:tab/>
      </w:r>
      <w:r>
        <w:t>17</w:t>
      </w:r>
      <w:r>
        <w:fldChar w:fldCharType="end"/>
      </w:r>
    </w:p>
    <w:p w14:paraId="7C7E8370">
      <w:pPr>
        <w:pStyle w:val="22"/>
        <w:tabs>
          <w:tab w:val="right" w:leader="dot" w:pos="8306"/>
          <w:tab w:val="clear" w:pos="8296"/>
        </w:tabs>
      </w:pPr>
      <w:r>
        <w:fldChar w:fldCharType="begin"/>
      </w:r>
      <w:r>
        <w:instrText xml:space="preserve"> HYPERLINK \l "_Toc23551" </w:instrText>
      </w:r>
      <w:r>
        <w:fldChar w:fldCharType="separate"/>
      </w:r>
      <w:r>
        <w:rPr>
          <w:rFonts w:hint="eastAsia"/>
        </w:rPr>
        <w:t>7　Electromagnetic inspection</w:t>
      </w:r>
      <w:r>
        <w:tab/>
      </w:r>
      <w:r>
        <w:t>18</w:t>
      </w:r>
      <w:r>
        <w:fldChar w:fldCharType="end"/>
      </w:r>
    </w:p>
    <w:p w14:paraId="602C7EBD">
      <w:pPr>
        <w:pStyle w:val="24"/>
        <w:tabs>
          <w:tab w:val="right" w:leader="dot" w:pos="8306"/>
        </w:tabs>
        <w:ind w:left="480"/>
      </w:pPr>
      <w:r>
        <w:fldChar w:fldCharType="begin"/>
      </w:r>
      <w:r>
        <w:instrText xml:space="preserve"> HYPERLINK \l "_Toc13858" </w:instrText>
      </w:r>
      <w:r>
        <w:fldChar w:fldCharType="separate"/>
      </w:r>
      <w:r>
        <w:rPr>
          <w:rFonts w:hint="eastAsia"/>
        </w:rPr>
        <w:t>7.1　General requirements</w:t>
      </w:r>
      <w:r>
        <w:tab/>
      </w:r>
      <w:r>
        <w:t>18</w:t>
      </w:r>
      <w:r>
        <w:fldChar w:fldCharType="end"/>
      </w:r>
    </w:p>
    <w:p w14:paraId="26924A04">
      <w:pPr>
        <w:pStyle w:val="24"/>
        <w:tabs>
          <w:tab w:val="right" w:leader="dot" w:pos="8306"/>
        </w:tabs>
        <w:ind w:left="480"/>
      </w:pPr>
      <w:r>
        <w:fldChar w:fldCharType="begin"/>
      </w:r>
      <w:r>
        <w:instrText xml:space="preserve"> HYPERLINK \l "_Toc263" </w:instrText>
      </w:r>
      <w:r>
        <w:fldChar w:fldCharType="separate"/>
      </w:r>
      <w:r>
        <w:rPr>
          <w:rFonts w:hint="eastAsia"/>
        </w:rPr>
        <w:t>7.2　Equipment</w:t>
      </w:r>
      <w:r>
        <w:tab/>
      </w:r>
      <w:r>
        <w:t>18</w:t>
      </w:r>
      <w:r>
        <w:fldChar w:fldCharType="end"/>
      </w:r>
    </w:p>
    <w:p w14:paraId="413E03FD">
      <w:pPr>
        <w:pStyle w:val="24"/>
        <w:tabs>
          <w:tab w:val="right" w:leader="dot" w:pos="8306"/>
        </w:tabs>
        <w:ind w:left="480"/>
      </w:pPr>
      <w:r>
        <w:fldChar w:fldCharType="begin"/>
      </w:r>
      <w:r>
        <w:instrText xml:space="preserve"> HYPERLINK \l "_Toc29598" </w:instrText>
      </w:r>
      <w:r>
        <w:fldChar w:fldCharType="separate"/>
      </w:r>
      <w:r>
        <w:rPr>
          <w:rFonts w:hint="eastAsia"/>
        </w:rPr>
        <w:t>7.3　Method of inspection</w:t>
      </w:r>
      <w:r>
        <w:tab/>
      </w:r>
      <w:r>
        <w:t>20</w:t>
      </w:r>
      <w:r>
        <w:fldChar w:fldCharType="end"/>
      </w:r>
    </w:p>
    <w:p w14:paraId="7DF8259D">
      <w:pPr>
        <w:pStyle w:val="24"/>
        <w:tabs>
          <w:tab w:val="right" w:leader="dot" w:pos="8306"/>
        </w:tabs>
        <w:ind w:left="480"/>
      </w:pPr>
      <w:r>
        <w:fldChar w:fldCharType="begin"/>
      </w:r>
      <w:r>
        <w:instrText xml:space="preserve"> HYPERLINK \l "_Toc17528" </w:instrText>
      </w:r>
      <w:r>
        <w:fldChar w:fldCharType="separate"/>
      </w:r>
      <w:r>
        <w:rPr>
          <w:rFonts w:hint="eastAsia"/>
        </w:rPr>
        <w:t>7.4　Result interpretation</w:t>
      </w:r>
      <w:r>
        <w:tab/>
      </w:r>
      <w:r>
        <w:t>21</w:t>
      </w:r>
      <w:r>
        <w:fldChar w:fldCharType="end"/>
      </w:r>
    </w:p>
    <w:p w14:paraId="274D0487">
      <w:pPr>
        <w:pStyle w:val="22"/>
        <w:tabs>
          <w:tab w:val="right" w:leader="dot" w:pos="8306"/>
          <w:tab w:val="clear" w:pos="8296"/>
        </w:tabs>
      </w:pPr>
      <w:r>
        <w:fldChar w:fldCharType="begin"/>
      </w:r>
      <w:r>
        <w:instrText xml:space="preserve"> HYPERLINK \l "_Toc12479" </w:instrText>
      </w:r>
      <w:r>
        <w:fldChar w:fldCharType="separate"/>
      </w:r>
      <w:r>
        <w:rPr>
          <w:rFonts w:hint="eastAsia"/>
        </w:rPr>
        <w:t>8　</w:t>
      </w:r>
      <w:r>
        <w:t>Inline</w:t>
      </w:r>
      <w:r>
        <w:rPr>
          <w:rFonts w:hint="eastAsia"/>
        </w:rPr>
        <w:t xml:space="preserve"> </w:t>
      </w:r>
      <w:r>
        <w:t>noise</w:t>
      </w:r>
      <w:r>
        <w:rPr>
          <w:rFonts w:hint="eastAsia"/>
        </w:rPr>
        <w:t xml:space="preserve"> </w:t>
      </w:r>
      <w:bookmarkStart w:id="6" w:name="OLE_LINK2"/>
      <w:r>
        <w:rPr>
          <w:rFonts w:hint="eastAsia"/>
        </w:rPr>
        <w:t>inspection</w:t>
      </w:r>
      <w:bookmarkEnd w:id="6"/>
      <w:r>
        <w:tab/>
      </w:r>
      <w:r>
        <w:t>22</w:t>
      </w:r>
      <w:r>
        <w:fldChar w:fldCharType="end"/>
      </w:r>
    </w:p>
    <w:p w14:paraId="2BB1A9AB">
      <w:pPr>
        <w:pStyle w:val="24"/>
        <w:tabs>
          <w:tab w:val="right" w:leader="dot" w:pos="8306"/>
        </w:tabs>
        <w:ind w:left="480"/>
      </w:pPr>
      <w:r>
        <w:fldChar w:fldCharType="begin"/>
      </w:r>
      <w:r>
        <w:instrText xml:space="preserve"> HYPERLINK \l "_Toc1371" </w:instrText>
      </w:r>
      <w:r>
        <w:fldChar w:fldCharType="separate"/>
      </w:r>
      <w:r>
        <w:rPr>
          <w:rFonts w:hint="eastAsia"/>
        </w:rPr>
        <w:t>8.1　General requirements</w:t>
      </w:r>
      <w:r>
        <w:tab/>
      </w:r>
      <w:r>
        <w:t>22</w:t>
      </w:r>
      <w:r>
        <w:fldChar w:fldCharType="end"/>
      </w:r>
    </w:p>
    <w:p w14:paraId="7E4158ED">
      <w:pPr>
        <w:pStyle w:val="24"/>
        <w:tabs>
          <w:tab w:val="right" w:leader="dot" w:pos="8306"/>
        </w:tabs>
        <w:ind w:left="480"/>
      </w:pPr>
      <w:r>
        <w:fldChar w:fldCharType="begin"/>
      </w:r>
      <w:r>
        <w:instrText xml:space="preserve"> HYPERLINK \l "_Toc22881" </w:instrText>
      </w:r>
      <w:r>
        <w:fldChar w:fldCharType="separate"/>
      </w:r>
      <w:r>
        <w:rPr>
          <w:rFonts w:hint="eastAsia"/>
        </w:rPr>
        <w:t>8.2　Equipment</w:t>
      </w:r>
      <w:r>
        <w:tab/>
      </w:r>
      <w:r>
        <w:t>22</w:t>
      </w:r>
      <w:r>
        <w:fldChar w:fldCharType="end"/>
      </w:r>
    </w:p>
    <w:p w14:paraId="0255DD53">
      <w:pPr>
        <w:pStyle w:val="24"/>
        <w:tabs>
          <w:tab w:val="right" w:leader="dot" w:pos="8306"/>
        </w:tabs>
        <w:ind w:left="480"/>
      </w:pPr>
      <w:r>
        <w:fldChar w:fldCharType="begin"/>
      </w:r>
      <w:r>
        <w:instrText xml:space="preserve"> HYPERLINK \l "_Toc19759" </w:instrText>
      </w:r>
      <w:r>
        <w:fldChar w:fldCharType="separate"/>
      </w:r>
      <w:r>
        <w:rPr>
          <w:rFonts w:hint="eastAsia"/>
        </w:rPr>
        <w:t>8.3　Method of inspection</w:t>
      </w:r>
      <w:r>
        <w:tab/>
      </w:r>
      <w:r>
        <w:t>23</w:t>
      </w:r>
      <w:r>
        <w:fldChar w:fldCharType="end"/>
      </w:r>
    </w:p>
    <w:p w14:paraId="71EAAF3A">
      <w:pPr>
        <w:pStyle w:val="24"/>
        <w:tabs>
          <w:tab w:val="right" w:leader="dot" w:pos="8306"/>
        </w:tabs>
        <w:ind w:left="480"/>
      </w:pPr>
      <w:r>
        <w:fldChar w:fldCharType="begin"/>
      </w:r>
      <w:r>
        <w:instrText xml:space="preserve"> HYPERLINK \l "_Toc12758" </w:instrText>
      </w:r>
      <w:r>
        <w:fldChar w:fldCharType="separate"/>
      </w:r>
      <w:r>
        <w:rPr>
          <w:rFonts w:hint="eastAsia"/>
        </w:rPr>
        <w:t>8.4　Result interpretation</w:t>
      </w:r>
      <w:r>
        <w:tab/>
      </w:r>
      <w:r>
        <w:t>24</w:t>
      </w:r>
      <w:r>
        <w:fldChar w:fldCharType="end"/>
      </w:r>
    </w:p>
    <w:p w14:paraId="7C555135">
      <w:pPr>
        <w:pStyle w:val="22"/>
        <w:tabs>
          <w:tab w:val="right" w:leader="dot" w:pos="8306"/>
          <w:tab w:val="clear" w:pos="8296"/>
        </w:tabs>
      </w:pPr>
      <w:r>
        <w:fldChar w:fldCharType="begin"/>
      </w:r>
      <w:r>
        <w:instrText xml:space="preserve"> HYPERLINK \l "_Toc21665" </w:instrText>
      </w:r>
      <w:r>
        <w:fldChar w:fldCharType="separate"/>
      </w:r>
      <w:r>
        <w:rPr>
          <w:rFonts w:hint="eastAsia"/>
        </w:rPr>
        <w:t>9　Other method inspection</w:t>
      </w:r>
      <w:r>
        <w:tab/>
      </w:r>
      <w:r>
        <w:t>25</w:t>
      </w:r>
      <w:r>
        <w:fldChar w:fldCharType="end"/>
      </w:r>
    </w:p>
    <w:p w14:paraId="3DB6046C">
      <w:pPr>
        <w:pStyle w:val="24"/>
        <w:tabs>
          <w:tab w:val="right" w:leader="dot" w:pos="8306"/>
        </w:tabs>
        <w:ind w:left="480"/>
      </w:pPr>
      <w:r>
        <w:fldChar w:fldCharType="begin"/>
      </w:r>
      <w:r>
        <w:instrText xml:space="preserve"> HYPERLINK \l "_Toc14143" </w:instrText>
      </w:r>
      <w:r>
        <w:fldChar w:fldCharType="separate"/>
      </w:r>
      <w:r>
        <w:rPr>
          <w:rFonts w:hint="eastAsia"/>
        </w:rPr>
        <w:t>9.1　General requirements</w:t>
      </w:r>
      <w:r>
        <w:tab/>
      </w:r>
      <w:r>
        <w:t>25</w:t>
      </w:r>
      <w:r>
        <w:fldChar w:fldCharType="end"/>
      </w:r>
    </w:p>
    <w:p w14:paraId="0EE0BFAC">
      <w:pPr>
        <w:pStyle w:val="24"/>
        <w:tabs>
          <w:tab w:val="right" w:leader="dot" w:pos="8306"/>
        </w:tabs>
        <w:ind w:left="480"/>
      </w:pPr>
      <w:r>
        <w:fldChar w:fldCharType="begin"/>
      </w:r>
      <w:r>
        <w:instrText xml:space="preserve"> HYPERLINK \l "_Toc18086" </w:instrText>
      </w:r>
      <w:r>
        <w:fldChar w:fldCharType="separate"/>
      </w:r>
      <w:r>
        <w:rPr>
          <w:rFonts w:hint="eastAsia"/>
        </w:rPr>
        <w:t>9.2　</w:t>
      </w:r>
      <w:r>
        <w:rPr>
          <w:rFonts w:hint="eastAsia" w:eastAsia="华文宋体" w:cstheme="majorBidi"/>
        </w:rPr>
        <w:t>Flow measurement method</w:t>
      </w:r>
      <w:r>
        <w:tab/>
      </w:r>
      <w:r>
        <w:t>25</w:t>
      </w:r>
      <w:r>
        <w:fldChar w:fldCharType="end"/>
      </w:r>
    </w:p>
    <w:p w14:paraId="4F504B0F">
      <w:pPr>
        <w:pStyle w:val="24"/>
        <w:tabs>
          <w:tab w:val="right" w:leader="dot" w:pos="8306"/>
        </w:tabs>
        <w:ind w:left="480"/>
      </w:pPr>
      <w:r>
        <w:fldChar w:fldCharType="begin"/>
      </w:r>
      <w:r>
        <w:instrText xml:space="preserve"> HYPERLINK \l "_Toc5485" </w:instrText>
      </w:r>
      <w:r>
        <w:fldChar w:fldCharType="separate"/>
      </w:r>
      <w:r>
        <w:rPr>
          <w:rFonts w:hint="eastAsia"/>
        </w:rPr>
        <w:t>9.3　</w:t>
      </w:r>
      <w:r>
        <w:rPr>
          <w:rFonts w:hint="eastAsia" w:eastAsia="华文宋体" w:cstheme="majorBidi"/>
        </w:rPr>
        <w:t>Pressure measurement method</w:t>
      </w:r>
      <w:r>
        <w:tab/>
      </w:r>
      <w:r>
        <w:t>26</w:t>
      </w:r>
      <w:r>
        <w:fldChar w:fldCharType="end"/>
      </w:r>
    </w:p>
    <w:p w14:paraId="4D5B7482">
      <w:pPr>
        <w:pStyle w:val="24"/>
        <w:tabs>
          <w:tab w:val="right" w:leader="dot" w:pos="8306"/>
        </w:tabs>
        <w:ind w:left="480"/>
      </w:pPr>
      <w:r>
        <w:fldChar w:fldCharType="begin"/>
      </w:r>
      <w:r>
        <w:instrText xml:space="preserve"> HYPERLINK \l "_Toc24146" </w:instrText>
      </w:r>
      <w:r>
        <w:fldChar w:fldCharType="separate"/>
      </w:r>
      <w:r>
        <w:rPr>
          <w:rFonts w:hint="eastAsia"/>
        </w:rPr>
        <w:t>9.4　</w:t>
      </w:r>
      <w:r>
        <w:rPr>
          <w:rFonts w:hint="eastAsia" w:eastAsia="华文宋体" w:cstheme="majorBidi"/>
        </w:rPr>
        <w:t>Listening method inspection</w:t>
      </w:r>
      <w:r>
        <w:tab/>
      </w:r>
      <w:r>
        <w:t>26</w:t>
      </w:r>
      <w:r>
        <w:fldChar w:fldCharType="end"/>
      </w:r>
    </w:p>
    <w:p w14:paraId="3E67A531">
      <w:pPr>
        <w:pStyle w:val="24"/>
        <w:tabs>
          <w:tab w:val="right" w:leader="dot" w:pos="8306"/>
        </w:tabs>
        <w:ind w:left="480"/>
      </w:pPr>
      <w:r>
        <w:fldChar w:fldCharType="begin"/>
      </w:r>
      <w:r>
        <w:instrText xml:space="preserve"> HYPERLINK \l "_Toc8042" </w:instrText>
      </w:r>
      <w:r>
        <w:fldChar w:fldCharType="separate"/>
      </w:r>
      <w:r>
        <w:rPr>
          <w:rFonts w:hint="eastAsia"/>
        </w:rPr>
        <w:t>9.5　</w:t>
      </w:r>
      <w:r>
        <w:rPr>
          <w:rFonts w:hint="eastAsia" w:eastAsia="华文宋体" w:cstheme="majorBidi"/>
        </w:rPr>
        <w:t>Leak noise correlation inspection</w:t>
      </w:r>
      <w:r>
        <w:tab/>
      </w:r>
      <w:r>
        <w:t>26</w:t>
      </w:r>
      <w:r>
        <w:fldChar w:fldCharType="end"/>
      </w:r>
    </w:p>
    <w:p w14:paraId="1CBDF0B5">
      <w:pPr>
        <w:pStyle w:val="24"/>
        <w:tabs>
          <w:tab w:val="right" w:leader="dot" w:pos="8306"/>
        </w:tabs>
        <w:ind w:left="480"/>
      </w:pPr>
      <w:r>
        <w:fldChar w:fldCharType="begin"/>
      </w:r>
      <w:r>
        <w:instrText xml:space="preserve"> HYPERLINK \l "_Toc5754" </w:instrText>
      </w:r>
      <w:r>
        <w:fldChar w:fldCharType="separate"/>
      </w:r>
      <w:r>
        <w:rPr>
          <w:rFonts w:hint="eastAsia"/>
        </w:rPr>
        <w:t>9.6　</w:t>
      </w:r>
      <w:r>
        <w:rPr>
          <w:rFonts w:hint="eastAsia" w:eastAsia="华文宋体" w:cstheme="majorBidi"/>
        </w:rPr>
        <w:t>Leak noise logging method</w:t>
      </w:r>
      <w:r>
        <w:tab/>
      </w:r>
      <w:r>
        <w:t>26</w:t>
      </w:r>
      <w:r>
        <w:fldChar w:fldCharType="end"/>
      </w:r>
    </w:p>
    <w:p w14:paraId="1455CC69">
      <w:pPr>
        <w:pStyle w:val="24"/>
        <w:tabs>
          <w:tab w:val="right" w:leader="dot" w:pos="8306"/>
        </w:tabs>
        <w:ind w:left="480"/>
      </w:pPr>
      <w:r>
        <w:fldChar w:fldCharType="begin"/>
      </w:r>
      <w:r>
        <w:instrText xml:space="preserve"> HYPERLINK \l "_Toc6448" </w:instrText>
      </w:r>
      <w:r>
        <w:fldChar w:fldCharType="separate"/>
      </w:r>
      <w:r>
        <w:rPr>
          <w:rFonts w:hint="eastAsia"/>
        </w:rPr>
        <w:t>9.7　</w:t>
      </w:r>
      <w:r>
        <w:rPr>
          <w:rFonts w:hint="eastAsia" w:eastAsia="华文宋体" w:cstheme="majorBidi"/>
        </w:rPr>
        <w:t>Gas detection analysis method</w:t>
      </w:r>
      <w:r>
        <w:tab/>
      </w:r>
      <w:r>
        <w:t>27</w:t>
      </w:r>
      <w:r>
        <w:fldChar w:fldCharType="end"/>
      </w:r>
    </w:p>
    <w:p w14:paraId="10788841">
      <w:pPr>
        <w:pStyle w:val="22"/>
        <w:tabs>
          <w:tab w:val="right" w:leader="dot" w:pos="8306"/>
          <w:tab w:val="clear" w:pos="8296"/>
        </w:tabs>
      </w:pPr>
      <w:r>
        <w:fldChar w:fldCharType="begin"/>
      </w:r>
      <w:r>
        <w:instrText xml:space="preserve"> HYPERLINK \l "_Toc21647" </w:instrText>
      </w:r>
      <w:r>
        <w:fldChar w:fldCharType="separate"/>
      </w:r>
      <w:r>
        <w:rPr>
          <w:rFonts w:hint="eastAsia" w:eastAsia="华文宋体"/>
          <w:bCs/>
          <w:kern w:val="44"/>
          <w:szCs w:val="44"/>
        </w:rPr>
        <w:t>10　</w:t>
      </w:r>
      <w:r>
        <w:rPr>
          <w:rFonts w:hint="eastAsia"/>
        </w:rPr>
        <w:t>Pipe</w:t>
      </w:r>
      <w:r>
        <w:t xml:space="preserve"> </w:t>
      </w:r>
      <w:r>
        <w:rPr>
          <w:rFonts w:hint="eastAsia"/>
        </w:rPr>
        <w:t>Condition Evaluation</w:t>
      </w:r>
      <w:r>
        <w:tab/>
      </w:r>
      <w:r>
        <w:t>28</w:t>
      </w:r>
      <w:r>
        <w:fldChar w:fldCharType="end"/>
      </w:r>
    </w:p>
    <w:p w14:paraId="376385B0">
      <w:pPr>
        <w:pStyle w:val="24"/>
        <w:tabs>
          <w:tab w:val="right" w:leader="dot" w:pos="8306"/>
        </w:tabs>
        <w:ind w:left="480"/>
      </w:pPr>
      <w:r>
        <w:fldChar w:fldCharType="begin"/>
      </w:r>
      <w:r>
        <w:instrText xml:space="preserve"> HYPERLINK \l "_Toc9822" </w:instrText>
      </w:r>
      <w:r>
        <w:fldChar w:fldCharType="separate"/>
      </w:r>
      <w:r>
        <w:rPr>
          <w:rFonts w:hint="eastAsia"/>
        </w:rPr>
        <w:t>10.1　General requirements</w:t>
      </w:r>
      <w:r>
        <w:tab/>
      </w:r>
      <w:r>
        <w:t>28</w:t>
      </w:r>
      <w:r>
        <w:fldChar w:fldCharType="end"/>
      </w:r>
    </w:p>
    <w:p w14:paraId="38B6ACE9">
      <w:pPr>
        <w:pStyle w:val="24"/>
        <w:tabs>
          <w:tab w:val="right" w:leader="dot" w:pos="8306"/>
        </w:tabs>
        <w:ind w:left="480"/>
      </w:pPr>
      <w:r>
        <w:fldChar w:fldCharType="begin"/>
      </w:r>
      <w:r>
        <w:instrText xml:space="preserve"> HYPERLINK \l "_Toc31192" </w:instrText>
      </w:r>
      <w:r>
        <w:fldChar w:fldCharType="separate"/>
      </w:r>
      <w:r>
        <w:rPr>
          <w:rFonts w:hint="eastAsia"/>
        </w:rPr>
        <w:t>10.2　</w:t>
      </w:r>
      <w:r>
        <w:rPr>
          <w:rFonts w:hint="eastAsia" w:eastAsia="华文宋体" w:cstheme="majorBidi"/>
        </w:rPr>
        <w:t>Defect type, code and grade of pipe</w:t>
      </w:r>
      <w:r>
        <w:rPr>
          <w:rFonts w:eastAsia="华文宋体" w:cstheme="majorBidi"/>
        </w:rPr>
        <w:t xml:space="preserve"> </w:t>
      </w:r>
      <w:r>
        <w:rPr>
          <w:rFonts w:hint="eastAsia" w:eastAsia="华文宋体" w:cstheme="majorBidi"/>
        </w:rPr>
        <w:t>detection</w:t>
      </w:r>
      <w:r>
        <w:tab/>
      </w:r>
      <w:r>
        <w:t>28</w:t>
      </w:r>
      <w:r>
        <w:fldChar w:fldCharType="end"/>
      </w:r>
    </w:p>
    <w:p w14:paraId="7CB209B7">
      <w:pPr>
        <w:pStyle w:val="24"/>
        <w:tabs>
          <w:tab w:val="right" w:leader="dot" w:pos="8306"/>
        </w:tabs>
        <w:ind w:left="480"/>
      </w:pPr>
      <w:r>
        <w:fldChar w:fldCharType="begin"/>
      </w:r>
      <w:r>
        <w:instrText xml:space="preserve"> HYPERLINK \l "_Toc26275" </w:instrText>
      </w:r>
      <w:r>
        <w:fldChar w:fldCharType="separate"/>
      </w:r>
      <w:r>
        <w:rPr>
          <w:rFonts w:hint="eastAsia"/>
        </w:rPr>
        <w:t>10.3　</w:t>
      </w:r>
      <w:r>
        <w:rPr>
          <w:rFonts w:hint="eastAsia" w:eastAsia="华文宋体" w:cstheme="majorBidi"/>
        </w:rPr>
        <w:t>Evaluation of structural condition</w:t>
      </w:r>
      <w:r>
        <w:tab/>
      </w:r>
      <w:r>
        <w:t>32</w:t>
      </w:r>
      <w:r>
        <w:fldChar w:fldCharType="end"/>
      </w:r>
    </w:p>
    <w:p w14:paraId="080A4A2A">
      <w:pPr>
        <w:pStyle w:val="24"/>
        <w:tabs>
          <w:tab w:val="right" w:leader="dot" w:pos="8306"/>
        </w:tabs>
        <w:ind w:left="480"/>
      </w:pPr>
      <w:r>
        <w:fldChar w:fldCharType="begin"/>
      </w:r>
      <w:r>
        <w:instrText xml:space="preserve"> HYPERLINK \l "_Toc25800" </w:instrText>
      </w:r>
      <w:r>
        <w:fldChar w:fldCharType="separate"/>
      </w:r>
      <w:r>
        <w:rPr>
          <w:rFonts w:hint="eastAsia"/>
        </w:rPr>
        <w:t>10.4　</w:t>
      </w:r>
      <w:r>
        <w:rPr>
          <w:rFonts w:hint="eastAsia" w:eastAsia="华文宋体" w:cstheme="majorBidi"/>
        </w:rPr>
        <w:t>Evaluation of functional condition</w:t>
      </w:r>
      <w:r>
        <w:tab/>
      </w:r>
      <w:r>
        <w:t>33</w:t>
      </w:r>
      <w:r>
        <w:fldChar w:fldCharType="end"/>
      </w:r>
    </w:p>
    <w:p w14:paraId="6EE8B241">
      <w:pPr>
        <w:pStyle w:val="24"/>
        <w:tabs>
          <w:tab w:val="right" w:leader="dot" w:pos="8306"/>
        </w:tabs>
        <w:ind w:left="480"/>
      </w:pPr>
      <w:r>
        <w:fldChar w:fldCharType="begin"/>
      </w:r>
      <w:r>
        <w:instrText xml:space="preserve"> HYPERLINK \l "_Toc28216" </w:instrText>
      </w:r>
      <w:r>
        <w:fldChar w:fldCharType="separate"/>
      </w:r>
      <w:r>
        <w:rPr>
          <w:rFonts w:hint="eastAsia"/>
        </w:rPr>
        <w:t>10.5　</w:t>
      </w:r>
      <w:r>
        <w:rPr>
          <w:rFonts w:hint="eastAsia" w:eastAsia="华文宋体" w:cstheme="majorBidi"/>
        </w:rPr>
        <w:t>Risk assessment of pipeline failure consequences</w:t>
      </w:r>
      <w:r>
        <w:tab/>
      </w:r>
      <w:r>
        <w:t>34</w:t>
      </w:r>
      <w:r>
        <w:fldChar w:fldCharType="end"/>
      </w:r>
    </w:p>
    <w:p w14:paraId="3C61B44F">
      <w:pPr>
        <w:pStyle w:val="22"/>
        <w:tabs>
          <w:tab w:val="right" w:leader="dot" w:pos="8306"/>
          <w:tab w:val="clear" w:pos="8296"/>
        </w:tabs>
      </w:pPr>
      <w:r>
        <w:fldChar w:fldCharType="begin"/>
      </w:r>
      <w:r>
        <w:instrText xml:space="preserve"> HYPERLINK \l "_Toc4604" </w:instrText>
      </w:r>
      <w:r>
        <w:fldChar w:fldCharType="separate"/>
      </w:r>
      <w:r>
        <w:rPr>
          <w:rFonts w:hint="eastAsia"/>
        </w:rPr>
        <w:t>11　Inspection and evaluation of</w:t>
      </w:r>
      <w:bookmarkStart w:id="7" w:name="OLE_LINK10"/>
      <w:r>
        <w:rPr>
          <w:rFonts w:hint="eastAsia"/>
        </w:rPr>
        <w:t xml:space="preserve"> </w:t>
      </w:r>
      <w:bookmarkStart w:id="8" w:name="OLE_LINK9"/>
      <w:r>
        <w:rPr>
          <w:rFonts w:hint="eastAsia"/>
        </w:rPr>
        <w:t>subsidiary</w:t>
      </w:r>
      <w:bookmarkEnd w:id="7"/>
      <w:r>
        <w:rPr>
          <w:rFonts w:hint="eastAsia"/>
        </w:rPr>
        <w:t xml:space="preserve"> facilities</w:t>
      </w:r>
      <w:bookmarkEnd w:id="8"/>
      <w:r>
        <w:tab/>
      </w:r>
      <w:r>
        <w:t>36</w:t>
      </w:r>
      <w:r>
        <w:fldChar w:fldCharType="end"/>
      </w:r>
    </w:p>
    <w:p w14:paraId="1FF3509E">
      <w:pPr>
        <w:pStyle w:val="24"/>
        <w:tabs>
          <w:tab w:val="right" w:leader="dot" w:pos="8306"/>
        </w:tabs>
        <w:ind w:left="480"/>
      </w:pPr>
      <w:r>
        <w:fldChar w:fldCharType="begin"/>
      </w:r>
      <w:r>
        <w:instrText xml:space="preserve"> HYPERLINK \l "_Toc17257" </w:instrText>
      </w:r>
      <w:r>
        <w:fldChar w:fldCharType="separate"/>
      </w:r>
      <w:r>
        <w:rPr>
          <w:rFonts w:hint="eastAsia"/>
        </w:rPr>
        <w:t>11.1　General requirements</w:t>
      </w:r>
      <w:r>
        <w:tab/>
      </w:r>
      <w:r>
        <w:t>36</w:t>
      </w:r>
      <w:r>
        <w:fldChar w:fldCharType="end"/>
      </w:r>
    </w:p>
    <w:p w14:paraId="228D201F">
      <w:pPr>
        <w:pStyle w:val="24"/>
        <w:tabs>
          <w:tab w:val="right" w:leader="dot" w:pos="8306"/>
        </w:tabs>
        <w:ind w:left="480"/>
      </w:pPr>
      <w:r>
        <w:fldChar w:fldCharType="begin"/>
      </w:r>
      <w:r>
        <w:instrText xml:space="preserve"> HYPERLINK \l "_Toc552" </w:instrText>
      </w:r>
      <w:r>
        <w:fldChar w:fldCharType="separate"/>
      </w:r>
      <w:r>
        <w:rPr>
          <w:rFonts w:hint="eastAsia"/>
        </w:rPr>
        <w:t>11.2　</w:t>
      </w:r>
      <w:r>
        <w:rPr>
          <w:rFonts w:hint="eastAsia" w:eastAsia="华文宋体" w:cstheme="majorBidi"/>
        </w:rPr>
        <w:t>Check</w:t>
      </w:r>
      <w:r>
        <w:tab/>
      </w:r>
      <w:r>
        <w:t>36</w:t>
      </w:r>
      <w:r>
        <w:fldChar w:fldCharType="end"/>
      </w:r>
    </w:p>
    <w:p w14:paraId="3409D0E1">
      <w:pPr>
        <w:pStyle w:val="24"/>
        <w:tabs>
          <w:tab w:val="right" w:leader="dot" w:pos="8306"/>
        </w:tabs>
        <w:ind w:left="480"/>
      </w:pPr>
      <w:r>
        <w:fldChar w:fldCharType="begin"/>
      </w:r>
      <w:r>
        <w:instrText xml:space="preserve"> HYPERLINK \l "_Toc4423" </w:instrText>
      </w:r>
      <w:r>
        <w:fldChar w:fldCharType="separate"/>
      </w:r>
      <w:r>
        <w:rPr>
          <w:rFonts w:hint="eastAsia"/>
        </w:rPr>
        <w:t>11.3　</w:t>
      </w:r>
      <w:r>
        <w:rPr>
          <w:rFonts w:hint="eastAsia" w:eastAsia="华文宋体" w:cstheme="majorBidi"/>
        </w:rPr>
        <w:t>Evaluation</w:t>
      </w:r>
      <w:r>
        <w:tab/>
      </w:r>
      <w:r>
        <w:t>38</w:t>
      </w:r>
      <w:r>
        <w:fldChar w:fldCharType="end"/>
      </w:r>
    </w:p>
    <w:p w14:paraId="406A40A4">
      <w:pPr>
        <w:pStyle w:val="22"/>
        <w:tabs>
          <w:tab w:val="right" w:leader="dot" w:pos="8306"/>
          <w:tab w:val="clear" w:pos="8296"/>
        </w:tabs>
      </w:pPr>
      <w:r>
        <w:fldChar w:fldCharType="begin"/>
      </w:r>
      <w:r>
        <w:instrText xml:space="preserve"> HYPERLINK \l "_Toc240" </w:instrText>
      </w:r>
      <w:r>
        <w:fldChar w:fldCharType="separate"/>
      </w:r>
      <w:r>
        <w:rPr>
          <w:rFonts w:hint="eastAsia"/>
        </w:rPr>
        <w:t>12　Results and data</w:t>
      </w:r>
      <w:r>
        <w:tab/>
      </w:r>
      <w:r>
        <w:t>41</w:t>
      </w:r>
      <w:r>
        <w:fldChar w:fldCharType="end"/>
      </w:r>
    </w:p>
    <w:p w14:paraId="7F0702A4">
      <w:pPr>
        <w:pStyle w:val="22"/>
        <w:tabs>
          <w:tab w:val="right" w:leader="dot" w:pos="8306"/>
          <w:tab w:val="clear" w:pos="8296"/>
        </w:tabs>
        <w:jc w:val="left"/>
      </w:pPr>
      <w:r>
        <w:fldChar w:fldCharType="begin"/>
      </w:r>
      <w:r>
        <w:instrText xml:space="preserve"> HYPERLINK \l "_Toc16237" </w:instrText>
      </w:r>
      <w:r>
        <w:fldChar w:fldCharType="separate"/>
      </w:r>
      <w:r>
        <w:rPr>
          <w:rFonts w:hint="eastAsia"/>
          <w:bCs/>
        </w:rPr>
        <w:t>Appendix A　</w:t>
      </w:r>
      <w:r>
        <w:rPr>
          <w:rFonts w:hint="eastAsia" w:eastAsia="宋体" w:cs="Times New Roman"/>
          <w:szCs w:val="30"/>
        </w:rPr>
        <w:t>Inspection record table for water supply pipeline</w:t>
      </w:r>
      <w:r>
        <w:tab/>
      </w:r>
      <w:r>
        <w:fldChar w:fldCharType="begin"/>
      </w:r>
      <w:r>
        <w:instrText xml:space="preserve"> PAGEREF _Toc16237 \h </w:instrText>
      </w:r>
      <w:r>
        <w:fldChar w:fldCharType="separate"/>
      </w:r>
      <w:r>
        <w:t>43</w:t>
      </w:r>
      <w:r>
        <w:fldChar w:fldCharType="end"/>
      </w:r>
      <w:r>
        <w:fldChar w:fldCharType="end"/>
      </w:r>
    </w:p>
    <w:p w14:paraId="09F85D1B">
      <w:pPr>
        <w:pStyle w:val="22"/>
        <w:tabs>
          <w:tab w:val="right" w:leader="dot" w:pos="8306"/>
          <w:tab w:val="clear" w:pos="8296"/>
        </w:tabs>
      </w:pPr>
      <w:r>
        <w:fldChar w:fldCharType="begin"/>
      </w:r>
      <w:r>
        <w:instrText xml:space="preserve"> HYPERLINK \l "_Toc4248" </w:instrText>
      </w:r>
      <w:r>
        <w:fldChar w:fldCharType="separate"/>
      </w:r>
      <w:r>
        <w:rPr>
          <w:rFonts w:hint="eastAsia"/>
          <w:bCs/>
        </w:rPr>
        <w:t>Appendix B　Summary table of broken wire locations and quantities</w:t>
      </w:r>
      <w:r>
        <w:tab/>
      </w:r>
      <w:r>
        <w:fldChar w:fldCharType="begin"/>
      </w:r>
      <w:r>
        <w:instrText xml:space="preserve"> PAGEREF _Toc4248 \h </w:instrText>
      </w:r>
      <w:r>
        <w:fldChar w:fldCharType="separate"/>
      </w:r>
      <w:r>
        <w:t>52</w:t>
      </w:r>
      <w:r>
        <w:fldChar w:fldCharType="end"/>
      </w:r>
      <w:r>
        <w:fldChar w:fldCharType="end"/>
      </w:r>
    </w:p>
    <w:p w14:paraId="09B06BCC">
      <w:pPr>
        <w:pStyle w:val="22"/>
        <w:tabs>
          <w:tab w:val="right" w:leader="dot" w:pos="8306"/>
          <w:tab w:val="clear" w:pos="8296"/>
        </w:tabs>
      </w:pPr>
      <w:r>
        <w:fldChar w:fldCharType="begin"/>
      </w:r>
      <w:r>
        <w:instrText xml:space="preserve"> HYPERLINK \l "_Toc11412" </w:instrText>
      </w:r>
      <w:r>
        <w:fldChar w:fldCharType="separate"/>
      </w:r>
      <w:r>
        <w:rPr>
          <w:rFonts w:hint="eastAsia"/>
          <w:bCs/>
        </w:rPr>
        <w:t>Appendix C　</w:t>
      </w:r>
      <w:r>
        <w:rPr>
          <w:rFonts w:hint="eastAsia" w:eastAsia="宋体" w:cs="Times New Roman"/>
          <w:szCs w:val="30"/>
        </w:rPr>
        <w:t>Inspection record table for subsidiary facility</w:t>
      </w:r>
      <w:r>
        <w:tab/>
      </w:r>
      <w:r>
        <w:fldChar w:fldCharType="begin"/>
      </w:r>
      <w:r>
        <w:instrText xml:space="preserve"> PAGEREF _Toc11412 \h </w:instrText>
      </w:r>
      <w:r>
        <w:fldChar w:fldCharType="separate"/>
      </w:r>
      <w:r>
        <w:t>53</w:t>
      </w:r>
      <w:r>
        <w:fldChar w:fldCharType="end"/>
      </w:r>
      <w:r>
        <w:fldChar w:fldCharType="end"/>
      </w:r>
    </w:p>
    <w:p w14:paraId="1A4BF464">
      <w:pPr>
        <w:pStyle w:val="22"/>
        <w:tabs>
          <w:tab w:val="right" w:leader="dot" w:pos="8306"/>
          <w:tab w:val="clear" w:pos="8296"/>
        </w:tabs>
      </w:pPr>
      <w:r>
        <w:fldChar w:fldCharType="begin"/>
      </w:r>
      <w:r>
        <w:instrText xml:space="preserve"> HYPERLINK \l "_Toc9372" </w:instrText>
      </w:r>
      <w:r>
        <w:fldChar w:fldCharType="separate"/>
      </w:r>
      <w:r>
        <w:rPr>
          <w:rFonts w:hint="eastAsia"/>
          <w:bCs/>
        </w:rPr>
        <w:t>Appendix D　</w:t>
      </w:r>
      <w:r>
        <w:rPr>
          <w:rFonts w:hint="eastAsia" w:eastAsia="宋体" w:cs="Times New Roman"/>
          <w:szCs w:val="30"/>
        </w:rPr>
        <w:t>Inspection results table</w:t>
      </w:r>
      <w:r>
        <w:tab/>
      </w:r>
      <w:r>
        <w:fldChar w:fldCharType="begin"/>
      </w:r>
      <w:r>
        <w:instrText xml:space="preserve"> PAGEREF _Toc9372 \h </w:instrText>
      </w:r>
      <w:r>
        <w:fldChar w:fldCharType="separate"/>
      </w:r>
      <w:r>
        <w:t>56</w:t>
      </w:r>
      <w:r>
        <w:fldChar w:fldCharType="end"/>
      </w:r>
      <w:r>
        <w:fldChar w:fldCharType="end"/>
      </w:r>
    </w:p>
    <w:p w14:paraId="485AC94F">
      <w:pPr>
        <w:pStyle w:val="22"/>
        <w:tabs>
          <w:tab w:val="right" w:leader="dot" w:pos="8306"/>
          <w:tab w:val="clear" w:pos="8296"/>
        </w:tabs>
      </w:pPr>
      <w:r>
        <w:fldChar w:fldCharType="begin"/>
      </w:r>
      <w:r>
        <w:instrText xml:space="preserve"> HYPERLINK \l "_Toc10558" </w:instrText>
      </w:r>
      <w:r>
        <w:fldChar w:fldCharType="separate"/>
      </w:r>
      <w:r>
        <w:rPr>
          <w:rFonts w:hint="eastAsia"/>
        </w:rPr>
        <w:t>Explanation of wording</w:t>
      </w:r>
      <w:r>
        <w:rPr>
          <w:rFonts w:hint="eastAsia"/>
          <w:lang w:val="en-US" w:eastAsia="zh-CN"/>
        </w:rPr>
        <w:t xml:space="preserve"> in this standard</w:t>
      </w:r>
      <w:r>
        <w:tab/>
      </w:r>
      <w:r>
        <w:fldChar w:fldCharType="begin"/>
      </w:r>
      <w:r>
        <w:instrText xml:space="preserve"> PAGEREF _Toc10558 \h </w:instrText>
      </w:r>
      <w:r>
        <w:fldChar w:fldCharType="separate"/>
      </w:r>
      <w:r>
        <w:t>59</w:t>
      </w:r>
      <w:r>
        <w:fldChar w:fldCharType="end"/>
      </w:r>
      <w:r>
        <w:fldChar w:fldCharType="end"/>
      </w:r>
    </w:p>
    <w:p w14:paraId="44B4608D">
      <w:pPr>
        <w:pStyle w:val="22"/>
        <w:tabs>
          <w:tab w:val="right" w:leader="dot" w:pos="8306"/>
          <w:tab w:val="clear" w:pos="8296"/>
        </w:tabs>
      </w:pPr>
      <w:r>
        <w:fldChar w:fldCharType="begin"/>
      </w:r>
      <w:r>
        <w:instrText xml:space="preserve"> HYPERLINK \l "_Toc8983" </w:instrText>
      </w:r>
      <w:r>
        <w:fldChar w:fldCharType="separate"/>
      </w:r>
      <w:r>
        <w:rPr>
          <w:rFonts w:hint="eastAsia"/>
        </w:rPr>
        <w:t>List of quoted standards</w:t>
      </w:r>
      <w:r>
        <w:tab/>
      </w:r>
      <w:r>
        <w:fldChar w:fldCharType="begin"/>
      </w:r>
      <w:r>
        <w:instrText xml:space="preserve"> PAGEREF _Toc8983 \h </w:instrText>
      </w:r>
      <w:r>
        <w:fldChar w:fldCharType="separate"/>
      </w:r>
      <w:r>
        <w:t>60</w:t>
      </w:r>
      <w:r>
        <w:fldChar w:fldCharType="end"/>
      </w:r>
      <w:r>
        <w:fldChar w:fldCharType="end"/>
      </w:r>
    </w:p>
    <w:p w14:paraId="2172F588">
      <w:pPr>
        <w:pStyle w:val="22"/>
        <w:tabs>
          <w:tab w:val="right" w:leader="dot" w:pos="8306"/>
          <w:tab w:val="clear" w:pos="8296"/>
        </w:tabs>
      </w:pPr>
      <w:r>
        <w:rPr>
          <w:rFonts w:hint="eastAsia"/>
          <w:color w:val="auto"/>
          <w:u w:val="none"/>
        </w:rPr>
        <w:fldChar w:fldCharType="begin"/>
      </w:r>
      <w:r>
        <w:rPr>
          <w:rFonts w:hint="eastAsia"/>
          <w:color w:val="auto"/>
          <w:u w:val="none"/>
        </w:rPr>
        <w:instrText xml:space="preserve"> HYPERLINK \l "_条 文 说 明" </w:instrText>
      </w:r>
      <w:r>
        <w:rPr>
          <w:rFonts w:hint="eastAsia"/>
          <w:color w:val="auto"/>
          <w:u w:val="none"/>
        </w:rPr>
        <w:fldChar w:fldCharType="separate"/>
      </w:r>
      <w:r>
        <w:rPr>
          <w:rStyle w:val="35"/>
          <w:rFonts w:hint="eastAsia"/>
        </w:rPr>
        <w:t>Addition：Explanation of provisions</w:t>
      </w:r>
      <w:r>
        <w:rPr>
          <w:rStyle w:val="35"/>
        </w:rPr>
        <w:tab/>
      </w:r>
      <w:r>
        <w:rPr>
          <w:rStyle w:val="35"/>
        </w:rPr>
        <w:fldChar w:fldCharType="begin"/>
      </w:r>
      <w:r>
        <w:rPr>
          <w:rStyle w:val="35"/>
        </w:rPr>
        <w:instrText xml:space="preserve"> PAGEREF _Toc29822 \h </w:instrText>
      </w:r>
      <w:r>
        <w:rPr>
          <w:rStyle w:val="35"/>
        </w:rPr>
        <w:fldChar w:fldCharType="separate"/>
      </w:r>
      <w:r>
        <w:rPr>
          <w:rFonts w:hint="eastAsia"/>
          <w:b/>
          <w:lang w:val="en-US" w:eastAsia="zh-CN"/>
        </w:rPr>
        <w:t>61</w:t>
      </w:r>
      <w:r>
        <w:rPr>
          <w:rStyle w:val="35"/>
        </w:rPr>
        <w:fldChar w:fldCharType="end"/>
      </w:r>
      <w:r>
        <w:rPr>
          <w:rFonts w:hint="eastAsia"/>
          <w:color w:val="auto"/>
          <w:u w:val="none"/>
        </w:rPr>
        <w:fldChar w:fldCharType="end"/>
      </w:r>
    </w:p>
    <w:p w14:paraId="5CE367DE">
      <w:pPr>
        <w:pStyle w:val="18"/>
        <w:ind w:left="480"/>
        <w:rPr>
          <w:rFonts w:ascii="宋体" w:hAnsi="宋体" w:eastAsia="宋体"/>
          <w:b/>
          <w:bCs/>
          <w:sz w:val="32"/>
          <w:szCs w:val="32"/>
        </w:rPr>
      </w:pPr>
      <w:r>
        <w:fldChar w:fldCharType="end"/>
      </w:r>
    </w:p>
    <w:p w14:paraId="35D4E2B6">
      <w:pPr>
        <w:pStyle w:val="18"/>
        <w:ind w:left="480"/>
        <w:sectPr>
          <w:footerReference r:id="rId10" w:type="default"/>
          <w:pgSz w:w="11906" w:h="16838"/>
          <w:pgMar w:top="1440" w:right="1800" w:bottom="1440" w:left="1800" w:header="851" w:footer="992" w:gutter="0"/>
          <w:pgNumType w:fmt="upperRoman"/>
          <w:cols w:space="425" w:num="1"/>
          <w:docGrid w:type="lines" w:linePitch="312" w:charSpace="0"/>
        </w:sectPr>
      </w:pPr>
    </w:p>
    <w:p w14:paraId="611416DB">
      <w:pPr>
        <w:pStyle w:val="4"/>
      </w:pPr>
      <w:bookmarkStart w:id="9" w:name="_Toc21978"/>
      <w:bookmarkStart w:id="10" w:name="_Toc5805"/>
      <w:bookmarkStart w:id="11" w:name="_Toc6526"/>
      <w:bookmarkStart w:id="12" w:name="_Toc21344"/>
      <w:bookmarkStart w:id="13" w:name="_Toc7180"/>
      <w:bookmarkStart w:id="14" w:name="_Toc16367"/>
      <w:bookmarkStart w:id="15" w:name="_Toc31907"/>
      <w:bookmarkStart w:id="16" w:name="_Toc31574"/>
      <w:bookmarkStart w:id="17" w:name="_Toc27759"/>
      <w:bookmarkStart w:id="18" w:name="_Toc181825539"/>
      <w:r>
        <w:t>1　总　　则</w:t>
      </w:r>
      <w:bookmarkEnd w:id="9"/>
      <w:bookmarkEnd w:id="10"/>
      <w:bookmarkEnd w:id="11"/>
      <w:bookmarkEnd w:id="12"/>
      <w:bookmarkEnd w:id="13"/>
      <w:bookmarkEnd w:id="14"/>
      <w:bookmarkEnd w:id="15"/>
      <w:bookmarkEnd w:id="16"/>
      <w:bookmarkEnd w:id="17"/>
      <w:bookmarkEnd w:id="18"/>
    </w:p>
    <w:p w14:paraId="602D35C7"/>
    <w:p w14:paraId="2E7EBF89">
      <w:r>
        <w:rPr>
          <w:rFonts w:hint="eastAsia"/>
          <w:b/>
          <w:bCs/>
        </w:rPr>
        <w:t>1.0.1　</w:t>
      </w:r>
      <w:r>
        <w:rPr>
          <w:rFonts w:hint="eastAsia"/>
        </w:rPr>
        <w:t>为规范</w:t>
      </w:r>
      <w:r>
        <w:rPr>
          <w:rFonts w:hint="eastAsia"/>
          <w:lang w:eastAsia="zh-CN"/>
        </w:rPr>
        <w:t>城镇</w:t>
      </w:r>
      <w:r>
        <w:rPr>
          <w:rFonts w:hint="eastAsia"/>
        </w:rPr>
        <w:t>给水管道检测与评估的技术要求，保障质量，做到安全适用、技术先进、经济合理，制定</w:t>
      </w:r>
      <w:r>
        <w:rPr>
          <w:rFonts w:hint="eastAsia"/>
          <w:lang w:eastAsia="zh-CN"/>
        </w:rPr>
        <w:t>本标准</w:t>
      </w:r>
      <w:r>
        <w:rPr>
          <w:rFonts w:hint="eastAsia"/>
        </w:rPr>
        <w:t>。</w:t>
      </w:r>
    </w:p>
    <w:p w14:paraId="621B6B66">
      <w:pPr>
        <w:rPr>
          <w:rFonts w:eastAsia="宋体" w:cs="Times New Roman"/>
          <w:bCs/>
        </w:rPr>
      </w:pPr>
      <w:r>
        <w:rPr>
          <w:rFonts w:eastAsia="宋体" w:cs="Times New Roman"/>
          <w:b/>
        </w:rPr>
        <w:t>1.0.2　</w:t>
      </w:r>
      <w:r>
        <w:rPr>
          <w:rFonts w:hint="eastAsia" w:eastAsia="宋体" w:cs="Times New Roman"/>
          <w:bCs/>
          <w:lang w:eastAsia="zh-CN"/>
        </w:rPr>
        <w:t>本标准</w:t>
      </w:r>
      <w:r>
        <w:rPr>
          <w:rFonts w:eastAsia="宋体" w:cs="Times New Roman"/>
          <w:bCs/>
        </w:rPr>
        <w:t>适用于</w:t>
      </w:r>
      <w:r>
        <w:rPr>
          <w:rFonts w:hint="eastAsia" w:eastAsia="宋体" w:cs="Times New Roman"/>
          <w:bCs/>
          <w:lang w:eastAsia="zh-CN"/>
        </w:rPr>
        <w:t>城镇</w:t>
      </w:r>
      <w:r>
        <w:rPr>
          <w:rFonts w:eastAsia="宋体" w:cs="Times New Roman"/>
          <w:bCs/>
        </w:rPr>
        <w:t>给水管道的检测与评估。</w:t>
      </w:r>
    </w:p>
    <w:p w14:paraId="5D32169E">
      <w:r>
        <w:rPr>
          <w:rFonts w:hint="eastAsia"/>
          <w:b/>
        </w:rPr>
        <w:t>1.0.3　</w:t>
      </w:r>
      <w:r>
        <w:rPr>
          <w:rFonts w:hint="eastAsia"/>
          <w:bCs/>
          <w:lang w:eastAsia="zh-CN"/>
        </w:rPr>
        <w:t>城镇</w:t>
      </w:r>
      <w:r>
        <w:rPr>
          <w:rFonts w:hint="eastAsia"/>
          <w:bCs/>
        </w:rPr>
        <w:t>给水管道检测与评估除应符合本</w:t>
      </w:r>
      <w:r>
        <w:rPr>
          <w:rFonts w:hint="eastAsia"/>
          <w:bCs/>
          <w:lang w:eastAsia="zh-CN"/>
        </w:rPr>
        <w:t>标准</w:t>
      </w:r>
      <w:r>
        <w:rPr>
          <w:rFonts w:hint="eastAsia"/>
          <w:bCs/>
        </w:rPr>
        <w:t>外，尚应符合现行国家</w:t>
      </w:r>
      <w:r>
        <w:rPr>
          <w:rFonts w:hint="eastAsia"/>
          <w:bCs/>
          <w:lang w:eastAsia="zh-CN"/>
        </w:rPr>
        <w:t>和广东省现行</w:t>
      </w:r>
      <w:r>
        <w:rPr>
          <w:rFonts w:hint="eastAsia"/>
          <w:bCs/>
        </w:rPr>
        <w:t>有关标准的规定。</w:t>
      </w:r>
    </w:p>
    <w:p w14:paraId="3D75B84A"/>
    <w:p w14:paraId="26EEC192">
      <w:pPr>
        <w:widowControl/>
        <w:jc w:val="left"/>
        <w:rPr>
          <w:rFonts w:eastAsia="华文宋体"/>
          <w:b/>
          <w:bCs/>
          <w:kern w:val="44"/>
          <w:sz w:val="32"/>
          <w:szCs w:val="44"/>
        </w:rPr>
      </w:pPr>
      <w:r>
        <w:br w:type="page"/>
      </w:r>
    </w:p>
    <w:p w14:paraId="5DC53C53">
      <w:pPr>
        <w:pStyle w:val="4"/>
      </w:pPr>
      <w:bookmarkStart w:id="19" w:name="_Toc81"/>
      <w:bookmarkStart w:id="20" w:name="_Toc1787"/>
      <w:bookmarkStart w:id="21" w:name="_Toc16966"/>
      <w:bookmarkStart w:id="22" w:name="_Toc4717"/>
      <w:bookmarkStart w:id="23" w:name="_Toc25461"/>
      <w:bookmarkStart w:id="24" w:name="_Toc20255"/>
      <w:bookmarkStart w:id="25" w:name="_Toc30642"/>
      <w:bookmarkStart w:id="26" w:name="_Toc12977"/>
      <w:bookmarkStart w:id="27" w:name="_Toc8803"/>
      <w:bookmarkStart w:id="28" w:name="_Toc181825540"/>
      <w:r>
        <w:rPr>
          <w:rFonts w:hint="eastAsia"/>
        </w:rPr>
        <w:t>2　术语</w:t>
      </w:r>
      <w:bookmarkEnd w:id="19"/>
      <w:bookmarkEnd w:id="20"/>
      <w:r>
        <w:rPr>
          <w:rFonts w:hint="eastAsia"/>
        </w:rPr>
        <w:t>和符号</w:t>
      </w:r>
      <w:bookmarkEnd w:id="21"/>
      <w:bookmarkEnd w:id="22"/>
      <w:bookmarkEnd w:id="23"/>
      <w:bookmarkEnd w:id="24"/>
      <w:bookmarkEnd w:id="25"/>
      <w:bookmarkEnd w:id="26"/>
      <w:bookmarkEnd w:id="27"/>
      <w:bookmarkEnd w:id="28"/>
    </w:p>
    <w:p w14:paraId="34D4BCD8">
      <w:pPr>
        <w:pStyle w:val="5"/>
      </w:pPr>
      <w:bookmarkStart w:id="29" w:name="_Toc29093"/>
      <w:bookmarkStart w:id="30" w:name="_Toc9707"/>
      <w:bookmarkStart w:id="31" w:name="_Toc8322"/>
      <w:bookmarkStart w:id="32" w:name="_Toc5120"/>
      <w:bookmarkStart w:id="33" w:name="_Toc31718"/>
      <w:bookmarkStart w:id="34" w:name="_Toc16586"/>
      <w:bookmarkStart w:id="35" w:name="_Toc25736"/>
      <w:bookmarkStart w:id="36" w:name="_Toc181825541"/>
      <w:r>
        <w:rPr>
          <w:rFonts w:hint="eastAsia"/>
        </w:rPr>
        <w:t>2.1　术语</w:t>
      </w:r>
      <w:bookmarkEnd w:id="29"/>
      <w:bookmarkEnd w:id="30"/>
      <w:bookmarkEnd w:id="31"/>
      <w:bookmarkEnd w:id="32"/>
      <w:bookmarkEnd w:id="33"/>
      <w:bookmarkEnd w:id="34"/>
      <w:bookmarkEnd w:id="35"/>
      <w:bookmarkEnd w:id="36"/>
    </w:p>
    <w:p w14:paraId="55BB5C7B">
      <w:pPr>
        <w:rPr>
          <w:bCs/>
        </w:rPr>
      </w:pPr>
      <w:r>
        <w:rPr>
          <w:rFonts w:hint="eastAsia"/>
          <w:b/>
        </w:rPr>
        <w:t>2.1.1　</w:t>
      </w:r>
      <w:r>
        <w:rPr>
          <w:rFonts w:hint="eastAsia"/>
        </w:rPr>
        <w:t>电视检测</w:t>
      </w:r>
      <w:r>
        <w:rPr>
          <w:rFonts w:hint="eastAsia"/>
          <w:b/>
        </w:rPr>
        <w:t>　　</w:t>
      </w:r>
      <w:r>
        <w:rPr>
          <w:rFonts w:hint="eastAsia"/>
          <w:bCs/>
        </w:rPr>
        <w:t>closed circuit television inspection</w:t>
      </w:r>
    </w:p>
    <w:p w14:paraId="5058A547">
      <w:pPr>
        <w:ind w:firstLine="480" w:firstLineChars="200"/>
      </w:pPr>
      <w:r>
        <w:rPr>
          <w:rFonts w:hint="eastAsia"/>
        </w:rPr>
        <w:t>通过闭路电视摄像系统（CCTV）等设备查视给水管道内部可视缺陷或漏水点的检测方法。</w:t>
      </w:r>
    </w:p>
    <w:p w14:paraId="59524FC5">
      <w:r>
        <w:rPr>
          <w:rFonts w:hint="eastAsia"/>
          <w:b/>
          <w:bCs/>
        </w:rPr>
        <w:t>2.1.2　</w:t>
      </w:r>
      <w:r>
        <w:rPr>
          <w:rFonts w:hint="eastAsia"/>
        </w:rPr>
        <w:t>声呐检测</w:t>
      </w:r>
      <w:r>
        <w:rPr>
          <w:rFonts w:hint="eastAsia"/>
          <w:b/>
          <w:bCs/>
        </w:rPr>
        <w:t>　　</w:t>
      </w:r>
      <w:r>
        <w:rPr>
          <w:rFonts w:hint="eastAsia"/>
        </w:rPr>
        <w:t>sonar inspection</w:t>
      </w:r>
    </w:p>
    <w:p w14:paraId="2E7F879F">
      <w:pPr>
        <w:ind w:firstLine="480" w:firstLineChars="200"/>
      </w:pPr>
      <w:r>
        <w:rPr>
          <w:rFonts w:hint="eastAsia"/>
        </w:rPr>
        <w:t>采用声波探测技术对管道内水面以下状况的检测方法。</w:t>
      </w:r>
    </w:p>
    <w:p w14:paraId="38C7D2A8">
      <w:r>
        <w:rPr>
          <w:rFonts w:hint="eastAsia"/>
          <w:b/>
          <w:bCs/>
        </w:rPr>
        <w:t>2.1.3　</w:t>
      </w:r>
      <w:r>
        <w:rPr>
          <w:rFonts w:hint="eastAsia"/>
        </w:rPr>
        <w:t>超声波检测　　ultrasonic inspection</w:t>
      </w:r>
    </w:p>
    <w:p w14:paraId="16C52D32">
      <w:pPr>
        <w:ind w:firstLine="480" w:firstLineChars="200"/>
      </w:pPr>
      <w:r>
        <w:rPr>
          <w:rFonts w:hint="eastAsia"/>
        </w:rPr>
        <w:t>采用超声波技术对管道壁厚的检测方法。</w:t>
      </w:r>
    </w:p>
    <w:p w14:paraId="0146659B">
      <w:r>
        <w:rPr>
          <w:rFonts w:hint="eastAsia"/>
          <w:b/>
          <w:bCs/>
        </w:rPr>
        <w:t>2.1.4　</w:t>
      </w:r>
      <w:r>
        <w:rPr>
          <w:rFonts w:hint="eastAsia"/>
        </w:rPr>
        <w:t>电磁检测</w:t>
      </w:r>
      <w:r>
        <w:rPr>
          <w:rFonts w:hint="eastAsia"/>
          <w:b/>
          <w:bCs/>
        </w:rPr>
        <w:t>　　</w:t>
      </w:r>
      <w:r>
        <w:rPr>
          <w:rFonts w:hint="eastAsia"/>
        </w:rPr>
        <w:t>electromagnetic inspection</w:t>
      </w:r>
    </w:p>
    <w:p w14:paraId="40E4C41D">
      <w:pPr>
        <w:ind w:firstLine="480" w:firstLineChars="200"/>
      </w:pPr>
      <w:r>
        <w:rPr>
          <w:rFonts w:hint="eastAsia"/>
        </w:rPr>
        <w:t>采用电磁技术对预应力钢筒混凝土管道断丝的检测方法。</w:t>
      </w:r>
    </w:p>
    <w:p w14:paraId="12B60541">
      <w:pPr>
        <w:rPr>
          <w:bCs/>
        </w:rPr>
      </w:pPr>
      <w:r>
        <w:rPr>
          <w:rFonts w:hint="eastAsia"/>
          <w:b/>
        </w:rPr>
        <w:t>2.1.5　</w:t>
      </w:r>
      <w:r>
        <w:rPr>
          <w:rFonts w:hint="eastAsia"/>
          <w:bCs/>
        </w:rPr>
        <w:t>噪声管内检测　　inline noise inspection</w:t>
      </w:r>
    </w:p>
    <w:p w14:paraId="2D42AB83">
      <w:pPr>
        <w:ind w:firstLine="480" w:firstLineChars="200"/>
        <w:rPr>
          <w:bCs/>
        </w:rPr>
      </w:pPr>
      <w:r>
        <w:rPr>
          <w:rFonts w:hint="eastAsia"/>
          <w:bCs/>
        </w:rPr>
        <w:t>在管道内采用自由行进探测器，采集漏水、气囊等声波的检测方法。</w:t>
      </w:r>
    </w:p>
    <w:p w14:paraId="3AE8C071">
      <w:pPr>
        <w:rPr>
          <w:bCs/>
        </w:rPr>
      </w:pPr>
      <w:r>
        <w:rPr>
          <w:rFonts w:hint="eastAsia"/>
          <w:b/>
        </w:rPr>
        <w:t>2.1.6　</w:t>
      </w:r>
      <w:r>
        <w:rPr>
          <w:rFonts w:hint="eastAsia"/>
          <w:bCs/>
        </w:rPr>
        <w:t>带压检测　　inspection with pressure</w:t>
      </w:r>
    </w:p>
    <w:p w14:paraId="55CCE7E7">
      <w:pPr>
        <w:ind w:firstLine="480" w:firstLineChars="200"/>
        <w:rPr>
          <w:bCs/>
        </w:rPr>
      </w:pPr>
      <w:r>
        <w:rPr>
          <w:rFonts w:hint="eastAsia"/>
          <w:bCs/>
        </w:rPr>
        <w:t>在不影响供水情况下，给水管道保持输送状态时进行的内窥式检测。</w:t>
      </w:r>
    </w:p>
    <w:p w14:paraId="0E65315B">
      <w:pPr>
        <w:rPr>
          <w:bCs/>
        </w:rPr>
      </w:pPr>
      <w:r>
        <w:rPr>
          <w:rFonts w:hint="eastAsia"/>
          <w:b/>
        </w:rPr>
        <w:t>2.1.7　</w:t>
      </w:r>
      <w:r>
        <w:rPr>
          <w:rFonts w:hint="eastAsia"/>
          <w:bCs/>
        </w:rPr>
        <w:t>停水检测　　</w:t>
      </w:r>
      <w:r>
        <w:rPr>
          <w:bCs/>
        </w:rPr>
        <w:t>inspection with water cut-off</w:t>
      </w:r>
    </w:p>
    <w:p w14:paraId="4673D183">
      <w:pPr>
        <w:ind w:firstLine="480" w:firstLineChars="200"/>
        <w:rPr>
          <w:bCs/>
        </w:rPr>
      </w:pPr>
      <w:r>
        <w:rPr>
          <w:rFonts w:hint="eastAsia"/>
          <w:bCs/>
        </w:rPr>
        <w:t>在给水管道停止输送状态下，处于无压或静压状态下进行的检测。</w:t>
      </w:r>
    </w:p>
    <w:p w14:paraId="6B870E76">
      <w:r>
        <w:rPr>
          <w:rFonts w:hint="eastAsia"/>
          <w:b/>
          <w:bCs/>
        </w:rPr>
        <w:t>2.1.8　</w:t>
      </w:r>
      <w:r>
        <w:rPr>
          <w:rFonts w:hint="eastAsia"/>
        </w:rPr>
        <w:t>结构性缺陷　　structural defect</w:t>
      </w:r>
    </w:p>
    <w:p w14:paraId="6EF087EB">
      <w:pPr>
        <w:ind w:firstLine="480" w:firstLineChars="200"/>
      </w:pPr>
      <w:r>
        <w:rPr>
          <w:rFonts w:hint="eastAsia"/>
        </w:rPr>
        <w:t>管道结构遭受损伤，影响强度、刚度和耐久性的缺陷。</w:t>
      </w:r>
    </w:p>
    <w:p w14:paraId="6ECEC1D2">
      <w:r>
        <w:rPr>
          <w:rFonts w:hint="eastAsia"/>
          <w:b/>
          <w:bCs/>
        </w:rPr>
        <w:t>2.1.9　</w:t>
      </w:r>
      <w:r>
        <w:rPr>
          <w:rFonts w:hint="eastAsia"/>
        </w:rPr>
        <w:t>功能性缺陷　　functional defect</w:t>
      </w:r>
    </w:p>
    <w:p w14:paraId="71F7616C">
      <w:pPr>
        <w:ind w:firstLine="480" w:firstLineChars="200"/>
      </w:pPr>
      <w:r>
        <w:rPr>
          <w:rFonts w:hint="eastAsia"/>
        </w:rPr>
        <w:t>管道过水断面发生变化，影响过水流量和水质的缺陷</w:t>
      </w:r>
      <w:r>
        <w:t>。</w:t>
      </w:r>
    </w:p>
    <w:p w14:paraId="43B322A6">
      <w:r>
        <w:rPr>
          <w:rFonts w:hint="eastAsia"/>
          <w:b/>
          <w:bCs/>
        </w:rPr>
        <w:t>2.1.10　</w:t>
      </w:r>
      <w:r>
        <w:rPr>
          <w:rFonts w:hint="eastAsia"/>
        </w:rPr>
        <w:t>管段　　pipe section</w:t>
      </w:r>
    </w:p>
    <w:p w14:paraId="528FB320">
      <w:pPr>
        <w:ind w:firstLine="480" w:firstLineChars="200"/>
        <w:rPr>
          <w:highlight w:val="yellow"/>
        </w:rPr>
      </w:pPr>
      <w:r>
        <w:rPr>
          <w:rFonts w:hint="eastAsia"/>
        </w:rPr>
        <w:t>单次检测或评估的管道单元长度。</w:t>
      </w:r>
    </w:p>
    <w:p w14:paraId="4294BA5B">
      <w:pPr>
        <w:pStyle w:val="2"/>
        <w:ind w:left="0" w:firstLine="0" w:firstLineChars="0"/>
        <w:rPr>
          <w:rFonts w:ascii="Times New Roman" w:hAnsi="Times New Roman" w:cs="Times New Roman"/>
        </w:rPr>
      </w:pPr>
      <w:r>
        <w:rPr>
          <w:rFonts w:hint="eastAsia" w:ascii="Times New Roman" w:hAnsi="Times New Roman" w:eastAsiaTheme="minorEastAsia"/>
          <w:b/>
          <w:bCs/>
          <w:kern w:val="2"/>
          <w:szCs w:val="22"/>
        </w:rPr>
        <w:t>2</w:t>
      </w:r>
      <w:r>
        <w:rPr>
          <w:rFonts w:ascii="Times New Roman" w:hAnsi="Times New Roman" w:eastAsiaTheme="minorEastAsia"/>
          <w:b/>
          <w:bCs/>
          <w:kern w:val="2"/>
          <w:szCs w:val="22"/>
        </w:rPr>
        <w:t>.1.1</w:t>
      </w:r>
      <w:r>
        <w:rPr>
          <w:rFonts w:hint="eastAsia" w:ascii="Times New Roman" w:hAnsi="Times New Roman" w:eastAsiaTheme="minorEastAsia"/>
          <w:b/>
          <w:bCs/>
          <w:kern w:val="2"/>
          <w:szCs w:val="22"/>
        </w:rPr>
        <w:t>1　</w:t>
      </w:r>
      <w:r>
        <w:rPr>
          <w:rFonts w:hint="eastAsia"/>
        </w:rPr>
        <w:t>载行器　　</w:t>
      </w:r>
      <w:r>
        <w:rPr>
          <w:rFonts w:ascii="Times New Roman" w:hAnsi="Times New Roman" w:cs="Times New Roman"/>
        </w:rPr>
        <w:t>carrier</w:t>
      </w:r>
    </w:p>
    <w:p w14:paraId="4B1C134E">
      <w:pPr>
        <w:pStyle w:val="2"/>
        <w:ind w:left="0" w:firstLine="480" w:firstLineChars="200"/>
      </w:pPr>
      <w:r>
        <w:rPr>
          <w:rFonts w:hint="eastAsia"/>
        </w:rPr>
        <w:t>搭载管道检测设备并在管道内行进的装置。</w:t>
      </w:r>
    </w:p>
    <w:p w14:paraId="22B3CCD3">
      <w:pPr>
        <w:pStyle w:val="2"/>
        <w:ind w:left="0" w:firstLine="0" w:firstLineChars="0"/>
        <w:rPr>
          <w:rFonts w:ascii="Times New Roman" w:hAnsi="Times New Roman" w:cs="Times New Roman"/>
        </w:rPr>
      </w:pPr>
      <w:r>
        <w:rPr>
          <w:rFonts w:ascii="Times New Roman" w:hAnsi="Times New Roman" w:cs="Times New Roman"/>
          <w:b/>
          <w:bCs/>
        </w:rPr>
        <w:t>2.1.12　</w:t>
      </w:r>
      <w:r>
        <w:rPr>
          <w:rFonts w:ascii="Times New Roman" w:hAnsi="Times New Roman" w:cs="Times New Roman"/>
        </w:rPr>
        <w:t>压力影响系数</w:t>
      </w:r>
      <w:r>
        <w:rPr>
          <w:rFonts w:hint="eastAsia" w:ascii="Times New Roman" w:hAnsi="Times New Roman" w:cs="Times New Roman"/>
        </w:rPr>
        <w:t>　　</w:t>
      </w:r>
      <w:r>
        <w:rPr>
          <w:rFonts w:ascii="Times New Roman" w:hAnsi="Times New Roman" w:cs="Times New Roman"/>
        </w:rPr>
        <w:t>effect coefficient of pressure</w:t>
      </w:r>
    </w:p>
    <w:p w14:paraId="4408E8B5">
      <w:pPr>
        <w:pStyle w:val="2"/>
        <w:ind w:left="0" w:firstLine="480" w:firstLineChars="200"/>
      </w:pPr>
      <w:r>
        <w:rPr>
          <w:rFonts w:hint="eastAsia"/>
        </w:rPr>
        <w:t>管道</w:t>
      </w:r>
      <w:r>
        <w:t>压力对</w:t>
      </w:r>
      <w:r>
        <w:rPr>
          <w:rFonts w:hint="eastAsia"/>
        </w:rPr>
        <w:t>给水管道结构性状况</w:t>
      </w:r>
      <w:r>
        <w:t>影响程度</w:t>
      </w:r>
      <w:r>
        <w:rPr>
          <w:rFonts w:hint="eastAsia"/>
        </w:rPr>
        <w:t>的参数。</w:t>
      </w:r>
    </w:p>
    <w:p w14:paraId="27B4926C">
      <w:pPr>
        <w:pStyle w:val="2"/>
        <w:ind w:left="0" w:firstLine="0" w:firstLineChars="0"/>
        <w:rPr>
          <w:rFonts w:ascii="Times New Roman" w:hAnsi="Times New Roman" w:cs="Times New Roman"/>
        </w:rPr>
      </w:pPr>
      <w:r>
        <w:rPr>
          <w:rFonts w:ascii="Times New Roman" w:hAnsi="Times New Roman" w:cs="Times New Roman"/>
          <w:b/>
          <w:bCs/>
        </w:rPr>
        <w:t>2.1.13　</w:t>
      </w:r>
      <w:r>
        <w:rPr>
          <w:rFonts w:ascii="Times New Roman" w:hAnsi="Times New Roman" w:cs="Times New Roman"/>
        </w:rPr>
        <w:t>缺陷长度影响系数</w:t>
      </w:r>
      <w:r>
        <w:rPr>
          <w:rFonts w:hint="eastAsia" w:ascii="Times New Roman" w:hAnsi="Times New Roman" w:cs="Times New Roman"/>
        </w:rPr>
        <w:t>　　</w:t>
      </w:r>
      <w:r>
        <w:rPr>
          <w:rFonts w:ascii="Times New Roman" w:hAnsi="Times New Roman" w:cs="Times New Roman"/>
        </w:rPr>
        <w:t>effect</w:t>
      </w:r>
      <w:r>
        <w:rPr>
          <w:rFonts w:hint="eastAsia" w:ascii="Times New Roman" w:hAnsi="Times New Roman" w:cs="Times New Roman"/>
        </w:rPr>
        <w:t xml:space="preserve"> coefficient of defect length</w:t>
      </w:r>
    </w:p>
    <w:p w14:paraId="5D460083">
      <w:pPr>
        <w:pStyle w:val="2"/>
        <w:ind w:left="0" w:firstLine="480" w:firstLineChars="200"/>
        <w:rPr>
          <w:rFonts w:ascii="Times New Roman" w:hAnsi="Times New Roman" w:cs="Times New Roman"/>
        </w:rPr>
      </w:pPr>
      <w:r>
        <w:rPr>
          <w:rFonts w:ascii="Times New Roman" w:hAnsi="Times New Roman" w:cs="Times New Roman"/>
        </w:rPr>
        <w:t>缺陷长度对</w:t>
      </w:r>
      <w:r>
        <w:rPr>
          <w:rFonts w:hint="eastAsia" w:ascii="Times New Roman" w:hAnsi="Times New Roman" w:cs="Times New Roman"/>
        </w:rPr>
        <w:t>给水管道结构性状况</w:t>
      </w:r>
      <w:r>
        <w:rPr>
          <w:rFonts w:ascii="Times New Roman" w:hAnsi="Times New Roman" w:cs="Times New Roman"/>
        </w:rPr>
        <w:t>或</w:t>
      </w:r>
      <w:r>
        <w:rPr>
          <w:rFonts w:hint="eastAsia" w:ascii="Times New Roman" w:hAnsi="Times New Roman" w:cs="Times New Roman"/>
        </w:rPr>
        <w:t>功能性</w:t>
      </w:r>
      <w:r>
        <w:rPr>
          <w:rFonts w:ascii="Times New Roman" w:hAnsi="Times New Roman" w:cs="Times New Roman"/>
        </w:rPr>
        <w:t>状况影响程度的</w:t>
      </w:r>
      <w:r>
        <w:rPr>
          <w:rFonts w:hint="eastAsia"/>
        </w:rPr>
        <w:t>参数。</w:t>
      </w:r>
    </w:p>
    <w:p w14:paraId="676BD7F9">
      <w:pPr>
        <w:pStyle w:val="5"/>
      </w:pPr>
      <w:bookmarkStart w:id="37" w:name="_Toc25135"/>
      <w:bookmarkStart w:id="38" w:name="_Toc32098"/>
      <w:bookmarkStart w:id="39" w:name="_Toc16280"/>
      <w:bookmarkStart w:id="40" w:name="_Toc181825542"/>
      <w:bookmarkStart w:id="41" w:name="_Toc14247"/>
      <w:bookmarkStart w:id="42" w:name="_Toc15805"/>
      <w:bookmarkStart w:id="43" w:name="_Toc31025"/>
      <w:bookmarkStart w:id="44" w:name="_Toc16593"/>
      <w:r>
        <w:rPr>
          <w:rFonts w:hint="eastAsia"/>
        </w:rPr>
        <w:t>2.2　符号</w:t>
      </w:r>
      <w:bookmarkEnd w:id="37"/>
      <w:bookmarkEnd w:id="38"/>
      <w:bookmarkEnd w:id="39"/>
      <w:bookmarkEnd w:id="40"/>
      <w:bookmarkEnd w:id="41"/>
      <w:bookmarkEnd w:id="42"/>
      <w:bookmarkEnd w:id="43"/>
      <w:bookmarkEnd w:id="44"/>
    </w:p>
    <w:p w14:paraId="410FA7D9">
      <w:pPr>
        <w:pStyle w:val="2"/>
        <w:ind w:left="0" w:firstLine="480" w:firstLineChars="200"/>
        <w:rPr>
          <w:rFonts w:ascii="Times New Roman" w:hAnsi="Times New Roman" w:cs="Times New Roman"/>
        </w:rPr>
      </w:pPr>
      <w:r>
        <w:rPr>
          <w:rFonts w:ascii="Times New Roman" w:hAnsi="Times New Roman" w:cs="Times New Roman"/>
          <w:i/>
          <w:iCs/>
        </w:rPr>
        <w:t xml:space="preserve">A </w:t>
      </w:r>
      <w:r>
        <w:rPr>
          <w:rFonts w:hint="eastAsia" w:ascii="Times New Roman" w:hAnsi="Times New Roman" w:cs="Times New Roman"/>
          <w:i/>
          <w:iCs/>
        </w:rPr>
        <w:t xml:space="preserve"> </w:t>
      </w:r>
      <w:r>
        <w:rPr>
          <w:rFonts w:ascii="Times New Roman" w:hAnsi="Times New Roman" w:cs="Times New Roman"/>
          <w:i/>
          <w:iCs/>
        </w:rPr>
        <w:t>——</w:t>
      </w:r>
      <w:r>
        <w:rPr>
          <w:rFonts w:hint="eastAsia" w:ascii="Times New Roman" w:hAnsi="Times New Roman" w:cs="Times New Roman"/>
          <w:i/>
          <w:iCs/>
        </w:rPr>
        <w:t xml:space="preserve"> </w:t>
      </w:r>
      <w:r>
        <w:rPr>
          <w:rFonts w:ascii="Times New Roman" w:hAnsi="Times New Roman" w:cs="Times New Roman"/>
        </w:rPr>
        <w:t>壁厚减薄腐蚀相对程度；</w:t>
      </w:r>
    </w:p>
    <w:p w14:paraId="7BCDAB0F">
      <w:pPr>
        <w:pStyle w:val="2"/>
        <w:numPr>
          <w:ilvl w:val="255"/>
          <w:numId w:val="0"/>
        </w:numPr>
        <w:ind w:firstLine="480" w:firstLineChars="200"/>
        <w:rPr>
          <w:rFonts w:ascii="Times New Roman" w:hAnsi="Times New Roman" w:cs="Times New Roman"/>
        </w:rPr>
      </w:pPr>
      <w:r>
        <w:rPr>
          <w:rFonts w:ascii="Times New Roman" w:hAnsi="Times New Roman" w:cs="Times New Roman"/>
          <w:i/>
          <w:iCs/>
        </w:rPr>
        <w:t xml:space="preserve">d </w:t>
      </w:r>
      <w:r>
        <w:rPr>
          <w:rFonts w:hint="eastAsia" w:ascii="Times New Roman" w:hAnsi="Times New Roman" w:cs="Times New Roman"/>
          <w:i/>
          <w:iCs/>
        </w:rPr>
        <w:t xml:space="preserve"> </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实测壁厚减薄最大深度；</w:t>
      </w:r>
    </w:p>
    <w:p w14:paraId="23DE21A6">
      <w:pPr>
        <w:ind w:firstLine="480" w:firstLineChars="200"/>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D</m:t>
            </m:r>
            <m:ctrlPr>
              <w:rPr>
                <w:rFonts w:ascii="Cambria Math" w:hAnsi="Cambria Math" w:eastAsia="宋体" w:cs="Times New Roman"/>
                <w:i/>
              </w:rPr>
            </m:ctrlPr>
          </m:e>
          <m:sub>
            <m:r>
              <m:rPr/>
              <w:rPr>
                <w:rFonts w:ascii="Cambria Math" w:hAnsi="Cambria Math" w:eastAsia="宋体" w:cs="Times New Roman"/>
              </w:rPr>
              <m:t>F</m:t>
            </m:r>
            <m:ctrlPr>
              <w:rPr>
                <w:rFonts w:ascii="Cambria Math" w:hAnsi="Cambria Math" w:eastAsia="宋体" w:cs="Times New Roman"/>
                <w:i/>
              </w:rPr>
            </m:ctrlPr>
          </m:sub>
        </m:sSub>
      </m:oMath>
      <w:r>
        <w:rPr>
          <w:rFonts w:eastAsia="宋体" w:cs="Times New Roman"/>
        </w:rPr>
        <w:t xml:space="preserve"> ——</w:t>
      </w:r>
      <w:r>
        <w:rPr>
          <w:rFonts w:hint="eastAsia" w:eastAsia="宋体" w:cs="Times New Roman"/>
        </w:rPr>
        <w:t xml:space="preserve"> 管道</w:t>
      </w:r>
      <w:r>
        <w:rPr>
          <w:rFonts w:hint="eastAsia"/>
        </w:rPr>
        <w:t>结构性</w:t>
      </w:r>
      <w:r>
        <w:rPr>
          <w:rFonts w:hint="eastAsia" w:eastAsia="宋体" w:cs="Times New Roman"/>
        </w:rPr>
        <w:t>缺陷密度；</w:t>
      </w:r>
    </w:p>
    <w:p w14:paraId="20AE74CB">
      <w:pPr>
        <w:ind w:firstLine="480" w:firstLineChars="200"/>
        <w:rPr>
          <w:rFonts w:eastAsia="宋体" w:cs="Times New Roman"/>
        </w:rPr>
      </w:pPr>
      <m:oMath>
        <m:sSub>
          <m:sSubPr>
            <m:ctrlPr>
              <w:rPr>
                <w:rFonts w:ascii="Cambria Math" w:hAnsi="Cambria Math" w:eastAsia="宋体" w:cs="Times New Roman"/>
              </w:rPr>
            </m:ctrlPr>
          </m:sSubPr>
          <m:e>
            <m:r>
              <m:rPr/>
              <w:rPr>
                <w:rFonts w:ascii="Cambria Math" w:hAnsi="Cambria Math" w:eastAsia="宋体" w:cs="Times New Roman"/>
              </w:rPr>
              <m:t>D</m:t>
            </m:r>
            <m:ctrlPr>
              <w:rPr>
                <w:rFonts w:ascii="Cambria Math" w:hAnsi="Cambria Math" w:eastAsia="宋体" w:cs="Times New Roman"/>
              </w:rPr>
            </m:ctrlPr>
          </m:e>
          <m:sub>
            <m:r>
              <m:rPr/>
              <w:rPr>
                <w:rFonts w:ascii="Cambria Math" w:hAnsi="Cambria Math" w:eastAsia="宋体" w:cs="Times New Roman"/>
              </w:rPr>
              <m:t>G</m:t>
            </m:r>
            <m:ctrlPr>
              <w:rPr>
                <w:rFonts w:ascii="Cambria Math" w:hAnsi="Cambria Math" w:eastAsia="宋体" w:cs="Times New Roman"/>
              </w:rPr>
            </m:ctrlPr>
          </m:sub>
        </m:sSub>
      </m:oMath>
      <w:r>
        <w:rPr>
          <w:rFonts w:hint="eastAsia" w:hAnsi="Cambria Math" w:eastAsia="宋体" w:cs="Times New Roman"/>
        </w:rPr>
        <w:t xml:space="preserve"> </w:t>
      </w:r>
      <w:r>
        <w:rPr>
          <w:rFonts w:eastAsia="宋体" w:cs="Times New Roman"/>
        </w:rPr>
        <w:t>——</w:t>
      </w:r>
      <w:r>
        <w:rPr>
          <w:rFonts w:hint="eastAsia" w:eastAsia="宋体" w:cs="Times New Roman"/>
        </w:rPr>
        <w:t xml:space="preserve"> 管段功能性缺陷密度；</w:t>
      </w:r>
    </w:p>
    <w:p w14:paraId="5F2224B1">
      <w:pPr>
        <w:ind w:firstLine="480" w:firstLineChars="200"/>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e</m:t>
            </m:r>
            <m:ctrlPr>
              <w:rPr>
                <w:rFonts w:ascii="Cambria Math" w:hAnsi="Cambria Math" w:eastAsia="宋体" w:cs="Times New Roman"/>
                <w:i/>
              </w:rPr>
            </m:ctrlPr>
          </m:e>
          <m:sub>
            <m:r>
              <m:rPr/>
              <w:rPr>
                <w:rFonts w:ascii="Cambria Math" w:hAnsi="Cambria Math" w:eastAsia="宋体" w:cs="Times New Roman"/>
              </w:rPr>
              <m:t>i</m:t>
            </m:r>
            <m:ctrlPr>
              <w:rPr>
                <w:rFonts w:ascii="Cambria Math" w:hAnsi="Cambria Math" w:eastAsia="宋体" w:cs="Times New Roman"/>
                <w:i/>
              </w:rPr>
            </m:ctrlPr>
          </m:sub>
        </m:sSub>
      </m:oMath>
      <w:r>
        <w:rPr>
          <w:rFonts w:hint="eastAsia" w:hAnsi="Cambria Math" w:eastAsia="宋体" w:cs="Times New Roman"/>
        </w:rPr>
        <w:t xml:space="preserve">  </w:t>
      </w:r>
      <w:r>
        <w:rPr>
          <w:rFonts w:eastAsia="宋体" w:cs="Times New Roman"/>
        </w:rPr>
        <w:t>——</w:t>
      </w:r>
      <w:r>
        <w:rPr>
          <w:rFonts w:hint="eastAsia" w:eastAsia="宋体" w:cs="Times New Roman"/>
        </w:rPr>
        <w:t xml:space="preserve"> </w:t>
      </w:r>
      <w:r>
        <w:rPr>
          <w:rFonts w:eastAsia="宋体" w:cs="Times New Roman"/>
        </w:rPr>
        <w:t>第</w:t>
      </w:r>
      <w:r>
        <w:rPr>
          <w:rFonts w:hint="eastAsia" w:eastAsia="宋体" w:cs="Times New Roman"/>
          <w:i/>
          <w:iCs/>
        </w:rPr>
        <w:t>i</w:t>
      </w:r>
      <w:r>
        <w:rPr>
          <w:rFonts w:eastAsia="宋体" w:cs="Times New Roman"/>
        </w:rPr>
        <w:t>项失效后果风险评估权重；</w:t>
      </w:r>
    </w:p>
    <w:p w14:paraId="2A90D86B">
      <w:pPr>
        <w:ind w:firstLine="480" w:firstLineChars="200"/>
        <w:rPr>
          <w:rFonts w:eastAsia="宋体" w:cs="Times New Roman"/>
        </w:rPr>
      </w:pPr>
      <w:r>
        <w:rPr>
          <w:rFonts w:eastAsia="宋体" w:cs="Times New Roman"/>
          <w:i/>
          <w:iCs/>
        </w:rPr>
        <w:t>E</w:t>
      </w:r>
      <w:r>
        <w:rPr>
          <w:rFonts w:eastAsia="宋体" w:cs="Times New Roman"/>
          <w:i/>
          <w:iCs/>
          <w:vertAlign w:val="subscript"/>
        </w:rPr>
        <w:t>i</w:t>
      </w:r>
      <w:r>
        <w:rPr>
          <w:rFonts w:hint="eastAsia" w:eastAsia="宋体" w:cs="Times New Roman"/>
          <w:vertAlign w:val="subscript"/>
        </w:rPr>
        <w:t xml:space="preserve">  </w:t>
      </w:r>
      <w:r>
        <w:rPr>
          <w:rFonts w:eastAsia="宋体" w:cs="Times New Roman"/>
        </w:rPr>
        <w:t>—— 第</w:t>
      </w:r>
      <w:r>
        <w:rPr>
          <w:rFonts w:eastAsia="宋体" w:cs="Times New Roman"/>
          <w:i/>
          <w:iCs/>
        </w:rPr>
        <w:t>i</w:t>
      </w:r>
      <w:r>
        <w:rPr>
          <w:rFonts w:eastAsia="宋体" w:cs="Times New Roman"/>
        </w:rPr>
        <w:t>个缺陷的缺陷长度</w:t>
      </w:r>
      <w:r>
        <w:rPr>
          <w:rFonts w:hint="eastAsia" w:eastAsia="宋体" w:cs="Times New Roman"/>
        </w:rPr>
        <w:t>影响</w:t>
      </w:r>
      <w:r>
        <w:rPr>
          <w:rFonts w:eastAsia="宋体" w:cs="Times New Roman"/>
        </w:rPr>
        <w:t>系数</w:t>
      </w:r>
      <w:r>
        <w:rPr>
          <w:rFonts w:hint="eastAsia" w:eastAsia="宋体" w:cs="Times New Roman"/>
        </w:rPr>
        <w:t>；</w:t>
      </w:r>
    </w:p>
    <w:p w14:paraId="4466F5D0">
      <w:pPr>
        <w:ind w:firstLine="480" w:firstLineChars="200"/>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E</m:t>
            </m:r>
            <m:ctrlPr>
              <w:rPr>
                <w:rFonts w:ascii="Cambria Math" w:hAnsi="Cambria Math" w:eastAsia="宋体" w:cs="Times New Roman"/>
                <w:i/>
              </w:rPr>
            </m:ctrlPr>
          </m:e>
          <m:sub>
            <m:r>
              <m:rPr/>
              <w:rPr>
                <w:rFonts w:ascii="Cambria Math" w:hAnsi="Cambria Math" w:eastAsia="宋体" w:cs="Times New Roman"/>
              </w:rPr>
              <m:t>j</m:t>
            </m:r>
            <m:ctrlPr>
              <w:rPr>
                <w:rFonts w:ascii="Cambria Math" w:hAnsi="Cambria Math" w:eastAsia="宋体" w:cs="Times New Roman"/>
                <w:i/>
              </w:rPr>
            </m:ctrlPr>
          </m:sub>
        </m:sSub>
      </m:oMath>
      <w:r>
        <w:rPr>
          <w:rFonts w:hint="eastAsia" w:hAnsi="Cambria Math" w:eastAsia="宋体" w:cs="Times New Roman"/>
        </w:rPr>
        <w:t xml:space="preserve"> </w:t>
      </w:r>
      <w:r>
        <w:rPr>
          <w:rFonts w:eastAsia="宋体" w:cs="Times New Roman"/>
        </w:rPr>
        <w:t xml:space="preserve">—— </w:t>
      </w:r>
      <w:r>
        <w:rPr>
          <w:rFonts w:hint="eastAsia" w:eastAsia="宋体" w:cs="Times New Roman"/>
        </w:rPr>
        <w:t>第</w:t>
      </w:r>
      <w:r>
        <w:rPr>
          <w:rFonts w:hint="eastAsia" w:eastAsia="宋体" w:cs="Times New Roman"/>
          <w:i/>
          <w:iCs/>
        </w:rPr>
        <w:t>j</w:t>
      </w:r>
      <w:r>
        <w:rPr>
          <w:rFonts w:hint="eastAsia" w:eastAsia="宋体" w:cs="Times New Roman"/>
        </w:rPr>
        <w:t>个缺陷的缺陷长度影响系数；</w:t>
      </w:r>
    </w:p>
    <w:p w14:paraId="17F9A608">
      <w:pPr>
        <w:ind w:firstLine="480" w:firstLineChars="200"/>
        <w:jc w:val="left"/>
        <w:rPr>
          <w:rFonts w:eastAsia="宋体" w:cs="Times New Roman"/>
          <w:kern w:val="0"/>
          <w:szCs w:val="21"/>
        </w:rPr>
      </w:pPr>
      <w:r>
        <w:rPr>
          <w:rFonts w:eastAsia="宋体" w:cs="Times New Roman"/>
          <w:i/>
          <w:iCs/>
          <w:kern w:val="0"/>
          <w:szCs w:val="21"/>
        </w:rPr>
        <w:t>F</w:t>
      </w:r>
      <w:r>
        <w:rPr>
          <w:rFonts w:hint="eastAsia" w:ascii="宋体" w:hAnsi="宋体"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管段结构性缺陷参数；</w:t>
      </w:r>
    </w:p>
    <w:p w14:paraId="791E5843">
      <w:pPr>
        <w:ind w:firstLine="480" w:firstLineChars="200"/>
        <w:jc w:val="left"/>
        <w:rPr>
          <w:rFonts w:eastAsia="宋体" w:cs="Times New Roman"/>
          <w:i/>
          <w:iCs/>
          <w:kern w:val="0"/>
          <w:szCs w:val="21"/>
        </w:rPr>
      </w:pPr>
      <w:r>
        <w:rPr>
          <w:rFonts w:eastAsia="宋体" w:cs="Times New Roman"/>
          <w:i/>
          <w:iCs/>
          <w:kern w:val="0"/>
          <w:szCs w:val="21"/>
        </w:rPr>
        <w:t>G</w:t>
      </w:r>
      <w:r>
        <w:rPr>
          <w:rFonts w:ascii="宋体" w:hAnsi="宋体" w:eastAsia="宋体" w:cs="Times New Roman"/>
          <w:kern w:val="0"/>
          <w:szCs w:val="21"/>
        </w:rPr>
        <w:t xml:space="preserve"> </w:t>
      </w:r>
      <w:r>
        <w:rPr>
          <w:rFonts w:hint="eastAsia" w:ascii="宋体" w:hAnsi="宋体"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管段功能性缺陷参数；</w:t>
      </w:r>
    </w:p>
    <w:p w14:paraId="4B64CE53">
      <w:pPr>
        <w:ind w:firstLine="480" w:firstLineChars="200"/>
        <w:rPr>
          <w:rFonts w:eastAsia="宋体" w:cs="Times New Roman"/>
        </w:rPr>
      </w:pPr>
      <w:r>
        <w:rPr>
          <w:rFonts w:eastAsia="宋体" w:cs="Times New Roman"/>
          <w:i/>
          <w:iCs/>
        </w:rPr>
        <w:t>L</w:t>
      </w:r>
      <w:r>
        <w:rPr>
          <w:rFonts w:hint="eastAsia" w:eastAsia="宋体" w:cs="Times New Roman"/>
          <w:i/>
          <w:iCs/>
        </w:rPr>
        <w:t xml:space="preserve"> </w:t>
      </w:r>
      <w:r>
        <w:rPr>
          <w:rFonts w:eastAsia="宋体" w:cs="Times New Roman"/>
        </w:rPr>
        <w:t xml:space="preserve"> ——</w:t>
      </w:r>
      <w:r>
        <w:rPr>
          <w:rFonts w:hint="eastAsia" w:eastAsia="宋体" w:cs="Times New Roman"/>
        </w:rPr>
        <w:t xml:space="preserve"> </w:t>
      </w:r>
      <w:r>
        <w:rPr>
          <w:rFonts w:eastAsia="宋体" w:cs="Times New Roman"/>
        </w:rPr>
        <w:t>被评估管道总长度</w:t>
      </w:r>
      <w:r>
        <w:rPr>
          <w:rFonts w:hint="eastAsia" w:eastAsia="宋体" w:cs="Times New Roman"/>
        </w:rPr>
        <w:t>；</w:t>
      </w:r>
    </w:p>
    <w:p w14:paraId="01A810BE">
      <w:pPr>
        <w:ind w:firstLine="480" w:firstLineChars="200"/>
        <w:jc w:val="left"/>
        <w:rPr>
          <w:rFonts w:eastAsia="宋体" w:cs="Times New Roman"/>
        </w:rPr>
      </w:pPr>
      <w:r>
        <w:rPr>
          <w:rFonts w:eastAsia="宋体" w:cs="Times New Roman"/>
          <w:i/>
          <w:iCs/>
        </w:rPr>
        <w:t>L</w:t>
      </w:r>
      <w:r>
        <w:rPr>
          <w:rFonts w:eastAsia="宋体" w:cs="Times New Roman"/>
          <w:i/>
          <w:iCs/>
          <w:vertAlign w:val="subscript"/>
        </w:rPr>
        <w:t>i</w:t>
      </w:r>
      <w:r>
        <w:rPr>
          <w:rFonts w:eastAsia="宋体" w:cs="Times New Roman"/>
          <w:vertAlign w:val="subscript"/>
        </w:rPr>
        <w:t xml:space="preserve"> </w:t>
      </w:r>
      <w:r>
        <w:rPr>
          <w:rFonts w:hint="eastAsia" w:eastAsia="宋体" w:cs="Times New Roman"/>
          <w:vertAlign w:val="subscript"/>
        </w:rPr>
        <w:t xml:space="preserve"> </w:t>
      </w:r>
      <w:r>
        <w:rPr>
          <w:rFonts w:eastAsia="宋体" w:cs="Times New Roman"/>
        </w:rPr>
        <w:t>——</w:t>
      </w:r>
      <w:r>
        <w:rPr>
          <w:rFonts w:hint="eastAsia" w:eastAsia="宋体" w:cs="Times New Roman"/>
        </w:rPr>
        <w:t xml:space="preserve"> </w:t>
      </w:r>
      <w:r>
        <w:rPr>
          <w:rFonts w:eastAsia="宋体" w:cs="Times New Roman"/>
        </w:rPr>
        <w:t>第</w:t>
      </w:r>
      <w:r>
        <w:rPr>
          <w:rFonts w:eastAsia="宋体" w:cs="Times New Roman"/>
          <w:i/>
          <w:iCs/>
        </w:rPr>
        <w:t>i</w:t>
      </w:r>
      <w:r>
        <w:rPr>
          <w:rFonts w:eastAsia="宋体" w:cs="Times New Roman"/>
        </w:rPr>
        <w:t>个缺陷的纵向距离长度</w:t>
      </w:r>
      <w:r>
        <w:rPr>
          <w:rFonts w:hint="eastAsia" w:eastAsia="宋体" w:cs="Times New Roman"/>
        </w:rPr>
        <w:t>；</w:t>
      </w:r>
    </w:p>
    <w:p w14:paraId="291A53EA">
      <w:pPr>
        <w:ind w:firstLine="480" w:firstLineChars="200"/>
        <w:jc w:val="left"/>
        <w:rPr>
          <w:rFonts w:eastAsia="宋体" w:cs="Times New Roman"/>
        </w:rPr>
      </w:pPr>
      <w:r>
        <w:rPr>
          <w:rFonts w:eastAsia="宋体" w:cs="Times New Roman"/>
          <w:i/>
          <w:iCs/>
        </w:rPr>
        <w:t>L</w:t>
      </w:r>
      <w:r>
        <w:rPr>
          <w:rFonts w:hint="eastAsia" w:eastAsia="宋体" w:cs="Times New Roman"/>
          <w:i/>
          <w:iCs/>
          <w:vertAlign w:val="subscript"/>
        </w:rPr>
        <w:t>j</w:t>
      </w:r>
      <w:r>
        <w:rPr>
          <w:rFonts w:eastAsia="宋体" w:cs="Times New Roman"/>
          <w:vertAlign w:val="subscript"/>
        </w:rPr>
        <w:t xml:space="preserve"> </w:t>
      </w:r>
      <w:r>
        <w:rPr>
          <w:rFonts w:hint="eastAsia" w:eastAsia="宋体" w:cs="Times New Roman"/>
          <w:vertAlign w:val="subscript"/>
        </w:rPr>
        <w:t xml:space="preserve"> </w:t>
      </w:r>
      <w:r>
        <w:rPr>
          <w:rFonts w:eastAsia="宋体" w:cs="Times New Roman"/>
        </w:rPr>
        <w:t>——</w:t>
      </w:r>
      <w:r>
        <w:rPr>
          <w:rFonts w:hint="eastAsia" w:eastAsia="宋体" w:cs="Times New Roman"/>
        </w:rPr>
        <w:t xml:space="preserve"> </w:t>
      </w:r>
      <w:r>
        <w:rPr>
          <w:rFonts w:eastAsia="宋体" w:cs="Times New Roman"/>
        </w:rPr>
        <w:t>第</w:t>
      </w:r>
      <w:r>
        <w:rPr>
          <w:rFonts w:hint="eastAsia" w:eastAsia="宋体" w:cs="Times New Roman"/>
          <w:i/>
          <w:iCs/>
        </w:rPr>
        <w:t>j</w:t>
      </w:r>
      <w:r>
        <w:rPr>
          <w:rFonts w:eastAsia="宋体" w:cs="Times New Roman"/>
        </w:rPr>
        <w:t>个缺陷的纵向距离长度</w:t>
      </w:r>
      <w:r>
        <w:rPr>
          <w:rFonts w:hint="eastAsia" w:eastAsia="宋体" w:cs="Times New Roman"/>
        </w:rPr>
        <w:t>；</w:t>
      </w:r>
    </w:p>
    <w:p w14:paraId="67FD7501">
      <w:pPr>
        <w:ind w:firstLine="480" w:firstLineChars="200"/>
        <w:jc w:val="left"/>
        <w:rPr>
          <w:rFonts w:cs="Times New Roman"/>
        </w:rPr>
      </w:pPr>
      <w:r>
        <w:rPr>
          <w:rFonts w:cs="Times New Roman"/>
          <w:i/>
          <w:iCs/>
        </w:rPr>
        <w:t>m</w:t>
      </w:r>
      <w:r>
        <w:rPr>
          <w:rFonts w:hint="eastAsia" w:cs="Times New Roman"/>
          <w:i/>
          <w:iCs/>
        </w:rPr>
        <w:t xml:space="preserve"> </w:t>
      </w:r>
      <w:r>
        <w:rPr>
          <w:rFonts w:cs="Times New Roman"/>
        </w:rPr>
        <w:t>——</w:t>
      </w:r>
      <w:r>
        <w:rPr>
          <w:rFonts w:hint="eastAsia" w:cs="Times New Roman"/>
        </w:rPr>
        <w:t xml:space="preserve"> </w:t>
      </w:r>
      <w:r>
        <w:rPr>
          <w:rFonts w:hint="eastAsia"/>
        </w:rPr>
        <w:t>失效后果评价总数；</w:t>
      </w:r>
    </w:p>
    <w:p w14:paraId="79B84501">
      <w:pPr>
        <w:tabs>
          <w:tab w:val="center" w:pos="4153"/>
        </w:tabs>
        <w:ind w:firstLine="480" w:firstLineChars="200"/>
        <w:rPr>
          <w:rFonts w:eastAsia="宋体" w:cs="Times New Roman"/>
        </w:rPr>
      </w:pPr>
      <w:r>
        <w:rPr>
          <w:rFonts w:eastAsia="宋体" w:cs="Times New Roman"/>
          <w:position w:val="-6"/>
        </w:rPr>
        <w:object>
          <v:shape id="_x0000_i1025" o:spt="75" type="#_x0000_t75" style="height:12.55pt;width:9.5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r>
        <w:rPr>
          <w:rFonts w:hint="eastAsia" w:eastAsia="宋体" w:cs="Times New Roman"/>
          <w:position w:val="-6"/>
        </w:rPr>
        <w:t xml:space="preserve"> </w:t>
      </w:r>
      <w:r>
        <w:rPr>
          <w:rFonts w:eastAsia="宋体" w:cs="Times New Roman"/>
        </w:rPr>
        <w:t>——</w:t>
      </w:r>
      <w:r>
        <w:rPr>
          <w:rFonts w:hint="eastAsia" w:eastAsia="宋体" w:cs="Times New Roman"/>
        </w:rPr>
        <w:t xml:space="preserve"> 管段</w:t>
      </w:r>
      <w:r>
        <w:rPr>
          <w:rFonts w:eastAsia="宋体" w:cs="Times New Roman"/>
        </w:rPr>
        <w:t>缺陷</w:t>
      </w:r>
      <w:r>
        <w:rPr>
          <w:rFonts w:hint="eastAsia" w:eastAsia="宋体" w:cs="Times New Roman"/>
        </w:rPr>
        <w:t>的数量；</w:t>
      </w:r>
    </w:p>
    <w:p w14:paraId="16711862">
      <w:pPr>
        <w:ind w:firstLine="480" w:firstLineChars="200"/>
        <w:rPr>
          <w:rFonts w:cs="Times New Roman"/>
        </w:rPr>
      </w:pPr>
      <w:r>
        <w:rPr>
          <w:rFonts w:cs="Times New Roman"/>
          <w:i/>
          <w:iCs/>
        </w:rPr>
        <w:t>P</w:t>
      </w:r>
      <w:r>
        <w:rPr>
          <w:rFonts w:cs="Times New Roman"/>
          <w:vertAlign w:val="subscript"/>
        </w:rPr>
        <w:t>a</w:t>
      </w:r>
      <w:r>
        <w:rPr>
          <w:rFonts w:cs="Times New Roman"/>
        </w:rPr>
        <w:t xml:space="preserve"> ——</w:t>
      </w:r>
      <w:r>
        <w:rPr>
          <w:rFonts w:hint="eastAsia" w:cs="Times New Roman"/>
        </w:rPr>
        <w:t xml:space="preserve"> 井类</w:t>
      </w:r>
      <w:r>
        <w:rPr>
          <w:rFonts w:cs="Times New Roman"/>
        </w:rPr>
        <w:t>单项</w:t>
      </w:r>
      <w:r>
        <w:rPr>
          <w:rFonts w:hint="eastAsia" w:cs="Times New Roman"/>
        </w:rPr>
        <w:t>检查</w:t>
      </w:r>
      <w:r>
        <w:rPr>
          <w:rFonts w:cs="Times New Roman"/>
        </w:rPr>
        <w:t>得分</w:t>
      </w:r>
      <w:r>
        <w:rPr>
          <w:rFonts w:hint="eastAsia" w:cs="Times New Roman"/>
        </w:rPr>
        <w:t>；</w:t>
      </w:r>
    </w:p>
    <w:p w14:paraId="2F93EABA">
      <w:pPr>
        <w:pStyle w:val="2"/>
        <w:ind w:left="0" w:firstLine="480" w:firstLineChars="200"/>
        <w:rPr>
          <w:rFonts w:ascii="Times New Roman" w:hAnsi="Times New Roman" w:cs="Times New Roman"/>
        </w:rPr>
      </w:pPr>
      <w:r>
        <w:rPr>
          <w:rFonts w:ascii="Times New Roman" w:hAnsi="Times New Roman" w:cs="Times New Roman"/>
          <w:i/>
          <w:iCs/>
        </w:rPr>
        <w:t>P</w:t>
      </w:r>
      <w:r>
        <w:rPr>
          <w:rFonts w:ascii="Times New Roman" w:hAnsi="Times New Roman" w:cs="Times New Roman"/>
          <w:vertAlign w:val="subscript"/>
        </w:rPr>
        <w:t>b</w:t>
      </w:r>
      <w:r>
        <w:rPr>
          <w:rFonts w:hint="eastAsia" w:ascii="Times New Roman" w:hAnsi="Times New Roman" w:cs="Times New Roman"/>
          <w:vertAlign w:val="subscript"/>
        </w:rPr>
        <w:t xml:space="preserve"> </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阀类单项</w:t>
      </w:r>
      <w:r>
        <w:rPr>
          <w:rFonts w:hint="eastAsia" w:ascii="Times New Roman" w:hAnsi="Times New Roman" w:cs="Times New Roman"/>
        </w:rPr>
        <w:t>检查</w:t>
      </w:r>
      <w:r>
        <w:rPr>
          <w:rFonts w:ascii="Times New Roman" w:hAnsi="Times New Roman" w:cs="Times New Roman"/>
        </w:rPr>
        <w:t>得分；</w:t>
      </w:r>
    </w:p>
    <w:p w14:paraId="24F20B65">
      <w:pPr>
        <w:pStyle w:val="2"/>
        <w:ind w:left="0" w:firstLine="480" w:firstLineChars="200"/>
        <w:rPr>
          <w:rFonts w:ascii="Times New Roman" w:hAnsi="Times New Roman" w:cs="Times New Roman"/>
        </w:rPr>
      </w:pPr>
      <w:r>
        <w:rPr>
          <w:rFonts w:ascii="Times New Roman" w:hAnsi="Times New Roman" w:cs="Times New Roman"/>
          <w:i/>
          <w:iCs/>
        </w:rPr>
        <w:t>P</w:t>
      </w:r>
      <w:r>
        <w:rPr>
          <w:rFonts w:ascii="Times New Roman" w:hAnsi="Times New Roman" w:cs="Times New Roman"/>
          <w:vertAlign w:val="subscript"/>
        </w:rPr>
        <w:t>c</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仪器仪表单项</w:t>
      </w:r>
      <w:r>
        <w:rPr>
          <w:rFonts w:hint="eastAsia" w:ascii="Times New Roman" w:hAnsi="Times New Roman" w:cs="Times New Roman"/>
        </w:rPr>
        <w:t>检查</w:t>
      </w:r>
      <w:r>
        <w:rPr>
          <w:rFonts w:ascii="Times New Roman" w:hAnsi="Times New Roman" w:cs="Times New Roman"/>
        </w:rPr>
        <w:t>得分</w:t>
      </w:r>
      <w:r>
        <w:rPr>
          <w:rFonts w:hint="eastAsia" w:ascii="Times New Roman" w:hAnsi="Times New Roman" w:cs="Times New Roman"/>
        </w:rPr>
        <w:t>；</w:t>
      </w:r>
    </w:p>
    <w:p w14:paraId="2FB3CBF4">
      <w:pPr>
        <w:ind w:firstLine="480" w:firstLineChars="200"/>
        <w:rPr>
          <w:rFonts w:eastAsia="宋体" w:cs="Times New Roman"/>
        </w:rPr>
      </w:pPr>
      <w:r>
        <w:rPr>
          <w:rFonts w:hint="eastAsia" w:eastAsia="宋体" w:cs="Times New Roman"/>
          <w:i/>
          <w:iCs/>
        </w:rPr>
        <w:t>P</w:t>
      </w:r>
      <w:r>
        <w:rPr>
          <w:rFonts w:hint="eastAsia" w:eastAsia="宋体" w:cs="Times New Roman"/>
          <w:vertAlign w:val="subscript"/>
        </w:rPr>
        <w:t>f</w:t>
      </w:r>
      <w:r>
        <w:rPr>
          <w:rFonts w:hint="eastAsia" w:eastAsia="宋体" w:cs="Times New Roman"/>
        </w:rPr>
        <w:t xml:space="preserve">  </w:t>
      </w:r>
      <w:r>
        <w:rPr>
          <w:rFonts w:cs="Times New Roman"/>
        </w:rPr>
        <w:t>——</w:t>
      </w:r>
      <w:r>
        <w:rPr>
          <w:rFonts w:hint="eastAsia" w:cs="Times New Roman"/>
        </w:rPr>
        <w:t xml:space="preserve"> </w:t>
      </w:r>
      <w:r>
        <w:rPr>
          <w:rFonts w:hint="eastAsia" w:eastAsia="宋体" w:cs="Times New Roman"/>
        </w:rPr>
        <w:t>附属设施检查评分的总分值；</w:t>
      </w:r>
    </w:p>
    <w:p w14:paraId="6EED6B02">
      <w:pPr>
        <w:ind w:firstLine="480" w:firstLineChars="200"/>
        <w:rPr>
          <w:rFonts w:eastAsia="宋体" w:cs="Times New Roman"/>
        </w:rPr>
      </w:pPr>
      <w:r>
        <w:rPr>
          <w:rFonts w:eastAsia="宋体" w:cs="Times New Roman"/>
          <w:i/>
          <w:iCs/>
        </w:rPr>
        <w:t>P</w:t>
      </w:r>
      <w:r>
        <w:rPr>
          <w:rFonts w:eastAsia="宋体" w:cs="Times New Roman"/>
          <w:i/>
          <w:iCs/>
          <w:vertAlign w:val="subscript"/>
        </w:rPr>
        <w:t>i</w:t>
      </w:r>
      <w:r>
        <w:rPr>
          <w:rFonts w:eastAsia="宋体" w:cs="Times New Roman"/>
          <w:vertAlign w:val="subscript"/>
        </w:rPr>
        <w:t xml:space="preserve"> </w:t>
      </w:r>
      <w:r>
        <w:rPr>
          <w:rFonts w:hint="eastAsia" w:eastAsia="宋体" w:cs="Times New Roman"/>
          <w:vertAlign w:val="subscript"/>
        </w:rPr>
        <w:t xml:space="preserve"> </w:t>
      </w:r>
      <w:r>
        <w:rPr>
          <w:rFonts w:eastAsia="宋体" w:cs="Times New Roman"/>
        </w:rPr>
        <w:t>—— 第</w:t>
      </w:r>
      <w:r>
        <w:rPr>
          <w:rFonts w:eastAsia="宋体" w:cs="Times New Roman"/>
          <w:i/>
          <w:iCs/>
        </w:rPr>
        <w:t>i</w:t>
      </w:r>
      <w:r>
        <w:rPr>
          <w:rFonts w:eastAsia="宋体" w:cs="Times New Roman"/>
        </w:rPr>
        <w:t>个缺陷的缺陷分值</w:t>
      </w:r>
      <w:r>
        <w:rPr>
          <w:rFonts w:hint="eastAsia" w:eastAsia="宋体" w:cs="Times New Roman"/>
        </w:rPr>
        <w:t>；</w:t>
      </w:r>
    </w:p>
    <w:p w14:paraId="586B84A1">
      <w:pPr>
        <w:ind w:firstLine="480" w:firstLineChars="200"/>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P</m:t>
            </m:r>
            <m:ctrlPr>
              <w:rPr>
                <w:rFonts w:ascii="Cambria Math" w:hAnsi="Cambria Math" w:eastAsia="宋体" w:cs="Times New Roman"/>
                <w:i/>
              </w:rPr>
            </m:ctrlPr>
          </m:e>
          <m:sub>
            <m:r>
              <m:rPr/>
              <w:rPr>
                <w:rFonts w:ascii="Cambria Math" w:hAnsi="Cambria Math" w:eastAsia="宋体" w:cs="Times New Roman"/>
              </w:rPr>
              <m:t>j</m:t>
            </m:r>
            <m:ctrlPr>
              <w:rPr>
                <w:rFonts w:ascii="Cambria Math" w:hAnsi="Cambria Math" w:eastAsia="宋体" w:cs="Times New Roman"/>
                <w:i/>
              </w:rPr>
            </m:ctrlPr>
          </m:sub>
        </m:sSub>
      </m:oMath>
      <w:r>
        <w:rPr>
          <w:rFonts w:hint="eastAsia" w:hAnsi="Cambria Math" w:eastAsia="宋体" w:cs="Times New Roman"/>
        </w:rPr>
        <w:t xml:space="preserve"> </w:t>
      </w:r>
      <w:r>
        <w:rPr>
          <w:rFonts w:eastAsia="宋体" w:cs="Times New Roman"/>
        </w:rPr>
        <w:t xml:space="preserve">—— </w:t>
      </w:r>
      <w:r>
        <w:rPr>
          <w:rFonts w:hint="eastAsia" w:eastAsia="宋体" w:cs="Times New Roman"/>
        </w:rPr>
        <w:t>第</w:t>
      </w:r>
      <w:r>
        <w:rPr>
          <w:rFonts w:hint="eastAsia" w:eastAsia="宋体" w:cs="Times New Roman"/>
          <w:i/>
          <w:iCs/>
        </w:rPr>
        <w:t>j</w:t>
      </w:r>
      <w:r>
        <w:rPr>
          <w:rFonts w:hint="eastAsia" w:eastAsia="宋体" w:cs="Times New Roman"/>
        </w:rPr>
        <w:t>个缺陷的缺陷分值；</w:t>
      </w:r>
    </w:p>
    <w:p w14:paraId="304295EA">
      <w:pPr>
        <w:ind w:firstLine="480" w:firstLineChars="200"/>
      </w:pPr>
      <w:r>
        <w:rPr>
          <w:rFonts w:cs="Times New Roman"/>
          <w:i/>
          <w:iCs/>
        </w:rPr>
        <w:t>P</w:t>
      </w:r>
      <w:r>
        <w:rPr>
          <w:rFonts w:cs="Times New Roman"/>
          <w:vertAlign w:val="subscript"/>
        </w:rPr>
        <w:t>t</w:t>
      </w:r>
      <w:r>
        <w:rPr>
          <w:rFonts w:hint="eastAsia" w:cs="Times New Roman"/>
        </w:rPr>
        <w:t xml:space="preserve">  </w:t>
      </w:r>
      <w:r>
        <w:rPr>
          <w:rFonts w:cs="Times New Roman"/>
        </w:rPr>
        <w:t>——</w:t>
      </w:r>
      <w:r>
        <w:rPr>
          <w:rFonts w:hint="eastAsia" w:cs="Times New Roman"/>
        </w:rPr>
        <w:t xml:space="preserve"> </w:t>
      </w:r>
      <w:r>
        <w:rPr>
          <w:rFonts w:cs="Times New Roman"/>
        </w:rPr>
        <w:t>附属设施检查评分的总分值</w:t>
      </w:r>
      <w:r>
        <w:rPr>
          <w:rFonts w:hint="eastAsia"/>
        </w:rPr>
        <w:t>；</w:t>
      </w:r>
    </w:p>
    <w:p w14:paraId="4B91BC60">
      <w:pPr>
        <w:ind w:firstLine="480" w:firstLineChars="200"/>
        <w:jc w:val="left"/>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q</m:t>
            </m:r>
            <m:ctrlPr>
              <w:rPr>
                <w:rFonts w:ascii="Cambria Math" w:hAnsi="Cambria Math" w:eastAsia="宋体" w:cs="Times New Roman"/>
                <w:i/>
              </w:rPr>
            </m:ctrlPr>
          </m:e>
          <m:sub>
            <m:r>
              <m:rPr/>
              <w:rPr>
                <w:rFonts w:ascii="Cambria Math" w:hAnsi="Cambria Math" w:eastAsia="宋体" w:cs="Times New Roman"/>
              </w:rPr>
              <m:t>i</m:t>
            </m:r>
            <m:ctrlPr>
              <w:rPr>
                <w:rFonts w:ascii="Cambria Math" w:hAnsi="Cambria Math" w:eastAsia="宋体" w:cs="Times New Roman"/>
                <w:i/>
              </w:rPr>
            </m:ctrlPr>
          </m:sub>
        </m:sSub>
      </m:oMath>
      <w:r>
        <w:rPr>
          <w:rFonts w:hint="eastAsia" w:hAnsi="Cambria Math" w:eastAsia="宋体" w:cs="Times New Roman"/>
        </w:rPr>
        <w:t xml:space="preserve">  </w:t>
      </w:r>
      <w:r>
        <w:rPr>
          <w:rFonts w:eastAsia="宋体" w:cs="Times New Roman"/>
        </w:rPr>
        <w:t>——</w:t>
      </w:r>
      <w:r>
        <w:rPr>
          <w:rFonts w:hint="eastAsia" w:eastAsia="宋体" w:cs="Times New Roman"/>
        </w:rPr>
        <w:t xml:space="preserve"> </w:t>
      </w:r>
      <w:r>
        <w:rPr>
          <w:rFonts w:eastAsia="宋体" w:cs="Times New Roman"/>
        </w:rPr>
        <w:t>第</w:t>
      </w:r>
      <w:r>
        <w:rPr>
          <w:rFonts w:hint="eastAsia" w:eastAsia="宋体" w:cs="Times New Roman"/>
          <w:i/>
          <w:iCs/>
          <w:lang w:val="en-US" w:eastAsia="zh-CN"/>
        </w:rPr>
        <w:t>i</w:t>
      </w:r>
      <w:r>
        <w:rPr>
          <w:rFonts w:eastAsia="宋体" w:cs="Times New Roman"/>
        </w:rPr>
        <w:t>项失效后果风险评估评分系数；</w:t>
      </w:r>
    </w:p>
    <w:p w14:paraId="42DADF85">
      <w:pPr>
        <w:pStyle w:val="2"/>
        <w:ind w:left="0" w:firstLine="480" w:firstLineChars="200"/>
        <w:rPr>
          <w:rFonts w:hint="eastAsia" w:eastAsia="宋体"/>
          <w:lang w:eastAsia="zh-CN"/>
        </w:rPr>
      </w:pPr>
      <m:oMath>
        <m:r>
          <m:rPr/>
          <w:rPr>
            <w:rFonts w:ascii="Cambria Math" w:hAnsi="Cambria Math" w:cs="Times New Roman"/>
          </w:rPr>
          <m:t>R</m:t>
        </m:r>
      </m:oMath>
      <w:r>
        <w:rPr>
          <w:rFonts w:hint="eastAsia" w:hAnsi="Cambria Math" w:cs="Times New Roman"/>
        </w:rPr>
        <w:t xml:space="preserve">  </w:t>
      </w:r>
      <w:r>
        <w:rPr>
          <w:rFonts w:ascii="Times New Roman" w:hAnsi="Times New Roman" w:cs="Times New Roman"/>
        </w:rPr>
        <w:t>——</w:t>
      </w:r>
      <w:r>
        <w:rPr>
          <w:rFonts w:hint="eastAsia" w:cs="Times New Roman"/>
        </w:rPr>
        <w:t xml:space="preserve"> </w:t>
      </w:r>
      <w:r>
        <w:rPr>
          <w:rFonts w:hint="eastAsia"/>
        </w:rPr>
        <w:t>管段失效后果风险评估分值</w:t>
      </w:r>
      <w:r>
        <w:rPr>
          <w:rFonts w:hint="eastAsia"/>
          <w:lang w:eastAsia="zh-CN"/>
        </w:rPr>
        <w:t>；</w:t>
      </w:r>
    </w:p>
    <w:p w14:paraId="16FC4A03">
      <w:pPr>
        <w:ind w:firstLine="480" w:firstLineChars="200"/>
        <w:jc w:val="left"/>
        <w:rPr>
          <w:rFonts w:eastAsia="宋体" w:cs="Times New Roman"/>
          <w:kern w:val="0"/>
          <w:szCs w:val="21"/>
        </w:rPr>
      </w:pPr>
      <m:oMath>
        <m:r>
          <m:rPr/>
          <w:rPr>
            <w:rFonts w:ascii="Cambria Math" w:hAnsi="Cambria Math" w:cs="Times New Roman"/>
          </w:rPr>
          <m:t>S</m:t>
        </m:r>
      </m:oMath>
      <w:r>
        <w:rPr>
          <w:rFonts w:hint="eastAsia" w:eastAsia="宋体" w:cs="Times New Roman"/>
          <w:kern w:val="0"/>
          <w:szCs w:val="21"/>
        </w:rPr>
        <w:t xml:space="preserve">   </w:t>
      </w:r>
      <w:r>
        <w:rPr>
          <w:rFonts w:eastAsia="宋体" w:cs="Times New Roman"/>
          <w:kern w:val="0"/>
          <w:szCs w:val="21"/>
        </w:rPr>
        <w:t>——</w:t>
      </w:r>
      <w:r>
        <w:rPr>
          <w:rFonts w:hint="eastAsia" w:eastAsia="宋体" w:cs="Times New Roman"/>
          <w:kern w:val="0"/>
          <w:szCs w:val="21"/>
        </w:rPr>
        <w:t xml:space="preserve"> 管段结构性缺陷中按缺陷点数计算的平均值；</w:t>
      </w:r>
    </w:p>
    <w:p w14:paraId="1B3A95CD">
      <w:pPr>
        <w:ind w:firstLine="480" w:firstLineChars="200"/>
        <w:jc w:val="left"/>
        <w:rPr>
          <w:rFonts w:eastAsia="宋体" w:cs="Times New Roman"/>
          <w:kern w:val="0"/>
          <w:szCs w:val="21"/>
        </w:rPr>
      </w:pPr>
      <m:oMath>
        <m:sSub>
          <m:sSubPr>
            <m:ctrlPr>
              <w:rPr>
                <w:rFonts w:ascii="Cambria Math" w:hAnsi="Cambria Math" w:cs="Times New Roman"/>
                <w:i/>
              </w:rPr>
            </m:ctrlPr>
          </m:sSubPr>
          <m:e>
            <m:r>
              <m:rPr/>
              <w:rPr>
                <w:rFonts w:ascii="Cambria Math" w:hAnsi="Cambria Math" w:cs="Times New Roman"/>
              </w:rPr>
              <m:t>S</m:t>
            </m:r>
            <m:ctrlPr>
              <w:rPr>
                <w:rFonts w:ascii="Cambria Math" w:hAnsi="Cambria Math" w:cs="Times New Roman"/>
                <w:i/>
              </w:rPr>
            </m:ctrlPr>
          </m:e>
          <m:sub>
            <m:r>
              <m:rPr/>
              <w:rPr>
                <w:rFonts w:hint="eastAsia" w:ascii="Cambria Math" w:hAnsi="Cambria Math" w:cs="Times New Roman"/>
              </w:rPr>
              <m:t>max</m:t>
            </m:r>
            <m:ctrlPr>
              <w:rPr>
                <w:rFonts w:ascii="Cambria Math" w:hAnsi="Cambria Math" w:cs="Times New Roman"/>
                <w:i/>
              </w:rPr>
            </m:ctrlPr>
          </m:sub>
        </m:sSub>
      </m:oMath>
      <w:r>
        <w:rPr>
          <w:rFonts w:hint="eastAsia"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管段结构性缺陷中损坏最严重处的分值；</w:t>
      </w:r>
    </w:p>
    <w:p w14:paraId="14AF8690">
      <w:pPr>
        <w:ind w:firstLine="480" w:firstLineChars="200"/>
      </w:pPr>
      <w:r>
        <w:rPr>
          <w:rFonts w:cs="Times New Roman"/>
          <w:i/>
          <w:iCs/>
        </w:rPr>
        <w:t xml:space="preserve">t </w:t>
      </w:r>
      <w:r>
        <w:rPr>
          <w:rFonts w:hint="eastAsia" w:cs="Times New Roman"/>
          <w:i/>
          <w:iCs/>
        </w:rPr>
        <w:t xml:space="preserve"> </w:t>
      </w:r>
      <w:r>
        <w:rPr>
          <w:rFonts w:cs="Times New Roman"/>
        </w:rPr>
        <w:t>——</w:t>
      </w:r>
      <w:r>
        <w:rPr>
          <w:rFonts w:hint="eastAsia" w:cs="Times New Roman"/>
        </w:rPr>
        <w:t xml:space="preserve"> </w:t>
      </w:r>
      <w:r>
        <w:rPr>
          <w:rFonts w:cs="Times New Roman"/>
        </w:rPr>
        <w:t>管道公称壁厚</w:t>
      </w:r>
      <w:r>
        <w:rPr>
          <w:rFonts w:hint="eastAsia" w:cs="Times New Roman"/>
        </w:rPr>
        <w:t>；</w:t>
      </w:r>
    </w:p>
    <w:p w14:paraId="6B3140FC">
      <w:pPr>
        <w:ind w:firstLine="480" w:firstLineChars="200"/>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T</m:t>
            </m:r>
            <m:ctrlPr>
              <w:rPr>
                <w:rFonts w:ascii="Cambria Math" w:hAnsi="Cambria Math" w:eastAsia="宋体" w:cs="Times New Roman"/>
                <w:i/>
              </w:rPr>
            </m:ctrlPr>
          </m:e>
          <m:sub>
            <m:r>
              <m:rPr/>
              <w:rPr>
                <w:rFonts w:hint="eastAsia" w:ascii="Cambria Math" w:hAnsi="Cambria Math" w:eastAsia="宋体" w:cs="Times New Roman"/>
              </w:rPr>
              <m:t>i</m:t>
            </m:r>
            <m:ctrlPr>
              <w:rPr>
                <w:rFonts w:ascii="Cambria Math" w:hAnsi="Cambria Math" w:eastAsia="宋体" w:cs="Times New Roman"/>
                <w:i/>
              </w:rPr>
            </m:ctrlPr>
          </m:sub>
        </m:sSub>
      </m:oMath>
      <w:r>
        <w:rPr>
          <w:rFonts w:hint="eastAsia" w:hAnsi="Cambria Math" w:eastAsia="宋体" w:cs="Times New Roman"/>
        </w:rPr>
        <w:t xml:space="preserve"> </w:t>
      </w:r>
      <w:r>
        <w:rPr>
          <w:rFonts w:eastAsia="宋体" w:cs="Times New Roman"/>
        </w:rPr>
        <w:t>—— 第</w:t>
      </w:r>
      <w:r>
        <w:rPr>
          <w:rFonts w:eastAsia="宋体" w:cs="Times New Roman"/>
          <w:i/>
          <w:iCs/>
        </w:rPr>
        <w:t>i</w:t>
      </w:r>
      <w:r>
        <w:rPr>
          <w:rFonts w:eastAsia="宋体" w:cs="Times New Roman"/>
        </w:rPr>
        <w:t>个缺陷的</w:t>
      </w:r>
      <w:r>
        <w:rPr>
          <w:rFonts w:hint="eastAsia" w:eastAsia="宋体" w:cs="Times New Roman"/>
        </w:rPr>
        <w:t>压力影响系数；</w:t>
      </w:r>
    </w:p>
    <w:p w14:paraId="37CF5121">
      <w:pPr>
        <w:ind w:firstLine="480" w:firstLineChars="200"/>
        <w:rPr>
          <w:rFonts w:eastAsia="宋体"/>
        </w:rPr>
      </w:pPr>
      <m:oMath>
        <m:sSub>
          <m:sSubPr>
            <m:ctrlPr>
              <w:rPr>
                <w:rFonts w:ascii="Cambria Math" w:hAnsi="Cambria Math" w:eastAsia="宋体" w:cs="Times New Roman"/>
                <w:i/>
              </w:rPr>
            </m:ctrlPr>
          </m:sSubPr>
          <m:e>
            <m:r>
              <m:rPr/>
              <w:rPr>
                <w:rFonts w:ascii="Cambria Math" w:hAnsi="Cambria Math" w:eastAsia="宋体" w:cs="Times New Roman"/>
              </w:rPr>
              <m:t>T</m:t>
            </m:r>
            <m:ctrlPr>
              <w:rPr>
                <w:rFonts w:ascii="Cambria Math" w:hAnsi="Cambria Math" w:eastAsia="宋体" w:cs="Times New Roman"/>
                <w:i/>
              </w:rPr>
            </m:ctrlPr>
          </m:e>
          <m:sub>
            <m:r>
              <m:rPr/>
              <w:rPr>
                <w:rFonts w:ascii="Cambria Math" w:hAnsi="Cambria Math" w:eastAsia="宋体" w:cs="Times New Roman"/>
              </w:rPr>
              <m:t>j</m:t>
            </m:r>
            <m:ctrlPr>
              <w:rPr>
                <w:rFonts w:ascii="Cambria Math" w:hAnsi="Cambria Math" w:eastAsia="宋体" w:cs="Times New Roman"/>
                <w:i/>
              </w:rPr>
            </m:ctrlPr>
          </m:sub>
        </m:sSub>
      </m:oMath>
      <w:r>
        <w:rPr>
          <w:rFonts w:hint="eastAsia" w:hAnsi="Cambria Math" w:eastAsia="宋体" w:cs="Times New Roman"/>
        </w:rPr>
        <w:t xml:space="preserve"> </w:t>
      </w:r>
      <w:r>
        <w:rPr>
          <w:rFonts w:eastAsia="宋体" w:cs="Times New Roman"/>
        </w:rPr>
        <w:t>—— 第</w:t>
      </w:r>
      <w:r>
        <w:rPr>
          <w:rFonts w:hint="eastAsia" w:eastAsia="宋体" w:cs="Times New Roman"/>
          <w:i/>
          <w:iCs/>
        </w:rPr>
        <w:t>j</w:t>
      </w:r>
      <w:r>
        <w:rPr>
          <w:rFonts w:eastAsia="宋体" w:cs="Times New Roman"/>
        </w:rPr>
        <w:t>个缺陷的</w:t>
      </w:r>
      <w:r>
        <w:rPr>
          <w:rFonts w:hint="eastAsia" w:eastAsia="宋体" w:cs="Times New Roman"/>
        </w:rPr>
        <w:t>压力影响系数</w:t>
      </w:r>
      <w:r>
        <w:rPr>
          <w:rFonts w:hint="eastAsia" w:cs="Times New Roman"/>
        </w:rPr>
        <w:t>；</w:t>
      </w:r>
    </w:p>
    <w:p w14:paraId="103F20EE">
      <w:pPr>
        <w:ind w:firstLine="480" w:firstLineChars="200"/>
        <w:rPr>
          <w:rFonts w:eastAsia="宋体" w:cs="Times New Roman"/>
        </w:rPr>
      </w:pPr>
      <m:oMath>
        <m:r>
          <m:rPr/>
          <w:rPr>
            <w:rFonts w:ascii="Cambria Math" w:hAnsi="Cambria Math" w:cs="Times New Roman"/>
          </w:rPr>
          <m:t>Y</m:t>
        </m:r>
      </m:oMath>
      <w:r>
        <w:rPr>
          <w:rFonts w:eastAsia="宋体" w:cs="Times New Roman"/>
          <w:kern w:val="0"/>
          <w:szCs w:val="21"/>
        </w:rPr>
        <w:t xml:space="preserve"> </w:t>
      </w:r>
      <w:r>
        <w:rPr>
          <w:rFonts w:hint="eastAsia"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管段功能性缺陷中按缺陷点数计算的加权平均值；</w:t>
      </w:r>
    </w:p>
    <w:p w14:paraId="22873B31">
      <w:pPr>
        <w:ind w:firstLine="480" w:firstLineChars="200"/>
        <w:jc w:val="left"/>
        <w:rPr>
          <w:rFonts w:eastAsia="宋体" w:cs="Times New Roman"/>
          <w:kern w:val="0"/>
          <w:szCs w:val="21"/>
        </w:rPr>
      </w:pPr>
      <m:oMath>
        <m:sSub>
          <m:sSubPr>
            <m:ctrlPr>
              <w:rPr>
                <w:rFonts w:ascii="Cambria Math" w:hAnsi="Cambria Math" w:cs="Times New Roman"/>
                <w:i/>
              </w:rPr>
            </m:ctrlPr>
          </m:sSubPr>
          <m:e>
            <m:r>
              <m:rPr/>
              <w:rPr>
                <w:rFonts w:ascii="Cambria Math" w:hAnsi="Cambria Math" w:cs="Times New Roman"/>
              </w:rPr>
              <m:t>Y</m:t>
            </m:r>
            <m:ctrlPr>
              <w:rPr>
                <w:rFonts w:ascii="Cambria Math" w:hAnsi="Cambria Math" w:cs="Times New Roman"/>
                <w:i/>
              </w:rPr>
            </m:ctrlPr>
          </m:e>
          <m:sub>
            <m:r>
              <m:rPr/>
              <w:rPr>
                <w:rFonts w:hint="eastAsia" w:ascii="Cambria Math" w:hAnsi="Cambria Math" w:cs="Times New Roman"/>
              </w:rPr>
              <m:t>max</m:t>
            </m:r>
            <m:ctrlPr>
              <w:rPr>
                <w:rFonts w:ascii="Cambria Math" w:hAnsi="Cambria Math" w:cs="Times New Roman"/>
                <w:i/>
              </w:rPr>
            </m:ctrlPr>
          </m:sub>
        </m:sSub>
      </m:oMath>
      <w:r>
        <w:rPr>
          <w:rFonts w:hint="eastAsia"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管段功能性缺陷中最严重处的分值。</w:t>
      </w:r>
    </w:p>
    <w:p w14:paraId="61E72D1A">
      <w:pPr>
        <w:widowControl/>
        <w:ind w:firstLine="480" w:firstLineChars="200"/>
        <w:rPr>
          <w:rFonts w:eastAsia="宋体" w:cs="Times New Roman"/>
        </w:rPr>
      </w:pPr>
    </w:p>
    <w:p w14:paraId="4ABAE2D8">
      <w:pPr>
        <w:widowControl/>
        <w:ind w:firstLine="480" w:firstLineChars="200"/>
        <w:rPr>
          <w:rFonts w:eastAsia="宋体" w:cs="Times New Roman"/>
        </w:rPr>
      </w:pPr>
    </w:p>
    <w:p w14:paraId="4177F190">
      <w:pPr>
        <w:widowControl/>
        <w:jc w:val="left"/>
        <w:rPr>
          <w:rFonts w:eastAsia="华文宋体"/>
          <w:b/>
          <w:bCs/>
          <w:kern w:val="44"/>
          <w:sz w:val="32"/>
          <w:szCs w:val="44"/>
        </w:rPr>
      </w:pPr>
      <w:r>
        <w:br w:type="page"/>
      </w:r>
    </w:p>
    <w:p w14:paraId="721A9A3E">
      <w:pPr>
        <w:pStyle w:val="4"/>
      </w:pPr>
      <w:bookmarkStart w:id="45" w:name="_Toc1116"/>
      <w:bookmarkStart w:id="46" w:name="_Toc28638"/>
      <w:bookmarkStart w:id="47" w:name="_Toc13886"/>
      <w:bookmarkStart w:id="48" w:name="_Toc29769"/>
      <w:bookmarkStart w:id="49" w:name="_Toc18920"/>
      <w:bookmarkStart w:id="50" w:name="_Toc28511"/>
      <w:bookmarkStart w:id="51" w:name="_Toc30831"/>
      <w:bookmarkStart w:id="52" w:name="_Toc30462"/>
      <w:bookmarkStart w:id="53" w:name="_Toc4384"/>
      <w:bookmarkStart w:id="54" w:name="_Toc181825543"/>
      <w:r>
        <w:rPr>
          <w:rFonts w:hint="eastAsia"/>
        </w:rPr>
        <w:t>3　基本规定</w:t>
      </w:r>
      <w:bookmarkEnd w:id="45"/>
      <w:bookmarkEnd w:id="46"/>
      <w:bookmarkEnd w:id="47"/>
      <w:bookmarkEnd w:id="48"/>
      <w:bookmarkEnd w:id="49"/>
      <w:bookmarkEnd w:id="50"/>
      <w:bookmarkEnd w:id="51"/>
      <w:bookmarkEnd w:id="52"/>
      <w:bookmarkEnd w:id="53"/>
      <w:bookmarkEnd w:id="54"/>
    </w:p>
    <w:p w14:paraId="4D36E7A1">
      <w:r>
        <w:rPr>
          <w:rFonts w:hint="eastAsia"/>
          <w:b/>
          <w:bCs/>
        </w:rPr>
        <w:t>3.0.1　</w:t>
      </w:r>
      <w:r>
        <w:rPr>
          <w:rFonts w:hint="eastAsia"/>
          <w:lang w:eastAsia="zh-CN"/>
        </w:rPr>
        <w:t>城镇</w:t>
      </w:r>
      <w:r>
        <w:rPr>
          <w:rFonts w:hint="eastAsia"/>
        </w:rPr>
        <w:t>给水管道检测应符合下列规定：</w:t>
      </w:r>
    </w:p>
    <w:p w14:paraId="52E0F58F">
      <w:pPr>
        <w:ind w:firstLine="424" w:firstLineChars="176"/>
        <w:jc w:val="left"/>
      </w:pPr>
      <w:r>
        <w:rPr>
          <w:rFonts w:hint="eastAsia"/>
          <w:b/>
          <w:bCs/>
        </w:rPr>
        <w:t>1　</w:t>
      </w:r>
      <w:r>
        <w:rPr>
          <w:rFonts w:hint="eastAsia"/>
        </w:rPr>
        <w:t>应充分利用既有管线和供水状况的信息资料；</w:t>
      </w:r>
    </w:p>
    <w:p w14:paraId="0229FAF9">
      <w:pPr>
        <w:ind w:firstLine="424" w:firstLineChars="176"/>
        <w:jc w:val="left"/>
      </w:pPr>
      <w:r>
        <w:rPr>
          <w:rFonts w:hint="eastAsia"/>
          <w:b/>
          <w:bCs/>
        </w:rPr>
        <w:t>2　</w:t>
      </w:r>
      <w:r>
        <w:rPr>
          <w:rFonts w:hint="eastAsia"/>
        </w:rPr>
        <w:t>检测方法应适用、有效，宜采用无损检测方法；</w:t>
      </w:r>
    </w:p>
    <w:p w14:paraId="43272DB5">
      <w:pPr>
        <w:ind w:firstLine="424" w:firstLineChars="176"/>
        <w:jc w:val="left"/>
      </w:pPr>
      <w:r>
        <w:rPr>
          <w:rFonts w:hint="eastAsia"/>
          <w:b/>
          <w:bCs/>
        </w:rPr>
        <w:t>3　</w:t>
      </w:r>
      <w:r>
        <w:rPr>
          <w:rFonts w:hint="eastAsia"/>
        </w:rPr>
        <w:t>复杂条件下宜采用多种综合检测方法；</w:t>
      </w:r>
    </w:p>
    <w:p w14:paraId="74ACA5B1">
      <w:pPr>
        <w:ind w:firstLine="424" w:firstLineChars="176"/>
        <w:jc w:val="left"/>
      </w:pPr>
      <w:r>
        <w:rPr>
          <w:rFonts w:hint="eastAsia"/>
          <w:b/>
          <w:bCs/>
        </w:rPr>
        <w:t>4　</w:t>
      </w:r>
      <w:r>
        <w:rPr>
          <w:rFonts w:hint="eastAsia"/>
        </w:rPr>
        <w:t>应避免或减少对日常供水、交通等的影响；</w:t>
      </w:r>
    </w:p>
    <w:p w14:paraId="1AED4B70">
      <w:pPr>
        <w:ind w:firstLine="424" w:firstLineChars="176"/>
        <w:jc w:val="left"/>
      </w:pPr>
      <w:r>
        <w:rPr>
          <w:rFonts w:hint="eastAsia"/>
          <w:b/>
          <w:bCs/>
        </w:rPr>
        <w:t>5　</w:t>
      </w:r>
      <w:r>
        <w:rPr>
          <w:rFonts w:hint="eastAsia"/>
        </w:rPr>
        <w:t>极端天气不得进行检测作业；</w:t>
      </w:r>
    </w:p>
    <w:p w14:paraId="662B47C7">
      <w:pPr>
        <w:ind w:firstLine="424" w:firstLineChars="176"/>
        <w:jc w:val="left"/>
      </w:pPr>
      <w:r>
        <w:rPr>
          <w:rFonts w:hint="eastAsia"/>
          <w:b/>
          <w:bCs/>
        </w:rPr>
        <w:t>6　</w:t>
      </w:r>
      <w:r>
        <w:rPr>
          <w:rFonts w:hint="eastAsia"/>
        </w:rPr>
        <w:t>应采取安全保护措施避免对管道内产生污染。</w:t>
      </w:r>
    </w:p>
    <w:p w14:paraId="0DC03237">
      <w:pPr>
        <w:rPr>
          <w:bCs/>
        </w:rPr>
      </w:pPr>
      <w:r>
        <w:rPr>
          <w:b/>
        </w:rPr>
        <w:t>3.0.</w:t>
      </w:r>
      <w:r>
        <w:rPr>
          <w:rFonts w:hint="eastAsia"/>
          <w:b/>
        </w:rPr>
        <w:t>2　</w:t>
      </w:r>
      <w:r>
        <w:rPr>
          <w:rFonts w:hint="eastAsia"/>
          <w:bCs/>
          <w:lang w:eastAsia="zh-CN"/>
        </w:rPr>
        <w:t>城镇</w:t>
      </w:r>
      <w:r>
        <w:rPr>
          <w:rFonts w:hint="eastAsia"/>
          <w:bCs/>
        </w:rPr>
        <w:t>给水管道检测仪器和设备应有产品合格证、有效检定或校准证书。新购置的、经大修后或长期停用重新启用的设备，投入检测前应进行检定或校准，状态正常方可投入使用。</w:t>
      </w:r>
    </w:p>
    <w:p w14:paraId="33F6A24D">
      <w:pPr>
        <w:rPr>
          <w:rFonts w:ascii="仿宋" w:hAnsi="仿宋" w:eastAsia="仿宋"/>
          <w:b/>
          <w:iCs/>
          <w:szCs w:val="24"/>
        </w:rPr>
      </w:pPr>
      <w:r>
        <w:rPr>
          <w:rFonts w:hint="eastAsia"/>
          <w:b/>
          <w:bCs/>
        </w:rPr>
        <w:t>3.0.3　</w:t>
      </w:r>
      <w:r>
        <w:rPr>
          <w:rFonts w:hint="eastAsia"/>
        </w:rPr>
        <w:t>检测前对设备应进行消毒，设备应符合现行国家标准《生活饮用水输配水设备及防护材料的安全性评价标准》GB/T 17219的有关规定。</w:t>
      </w:r>
    </w:p>
    <w:p w14:paraId="2519D54C">
      <w:r>
        <w:rPr>
          <w:rFonts w:cs="Times New Roman"/>
          <w:b/>
        </w:rPr>
        <w:t>3.0.</w:t>
      </w:r>
      <w:r>
        <w:rPr>
          <w:rFonts w:hint="eastAsia" w:cs="Times New Roman"/>
          <w:b/>
        </w:rPr>
        <w:t>4　</w:t>
      </w:r>
      <w:r>
        <w:rPr>
          <w:rFonts w:hint="eastAsia" w:cs="Times New Roman"/>
          <w:lang w:eastAsia="zh-CN"/>
        </w:rPr>
        <w:t>城镇</w:t>
      </w:r>
      <w:r>
        <w:rPr>
          <w:rFonts w:cs="Times New Roman"/>
        </w:rPr>
        <w:t>给水</w:t>
      </w:r>
      <w:r>
        <w:rPr>
          <w:rFonts w:hint="eastAsia"/>
        </w:rPr>
        <w:t>管道检测应包括管道状况检测，附属设施检测。</w:t>
      </w:r>
    </w:p>
    <w:p w14:paraId="74F638F9">
      <w:pPr>
        <w:rPr>
          <w:rFonts w:ascii="宋体" w:hAnsi="宋体" w:eastAsia="宋体" w:cs="宋体"/>
          <w:iCs/>
          <w:szCs w:val="24"/>
        </w:rPr>
      </w:pPr>
      <w:r>
        <w:rPr>
          <w:rFonts w:cs="Times New Roman"/>
          <w:b/>
        </w:rPr>
        <w:t>3.0.</w:t>
      </w:r>
      <w:r>
        <w:rPr>
          <w:rFonts w:hint="eastAsia" w:cs="Times New Roman"/>
          <w:b/>
        </w:rPr>
        <w:t>5　</w:t>
      </w:r>
      <w:r>
        <w:rPr>
          <w:rFonts w:hint="eastAsia"/>
        </w:rPr>
        <w:t>分析管道缺陷原因时</w:t>
      </w:r>
      <w:r>
        <w:rPr>
          <w:rFonts w:hint="eastAsia"/>
          <w:highlight w:val="none"/>
        </w:rPr>
        <w:t>，尚应</w:t>
      </w:r>
      <w:r>
        <w:rPr>
          <w:rFonts w:hint="eastAsia"/>
          <w:highlight w:val="none"/>
          <w:lang w:eastAsia="zh-CN"/>
        </w:rPr>
        <w:t>结合</w:t>
      </w:r>
      <w:r>
        <w:rPr>
          <w:rFonts w:hint="eastAsia"/>
          <w:highlight w:val="none"/>
        </w:rPr>
        <w:t>管</w:t>
      </w:r>
      <w:r>
        <w:rPr>
          <w:rFonts w:hint="eastAsia"/>
        </w:rPr>
        <w:t>道周边土体病害状况</w:t>
      </w:r>
      <w:r>
        <w:rPr>
          <w:rFonts w:hint="eastAsia"/>
          <w:lang w:eastAsia="zh-CN"/>
        </w:rPr>
        <w:t>进行分析</w:t>
      </w:r>
      <w:r>
        <w:rPr>
          <w:rFonts w:hint="eastAsia"/>
        </w:rPr>
        <w:t>。</w:t>
      </w:r>
      <w:r>
        <w:rPr>
          <w:rFonts w:eastAsia="宋体" w:cs="Times New Roman"/>
          <w:iCs/>
          <w:szCs w:val="24"/>
        </w:rPr>
        <w:t>管道周边土体病害检测和评估应符合现行行业标准《城市地下病害体综合探测与风险评估技术标准》J</w:t>
      </w:r>
      <w:r>
        <w:rPr>
          <w:rFonts w:hint="eastAsia" w:eastAsia="宋体" w:cs="Times New Roman"/>
          <w:iCs/>
          <w:szCs w:val="24"/>
        </w:rPr>
        <w:t>G</w:t>
      </w:r>
      <w:r>
        <w:rPr>
          <w:rFonts w:eastAsia="宋体" w:cs="Times New Roman"/>
          <w:iCs/>
          <w:szCs w:val="24"/>
        </w:rPr>
        <w:t>J/T 437的</w:t>
      </w:r>
      <w:r>
        <w:rPr>
          <w:rFonts w:hint="eastAsia" w:eastAsia="宋体" w:cs="Times New Roman"/>
          <w:iCs/>
          <w:szCs w:val="24"/>
        </w:rPr>
        <w:t>有关</w:t>
      </w:r>
      <w:r>
        <w:rPr>
          <w:rFonts w:eastAsia="宋体" w:cs="Times New Roman"/>
          <w:iCs/>
          <w:szCs w:val="24"/>
        </w:rPr>
        <w:t>规定。</w:t>
      </w:r>
    </w:p>
    <w:p w14:paraId="5D9A0D99">
      <w:pPr>
        <w:rPr>
          <w:bCs/>
        </w:rPr>
      </w:pPr>
      <w:r>
        <w:rPr>
          <w:rFonts w:hint="eastAsia"/>
          <w:b/>
        </w:rPr>
        <w:t>3.0.6　</w:t>
      </w:r>
      <w:r>
        <w:rPr>
          <w:rFonts w:hint="eastAsia"/>
          <w:lang w:eastAsia="zh-CN"/>
        </w:rPr>
        <w:t>城镇</w:t>
      </w:r>
      <w:r>
        <w:rPr>
          <w:rFonts w:hint="eastAsia"/>
        </w:rPr>
        <w:t>给水管道检测工作程序应包括检测准备、检测作业、管道评估、成果报告编制</w:t>
      </w:r>
      <w:r>
        <w:rPr>
          <w:rFonts w:hint="eastAsia"/>
          <w:bCs/>
        </w:rPr>
        <w:t>。</w:t>
      </w:r>
    </w:p>
    <w:p w14:paraId="3B14EE73">
      <w:r>
        <w:rPr>
          <w:rFonts w:hint="eastAsia"/>
          <w:b/>
          <w:bCs/>
        </w:rPr>
        <w:t>3.0.7　</w:t>
      </w:r>
      <w:r>
        <w:rPr>
          <w:rFonts w:hint="eastAsia"/>
        </w:rPr>
        <w:t>检测准备应符合下列规定：</w:t>
      </w:r>
    </w:p>
    <w:p w14:paraId="70DD2CCF">
      <w:pPr>
        <w:ind w:firstLine="424" w:firstLineChars="176"/>
        <w:jc w:val="left"/>
      </w:pPr>
      <w:r>
        <w:rPr>
          <w:rFonts w:hint="eastAsia"/>
          <w:b/>
          <w:bCs/>
        </w:rPr>
        <w:t>1　</w:t>
      </w:r>
      <w:r>
        <w:rPr>
          <w:rFonts w:hint="eastAsia"/>
        </w:rPr>
        <w:t>应收集掌握给水管道现状资料并收集检测区域相关地形地貌、供水压力、供水量、供水用户和以往检测成果等资料；</w:t>
      </w:r>
    </w:p>
    <w:p w14:paraId="43FEC565">
      <w:pPr>
        <w:ind w:firstLine="424" w:firstLineChars="176"/>
      </w:pPr>
      <w:r>
        <w:rPr>
          <w:rFonts w:hint="eastAsia"/>
          <w:b/>
          <w:bCs/>
        </w:rPr>
        <w:t>2　</w:t>
      </w:r>
      <w:r>
        <w:rPr>
          <w:rFonts w:hint="eastAsia"/>
        </w:rPr>
        <w:t>给水管道现状调查应实地现场踏勘，核实已有给水管道资料可利用程度，查看管道腐蚀和附属设施破损与漏水记录，给水管道附近地下排水管道中的水流变化及相关工作条件等；</w:t>
      </w:r>
    </w:p>
    <w:p w14:paraId="011DF40C">
      <w:pPr>
        <w:ind w:firstLine="424" w:firstLineChars="176"/>
        <w:jc w:val="left"/>
      </w:pPr>
      <w:r>
        <w:rPr>
          <w:rFonts w:hint="eastAsia"/>
          <w:b/>
          <w:bCs/>
        </w:rPr>
        <w:t>3　</w:t>
      </w:r>
      <w:r>
        <w:rPr>
          <w:rFonts w:hint="eastAsia"/>
        </w:rPr>
        <w:t>检测方法的试验段宜选择有代表性的管段</w:t>
      </w:r>
      <w:r>
        <w:rPr>
          <w:rFonts w:hint="eastAsia"/>
          <w:lang w:eastAsia="zh-CN"/>
        </w:rPr>
        <w:t>并</w:t>
      </w:r>
      <w:r>
        <w:rPr>
          <w:rFonts w:hint="eastAsia"/>
        </w:rPr>
        <w:t>应通过试验效果评价检测仪器设备的适用性和检测方法的有效性。</w:t>
      </w:r>
    </w:p>
    <w:p w14:paraId="4B9FA7B3">
      <w:r>
        <w:rPr>
          <w:rFonts w:hint="eastAsia"/>
          <w:b/>
          <w:bCs/>
        </w:rPr>
        <w:t>3.0.8　</w:t>
      </w:r>
      <w:r>
        <w:rPr>
          <w:rFonts w:hint="eastAsia"/>
        </w:rPr>
        <w:t>检测方案应依据检测方法的试验结论进行编制</w:t>
      </w:r>
      <w:r>
        <w:rPr>
          <w:rFonts w:hint="eastAsia"/>
          <w:lang w:eastAsia="zh-CN"/>
        </w:rPr>
        <w:t>并</w:t>
      </w:r>
      <w:r>
        <w:rPr>
          <w:rFonts w:hint="eastAsia"/>
        </w:rPr>
        <w:t>宜包括下列内容：</w:t>
      </w:r>
    </w:p>
    <w:p w14:paraId="51DC732A">
      <w:pPr>
        <w:tabs>
          <w:tab w:val="left" w:pos="0"/>
        </w:tabs>
        <w:ind w:left="600"/>
      </w:pPr>
      <w:r>
        <w:rPr>
          <w:b/>
          <w:bCs/>
        </w:rPr>
        <w:t>1　</w:t>
      </w:r>
      <w:r>
        <w:rPr>
          <w:rFonts w:hint="eastAsia"/>
        </w:rPr>
        <w:t>检测目的、任务、期限和范围；</w:t>
      </w:r>
    </w:p>
    <w:p w14:paraId="23F50858">
      <w:pPr>
        <w:tabs>
          <w:tab w:val="left" w:pos="0"/>
        </w:tabs>
        <w:ind w:left="600"/>
      </w:pPr>
      <w:r>
        <w:rPr>
          <w:b/>
          <w:bCs/>
        </w:rPr>
        <w:t>2　</w:t>
      </w:r>
      <w:r>
        <w:rPr>
          <w:rFonts w:hint="eastAsia"/>
        </w:rPr>
        <w:t>工作条件和收集资料分析；</w:t>
      </w:r>
    </w:p>
    <w:p w14:paraId="64BCD4A1">
      <w:pPr>
        <w:tabs>
          <w:tab w:val="left" w:pos="0"/>
        </w:tabs>
        <w:ind w:left="600"/>
      </w:pPr>
      <w:r>
        <w:rPr>
          <w:b/>
          <w:bCs/>
        </w:rPr>
        <w:t>3　</w:t>
      </w:r>
      <w:r>
        <w:rPr>
          <w:rFonts w:hint="eastAsia"/>
        </w:rPr>
        <w:t>检测方法选择、试验结论及其有效性分析；</w:t>
      </w:r>
    </w:p>
    <w:p w14:paraId="165C3795">
      <w:pPr>
        <w:tabs>
          <w:tab w:val="left" w:pos="0"/>
        </w:tabs>
        <w:ind w:left="600"/>
      </w:pPr>
      <w:r>
        <w:rPr>
          <w:b/>
          <w:bCs/>
        </w:rPr>
        <w:t>4　</w:t>
      </w:r>
      <w:r>
        <w:rPr>
          <w:rFonts w:hint="eastAsia"/>
        </w:rPr>
        <w:t>工作程序及技术要求；</w:t>
      </w:r>
    </w:p>
    <w:p w14:paraId="72BB8A1C">
      <w:pPr>
        <w:tabs>
          <w:tab w:val="left" w:pos="0"/>
        </w:tabs>
        <w:ind w:left="600"/>
      </w:pPr>
      <w:r>
        <w:rPr>
          <w:b/>
          <w:bCs/>
        </w:rPr>
        <w:t>5　</w:t>
      </w:r>
      <w:r>
        <w:rPr>
          <w:rFonts w:hint="eastAsia"/>
        </w:rPr>
        <w:t>人员组织及仪器设备；</w:t>
      </w:r>
    </w:p>
    <w:p w14:paraId="52E0D05E">
      <w:pPr>
        <w:tabs>
          <w:tab w:val="left" w:pos="0"/>
        </w:tabs>
        <w:ind w:left="600"/>
      </w:pPr>
      <w:r>
        <w:rPr>
          <w:b/>
          <w:bCs/>
        </w:rPr>
        <w:t>6　</w:t>
      </w:r>
      <w:r>
        <w:rPr>
          <w:rFonts w:hint="eastAsia"/>
        </w:rPr>
        <w:t>施工进度计划；</w:t>
      </w:r>
    </w:p>
    <w:p w14:paraId="6FDB2BA4">
      <w:pPr>
        <w:tabs>
          <w:tab w:val="left" w:pos="0"/>
        </w:tabs>
        <w:ind w:left="600"/>
      </w:pPr>
      <w:r>
        <w:rPr>
          <w:b/>
          <w:bCs/>
        </w:rPr>
        <w:t>7　</w:t>
      </w:r>
      <w:r>
        <w:rPr>
          <w:rFonts w:hint="eastAsia"/>
        </w:rPr>
        <w:t>质量与安全保证措施；</w:t>
      </w:r>
    </w:p>
    <w:p w14:paraId="506BC66F">
      <w:pPr>
        <w:tabs>
          <w:tab w:val="left" w:pos="0"/>
        </w:tabs>
        <w:ind w:left="600"/>
      </w:pPr>
      <w:r>
        <w:rPr>
          <w:b/>
          <w:bCs/>
        </w:rPr>
        <w:t>8　</w:t>
      </w:r>
      <w:r>
        <w:rPr>
          <w:rFonts w:hint="eastAsia"/>
        </w:rPr>
        <w:t>交通疏导；</w:t>
      </w:r>
    </w:p>
    <w:p w14:paraId="2D37F157">
      <w:pPr>
        <w:tabs>
          <w:tab w:val="left" w:pos="0"/>
        </w:tabs>
        <w:ind w:left="600"/>
      </w:pPr>
      <w:r>
        <w:rPr>
          <w:b/>
          <w:bCs/>
        </w:rPr>
        <w:t>9　</w:t>
      </w:r>
      <w:r>
        <w:rPr>
          <w:rFonts w:hint="eastAsia"/>
        </w:rPr>
        <w:t>拟提交的成果资料；</w:t>
      </w:r>
    </w:p>
    <w:p w14:paraId="4163C375">
      <w:pPr>
        <w:tabs>
          <w:tab w:val="left" w:pos="0"/>
        </w:tabs>
        <w:ind w:left="600"/>
      </w:pPr>
      <w:r>
        <w:rPr>
          <w:b/>
          <w:bCs/>
        </w:rPr>
        <w:t>10　</w:t>
      </w:r>
      <w:r>
        <w:rPr>
          <w:rFonts w:hint="eastAsia"/>
        </w:rPr>
        <w:t>存在问题与对策。</w:t>
      </w:r>
    </w:p>
    <w:p w14:paraId="5396A2D9">
      <w:r>
        <w:rPr>
          <w:b/>
        </w:rPr>
        <w:t>3.0.</w:t>
      </w:r>
      <w:r>
        <w:rPr>
          <w:rFonts w:hint="eastAsia"/>
          <w:b/>
        </w:rPr>
        <w:t>9　</w:t>
      </w:r>
      <w:r>
        <w:rPr>
          <w:rFonts w:hint="eastAsia"/>
        </w:rPr>
        <w:t>检测作业应符合下列规定：</w:t>
      </w:r>
    </w:p>
    <w:p w14:paraId="6BFC552D">
      <w:pPr>
        <w:pStyle w:val="18"/>
        <w:spacing w:after="0" w:line="360" w:lineRule="auto"/>
        <w:ind w:left="0" w:leftChars="0" w:firstLine="482" w:firstLineChars="200"/>
        <w:rPr>
          <w:rFonts w:ascii="Times New Roman" w:hAnsi="Times New Roman"/>
        </w:rPr>
      </w:pPr>
      <w:r>
        <w:rPr>
          <w:rFonts w:ascii="Times New Roman" w:hAnsi="Times New Roman"/>
          <w:b/>
          <w:bCs/>
        </w:rPr>
        <w:t>1　</w:t>
      </w:r>
      <w:r>
        <w:rPr>
          <w:rFonts w:hint="eastAsia" w:ascii="Times New Roman" w:hAnsi="Times New Roman"/>
        </w:rPr>
        <w:t>检测前应根据检测方法的要求对管道进行预处理；</w:t>
      </w:r>
    </w:p>
    <w:p w14:paraId="1F8271D0">
      <w:pPr>
        <w:pStyle w:val="18"/>
        <w:spacing w:after="0" w:line="360" w:lineRule="auto"/>
        <w:ind w:left="0" w:leftChars="0" w:firstLine="482" w:firstLineChars="200"/>
        <w:rPr>
          <w:rFonts w:ascii="Times New Roman" w:hAnsi="Times New Roman"/>
        </w:rPr>
      </w:pPr>
      <w:r>
        <w:rPr>
          <w:rFonts w:hint="eastAsia" w:ascii="Times New Roman" w:hAnsi="Times New Roman"/>
          <w:b/>
          <w:bCs/>
        </w:rPr>
        <w:t>2　</w:t>
      </w:r>
      <w:r>
        <w:rPr>
          <w:rFonts w:hint="eastAsia" w:ascii="Times New Roman" w:hAnsi="Times New Roman"/>
        </w:rPr>
        <w:t>应检查仪器设备状况；</w:t>
      </w:r>
    </w:p>
    <w:p w14:paraId="1067148A">
      <w:pPr>
        <w:pStyle w:val="18"/>
        <w:spacing w:after="0" w:line="360" w:lineRule="auto"/>
        <w:ind w:left="0" w:leftChars="0" w:firstLine="482" w:firstLineChars="200"/>
        <w:rPr>
          <w:rFonts w:ascii="Times New Roman" w:hAnsi="Times New Roman"/>
        </w:rPr>
      </w:pPr>
      <w:r>
        <w:rPr>
          <w:rFonts w:hint="eastAsia" w:ascii="Times New Roman" w:hAnsi="Times New Roman"/>
          <w:b/>
          <w:bCs/>
        </w:rPr>
        <w:t>3　</w:t>
      </w:r>
      <w:r>
        <w:rPr>
          <w:rFonts w:hint="eastAsia" w:ascii="Times New Roman" w:hAnsi="Times New Roman"/>
        </w:rPr>
        <w:t>应进行管道检测与初步判读；</w:t>
      </w:r>
    </w:p>
    <w:p w14:paraId="59F65EA6">
      <w:pPr>
        <w:pStyle w:val="18"/>
        <w:spacing w:after="0" w:line="360" w:lineRule="auto"/>
        <w:ind w:left="0" w:leftChars="0" w:firstLine="482" w:firstLineChars="200"/>
        <w:rPr>
          <w:rFonts w:ascii="Times New Roman" w:hAnsi="Times New Roman"/>
        </w:rPr>
      </w:pPr>
      <w:r>
        <w:rPr>
          <w:rFonts w:hint="eastAsia" w:ascii="Times New Roman" w:hAnsi="Times New Roman"/>
          <w:b/>
          <w:bCs/>
        </w:rPr>
        <w:t>4　</w:t>
      </w:r>
      <w:r>
        <w:rPr>
          <w:rFonts w:hint="eastAsia" w:ascii="Times New Roman" w:hAnsi="Times New Roman"/>
        </w:rPr>
        <w:t>带压检测应在检测前对进管设备进行清洁和消毒；</w:t>
      </w:r>
    </w:p>
    <w:p w14:paraId="2659558C">
      <w:pPr>
        <w:pStyle w:val="18"/>
        <w:spacing w:after="0" w:line="360" w:lineRule="auto"/>
        <w:ind w:left="0" w:leftChars="0" w:firstLine="482" w:firstLineChars="200"/>
        <w:rPr>
          <w:rFonts w:ascii="Times New Roman" w:hAnsi="Times New Roman"/>
        </w:rPr>
      </w:pPr>
      <w:r>
        <w:rPr>
          <w:rFonts w:hint="eastAsia" w:ascii="Times New Roman" w:hAnsi="Times New Roman"/>
          <w:b/>
          <w:bCs/>
        </w:rPr>
        <w:t>5　</w:t>
      </w:r>
      <w:r>
        <w:rPr>
          <w:rFonts w:hint="eastAsia" w:ascii="Times New Roman" w:hAnsi="Times New Roman"/>
        </w:rPr>
        <w:t>无压停水检测应在检测后对管道进行清洗、消毒</w:t>
      </w:r>
      <w:r>
        <w:rPr>
          <w:rFonts w:hint="eastAsia" w:ascii="Times New Roman" w:hAnsi="Times New Roman"/>
          <w:lang w:eastAsia="zh-CN"/>
        </w:rPr>
        <w:t>并</w:t>
      </w:r>
      <w:r>
        <w:rPr>
          <w:rFonts w:hint="eastAsia" w:ascii="Times New Roman" w:hAnsi="Times New Roman"/>
        </w:rPr>
        <w:t>应符合现行国家标准</w:t>
      </w:r>
      <w:r>
        <w:rPr>
          <w:rFonts w:hint="eastAsia" w:ascii="Times New Roman" w:hAnsi="Times New Roman"/>
          <w:lang w:bidi="ar"/>
        </w:rPr>
        <w:t>《给水排水管道工程施工及验收规范》GB 50268</w:t>
      </w:r>
      <w:r>
        <w:rPr>
          <w:rFonts w:hint="eastAsia"/>
        </w:rPr>
        <w:t>的</w:t>
      </w:r>
      <w:r>
        <w:rPr>
          <w:rFonts w:hint="eastAsia" w:ascii="Times New Roman" w:hAnsi="Times New Roman"/>
        </w:rPr>
        <w:t>有</w:t>
      </w:r>
      <w:r>
        <w:rPr>
          <w:rFonts w:hint="eastAsia"/>
        </w:rPr>
        <w:t>关规定；</w:t>
      </w:r>
    </w:p>
    <w:p w14:paraId="586DEE77">
      <w:pPr>
        <w:pStyle w:val="18"/>
        <w:spacing w:after="0" w:line="360" w:lineRule="auto"/>
        <w:ind w:left="0" w:leftChars="0" w:firstLine="482" w:firstLineChars="200"/>
        <w:rPr>
          <w:rFonts w:ascii="Times New Roman" w:hAnsi="Times New Roman" w:cs="Times New Roman"/>
        </w:rPr>
      </w:pPr>
      <w:r>
        <w:rPr>
          <w:rFonts w:hint="eastAsia" w:ascii="Times New Roman" w:hAnsi="Times New Roman"/>
          <w:b/>
          <w:bCs/>
        </w:rPr>
        <w:t>6　</w:t>
      </w:r>
      <w:r>
        <w:rPr>
          <w:rFonts w:hint="eastAsia"/>
        </w:rPr>
        <w:t>检测完毕后，应</w:t>
      </w:r>
      <w:r>
        <w:rPr>
          <w:rFonts w:hint="eastAsia" w:ascii="Times New Roman" w:hAnsi="Times New Roman"/>
        </w:rPr>
        <w:t>清理现场、保养设备，</w:t>
      </w:r>
      <w:r>
        <w:rPr>
          <w:rFonts w:hint="eastAsia"/>
        </w:rPr>
        <w:t>恢复管道原功能。</w:t>
      </w:r>
    </w:p>
    <w:p w14:paraId="07729FD2">
      <w:pPr>
        <w:jc w:val="left"/>
        <w:rPr>
          <w:rFonts w:cs="Times New Roman"/>
          <w:color w:val="000000"/>
        </w:rPr>
      </w:pPr>
      <w:r>
        <w:rPr>
          <w:rFonts w:hint="eastAsia"/>
          <w:b/>
          <w:bCs/>
          <w:color w:val="000000"/>
        </w:rPr>
        <w:t>3.0.10　</w:t>
      </w:r>
      <w:r>
        <w:rPr>
          <w:rFonts w:cs="Times New Roman"/>
          <w:color w:val="000000"/>
        </w:rPr>
        <w:t>管道结构性状况检测的周期宜为5a～10a；功能性状况检测的周期宜为1a～2a。当遇到下列情况之一时，可缩短检测周期：</w:t>
      </w:r>
    </w:p>
    <w:p w14:paraId="3034BF9A">
      <w:pPr>
        <w:ind w:firstLine="361" w:firstLineChars="150"/>
        <w:jc w:val="left"/>
        <w:rPr>
          <w:rFonts w:ascii="宋体" w:hAnsi="宋体"/>
          <w:color w:val="000000"/>
        </w:rPr>
      </w:pPr>
      <w:r>
        <w:rPr>
          <w:rFonts w:hint="eastAsia"/>
          <w:b/>
          <w:color w:val="000000"/>
        </w:rPr>
        <w:t>1　</w:t>
      </w:r>
      <w:r>
        <w:rPr>
          <w:rFonts w:hint="eastAsia" w:ascii="宋体" w:hAnsi="宋体"/>
          <w:color w:val="000000"/>
        </w:rPr>
        <w:t>流砂易发、深厚填土、深厚淤泥、湿陷性土等特殊地区的管道；</w:t>
      </w:r>
    </w:p>
    <w:p w14:paraId="7D20B538">
      <w:pPr>
        <w:ind w:firstLine="361" w:firstLineChars="150"/>
        <w:jc w:val="left"/>
        <w:rPr>
          <w:rFonts w:cs="Times New Roman"/>
          <w:color w:val="000000"/>
        </w:rPr>
      </w:pPr>
      <w:r>
        <w:rPr>
          <w:rFonts w:hint="eastAsia"/>
          <w:b/>
          <w:color w:val="000000"/>
        </w:rPr>
        <w:t>2　</w:t>
      </w:r>
      <w:r>
        <w:rPr>
          <w:rFonts w:cs="Times New Roman"/>
          <w:color w:val="000000"/>
        </w:rPr>
        <w:t>管龄30a以上的管道；</w:t>
      </w:r>
    </w:p>
    <w:p w14:paraId="5BCDA016">
      <w:pPr>
        <w:ind w:firstLine="361" w:firstLineChars="150"/>
        <w:jc w:val="left"/>
        <w:rPr>
          <w:rFonts w:ascii="宋体" w:hAnsi="宋体"/>
          <w:color w:val="000000"/>
        </w:rPr>
      </w:pPr>
      <w:r>
        <w:rPr>
          <w:rFonts w:hint="eastAsia"/>
          <w:b/>
          <w:color w:val="000000"/>
        </w:rPr>
        <w:t>3　</w:t>
      </w:r>
      <w:r>
        <w:rPr>
          <w:rFonts w:hint="eastAsia" w:ascii="宋体" w:hAnsi="宋体"/>
          <w:color w:val="000000"/>
        </w:rPr>
        <w:t>修复改造后的管道；</w:t>
      </w:r>
    </w:p>
    <w:p w14:paraId="1877F6F0">
      <w:pPr>
        <w:ind w:firstLine="361" w:firstLineChars="150"/>
        <w:jc w:val="left"/>
        <w:rPr>
          <w:rFonts w:ascii="宋体" w:hAnsi="宋体"/>
          <w:color w:val="000000"/>
        </w:rPr>
      </w:pPr>
      <w:r>
        <w:rPr>
          <w:b/>
          <w:color w:val="000000"/>
        </w:rPr>
        <w:t>4　</w:t>
      </w:r>
      <w:r>
        <w:rPr>
          <w:rFonts w:hint="eastAsia" w:ascii="宋体" w:hAnsi="宋体"/>
          <w:color w:val="000000"/>
        </w:rPr>
        <w:t>受临近作业影响的管道；</w:t>
      </w:r>
    </w:p>
    <w:p w14:paraId="67F1055E">
      <w:pPr>
        <w:ind w:firstLine="361" w:firstLineChars="150"/>
        <w:jc w:val="left"/>
        <w:rPr>
          <w:b/>
        </w:rPr>
      </w:pPr>
      <w:r>
        <w:rPr>
          <w:b/>
          <w:color w:val="000000"/>
        </w:rPr>
        <w:t>5　</w:t>
      </w:r>
      <w:r>
        <w:rPr>
          <w:rFonts w:hint="eastAsia" w:ascii="宋体" w:hAnsi="宋体"/>
          <w:color w:val="000000"/>
        </w:rPr>
        <w:t>存在严重缺陷但暂时无法修复的管道。</w:t>
      </w:r>
    </w:p>
    <w:p w14:paraId="5E44B239">
      <w:pPr>
        <w:rPr>
          <w:rFonts w:cs="Times New Roman"/>
        </w:rPr>
      </w:pPr>
      <w:r>
        <w:rPr>
          <w:rFonts w:hint="eastAsia"/>
          <w:b/>
        </w:rPr>
        <w:t>3.0.11　</w:t>
      </w:r>
      <w:r>
        <w:rPr>
          <w:rFonts w:hint="eastAsia"/>
        </w:rPr>
        <w:t>管道</w:t>
      </w:r>
      <w:r>
        <w:rPr>
          <w:rFonts w:hint="eastAsia"/>
          <w:bCs/>
        </w:rPr>
        <w:t>评估应</w:t>
      </w:r>
      <w:r>
        <w:rPr>
          <w:rFonts w:hint="eastAsia"/>
        </w:rPr>
        <w:t>确定缺陷类型、缺陷等级以及管道运行风险等级，提供</w:t>
      </w:r>
      <w:r>
        <w:rPr>
          <w:rFonts w:hint="eastAsia"/>
          <w:szCs w:val="24"/>
        </w:rPr>
        <w:t>管道养护及修复建议</w:t>
      </w:r>
      <w:r>
        <w:rPr>
          <w:rFonts w:hint="eastAsia"/>
        </w:rPr>
        <w:t>。</w:t>
      </w:r>
    </w:p>
    <w:p w14:paraId="7435CA2C">
      <w:r>
        <w:rPr>
          <w:b/>
        </w:rPr>
        <w:t>3.0.</w:t>
      </w:r>
      <w:r>
        <w:rPr>
          <w:rFonts w:hint="eastAsia"/>
          <w:b/>
        </w:rPr>
        <w:t>12　</w:t>
      </w:r>
      <w:r>
        <w:rPr>
          <w:rFonts w:hint="eastAsia"/>
        </w:rPr>
        <w:t>检测成果资料归档应按国家现行档案管理的相关标准执行</w:t>
      </w:r>
      <w:r>
        <w:rPr>
          <w:rFonts w:hint="eastAsia"/>
          <w:lang w:eastAsia="zh-CN"/>
        </w:rPr>
        <w:t>并</w:t>
      </w:r>
      <w:r>
        <w:rPr>
          <w:rFonts w:hint="eastAsia"/>
        </w:rPr>
        <w:t>宜纳入给水管网信息管理系统，建立动态管理机制。</w:t>
      </w:r>
    </w:p>
    <w:p w14:paraId="34CBE993">
      <w:pPr>
        <w:widowControl/>
        <w:jc w:val="left"/>
        <w:rPr>
          <w:rFonts w:eastAsia="华文宋体"/>
          <w:b/>
          <w:bCs/>
          <w:kern w:val="44"/>
          <w:sz w:val="32"/>
          <w:szCs w:val="44"/>
        </w:rPr>
      </w:pPr>
      <w:r>
        <w:br w:type="page"/>
      </w:r>
    </w:p>
    <w:p w14:paraId="42997EFC">
      <w:pPr>
        <w:pStyle w:val="4"/>
        <w:sectPr>
          <w:footerReference r:id="rId11" w:type="default"/>
          <w:pgSz w:w="11906" w:h="16838"/>
          <w:pgMar w:top="1440" w:right="1800" w:bottom="1440" w:left="1800" w:header="851" w:footer="992" w:gutter="0"/>
          <w:pgNumType w:start="1"/>
          <w:cols w:space="425" w:num="1"/>
          <w:docGrid w:type="lines" w:linePitch="312" w:charSpace="0"/>
        </w:sectPr>
      </w:pPr>
      <w:bookmarkStart w:id="55" w:name="_Toc17505"/>
      <w:bookmarkStart w:id="56" w:name="_Toc15954"/>
      <w:bookmarkStart w:id="57" w:name="_Toc22207"/>
      <w:bookmarkStart w:id="58" w:name="_Toc15757"/>
      <w:bookmarkStart w:id="59" w:name="_Toc19439"/>
    </w:p>
    <w:p w14:paraId="32FD24FD">
      <w:pPr>
        <w:pStyle w:val="4"/>
      </w:pPr>
      <w:bookmarkStart w:id="60" w:name="_Toc10416"/>
      <w:bookmarkStart w:id="61" w:name="_Toc24137"/>
      <w:bookmarkStart w:id="62" w:name="_Toc29028"/>
      <w:bookmarkStart w:id="63" w:name="_Toc29832"/>
      <w:bookmarkStart w:id="64" w:name="_Toc12621"/>
      <w:bookmarkStart w:id="65" w:name="_Toc15041"/>
      <w:bookmarkStart w:id="66" w:name="_Toc14322"/>
      <w:bookmarkStart w:id="67" w:name="_Toc26652"/>
      <w:bookmarkStart w:id="68" w:name="_Toc181825544"/>
      <w:bookmarkStart w:id="69" w:name="_Toc18218"/>
      <w:r>
        <w:rPr>
          <w:rFonts w:hint="eastAsia"/>
        </w:rPr>
        <w:t>4　</w:t>
      </w:r>
      <w:bookmarkEnd w:id="60"/>
      <w:bookmarkEnd w:id="61"/>
      <w:bookmarkEnd w:id="62"/>
      <w:r>
        <w:rPr>
          <w:rFonts w:hint="eastAsia"/>
        </w:rPr>
        <w:t>电视检测</w:t>
      </w:r>
      <w:bookmarkEnd w:id="63"/>
      <w:bookmarkEnd w:id="64"/>
      <w:bookmarkEnd w:id="65"/>
      <w:bookmarkEnd w:id="66"/>
      <w:bookmarkEnd w:id="67"/>
      <w:bookmarkEnd w:id="68"/>
      <w:bookmarkEnd w:id="69"/>
    </w:p>
    <w:p w14:paraId="0CEB08DD">
      <w:pPr>
        <w:pStyle w:val="5"/>
      </w:pPr>
      <w:bookmarkStart w:id="70" w:name="_Toc13322"/>
      <w:bookmarkStart w:id="71" w:name="_Toc29178"/>
      <w:bookmarkStart w:id="72" w:name="_Toc2100"/>
      <w:bookmarkStart w:id="73" w:name="_Toc181825545"/>
      <w:bookmarkStart w:id="74" w:name="_Toc25474"/>
      <w:bookmarkStart w:id="75" w:name="_Toc26714"/>
      <w:bookmarkStart w:id="76" w:name="_Toc14832"/>
      <w:bookmarkStart w:id="77" w:name="_Toc25146"/>
      <w:bookmarkStart w:id="78" w:name="_Toc21071"/>
      <w:bookmarkStart w:id="79" w:name="_Toc4532"/>
      <w:bookmarkStart w:id="80" w:name="_Toc28517"/>
      <w:bookmarkStart w:id="81" w:name="_Toc735"/>
      <w:bookmarkStart w:id="82" w:name="_Toc824"/>
      <w:bookmarkStart w:id="83" w:name="_Toc23931"/>
      <w:bookmarkStart w:id="84" w:name="_Toc15325"/>
      <w:bookmarkStart w:id="85" w:name="_Toc7546_WPSOffice_Level2"/>
      <w:bookmarkStart w:id="86" w:name="_Toc32178"/>
      <w:r>
        <w:rPr>
          <w:rFonts w:hint="eastAsia"/>
        </w:rPr>
        <w:t>4.1　一般规定</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58F22BE">
      <w:r>
        <w:rPr>
          <w:rFonts w:hint="eastAsia"/>
          <w:b/>
          <w:bCs/>
        </w:rPr>
        <w:t>4.1.1　</w:t>
      </w:r>
      <w:r>
        <w:rPr>
          <w:rFonts w:hint="eastAsia"/>
        </w:rPr>
        <w:t>电视检测可用于给水管道内可视缺陷的检测。</w:t>
      </w:r>
    </w:p>
    <w:p w14:paraId="32A0DFC9">
      <w:r>
        <w:rPr>
          <w:rFonts w:hint="eastAsia"/>
          <w:b/>
          <w:bCs/>
        </w:rPr>
        <w:t>4.1.2　</w:t>
      </w:r>
      <w:r>
        <w:rPr>
          <w:rFonts w:hint="eastAsia"/>
        </w:rPr>
        <w:t>给水管道电视检测可分为带压检测和停水检测。</w:t>
      </w:r>
    </w:p>
    <w:p w14:paraId="12065E64">
      <w:pPr>
        <w:pStyle w:val="18"/>
        <w:spacing w:after="0" w:line="360" w:lineRule="auto"/>
        <w:ind w:left="0" w:leftChars="0"/>
      </w:pPr>
      <w:r>
        <w:rPr>
          <w:rFonts w:ascii="Times New Roman" w:hAnsi="Times New Roman" w:cs="Times New Roman"/>
          <w:b/>
          <w:bCs/>
        </w:rPr>
        <w:t>4.1.3　</w:t>
      </w:r>
      <w:r>
        <w:rPr>
          <w:rFonts w:hint="eastAsia" w:ascii="Times New Roman" w:hAnsi="Times New Roman"/>
        </w:rPr>
        <w:t>带压检测可采用动力伞电视检测，停水检测可采用</w:t>
      </w:r>
      <w:r>
        <w:rPr>
          <w:rFonts w:hint="eastAsia"/>
        </w:rPr>
        <w:t>水陆</w:t>
      </w:r>
      <w:r>
        <w:rPr>
          <w:rFonts w:hint="eastAsia" w:ascii="Times New Roman" w:hAnsi="Times New Roman"/>
        </w:rPr>
        <w:t>两栖电视检测或推杆电视检测。</w:t>
      </w:r>
    </w:p>
    <w:p w14:paraId="70563D4B">
      <w:r>
        <w:rPr>
          <w:rFonts w:hint="eastAsia"/>
          <w:b/>
          <w:bCs/>
        </w:rPr>
        <w:t>4.1.4　</w:t>
      </w:r>
      <w:r>
        <w:rPr>
          <w:rFonts w:hint="eastAsia"/>
        </w:rPr>
        <w:t>动力伞电视检测管道应符合下列规定：</w:t>
      </w:r>
    </w:p>
    <w:p w14:paraId="187112CE">
      <w:pPr>
        <w:ind w:firstLine="482" w:firstLineChars="200"/>
      </w:pPr>
      <w:r>
        <w:rPr>
          <w:rFonts w:hint="eastAsia"/>
          <w:b/>
          <w:bCs/>
        </w:rPr>
        <w:t>1　</w:t>
      </w:r>
      <w:r>
        <w:rPr>
          <w:rFonts w:hint="eastAsia"/>
        </w:rPr>
        <w:t>管道内径不应小于200mm；</w:t>
      </w:r>
    </w:p>
    <w:p w14:paraId="0A200628">
      <w:pPr>
        <w:ind w:firstLine="482" w:firstLineChars="200"/>
      </w:pPr>
      <w:r>
        <w:rPr>
          <w:rFonts w:hint="eastAsia"/>
          <w:b/>
          <w:bCs/>
        </w:rPr>
        <w:t>2　</w:t>
      </w:r>
      <w:r>
        <w:rPr>
          <w:rFonts w:hint="eastAsia"/>
        </w:rPr>
        <w:t>流速宜为0.2m/s～3.0m/s；</w:t>
      </w:r>
    </w:p>
    <w:p w14:paraId="04771CBF">
      <w:pPr>
        <w:ind w:firstLine="482" w:firstLineChars="200"/>
      </w:pPr>
      <w:r>
        <w:rPr>
          <w:rFonts w:hint="eastAsia"/>
          <w:b/>
          <w:bCs/>
        </w:rPr>
        <w:t>3　</w:t>
      </w:r>
      <w:r>
        <w:rPr>
          <w:rFonts w:hint="eastAsia"/>
        </w:rPr>
        <w:t>管段范围内单个管道弯头角度不应大于90</w:t>
      </w:r>
      <w:r>
        <w:rPr>
          <w:rFonts w:cs="Times New Roman"/>
        </w:rPr>
        <w:t>°</w:t>
      </w:r>
      <w:r>
        <w:rPr>
          <w:rFonts w:hint="eastAsia" w:cs="Times New Roman"/>
        </w:rPr>
        <w:t>；</w:t>
      </w:r>
    </w:p>
    <w:p w14:paraId="57F20649">
      <w:pPr>
        <w:ind w:firstLine="482" w:firstLineChars="200"/>
        <w:rPr>
          <w:rFonts w:cs="Times New Roman"/>
          <w:color w:val="333333"/>
          <w:sz w:val="21"/>
          <w:shd w:val="clear" w:color="auto" w:fill="FFFFFF"/>
        </w:rPr>
      </w:pPr>
      <w:r>
        <w:rPr>
          <w:b/>
          <w:bCs/>
        </w:rPr>
        <w:t>4　</w:t>
      </w:r>
      <w:r>
        <w:rPr>
          <w:rFonts w:hint="eastAsia"/>
        </w:rPr>
        <w:t>检</w:t>
      </w:r>
      <w:r>
        <w:rPr>
          <w:rFonts w:cs="Times New Roman"/>
        </w:rPr>
        <w:t>测管道水质浊度不</w:t>
      </w:r>
      <w:r>
        <w:rPr>
          <w:rFonts w:hint="eastAsia" w:cs="Times New Roman"/>
        </w:rPr>
        <w:t>应</w:t>
      </w:r>
      <w:r>
        <w:rPr>
          <w:rFonts w:cs="Times New Roman"/>
        </w:rPr>
        <w:t>大于</w:t>
      </w:r>
      <w:r>
        <w:rPr>
          <w:rFonts w:cs="Times New Roman"/>
          <w:color w:val="333333"/>
          <w:sz w:val="21"/>
          <w:shd w:val="clear" w:color="auto" w:fill="FFFFFF"/>
        </w:rPr>
        <w:t>5NTU。</w:t>
      </w:r>
    </w:p>
    <w:p w14:paraId="7C577C22">
      <w:r>
        <w:rPr>
          <w:rFonts w:hint="eastAsia"/>
          <w:b/>
          <w:bCs/>
        </w:rPr>
        <w:t>4.1.5　</w:t>
      </w:r>
      <w:r>
        <w:rPr>
          <w:rFonts w:hint="eastAsia"/>
        </w:rPr>
        <w:t>水陆两栖电视检测应符合下列规定：</w:t>
      </w:r>
    </w:p>
    <w:p w14:paraId="56D04255">
      <w:pPr>
        <w:ind w:firstLine="482" w:firstLineChars="200"/>
      </w:pPr>
      <w:r>
        <w:rPr>
          <w:rFonts w:hint="eastAsia"/>
          <w:b/>
          <w:bCs/>
        </w:rPr>
        <w:t>1　</w:t>
      </w:r>
      <w:r>
        <w:rPr>
          <w:rFonts w:hint="eastAsia"/>
        </w:rPr>
        <w:t>管道内径不应小于400mm；</w:t>
      </w:r>
    </w:p>
    <w:p w14:paraId="360D2E15">
      <w:pPr>
        <w:ind w:firstLine="482" w:firstLineChars="200"/>
      </w:pPr>
      <w:r>
        <w:rPr>
          <w:rFonts w:hint="eastAsia"/>
          <w:b/>
          <w:bCs/>
        </w:rPr>
        <w:t>2　</w:t>
      </w:r>
      <w:r>
        <w:rPr>
          <w:rFonts w:hint="eastAsia"/>
        </w:rPr>
        <w:t>应采取降低水位措施，管道内最高水位距离管顶距离不应小于200mm；</w:t>
      </w:r>
    </w:p>
    <w:p w14:paraId="441F1543">
      <w:pPr>
        <w:ind w:firstLine="482" w:firstLineChars="200"/>
      </w:pPr>
      <w:r>
        <w:rPr>
          <w:rFonts w:hint="eastAsia"/>
          <w:b/>
          <w:bCs/>
        </w:rPr>
        <w:t>3　</w:t>
      </w:r>
      <w:r>
        <w:rPr>
          <w:rFonts w:hint="eastAsia"/>
        </w:rPr>
        <w:t>管段范围内管道累计弯头角度不应大于180°；</w:t>
      </w:r>
    </w:p>
    <w:p w14:paraId="2DA48E9B">
      <w:pPr>
        <w:ind w:firstLine="482" w:firstLineChars="200"/>
      </w:pPr>
      <w:r>
        <w:rPr>
          <w:rFonts w:hint="eastAsia"/>
          <w:b/>
          <w:bCs/>
        </w:rPr>
        <w:t>4　</w:t>
      </w:r>
      <w:r>
        <w:rPr>
          <w:rFonts w:hint="eastAsia"/>
        </w:rPr>
        <w:t>管段范围内管道坡度不应大于30°。</w:t>
      </w:r>
    </w:p>
    <w:p w14:paraId="7BFC7121">
      <w:r>
        <w:rPr>
          <w:rFonts w:hint="eastAsia"/>
          <w:b/>
          <w:bCs/>
        </w:rPr>
        <w:t>4.1.6　</w:t>
      </w:r>
      <w:r>
        <w:rPr>
          <w:rFonts w:hint="eastAsia"/>
        </w:rPr>
        <w:t>推杆电视检测应符合下列规定：</w:t>
      </w:r>
    </w:p>
    <w:p w14:paraId="6BA939F7">
      <w:pPr>
        <w:ind w:firstLine="482" w:firstLineChars="200"/>
      </w:pPr>
      <w:r>
        <w:rPr>
          <w:rFonts w:hint="eastAsia"/>
          <w:b/>
          <w:bCs/>
        </w:rPr>
        <w:t>1　</w:t>
      </w:r>
      <w:r>
        <w:rPr>
          <w:rFonts w:hint="eastAsia"/>
        </w:rPr>
        <w:t>管道内径不应小于100mm；</w:t>
      </w:r>
    </w:p>
    <w:p w14:paraId="4DEACD82">
      <w:pPr>
        <w:widowControl/>
        <w:ind w:firstLine="482" w:firstLineChars="200"/>
        <w:jc w:val="left"/>
      </w:pPr>
      <w:r>
        <w:rPr>
          <w:rFonts w:hint="eastAsia"/>
          <w:b/>
          <w:bCs/>
        </w:rPr>
        <w:t>2　</w:t>
      </w:r>
      <w:r>
        <w:rPr>
          <w:rFonts w:hint="eastAsia"/>
        </w:rPr>
        <w:t>应采取降低水位措施，管道内水位不应大于管道内径的20%。</w:t>
      </w:r>
    </w:p>
    <w:p w14:paraId="1DBAEE8C">
      <w:pPr>
        <w:widowControl/>
        <w:jc w:val="left"/>
      </w:pPr>
      <w:r>
        <w:rPr>
          <w:b/>
          <w:bCs/>
        </w:rPr>
        <w:t>4.1.</w:t>
      </w:r>
      <w:r>
        <w:rPr>
          <w:rFonts w:hint="eastAsia"/>
          <w:b/>
          <w:bCs/>
        </w:rPr>
        <w:t>7　</w:t>
      </w:r>
      <w:r>
        <w:rPr>
          <w:rFonts w:hint="eastAsia"/>
        </w:rPr>
        <w:t>动力伞电视检测遇下列情形之一时，应中止检测：</w:t>
      </w:r>
    </w:p>
    <w:p w14:paraId="10A6F217">
      <w:pPr>
        <w:ind w:firstLine="482" w:firstLineChars="200"/>
      </w:pPr>
      <w:r>
        <w:rPr>
          <w:rFonts w:hint="eastAsia"/>
          <w:b/>
          <w:bCs/>
        </w:rPr>
        <w:t>1　</w:t>
      </w:r>
      <w:r>
        <w:rPr>
          <w:rFonts w:hint="eastAsia"/>
        </w:rPr>
        <w:t>管道中出现设备无法穿越的障碍物；</w:t>
      </w:r>
    </w:p>
    <w:p w14:paraId="53618759">
      <w:pPr>
        <w:ind w:firstLine="482" w:firstLineChars="200"/>
      </w:pPr>
      <w:r>
        <w:rPr>
          <w:rFonts w:hint="eastAsia"/>
          <w:b/>
          <w:bCs/>
        </w:rPr>
        <w:t>2　</w:t>
      </w:r>
      <w:r>
        <w:rPr>
          <w:rFonts w:hint="eastAsia"/>
        </w:rPr>
        <w:t>管道出现内径200mm以上支管。支管流速大于主管流速</w:t>
      </w:r>
      <w:r>
        <w:rPr>
          <w:rFonts w:hint="eastAsia"/>
          <w:lang w:eastAsia="zh-CN"/>
        </w:rPr>
        <w:t>且</w:t>
      </w:r>
      <w:r>
        <w:rPr>
          <w:rFonts w:hint="eastAsia"/>
        </w:rPr>
        <w:t>支管无法在载行器通过时关闭；</w:t>
      </w:r>
    </w:p>
    <w:p w14:paraId="52BBC0E3">
      <w:pPr>
        <w:ind w:firstLine="482" w:firstLineChars="200"/>
      </w:pPr>
      <w:r>
        <w:rPr>
          <w:rFonts w:hint="eastAsia"/>
          <w:b/>
          <w:bCs/>
        </w:rPr>
        <w:t>3　</w:t>
      </w:r>
      <w:r>
        <w:rPr>
          <w:rFonts w:hint="eastAsia"/>
        </w:rPr>
        <w:t>管道内水质异常，影响图像质量时；</w:t>
      </w:r>
    </w:p>
    <w:p w14:paraId="73FF18FC">
      <w:pPr>
        <w:ind w:firstLine="482" w:firstLineChars="200"/>
      </w:pPr>
      <w:r>
        <w:rPr>
          <w:rFonts w:hint="eastAsia"/>
          <w:b/>
          <w:bCs/>
        </w:rPr>
        <w:t>4　</w:t>
      </w:r>
      <w:r>
        <w:rPr>
          <w:rFonts w:hint="eastAsia"/>
        </w:rPr>
        <w:t>其他原因无法正常检测时。</w:t>
      </w:r>
    </w:p>
    <w:p w14:paraId="05776118">
      <w:pPr>
        <w:widowControl/>
        <w:jc w:val="left"/>
        <w:rPr>
          <w:rFonts w:ascii="宋体" w:hAnsi="宋体" w:eastAsia="宋体" w:cs="宋体"/>
          <w:kern w:val="0"/>
          <w:sz w:val="28"/>
          <w:szCs w:val="28"/>
          <w:lang w:bidi="ar"/>
        </w:rPr>
      </w:pPr>
      <w:r>
        <w:rPr>
          <w:b/>
          <w:bCs/>
        </w:rPr>
        <w:t>4.1.</w:t>
      </w:r>
      <w:r>
        <w:rPr>
          <w:rFonts w:hint="eastAsia"/>
          <w:b/>
          <w:bCs/>
        </w:rPr>
        <w:t>8　</w:t>
      </w:r>
      <w:r>
        <w:rPr>
          <w:rFonts w:hint="eastAsia"/>
        </w:rPr>
        <w:t>停水电视检测遇下列情形之一时，应中止检测：</w:t>
      </w:r>
    </w:p>
    <w:p w14:paraId="3334311B">
      <w:pPr>
        <w:ind w:firstLine="482" w:firstLineChars="200"/>
      </w:pPr>
      <w:r>
        <w:rPr>
          <w:b/>
          <w:bCs/>
        </w:rPr>
        <w:t>1　</w:t>
      </w:r>
      <w:r>
        <w:rPr>
          <w:rFonts w:hint="eastAsia"/>
        </w:rPr>
        <w:t>载行器在管道内无法行进或推杆在管道内无法推进时；</w:t>
      </w:r>
    </w:p>
    <w:p w14:paraId="0EA93A7B">
      <w:pPr>
        <w:ind w:firstLine="482" w:firstLineChars="200"/>
      </w:pPr>
      <w:r>
        <w:rPr>
          <w:b/>
          <w:bCs/>
        </w:rPr>
        <w:t>2　</w:t>
      </w:r>
      <w:r>
        <w:rPr>
          <w:rFonts w:hint="eastAsia"/>
        </w:rPr>
        <w:t>镜头沾有污物，或管道内充满雾气，影响图像质量时；</w:t>
      </w:r>
    </w:p>
    <w:p w14:paraId="66578569">
      <w:pPr>
        <w:ind w:firstLine="482" w:firstLineChars="200"/>
      </w:pPr>
      <w:r>
        <w:rPr>
          <w:rFonts w:hint="eastAsia"/>
          <w:b/>
          <w:bCs/>
        </w:rPr>
        <w:t>3　</w:t>
      </w:r>
      <w:r>
        <w:rPr>
          <w:rFonts w:hint="eastAsia"/>
        </w:rPr>
        <w:t>其他原因无法正常检测时。</w:t>
      </w:r>
    </w:p>
    <w:p w14:paraId="0A9B7A66">
      <w:pPr>
        <w:pStyle w:val="5"/>
      </w:pPr>
      <w:bookmarkStart w:id="87" w:name="_Toc3375"/>
      <w:bookmarkStart w:id="88" w:name="_Toc21536"/>
      <w:bookmarkStart w:id="89" w:name="_Toc18682"/>
      <w:bookmarkStart w:id="90" w:name="_Toc181825546"/>
      <w:bookmarkStart w:id="91" w:name="_Toc17437"/>
      <w:bookmarkStart w:id="92" w:name="_Toc26639"/>
      <w:bookmarkStart w:id="93" w:name="_Toc1941"/>
      <w:bookmarkStart w:id="94" w:name="_Toc26010"/>
      <w:r>
        <w:rPr>
          <w:rFonts w:hint="eastAsia"/>
        </w:rPr>
        <w:t>4.2　</w:t>
      </w:r>
      <w:bookmarkEnd w:id="87"/>
      <w:r>
        <w:rPr>
          <w:rFonts w:hint="eastAsia"/>
        </w:rPr>
        <w:t>检测设备</w:t>
      </w:r>
      <w:bookmarkEnd w:id="88"/>
      <w:bookmarkEnd w:id="89"/>
      <w:bookmarkEnd w:id="90"/>
      <w:bookmarkEnd w:id="91"/>
      <w:bookmarkEnd w:id="92"/>
      <w:bookmarkEnd w:id="93"/>
      <w:bookmarkEnd w:id="94"/>
    </w:p>
    <w:p w14:paraId="61DA3071">
      <w:r>
        <w:rPr>
          <w:rFonts w:hint="eastAsia"/>
          <w:b/>
        </w:rPr>
        <w:t>4.2.1　</w:t>
      </w:r>
      <w:r>
        <w:rPr>
          <w:rFonts w:hint="eastAsia"/>
        </w:rPr>
        <w:t>电视检测设备性能应符合下列规定：</w:t>
      </w:r>
    </w:p>
    <w:p w14:paraId="5D0BF5ED">
      <w:pPr>
        <w:ind w:firstLine="482" w:firstLineChars="200"/>
      </w:pPr>
      <w:r>
        <w:rPr>
          <w:b/>
          <w:bCs/>
        </w:rPr>
        <w:t>1　</w:t>
      </w:r>
      <w:r>
        <w:rPr>
          <w:rFonts w:hint="eastAsia"/>
        </w:rPr>
        <w:t>主控制器应具有在监视器上同步显示日期、时间、管径、在管道内行进距离等信息以及处理数据的功能；</w:t>
      </w:r>
    </w:p>
    <w:p w14:paraId="69634286">
      <w:pPr>
        <w:ind w:firstLine="482" w:firstLineChars="200"/>
      </w:pPr>
      <w:r>
        <w:rPr>
          <w:b/>
          <w:bCs/>
        </w:rPr>
        <w:t>2　</w:t>
      </w:r>
      <w:r>
        <w:rPr>
          <w:rFonts w:hint="eastAsia"/>
        </w:rPr>
        <w:t>灯光强度应可调节；</w:t>
      </w:r>
    </w:p>
    <w:p w14:paraId="2EEB3534">
      <w:pPr>
        <w:ind w:firstLine="482" w:firstLineChars="200"/>
      </w:pPr>
      <w:r>
        <w:rPr>
          <w:b/>
          <w:bCs/>
        </w:rPr>
        <w:t>3　</w:t>
      </w:r>
      <w:r>
        <w:rPr>
          <w:rFonts w:hint="eastAsia"/>
        </w:rPr>
        <w:t>电视检测设备应具备测距功能，电缆计数器的计量单位不应大于</w:t>
      </w:r>
      <w:r>
        <w:t>0.1m</w:t>
      </w:r>
      <w:r>
        <w:rPr>
          <w:rFonts w:hint="eastAsia"/>
        </w:rPr>
        <w:t>；</w:t>
      </w:r>
    </w:p>
    <w:p w14:paraId="656E78AF">
      <w:pPr>
        <w:ind w:firstLine="482" w:firstLineChars="200"/>
      </w:pPr>
      <w:r>
        <w:rPr>
          <w:b/>
          <w:bCs/>
        </w:rPr>
        <w:t>4　</w:t>
      </w:r>
      <w:r>
        <w:rPr>
          <w:rFonts w:hint="eastAsia"/>
        </w:rPr>
        <w:t>摄像头技术指标应符合表4.2.1的规定。</w:t>
      </w:r>
    </w:p>
    <w:p w14:paraId="6BF558C8">
      <w:pPr>
        <w:pStyle w:val="105"/>
      </w:pPr>
      <w:r>
        <w:rPr>
          <w:rFonts w:hint="eastAsia"/>
        </w:rPr>
        <w:t>表4.2.1　摄像头技术指标</w:t>
      </w:r>
    </w:p>
    <w:tbl>
      <w:tblPr>
        <w:tblStyle w:val="30"/>
        <w:tblW w:w="79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10"/>
        <w:gridCol w:w="4584"/>
      </w:tblGrid>
      <w:tr w14:paraId="4A2BA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vAlign w:val="center"/>
          </w:tcPr>
          <w:p w14:paraId="6107D54A">
            <w:pPr>
              <w:widowControl/>
              <w:spacing w:line="240" w:lineRule="auto"/>
              <w:jc w:val="center"/>
              <w:rPr>
                <w:kern w:val="0"/>
                <w:sz w:val="21"/>
                <w:szCs w:val="21"/>
                <w:lang w:bidi="ar"/>
              </w:rPr>
            </w:pPr>
            <w:r>
              <w:rPr>
                <w:kern w:val="0"/>
                <w:sz w:val="21"/>
                <w:szCs w:val="21"/>
                <w:lang w:bidi="ar"/>
              </w:rPr>
              <w:t>项目</w:t>
            </w:r>
          </w:p>
        </w:tc>
        <w:tc>
          <w:tcPr>
            <w:tcW w:w="4584" w:type="dxa"/>
            <w:tcBorders>
              <w:tl2br w:val="nil"/>
              <w:tr2bl w:val="nil"/>
            </w:tcBorders>
            <w:vAlign w:val="center"/>
          </w:tcPr>
          <w:p w14:paraId="732E12CE">
            <w:pPr>
              <w:widowControl/>
              <w:spacing w:line="240" w:lineRule="auto"/>
              <w:jc w:val="center"/>
              <w:rPr>
                <w:kern w:val="0"/>
                <w:sz w:val="21"/>
                <w:szCs w:val="21"/>
                <w:lang w:bidi="ar"/>
              </w:rPr>
            </w:pPr>
            <w:r>
              <w:rPr>
                <w:kern w:val="0"/>
                <w:sz w:val="21"/>
                <w:szCs w:val="21"/>
                <w:lang w:bidi="ar"/>
              </w:rPr>
              <w:t>技术指标</w:t>
            </w:r>
          </w:p>
        </w:tc>
      </w:tr>
      <w:tr w14:paraId="07021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vAlign w:val="center"/>
          </w:tcPr>
          <w:p w14:paraId="1CC3B66A">
            <w:pPr>
              <w:widowControl/>
              <w:spacing w:line="240" w:lineRule="auto"/>
              <w:jc w:val="center"/>
              <w:rPr>
                <w:kern w:val="0"/>
                <w:sz w:val="21"/>
                <w:szCs w:val="21"/>
                <w:lang w:bidi="ar"/>
              </w:rPr>
            </w:pPr>
            <w:r>
              <w:rPr>
                <w:sz w:val="21"/>
                <w:szCs w:val="21"/>
              </w:rPr>
              <w:t>图像传感器</w:t>
            </w:r>
          </w:p>
        </w:tc>
        <w:tc>
          <w:tcPr>
            <w:tcW w:w="4584" w:type="dxa"/>
            <w:tcBorders>
              <w:tl2br w:val="nil"/>
              <w:tr2bl w:val="nil"/>
            </w:tcBorders>
            <w:vAlign w:val="center"/>
          </w:tcPr>
          <w:p w14:paraId="5F091122">
            <w:pPr>
              <w:widowControl/>
              <w:spacing w:line="240" w:lineRule="auto"/>
              <w:jc w:val="center"/>
              <w:rPr>
                <w:kern w:val="0"/>
                <w:sz w:val="21"/>
                <w:szCs w:val="21"/>
                <w:lang w:bidi="ar"/>
              </w:rPr>
            </w:pPr>
            <w:r>
              <w:rPr>
                <w:rFonts w:hint="eastAsia"/>
                <w:sz w:val="21"/>
                <w:szCs w:val="21"/>
              </w:rPr>
              <w:t>≥</w:t>
            </w:r>
            <w:r>
              <w:rPr>
                <w:sz w:val="21"/>
                <w:szCs w:val="21"/>
              </w:rPr>
              <w:t>200</w:t>
            </w:r>
            <w:r>
              <w:rPr>
                <w:rFonts w:hint="eastAsia"/>
                <w:sz w:val="21"/>
                <w:szCs w:val="21"/>
              </w:rPr>
              <w:t>万</w:t>
            </w:r>
            <w:r>
              <w:rPr>
                <w:sz w:val="21"/>
                <w:szCs w:val="21"/>
              </w:rPr>
              <w:t>像素</w:t>
            </w:r>
          </w:p>
        </w:tc>
      </w:tr>
      <w:tr w14:paraId="29C72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vAlign w:val="center"/>
          </w:tcPr>
          <w:p w14:paraId="4CD6EE43">
            <w:pPr>
              <w:widowControl/>
              <w:spacing w:line="240" w:lineRule="auto"/>
              <w:jc w:val="center"/>
              <w:rPr>
                <w:kern w:val="0"/>
                <w:sz w:val="21"/>
                <w:szCs w:val="21"/>
                <w:lang w:bidi="ar"/>
              </w:rPr>
            </w:pPr>
            <w:r>
              <w:rPr>
                <w:kern w:val="0"/>
                <w:sz w:val="21"/>
                <w:szCs w:val="21"/>
                <w:lang w:bidi="ar"/>
              </w:rPr>
              <w:t>灵敏度（最低感光度）</w:t>
            </w:r>
          </w:p>
        </w:tc>
        <w:tc>
          <w:tcPr>
            <w:tcW w:w="4584" w:type="dxa"/>
            <w:tcBorders>
              <w:tl2br w:val="nil"/>
              <w:tr2bl w:val="nil"/>
            </w:tcBorders>
            <w:vAlign w:val="center"/>
          </w:tcPr>
          <w:p w14:paraId="6B54EECC">
            <w:pPr>
              <w:widowControl/>
              <w:spacing w:line="240" w:lineRule="auto"/>
              <w:jc w:val="center"/>
              <w:rPr>
                <w:sz w:val="21"/>
                <w:szCs w:val="21"/>
              </w:rPr>
            </w:pPr>
            <w:r>
              <w:rPr>
                <w:sz w:val="21"/>
                <w:szCs w:val="21"/>
              </w:rPr>
              <w:t>0.03勒克斯（Lux）</w:t>
            </w:r>
          </w:p>
        </w:tc>
      </w:tr>
      <w:tr w14:paraId="00F0B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vAlign w:val="center"/>
          </w:tcPr>
          <w:p w14:paraId="630A2A31">
            <w:pPr>
              <w:widowControl/>
              <w:spacing w:line="240" w:lineRule="auto"/>
              <w:jc w:val="center"/>
              <w:rPr>
                <w:kern w:val="0"/>
                <w:sz w:val="21"/>
                <w:szCs w:val="21"/>
                <w:lang w:bidi="ar"/>
              </w:rPr>
            </w:pPr>
            <w:r>
              <w:rPr>
                <w:kern w:val="0"/>
                <w:sz w:val="21"/>
                <w:szCs w:val="21"/>
                <w:lang w:bidi="ar"/>
              </w:rPr>
              <w:t>视角</w:t>
            </w:r>
          </w:p>
        </w:tc>
        <w:tc>
          <w:tcPr>
            <w:tcW w:w="4584" w:type="dxa"/>
            <w:tcBorders>
              <w:tl2br w:val="nil"/>
              <w:tr2bl w:val="nil"/>
            </w:tcBorders>
            <w:vAlign w:val="center"/>
          </w:tcPr>
          <w:p w14:paraId="4CB45E84">
            <w:pPr>
              <w:widowControl/>
              <w:spacing w:line="240" w:lineRule="auto"/>
              <w:jc w:val="center"/>
              <w:rPr>
                <w:kern w:val="0"/>
                <w:sz w:val="21"/>
                <w:szCs w:val="21"/>
                <w:lang w:bidi="ar"/>
              </w:rPr>
            </w:pPr>
            <w:r>
              <w:rPr>
                <w:rFonts w:hint="eastAsia"/>
                <w:sz w:val="21"/>
                <w:szCs w:val="21"/>
              </w:rPr>
              <w:t>≥</w:t>
            </w:r>
            <w:r>
              <w:rPr>
                <w:sz w:val="21"/>
                <w:szCs w:val="21"/>
              </w:rPr>
              <w:t>45°</w:t>
            </w:r>
          </w:p>
        </w:tc>
      </w:tr>
      <w:tr w14:paraId="3393D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vAlign w:val="center"/>
          </w:tcPr>
          <w:p w14:paraId="4AEA8095">
            <w:pPr>
              <w:widowControl/>
              <w:spacing w:line="240" w:lineRule="auto"/>
              <w:jc w:val="center"/>
              <w:rPr>
                <w:kern w:val="0"/>
                <w:sz w:val="21"/>
                <w:szCs w:val="21"/>
                <w:lang w:bidi="ar"/>
              </w:rPr>
            </w:pPr>
            <w:r>
              <w:rPr>
                <w:sz w:val="21"/>
                <w:szCs w:val="21"/>
              </w:rPr>
              <w:t>分辨率</w:t>
            </w:r>
          </w:p>
        </w:tc>
        <w:tc>
          <w:tcPr>
            <w:tcW w:w="4584" w:type="dxa"/>
            <w:tcBorders>
              <w:tl2br w:val="nil"/>
              <w:tr2bl w:val="nil"/>
            </w:tcBorders>
            <w:vAlign w:val="center"/>
          </w:tcPr>
          <w:p w14:paraId="1BBDAFB4">
            <w:pPr>
              <w:widowControl/>
              <w:spacing w:line="240" w:lineRule="auto"/>
              <w:jc w:val="center"/>
              <w:rPr>
                <w:kern w:val="0"/>
                <w:sz w:val="21"/>
                <w:szCs w:val="21"/>
                <w:lang w:bidi="ar"/>
              </w:rPr>
            </w:pPr>
            <w:r>
              <w:rPr>
                <w:rFonts w:hint="eastAsia"/>
                <w:kern w:val="0"/>
                <w:sz w:val="21"/>
                <w:szCs w:val="21"/>
                <w:lang w:bidi="ar"/>
              </w:rPr>
              <w:t>主码流：≥1920×1080@25fps</w:t>
            </w:r>
          </w:p>
        </w:tc>
      </w:tr>
      <w:tr w14:paraId="4ECB74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vAlign w:val="center"/>
          </w:tcPr>
          <w:p w14:paraId="6566AC9C">
            <w:pPr>
              <w:widowControl/>
              <w:spacing w:line="240" w:lineRule="auto"/>
              <w:jc w:val="center"/>
              <w:rPr>
                <w:sz w:val="21"/>
                <w:szCs w:val="21"/>
              </w:rPr>
            </w:pPr>
            <w:r>
              <w:rPr>
                <w:sz w:val="21"/>
                <w:szCs w:val="21"/>
              </w:rPr>
              <w:t>图像变形</w:t>
            </w:r>
          </w:p>
        </w:tc>
        <w:tc>
          <w:tcPr>
            <w:tcW w:w="4584" w:type="dxa"/>
            <w:tcBorders>
              <w:tl2br w:val="nil"/>
              <w:tr2bl w:val="nil"/>
            </w:tcBorders>
            <w:vAlign w:val="center"/>
          </w:tcPr>
          <w:p w14:paraId="55511EDB">
            <w:pPr>
              <w:widowControl/>
              <w:spacing w:line="240" w:lineRule="auto"/>
              <w:jc w:val="center"/>
              <w:rPr>
                <w:sz w:val="21"/>
                <w:szCs w:val="21"/>
              </w:rPr>
            </w:pPr>
            <w:r>
              <w:rPr>
                <w:rFonts w:hint="eastAsia"/>
                <w:sz w:val="21"/>
                <w:szCs w:val="21"/>
              </w:rPr>
              <w:t>≤</w:t>
            </w:r>
            <w:r>
              <w:rPr>
                <w:sz w:val="21"/>
                <w:szCs w:val="21"/>
              </w:rPr>
              <w:t>5%</w:t>
            </w:r>
          </w:p>
        </w:tc>
      </w:tr>
      <w:tr w14:paraId="0570B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0" w:type="dxa"/>
            <w:tcBorders>
              <w:tl2br w:val="nil"/>
              <w:tr2bl w:val="nil"/>
            </w:tcBorders>
            <w:vAlign w:val="center"/>
          </w:tcPr>
          <w:p w14:paraId="2DA76C88">
            <w:pPr>
              <w:widowControl/>
              <w:tabs>
                <w:tab w:val="left" w:pos="504"/>
                <w:tab w:val="center" w:pos="1682"/>
              </w:tabs>
              <w:spacing w:line="240" w:lineRule="auto"/>
              <w:jc w:val="center"/>
              <w:rPr>
                <w:sz w:val="21"/>
                <w:szCs w:val="21"/>
              </w:rPr>
            </w:pPr>
            <w:r>
              <w:rPr>
                <w:rFonts w:hint="eastAsia"/>
                <w:sz w:val="21"/>
                <w:szCs w:val="21"/>
              </w:rPr>
              <w:t>工作温度</w:t>
            </w:r>
          </w:p>
        </w:tc>
        <w:tc>
          <w:tcPr>
            <w:tcW w:w="4584" w:type="dxa"/>
            <w:tcBorders>
              <w:tl2br w:val="nil"/>
              <w:tr2bl w:val="nil"/>
            </w:tcBorders>
            <w:vAlign w:val="center"/>
          </w:tcPr>
          <w:p w14:paraId="272CEC92">
            <w:pPr>
              <w:widowControl/>
              <w:spacing w:line="240" w:lineRule="auto"/>
              <w:jc w:val="center"/>
              <w:rPr>
                <w:sz w:val="21"/>
                <w:szCs w:val="21"/>
              </w:rPr>
            </w:pPr>
            <w:r>
              <w:rPr>
                <w:rFonts w:hint="eastAsia"/>
                <w:sz w:val="21"/>
                <w:szCs w:val="21"/>
              </w:rPr>
              <w:t>0℃～</w:t>
            </w:r>
            <w:r>
              <w:rPr>
                <w:sz w:val="21"/>
                <w:szCs w:val="21"/>
              </w:rPr>
              <w:t>50</w:t>
            </w:r>
            <w:r>
              <w:rPr>
                <w:rFonts w:hint="eastAsia"/>
                <w:sz w:val="21"/>
                <w:szCs w:val="21"/>
              </w:rPr>
              <w:t>℃</w:t>
            </w:r>
          </w:p>
        </w:tc>
      </w:tr>
    </w:tbl>
    <w:p w14:paraId="54E8D6E1">
      <w:pPr>
        <w:rPr>
          <w:b/>
        </w:rPr>
      </w:pPr>
    </w:p>
    <w:p w14:paraId="25DE9189">
      <w:r>
        <w:rPr>
          <w:rFonts w:eastAsia="宋体" w:cs="Times New Roman"/>
          <w:b/>
          <w:bCs/>
        </w:rPr>
        <w:t>4</w:t>
      </w:r>
      <w:r>
        <w:rPr>
          <w:rFonts w:hint="eastAsia" w:eastAsia="宋体" w:cs="Times New Roman"/>
          <w:b/>
          <w:bCs/>
        </w:rPr>
        <w:t>.2.2　</w:t>
      </w:r>
      <w:r>
        <w:rPr>
          <w:rFonts w:hint="eastAsia" w:eastAsia="宋体" w:cs="Times New Roman"/>
        </w:rPr>
        <w:t>动力伞电视检测设备</w:t>
      </w:r>
      <w:r>
        <w:rPr>
          <w:rFonts w:hint="eastAsia"/>
        </w:rPr>
        <w:t>性能应符合下列规定：</w:t>
      </w:r>
    </w:p>
    <w:p w14:paraId="67ABAD0C">
      <w:pPr>
        <w:ind w:firstLine="482" w:firstLineChars="200"/>
      </w:pPr>
      <w:r>
        <w:rPr>
          <w:rFonts w:hint="eastAsia"/>
          <w:b/>
          <w:bCs/>
        </w:rPr>
        <w:t>1　</w:t>
      </w:r>
      <w:r>
        <w:rPr>
          <w:rFonts w:hint="eastAsia"/>
        </w:rPr>
        <w:t>摄像头技术指标应符合表</w:t>
      </w:r>
      <w:r>
        <w:t>4.2.1</w:t>
      </w:r>
      <w:r>
        <w:rPr>
          <w:rFonts w:hint="eastAsia"/>
        </w:rPr>
        <w:t>的规定；</w:t>
      </w:r>
    </w:p>
    <w:p w14:paraId="16726644">
      <w:pPr>
        <w:ind w:firstLine="482" w:firstLineChars="200"/>
      </w:pPr>
      <w:r>
        <w:rPr>
          <w:b/>
          <w:bCs/>
        </w:rPr>
        <w:t>2　</w:t>
      </w:r>
      <w:r>
        <w:rPr>
          <w:rFonts w:hint="eastAsia"/>
        </w:rPr>
        <w:t>插入装置应能带压投放探视器；</w:t>
      </w:r>
    </w:p>
    <w:p w14:paraId="7E296094">
      <w:pPr>
        <w:ind w:firstLine="482" w:firstLineChars="200"/>
      </w:pPr>
      <w:r>
        <w:rPr>
          <w:b/>
          <w:bCs/>
        </w:rPr>
        <w:t>3　</w:t>
      </w:r>
      <w:r>
        <w:rPr>
          <w:rFonts w:hint="eastAsia"/>
        </w:rPr>
        <w:t>动力伞检测设备技术指标应符合表4.2.</w:t>
      </w:r>
      <w:r>
        <w:t>2</w:t>
      </w:r>
      <w:r>
        <w:rPr>
          <w:rFonts w:hint="eastAsia"/>
        </w:rPr>
        <w:t>的规定。</w:t>
      </w:r>
    </w:p>
    <w:p w14:paraId="63AF8833">
      <w:pPr>
        <w:pStyle w:val="105"/>
        <w:widowControl/>
        <w:ind w:firstLine="422" w:firstLineChars="200"/>
      </w:pPr>
      <w:r>
        <w:rPr>
          <w:rFonts w:hint="eastAsia"/>
        </w:rPr>
        <w:t>表</w:t>
      </w:r>
      <w:r>
        <w:t>4</w:t>
      </w:r>
      <w:r>
        <w:rPr>
          <w:rFonts w:hint="eastAsia"/>
        </w:rPr>
        <w:t>.2.2　动力伞技术指标</w:t>
      </w:r>
    </w:p>
    <w:tbl>
      <w:tblPr>
        <w:tblStyle w:val="30"/>
        <w:tblW w:w="79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44"/>
        <w:gridCol w:w="4300"/>
      </w:tblGrid>
      <w:tr w14:paraId="5DEF4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2F96C080">
            <w:pPr>
              <w:widowControl/>
              <w:spacing w:line="240" w:lineRule="auto"/>
              <w:jc w:val="center"/>
              <w:rPr>
                <w:kern w:val="0"/>
                <w:sz w:val="21"/>
                <w:szCs w:val="21"/>
                <w:lang w:bidi="ar"/>
              </w:rPr>
            </w:pPr>
            <w:r>
              <w:rPr>
                <w:kern w:val="0"/>
                <w:sz w:val="21"/>
                <w:szCs w:val="21"/>
                <w:lang w:bidi="ar"/>
              </w:rPr>
              <w:t>项目</w:t>
            </w:r>
          </w:p>
        </w:tc>
        <w:tc>
          <w:tcPr>
            <w:tcW w:w="4300" w:type="dxa"/>
            <w:tcBorders>
              <w:tl2br w:val="nil"/>
              <w:tr2bl w:val="nil"/>
            </w:tcBorders>
            <w:vAlign w:val="center"/>
          </w:tcPr>
          <w:p w14:paraId="1C24A46A">
            <w:pPr>
              <w:widowControl/>
              <w:spacing w:line="240" w:lineRule="auto"/>
              <w:jc w:val="center"/>
              <w:rPr>
                <w:kern w:val="0"/>
                <w:sz w:val="21"/>
                <w:szCs w:val="21"/>
                <w:lang w:bidi="ar"/>
              </w:rPr>
            </w:pPr>
            <w:r>
              <w:rPr>
                <w:kern w:val="0"/>
                <w:sz w:val="21"/>
                <w:szCs w:val="21"/>
                <w:lang w:bidi="ar"/>
              </w:rPr>
              <w:t>技术指标</w:t>
            </w:r>
          </w:p>
        </w:tc>
      </w:tr>
      <w:tr w14:paraId="6BCE2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180713D7">
            <w:pPr>
              <w:widowControl/>
              <w:spacing w:line="240" w:lineRule="auto"/>
              <w:jc w:val="center"/>
              <w:rPr>
                <w:sz w:val="21"/>
                <w:szCs w:val="21"/>
              </w:rPr>
            </w:pPr>
            <w:r>
              <w:rPr>
                <w:rFonts w:hint="eastAsia"/>
                <w:sz w:val="21"/>
                <w:szCs w:val="21"/>
              </w:rPr>
              <w:t>探视器尺寸</w:t>
            </w:r>
          </w:p>
        </w:tc>
        <w:tc>
          <w:tcPr>
            <w:tcW w:w="4300" w:type="dxa"/>
            <w:tcBorders>
              <w:tl2br w:val="nil"/>
              <w:tr2bl w:val="nil"/>
            </w:tcBorders>
            <w:vAlign w:val="center"/>
          </w:tcPr>
          <w:p w14:paraId="707333FF">
            <w:pPr>
              <w:widowControl/>
              <w:spacing w:line="240" w:lineRule="auto"/>
              <w:jc w:val="center"/>
              <w:rPr>
                <w:sz w:val="21"/>
                <w:szCs w:val="21"/>
              </w:rPr>
            </w:pPr>
            <w:r>
              <w:rPr>
                <w:rFonts w:hint="eastAsia"/>
                <w:sz w:val="21"/>
                <w:szCs w:val="21"/>
              </w:rPr>
              <w:t>≤φ7</w:t>
            </w:r>
            <w:r>
              <w:rPr>
                <w:sz w:val="21"/>
                <w:szCs w:val="21"/>
              </w:rPr>
              <w:t>0</w:t>
            </w:r>
            <w:r>
              <w:rPr>
                <w:rFonts w:hint="eastAsia"/>
                <w:sz w:val="21"/>
                <w:szCs w:val="21"/>
              </w:rPr>
              <w:t>mm×</w:t>
            </w:r>
            <w:r>
              <w:rPr>
                <w:sz w:val="21"/>
                <w:szCs w:val="21"/>
              </w:rPr>
              <w:t>300</w:t>
            </w:r>
            <w:r>
              <w:rPr>
                <w:rFonts w:hint="eastAsia"/>
                <w:sz w:val="21"/>
                <w:szCs w:val="21"/>
              </w:rPr>
              <w:t>mm</w:t>
            </w:r>
          </w:p>
        </w:tc>
      </w:tr>
      <w:tr w14:paraId="05151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22186F72">
            <w:pPr>
              <w:widowControl/>
              <w:spacing w:line="240" w:lineRule="auto"/>
              <w:jc w:val="center"/>
              <w:rPr>
                <w:kern w:val="0"/>
                <w:sz w:val="21"/>
                <w:szCs w:val="21"/>
                <w:lang w:bidi="ar"/>
              </w:rPr>
            </w:pPr>
            <w:r>
              <w:rPr>
                <w:sz w:val="21"/>
                <w:szCs w:val="21"/>
              </w:rPr>
              <w:t>最小探测漏</w:t>
            </w:r>
            <w:r>
              <w:rPr>
                <w:rFonts w:hint="eastAsia"/>
                <w:sz w:val="21"/>
                <w:szCs w:val="21"/>
              </w:rPr>
              <w:t>水量</w:t>
            </w:r>
          </w:p>
        </w:tc>
        <w:tc>
          <w:tcPr>
            <w:tcW w:w="4300" w:type="dxa"/>
            <w:tcBorders>
              <w:tl2br w:val="nil"/>
              <w:tr2bl w:val="nil"/>
            </w:tcBorders>
            <w:vAlign w:val="center"/>
          </w:tcPr>
          <w:p w14:paraId="6A8C4BA6">
            <w:pPr>
              <w:widowControl/>
              <w:spacing w:line="240" w:lineRule="auto"/>
              <w:jc w:val="center"/>
              <w:rPr>
                <w:kern w:val="0"/>
                <w:sz w:val="21"/>
                <w:szCs w:val="21"/>
                <w:lang w:bidi="ar"/>
              </w:rPr>
            </w:pPr>
            <w:r>
              <w:rPr>
                <w:rFonts w:hint="eastAsia"/>
                <w:sz w:val="21"/>
                <w:szCs w:val="21"/>
              </w:rPr>
              <w:t>≤</w:t>
            </w:r>
            <w:r>
              <w:rPr>
                <w:sz w:val="21"/>
                <w:szCs w:val="21"/>
              </w:rPr>
              <w:t>0.2L/min</w:t>
            </w:r>
          </w:p>
        </w:tc>
      </w:tr>
      <w:tr w14:paraId="4BFD2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3FF7CD7A">
            <w:pPr>
              <w:widowControl/>
              <w:spacing w:line="240" w:lineRule="auto"/>
              <w:jc w:val="center"/>
              <w:rPr>
                <w:kern w:val="0"/>
                <w:sz w:val="21"/>
                <w:szCs w:val="21"/>
                <w:lang w:bidi="ar"/>
              </w:rPr>
            </w:pPr>
            <w:r>
              <w:rPr>
                <w:sz w:val="21"/>
                <w:szCs w:val="21"/>
              </w:rPr>
              <w:t>定位精度</w:t>
            </w:r>
          </w:p>
        </w:tc>
        <w:tc>
          <w:tcPr>
            <w:tcW w:w="4300" w:type="dxa"/>
            <w:tcBorders>
              <w:tl2br w:val="nil"/>
              <w:tr2bl w:val="nil"/>
            </w:tcBorders>
            <w:vAlign w:val="center"/>
          </w:tcPr>
          <w:p w14:paraId="7527CC12">
            <w:pPr>
              <w:widowControl/>
              <w:spacing w:line="240" w:lineRule="auto"/>
              <w:jc w:val="center"/>
              <w:rPr>
                <w:kern w:val="0"/>
                <w:sz w:val="21"/>
                <w:szCs w:val="21"/>
                <w:lang w:bidi="ar"/>
              </w:rPr>
            </w:pPr>
            <w:r>
              <w:rPr>
                <w:sz w:val="21"/>
                <w:szCs w:val="21"/>
              </w:rPr>
              <w:t>±0.5m</w:t>
            </w:r>
          </w:p>
        </w:tc>
      </w:tr>
      <w:tr w14:paraId="177A9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67C685EA">
            <w:pPr>
              <w:widowControl/>
              <w:spacing w:line="240" w:lineRule="auto"/>
              <w:jc w:val="center"/>
              <w:rPr>
                <w:kern w:val="0"/>
                <w:sz w:val="21"/>
                <w:szCs w:val="21"/>
                <w:lang w:bidi="ar"/>
              </w:rPr>
            </w:pPr>
            <w:r>
              <w:rPr>
                <w:sz w:val="21"/>
                <w:szCs w:val="21"/>
              </w:rPr>
              <w:t>定位深度</w:t>
            </w:r>
          </w:p>
        </w:tc>
        <w:tc>
          <w:tcPr>
            <w:tcW w:w="4300" w:type="dxa"/>
            <w:tcBorders>
              <w:tl2br w:val="nil"/>
              <w:tr2bl w:val="nil"/>
            </w:tcBorders>
            <w:vAlign w:val="center"/>
          </w:tcPr>
          <w:p w14:paraId="768B3E3D">
            <w:pPr>
              <w:widowControl/>
              <w:spacing w:line="240" w:lineRule="auto"/>
              <w:jc w:val="center"/>
              <w:rPr>
                <w:rFonts w:eastAsia="宋体"/>
                <w:kern w:val="0"/>
                <w:sz w:val="21"/>
                <w:szCs w:val="21"/>
                <w:lang w:bidi="ar"/>
              </w:rPr>
            </w:pPr>
            <w:r>
              <w:rPr>
                <w:rFonts w:hint="eastAsia"/>
                <w:sz w:val="21"/>
                <w:szCs w:val="21"/>
              </w:rPr>
              <w:t>≥</w:t>
            </w:r>
            <w:r>
              <w:rPr>
                <w:sz w:val="21"/>
                <w:szCs w:val="21"/>
              </w:rPr>
              <w:t>6</w:t>
            </w:r>
            <w:r>
              <w:rPr>
                <w:rFonts w:hint="eastAsia"/>
                <w:sz w:val="21"/>
                <w:szCs w:val="21"/>
              </w:rPr>
              <w:t>m</w:t>
            </w:r>
          </w:p>
        </w:tc>
      </w:tr>
      <w:tr w14:paraId="6490F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5E15F699">
            <w:pPr>
              <w:widowControl/>
              <w:spacing w:line="240" w:lineRule="auto"/>
              <w:jc w:val="center"/>
              <w:rPr>
                <w:kern w:val="0"/>
                <w:sz w:val="21"/>
                <w:szCs w:val="21"/>
                <w:lang w:bidi="ar"/>
              </w:rPr>
            </w:pPr>
            <w:r>
              <w:rPr>
                <w:sz w:val="21"/>
                <w:szCs w:val="21"/>
              </w:rPr>
              <w:t>适用水压</w:t>
            </w:r>
          </w:p>
        </w:tc>
        <w:tc>
          <w:tcPr>
            <w:tcW w:w="4300" w:type="dxa"/>
            <w:tcBorders>
              <w:tl2br w:val="nil"/>
              <w:tr2bl w:val="nil"/>
            </w:tcBorders>
            <w:vAlign w:val="center"/>
          </w:tcPr>
          <w:p w14:paraId="690C0754">
            <w:pPr>
              <w:widowControl/>
              <w:spacing w:line="240" w:lineRule="auto"/>
              <w:jc w:val="center"/>
              <w:rPr>
                <w:kern w:val="0"/>
                <w:sz w:val="21"/>
                <w:szCs w:val="21"/>
                <w:lang w:bidi="ar"/>
              </w:rPr>
            </w:pPr>
            <w:r>
              <w:rPr>
                <w:sz w:val="21"/>
                <w:szCs w:val="21"/>
              </w:rPr>
              <w:t>0.1MPa</w:t>
            </w:r>
            <w:r>
              <w:rPr>
                <w:rFonts w:hint="eastAsia"/>
                <w:sz w:val="21"/>
                <w:szCs w:val="21"/>
              </w:rPr>
              <w:t>～</w:t>
            </w:r>
            <w:r>
              <w:rPr>
                <w:sz w:val="21"/>
                <w:szCs w:val="21"/>
              </w:rPr>
              <w:t>1.</w:t>
            </w:r>
            <w:r>
              <w:rPr>
                <w:rFonts w:hint="eastAsia"/>
                <w:sz w:val="21"/>
                <w:szCs w:val="21"/>
              </w:rPr>
              <w:t>6</w:t>
            </w:r>
            <w:r>
              <w:rPr>
                <w:sz w:val="21"/>
                <w:szCs w:val="21"/>
              </w:rPr>
              <w:t>MPa</w:t>
            </w:r>
          </w:p>
        </w:tc>
      </w:tr>
      <w:tr w14:paraId="1C3E9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6177E47E">
            <w:pPr>
              <w:widowControl/>
              <w:tabs>
                <w:tab w:val="left" w:pos="504"/>
                <w:tab w:val="center" w:pos="1682"/>
              </w:tabs>
              <w:spacing w:line="240" w:lineRule="auto"/>
              <w:jc w:val="center"/>
              <w:rPr>
                <w:kern w:val="0"/>
                <w:sz w:val="21"/>
                <w:szCs w:val="21"/>
                <w:lang w:bidi="ar"/>
              </w:rPr>
            </w:pPr>
            <w:r>
              <w:rPr>
                <w:sz w:val="21"/>
                <w:szCs w:val="21"/>
              </w:rPr>
              <w:t>线缆</w:t>
            </w:r>
            <w:r>
              <w:rPr>
                <w:rFonts w:hint="eastAsia"/>
                <w:sz w:val="21"/>
                <w:szCs w:val="21"/>
              </w:rPr>
              <w:t>总</w:t>
            </w:r>
            <w:r>
              <w:rPr>
                <w:sz w:val="21"/>
                <w:szCs w:val="21"/>
              </w:rPr>
              <w:t>抗拉力</w:t>
            </w:r>
          </w:p>
        </w:tc>
        <w:tc>
          <w:tcPr>
            <w:tcW w:w="4300" w:type="dxa"/>
            <w:tcBorders>
              <w:tl2br w:val="nil"/>
              <w:tr2bl w:val="nil"/>
            </w:tcBorders>
            <w:vAlign w:val="center"/>
          </w:tcPr>
          <w:p w14:paraId="7A6D88D4">
            <w:pPr>
              <w:widowControl/>
              <w:spacing w:line="240" w:lineRule="auto"/>
              <w:jc w:val="center"/>
              <w:rPr>
                <w:kern w:val="0"/>
                <w:sz w:val="21"/>
                <w:szCs w:val="21"/>
                <w:lang w:bidi="ar"/>
              </w:rPr>
            </w:pPr>
            <w:r>
              <w:rPr>
                <w:rFonts w:hint="eastAsia"/>
                <w:sz w:val="21"/>
                <w:szCs w:val="21"/>
              </w:rPr>
              <w:t>≥</w:t>
            </w:r>
            <w:r>
              <w:rPr>
                <w:sz w:val="21"/>
                <w:szCs w:val="21"/>
              </w:rPr>
              <w:t>1kN</w:t>
            </w:r>
          </w:p>
        </w:tc>
      </w:tr>
      <w:tr w14:paraId="26481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49E3B3C2">
            <w:pPr>
              <w:widowControl/>
              <w:tabs>
                <w:tab w:val="left" w:pos="504"/>
                <w:tab w:val="center" w:pos="1682"/>
              </w:tabs>
              <w:spacing w:line="240" w:lineRule="auto"/>
              <w:jc w:val="center"/>
              <w:rPr>
                <w:sz w:val="21"/>
                <w:szCs w:val="21"/>
              </w:rPr>
            </w:pPr>
            <w:r>
              <w:rPr>
                <w:rFonts w:hint="eastAsia"/>
                <w:sz w:val="21"/>
                <w:szCs w:val="21"/>
              </w:rPr>
              <w:t>防护等级</w:t>
            </w:r>
          </w:p>
        </w:tc>
        <w:tc>
          <w:tcPr>
            <w:tcW w:w="4300" w:type="dxa"/>
            <w:tcBorders>
              <w:tl2br w:val="nil"/>
              <w:tr2bl w:val="nil"/>
            </w:tcBorders>
            <w:vAlign w:val="center"/>
          </w:tcPr>
          <w:p w14:paraId="68129855">
            <w:pPr>
              <w:widowControl/>
              <w:spacing w:line="240" w:lineRule="auto"/>
              <w:jc w:val="center"/>
              <w:rPr>
                <w:sz w:val="21"/>
                <w:szCs w:val="21"/>
              </w:rPr>
            </w:pPr>
            <w:r>
              <w:rPr>
                <w:rFonts w:hint="eastAsia"/>
                <w:sz w:val="21"/>
                <w:szCs w:val="21"/>
              </w:rPr>
              <w:t>IP68</w:t>
            </w:r>
          </w:p>
        </w:tc>
      </w:tr>
      <w:tr w14:paraId="3D553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631E28C4">
            <w:pPr>
              <w:widowControl/>
              <w:tabs>
                <w:tab w:val="left" w:pos="504"/>
                <w:tab w:val="center" w:pos="1682"/>
              </w:tabs>
              <w:spacing w:line="240" w:lineRule="auto"/>
              <w:jc w:val="center"/>
              <w:rPr>
                <w:sz w:val="21"/>
                <w:szCs w:val="21"/>
              </w:rPr>
            </w:pPr>
            <w:r>
              <w:rPr>
                <w:rFonts w:hint="eastAsia"/>
                <w:sz w:val="21"/>
                <w:szCs w:val="21"/>
              </w:rPr>
              <w:t>单次检测长度</w:t>
            </w:r>
          </w:p>
        </w:tc>
        <w:tc>
          <w:tcPr>
            <w:tcW w:w="4300" w:type="dxa"/>
            <w:tcBorders>
              <w:tl2br w:val="nil"/>
              <w:tr2bl w:val="nil"/>
            </w:tcBorders>
            <w:vAlign w:val="center"/>
          </w:tcPr>
          <w:p w14:paraId="2F975604">
            <w:pPr>
              <w:widowControl/>
              <w:spacing w:line="240" w:lineRule="auto"/>
              <w:jc w:val="center"/>
              <w:rPr>
                <w:sz w:val="21"/>
                <w:szCs w:val="21"/>
              </w:rPr>
            </w:pPr>
            <w:r>
              <w:rPr>
                <w:rFonts w:hint="eastAsia"/>
                <w:sz w:val="21"/>
                <w:szCs w:val="21"/>
              </w:rPr>
              <w:t>≥1500m</w:t>
            </w:r>
          </w:p>
        </w:tc>
      </w:tr>
    </w:tbl>
    <w:p w14:paraId="2A38C64C">
      <w:pPr>
        <w:rPr>
          <w:b/>
        </w:rPr>
      </w:pPr>
    </w:p>
    <w:p w14:paraId="7742E294">
      <w:r>
        <w:rPr>
          <w:rFonts w:hint="eastAsia"/>
          <w:b/>
        </w:rPr>
        <w:t>4.2.</w:t>
      </w:r>
      <w:r>
        <w:rPr>
          <w:b/>
        </w:rPr>
        <w:t>3　</w:t>
      </w:r>
      <w:r>
        <w:rPr>
          <w:rFonts w:hint="eastAsia"/>
        </w:rPr>
        <w:t>水陆两栖电视检测设备应符合下列规定：</w:t>
      </w:r>
    </w:p>
    <w:p w14:paraId="35FE19A9">
      <w:pPr>
        <w:ind w:firstLine="482" w:firstLineChars="200"/>
      </w:pPr>
      <w:r>
        <w:rPr>
          <w:rFonts w:hint="eastAsia"/>
          <w:b/>
          <w:bCs/>
        </w:rPr>
        <w:t>1　</w:t>
      </w:r>
      <w:r>
        <w:rPr>
          <w:rFonts w:hint="eastAsia"/>
        </w:rPr>
        <w:t>摄像镜头应具有仰俯与旋转、变焦功能</w:t>
      </w:r>
      <w:r>
        <w:rPr>
          <w:rFonts w:hint="eastAsia"/>
          <w:lang w:eastAsia="zh-CN"/>
        </w:rPr>
        <w:t>并</w:t>
      </w:r>
      <w:r>
        <w:rPr>
          <w:rFonts w:hint="eastAsia"/>
        </w:rPr>
        <w:t>应符合表4.2.</w:t>
      </w:r>
      <w:r>
        <w:t>1</w:t>
      </w:r>
      <w:r>
        <w:rPr>
          <w:rFonts w:hint="eastAsia"/>
        </w:rPr>
        <w:t>的规定；</w:t>
      </w:r>
    </w:p>
    <w:p w14:paraId="7AEEC657">
      <w:pPr>
        <w:ind w:firstLine="482" w:firstLineChars="200"/>
      </w:pPr>
      <w:r>
        <w:rPr>
          <w:rFonts w:hint="eastAsia"/>
          <w:b/>
          <w:bCs/>
        </w:rPr>
        <w:t>2　</w:t>
      </w:r>
      <w:r>
        <w:rPr>
          <w:rFonts w:hint="eastAsia"/>
        </w:rPr>
        <w:t>载行器应具有水、陆两栖的前进、后退功能；</w:t>
      </w:r>
    </w:p>
    <w:p w14:paraId="2F33C250">
      <w:pPr>
        <w:ind w:firstLine="482" w:firstLineChars="200"/>
      </w:pPr>
      <w:r>
        <w:rPr>
          <w:b/>
          <w:bCs/>
        </w:rPr>
        <w:t>3　</w:t>
      </w:r>
      <w:r>
        <w:rPr>
          <w:rFonts w:hint="eastAsia"/>
        </w:rPr>
        <w:t>检测设备单次检测长度应能达到1</w:t>
      </w:r>
      <w:r>
        <w:t>20</w:t>
      </w:r>
      <w:r>
        <w:rPr>
          <w:rFonts w:hint="eastAsia"/>
        </w:rPr>
        <w:t>m。</w:t>
      </w:r>
    </w:p>
    <w:p w14:paraId="4FFD7352">
      <w:r>
        <w:rPr>
          <w:rFonts w:hint="eastAsia"/>
          <w:b/>
        </w:rPr>
        <w:t>4.2.</w:t>
      </w:r>
      <w:r>
        <w:rPr>
          <w:b/>
        </w:rPr>
        <w:t>4　</w:t>
      </w:r>
      <w:r>
        <w:rPr>
          <w:rFonts w:hint="eastAsia"/>
        </w:rPr>
        <w:t>推杆电视检测设备基本性能应符合下列规定：</w:t>
      </w:r>
    </w:p>
    <w:p w14:paraId="773F4E9B">
      <w:pPr>
        <w:ind w:firstLine="482" w:firstLineChars="200"/>
      </w:pPr>
      <w:r>
        <w:rPr>
          <w:rFonts w:hint="eastAsia"/>
          <w:b/>
          <w:bCs/>
        </w:rPr>
        <w:t>1　</w:t>
      </w:r>
      <w:r>
        <w:rPr>
          <w:rFonts w:hint="eastAsia"/>
        </w:rPr>
        <w:t>摄像头技术指标应符合表</w:t>
      </w:r>
      <w:r>
        <w:t>4.2.1</w:t>
      </w:r>
      <w:r>
        <w:rPr>
          <w:rFonts w:hint="eastAsia"/>
        </w:rPr>
        <w:t>的规定；</w:t>
      </w:r>
    </w:p>
    <w:p w14:paraId="0F1AB046">
      <w:pPr>
        <w:ind w:firstLine="482" w:firstLineChars="200"/>
      </w:pPr>
      <w:r>
        <w:rPr>
          <w:rFonts w:hint="eastAsia"/>
          <w:b/>
          <w:bCs/>
        </w:rPr>
        <w:t>2　</w:t>
      </w:r>
      <w:r>
        <w:rPr>
          <w:rFonts w:hint="eastAsia"/>
        </w:rPr>
        <w:t>探头应具有多组支撑脚架，可根据被检测管道直径进行更换或调整；</w:t>
      </w:r>
    </w:p>
    <w:p w14:paraId="4D8A9715">
      <w:pPr>
        <w:ind w:firstLine="482" w:firstLineChars="200"/>
      </w:pPr>
      <w:r>
        <w:rPr>
          <w:b/>
          <w:bCs/>
        </w:rPr>
        <w:t>3　</w:t>
      </w:r>
      <w:r>
        <w:rPr>
          <w:rFonts w:hint="eastAsia"/>
        </w:rPr>
        <w:t>检测设备的单次检测长度应大于</w:t>
      </w:r>
      <w:r>
        <w:t>50</w:t>
      </w:r>
      <w:r>
        <w:rPr>
          <w:rFonts w:hint="eastAsia"/>
        </w:rPr>
        <w:t>m。</w:t>
      </w:r>
    </w:p>
    <w:p w14:paraId="49D218A4">
      <w:pPr>
        <w:pStyle w:val="5"/>
      </w:pPr>
      <w:bookmarkStart w:id="95" w:name="_Toc24516"/>
      <w:bookmarkStart w:id="96" w:name="_Toc27958"/>
      <w:bookmarkStart w:id="97" w:name="_Toc13826"/>
      <w:bookmarkStart w:id="98" w:name="_Toc29269"/>
      <w:bookmarkStart w:id="99" w:name="_Toc16829"/>
      <w:bookmarkStart w:id="100" w:name="_Toc15161"/>
      <w:bookmarkStart w:id="101" w:name="_Toc17227"/>
      <w:bookmarkStart w:id="102" w:name="_Toc181825547"/>
      <w:r>
        <w:rPr>
          <w:rFonts w:hint="eastAsia"/>
        </w:rPr>
        <w:t>4.3　</w:t>
      </w:r>
      <w:bookmarkEnd w:id="95"/>
      <w:r>
        <w:rPr>
          <w:rFonts w:hint="eastAsia"/>
        </w:rPr>
        <w:t>检测方法</w:t>
      </w:r>
      <w:bookmarkEnd w:id="96"/>
      <w:bookmarkEnd w:id="97"/>
      <w:bookmarkEnd w:id="98"/>
      <w:bookmarkEnd w:id="99"/>
      <w:bookmarkEnd w:id="100"/>
      <w:bookmarkEnd w:id="101"/>
      <w:bookmarkEnd w:id="102"/>
    </w:p>
    <w:p w14:paraId="024A5D9B">
      <w:pPr>
        <w:rPr>
          <w:rFonts w:eastAsia="宋体" w:cs="Times New Roman"/>
        </w:rPr>
      </w:pPr>
      <w:bookmarkStart w:id="103" w:name="_Toc7957"/>
      <w:r>
        <w:rPr>
          <w:rFonts w:hint="eastAsia" w:eastAsia="宋体" w:cs="Times New Roman"/>
          <w:b/>
          <w:bCs/>
        </w:rPr>
        <w:t>4.3.1　</w:t>
      </w:r>
      <w:r>
        <w:rPr>
          <w:rFonts w:hint="eastAsia" w:eastAsia="宋体" w:cs="Times New Roman"/>
        </w:rPr>
        <w:t>动力伞电视检测应符合下列规定：</w:t>
      </w:r>
    </w:p>
    <w:p w14:paraId="6723350C">
      <w:pPr>
        <w:ind w:firstLine="482" w:firstLineChars="200"/>
      </w:pPr>
      <w:r>
        <w:rPr>
          <w:rFonts w:hint="eastAsia"/>
          <w:b/>
          <w:bCs/>
        </w:rPr>
        <w:t>1　</w:t>
      </w:r>
      <w:r>
        <w:rPr>
          <w:rFonts w:hint="eastAsia"/>
        </w:rPr>
        <w:t>应做好</w:t>
      </w:r>
      <w:r>
        <w:t>改造</w:t>
      </w:r>
      <w:r>
        <w:rPr>
          <w:rFonts w:hint="eastAsia"/>
        </w:rPr>
        <w:t>阀门</w:t>
      </w:r>
      <w:r>
        <w:t>、作业</w:t>
      </w:r>
      <w:r>
        <w:rPr>
          <w:rFonts w:hint="eastAsia"/>
        </w:rPr>
        <w:t>空间</w:t>
      </w:r>
      <w:r>
        <w:t>等现场准备工作；</w:t>
      </w:r>
    </w:p>
    <w:p w14:paraId="33F664A5">
      <w:pPr>
        <w:ind w:firstLine="482" w:firstLineChars="200"/>
      </w:pPr>
      <w:r>
        <w:rPr>
          <w:rFonts w:hint="eastAsia"/>
          <w:b/>
          <w:bCs/>
        </w:rPr>
        <w:t>2　</w:t>
      </w:r>
      <w:r>
        <w:rPr>
          <w:rFonts w:hint="eastAsia"/>
        </w:rPr>
        <w:t>检测</w:t>
      </w:r>
      <w:r>
        <w:t>前</w:t>
      </w:r>
      <w:r>
        <w:rPr>
          <w:rFonts w:hint="eastAsia"/>
        </w:rPr>
        <w:t>应</w:t>
      </w:r>
      <w:r>
        <w:t>检查</w:t>
      </w:r>
      <w:r>
        <w:rPr>
          <w:rFonts w:hint="eastAsia"/>
        </w:rPr>
        <w:t>探视</w:t>
      </w:r>
      <w:r>
        <w:t>器</w:t>
      </w:r>
      <w:r>
        <w:rPr>
          <w:rFonts w:hint="eastAsia"/>
          <w:lang w:eastAsia="zh-CN"/>
        </w:rPr>
        <w:t>并</w:t>
      </w:r>
      <w:r>
        <w:t>做好消毒</w:t>
      </w:r>
      <w:r>
        <w:rPr>
          <w:rFonts w:hint="eastAsia"/>
        </w:rPr>
        <w:t>；</w:t>
      </w:r>
    </w:p>
    <w:p w14:paraId="1D07242A">
      <w:pPr>
        <w:ind w:firstLine="482" w:firstLineChars="200"/>
      </w:pPr>
      <w:r>
        <w:rPr>
          <w:rFonts w:hint="eastAsia"/>
          <w:b/>
          <w:bCs/>
        </w:rPr>
        <w:t>3　</w:t>
      </w:r>
      <w:r>
        <w:t>用管内流速仪确认流速和水流方向，若不满足要求时，应调节至</w:t>
      </w:r>
      <w:r>
        <w:rPr>
          <w:rFonts w:hint="eastAsia"/>
        </w:rPr>
        <w:t>满足</w:t>
      </w:r>
      <w:r>
        <w:t>检测条件</w:t>
      </w:r>
      <w:r>
        <w:rPr>
          <w:rFonts w:hint="eastAsia"/>
        </w:rPr>
        <w:t>。</w:t>
      </w:r>
    </w:p>
    <w:p w14:paraId="3AFC0FBA">
      <w:pPr>
        <w:ind w:firstLine="482" w:firstLineChars="200"/>
      </w:pPr>
      <w:r>
        <w:rPr>
          <w:b/>
          <w:bCs/>
        </w:rPr>
        <w:t>4</w:t>
      </w:r>
      <w:r>
        <w:rPr>
          <w:rFonts w:hint="eastAsia"/>
          <w:b/>
          <w:bCs/>
        </w:rPr>
        <w:t>　</w:t>
      </w:r>
      <w:r>
        <w:rPr>
          <w:rFonts w:hint="eastAsia"/>
        </w:rPr>
        <w:t>应</w:t>
      </w:r>
      <w:r>
        <w:t>在</w:t>
      </w:r>
      <w:r>
        <w:rPr>
          <w:rFonts w:hint="eastAsia"/>
        </w:rPr>
        <w:t>插入</w:t>
      </w:r>
      <w:r>
        <w:t>口安装好</w:t>
      </w:r>
      <w:r>
        <w:rPr>
          <w:rFonts w:hint="eastAsia"/>
        </w:rPr>
        <w:t>探视</w:t>
      </w:r>
      <w:r>
        <w:t>器插入</w:t>
      </w:r>
      <w:r>
        <w:rPr>
          <w:rFonts w:hint="eastAsia"/>
        </w:rPr>
        <w:t>装置</w:t>
      </w:r>
      <w:r>
        <w:t>，放入</w:t>
      </w:r>
      <w:r>
        <w:rPr>
          <w:rFonts w:hint="eastAsia"/>
        </w:rPr>
        <w:t>探视</w:t>
      </w:r>
      <w:r>
        <w:t>器，打开闸阀充水</w:t>
      </w:r>
      <w:r>
        <w:rPr>
          <w:rFonts w:hint="eastAsia"/>
        </w:rPr>
        <w:t>；</w:t>
      </w:r>
    </w:p>
    <w:p w14:paraId="09F3CB27">
      <w:pPr>
        <w:ind w:firstLine="482" w:firstLineChars="200"/>
      </w:pPr>
      <w:r>
        <w:rPr>
          <w:b/>
          <w:bCs/>
        </w:rPr>
        <w:t>5</w:t>
      </w:r>
      <w:r>
        <w:rPr>
          <w:rFonts w:hint="eastAsia"/>
          <w:b/>
          <w:bCs/>
        </w:rPr>
        <w:t>　</w:t>
      </w:r>
      <w:r>
        <w:t>操作</w:t>
      </w:r>
      <w:r>
        <w:rPr>
          <w:rFonts w:hint="eastAsia"/>
        </w:rPr>
        <w:t>线</w:t>
      </w:r>
      <w:r>
        <w:t>缆卷筒</w:t>
      </w:r>
      <w:r>
        <w:rPr>
          <w:rFonts w:hint="eastAsia"/>
          <w:lang w:eastAsia="zh-CN"/>
        </w:rPr>
        <w:t>应能</w:t>
      </w:r>
      <w:r>
        <w:t>保</w:t>
      </w:r>
      <w:r>
        <w:rPr>
          <w:rFonts w:hint="eastAsia"/>
        </w:rPr>
        <w:t>障探视</w:t>
      </w:r>
      <w:r>
        <w:t>器前行</w:t>
      </w:r>
      <w:r>
        <w:rPr>
          <w:rFonts w:hint="eastAsia"/>
        </w:rPr>
        <w:t>。</w:t>
      </w:r>
      <w:r>
        <w:t>操作人员</w:t>
      </w:r>
      <w:r>
        <w:rPr>
          <w:rFonts w:hint="eastAsia"/>
          <w:lang w:eastAsia="zh-CN"/>
        </w:rPr>
        <w:t>可</w:t>
      </w:r>
      <w:r>
        <w:rPr>
          <w:rFonts w:hint="eastAsia"/>
        </w:rPr>
        <w:t>通过</w:t>
      </w:r>
      <w:r>
        <w:t>耳机和操作台视频屏幕</w:t>
      </w:r>
      <w:r>
        <w:rPr>
          <w:rFonts w:hint="eastAsia"/>
        </w:rPr>
        <w:t>观察</w:t>
      </w:r>
      <w:r>
        <w:rPr>
          <w:rFonts w:hint="eastAsia"/>
          <w:lang w:eastAsia="zh-CN"/>
        </w:rPr>
        <w:t>、</w:t>
      </w:r>
      <w:r>
        <w:t>实时记录音频、视频数据</w:t>
      </w:r>
      <w:r>
        <w:rPr>
          <w:rFonts w:hint="eastAsia"/>
          <w:lang w:eastAsia="zh-CN"/>
        </w:rPr>
        <w:t>并</w:t>
      </w:r>
      <w:r>
        <w:t>同步分析</w:t>
      </w:r>
      <w:r>
        <w:rPr>
          <w:rFonts w:hint="eastAsia"/>
        </w:rPr>
        <w:t>；</w:t>
      </w:r>
    </w:p>
    <w:p w14:paraId="11E9B688">
      <w:pPr>
        <w:ind w:firstLine="482" w:firstLineChars="200"/>
      </w:pPr>
      <w:r>
        <w:rPr>
          <w:b/>
          <w:bCs/>
        </w:rPr>
        <w:t>6</w:t>
      </w:r>
      <w:r>
        <w:rPr>
          <w:rFonts w:hint="eastAsia"/>
          <w:b/>
          <w:bCs/>
        </w:rPr>
        <w:t>　</w:t>
      </w:r>
      <w:r>
        <w:t>地面定位人员</w:t>
      </w:r>
      <w:r>
        <w:rPr>
          <w:rFonts w:hint="eastAsia"/>
        </w:rPr>
        <w:t>应</w:t>
      </w:r>
      <w:r>
        <w:t>通过定位仪跟随传感器前进</w:t>
      </w:r>
      <w:r>
        <w:rPr>
          <w:rFonts w:hint="eastAsia"/>
          <w:lang w:eastAsia="zh-CN"/>
        </w:rPr>
        <w:t>并</w:t>
      </w:r>
      <w:r>
        <w:rPr>
          <w:rFonts w:hint="eastAsia"/>
        </w:rPr>
        <w:t>应</w:t>
      </w:r>
      <w:r>
        <w:t>每隔一段距离进行一次定位</w:t>
      </w:r>
      <w:r>
        <w:rPr>
          <w:rFonts w:hint="eastAsia"/>
        </w:rPr>
        <w:t>，</w:t>
      </w:r>
      <w:r>
        <w:t>确认管线方向</w:t>
      </w:r>
      <w:r>
        <w:rPr>
          <w:rFonts w:hint="eastAsia"/>
        </w:rPr>
        <w:t>；</w:t>
      </w:r>
    </w:p>
    <w:p w14:paraId="62D7D4CE">
      <w:pPr>
        <w:ind w:firstLine="482" w:firstLineChars="200"/>
      </w:pPr>
      <w:r>
        <w:rPr>
          <w:b/>
          <w:bCs/>
        </w:rPr>
        <w:t>7</w:t>
      </w:r>
      <w:r>
        <w:rPr>
          <w:rFonts w:hint="eastAsia"/>
          <w:b/>
          <w:bCs/>
        </w:rPr>
        <w:t>　</w:t>
      </w:r>
      <w:r>
        <w:t>确定漏点或异常点</w:t>
      </w:r>
      <w:r>
        <w:rPr>
          <w:rFonts w:hint="eastAsia"/>
        </w:rPr>
        <w:t>后</w:t>
      </w:r>
      <w:r>
        <w:t>，定位人员</w:t>
      </w:r>
      <w:r>
        <w:rPr>
          <w:rFonts w:hint="eastAsia"/>
        </w:rPr>
        <w:t>应</w:t>
      </w:r>
      <w:r>
        <w:t>在相应地面位置实时标记；</w:t>
      </w:r>
    </w:p>
    <w:p w14:paraId="77FEDD0B">
      <w:pPr>
        <w:ind w:firstLine="482" w:firstLineChars="200"/>
      </w:pPr>
      <w:r>
        <w:rPr>
          <w:b/>
          <w:bCs/>
        </w:rPr>
        <w:t>8</w:t>
      </w:r>
      <w:r>
        <w:rPr>
          <w:rFonts w:hint="eastAsia"/>
          <w:b/>
          <w:bCs/>
        </w:rPr>
        <w:t>　</w:t>
      </w:r>
      <w:r>
        <w:t>检测完毕后，</w:t>
      </w:r>
      <w:r>
        <w:rPr>
          <w:rFonts w:hint="eastAsia"/>
        </w:rPr>
        <w:t>应</w:t>
      </w:r>
      <w:r>
        <w:t>回收</w:t>
      </w:r>
      <w:r>
        <w:rPr>
          <w:rFonts w:hint="eastAsia"/>
        </w:rPr>
        <w:t>探视</w:t>
      </w:r>
      <w:r>
        <w:t>器</w:t>
      </w:r>
      <w:r>
        <w:rPr>
          <w:rFonts w:hint="eastAsia"/>
        </w:rPr>
        <w:t>，恢复</w:t>
      </w:r>
      <w:r>
        <w:t>闸阀</w:t>
      </w:r>
      <w:r>
        <w:rPr>
          <w:rFonts w:hint="eastAsia"/>
        </w:rPr>
        <w:t>和检测现场</w:t>
      </w:r>
      <w:r>
        <w:t>。</w:t>
      </w:r>
    </w:p>
    <w:p w14:paraId="6D29B0CF">
      <w:pPr>
        <w:rPr>
          <w:rFonts w:cs="Times New Roman"/>
        </w:rPr>
      </w:pPr>
      <w:r>
        <w:rPr>
          <w:rFonts w:cs="Times New Roman"/>
          <w:b/>
          <w:bCs/>
        </w:rPr>
        <w:t>4.3.</w:t>
      </w:r>
      <w:r>
        <w:rPr>
          <w:rFonts w:hint="eastAsia" w:cs="Times New Roman"/>
          <w:b/>
          <w:bCs/>
        </w:rPr>
        <w:t>2　</w:t>
      </w:r>
      <w:r>
        <w:rPr>
          <w:rFonts w:hint="eastAsia"/>
        </w:rPr>
        <w:t>水陆</w:t>
      </w:r>
      <w:r>
        <w:rPr>
          <w:rFonts w:cs="Times New Roman"/>
        </w:rPr>
        <w:t>两栖电视检测</w:t>
      </w:r>
      <w:r>
        <w:rPr>
          <w:rFonts w:hint="eastAsia" w:eastAsia="宋体" w:cs="Times New Roman"/>
        </w:rPr>
        <w:t>应符合下列规定</w:t>
      </w:r>
      <w:r>
        <w:rPr>
          <w:rFonts w:cs="Times New Roman"/>
        </w:rPr>
        <w:t>：</w:t>
      </w:r>
    </w:p>
    <w:p w14:paraId="54F95DB9">
      <w:pPr>
        <w:ind w:firstLine="482" w:firstLineChars="200"/>
        <w:rPr>
          <w:rFonts w:cs="Times New Roman"/>
        </w:rPr>
      </w:pPr>
      <w:r>
        <w:rPr>
          <w:rFonts w:cs="Times New Roman"/>
          <w:b/>
          <w:bCs/>
        </w:rPr>
        <w:t>1　</w:t>
      </w:r>
      <w:r>
        <w:rPr>
          <w:rFonts w:cs="Times New Roman"/>
        </w:rPr>
        <w:t>检测前应在设备尾部绑好安全绳</w:t>
      </w:r>
      <w:r>
        <w:rPr>
          <w:rFonts w:hint="eastAsia" w:cs="Times New Roman"/>
        </w:rPr>
        <w:t>。</w:t>
      </w:r>
      <w:r>
        <w:rPr>
          <w:rFonts w:cs="Times New Roman"/>
        </w:rPr>
        <w:t>遇到突发情况</w:t>
      </w:r>
      <w:r>
        <w:rPr>
          <w:rFonts w:hint="eastAsia" w:cs="Times New Roman"/>
        </w:rPr>
        <w:t>时，可</w:t>
      </w:r>
      <w:r>
        <w:rPr>
          <w:rFonts w:cs="Times New Roman"/>
        </w:rPr>
        <w:t>通过</w:t>
      </w:r>
      <w:r>
        <w:rPr>
          <w:rFonts w:hint="eastAsia" w:cs="Times New Roman"/>
        </w:rPr>
        <w:t>安全绳</w:t>
      </w:r>
      <w:r>
        <w:rPr>
          <w:rFonts w:cs="Times New Roman"/>
        </w:rPr>
        <w:t>回收设备；</w:t>
      </w:r>
    </w:p>
    <w:p w14:paraId="3809CCD5">
      <w:pPr>
        <w:ind w:firstLine="482" w:firstLineChars="200"/>
        <w:rPr>
          <w:rFonts w:cs="Times New Roman"/>
        </w:rPr>
      </w:pPr>
      <w:r>
        <w:rPr>
          <w:rFonts w:cs="Times New Roman"/>
          <w:b/>
          <w:bCs/>
        </w:rPr>
        <w:t>2　</w:t>
      </w:r>
      <w:r>
        <w:rPr>
          <w:rFonts w:cs="Times New Roman"/>
        </w:rPr>
        <w:t>检测过程中应观察管壁的</w:t>
      </w:r>
      <w:r>
        <w:rPr>
          <w:rFonts w:hint="eastAsia" w:cs="Times New Roman"/>
          <w:lang w:eastAsia="zh-CN"/>
        </w:rPr>
        <w:t>管垢</w:t>
      </w:r>
      <w:r>
        <w:rPr>
          <w:rFonts w:cs="Times New Roman"/>
        </w:rPr>
        <w:t>情况，经过</w:t>
      </w:r>
      <w:r>
        <w:rPr>
          <w:rFonts w:hint="eastAsia" w:cs="Times New Roman"/>
          <w:lang w:eastAsia="zh-CN"/>
        </w:rPr>
        <w:t>管垢</w:t>
      </w:r>
      <w:r>
        <w:rPr>
          <w:rFonts w:cs="Times New Roman"/>
        </w:rPr>
        <w:t>严重的位置应降低行进速度；</w:t>
      </w:r>
    </w:p>
    <w:p w14:paraId="3042A5BE">
      <w:pPr>
        <w:pStyle w:val="2"/>
        <w:ind w:left="0" w:firstLine="482" w:firstLineChars="200"/>
        <w:rPr>
          <w:rFonts w:ascii="Times New Roman" w:hAnsi="Times New Roman" w:cs="Times New Roman"/>
        </w:rPr>
      </w:pPr>
      <w:r>
        <w:rPr>
          <w:rFonts w:ascii="Times New Roman" w:hAnsi="Times New Roman" w:cs="Times New Roman"/>
          <w:b/>
          <w:bCs/>
        </w:rPr>
        <w:t>3　</w:t>
      </w:r>
      <w:r>
        <w:rPr>
          <w:rFonts w:ascii="Times New Roman" w:hAnsi="Times New Roman" w:cs="Times New Roman"/>
        </w:rPr>
        <w:t>管道检测过程中，录像资料不应产生画面暂停、间断记录、画面剪接的现象。</w:t>
      </w:r>
    </w:p>
    <w:p w14:paraId="10A2B2B4">
      <w:r>
        <w:rPr>
          <w:rFonts w:hint="eastAsia"/>
          <w:b/>
          <w:bCs/>
        </w:rPr>
        <w:t>4.3.3　</w:t>
      </w:r>
      <w:r>
        <w:rPr>
          <w:rFonts w:hint="eastAsia"/>
        </w:rPr>
        <w:t>载行器电视检测应符合下列规定：</w:t>
      </w:r>
    </w:p>
    <w:p w14:paraId="0E6A735A">
      <w:pPr>
        <w:ind w:firstLine="482" w:firstLineChars="200"/>
      </w:pPr>
      <w:r>
        <w:rPr>
          <w:rFonts w:hint="eastAsia"/>
          <w:b/>
          <w:bCs/>
        </w:rPr>
        <w:t>1　</w:t>
      </w:r>
      <w:r>
        <w:rPr>
          <w:rFonts w:hint="eastAsia"/>
        </w:rPr>
        <w:t>管径不大于</w:t>
      </w:r>
      <w:r>
        <w:t>200mm</w:t>
      </w:r>
      <w:r>
        <w:rPr>
          <w:rFonts w:hint="eastAsia"/>
        </w:rPr>
        <w:t>时，直向摄影的行进速度不宜超过</w:t>
      </w:r>
      <w:r>
        <w:t>0.1m/s</w:t>
      </w:r>
      <w:r>
        <w:rPr>
          <w:rFonts w:hint="eastAsia"/>
        </w:rPr>
        <w:t>；管径大于</w:t>
      </w:r>
      <w:r>
        <w:t>200mm</w:t>
      </w:r>
      <w:r>
        <w:rPr>
          <w:rFonts w:hint="eastAsia"/>
        </w:rPr>
        <w:t>时，直向摄影的行进速度不宜超过</w:t>
      </w:r>
      <w:r>
        <w:t>0.15m/s；</w:t>
      </w:r>
    </w:p>
    <w:p w14:paraId="51EEE899">
      <w:pPr>
        <w:ind w:firstLine="482" w:firstLineChars="200"/>
      </w:pPr>
      <w:r>
        <w:rPr>
          <w:rFonts w:hint="eastAsia"/>
          <w:b/>
          <w:bCs/>
        </w:rPr>
        <w:t>2　</w:t>
      </w:r>
      <w:r>
        <w:rPr>
          <w:rFonts w:hint="eastAsia"/>
        </w:rPr>
        <w:t>检测时摄像镜头移动轨迹宜在管道中轴线上，偏离度不应大于管径的</w:t>
      </w:r>
      <w:r>
        <w:t>10%；</w:t>
      </w:r>
    </w:p>
    <w:p w14:paraId="0F4A9FD2">
      <w:pPr>
        <w:ind w:firstLine="482" w:firstLineChars="200"/>
      </w:pPr>
      <w:r>
        <w:rPr>
          <w:rFonts w:hint="eastAsia"/>
          <w:b/>
          <w:bCs/>
        </w:rPr>
        <w:t>3　</w:t>
      </w:r>
      <w:r>
        <w:rPr>
          <w:rFonts w:hint="eastAsia"/>
        </w:rPr>
        <w:t>每一管段检测完成后，应根据电缆上标记长度对计数器显示数值进行修正；</w:t>
      </w:r>
    </w:p>
    <w:p w14:paraId="1BBB1385">
      <w:pPr>
        <w:ind w:firstLine="482" w:firstLineChars="200"/>
      </w:pPr>
      <w:r>
        <w:rPr>
          <w:rFonts w:hint="eastAsia"/>
          <w:b/>
          <w:bCs/>
        </w:rPr>
        <w:t>4　</w:t>
      </w:r>
      <w:r>
        <w:rPr>
          <w:rFonts w:hint="eastAsia"/>
        </w:rPr>
        <w:t>直向摄影过程中，图像应保持正向水平，中途不应改变拍摄角度和焦距；</w:t>
      </w:r>
    </w:p>
    <w:p w14:paraId="581DA455">
      <w:pPr>
        <w:ind w:firstLine="482" w:firstLineChars="200"/>
      </w:pPr>
      <w:r>
        <w:rPr>
          <w:rFonts w:hint="eastAsia"/>
          <w:b/>
          <w:bCs/>
        </w:rPr>
        <w:t>5　</w:t>
      </w:r>
      <w:r>
        <w:rPr>
          <w:rFonts w:hint="eastAsia"/>
        </w:rPr>
        <w:t>在载行器行进过程中，不宜使用摄像镜头的变焦功能。当使用变焦功能时，载行器应保持在静止状态。载行器继续行进时，应先将镜头焦距恢复到最短焦距位置；</w:t>
      </w:r>
    </w:p>
    <w:p w14:paraId="01E407A4">
      <w:pPr>
        <w:ind w:firstLine="482" w:firstLineChars="200"/>
      </w:pPr>
      <w:r>
        <w:rPr>
          <w:rFonts w:hint="eastAsia"/>
          <w:b/>
          <w:bCs/>
        </w:rPr>
        <w:t>6　</w:t>
      </w:r>
      <w:r>
        <w:rPr>
          <w:rFonts w:hint="eastAsia"/>
        </w:rPr>
        <w:t>侧向摄影时，载行器宜停止行进，变动拍摄角度和焦距获得最佳图像；</w:t>
      </w:r>
    </w:p>
    <w:p w14:paraId="65AA1C12">
      <w:pPr>
        <w:ind w:firstLine="482" w:firstLineChars="200"/>
      </w:pPr>
      <w:r>
        <w:rPr>
          <w:rFonts w:hint="eastAsia"/>
          <w:b/>
          <w:bCs/>
        </w:rPr>
        <w:t>7　</w:t>
      </w:r>
      <w:r>
        <w:rPr>
          <w:rFonts w:hint="eastAsia"/>
        </w:rPr>
        <w:t>管道检测过程中，录像资料不应产生画面暂停、间断记录、画面剪接的现象；</w:t>
      </w:r>
    </w:p>
    <w:p w14:paraId="5264463B">
      <w:pPr>
        <w:ind w:firstLine="482" w:firstLineChars="200"/>
      </w:pPr>
      <w:r>
        <w:rPr>
          <w:rFonts w:hint="eastAsia"/>
          <w:b/>
          <w:bCs/>
        </w:rPr>
        <w:t>8　</w:t>
      </w:r>
      <w:r>
        <w:rPr>
          <w:rFonts w:hint="eastAsia"/>
        </w:rPr>
        <w:t>在检测过程中发现缺陷时，应将载行器在完全能够解析缺陷的位置至少停止5</w:t>
      </w:r>
      <w:r>
        <w:t>s</w:t>
      </w:r>
      <w:r>
        <w:rPr>
          <w:rFonts w:hint="eastAsia"/>
        </w:rPr>
        <w:t>，应确保拍摄图像清晰完整。</w:t>
      </w:r>
    </w:p>
    <w:p w14:paraId="6282319B">
      <w:r>
        <w:rPr>
          <w:rFonts w:hint="eastAsia"/>
          <w:b/>
          <w:bCs/>
        </w:rPr>
        <w:t>4.3.4　</w:t>
      </w:r>
      <w:r>
        <w:rPr>
          <w:rFonts w:hint="eastAsia"/>
        </w:rPr>
        <w:t>推杆电视检测应符合下列规定：</w:t>
      </w:r>
    </w:p>
    <w:p w14:paraId="6FBB64C8">
      <w:pPr>
        <w:ind w:firstLine="482" w:firstLineChars="200"/>
      </w:pPr>
      <w:r>
        <w:rPr>
          <w:rFonts w:hint="eastAsia"/>
          <w:b/>
          <w:bCs/>
        </w:rPr>
        <w:t>1　</w:t>
      </w:r>
      <w:r>
        <w:rPr>
          <w:rFonts w:hint="eastAsia"/>
        </w:rPr>
        <w:t>根据管径安装合适的支撑夹脚架，摄像镜头移动轨迹宜在管道中轴线上，偏离度不宜大于管径的2</w:t>
      </w:r>
      <w:r>
        <w:t>0%；</w:t>
      </w:r>
    </w:p>
    <w:p w14:paraId="2F9BAA30">
      <w:pPr>
        <w:ind w:firstLine="482" w:firstLineChars="200"/>
      </w:pPr>
      <w:r>
        <w:rPr>
          <w:rFonts w:hint="eastAsia"/>
          <w:b/>
          <w:bCs/>
        </w:rPr>
        <w:t>2　</w:t>
      </w:r>
      <w:r>
        <w:rPr>
          <w:rFonts w:hint="eastAsia"/>
        </w:rPr>
        <w:t>推动线缆速度应保持平缓一致，行进速度不宜大于0.2m/s；</w:t>
      </w:r>
    </w:p>
    <w:p w14:paraId="7CFB9188">
      <w:pPr>
        <w:ind w:firstLine="482" w:firstLineChars="200"/>
      </w:pPr>
      <w:r>
        <w:rPr>
          <w:rFonts w:hint="eastAsia"/>
          <w:b/>
          <w:bCs/>
        </w:rPr>
        <w:t>3　</w:t>
      </w:r>
      <w:r>
        <w:rPr>
          <w:rFonts w:hint="eastAsia"/>
        </w:rPr>
        <w:t>管道检测过程中，录像资料不应产生画面暂停、间断记录、画面剪接的现象。</w:t>
      </w:r>
    </w:p>
    <w:p w14:paraId="63137D3B">
      <w:pPr>
        <w:pStyle w:val="5"/>
      </w:pPr>
      <w:bookmarkStart w:id="104" w:name="_Toc31291"/>
      <w:bookmarkStart w:id="105" w:name="_Toc31677"/>
      <w:bookmarkStart w:id="106" w:name="_Toc181825548"/>
      <w:bookmarkStart w:id="107" w:name="_Toc16596"/>
      <w:bookmarkStart w:id="108" w:name="_Toc32516"/>
      <w:bookmarkStart w:id="109" w:name="_Toc13309"/>
      <w:bookmarkStart w:id="110" w:name="_Toc9801"/>
      <w:r>
        <w:rPr>
          <w:rFonts w:hint="eastAsia"/>
        </w:rPr>
        <w:t>4.4　</w:t>
      </w:r>
      <w:bookmarkEnd w:id="103"/>
      <w:r>
        <w:rPr>
          <w:rFonts w:hint="eastAsia"/>
        </w:rPr>
        <w:t>结果判读</w:t>
      </w:r>
      <w:bookmarkEnd w:id="104"/>
      <w:bookmarkEnd w:id="105"/>
      <w:bookmarkEnd w:id="106"/>
      <w:bookmarkEnd w:id="107"/>
      <w:bookmarkEnd w:id="108"/>
      <w:bookmarkEnd w:id="109"/>
      <w:bookmarkEnd w:id="110"/>
    </w:p>
    <w:p w14:paraId="1E3D6687">
      <w:pPr>
        <w:tabs>
          <w:tab w:val="left" w:pos="1568"/>
        </w:tabs>
        <w:rPr>
          <w:rFonts w:ascii="宋体" w:hAnsi="宋体" w:eastAsia="宋体" w:cs="黑体"/>
          <w:bCs/>
          <w:kern w:val="44"/>
          <w:szCs w:val="21"/>
        </w:rPr>
      </w:pPr>
      <w:r>
        <w:rPr>
          <w:b/>
          <w:bCs/>
        </w:rPr>
        <w:t>4.4.1　</w:t>
      </w:r>
      <w:r>
        <w:rPr>
          <w:rFonts w:hint="eastAsia" w:ascii="宋体" w:hAnsi="宋体" w:eastAsia="宋体" w:cs="黑体"/>
          <w:bCs/>
          <w:kern w:val="44"/>
          <w:szCs w:val="21"/>
        </w:rPr>
        <w:t>缺陷的类型、等级应在现场初步判读并按本标准附录A填写检测记录。现场检测完毕后，应对检测资料进行复核。</w:t>
      </w:r>
    </w:p>
    <w:p w14:paraId="49DE425E">
      <w:pPr>
        <w:widowControl/>
        <w:jc w:val="left"/>
      </w:pPr>
      <w:r>
        <w:rPr>
          <w:b/>
          <w:bCs/>
        </w:rPr>
        <w:t>4.4.2　</w:t>
      </w:r>
      <w:r>
        <w:rPr>
          <w:rFonts w:hint="eastAsia" w:ascii="宋体" w:hAnsi="宋体" w:eastAsia="宋体" w:cs="黑体"/>
          <w:bCs/>
          <w:kern w:val="44"/>
          <w:szCs w:val="21"/>
        </w:rPr>
        <w:t>缺陷的尺寸可按管径、行进距离或相关物体尺寸估算。</w:t>
      </w:r>
    </w:p>
    <w:p w14:paraId="6C2AD918">
      <w:pPr>
        <w:widowControl/>
        <w:jc w:val="left"/>
      </w:pPr>
      <w:r>
        <w:rPr>
          <w:b/>
          <w:bCs/>
        </w:rPr>
        <w:t>4.4.3　</w:t>
      </w:r>
      <w:r>
        <w:rPr>
          <w:rFonts w:hint="eastAsia" w:ascii="宋体" w:hAnsi="宋体" w:eastAsia="宋体" w:cs="黑体"/>
          <w:bCs/>
          <w:kern w:val="44"/>
          <w:szCs w:val="21"/>
        </w:rPr>
        <w:t>无法确定的缺陷类型和等级应在评估报告中说明。</w:t>
      </w:r>
    </w:p>
    <w:p w14:paraId="19FDE8E7">
      <w:pPr>
        <w:tabs>
          <w:tab w:val="left" w:pos="1568"/>
        </w:tabs>
        <w:rPr>
          <w:rFonts w:ascii="宋体" w:hAnsi="宋体" w:eastAsia="宋体" w:cs="黑体"/>
          <w:bCs/>
          <w:kern w:val="44"/>
          <w:szCs w:val="21"/>
        </w:rPr>
      </w:pPr>
      <w:r>
        <w:rPr>
          <w:b/>
          <w:bCs/>
        </w:rPr>
        <w:t>4.4.4　</w:t>
      </w:r>
      <w:r>
        <w:rPr>
          <w:rFonts w:hint="eastAsia" w:ascii="宋体" w:hAnsi="宋体" w:eastAsia="宋体" w:cs="黑体"/>
          <w:bCs/>
          <w:kern w:val="44"/>
          <w:szCs w:val="21"/>
        </w:rPr>
        <w:t>缺陷的图片宜采用现场抓取最佳角度和最清晰图片方式，特殊情况下也可采用观看录像截图方式。</w:t>
      </w:r>
    </w:p>
    <w:p w14:paraId="4A2C670F">
      <w:r>
        <w:rPr>
          <w:b/>
          <w:bCs/>
        </w:rPr>
        <w:t>4.4.</w:t>
      </w:r>
      <w:r>
        <w:rPr>
          <w:rFonts w:hint="eastAsia"/>
          <w:b/>
          <w:bCs/>
        </w:rPr>
        <w:t>5　</w:t>
      </w:r>
      <w:r>
        <w:rPr>
          <w:rFonts w:hint="eastAsia" w:ascii="宋体" w:hAnsi="宋体" w:eastAsia="宋体" w:cs="黑体"/>
          <w:bCs/>
          <w:kern w:val="44"/>
          <w:szCs w:val="21"/>
        </w:rPr>
        <w:t>对直向摄影和侧向摄影，每处结构性缺陷抓取图片数量不应少于</w:t>
      </w:r>
      <w:r>
        <w:rPr>
          <w:rFonts w:ascii="宋体" w:hAnsi="宋体" w:eastAsia="宋体" w:cs="黑体"/>
          <w:bCs/>
          <w:kern w:val="44"/>
          <w:szCs w:val="21"/>
        </w:rPr>
        <w:t>1</w:t>
      </w:r>
      <w:r>
        <w:rPr>
          <w:rFonts w:hint="eastAsia" w:ascii="宋体" w:hAnsi="宋体" w:eastAsia="宋体" w:cs="黑体"/>
          <w:bCs/>
          <w:kern w:val="44"/>
          <w:szCs w:val="21"/>
        </w:rPr>
        <w:t>张。</w:t>
      </w:r>
    </w:p>
    <w:p w14:paraId="4B01866F">
      <w:pPr>
        <w:pStyle w:val="2"/>
        <w:ind w:firstLine="240"/>
        <w:sectPr>
          <w:pgSz w:w="11906" w:h="16838"/>
          <w:pgMar w:top="1440" w:right="1800" w:bottom="1440" w:left="1800" w:header="851" w:footer="992" w:gutter="0"/>
          <w:cols w:space="425" w:num="1"/>
          <w:docGrid w:type="lines" w:linePitch="312" w:charSpace="0"/>
        </w:sectPr>
      </w:pPr>
    </w:p>
    <w:p w14:paraId="73CB11C5">
      <w:pPr>
        <w:pStyle w:val="4"/>
      </w:pPr>
      <w:bookmarkStart w:id="111" w:name="_Toc12805"/>
      <w:bookmarkStart w:id="112" w:name="_Toc16971"/>
      <w:bookmarkStart w:id="113" w:name="_Toc5149"/>
      <w:bookmarkStart w:id="114" w:name="_Toc181825549"/>
      <w:bookmarkStart w:id="115" w:name="_Toc30725"/>
      <w:r>
        <w:rPr>
          <w:rFonts w:hint="eastAsia"/>
        </w:rPr>
        <w:t>5　</w:t>
      </w:r>
      <w:bookmarkEnd w:id="55"/>
      <w:bookmarkEnd w:id="56"/>
      <w:bookmarkEnd w:id="57"/>
      <w:r>
        <w:rPr>
          <w:rFonts w:hint="eastAsia"/>
        </w:rPr>
        <w:t>声呐检测</w:t>
      </w:r>
      <w:bookmarkEnd w:id="58"/>
      <w:bookmarkEnd w:id="59"/>
      <w:bookmarkEnd w:id="111"/>
      <w:bookmarkEnd w:id="112"/>
      <w:bookmarkEnd w:id="113"/>
      <w:bookmarkEnd w:id="114"/>
      <w:bookmarkEnd w:id="115"/>
    </w:p>
    <w:p w14:paraId="7DD7CAA0">
      <w:pPr>
        <w:pStyle w:val="5"/>
      </w:pPr>
      <w:bookmarkStart w:id="116" w:name="_Toc10169"/>
      <w:bookmarkStart w:id="117" w:name="_Toc25960"/>
      <w:bookmarkStart w:id="118" w:name="_Toc29636"/>
      <w:bookmarkStart w:id="119" w:name="_Toc17395"/>
      <w:bookmarkStart w:id="120" w:name="_Toc9980"/>
      <w:bookmarkStart w:id="121" w:name="_Toc25256"/>
      <w:bookmarkStart w:id="122" w:name="_Toc181825550"/>
      <w:bookmarkStart w:id="123" w:name="_Toc15651"/>
      <w:bookmarkStart w:id="124" w:name="_Toc28156"/>
      <w:bookmarkStart w:id="125" w:name="_Toc19326"/>
      <w:r>
        <w:rPr>
          <w:rFonts w:hint="eastAsia"/>
        </w:rPr>
        <w:t>5.1　一般规定</w:t>
      </w:r>
      <w:bookmarkEnd w:id="116"/>
      <w:bookmarkEnd w:id="117"/>
      <w:bookmarkEnd w:id="118"/>
      <w:bookmarkEnd w:id="119"/>
      <w:bookmarkEnd w:id="120"/>
      <w:bookmarkEnd w:id="121"/>
      <w:bookmarkEnd w:id="122"/>
      <w:bookmarkEnd w:id="123"/>
      <w:bookmarkEnd w:id="124"/>
      <w:bookmarkEnd w:id="125"/>
    </w:p>
    <w:p w14:paraId="0EAD9FB8">
      <w:r>
        <w:rPr>
          <w:rFonts w:hint="eastAsia"/>
          <w:b/>
          <w:bCs/>
        </w:rPr>
        <w:t>5.1.1　</w:t>
      </w:r>
      <w:r>
        <w:rPr>
          <w:rFonts w:hint="eastAsia"/>
        </w:rPr>
        <w:t>声呐检测可用于给水管道内水下部分的破裂、变形、砂浆层脱落、异物侵入、气囊、沉积物、胶结物、贻贝、结垢附着物的形态检测。</w:t>
      </w:r>
    </w:p>
    <w:p w14:paraId="1C463A5A">
      <w:r>
        <w:rPr>
          <w:b/>
          <w:bCs/>
        </w:rPr>
        <w:t>5</w:t>
      </w:r>
      <w:r>
        <w:rPr>
          <w:rFonts w:hint="eastAsia"/>
          <w:b/>
          <w:bCs/>
        </w:rPr>
        <w:t>.1.2　</w:t>
      </w:r>
      <w:r>
        <w:rPr>
          <w:rFonts w:hint="eastAsia"/>
        </w:rPr>
        <w:t>给水管道</w:t>
      </w:r>
      <w:r>
        <w:rPr>
          <w:rFonts w:hint="eastAsia"/>
          <w:bCs/>
          <w:szCs w:val="24"/>
        </w:rPr>
        <w:t>声呐</w:t>
      </w:r>
      <w:r>
        <w:rPr>
          <w:rFonts w:hint="eastAsia" w:eastAsia="宋体" w:cs="Times New Roman"/>
          <w:bCs/>
        </w:rPr>
        <w:t>检测</w:t>
      </w:r>
      <w:r>
        <w:rPr>
          <w:rFonts w:hint="eastAsia"/>
        </w:rPr>
        <w:t>可分为带压检测和停水检测。</w:t>
      </w:r>
    </w:p>
    <w:p w14:paraId="662AFC17">
      <w:pPr>
        <w:rPr>
          <w:rFonts w:eastAsia="宋体" w:cs="Times New Roman"/>
          <w:b/>
          <w:bCs/>
        </w:rPr>
      </w:pPr>
      <w:r>
        <w:rPr>
          <w:b/>
          <w:szCs w:val="24"/>
        </w:rPr>
        <w:t>5.1.3　</w:t>
      </w:r>
      <w:r>
        <w:rPr>
          <w:rFonts w:hint="eastAsia"/>
          <w:bCs/>
          <w:szCs w:val="24"/>
        </w:rPr>
        <w:t>带压声呐</w:t>
      </w:r>
      <w:r>
        <w:rPr>
          <w:rFonts w:hint="eastAsia" w:eastAsia="宋体" w:cs="Times New Roman"/>
          <w:bCs/>
        </w:rPr>
        <w:t>检测</w:t>
      </w:r>
      <w:r>
        <w:rPr>
          <w:rFonts w:hint="eastAsia" w:eastAsia="宋体" w:cs="Times New Roman"/>
        </w:rPr>
        <w:t>应满足下列条件：</w:t>
      </w:r>
    </w:p>
    <w:p w14:paraId="78F26EB4">
      <w:pPr>
        <w:ind w:firstLine="482" w:firstLineChars="200"/>
        <w:rPr>
          <w:rFonts w:eastAsia="宋体" w:cs="Times New Roman"/>
          <w:b/>
          <w:bCs/>
        </w:rPr>
      </w:pPr>
      <w:r>
        <w:rPr>
          <w:rFonts w:hint="eastAsia" w:eastAsia="宋体" w:cs="Times New Roman"/>
          <w:b/>
          <w:bCs/>
        </w:rPr>
        <w:t>1　</w:t>
      </w:r>
      <w:r>
        <w:rPr>
          <w:rFonts w:hint="eastAsia" w:eastAsia="宋体" w:cs="Times New Roman"/>
        </w:rPr>
        <w:t>管道内径不小于</w:t>
      </w:r>
      <w:r>
        <w:rPr>
          <w:rFonts w:eastAsia="宋体" w:cs="Times New Roman"/>
        </w:rPr>
        <w:t>4</w:t>
      </w:r>
      <w:r>
        <w:rPr>
          <w:rFonts w:hint="eastAsia" w:eastAsia="宋体" w:cs="Times New Roman"/>
        </w:rPr>
        <w:t>00mm；检测管段设有蝶阀时，管径不小于5</w:t>
      </w:r>
      <w:r>
        <w:rPr>
          <w:rFonts w:eastAsia="宋体" w:cs="Times New Roman"/>
        </w:rPr>
        <w:t>00mm；</w:t>
      </w:r>
    </w:p>
    <w:p w14:paraId="6D5437C5">
      <w:pPr>
        <w:ind w:firstLine="482" w:firstLineChars="200"/>
        <w:rPr>
          <w:rFonts w:eastAsia="宋体" w:cs="Times New Roman"/>
        </w:rPr>
      </w:pPr>
      <w:r>
        <w:rPr>
          <w:rFonts w:hint="eastAsia" w:eastAsia="宋体" w:cs="Times New Roman"/>
          <w:b/>
          <w:bCs/>
        </w:rPr>
        <w:t>2　</w:t>
      </w:r>
      <w:r>
        <w:rPr>
          <w:rFonts w:hint="eastAsia" w:eastAsia="宋体" w:cs="Times New Roman"/>
        </w:rPr>
        <w:t>水的流速为0</w:t>
      </w:r>
      <w:r>
        <w:rPr>
          <w:rFonts w:eastAsia="宋体" w:cs="Times New Roman"/>
        </w:rPr>
        <w:t>.15m/s</w:t>
      </w:r>
      <w:r>
        <w:rPr>
          <w:rFonts w:hint="eastAsia" w:eastAsia="宋体" w:cs="Times New Roman"/>
        </w:rPr>
        <w:t>～</w:t>
      </w:r>
      <w:r>
        <w:rPr>
          <w:rFonts w:eastAsia="宋体" w:cs="Times New Roman"/>
        </w:rPr>
        <w:t>1</w:t>
      </w:r>
      <w:r>
        <w:rPr>
          <w:rFonts w:hint="eastAsia" w:eastAsia="宋体" w:cs="Times New Roman"/>
        </w:rPr>
        <w:t>.00</w:t>
      </w:r>
      <w:r>
        <w:rPr>
          <w:rFonts w:eastAsia="宋体" w:cs="Times New Roman"/>
        </w:rPr>
        <w:t>m/s；</w:t>
      </w:r>
    </w:p>
    <w:p w14:paraId="70AEB249">
      <w:pPr>
        <w:ind w:firstLine="482" w:firstLineChars="200"/>
        <w:rPr>
          <w:rFonts w:eastAsia="宋体" w:cs="Times New Roman"/>
        </w:rPr>
      </w:pPr>
      <w:r>
        <w:rPr>
          <w:rFonts w:hint="eastAsia" w:eastAsia="宋体" w:cs="Times New Roman"/>
          <w:b/>
          <w:bCs/>
        </w:rPr>
        <w:t>3　</w:t>
      </w:r>
      <w:r>
        <w:rPr>
          <w:rFonts w:hint="eastAsia" w:eastAsia="宋体" w:cs="Times New Roman"/>
        </w:rPr>
        <w:t>管道压力不大于</w:t>
      </w:r>
      <w:r>
        <w:rPr>
          <w:rFonts w:eastAsia="宋体" w:cs="Times New Roman"/>
        </w:rPr>
        <w:t>1</w:t>
      </w:r>
      <w:r>
        <w:rPr>
          <w:rFonts w:hint="eastAsia" w:eastAsia="宋体" w:cs="Times New Roman"/>
        </w:rPr>
        <w:t>.0</w:t>
      </w:r>
      <w:r>
        <w:rPr>
          <w:rFonts w:eastAsia="宋体" w:cs="Times New Roman"/>
        </w:rPr>
        <w:t>MPa</w:t>
      </w:r>
      <w:r>
        <w:rPr>
          <w:rFonts w:hint="eastAsia" w:eastAsia="宋体" w:cs="Times New Roman"/>
        </w:rPr>
        <w:t>。</w:t>
      </w:r>
    </w:p>
    <w:p w14:paraId="2BB0B58B">
      <w:pPr>
        <w:rPr>
          <w:rFonts w:eastAsia="宋体" w:cs="Times New Roman"/>
          <w:b/>
          <w:bCs/>
        </w:rPr>
      </w:pPr>
      <w:r>
        <w:rPr>
          <w:rFonts w:hint="eastAsia"/>
          <w:b/>
          <w:bCs/>
        </w:rPr>
        <w:t>5.1.</w:t>
      </w:r>
      <w:r>
        <w:rPr>
          <w:b/>
          <w:bCs/>
        </w:rPr>
        <w:t>4　</w:t>
      </w:r>
      <w:r>
        <w:rPr>
          <w:rFonts w:hint="eastAsia"/>
        </w:rPr>
        <w:t>停水声呐</w:t>
      </w:r>
      <w:r>
        <w:rPr>
          <w:rFonts w:hint="eastAsia" w:eastAsia="宋体" w:cs="Times New Roman"/>
          <w:bCs/>
        </w:rPr>
        <w:t>检测</w:t>
      </w:r>
      <w:r>
        <w:rPr>
          <w:rFonts w:hint="eastAsia" w:eastAsia="宋体" w:cs="Times New Roman"/>
        </w:rPr>
        <w:t>应满足下列条件：</w:t>
      </w:r>
    </w:p>
    <w:p w14:paraId="495E49D1">
      <w:pPr>
        <w:ind w:firstLine="482" w:firstLineChars="200"/>
        <w:rPr>
          <w:rFonts w:eastAsia="宋体" w:cs="Times New Roman"/>
        </w:rPr>
      </w:pPr>
      <w:r>
        <w:rPr>
          <w:rFonts w:hint="eastAsia" w:eastAsia="宋体" w:cs="Times New Roman"/>
          <w:b/>
          <w:bCs/>
        </w:rPr>
        <w:t>1　</w:t>
      </w:r>
      <w:r>
        <w:rPr>
          <w:rFonts w:hint="eastAsia" w:eastAsia="宋体" w:cs="Times New Roman"/>
        </w:rPr>
        <w:t>管道内径不小于</w:t>
      </w:r>
      <w:r>
        <w:rPr>
          <w:rFonts w:eastAsia="宋体" w:cs="Times New Roman"/>
        </w:rPr>
        <w:t>4</w:t>
      </w:r>
      <w:r>
        <w:rPr>
          <w:rFonts w:hint="eastAsia" w:eastAsia="宋体" w:cs="Times New Roman"/>
        </w:rPr>
        <w:t>00mm；检测管段设有蝶阀时，管径不小于5</w:t>
      </w:r>
      <w:r>
        <w:rPr>
          <w:rFonts w:eastAsia="宋体" w:cs="Times New Roman"/>
        </w:rPr>
        <w:t>00mm；</w:t>
      </w:r>
    </w:p>
    <w:p w14:paraId="5ACE6A59">
      <w:pPr>
        <w:pStyle w:val="43"/>
        <w:ind w:firstLine="482" w:firstLineChars="200"/>
      </w:pPr>
      <w:r>
        <w:rPr>
          <w:rFonts w:hint="eastAsia"/>
          <w:b/>
          <w:bCs/>
        </w:rPr>
        <w:t>2　</w:t>
      </w:r>
      <w:r>
        <w:rPr>
          <w:rFonts w:hint="eastAsia"/>
        </w:rPr>
        <w:t>水深不小于300mm。</w:t>
      </w:r>
    </w:p>
    <w:p w14:paraId="242A5E0E">
      <w:pPr>
        <w:rPr>
          <w:rFonts w:ascii="宋体" w:hAnsi="宋体"/>
          <w:szCs w:val="24"/>
        </w:rPr>
      </w:pPr>
      <w:r>
        <w:rPr>
          <w:b/>
          <w:szCs w:val="24"/>
        </w:rPr>
        <w:t>5.1.5　</w:t>
      </w:r>
      <w:r>
        <w:rPr>
          <w:rFonts w:hint="eastAsia" w:ascii="宋体" w:hAnsi="宋体"/>
          <w:szCs w:val="24"/>
        </w:rPr>
        <w:t>遇下列情形之一时，应中止检测：</w:t>
      </w:r>
    </w:p>
    <w:p w14:paraId="113F09F9">
      <w:pPr>
        <w:ind w:firstLine="361" w:firstLineChars="150"/>
        <w:rPr>
          <w:rFonts w:cs="Times New Roman"/>
          <w:bCs/>
          <w:szCs w:val="24"/>
        </w:rPr>
      </w:pPr>
      <w:r>
        <w:rPr>
          <w:rFonts w:cs="Times New Roman"/>
          <w:b/>
          <w:szCs w:val="24"/>
        </w:rPr>
        <w:t>1　</w:t>
      </w:r>
      <w:r>
        <w:rPr>
          <w:rFonts w:cs="Times New Roman"/>
          <w:bCs/>
          <w:szCs w:val="24"/>
        </w:rPr>
        <w:t>载行器受阻无法正常前行时；</w:t>
      </w:r>
    </w:p>
    <w:p w14:paraId="77661597">
      <w:pPr>
        <w:ind w:firstLine="361" w:firstLineChars="150"/>
        <w:rPr>
          <w:rFonts w:cs="Times New Roman"/>
          <w:bCs/>
          <w:szCs w:val="24"/>
        </w:rPr>
      </w:pPr>
      <w:r>
        <w:rPr>
          <w:rFonts w:cs="Times New Roman"/>
          <w:b/>
          <w:szCs w:val="24"/>
        </w:rPr>
        <w:t>2　</w:t>
      </w:r>
      <w:r>
        <w:rPr>
          <w:rFonts w:cs="Times New Roman"/>
          <w:bCs/>
          <w:szCs w:val="24"/>
        </w:rPr>
        <w:t>探头被水中异物缠绕或遮盖，无法显示完整的检测断面时；</w:t>
      </w:r>
    </w:p>
    <w:p w14:paraId="7BCDD8B8">
      <w:pPr>
        <w:ind w:firstLine="361" w:firstLineChars="150"/>
        <w:rPr>
          <w:rFonts w:cs="Times New Roman"/>
          <w:bCs/>
          <w:szCs w:val="24"/>
        </w:rPr>
      </w:pPr>
      <w:r>
        <w:rPr>
          <w:rFonts w:cs="Times New Roman"/>
          <w:b/>
          <w:szCs w:val="24"/>
        </w:rPr>
        <w:t>3　</w:t>
      </w:r>
      <w:r>
        <w:rPr>
          <w:rFonts w:cs="Times New Roman"/>
          <w:bCs/>
          <w:szCs w:val="24"/>
        </w:rPr>
        <w:t>探头损坏时；</w:t>
      </w:r>
    </w:p>
    <w:p w14:paraId="1F4726E8">
      <w:pPr>
        <w:ind w:firstLine="361" w:firstLineChars="150"/>
        <w:rPr>
          <w:rFonts w:cs="Times New Roman"/>
          <w:bCs/>
          <w:szCs w:val="24"/>
        </w:rPr>
      </w:pPr>
      <w:r>
        <w:rPr>
          <w:rFonts w:cs="Times New Roman"/>
          <w:b/>
          <w:szCs w:val="24"/>
        </w:rPr>
        <w:t>4　</w:t>
      </w:r>
      <w:r>
        <w:rPr>
          <w:rFonts w:cs="Times New Roman"/>
          <w:bCs/>
          <w:szCs w:val="24"/>
        </w:rPr>
        <w:t>载行器损坏或其他原因无法运行时；</w:t>
      </w:r>
    </w:p>
    <w:p w14:paraId="1FD05A24">
      <w:pPr>
        <w:ind w:firstLine="361" w:firstLineChars="150"/>
        <w:rPr>
          <w:rFonts w:cs="Times New Roman"/>
          <w:bCs/>
          <w:szCs w:val="24"/>
        </w:rPr>
      </w:pPr>
      <w:r>
        <w:rPr>
          <w:rFonts w:cs="Times New Roman"/>
          <w:b/>
          <w:szCs w:val="24"/>
        </w:rPr>
        <w:t>5　</w:t>
      </w:r>
      <w:r>
        <w:rPr>
          <w:rFonts w:cs="Times New Roman"/>
          <w:bCs/>
          <w:szCs w:val="24"/>
        </w:rPr>
        <w:t>探头埋入沉积物致使图像变异时；</w:t>
      </w:r>
    </w:p>
    <w:p w14:paraId="200A75EA">
      <w:pPr>
        <w:ind w:firstLine="361" w:firstLineChars="150"/>
        <w:rPr>
          <w:rFonts w:cs="Times New Roman"/>
          <w:bCs/>
          <w:szCs w:val="24"/>
        </w:rPr>
      </w:pPr>
      <w:r>
        <w:rPr>
          <w:rFonts w:cs="Times New Roman"/>
          <w:b/>
          <w:szCs w:val="24"/>
        </w:rPr>
        <w:t>6　</w:t>
      </w:r>
      <w:r>
        <w:rPr>
          <w:rFonts w:cs="Times New Roman"/>
          <w:bCs/>
          <w:szCs w:val="24"/>
        </w:rPr>
        <w:t>其他原因无法正常检测时。</w:t>
      </w:r>
    </w:p>
    <w:p w14:paraId="74390445">
      <w:pPr>
        <w:pStyle w:val="5"/>
      </w:pPr>
      <w:bookmarkStart w:id="126" w:name="_Toc7370"/>
      <w:bookmarkStart w:id="127" w:name="_Toc415"/>
      <w:bookmarkStart w:id="128" w:name="_Toc181825551"/>
      <w:bookmarkStart w:id="129" w:name="_Toc6745"/>
      <w:bookmarkStart w:id="130" w:name="_Toc27061"/>
      <w:bookmarkStart w:id="131" w:name="_Toc18054"/>
      <w:bookmarkStart w:id="132" w:name="_Toc4273"/>
      <w:bookmarkStart w:id="133" w:name="_Toc13513"/>
      <w:bookmarkStart w:id="134" w:name="_Toc28345"/>
      <w:bookmarkStart w:id="135" w:name="_Toc49"/>
      <w:r>
        <w:rPr>
          <w:rFonts w:hint="eastAsia"/>
        </w:rPr>
        <w:t>5.2　</w:t>
      </w:r>
      <w:bookmarkEnd w:id="126"/>
      <w:bookmarkEnd w:id="127"/>
      <w:r>
        <w:rPr>
          <w:rFonts w:hint="eastAsia"/>
        </w:rPr>
        <w:t>检测设备</w:t>
      </w:r>
      <w:bookmarkEnd w:id="128"/>
      <w:bookmarkEnd w:id="129"/>
      <w:bookmarkEnd w:id="130"/>
      <w:bookmarkEnd w:id="131"/>
      <w:bookmarkEnd w:id="132"/>
      <w:bookmarkEnd w:id="133"/>
      <w:bookmarkEnd w:id="134"/>
      <w:bookmarkEnd w:id="135"/>
    </w:p>
    <w:p w14:paraId="2AC59491">
      <w:pPr>
        <w:rPr>
          <w:rFonts w:cs="Times New Roman"/>
          <w:szCs w:val="24"/>
        </w:rPr>
      </w:pPr>
      <w:r>
        <w:rPr>
          <w:rFonts w:cs="Times New Roman"/>
          <w:b/>
          <w:szCs w:val="24"/>
        </w:rPr>
        <w:t>5.2.1　</w:t>
      </w:r>
      <w:r>
        <w:rPr>
          <w:rFonts w:cs="Times New Roman"/>
          <w:szCs w:val="24"/>
        </w:rPr>
        <w:t>检测设备应与管径相适应，</w:t>
      </w:r>
      <w:r>
        <w:rPr>
          <w:rFonts w:cs="Times New Roman"/>
          <w:bCs/>
          <w:szCs w:val="24"/>
        </w:rPr>
        <w:t>载行器</w:t>
      </w:r>
      <w:r>
        <w:rPr>
          <w:rFonts w:cs="Times New Roman"/>
          <w:szCs w:val="24"/>
        </w:rPr>
        <w:t>负重后不</w:t>
      </w:r>
      <w:r>
        <w:rPr>
          <w:rFonts w:hint="eastAsia" w:cs="Times New Roman"/>
          <w:szCs w:val="24"/>
        </w:rPr>
        <w:t>宜</w:t>
      </w:r>
      <w:r>
        <w:rPr>
          <w:rFonts w:cs="Times New Roman"/>
          <w:szCs w:val="24"/>
        </w:rPr>
        <w:t>滚动或倾斜。</w:t>
      </w:r>
    </w:p>
    <w:p w14:paraId="756848C5">
      <w:pPr>
        <w:rPr>
          <w:rFonts w:cs="Times New Roman"/>
          <w:b/>
          <w:szCs w:val="24"/>
        </w:rPr>
      </w:pPr>
      <w:r>
        <w:rPr>
          <w:rFonts w:cs="Times New Roman"/>
          <w:b/>
          <w:szCs w:val="24"/>
        </w:rPr>
        <w:t>5.2.2　</w:t>
      </w:r>
      <w:r>
        <w:rPr>
          <w:rFonts w:cs="Times New Roman"/>
          <w:szCs w:val="24"/>
        </w:rPr>
        <w:t>声呐</w:t>
      </w:r>
      <w:r>
        <w:rPr>
          <w:rFonts w:hint="eastAsia" w:cs="Times New Roman"/>
          <w:szCs w:val="24"/>
        </w:rPr>
        <w:t>探头</w:t>
      </w:r>
      <w:r>
        <w:rPr>
          <w:rFonts w:cs="Times New Roman"/>
          <w:szCs w:val="24"/>
        </w:rPr>
        <w:t>应</w:t>
      </w:r>
      <w:r>
        <w:rPr>
          <w:rFonts w:hint="eastAsia" w:cs="Times New Roman"/>
          <w:szCs w:val="24"/>
        </w:rPr>
        <w:t>符合下列规定</w:t>
      </w:r>
      <w:r>
        <w:rPr>
          <w:rFonts w:cs="Times New Roman"/>
          <w:szCs w:val="24"/>
        </w:rPr>
        <w:t>：</w:t>
      </w:r>
    </w:p>
    <w:p w14:paraId="0D86535B">
      <w:pPr>
        <w:ind w:firstLine="361" w:firstLineChars="150"/>
        <w:jc w:val="left"/>
        <w:rPr>
          <w:rFonts w:cs="Times New Roman"/>
          <w:bCs/>
          <w:szCs w:val="24"/>
        </w:rPr>
      </w:pPr>
      <w:r>
        <w:rPr>
          <w:rFonts w:cs="Times New Roman"/>
          <w:b/>
          <w:szCs w:val="24"/>
        </w:rPr>
        <w:t>1　</w:t>
      </w:r>
      <w:r>
        <w:rPr>
          <w:rFonts w:cs="Times New Roman"/>
          <w:bCs/>
          <w:szCs w:val="24"/>
        </w:rPr>
        <w:t>扫描范围应大于检测管道</w:t>
      </w:r>
      <w:r>
        <w:rPr>
          <w:rFonts w:hint="eastAsia" w:cs="Times New Roman"/>
          <w:bCs/>
          <w:szCs w:val="24"/>
        </w:rPr>
        <w:t>断面尺寸；</w:t>
      </w:r>
    </w:p>
    <w:p w14:paraId="36CD0872">
      <w:pPr>
        <w:ind w:firstLine="361" w:firstLineChars="150"/>
        <w:rPr>
          <w:rFonts w:cs="Times New Roman"/>
          <w:bCs/>
          <w:iCs/>
          <w:szCs w:val="24"/>
        </w:rPr>
      </w:pPr>
      <w:r>
        <w:rPr>
          <w:rFonts w:cs="Times New Roman"/>
          <w:b/>
          <w:iCs/>
          <w:szCs w:val="24"/>
        </w:rPr>
        <w:t>2　</w:t>
      </w:r>
      <w:r>
        <w:rPr>
          <w:rFonts w:hint="eastAsia" w:cs="Times New Roman"/>
          <w:bCs/>
          <w:iCs/>
          <w:szCs w:val="24"/>
        </w:rPr>
        <w:t>解析度应优于1/250；</w:t>
      </w:r>
    </w:p>
    <w:p w14:paraId="0B218274">
      <w:pPr>
        <w:ind w:firstLine="361" w:firstLineChars="150"/>
        <w:rPr>
          <w:rFonts w:cs="Times New Roman"/>
          <w:bCs/>
          <w:szCs w:val="24"/>
        </w:rPr>
      </w:pPr>
      <w:r>
        <w:rPr>
          <w:rFonts w:cs="Times New Roman"/>
          <w:b/>
          <w:szCs w:val="24"/>
        </w:rPr>
        <w:t>3　</w:t>
      </w:r>
      <w:r>
        <w:rPr>
          <w:rFonts w:cs="Times New Roman"/>
          <w:bCs/>
          <w:szCs w:val="24"/>
        </w:rPr>
        <w:t>每密位均匀采样点数量不应</w:t>
      </w:r>
      <w:r>
        <w:rPr>
          <w:rFonts w:hint="eastAsia" w:cs="Times New Roman"/>
          <w:bCs/>
          <w:szCs w:val="24"/>
        </w:rPr>
        <w:t>少</w:t>
      </w:r>
      <w:r>
        <w:rPr>
          <w:rFonts w:cs="Times New Roman"/>
          <w:bCs/>
          <w:szCs w:val="24"/>
        </w:rPr>
        <w:t>于250个。</w:t>
      </w:r>
    </w:p>
    <w:p w14:paraId="443AFA63">
      <w:pPr>
        <w:rPr>
          <w:rFonts w:cs="Times New Roman"/>
          <w:szCs w:val="24"/>
        </w:rPr>
      </w:pPr>
      <w:r>
        <w:rPr>
          <w:rFonts w:cs="Times New Roman"/>
          <w:b/>
          <w:szCs w:val="24"/>
        </w:rPr>
        <w:t>5.2.</w:t>
      </w:r>
      <w:r>
        <w:rPr>
          <w:rFonts w:hint="eastAsia" w:cs="Times New Roman"/>
          <w:b/>
          <w:szCs w:val="24"/>
        </w:rPr>
        <w:t>3　</w:t>
      </w:r>
      <w:r>
        <w:rPr>
          <w:rFonts w:hint="eastAsia" w:cs="Times New Roman"/>
          <w:szCs w:val="24"/>
        </w:rPr>
        <w:t>声呐探头</w:t>
      </w:r>
      <w:r>
        <w:rPr>
          <w:rFonts w:cs="Times New Roman"/>
          <w:szCs w:val="24"/>
        </w:rPr>
        <w:t>结构应坚固、密封良好，应在0℃～+40℃的温度条件下正常工作。</w:t>
      </w:r>
    </w:p>
    <w:p w14:paraId="602B2DC8">
      <w:pPr>
        <w:rPr>
          <w:rFonts w:cs="Times New Roman"/>
          <w:szCs w:val="24"/>
        </w:rPr>
      </w:pPr>
      <w:r>
        <w:rPr>
          <w:rFonts w:cs="Times New Roman"/>
          <w:b/>
          <w:szCs w:val="24"/>
        </w:rPr>
        <w:t>5.2.</w:t>
      </w:r>
      <w:r>
        <w:rPr>
          <w:rFonts w:hint="eastAsia" w:cs="Times New Roman"/>
          <w:b/>
          <w:szCs w:val="24"/>
        </w:rPr>
        <w:t>4　</w:t>
      </w:r>
      <w:r>
        <w:rPr>
          <w:rFonts w:hint="eastAsia" w:cs="Times New Roman"/>
          <w:szCs w:val="24"/>
        </w:rPr>
        <w:t>声呐探头</w:t>
      </w:r>
      <w:r>
        <w:rPr>
          <w:rFonts w:cs="Times New Roman"/>
          <w:szCs w:val="24"/>
        </w:rPr>
        <w:t>的倾斜传感器、滚动传感器应具备在±45°内的自动补偿功能。</w:t>
      </w:r>
    </w:p>
    <w:p w14:paraId="40DF4AE2">
      <w:pPr>
        <w:rPr>
          <w:rFonts w:cs="Times New Roman"/>
          <w:szCs w:val="24"/>
        </w:rPr>
      </w:pPr>
      <w:r>
        <w:rPr>
          <w:rFonts w:cs="Times New Roman"/>
          <w:b/>
          <w:szCs w:val="24"/>
        </w:rPr>
        <w:t>5.</w:t>
      </w:r>
      <w:r>
        <w:rPr>
          <w:rFonts w:hint="eastAsia" w:cs="Times New Roman"/>
          <w:b/>
          <w:szCs w:val="24"/>
        </w:rPr>
        <w:t>2</w:t>
      </w:r>
      <w:r>
        <w:rPr>
          <w:rFonts w:cs="Times New Roman"/>
          <w:b/>
          <w:szCs w:val="24"/>
        </w:rPr>
        <w:t>.</w:t>
      </w:r>
      <w:r>
        <w:rPr>
          <w:rFonts w:hint="eastAsia" w:cs="Times New Roman"/>
          <w:b/>
          <w:szCs w:val="24"/>
        </w:rPr>
        <w:t>5　</w:t>
      </w:r>
      <w:r>
        <w:rPr>
          <w:rFonts w:cs="Times New Roman"/>
          <w:szCs w:val="24"/>
        </w:rPr>
        <w:t>载行器</w:t>
      </w:r>
      <w:r>
        <w:rPr>
          <w:rFonts w:hint="eastAsia" w:cs="Times New Roman"/>
          <w:szCs w:val="24"/>
        </w:rPr>
        <w:t>应</w:t>
      </w:r>
      <w:r>
        <w:rPr>
          <w:rFonts w:cs="Times New Roman"/>
          <w:szCs w:val="24"/>
        </w:rPr>
        <w:t>采用不影响声波传输的设备</w:t>
      </w:r>
      <w:r>
        <w:rPr>
          <w:rFonts w:hint="eastAsia" w:cs="Times New Roman"/>
          <w:szCs w:val="24"/>
        </w:rPr>
        <w:t>，</w:t>
      </w:r>
      <w:r>
        <w:rPr>
          <w:rFonts w:hint="eastAsia" w:cs="Times New Roman"/>
          <w:bCs/>
          <w:szCs w:val="24"/>
        </w:rPr>
        <w:t>可采用牵引车、漂浮筏或动力伞。</w:t>
      </w:r>
    </w:p>
    <w:p w14:paraId="162B28B2">
      <w:pPr>
        <w:rPr>
          <w:rFonts w:cs="Times New Roman"/>
          <w:bCs/>
        </w:rPr>
      </w:pPr>
      <w:r>
        <w:rPr>
          <w:rFonts w:eastAsia="宋体" w:cs="Times New Roman"/>
          <w:b/>
          <w:szCs w:val="24"/>
        </w:rPr>
        <w:t>5</w:t>
      </w:r>
      <w:r>
        <w:rPr>
          <w:rFonts w:hint="eastAsia" w:eastAsia="宋体" w:cs="Times New Roman"/>
          <w:b/>
          <w:szCs w:val="24"/>
        </w:rPr>
        <w:t>.2</w:t>
      </w:r>
      <w:r>
        <w:rPr>
          <w:rFonts w:eastAsia="宋体" w:cs="Times New Roman"/>
          <w:b/>
          <w:szCs w:val="24"/>
        </w:rPr>
        <w:t>.</w:t>
      </w:r>
      <w:r>
        <w:rPr>
          <w:rFonts w:hint="eastAsia" w:eastAsia="宋体" w:cs="Times New Roman"/>
          <w:b/>
          <w:szCs w:val="24"/>
        </w:rPr>
        <w:t>6　</w:t>
      </w:r>
      <w:r>
        <w:rPr>
          <w:rFonts w:cs="Times New Roman"/>
          <w:szCs w:val="24"/>
        </w:rPr>
        <w:t>载行器</w:t>
      </w:r>
      <w:r>
        <w:rPr>
          <w:rFonts w:hint="eastAsia" w:eastAsia="宋体" w:cs="Times New Roman"/>
          <w:szCs w:val="24"/>
        </w:rPr>
        <w:t>应具备测距功能，电缆计数器计量单位不应大于0.01m。</w:t>
      </w:r>
    </w:p>
    <w:p w14:paraId="0D6D0BD7">
      <w:pPr>
        <w:pStyle w:val="5"/>
      </w:pPr>
      <w:bookmarkStart w:id="136" w:name="_Toc17611"/>
      <w:bookmarkStart w:id="137" w:name="_Toc9089"/>
      <w:bookmarkStart w:id="138" w:name="_Toc15110"/>
      <w:bookmarkStart w:id="139" w:name="_Toc1650"/>
      <w:bookmarkStart w:id="140" w:name="_Toc28963"/>
      <w:bookmarkStart w:id="141" w:name="_Toc14356"/>
      <w:bookmarkStart w:id="142" w:name="_Toc1284"/>
      <w:bookmarkStart w:id="143" w:name="_Toc21927"/>
      <w:bookmarkStart w:id="144" w:name="_Toc24049"/>
      <w:bookmarkStart w:id="145" w:name="_Toc181825552"/>
      <w:r>
        <w:rPr>
          <w:rFonts w:hint="eastAsia"/>
        </w:rPr>
        <w:t>5.3　</w:t>
      </w:r>
      <w:bookmarkEnd w:id="136"/>
      <w:bookmarkEnd w:id="137"/>
      <w:r>
        <w:rPr>
          <w:rFonts w:hint="eastAsia"/>
        </w:rPr>
        <w:t>检测方法</w:t>
      </w:r>
      <w:bookmarkEnd w:id="138"/>
      <w:bookmarkEnd w:id="139"/>
      <w:bookmarkEnd w:id="140"/>
      <w:bookmarkEnd w:id="141"/>
      <w:bookmarkEnd w:id="142"/>
      <w:bookmarkEnd w:id="143"/>
      <w:bookmarkEnd w:id="144"/>
      <w:bookmarkEnd w:id="145"/>
    </w:p>
    <w:p w14:paraId="28A0399D">
      <w:pPr>
        <w:rPr>
          <w:rFonts w:cs="Times New Roman"/>
          <w:szCs w:val="24"/>
        </w:rPr>
      </w:pPr>
      <w:r>
        <w:rPr>
          <w:rFonts w:cs="Times New Roman"/>
          <w:b/>
          <w:szCs w:val="24"/>
        </w:rPr>
        <w:t>5.3.</w:t>
      </w:r>
      <w:r>
        <w:rPr>
          <w:rFonts w:hint="eastAsia" w:cs="Times New Roman"/>
          <w:b/>
          <w:szCs w:val="24"/>
        </w:rPr>
        <w:t>1　</w:t>
      </w:r>
      <w:r>
        <w:rPr>
          <w:rFonts w:cs="Times New Roman"/>
          <w:szCs w:val="24"/>
        </w:rPr>
        <w:t>检测前应从被检</w:t>
      </w:r>
      <w:r>
        <w:rPr>
          <w:rFonts w:hint="eastAsia" w:cs="Times New Roman"/>
          <w:szCs w:val="24"/>
        </w:rPr>
        <w:t>测</w:t>
      </w:r>
      <w:r>
        <w:rPr>
          <w:rFonts w:cs="Times New Roman"/>
          <w:szCs w:val="24"/>
        </w:rPr>
        <w:t>管道中</w:t>
      </w:r>
      <w:r>
        <w:rPr>
          <w:rFonts w:hint="eastAsia" w:cs="Times New Roman"/>
          <w:szCs w:val="24"/>
        </w:rPr>
        <w:t>提</w:t>
      </w:r>
      <w:r>
        <w:rPr>
          <w:rFonts w:cs="Times New Roman"/>
          <w:szCs w:val="24"/>
        </w:rPr>
        <w:t>取水样</w:t>
      </w:r>
      <w:r>
        <w:rPr>
          <w:rFonts w:hint="eastAsia" w:cs="Times New Roman"/>
          <w:szCs w:val="24"/>
        </w:rPr>
        <w:t>，</w:t>
      </w:r>
      <w:r>
        <w:rPr>
          <w:rFonts w:cs="Times New Roman"/>
          <w:szCs w:val="24"/>
        </w:rPr>
        <w:t>通过实测声波速度对系统进行校准。</w:t>
      </w:r>
    </w:p>
    <w:p w14:paraId="503D6A9B">
      <w:pPr>
        <w:ind w:leftChars="-1" w:hanging="2"/>
        <w:rPr>
          <w:rFonts w:cs="Times New Roman"/>
          <w:szCs w:val="24"/>
        </w:rPr>
      </w:pPr>
      <w:r>
        <w:rPr>
          <w:rFonts w:cs="Times New Roman"/>
          <w:b/>
          <w:szCs w:val="24"/>
        </w:rPr>
        <w:t>5.3.</w:t>
      </w:r>
      <w:r>
        <w:rPr>
          <w:rFonts w:hint="eastAsia" w:cs="Times New Roman"/>
          <w:b/>
          <w:szCs w:val="24"/>
        </w:rPr>
        <w:t>2　</w:t>
      </w:r>
      <w:r>
        <w:rPr>
          <w:rFonts w:cs="Times New Roman"/>
          <w:szCs w:val="24"/>
        </w:rPr>
        <w:t>声呐探头推进方向宜与水流方向一致</w:t>
      </w:r>
      <w:r>
        <w:rPr>
          <w:rFonts w:hint="eastAsia" w:cs="Times New Roman"/>
          <w:szCs w:val="24"/>
          <w:lang w:eastAsia="zh-CN"/>
        </w:rPr>
        <w:t>并</w:t>
      </w:r>
      <w:r>
        <w:rPr>
          <w:rFonts w:hint="eastAsia" w:cs="Times New Roman"/>
          <w:szCs w:val="24"/>
        </w:rPr>
        <w:t>宜与管道轴线一致。</w:t>
      </w:r>
      <w:r>
        <w:rPr>
          <w:rFonts w:cs="Times New Roman"/>
          <w:szCs w:val="24"/>
        </w:rPr>
        <w:t>滚动传感器标志应朝正上方。</w:t>
      </w:r>
    </w:p>
    <w:p w14:paraId="61D60CC0">
      <w:pPr>
        <w:rPr>
          <w:rFonts w:cs="Times New Roman"/>
          <w:bCs/>
          <w:szCs w:val="24"/>
        </w:rPr>
      </w:pPr>
      <w:r>
        <w:rPr>
          <w:rFonts w:cs="Times New Roman"/>
          <w:b/>
          <w:szCs w:val="24"/>
        </w:rPr>
        <w:t>5.3.</w:t>
      </w:r>
      <w:r>
        <w:rPr>
          <w:rFonts w:hint="eastAsia" w:cs="Times New Roman"/>
          <w:b/>
          <w:szCs w:val="24"/>
        </w:rPr>
        <w:t>3　</w:t>
      </w:r>
      <w:r>
        <w:rPr>
          <w:rFonts w:cs="Times New Roman"/>
          <w:szCs w:val="24"/>
        </w:rPr>
        <w:t>声呐探头安放在检测起始位置后，应在开始检测前将计数器归零</w:t>
      </w:r>
      <w:r>
        <w:rPr>
          <w:rFonts w:hint="eastAsia" w:cs="Times New Roman"/>
          <w:szCs w:val="24"/>
          <w:lang w:eastAsia="zh-CN"/>
        </w:rPr>
        <w:t>并</w:t>
      </w:r>
      <w:r>
        <w:rPr>
          <w:rFonts w:cs="Times New Roman"/>
          <w:szCs w:val="24"/>
        </w:rPr>
        <w:t>应调整电缆处于自然绷紧状态</w:t>
      </w:r>
      <w:r>
        <w:rPr>
          <w:rFonts w:cs="Times New Roman"/>
          <w:bCs/>
          <w:szCs w:val="24"/>
        </w:rPr>
        <w:t>。</w:t>
      </w:r>
    </w:p>
    <w:p w14:paraId="32EA47C9">
      <w:pPr>
        <w:rPr>
          <w:rFonts w:cs="Times New Roman"/>
          <w:szCs w:val="24"/>
        </w:rPr>
      </w:pPr>
      <w:r>
        <w:rPr>
          <w:rFonts w:cs="Times New Roman"/>
          <w:b/>
          <w:szCs w:val="24"/>
        </w:rPr>
        <w:t>5.3.</w:t>
      </w:r>
      <w:r>
        <w:rPr>
          <w:rFonts w:hint="eastAsia" w:cs="Times New Roman"/>
          <w:b/>
          <w:szCs w:val="24"/>
        </w:rPr>
        <w:t>4　</w:t>
      </w:r>
      <w:r>
        <w:rPr>
          <w:rFonts w:cs="Times New Roman"/>
          <w:szCs w:val="24"/>
        </w:rPr>
        <w:t>声呐检测时，应</w:t>
      </w:r>
      <w:r>
        <w:rPr>
          <w:rFonts w:hint="eastAsia" w:cs="Times New Roman"/>
          <w:szCs w:val="24"/>
        </w:rPr>
        <w:t>对</w:t>
      </w:r>
      <w:r>
        <w:rPr>
          <w:rFonts w:cs="Times New Roman"/>
          <w:szCs w:val="24"/>
        </w:rPr>
        <w:t>管段起始、终止端</w:t>
      </w:r>
      <w:r>
        <w:rPr>
          <w:rFonts w:hint="eastAsia" w:cs="Times New Roman"/>
          <w:szCs w:val="24"/>
        </w:rPr>
        <w:t>的</w:t>
      </w:r>
      <w:r>
        <w:rPr>
          <w:rFonts w:cs="Times New Roman"/>
          <w:szCs w:val="24"/>
        </w:rPr>
        <w:t>2m～3m</w:t>
      </w:r>
      <w:r>
        <w:rPr>
          <w:rFonts w:hint="eastAsia" w:cs="Times New Roman"/>
          <w:szCs w:val="24"/>
        </w:rPr>
        <w:t>范围</w:t>
      </w:r>
      <w:r>
        <w:rPr>
          <w:rFonts w:cs="Times New Roman"/>
          <w:szCs w:val="24"/>
        </w:rPr>
        <w:t>进行重复检测。</w:t>
      </w:r>
    </w:p>
    <w:p w14:paraId="4F90FD10">
      <w:pPr>
        <w:rPr>
          <w:rFonts w:eastAsia="仿宋" w:cs="Times New Roman"/>
          <w:bCs/>
          <w:iCs/>
          <w:szCs w:val="24"/>
        </w:rPr>
      </w:pPr>
      <w:r>
        <w:rPr>
          <w:rFonts w:cs="Times New Roman"/>
          <w:b/>
          <w:szCs w:val="24"/>
        </w:rPr>
        <w:t>5.3.</w:t>
      </w:r>
      <w:r>
        <w:rPr>
          <w:rFonts w:hint="eastAsia" w:cs="Times New Roman"/>
          <w:b/>
          <w:szCs w:val="24"/>
        </w:rPr>
        <w:t>5　</w:t>
      </w:r>
      <w:r>
        <w:rPr>
          <w:rFonts w:cs="Times New Roman"/>
          <w:szCs w:val="24"/>
        </w:rPr>
        <w:t>声呐探头前进或后退时，电缆应保持自然绷紧状态。</w:t>
      </w:r>
    </w:p>
    <w:p w14:paraId="49B7D169">
      <w:pPr>
        <w:rPr>
          <w:rFonts w:cs="Times New Roman"/>
          <w:sz w:val="28"/>
          <w:szCs w:val="28"/>
        </w:rPr>
      </w:pPr>
      <w:r>
        <w:rPr>
          <w:rFonts w:cs="Times New Roman"/>
          <w:b/>
          <w:szCs w:val="24"/>
        </w:rPr>
        <w:t>5.3.</w:t>
      </w:r>
      <w:r>
        <w:rPr>
          <w:rFonts w:hint="eastAsia" w:cs="Times New Roman"/>
          <w:b/>
          <w:szCs w:val="24"/>
        </w:rPr>
        <w:t>6　</w:t>
      </w:r>
      <w:r>
        <w:rPr>
          <w:rFonts w:hint="eastAsia" w:cs="Times New Roman"/>
          <w:bCs/>
          <w:szCs w:val="24"/>
        </w:rPr>
        <w:t>脉冲宽度应</w:t>
      </w:r>
      <w:r>
        <w:rPr>
          <w:rFonts w:cs="Times New Roman"/>
          <w:szCs w:val="24"/>
        </w:rPr>
        <w:t>根据不同管径</w:t>
      </w:r>
      <w:r>
        <w:rPr>
          <w:rFonts w:hint="eastAsia" w:cs="Times New Roman"/>
          <w:szCs w:val="24"/>
        </w:rPr>
        <w:t>范围</w:t>
      </w:r>
      <w:r>
        <w:rPr>
          <w:rFonts w:cs="Times New Roman"/>
          <w:szCs w:val="24"/>
        </w:rPr>
        <w:t>按表5.3.</w:t>
      </w:r>
      <w:r>
        <w:rPr>
          <w:rFonts w:hint="eastAsia" w:cs="Times New Roman"/>
          <w:szCs w:val="24"/>
        </w:rPr>
        <w:t>6</w:t>
      </w:r>
      <w:r>
        <w:rPr>
          <w:rFonts w:cs="Times New Roman"/>
          <w:szCs w:val="24"/>
        </w:rPr>
        <w:t>选择。</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7"/>
        <w:gridCol w:w="3895"/>
      </w:tblGrid>
      <w:tr w14:paraId="09CE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5" w:type="dxa"/>
            <w:gridSpan w:val="2"/>
            <w:tcBorders>
              <w:top w:val="nil"/>
              <w:left w:val="nil"/>
              <w:bottom w:val="single" w:color="auto" w:sz="12" w:space="0"/>
              <w:right w:val="nil"/>
            </w:tcBorders>
            <w:vAlign w:val="center"/>
          </w:tcPr>
          <w:p w14:paraId="59C3165A">
            <w:pPr>
              <w:pStyle w:val="105"/>
            </w:pPr>
            <w:r>
              <w:rPr>
                <w:rFonts w:hint="eastAsia"/>
              </w:rPr>
              <w:t>表</w:t>
            </w:r>
            <w:r>
              <w:t>5</w:t>
            </w:r>
            <w:r>
              <w:rPr>
                <w:rFonts w:hint="eastAsia"/>
              </w:rPr>
              <w:t>.3.6　脉冲宽度选择标准</w:t>
            </w:r>
          </w:p>
        </w:tc>
      </w:tr>
      <w:tr w14:paraId="3A1C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59" w:type="dxa"/>
            <w:tcBorders>
              <w:top w:val="single" w:color="auto" w:sz="12" w:space="0"/>
              <w:left w:val="single" w:color="auto" w:sz="12" w:space="0"/>
            </w:tcBorders>
            <w:vAlign w:val="center"/>
          </w:tcPr>
          <w:p w14:paraId="2BC9F3B1">
            <w:pPr>
              <w:jc w:val="center"/>
              <w:rPr>
                <w:rFonts w:ascii="宋体" w:hAnsi="宋体"/>
                <w:b/>
                <w:sz w:val="21"/>
                <w:szCs w:val="21"/>
              </w:rPr>
            </w:pPr>
            <w:r>
              <w:rPr>
                <w:rFonts w:hint="eastAsia"/>
                <w:sz w:val="21"/>
                <w:szCs w:val="21"/>
              </w:rPr>
              <w:t>管径范围（mm）</w:t>
            </w:r>
          </w:p>
        </w:tc>
        <w:tc>
          <w:tcPr>
            <w:tcW w:w="4006" w:type="dxa"/>
            <w:tcBorders>
              <w:top w:val="single" w:color="auto" w:sz="12" w:space="0"/>
              <w:right w:val="single" w:color="auto" w:sz="12" w:space="0"/>
            </w:tcBorders>
            <w:vAlign w:val="center"/>
          </w:tcPr>
          <w:p w14:paraId="1ABA5030">
            <w:pPr>
              <w:jc w:val="center"/>
              <w:rPr>
                <w:rFonts w:ascii="宋体" w:hAnsi="宋体"/>
                <w:b/>
                <w:sz w:val="21"/>
                <w:szCs w:val="21"/>
              </w:rPr>
            </w:pPr>
            <w:r>
              <w:rPr>
                <w:rFonts w:hint="eastAsia"/>
                <w:sz w:val="21"/>
                <w:szCs w:val="21"/>
              </w:rPr>
              <w:t>脉冲宽度（µs）</w:t>
            </w:r>
          </w:p>
        </w:tc>
      </w:tr>
      <w:tr w14:paraId="342A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59" w:type="dxa"/>
            <w:tcBorders>
              <w:left w:val="single" w:color="auto" w:sz="12" w:space="0"/>
            </w:tcBorders>
            <w:vAlign w:val="center"/>
          </w:tcPr>
          <w:p w14:paraId="1EE5A8BC">
            <w:pPr>
              <w:jc w:val="center"/>
              <w:rPr>
                <w:rFonts w:ascii="宋体" w:hAnsi="宋体"/>
                <w:b/>
                <w:sz w:val="21"/>
                <w:szCs w:val="21"/>
              </w:rPr>
            </w:pPr>
            <w:r>
              <w:rPr>
                <w:rFonts w:hint="eastAsia"/>
                <w:sz w:val="21"/>
                <w:szCs w:val="21"/>
              </w:rPr>
              <w:t>400～500</w:t>
            </w:r>
          </w:p>
        </w:tc>
        <w:tc>
          <w:tcPr>
            <w:tcW w:w="4006" w:type="dxa"/>
            <w:tcBorders>
              <w:right w:val="single" w:color="auto" w:sz="12" w:space="0"/>
            </w:tcBorders>
            <w:vAlign w:val="center"/>
          </w:tcPr>
          <w:p w14:paraId="295005B1">
            <w:pPr>
              <w:jc w:val="center"/>
              <w:rPr>
                <w:rFonts w:ascii="宋体" w:hAnsi="宋体"/>
                <w:b/>
                <w:sz w:val="21"/>
                <w:szCs w:val="21"/>
              </w:rPr>
            </w:pPr>
            <w:r>
              <w:rPr>
                <w:rFonts w:hint="eastAsia"/>
                <w:sz w:val="21"/>
                <w:szCs w:val="21"/>
              </w:rPr>
              <w:t>4</w:t>
            </w:r>
          </w:p>
        </w:tc>
      </w:tr>
      <w:tr w14:paraId="5498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59" w:type="dxa"/>
            <w:tcBorders>
              <w:left w:val="single" w:color="auto" w:sz="12" w:space="0"/>
            </w:tcBorders>
            <w:vAlign w:val="center"/>
          </w:tcPr>
          <w:p w14:paraId="637345F0">
            <w:pPr>
              <w:jc w:val="center"/>
              <w:rPr>
                <w:rFonts w:ascii="宋体" w:hAnsi="宋体"/>
                <w:b/>
                <w:sz w:val="21"/>
                <w:szCs w:val="21"/>
              </w:rPr>
            </w:pPr>
            <w:r>
              <w:rPr>
                <w:rFonts w:hint="eastAsia"/>
                <w:sz w:val="21"/>
                <w:szCs w:val="21"/>
              </w:rPr>
              <w:t>500～1000</w:t>
            </w:r>
          </w:p>
        </w:tc>
        <w:tc>
          <w:tcPr>
            <w:tcW w:w="4006" w:type="dxa"/>
            <w:tcBorders>
              <w:right w:val="single" w:color="auto" w:sz="12" w:space="0"/>
            </w:tcBorders>
            <w:vAlign w:val="center"/>
          </w:tcPr>
          <w:p w14:paraId="0D45CD52">
            <w:pPr>
              <w:jc w:val="center"/>
              <w:rPr>
                <w:rFonts w:ascii="宋体" w:hAnsi="宋体"/>
                <w:b/>
                <w:sz w:val="21"/>
                <w:szCs w:val="21"/>
              </w:rPr>
            </w:pPr>
            <w:r>
              <w:rPr>
                <w:rFonts w:hint="eastAsia"/>
                <w:sz w:val="21"/>
                <w:szCs w:val="21"/>
              </w:rPr>
              <w:t>8</w:t>
            </w:r>
          </w:p>
        </w:tc>
      </w:tr>
      <w:tr w14:paraId="22D4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59" w:type="dxa"/>
            <w:tcBorders>
              <w:left w:val="single" w:color="auto" w:sz="12" w:space="0"/>
            </w:tcBorders>
            <w:vAlign w:val="center"/>
          </w:tcPr>
          <w:p w14:paraId="2201A5F1">
            <w:pPr>
              <w:jc w:val="center"/>
              <w:rPr>
                <w:rFonts w:ascii="宋体" w:hAnsi="宋体"/>
                <w:b/>
                <w:sz w:val="21"/>
                <w:szCs w:val="21"/>
              </w:rPr>
            </w:pPr>
            <w:r>
              <w:rPr>
                <w:rFonts w:hint="eastAsia"/>
                <w:sz w:val="21"/>
                <w:szCs w:val="21"/>
              </w:rPr>
              <w:t>1000～1500</w:t>
            </w:r>
          </w:p>
        </w:tc>
        <w:tc>
          <w:tcPr>
            <w:tcW w:w="4006" w:type="dxa"/>
            <w:tcBorders>
              <w:right w:val="single" w:color="auto" w:sz="12" w:space="0"/>
            </w:tcBorders>
            <w:vAlign w:val="center"/>
          </w:tcPr>
          <w:p w14:paraId="089EC04A">
            <w:pPr>
              <w:jc w:val="center"/>
              <w:rPr>
                <w:rFonts w:ascii="宋体" w:hAnsi="宋体"/>
                <w:b/>
                <w:sz w:val="21"/>
                <w:szCs w:val="21"/>
              </w:rPr>
            </w:pPr>
            <w:r>
              <w:rPr>
                <w:rFonts w:hint="eastAsia"/>
                <w:sz w:val="21"/>
                <w:szCs w:val="21"/>
              </w:rPr>
              <w:t>12</w:t>
            </w:r>
          </w:p>
        </w:tc>
      </w:tr>
      <w:tr w14:paraId="4B05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59" w:type="dxa"/>
            <w:tcBorders>
              <w:left w:val="single" w:color="auto" w:sz="12" w:space="0"/>
            </w:tcBorders>
            <w:vAlign w:val="center"/>
          </w:tcPr>
          <w:p w14:paraId="31F04775">
            <w:pPr>
              <w:jc w:val="center"/>
              <w:rPr>
                <w:rFonts w:ascii="宋体" w:hAnsi="宋体"/>
                <w:b/>
                <w:sz w:val="21"/>
                <w:szCs w:val="21"/>
              </w:rPr>
            </w:pPr>
            <w:r>
              <w:rPr>
                <w:rFonts w:hint="eastAsia"/>
                <w:sz w:val="21"/>
                <w:szCs w:val="21"/>
              </w:rPr>
              <w:t>1500～2000</w:t>
            </w:r>
          </w:p>
        </w:tc>
        <w:tc>
          <w:tcPr>
            <w:tcW w:w="4006" w:type="dxa"/>
            <w:tcBorders>
              <w:right w:val="single" w:color="auto" w:sz="12" w:space="0"/>
            </w:tcBorders>
            <w:vAlign w:val="center"/>
          </w:tcPr>
          <w:p w14:paraId="3EB07BF1">
            <w:pPr>
              <w:jc w:val="center"/>
              <w:rPr>
                <w:rFonts w:ascii="宋体" w:hAnsi="宋体"/>
                <w:b/>
                <w:sz w:val="21"/>
                <w:szCs w:val="21"/>
              </w:rPr>
            </w:pPr>
            <w:r>
              <w:rPr>
                <w:rFonts w:hint="eastAsia"/>
                <w:sz w:val="21"/>
                <w:szCs w:val="21"/>
              </w:rPr>
              <w:t>16</w:t>
            </w:r>
          </w:p>
        </w:tc>
      </w:tr>
      <w:tr w14:paraId="6652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59" w:type="dxa"/>
            <w:tcBorders>
              <w:left w:val="single" w:color="auto" w:sz="12" w:space="0"/>
              <w:bottom w:val="single" w:color="auto" w:sz="12" w:space="0"/>
            </w:tcBorders>
            <w:vAlign w:val="center"/>
          </w:tcPr>
          <w:p w14:paraId="41FAB0BE">
            <w:pPr>
              <w:jc w:val="center"/>
              <w:rPr>
                <w:rFonts w:ascii="宋体" w:hAnsi="宋体"/>
                <w:b/>
                <w:sz w:val="21"/>
                <w:szCs w:val="21"/>
              </w:rPr>
            </w:pPr>
            <w:r>
              <w:rPr>
                <w:rFonts w:hint="eastAsia"/>
                <w:sz w:val="21"/>
                <w:szCs w:val="21"/>
              </w:rPr>
              <w:t>2000～3000</w:t>
            </w:r>
          </w:p>
        </w:tc>
        <w:tc>
          <w:tcPr>
            <w:tcW w:w="4006" w:type="dxa"/>
            <w:tcBorders>
              <w:bottom w:val="single" w:color="auto" w:sz="12" w:space="0"/>
              <w:right w:val="single" w:color="auto" w:sz="12" w:space="0"/>
            </w:tcBorders>
            <w:vAlign w:val="center"/>
          </w:tcPr>
          <w:p w14:paraId="414FC406">
            <w:pPr>
              <w:jc w:val="center"/>
              <w:rPr>
                <w:rFonts w:ascii="宋体" w:hAnsi="宋体"/>
                <w:b/>
                <w:sz w:val="21"/>
                <w:szCs w:val="21"/>
              </w:rPr>
            </w:pPr>
            <w:r>
              <w:rPr>
                <w:rFonts w:hint="eastAsia"/>
                <w:sz w:val="21"/>
                <w:szCs w:val="21"/>
              </w:rPr>
              <w:t>20</w:t>
            </w:r>
          </w:p>
        </w:tc>
      </w:tr>
    </w:tbl>
    <w:p w14:paraId="5DA46E0E">
      <w:pPr>
        <w:rPr>
          <w:rFonts w:ascii="宋体" w:hAnsi="宋体"/>
          <w:b/>
        </w:rPr>
      </w:pPr>
    </w:p>
    <w:p w14:paraId="3C72B8EA">
      <w:pPr>
        <w:widowControl/>
        <w:rPr>
          <w:rFonts w:ascii="宋体" w:hAnsi="宋体" w:eastAsia="宋体" w:cs="宋体"/>
          <w:kern w:val="0"/>
          <w:szCs w:val="24"/>
          <w:lang w:bidi="ar"/>
        </w:rPr>
      </w:pPr>
      <w:r>
        <w:rPr>
          <w:b/>
          <w:szCs w:val="24"/>
        </w:rPr>
        <w:t>5.3.</w:t>
      </w:r>
      <w:r>
        <w:rPr>
          <w:rFonts w:hint="eastAsia"/>
          <w:b/>
          <w:szCs w:val="24"/>
        </w:rPr>
        <w:t>7　</w:t>
      </w:r>
      <w:r>
        <w:rPr>
          <w:rFonts w:hint="eastAsia" w:ascii="宋体" w:hAnsi="宋体" w:eastAsia="宋体" w:cs="宋体"/>
          <w:kern w:val="0"/>
          <w:szCs w:val="24"/>
          <w:lang w:bidi="ar"/>
        </w:rPr>
        <w:t>载行器行进速度不宜超过</w:t>
      </w:r>
      <w:r>
        <w:rPr>
          <w:rFonts w:eastAsia="宋体" w:cs="Times New Roman"/>
          <w:kern w:val="0"/>
          <w:szCs w:val="24"/>
          <w:lang w:bidi="ar"/>
        </w:rPr>
        <w:t>0.1m/s</w:t>
      </w:r>
      <w:r>
        <w:rPr>
          <w:rFonts w:hint="eastAsia" w:ascii="宋体" w:hAnsi="宋体" w:eastAsia="宋体" w:cs="宋体"/>
          <w:kern w:val="0"/>
          <w:szCs w:val="24"/>
          <w:lang w:bidi="ar"/>
        </w:rPr>
        <w:t>。在检测过程中，探头应在采样间距规定点和管道变异处停止行进，定点采集数据，停顿时间应大于一个扫描周期。当管道出现疑似破裂等结构性缺陷时，应在疑似缺陷处前后1m内，往复采集数据，进行比对</w:t>
      </w:r>
      <w:r>
        <w:rPr>
          <w:rFonts w:hint="eastAsia" w:ascii="宋体" w:hAnsi="宋体" w:eastAsia="宋体" w:cs="宋体"/>
          <w:kern w:val="0"/>
          <w:szCs w:val="24"/>
          <w:lang w:eastAsia="zh-CN" w:bidi="ar"/>
        </w:rPr>
        <w:t>并</w:t>
      </w:r>
      <w:r>
        <w:rPr>
          <w:rFonts w:hint="eastAsia" w:ascii="宋体" w:hAnsi="宋体" w:eastAsia="宋体" w:cs="宋体"/>
          <w:kern w:val="0"/>
          <w:szCs w:val="24"/>
          <w:lang w:bidi="ar"/>
        </w:rPr>
        <w:t>应截取图像保存。</w:t>
      </w:r>
    </w:p>
    <w:p w14:paraId="2111A3D8">
      <w:pPr>
        <w:widowControl/>
        <w:jc w:val="left"/>
        <w:rPr>
          <w:rFonts w:ascii="宋体" w:hAnsi="宋体"/>
          <w:szCs w:val="24"/>
        </w:rPr>
      </w:pPr>
      <w:r>
        <w:rPr>
          <w:b/>
          <w:szCs w:val="24"/>
        </w:rPr>
        <w:t>5.3.</w:t>
      </w:r>
      <w:r>
        <w:rPr>
          <w:rFonts w:hint="eastAsia"/>
          <w:b/>
          <w:szCs w:val="24"/>
        </w:rPr>
        <w:t>8　</w:t>
      </w:r>
      <w:r>
        <w:rPr>
          <w:rFonts w:hint="eastAsia" w:ascii="宋体" w:hAnsi="宋体"/>
          <w:szCs w:val="24"/>
        </w:rPr>
        <w:t>普查点采样</w:t>
      </w:r>
      <w:r>
        <w:rPr>
          <w:rFonts w:cs="Times New Roman"/>
          <w:szCs w:val="24"/>
        </w:rPr>
        <w:t>间距宜为5m，</w:t>
      </w:r>
      <w:r>
        <w:rPr>
          <w:rFonts w:hint="eastAsia" w:ascii="宋体" w:hAnsi="宋体"/>
          <w:szCs w:val="24"/>
        </w:rPr>
        <w:t>其他检查</w:t>
      </w:r>
      <w:r>
        <w:rPr>
          <w:rFonts w:hint="eastAsia" w:ascii="宋体" w:hAnsi="宋体" w:eastAsia="宋体" w:cs="宋体"/>
          <w:kern w:val="0"/>
          <w:szCs w:val="24"/>
          <w:lang w:bidi="ar"/>
        </w:rPr>
        <w:t>点采样间距不宜大于</w:t>
      </w:r>
      <w:r>
        <w:rPr>
          <w:rFonts w:eastAsia="宋体" w:cs="Times New Roman"/>
          <w:kern w:val="0"/>
          <w:szCs w:val="24"/>
          <w:lang w:bidi="ar"/>
        </w:rPr>
        <w:t>2.0m</w:t>
      </w:r>
      <w:r>
        <w:rPr>
          <w:rFonts w:hint="eastAsia" w:ascii="宋体" w:hAnsi="宋体" w:eastAsia="宋体" w:cs="宋体"/>
          <w:kern w:val="0"/>
          <w:szCs w:val="24"/>
          <w:lang w:bidi="ar"/>
        </w:rPr>
        <w:t>，存在异常的管段应加密采样。</w:t>
      </w:r>
    </w:p>
    <w:p w14:paraId="091D16EF">
      <w:pPr>
        <w:rPr>
          <w:rFonts w:eastAsia="宋体" w:cs="Times New Roman"/>
        </w:rPr>
      </w:pPr>
      <w:r>
        <w:rPr>
          <w:b/>
          <w:szCs w:val="24"/>
        </w:rPr>
        <w:t>5.3.</w:t>
      </w:r>
      <w:r>
        <w:rPr>
          <w:rFonts w:hint="eastAsia"/>
          <w:b/>
          <w:szCs w:val="24"/>
        </w:rPr>
        <w:t>9　</w:t>
      </w:r>
      <w:r>
        <w:rPr>
          <w:rFonts w:hint="eastAsia"/>
          <w:bCs/>
          <w:szCs w:val="24"/>
        </w:rPr>
        <w:t>带压声呐检测</w:t>
      </w:r>
      <w:r>
        <w:rPr>
          <w:rFonts w:hint="eastAsia" w:eastAsia="宋体" w:cs="Times New Roman"/>
          <w:bCs/>
        </w:rPr>
        <w:t>应</w:t>
      </w:r>
      <w:r>
        <w:rPr>
          <w:rFonts w:hint="eastAsia" w:eastAsia="宋体" w:cs="Times New Roman"/>
        </w:rPr>
        <w:t>按下列步骤操作：</w:t>
      </w:r>
    </w:p>
    <w:p w14:paraId="793C9FEE">
      <w:pPr>
        <w:ind w:firstLine="482" w:firstLineChars="200"/>
      </w:pPr>
      <w:r>
        <w:rPr>
          <w:rFonts w:hint="eastAsia"/>
          <w:b/>
          <w:bCs/>
        </w:rPr>
        <w:t>1　</w:t>
      </w:r>
      <w:r>
        <w:t>改造闸阀、作业</w:t>
      </w:r>
      <w:r>
        <w:rPr>
          <w:rFonts w:hint="eastAsia"/>
        </w:rPr>
        <w:t>空间</w:t>
      </w:r>
      <w:r>
        <w:t>等现场准备；</w:t>
      </w:r>
    </w:p>
    <w:p w14:paraId="46388FAB">
      <w:pPr>
        <w:ind w:firstLine="482" w:firstLineChars="200"/>
      </w:pPr>
      <w:r>
        <w:rPr>
          <w:rFonts w:hint="eastAsia"/>
          <w:b/>
          <w:bCs/>
        </w:rPr>
        <w:t>2　</w:t>
      </w:r>
      <w:r>
        <w:t>作业前检查插入</w:t>
      </w:r>
      <w:r>
        <w:rPr>
          <w:rFonts w:hint="eastAsia"/>
        </w:rPr>
        <w:t>探测</w:t>
      </w:r>
      <w:r>
        <w:t>器</w:t>
      </w:r>
      <w:r>
        <w:rPr>
          <w:rFonts w:hint="eastAsia"/>
        </w:rPr>
        <w:t>处于</w:t>
      </w:r>
      <w:r>
        <w:t>正常</w:t>
      </w:r>
      <w:r>
        <w:rPr>
          <w:rFonts w:hint="eastAsia"/>
          <w:lang w:eastAsia="zh-CN"/>
        </w:rPr>
        <w:t>并</w:t>
      </w:r>
      <w:r>
        <w:t>做好消毒；</w:t>
      </w:r>
    </w:p>
    <w:p w14:paraId="0EDF1A34">
      <w:pPr>
        <w:ind w:firstLine="482" w:firstLineChars="200"/>
      </w:pPr>
      <w:r>
        <w:rPr>
          <w:rFonts w:hint="eastAsia"/>
          <w:b/>
          <w:bCs/>
        </w:rPr>
        <w:t>3　</w:t>
      </w:r>
      <w:r>
        <w:t>采用管内流速仪确认流速和水流方向，不满足要求时，应调节至符合检测条件；</w:t>
      </w:r>
    </w:p>
    <w:p w14:paraId="206D2D42">
      <w:pPr>
        <w:ind w:firstLine="482" w:firstLineChars="200"/>
      </w:pPr>
      <w:r>
        <w:rPr>
          <w:b/>
          <w:bCs/>
        </w:rPr>
        <w:t>4</w:t>
      </w:r>
      <w:r>
        <w:rPr>
          <w:rFonts w:hint="eastAsia"/>
          <w:b/>
          <w:bCs/>
        </w:rPr>
        <w:t>　</w:t>
      </w:r>
      <w:r>
        <w:t>在</w:t>
      </w:r>
      <w:r>
        <w:rPr>
          <w:rFonts w:hint="eastAsia"/>
        </w:rPr>
        <w:t>插入</w:t>
      </w:r>
      <w:r>
        <w:t>口安装好</w:t>
      </w:r>
      <w:r>
        <w:rPr>
          <w:rFonts w:hint="eastAsia"/>
        </w:rPr>
        <w:t>探测</w:t>
      </w:r>
      <w:r>
        <w:t>器插入</w:t>
      </w:r>
      <w:r>
        <w:rPr>
          <w:rFonts w:hint="eastAsia"/>
        </w:rPr>
        <w:t>装置</w:t>
      </w:r>
      <w:r>
        <w:t>，放入</w:t>
      </w:r>
      <w:r>
        <w:rPr>
          <w:rFonts w:hint="eastAsia"/>
        </w:rPr>
        <w:t>探测</w:t>
      </w:r>
      <w:r>
        <w:t>器，打开闸阀充水；</w:t>
      </w:r>
    </w:p>
    <w:p w14:paraId="04897356">
      <w:pPr>
        <w:ind w:firstLine="482" w:firstLineChars="200"/>
        <w:rPr>
          <w:b/>
          <w:bCs/>
        </w:rPr>
      </w:pPr>
      <w:r>
        <w:rPr>
          <w:b/>
          <w:bCs/>
        </w:rPr>
        <w:t>5</w:t>
      </w:r>
      <w:r>
        <w:rPr>
          <w:rFonts w:hint="eastAsia"/>
          <w:b/>
          <w:bCs/>
        </w:rPr>
        <w:t>　</w:t>
      </w:r>
      <w:r>
        <w:rPr>
          <w:rFonts w:hint="eastAsia"/>
        </w:rPr>
        <w:t>探测器位于起始位置后，将计数器归零；</w:t>
      </w:r>
    </w:p>
    <w:p w14:paraId="6581362F">
      <w:pPr>
        <w:ind w:firstLine="482" w:firstLineChars="200"/>
      </w:pPr>
      <w:r>
        <w:rPr>
          <w:b/>
          <w:bCs/>
        </w:rPr>
        <w:t>6</w:t>
      </w:r>
      <w:r>
        <w:rPr>
          <w:rFonts w:hint="eastAsia"/>
          <w:b/>
          <w:bCs/>
        </w:rPr>
        <w:t>　</w:t>
      </w:r>
      <w:r>
        <w:rPr>
          <w:rFonts w:hint="eastAsia"/>
        </w:rPr>
        <w:t>探测</w:t>
      </w:r>
      <w:r>
        <w:t>器投入检测管道，操作光缆卷筒确保</w:t>
      </w:r>
      <w:r>
        <w:rPr>
          <w:rFonts w:hint="eastAsia"/>
        </w:rPr>
        <w:t>探测</w:t>
      </w:r>
      <w:r>
        <w:t>器前行</w:t>
      </w:r>
      <w:r>
        <w:rPr>
          <w:rFonts w:hint="eastAsia"/>
        </w:rPr>
        <w:t>。</w:t>
      </w:r>
      <w:r>
        <w:t>操作人员观察操作台视频屏幕，实时记录和分析</w:t>
      </w:r>
      <w:r>
        <w:rPr>
          <w:rFonts w:hint="eastAsia"/>
        </w:rPr>
        <w:t>声呐</w:t>
      </w:r>
      <w:r>
        <w:t>、视频数据；</w:t>
      </w:r>
    </w:p>
    <w:p w14:paraId="2C7A166D">
      <w:pPr>
        <w:ind w:firstLine="482" w:firstLineChars="200"/>
      </w:pPr>
      <w:r>
        <w:rPr>
          <w:b/>
          <w:bCs/>
        </w:rPr>
        <w:t>7</w:t>
      </w:r>
      <w:r>
        <w:rPr>
          <w:rFonts w:hint="eastAsia"/>
          <w:b/>
          <w:bCs/>
        </w:rPr>
        <w:t>　</w:t>
      </w:r>
      <w:r>
        <w:t>检测完毕后，回收</w:t>
      </w:r>
      <w:r>
        <w:rPr>
          <w:rFonts w:hint="eastAsia"/>
        </w:rPr>
        <w:t>探测</w:t>
      </w:r>
      <w:r>
        <w:t>器</w:t>
      </w:r>
      <w:r>
        <w:rPr>
          <w:rFonts w:hint="eastAsia"/>
        </w:rPr>
        <w:t>，恢复检测现场</w:t>
      </w:r>
      <w:r>
        <w:t>。</w:t>
      </w:r>
    </w:p>
    <w:p w14:paraId="570F8A3D">
      <w:pPr>
        <w:rPr>
          <w:rFonts w:eastAsia="宋体" w:cs="Times New Roman"/>
        </w:rPr>
      </w:pPr>
      <w:r>
        <w:rPr>
          <w:b/>
          <w:szCs w:val="24"/>
        </w:rPr>
        <w:t>5.3.</w:t>
      </w:r>
      <w:r>
        <w:rPr>
          <w:rFonts w:hint="eastAsia"/>
          <w:b/>
          <w:szCs w:val="24"/>
        </w:rPr>
        <w:t>10　</w:t>
      </w:r>
      <w:r>
        <w:rPr>
          <w:rFonts w:hint="eastAsia"/>
        </w:rPr>
        <w:t>停水声呐</w:t>
      </w:r>
      <w:r>
        <w:rPr>
          <w:rFonts w:hint="eastAsia"/>
          <w:bCs/>
          <w:szCs w:val="24"/>
        </w:rPr>
        <w:t>检测</w:t>
      </w:r>
      <w:r>
        <w:rPr>
          <w:rFonts w:hint="eastAsia" w:eastAsia="宋体" w:cs="Times New Roman"/>
          <w:bCs/>
        </w:rPr>
        <w:t>应</w:t>
      </w:r>
      <w:r>
        <w:rPr>
          <w:rFonts w:hint="eastAsia" w:eastAsia="宋体" w:cs="Times New Roman"/>
        </w:rPr>
        <w:t>按下列步骤操作：</w:t>
      </w:r>
    </w:p>
    <w:p w14:paraId="6CBBA832">
      <w:pPr>
        <w:ind w:firstLine="482" w:firstLineChars="200"/>
      </w:pPr>
      <w:r>
        <w:rPr>
          <w:rFonts w:hint="eastAsia"/>
          <w:b/>
          <w:bCs/>
        </w:rPr>
        <w:t>1　</w:t>
      </w:r>
      <w:r>
        <w:rPr>
          <w:rFonts w:hint="eastAsia"/>
        </w:rPr>
        <w:t>做好</w:t>
      </w:r>
      <w:r>
        <w:t>改造</w:t>
      </w:r>
      <w:r>
        <w:rPr>
          <w:rFonts w:hint="eastAsia"/>
        </w:rPr>
        <w:t>阀门</w:t>
      </w:r>
      <w:r>
        <w:t>、作业</w:t>
      </w:r>
      <w:r>
        <w:rPr>
          <w:rFonts w:hint="eastAsia"/>
        </w:rPr>
        <w:t>空间</w:t>
      </w:r>
      <w:r>
        <w:t>等现场准备工作；</w:t>
      </w:r>
    </w:p>
    <w:p w14:paraId="11BA807B">
      <w:pPr>
        <w:ind w:firstLine="482" w:firstLineChars="200"/>
      </w:pPr>
      <w:r>
        <w:rPr>
          <w:rFonts w:hint="eastAsia"/>
          <w:b/>
          <w:bCs/>
        </w:rPr>
        <w:t>2　</w:t>
      </w:r>
      <w:r>
        <w:t>作业前检查</w:t>
      </w:r>
      <w:r>
        <w:rPr>
          <w:rFonts w:hint="eastAsia"/>
        </w:rPr>
        <w:t>探测</w:t>
      </w:r>
      <w:r>
        <w:t>器</w:t>
      </w:r>
      <w:r>
        <w:rPr>
          <w:rFonts w:hint="eastAsia"/>
        </w:rPr>
        <w:t>处于</w:t>
      </w:r>
      <w:r>
        <w:t>正常</w:t>
      </w:r>
      <w:r>
        <w:rPr>
          <w:rFonts w:hint="eastAsia"/>
          <w:lang w:eastAsia="zh-CN"/>
        </w:rPr>
        <w:t>并</w:t>
      </w:r>
      <w:r>
        <w:t>做好消毒；</w:t>
      </w:r>
    </w:p>
    <w:p w14:paraId="34EA88ED">
      <w:pPr>
        <w:ind w:firstLine="482" w:firstLineChars="200"/>
      </w:pPr>
      <w:r>
        <w:rPr>
          <w:rFonts w:hint="eastAsia"/>
          <w:b/>
          <w:bCs/>
        </w:rPr>
        <w:t>3　</w:t>
      </w:r>
      <w:r>
        <w:rPr>
          <w:rFonts w:hint="eastAsia"/>
        </w:rPr>
        <w:t>管道内</w:t>
      </w:r>
      <w:r>
        <w:t>放入</w:t>
      </w:r>
      <w:r>
        <w:rPr>
          <w:rFonts w:hint="eastAsia"/>
        </w:rPr>
        <w:t>探测</w:t>
      </w:r>
      <w:r>
        <w:t>器</w:t>
      </w:r>
      <w:r>
        <w:rPr>
          <w:rFonts w:hint="eastAsia"/>
          <w:lang w:eastAsia="zh-CN"/>
        </w:rPr>
        <w:t>并</w:t>
      </w:r>
      <w:r>
        <w:t>打开闸阀充水；</w:t>
      </w:r>
    </w:p>
    <w:p w14:paraId="70C847E0">
      <w:pPr>
        <w:ind w:firstLine="482" w:firstLineChars="200"/>
        <w:rPr>
          <w:b/>
          <w:bCs/>
        </w:rPr>
      </w:pPr>
      <w:r>
        <w:rPr>
          <w:rFonts w:hint="eastAsia"/>
          <w:b/>
          <w:bCs/>
        </w:rPr>
        <w:t>4　</w:t>
      </w:r>
      <w:r>
        <w:rPr>
          <w:rFonts w:hint="eastAsia"/>
        </w:rPr>
        <w:t>探测</w:t>
      </w:r>
      <w:r>
        <w:t>器</w:t>
      </w:r>
      <w:r>
        <w:rPr>
          <w:rFonts w:hint="eastAsia"/>
        </w:rPr>
        <w:t>位于起始位置后，将计数器归零；</w:t>
      </w:r>
    </w:p>
    <w:p w14:paraId="61F299CD">
      <w:pPr>
        <w:ind w:firstLine="482" w:firstLineChars="200"/>
      </w:pPr>
      <w:r>
        <w:rPr>
          <w:rFonts w:hint="eastAsia"/>
          <w:b/>
          <w:bCs/>
        </w:rPr>
        <w:t>5　</w:t>
      </w:r>
      <w:r>
        <w:rPr>
          <w:rFonts w:hint="eastAsia"/>
        </w:rPr>
        <w:t>操作设备使探测</w:t>
      </w:r>
      <w:r>
        <w:t>器</w:t>
      </w:r>
      <w:r>
        <w:rPr>
          <w:rFonts w:hint="eastAsia"/>
        </w:rPr>
        <w:t>前行，实时记录声呐数据；</w:t>
      </w:r>
    </w:p>
    <w:p w14:paraId="6E9E7FD5">
      <w:pPr>
        <w:ind w:firstLine="482" w:firstLineChars="200"/>
      </w:pPr>
      <w:r>
        <w:rPr>
          <w:rFonts w:hint="eastAsia"/>
          <w:b/>
          <w:bCs/>
        </w:rPr>
        <w:t>6　</w:t>
      </w:r>
      <w:r>
        <w:t>检测完毕后，回收</w:t>
      </w:r>
      <w:r>
        <w:rPr>
          <w:rFonts w:hint="eastAsia"/>
        </w:rPr>
        <w:t>探测</w:t>
      </w:r>
      <w:r>
        <w:t>器</w:t>
      </w:r>
      <w:r>
        <w:rPr>
          <w:rFonts w:hint="eastAsia"/>
        </w:rPr>
        <w:t>，恢复检测现场</w:t>
      </w:r>
      <w:r>
        <w:t>。</w:t>
      </w:r>
    </w:p>
    <w:p w14:paraId="63794052">
      <w:pPr>
        <w:pStyle w:val="105"/>
      </w:pPr>
    </w:p>
    <w:p w14:paraId="567EEA09">
      <w:pPr>
        <w:pStyle w:val="5"/>
      </w:pPr>
      <w:bookmarkStart w:id="146" w:name="_Toc12623"/>
      <w:bookmarkStart w:id="147" w:name="_Toc28732"/>
      <w:bookmarkStart w:id="148" w:name="_Toc29117"/>
      <w:bookmarkStart w:id="149" w:name="_Toc5474"/>
      <w:bookmarkStart w:id="150" w:name="_Toc195"/>
      <w:bookmarkStart w:id="151" w:name="_Toc13417"/>
      <w:bookmarkStart w:id="152" w:name="_Toc181825553"/>
      <w:r>
        <w:rPr>
          <w:rFonts w:hint="eastAsia"/>
        </w:rPr>
        <w:t>5.4　结果判读</w:t>
      </w:r>
      <w:bookmarkEnd w:id="146"/>
      <w:bookmarkEnd w:id="147"/>
      <w:bookmarkEnd w:id="148"/>
      <w:bookmarkEnd w:id="149"/>
      <w:bookmarkEnd w:id="150"/>
      <w:bookmarkEnd w:id="151"/>
      <w:bookmarkEnd w:id="152"/>
    </w:p>
    <w:p w14:paraId="04E866E6">
      <w:pPr>
        <w:ind w:left="120" w:hanging="120" w:hangingChars="50"/>
        <w:rPr>
          <w:rFonts w:cs="Times New Roman"/>
          <w:szCs w:val="24"/>
        </w:rPr>
      </w:pPr>
      <w:r>
        <w:rPr>
          <w:rFonts w:cs="Times New Roman"/>
          <w:b/>
          <w:szCs w:val="24"/>
        </w:rPr>
        <w:t>5.4.1　</w:t>
      </w:r>
      <w:r>
        <w:rPr>
          <w:rFonts w:cs="Times New Roman"/>
          <w:szCs w:val="24"/>
        </w:rPr>
        <w:t>规定采样间隔和图形变异处的轮廓图应现场捕捉并</w:t>
      </w:r>
      <w:r>
        <w:rPr>
          <w:rFonts w:hint="eastAsia" w:cs="Times New Roman"/>
          <w:szCs w:val="24"/>
        </w:rPr>
        <w:t>应</w:t>
      </w:r>
      <w:r>
        <w:rPr>
          <w:rFonts w:cs="Times New Roman"/>
          <w:szCs w:val="24"/>
        </w:rPr>
        <w:t>进行数据保存。</w:t>
      </w:r>
    </w:p>
    <w:p w14:paraId="00A772EE">
      <w:pPr>
        <w:rPr>
          <w:rFonts w:cs="Times New Roman"/>
          <w:szCs w:val="24"/>
        </w:rPr>
      </w:pPr>
      <w:r>
        <w:rPr>
          <w:rFonts w:cs="Times New Roman"/>
          <w:b/>
          <w:szCs w:val="24"/>
        </w:rPr>
        <w:t>5.4.2　</w:t>
      </w:r>
      <w:r>
        <w:rPr>
          <w:rFonts w:hint="eastAsia" w:cs="Times New Roman"/>
          <w:szCs w:val="24"/>
        </w:rPr>
        <w:t>绘制检测成果图时，图形表示的线性长度与实际物体线性长度的误差不应大于3%</w:t>
      </w:r>
      <w:r>
        <w:rPr>
          <w:rFonts w:cs="Times New Roman"/>
          <w:szCs w:val="24"/>
        </w:rPr>
        <w:t>。</w:t>
      </w:r>
    </w:p>
    <w:p w14:paraId="029BDE67">
      <w:pPr>
        <w:autoSpaceDE w:val="0"/>
        <w:autoSpaceDN w:val="0"/>
        <w:adjustRightInd w:val="0"/>
        <w:ind w:left="-13"/>
        <w:rPr>
          <w:rFonts w:cs="Times New Roman"/>
          <w:kern w:val="0"/>
          <w:szCs w:val="24"/>
        </w:rPr>
      </w:pPr>
      <w:r>
        <w:rPr>
          <w:rFonts w:cs="Times New Roman"/>
          <w:b/>
          <w:szCs w:val="24"/>
        </w:rPr>
        <w:t>5.4.3　</w:t>
      </w:r>
      <w:r>
        <w:rPr>
          <w:rFonts w:hint="eastAsia" w:cs="Times New Roman"/>
          <w:kern w:val="0"/>
          <w:szCs w:val="24"/>
        </w:rPr>
        <w:t>声呐检测截取的轮廓图应标明管道轮廓线、管径、缺陷等信息</w:t>
      </w:r>
      <w:r>
        <w:rPr>
          <w:rFonts w:cs="Times New Roman"/>
          <w:kern w:val="0"/>
          <w:szCs w:val="24"/>
        </w:rPr>
        <w:t>。</w:t>
      </w:r>
    </w:p>
    <w:p w14:paraId="5B1A6DEB">
      <w:pPr>
        <w:widowControl/>
        <w:rPr>
          <w:rFonts w:cs="Times New Roman"/>
          <w:szCs w:val="24"/>
        </w:rPr>
      </w:pPr>
      <w:r>
        <w:rPr>
          <w:rFonts w:cs="Times New Roman"/>
          <w:b/>
          <w:szCs w:val="24"/>
        </w:rPr>
        <w:t>5.4.</w:t>
      </w:r>
      <w:r>
        <w:rPr>
          <w:rFonts w:hint="eastAsia" w:cs="Times New Roman"/>
          <w:b/>
          <w:szCs w:val="24"/>
        </w:rPr>
        <w:t>4　</w:t>
      </w:r>
      <w:r>
        <w:rPr>
          <w:rFonts w:cs="Times New Roman"/>
          <w:kern w:val="0"/>
          <w:szCs w:val="24"/>
          <w:lang w:bidi="ar"/>
        </w:rPr>
        <w:t>声呐</w:t>
      </w:r>
      <w:r>
        <w:rPr>
          <w:rFonts w:eastAsia="宋体" w:cs="Times New Roman"/>
          <w:kern w:val="0"/>
          <w:szCs w:val="24"/>
          <w:lang w:bidi="ar"/>
        </w:rPr>
        <w:t>轮廓图不应作为结构性缺陷最终评判依据，</w:t>
      </w:r>
      <w:r>
        <w:rPr>
          <w:rFonts w:hint="eastAsia" w:cs="Times New Roman"/>
          <w:szCs w:val="24"/>
        </w:rPr>
        <w:t>宜结合</w:t>
      </w:r>
      <w:r>
        <w:rPr>
          <w:rFonts w:cs="Times New Roman"/>
          <w:szCs w:val="24"/>
        </w:rPr>
        <w:t>电视检测</w:t>
      </w:r>
      <w:r>
        <w:rPr>
          <w:rFonts w:hint="eastAsia" w:cs="Times New Roman"/>
          <w:szCs w:val="24"/>
        </w:rPr>
        <w:t>等</w:t>
      </w:r>
      <w:r>
        <w:rPr>
          <w:rFonts w:cs="Times New Roman"/>
          <w:szCs w:val="24"/>
        </w:rPr>
        <w:t>方</w:t>
      </w:r>
      <w:r>
        <w:rPr>
          <w:rFonts w:hint="eastAsia" w:cs="Times New Roman"/>
          <w:szCs w:val="24"/>
        </w:rPr>
        <w:t>法综合评判，</w:t>
      </w:r>
      <w:r>
        <w:rPr>
          <w:rFonts w:cs="Times New Roman"/>
          <w:szCs w:val="24"/>
        </w:rPr>
        <w:t>或</w:t>
      </w:r>
      <w:r>
        <w:rPr>
          <w:rFonts w:hint="eastAsia" w:cs="Times New Roman"/>
          <w:szCs w:val="24"/>
          <w:lang w:eastAsia="zh-CN"/>
        </w:rPr>
        <w:t>使用</w:t>
      </w:r>
      <w:r>
        <w:rPr>
          <w:rFonts w:cs="Times New Roman"/>
          <w:szCs w:val="24"/>
        </w:rPr>
        <w:t>其他方</w:t>
      </w:r>
      <w:r>
        <w:rPr>
          <w:rFonts w:hint="eastAsia" w:cs="Times New Roman"/>
          <w:szCs w:val="24"/>
        </w:rPr>
        <w:t>法</w:t>
      </w:r>
      <w:r>
        <w:rPr>
          <w:rFonts w:cs="Times New Roman"/>
          <w:szCs w:val="24"/>
        </w:rPr>
        <w:t>检测评估。</w:t>
      </w:r>
    </w:p>
    <w:p w14:paraId="2ACC584B">
      <w:pPr>
        <w:pStyle w:val="2"/>
        <w:ind w:firstLine="240"/>
        <w:sectPr>
          <w:pgSz w:w="11906" w:h="16838"/>
          <w:pgMar w:top="1440" w:right="1800" w:bottom="1440" w:left="1800" w:header="851" w:footer="992" w:gutter="0"/>
          <w:cols w:space="425" w:num="1"/>
          <w:docGrid w:type="lines" w:linePitch="312" w:charSpace="0"/>
        </w:sectPr>
      </w:pPr>
    </w:p>
    <w:p w14:paraId="215A08FF">
      <w:pPr>
        <w:pStyle w:val="4"/>
      </w:pPr>
      <w:bookmarkStart w:id="153" w:name="_Toc27476"/>
      <w:bookmarkStart w:id="154" w:name="_Toc2671"/>
      <w:bookmarkStart w:id="155" w:name="_Toc12537"/>
      <w:bookmarkStart w:id="156" w:name="_Toc181825554"/>
      <w:bookmarkStart w:id="157" w:name="_Toc20719"/>
      <w:r>
        <w:rPr>
          <w:rFonts w:hint="eastAsia"/>
        </w:rPr>
        <w:t>6　超声波检测</w:t>
      </w:r>
      <w:bookmarkEnd w:id="153"/>
      <w:bookmarkEnd w:id="154"/>
      <w:bookmarkEnd w:id="155"/>
      <w:bookmarkEnd w:id="156"/>
      <w:bookmarkEnd w:id="157"/>
    </w:p>
    <w:p w14:paraId="211F75F7">
      <w:pPr>
        <w:pStyle w:val="5"/>
      </w:pPr>
      <w:bookmarkStart w:id="158" w:name="_Toc30855"/>
      <w:bookmarkStart w:id="159" w:name="_Toc181825555"/>
      <w:bookmarkStart w:id="160" w:name="_Toc30541"/>
      <w:bookmarkStart w:id="161" w:name="_Toc25802"/>
      <w:bookmarkStart w:id="162" w:name="_Toc20720"/>
      <w:r>
        <w:rPr>
          <w:rFonts w:hint="eastAsia"/>
        </w:rPr>
        <w:t>6.1　一般规定</w:t>
      </w:r>
      <w:bookmarkEnd w:id="158"/>
      <w:bookmarkEnd w:id="159"/>
      <w:bookmarkEnd w:id="160"/>
      <w:bookmarkEnd w:id="161"/>
      <w:bookmarkEnd w:id="162"/>
    </w:p>
    <w:p w14:paraId="08F7D121">
      <w:pPr>
        <w:widowControl/>
        <w:rPr>
          <w:rFonts w:eastAsia="宋体" w:cs="Times New Roman"/>
          <w:kern w:val="0"/>
          <w:szCs w:val="24"/>
          <w:lang w:bidi="ar"/>
        </w:rPr>
      </w:pPr>
      <w:r>
        <w:rPr>
          <w:rFonts w:eastAsia="宋体" w:cs="Times New Roman"/>
          <w:b/>
          <w:bCs/>
          <w:kern w:val="0"/>
          <w:szCs w:val="24"/>
          <w:lang w:bidi="ar"/>
        </w:rPr>
        <w:t>6.1.1　</w:t>
      </w:r>
      <w:r>
        <w:rPr>
          <w:rFonts w:eastAsia="宋体" w:cs="Times New Roman"/>
          <w:kern w:val="0"/>
          <w:szCs w:val="24"/>
          <w:lang w:bidi="ar"/>
        </w:rPr>
        <w:t>超声波检测</w:t>
      </w:r>
      <w:r>
        <w:rPr>
          <w:rFonts w:hint="eastAsia" w:eastAsia="宋体" w:cs="Times New Roman"/>
          <w:kern w:val="0"/>
          <w:szCs w:val="24"/>
          <w:lang w:bidi="ar"/>
        </w:rPr>
        <w:t>可</w:t>
      </w:r>
      <w:r>
        <w:rPr>
          <w:rFonts w:eastAsia="宋体" w:cs="Times New Roman"/>
          <w:kern w:val="0"/>
          <w:szCs w:val="24"/>
          <w:lang w:bidi="ar"/>
        </w:rPr>
        <w:t>用于</w:t>
      </w:r>
      <w:r>
        <w:rPr>
          <w:rFonts w:hint="eastAsia" w:eastAsia="宋体" w:cs="Times New Roman"/>
          <w:kern w:val="0"/>
          <w:szCs w:val="24"/>
          <w:lang w:bidi="ar"/>
        </w:rPr>
        <w:t>铸铁管、钢管等金属材质</w:t>
      </w:r>
      <w:r>
        <w:rPr>
          <w:rFonts w:eastAsia="宋体" w:cs="Times New Roman"/>
          <w:kern w:val="0"/>
          <w:szCs w:val="24"/>
          <w:lang w:bidi="ar"/>
        </w:rPr>
        <w:t>给水管道的壁厚检测。</w:t>
      </w:r>
    </w:p>
    <w:p w14:paraId="284B8809">
      <w:pPr>
        <w:widowControl/>
        <w:rPr>
          <w:rFonts w:eastAsia="宋体" w:cs="Times New Roman"/>
        </w:rPr>
      </w:pPr>
      <w:r>
        <w:rPr>
          <w:rFonts w:eastAsia="宋体" w:cs="Times New Roman"/>
          <w:b/>
          <w:bCs/>
          <w:kern w:val="0"/>
          <w:szCs w:val="24"/>
          <w:lang w:bidi="ar"/>
        </w:rPr>
        <w:t>6.1.</w:t>
      </w:r>
      <w:r>
        <w:rPr>
          <w:rFonts w:hint="eastAsia" w:eastAsia="宋体" w:cs="Times New Roman"/>
          <w:b/>
          <w:bCs/>
          <w:kern w:val="0"/>
          <w:szCs w:val="24"/>
          <w:lang w:bidi="ar"/>
        </w:rPr>
        <w:t>2　</w:t>
      </w:r>
      <w:r>
        <w:rPr>
          <w:rFonts w:eastAsia="宋体" w:cs="Times New Roman"/>
          <w:kern w:val="0"/>
          <w:szCs w:val="24"/>
          <w:lang w:bidi="ar"/>
        </w:rPr>
        <w:t>给水管道超声波检测可分为</w:t>
      </w:r>
      <w:r>
        <w:rPr>
          <w:rFonts w:hint="eastAsia" w:eastAsia="宋体" w:cs="Times New Roman"/>
          <w:kern w:val="0"/>
          <w:szCs w:val="24"/>
          <w:lang w:bidi="ar"/>
        </w:rPr>
        <w:t>带压</w:t>
      </w:r>
      <w:r>
        <w:rPr>
          <w:rFonts w:eastAsia="宋体" w:cs="Times New Roman"/>
          <w:kern w:val="0"/>
          <w:szCs w:val="24"/>
          <w:lang w:bidi="ar"/>
        </w:rPr>
        <w:t>检测和</w:t>
      </w:r>
      <w:r>
        <w:rPr>
          <w:rFonts w:hint="eastAsia" w:eastAsia="宋体" w:cs="Times New Roman"/>
          <w:kern w:val="0"/>
          <w:szCs w:val="24"/>
          <w:lang w:bidi="ar"/>
        </w:rPr>
        <w:t>停水</w:t>
      </w:r>
      <w:r>
        <w:rPr>
          <w:rFonts w:eastAsia="宋体" w:cs="Times New Roman"/>
          <w:kern w:val="0"/>
          <w:szCs w:val="24"/>
          <w:lang w:bidi="ar"/>
        </w:rPr>
        <w:t>检测。</w:t>
      </w:r>
    </w:p>
    <w:p w14:paraId="331985D5">
      <w:pPr>
        <w:widowControl/>
        <w:rPr>
          <w:rFonts w:eastAsia="宋体" w:cs="Times New Roman"/>
          <w:kern w:val="0"/>
          <w:szCs w:val="24"/>
          <w:lang w:bidi="ar"/>
        </w:rPr>
      </w:pPr>
      <w:r>
        <w:rPr>
          <w:rFonts w:eastAsia="宋体" w:cs="Times New Roman"/>
          <w:b/>
          <w:bCs/>
          <w:kern w:val="0"/>
          <w:szCs w:val="24"/>
          <w:lang w:bidi="ar"/>
        </w:rPr>
        <w:t>6.1.</w:t>
      </w:r>
      <w:r>
        <w:rPr>
          <w:rFonts w:hint="eastAsia" w:eastAsia="宋体" w:cs="Times New Roman"/>
          <w:b/>
          <w:bCs/>
          <w:kern w:val="0"/>
          <w:szCs w:val="24"/>
          <w:lang w:bidi="ar"/>
        </w:rPr>
        <w:t>3　</w:t>
      </w:r>
      <w:r>
        <w:rPr>
          <w:rFonts w:hint="eastAsia" w:eastAsia="宋体" w:cs="Times New Roman"/>
          <w:kern w:val="0"/>
          <w:szCs w:val="24"/>
          <w:lang w:bidi="ar"/>
        </w:rPr>
        <w:t>带压</w:t>
      </w:r>
      <w:r>
        <w:rPr>
          <w:rFonts w:eastAsia="宋体" w:cs="Times New Roman"/>
          <w:kern w:val="0"/>
          <w:szCs w:val="24"/>
          <w:lang w:bidi="ar"/>
        </w:rPr>
        <w:t>检测可利用</w:t>
      </w:r>
      <w:r>
        <w:rPr>
          <w:rFonts w:hint="eastAsia" w:eastAsia="宋体" w:cs="Times New Roman"/>
          <w:kern w:val="0"/>
          <w:szCs w:val="24"/>
          <w:lang w:bidi="ar"/>
        </w:rPr>
        <w:t>载行器</w:t>
      </w:r>
      <w:r>
        <w:rPr>
          <w:rFonts w:eastAsia="宋体" w:cs="Times New Roman"/>
          <w:kern w:val="0"/>
          <w:szCs w:val="24"/>
          <w:lang w:bidi="ar"/>
        </w:rPr>
        <w:t>携带超声波检测设备</w:t>
      </w:r>
      <w:r>
        <w:rPr>
          <w:rFonts w:hint="eastAsia" w:eastAsia="宋体" w:cs="Times New Roman"/>
          <w:kern w:val="0"/>
          <w:szCs w:val="24"/>
          <w:lang w:bidi="ar"/>
        </w:rPr>
        <w:t>在</w:t>
      </w:r>
      <w:r>
        <w:rPr>
          <w:rFonts w:eastAsia="宋体" w:cs="Times New Roman"/>
          <w:kern w:val="0"/>
          <w:szCs w:val="24"/>
          <w:lang w:bidi="ar"/>
        </w:rPr>
        <w:t>管道</w:t>
      </w:r>
      <w:r>
        <w:rPr>
          <w:rFonts w:hint="eastAsia" w:eastAsia="宋体" w:cs="Times New Roman"/>
          <w:kern w:val="0"/>
          <w:szCs w:val="24"/>
          <w:lang w:bidi="ar"/>
        </w:rPr>
        <w:t>内</w:t>
      </w:r>
      <w:r>
        <w:rPr>
          <w:rFonts w:eastAsia="宋体" w:cs="Times New Roman"/>
          <w:kern w:val="0"/>
          <w:szCs w:val="24"/>
          <w:lang w:bidi="ar"/>
        </w:rPr>
        <w:t>行进</w:t>
      </w:r>
      <w:r>
        <w:rPr>
          <w:rFonts w:hint="eastAsia" w:eastAsia="宋体" w:cs="Times New Roman"/>
          <w:kern w:val="0"/>
          <w:szCs w:val="24"/>
          <w:lang w:eastAsia="zh-CN" w:bidi="ar"/>
        </w:rPr>
        <w:t>并</w:t>
      </w:r>
      <w:r>
        <w:rPr>
          <w:rFonts w:eastAsia="宋体" w:cs="Times New Roman"/>
          <w:kern w:val="0"/>
          <w:szCs w:val="24"/>
          <w:lang w:bidi="ar"/>
        </w:rPr>
        <w:t>自动环扫测量管道</w:t>
      </w:r>
      <w:r>
        <w:rPr>
          <w:rFonts w:hint="eastAsia" w:eastAsia="宋体" w:cs="Times New Roman"/>
          <w:kern w:val="0"/>
          <w:szCs w:val="24"/>
          <w:lang w:bidi="ar"/>
        </w:rPr>
        <w:t>壁的</w:t>
      </w:r>
      <w:r>
        <w:rPr>
          <w:rFonts w:eastAsia="宋体" w:cs="Times New Roman"/>
          <w:kern w:val="0"/>
          <w:szCs w:val="24"/>
          <w:lang w:bidi="ar"/>
        </w:rPr>
        <w:t>厚度；</w:t>
      </w:r>
      <w:r>
        <w:rPr>
          <w:rFonts w:hint="eastAsia" w:eastAsia="宋体" w:cs="Times New Roman"/>
          <w:kern w:val="0"/>
          <w:szCs w:val="24"/>
          <w:lang w:bidi="ar"/>
        </w:rPr>
        <w:t>停水</w:t>
      </w:r>
      <w:r>
        <w:rPr>
          <w:rFonts w:eastAsia="宋体" w:cs="Times New Roman"/>
          <w:kern w:val="0"/>
          <w:szCs w:val="24"/>
          <w:lang w:bidi="ar"/>
        </w:rPr>
        <w:t>检测可采用人工进入管道方式，利用超声波测厚设备逐点测量管道壁</w:t>
      </w:r>
      <w:r>
        <w:rPr>
          <w:rFonts w:hint="eastAsia" w:eastAsia="宋体" w:cs="Times New Roman"/>
          <w:kern w:val="0"/>
          <w:szCs w:val="24"/>
          <w:lang w:bidi="ar"/>
        </w:rPr>
        <w:t>的</w:t>
      </w:r>
      <w:r>
        <w:rPr>
          <w:rFonts w:eastAsia="宋体" w:cs="Times New Roman"/>
          <w:kern w:val="0"/>
          <w:szCs w:val="24"/>
          <w:lang w:bidi="ar"/>
        </w:rPr>
        <w:t>厚度。</w:t>
      </w:r>
    </w:p>
    <w:p w14:paraId="76A04703">
      <w:pPr>
        <w:widowControl/>
        <w:rPr>
          <w:rFonts w:eastAsia="宋体" w:cs="Times New Roman"/>
          <w:kern w:val="0"/>
          <w:szCs w:val="24"/>
          <w:lang w:bidi="ar"/>
        </w:rPr>
      </w:pPr>
      <w:r>
        <w:rPr>
          <w:rFonts w:hint="eastAsia" w:eastAsia="宋体" w:cs="Times New Roman"/>
          <w:b/>
          <w:bCs/>
          <w:kern w:val="0"/>
          <w:szCs w:val="24"/>
          <w:lang w:bidi="ar"/>
        </w:rPr>
        <w:t>6.1.4　</w:t>
      </w:r>
      <w:r>
        <w:rPr>
          <w:rFonts w:hint="eastAsia" w:eastAsia="宋体" w:cs="Times New Roman"/>
          <w:kern w:val="0"/>
          <w:szCs w:val="24"/>
          <w:lang w:bidi="ar"/>
        </w:rPr>
        <w:t>测厚</w:t>
      </w:r>
      <w:r>
        <w:rPr>
          <w:rFonts w:eastAsia="宋体" w:cs="Times New Roman"/>
          <w:kern w:val="0"/>
          <w:szCs w:val="24"/>
          <w:lang w:bidi="ar"/>
        </w:rPr>
        <w:t>应符合现行国家标准《无损检测超声测厚》GB/T 11344、《无损检测 超声检测 超声测厚仪性能特征和测试方法》GB/T 40332的有关规定。</w:t>
      </w:r>
    </w:p>
    <w:p w14:paraId="52EA6BC7">
      <w:pPr>
        <w:widowControl/>
        <w:rPr>
          <w:rFonts w:eastAsia="宋体" w:cs="Times New Roman"/>
          <w:kern w:val="0"/>
          <w:szCs w:val="24"/>
          <w:lang w:bidi="ar"/>
        </w:rPr>
      </w:pPr>
      <w:r>
        <w:rPr>
          <w:rFonts w:eastAsia="宋体" w:cs="Times New Roman"/>
          <w:b/>
          <w:bCs/>
          <w:kern w:val="0"/>
          <w:szCs w:val="24"/>
          <w:lang w:bidi="ar"/>
        </w:rPr>
        <w:t>6.1.</w:t>
      </w:r>
      <w:r>
        <w:rPr>
          <w:rFonts w:hint="eastAsia" w:eastAsia="宋体" w:cs="Times New Roman"/>
          <w:b/>
          <w:bCs/>
          <w:kern w:val="0"/>
          <w:szCs w:val="24"/>
          <w:lang w:bidi="ar"/>
        </w:rPr>
        <w:t>5　</w:t>
      </w:r>
      <w:r>
        <w:rPr>
          <w:rFonts w:hint="eastAsia" w:eastAsia="宋体" w:cs="Times New Roman"/>
          <w:kern w:val="0"/>
          <w:szCs w:val="24"/>
          <w:lang w:bidi="ar"/>
        </w:rPr>
        <w:t>带压</w:t>
      </w:r>
      <w:r>
        <w:rPr>
          <w:rFonts w:eastAsia="宋体" w:cs="Times New Roman"/>
          <w:kern w:val="0"/>
          <w:szCs w:val="24"/>
          <w:lang w:bidi="ar"/>
        </w:rPr>
        <w:t>超声波检测应满足下列条件：</w:t>
      </w:r>
    </w:p>
    <w:p w14:paraId="74685B2C">
      <w:pPr>
        <w:widowControl/>
        <w:ind w:firstLine="420"/>
        <w:rPr>
          <w:rFonts w:eastAsia="宋体" w:cs="Times New Roman"/>
        </w:rPr>
      </w:pPr>
      <w:r>
        <w:rPr>
          <w:rFonts w:eastAsia="宋体" w:cs="Times New Roman"/>
          <w:b/>
          <w:bCs/>
          <w:kern w:val="0"/>
          <w:szCs w:val="24"/>
          <w:lang w:bidi="ar"/>
        </w:rPr>
        <w:t>1　</w:t>
      </w:r>
      <w:r>
        <w:rPr>
          <w:rFonts w:eastAsia="宋体" w:cs="Times New Roman"/>
          <w:kern w:val="0"/>
          <w:szCs w:val="24"/>
          <w:lang w:bidi="ar"/>
        </w:rPr>
        <w:t>管径不小于100mm；</w:t>
      </w:r>
    </w:p>
    <w:p w14:paraId="4E949024">
      <w:pPr>
        <w:widowControl/>
        <w:ind w:firstLine="420"/>
        <w:rPr>
          <w:rFonts w:eastAsia="宋体" w:cs="Times New Roman"/>
          <w:kern w:val="0"/>
          <w:szCs w:val="24"/>
          <w:lang w:bidi="ar"/>
        </w:rPr>
      </w:pPr>
      <w:r>
        <w:rPr>
          <w:rFonts w:eastAsia="宋体" w:cs="Times New Roman"/>
          <w:b/>
          <w:bCs/>
          <w:kern w:val="0"/>
          <w:szCs w:val="24"/>
          <w:lang w:bidi="ar"/>
        </w:rPr>
        <w:t>2　</w:t>
      </w:r>
      <w:r>
        <w:rPr>
          <w:rFonts w:hint="eastAsia" w:eastAsia="宋体" w:cs="Times New Roman"/>
          <w:kern w:val="0"/>
          <w:szCs w:val="24"/>
          <w:lang w:bidi="ar"/>
        </w:rPr>
        <w:t>用于原水或再生水供水管道时，管道壁的厚度不小于5mm；</w:t>
      </w:r>
    </w:p>
    <w:p w14:paraId="3B50D300">
      <w:pPr>
        <w:widowControl/>
        <w:ind w:firstLine="420"/>
        <w:jc w:val="left"/>
        <w:rPr>
          <w:rFonts w:eastAsia="宋体" w:cs="Times New Roman"/>
          <w:kern w:val="0"/>
          <w:szCs w:val="24"/>
          <w:lang w:bidi="ar"/>
        </w:rPr>
      </w:pPr>
      <w:r>
        <w:rPr>
          <w:rFonts w:eastAsia="宋体" w:cs="Times New Roman"/>
          <w:b/>
          <w:bCs/>
          <w:kern w:val="0"/>
          <w:szCs w:val="24"/>
          <w:lang w:bidi="ar"/>
        </w:rPr>
        <w:t>3　</w:t>
      </w:r>
      <w:r>
        <w:rPr>
          <w:rFonts w:eastAsia="宋体" w:cs="Times New Roman"/>
          <w:kern w:val="0"/>
          <w:szCs w:val="24"/>
          <w:lang w:bidi="ar"/>
        </w:rPr>
        <w:t>管</w:t>
      </w:r>
      <w:r>
        <w:rPr>
          <w:rFonts w:hint="eastAsia" w:eastAsia="宋体" w:cs="Times New Roman"/>
          <w:kern w:val="0"/>
          <w:szCs w:val="24"/>
          <w:lang w:bidi="ar"/>
        </w:rPr>
        <w:t>段</w:t>
      </w:r>
      <w:r>
        <w:rPr>
          <w:rFonts w:eastAsia="宋体" w:cs="Times New Roman"/>
          <w:kern w:val="0"/>
          <w:szCs w:val="24"/>
          <w:lang w:bidi="ar"/>
        </w:rPr>
        <w:t>有适合超声波检测机器人投放的闸阀入口。</w:t>
      </w:r>
    </w:p>
    <w:p w14:paraId="5B6040E6">
      <w:pPr>
        <w:pStyle w:val="43"/>
        <w:widowControl/>
      </w:pPr>
      <w:r>
        <w:rPr>
          <w:b/>
          <w:bCs/>
          <w:kern w:val="0"/>
          <w:szCs w:val="24"/>
          <w:lang w:bidi="ar"/>
        </w:rPr>
        <w:t>6.1.</w:t>
      </w:r>
      <w:r>
        <w:rPr>
          <w:rFonts w:hint="eastAsia"/>
          <w:b/>
          <w:bCs/>
          <w:kern w:val="0"/>
          <w:szCs w:val="24"/>
          <w:lang w:bidi="ar"/>
        </w:rPr>
        <w:t>6　</w:t>
      </w:r>
      <w:r>
        <w:rPr>
          <w:rFonts w:hint="eastAsia"/>
          <w:kern w:val="0"/>
          <w:szCs w:val="24"/>
          <w:lang w:bidi="ar"/>
        </w:rPr>
        <w:t>停水</w:t>
      </w:r>
      <w:r>
        <w:rPr>
          <w:kern w:val="0"/>
          <w:szCs w:val="24"/>
          <w:lang w:bidi="ar"/>
        </w:rPr>
        <w:t>检测应满足下列条件：</w:t>
      </w:r>
    </w:p>
    <w:p w14:paraId="1D05FF3A">
      <w:pPr>
        <w:widowControl/>
        <w:ind w:firstLine="420"/>
        <w:jc w:val="left"/>
        <w:rPr>
          <w:rFonts w:eastAsia="宋体" w:cs="Times New Roman"/>
          <w:b/>
          <w:bCs/>
          <w:kern w:val="0"/>
          <w:szCs w:val="24"/>
          <w:lang w:bidi="ar"/>
        </w:rPr>
      </w:pPr>
      <w:r>
        <w:rPr>
          <w:rFonts w:eastAsia="宋体" w:cs="Times New Roman"/>
          <w:b/>
          <w:bCs/>
          <w:kern w:val="0"/>
          <w:szCs w:val="24"/>
          <w:lang w:bidi="ar"/>
        </w:rPr>
        <w:t>1　</w:t>
      </w:r>
      <w:r>
        <w:rPr>
          <w:rFonts w:eastAsia="宋体" w:cs="Times New Roman"/>
          <w:kern w:val="0"/>
          <w:szCs w:val="24"/>
          <w:lang w:bidi="ar"/>
        </w:rPr>
        <w:t>管道处于排空状态</w:t>
      </w:r>
      <w:r>
        <w:rPr>
          <w:rFonts w:hint="eastAsia" w:eastAsia="宋体" w:cs="Times New Roman"/>
          <w:kern w:val="0"/>
          <w:szCs w:val="24"/>
          <w:lang w:eastAsia="zh-CN" w:bidi="ar"/>
        </w:rPr>
        <w:t>并</w:t>
      </w:r>
      <w:r>
        <w:rPr>
          <w:rFonts w:eastAsia="宋体" w:cs="Times New Roman"/>
          <w:kern w:val="0"/>
          <w:szCs w:val="24"/>
          <w:lang w:bidi="ar"/>
        </w:rPr>
        <w:t>通风良好，作业环境不得对人员健康和安全构成影响；</w:t>
      </w:r>
    </w:p>
    <w:p w14:paraId="68915E4E">
      <w:pPr>
        <w:widowControl/>
        <w:ind w:firstLine="420"/>
        <w:jc w:val="left"/>
        <w:rPr>
          <w:rFonts w:eastAsia="宋体" w:cs="Times New Roman"/>
          <w:kern w:val="0"/>
          <w:szCs w:val="24"/>
          <w:lang w:bidi="ar"/>
        </w:rPr>
      </w:pPr>
      <w:r>
        <w:rPr>
          <w:rFonts w:eastAsia="宋体" w:cs="Times New Roman"/>
          <w:b/>
          <w:bCs/>
          <w:kern w:val="0"/>
          <w:szCs w:val="24"/>
          <w:lang w:bidi="ar"/>
        </w:rPr>
        <w:t>2　</w:t>
      </w:r>
      <w:r>
        <w:rPr>
          <w:rFonts w:eastAsia="宋体" w:cs="Times New Roman"/>
          <w:kern w:val="0"/>
          <w:szCs w:val="24"/>
          <w:lang w:bidi="ar"/>
        </w:rPr>
        <w:t>管径不小于</w:t>
      </w:r>
      <w:r>
        <w:rPr>
          <w:rFonts w:hint="eastAsia" w:eastAsia="宋体" w:cs="Times New Roman"/>
          <w:kern w:val="0"/>
          <w:szCs w:val="24"/>
          <w:lang w:bidi="ar"/>
        </w:rPr>
        <w:t>8</w:t>
      </w:r>
      <w:r>
        <w:rPr>
          <w:rFonts w:eastAsia="宋体" w:cs="Times New Roman"/>
          <w:kern w:val="0"/>
          <w:szCs w:val="24"/>
          <w:lang w:bidi="ar"/>
        </w:rPr>
        <w:t>00mm；</w:t>
      </w:r>
    </w:p>
    <w:p w14:paraId="4F5D0A17">
      <w:pPr>
        <w:widowControl/>
        <w:ind w:firstLine="420"/>
        <w:jc w:val="left"/>
        <w:rPr>
          <w:rFonts w:eastAsia="宋体" w:cs="Times New Roman"/>
          <w:kern w:val="0"/>
          <w:szCs w:val="24"/>
          <w:lang w:bidi="ar"/>
        </w:rPr>
      </w:pPr>
      <w:r>
        <w:rPr>
          <w:rFonts w:eastAsia="宋体" w:cs="Times New Roman"/>
          <w:b/>
          <w:bCs/>
          <w:kern w:val="0"/>
          <w:szCs w:val="24"/>
          <w:lang w:bidi="ar"/>
        </w:rPr>
        <w:t>3　</w:t>
      </w:r>
      <w:r>
        <w:rPr>
          <w:rFonts w:eastAsia="宋体" w:cs="Times New Roman"/>
          <w:kern w:val="0"/>
          <w:szCs w:val="24"/>
          <w:lang w:bidi="ar"/>
        </w:rPr>
        <w:t>超声测量使用的耦合剂</w:t>
      </w:r>
      <w:r>
        <w:rPr>
          <w:rFonts w:hint="eastAsia" w:eastAsia="宋体" w:cs="Times New Roman"/>
          <w:kern w:val="0"/>
          <w:szCs w:val="24"/>
          <w:lang w:bidi="ar"/>
        </w:rPr>
        <w:t>具有良好的透声性和适宜的流动性，不应对人体和管道材料有损害，同时应便于清理</w:t>
      </w:r>
      <w:r>
        <w:rPr>
          <w:rFonts w:eastAsia="宋体" w:cs="Times New Roman"/>
          <w:kern w:val="0"/>
          <w:szCs w:val="24"/>
          <w:lang w:bidi="ar"/>
        </w:rPr>
        <w:t>，不得对管道</w:t>
      </w:r>
      <w:r>
        <w:rPr>
          <w:rFonts w:hint="eastAsia" w:eastAsia="宋体" w:cs="Times New Roman"/>
          <w:kern w:val="0"/>
          <w:szCs w:val="24"/>
          <w:lang w:bidi="ar"/>
        </w:rPr>
        <w:t>造</w:t>
      </w:r>
      <w:r>
        <w:rPr>
          <w:rFonts w:eastAsia="宋体" w:cs="Times New Roman"/>
          <w:kern w:val="0"/>
          <w:szCs w:val="24"/>
          <w:lang w:bidi="ar"/>
        </w:rPr>
        <w:t>成污染。</w:t>
      </w:r>
    </w:p>
    <w:p w14:paraId="0DB452DB">
      <w:pPr>
        <w:widowControl/>
        <w:jc w:val="left"/>
        <w:rPr>
          <w:rFonts w:eastAsia="宋体" w:cs="Times New Roman"/>
          <w:kern w:val="0"/>
          <w:szCs w:val="24"/>
          <w:lang w:bidi="ar"/>
        </w:rPr>
      </w:pPr>
      <w:r>
        <w:rPr>
          <w:rFonts w:hint="eastAsia" w:eastAsia="宋体" w:cs="Times New Roman"/>
          <w:b/>
          <w:bCs/>
          <w:kern w:val="0"/>
          <w:szCs w:val="24"/>
          <w:lang w:bidi="ar"/>
        </w:rPr>
        <w:t>6</w:t>
      </w:r>
      <w:r>
        <w:rPr>
          <w:rFonts w:eastAsia="宋体" w:cs="Times New Roman"/>
          <w:b/>
          <w:bCs/>
          <w:kern w:val="0"/>
          <w:szCs w:val="24"/>
          <w:lang w:bidi="ar"/>
        </w:rPr>
        <w:t>.1.</w:t>
      </w:r>
      <w:r>
        <w:rPr>
          <w:rFonts w:hint="eastAsia" w:eastAsia="宋体" w:cs="Times New Roman"/>
          <w:b/>
          <w:bCs/>
          <w:kern w:val="0"/>
          <w:szCs w:val="24"/>
          <w:lang w:bidi="ar"/>
        </w:rPr>
        <w:t>7　</w:t>
      </w:r>
      <w:r>
        <w:rPr>
          <w:rFonts w:hint="eastAsia" w:eastAsia="宋体" w:cs="Times New Roman"/>
          <w:kern w:val="0"/>
          <w:szCs w:val="24"/>
          <w:lang w:bidi="ar"/>
        </w:rPr>
        <w:t>带压</w:t>
      </w:r>
      <w:r>
        <w:rPr>
          <w:rFonts w:eastAsia="宋体" w:cs="Times New Roman"/>
          <w:kern w:val="0"/>
          <w:szCs w:val="24"/>
          <w:lang w:bidi="ar"/>
        </w:rPr>
        <w:t>超声波检测</w:t>
      </w:r>
      <w:r>
        <w:rPr>
          <w:rFonts w:hint="eastAsia" w:eastAsia="宋体" w:cs="Times New Roman"/>
          <w:kern w:val="0"/>
          <w:szCs w:val="24"/>
          <w:lang w:bidi="ar"/>
        </w:rPr>
        <w:t>遇</w:t>
      </w:r>
      <w:r>
        <w:rPr>
          <w:rFonts w:eastAsia="宋体" w:cs="Times New Roman"/>
          <w:kern w:val="0"/>
          <w:szCs w:val="24"/>
          <w:lang w:bidi="ar"/>
        </w:rPr>
        <w:t>下列情形之一时</w:t>
      </w:r>
      <w:r>
        <w:rPr>
          <w:rFonts w:hint="eastAsia" w:eastAsia="宋体" w:cs="Times New Roman"/>
          <w:kern w:val="0"/>
          <w:szCs w:val="24"/>
          <w:lang w:bidi="ar"/>
        </w:rPr>
        <w:t>，</w:t>
      </w:r>
      <w:r>
        <w:rPr>
          <w:rFonts w:eastAsia="宋体" w:cs="Times New Roman"/>
          <w:kern w:val="0"/>
          <w:szCs w:val="24"/>
          <w:lang w:bidi="ar"/>
        </w:rPr>
        <w:t>应中止检测：</w:t>
      </w:r>
    </w:p>
    <w:p w14:paraId="7F2D2C0A">
      <w:pPr>
        <w:widowControl/>
        <w:ind w:firstLine="420"/>
        <w:jc w:val="left"/>
        <w:rPr>
          <w:rFonts w:eastAsia="宋体" w:cs="Times New Roman"/>
          <w:kern w:val="0"/>
          <w:szCs w:val="24"/>
          <w:lang w:bidi="ar"/>
        </w:rPr>
      </w:pPr>
      <w:r>
        <w:rPr>
          <w:rFonts w:eastAsia="宋体" w:cs="Times New Roman"/>
          <w:b/>
          <w:bCs/>
          <w:kern w:val="0"/>
          <w:szCs w:val="24"/>
          <w:lang w:bidi="ar"/>
        </w:rPr>
        <w:t>1　</w:t>
      </w:r>
      <w:r>
        <w:rPr>
          <w:rFonts w:eastAsia="宋体" w:cs="Times New Roman"/>
          <w:kern w:val="0"/>
          <w:szCs w:val="24"/>
          <w:lang w:bidi="ar"/>
        </w:rPr>
        <w:t>管道中出现设备无法穿越的障碍物</w:t>
      </w:r>
      <w:r>
        <w:rPr>
          <w:rFonts w:hint="eastAsia" w:eastAsia="宋体" w:cs="Times New Roman"/>
          <w:kern w:val="0"/>
          <w:szCs w:val="24"/>
          <w:lang w:bidi="ar"/>
        </w:rPr>
        <w:t>；</w:t>
      </w:r>
    </w:p>
    <w:p w14:paraId="258732EA">
      <w:pPr>
        <w:widowControl/>
        <w:ind w:firstLine="420"/>
        <w:jc w:val="left"/>
        <w:rPr>
          <w:rFonts w:eastAsia="宋体" w:cs="Times New Roman"/>
          <w:kern w:val="0"/>
          <w:szCs w:val="24"/>
          <w:lang w:bidi="ar"/>
        </w:rPr>
      </w:pPr>
      <w:r>
        <w:rPr>
          <w:rFonts w:eastAsia="宋体" w:cs="Times New Roman"/>
          <w:b/>
          <w:bCs/>
          <w:kern w:val="0"/>
          <w:szCs w:val="24"/>
          <w:lang w:bidi="ar"/>
        </w:rPr>
        <w:t>2　</w:t>
      </w:r>
      <w:r>
        <w:rPr>
          <w:rFonts w:eastAsia="宋体" w:cs="Times New Roman"/>
          <w:kern w:val="0"/>
          <w:szCs w:val="24"/>
          <w:lang w:bidi="ar"/>
        </w:rPr>
        <w:t>当机器人超声波探头被管道异物附着并遮挡时</w:t>
      </w:r>
      <w:r>
        <w:rPr>
          <w:rFonts w:hint="eastAsia" w:eastAsia="宋体" w:cs="Times New Roman"/>
          <w:kern w:val="0"/>
          <w:szCs w:val="24"/>
          <w:lang w:bidi="ar"/>
        </w:rPr>
        <w:t>；</w:t>
      </w:r>
    </w:p>
    <w:p w14:paraId="24E2C329">
      <w:pPr>
        <w:widowControl/>
        <w:ind w:firstLine="420"/>
        <w:jc w:val="left"/>
        <w:rPr>
          <w:bCs/>
        </w:rPr>
      </w:pPr>
      <w:r>
        <w:rPr>
          <w:rFonts w:eastAsia="宋体" w:cs="Times New Roman"/>
          <w:b/>
          <w:bCs/>
          <w:kern w:val="0"/>
          <w:szCs w:val="24"/>
          <w:lang w:bidi="ar"/>
        </w:rPr>
        <w:t>3　</w:t>
      </w:r>
      <w:r>
        <w:rPr>
          <w:rFonts w:eastAsia="宋体" w:cs="Times New Roman"/>
          <w:kern w:val="0"/>
          <w:szCs w:val="24"/>
          <w:lang w:bidi="ar"/>
        </w:rPr>
        <w:t>其他原因无法正常检测时。</w:t>
      </w:r>
    </w:p>
    <w:p w14:paraId="4121A55B">
      <w:pPr>
        <w:pStyle w:val="5"/>
      </w:pPr>
      <w:bookmarkStart w:id="163" w:name="_Toc12165"/>
      <w:bookmarkStart w:id="164" w:name="_Toc25558"/>
      <w:bookmarkStart w:id="165" w:name="_Toc181825556"/>
      <w:bookmarkStart w:id="166" w:name="_Toc31128"/>
      <w:bookmarkStart w:id="167" w:name="_Toc28686"/>
      <w:r>
        <w:rPr>
          <w:rFonts w:hint="eastAsia"/>
        </w:rPr>
        <w:t>6.2　检测设备</w:t>
      </w:r>
      <w:bookmarkEnd w:id="163"/>
      <w:bookmarkEnd w:id="164"/>
      <w:bookmarkEnd w:id="165"/>
      <w:bookmarkEnd w:id="166"/>
      <w:bookmarkEnd w:id="167"/>
    </w:p>
    <w:p w14:paraId="25EB1712">
      <w:pPr>
        <w:widowControl/>
        <w:jc w:val="left"/>
        <w:rPr>
          <w:rFonts w:eastAsia="宋体" w:cs="Times New Roman"/>
          <w:kern w:val="0"/>
          <w:szCs w:val="24"/>
          <w:lang w:bidi="ar"/>
        </w:rPr>
      </w:pPr>
      <w:r>
        <w:rPr>
          <w:rFonts w:eastAsia="宋体" w:cs="Times New Roman"/>
          <w:b/>
          <w:bCs/>
          <w:kern w:val="0"/>
          <w:szCs w:val="24"/>
          <w:lang w:bidi="ar"/>
        </w:rPr>
        <w:t>6.2.1　</w:t>
      </w:r>
      <w:r>
        <w:rPr>
          <w:rFonts w:hint="eastAsia" w:eastAsia="宋体" w:cs="Times New Roman"/>
          <w:kern w:val="0"/>
          <w:szCs w:val="24"/>
          <w:lang w:bidi="ar"/>
        </w:rPr>
        <w:t>带压</w:t>
      </w:r>
      <w:r>
        <w:rPr>
          <w:rFonts w:eastAsia="宋体" w:cs="Times New Roman"/>
          <w:kern w:val="0"/>
          <w:szCs w:val="24"/>
          <w:lang w:bidi="ar"/>
        </w:rPr>
        <w:t>超声波</w:t>
      </w:r>
      <w:r>
        <w:rPr>
          <w:rFonts w:hint="eastAsia" w:eastAsia="宋体" w:cs="Times New Roman"/>
          <w:kern w:val="0"/>
          <w:szCs w:val="24"/>
          <w:lang w:bidi="ar"/>
        </w:rPr>
        <w:t>检测</w:t>
      </w:r>
      <w:r>
        <w:rPr>
          <w:rFonts w:eastAsia="宋体" w:cs="Times New Roman"/>
          <w:kern w:val="0"/>
          <w:szCs w:val="24"/>
          <w:lang w:bidi="ar"/>
        </w:rPr>
        <w:t>设备</w:t>
      </w:r>
      <w:r>
        <w:rPr>
          <w:rFonts w:hint="eastAsia" w:eastAsia="宋体" w:cs="Times New Roman"/>
          <w:kern w:val="0"/>
          <w:szCs w:val="24"/>
          <w:lang w:bidi="ar"/>
        </w:rPr>
        <w:t>探头</w:t>
      </w:r>
      <w:r>
        <w:rPr>
          <w:rFonts w:eastAsia="宋体" w:cs="Times New Roman"/>
          <w:kern w:val="0"/>
          <w:szCs w:val="24"/>
          <w:lang w:bidi="ar"/>
        </w:rPr>
        <w:t>性能</w:t>
      </w:r>
      <w:r>
        <w:rPr>
          <w:rFonts w:hint="eastAsia"/>
        </w:rPr>
        <w:t>应符合下列规定</w:t>
      </w:r>
      <w:r>
        <w:rPr>
          <w:rFonts w:eastAsia="宋体" w:cs="Times New Roman"/>
          <w:kern w:val="0"/>
          <w:szCs w:val="24"/>
          <w:lang w:bidi="ar"/>
        </w:rPr>
        <w:t>：</w:t>
      </w:r>
    </w:p>
    <w:p w14:paraId="3D112A96">
      <w:pPr>
        <w:widowControl/>
        <w:ind w:firstLine="420"/>
        <w:jc w:val="left"/>
        <w:rPr>
          <w:rFonts w:eastAsia="宋体" w:cs="Times New Roman"/>
          <w:kern w:val="0"/>
          <w:szCs w:val="24"/>
          <w:lang w:bidi="ar"/>
        </w:rPr>
      </w:pPr>
      <w:r>
        <w:rPr>
          <w:rFonts w:eastAsia="宋体" w:cs="Times New Roman"/>
          <w:b/>
          <w:bCs/>
          <w:kern w:val="0"/>
          <w:szCs w:val="24"/>
          <w:lang w:bidi="ar"/>
        </w:rPr>
        <w:t>1　</w:t>
      </w:r>
      <w:r>
        <w:rPr>
          <w:rFonts w:eastAsia="宋体" w:cs="Times New Roman"/>
          <w:kern w:val="0"/>
          <w:szCs w:val="24"/>
          <w:lang w:bidi="ar"/>
        </w:rPr>
        <w:t>搭载的超声波传感器探头，</w:t>
      </w:r>
      <w:r>
        <w:rPr>
          <w:rFonts w:hint="eastAsia" w:eastAsia="宋体" w:cs="Times New Roman"/>
          <w:kern w:val="0"/>
          <w:szCs w:val="24"/>
          <w:lang w:bidi="ar"/>
        </w:rPr>
        <w:t>应</w:t>
      </w:r>
      <w:r>
        <w:rPr>
          <w:rFonts w:eastAsia="宋体" w:cs="Times New Roman"/>
          <w:kern w:val="0"/>
          <w:szCs w:val="24"/>
          <w:lang w:bidi="ar"/>
        </w:rPr>
        <w:t>具备采用环扫管壁逐点测量厚度功能；环扫管壁一圈测量壁厚点数不</w:t>
      </w:r>
      <w:r>
        <w:rPr>
          <w:rFonts w:hint="eastAsia" w:eastAsia="宋体" w:cs="Times New Roman"/>
          <w:kern w:val="0"/>
          <w:szCs w:val="24"/>
          <w:lang w:bidi="ar"/>
        </w:rPr>
        <w:t>应</w:t>
      </w:r>
      <w:r>
        <w:rPr>
          <w:rFonts w:eastAsia="宋体" w:cs="Times New Roman"/>
          <w:kern w:val="0"/>
          <w:szCs w:val="24"/>
          <w:lang w:bidi="ar"/>
        </w:rPr>
        <w:t>低于720</w:t>
      </w:r>
      <w:r>
        <w:rPr>
          <w:rFonts w:hint="eastAsia" w:eastAsia="宋体" w:cs="Times New Roman"/>
          <w:kern w:val="0"/>
          <w:szCs w:val="24"/>
          <w:lang w:bidi="ar"/>
        </w:rPr>
        <w:t>个；</w:t>
      </w:r>
    </w:p>
    <w:p w14:paraId="03B49D9E">
      <w:pPr>
        <w:widowControl/>
        <w:ind w:firstLine="420"/>
        <w:jc w:val="left"/>
        <w:rPr>
          <w:rFonts w:eastAsia="宋体" w:cs="Times New Roman"/>
          <w:kern w:val="0"/>
          <w:szCs w:val="24"/>
          <w:lang w:bidi="ar"/>
        </w:rPr>
      </w:pPr>
      <w:r>
        <w:rPr>
          <w:rFonts w:eastAsia="宋体" w:cs="Times New Roman"/>
          <w:b/>
          <w:bCs/>
          <w:kern w:val="0"/>
          <w:szCs w:val="24"/>
          <w:lang w:bidi="ar"/>
        </w:rPr>
        <w:t>2　</w:t>
      </w:r>
      <w:r>
        <w:rPr>
          <w:rFonts w:eastAsia="宋体" w:cs="Times New Roman"/>
          <w:kern w:val="0"/>
          <w:szCs w:val="24"/>
          <w:lang w:bidi="ar"/>
        </w:rPr>
        <w:t>壁厚测量精度不</w:t>
      </w:r>
      <w:r>
        <w:rPr>
          <w:rFonts w:hint="eastAsia" w:eastAsia="宋体" w:cs="Times New Roman"/>
          <w:kern w:val="0"/>
          <w:szCs w:val="24"/>
          <w:lang w:bidi="ar"/>
        </w:rPr>
        <w:t>应</w:t>
      </w:r>
      <w:r>
        <w:rPr>
          <w:rFonts w:eastAsia="宋体" w:cs="Times New Roman"/>
          <w:kern w:val="0"/>
          <w:szCs w:val="24"/>
          <w:lang w:bidi="ar"/>
        </w:rPr>
        <w:t>低于0.</w:t>
      </w:r>
      <w:r>
        <w:rPr>
          <w:rFonts w:hint="eastAsia" w:eastAsia="宋体" w:cs="Times New Roman"/>
          <w:kern w:val="0"/>
          <w:szCs w:val="24"/>
          <w:lang w:bidi="ar"/>
        </w:rPr>
        <w:t>1</w:t>
      </w:r>
      <w:r>
        <w:rPr>
          <w:rFonts w:eastAsia="宋体" w:cs="Times New Roman"/>
          <w:kern w:val="0"/>
          <w:szCs w:val="24"/>
          <w:lang w:bidi="ar"/>
        </w:rPr>
        <w:t>mm</w:t>
      </w:r>
      <w:r>
        <w:rPr>
          <w:rFonts w:hint="eastAsia" w:eastAsia="宋体" w:cs="Times New Roman"/>
          <w:kern w:val="0"/>
          <w:szCs w:val="24"/>
          <w:lang w:bidi="ar"/>
        </w:rPr>
        <w:t>。</w:t>
      </w:r>
    </w:p>
    <w:p w14:paraId="29D48A2D">
      <w:pPr>
        <w:pStyle w:val="2"/>
        <w:ind w:left="0" w:firstLine="0" w:firstLineChars="0"/>
        <w:rPr>
          <w:rFonts w:ascii="Times New Roman" w:hAnsi="Times New Roman" w:cs="Times New Roman"/>
          <w:szCs w:val="24"/>
          <w:lang w:bidi="ar"/>
        </w:rPr>
      </w:pPr>
      <w:r>
        <w:rPr>
          <w:rFonts w:ascii="Times New Roman" w:hAnsi="Times New Roman" w:cs="Times New Roman"/>
          <w:b/>
          <w:bCs/>
          <w:szCs w:val="24"/>
          <w:lang w:bidi="ar"/>
        </w:rPr>
        <w:t>6.2.</w:t>
      </w:r>
      <w:r>
        <w:rPr>
          <w:rFonts w:hint="eastAsia" w:ascii="Times New Roman" w:hAnsi="Times New Roman" w:cs="Times New Roman"/>
          <w:b/>
          <w:bCs/>
          <w:szCs w:val="24"/>
          <w:lang w:bidi="ar"/>
        </w:rPr>
        <w:t>2　</w:t>
      </w:r>
      <w:r>
        <w:rPr>
          <w:rFonts w:hint="eastAsia" w:cs="Times New Roman"/>
          <w:szCs w:val="24"/>
          <w:lang w:bidi="ar"/>
        </w:rPr>
        <w:t>带压</w:t>
      </w:r>
      <w:r>
        <w:rPr>
          <w:rFonts w:ascii="Times New Roman" w:hAnsi="Times New Roman" w:cs="Times New Roman"/>
          <w:szCs w:val="24"/>
          <w:lang w:bidi="ar"/>
        </w:rPr>
        <w:t>超声波</w:t>
      </w:r>
      <w:r>
        <w:rPr>
          <w:rFonts w:hint="eastAsia" w:ascii="Times New Roman" w:hAnsi="Times New Roman" w:cs="Times New Roman"/>
          <w:szCs w:val="24"/>
          <w:lang w:bidi="ar"/>
        </w:rPr>
        <w:t>检测</w:t>
      </w:r>
      <w:r>
        <w:rPr>
          <w:rFonts w:ascii="Times New Roman" w:hAnsi="Times New Roman" w:cs="Times New Roman"/>
          <w:szCs w:val="24"/>
          <w:lang w:bidi="ar"/>
        </w:rPr>
        <w:t>设备</w:t>
      </w:r>
      <w:r>
        <w:rPr>
          <w:rFonts w:hint="eastAsia" w:cs="Times New Roman"/>
          <w:szCs w:val="24"/>
          <w:lang w:bidi="ar"/>
        </w:rPr>
        <w:t>载行器</w:t>
      </w:r>
      <w:r>
        <w:rPr>
          <w:rFonts w:ascii="Times New Roman" w:hAnsi="Times New Roman" w:cs="Times New Roman"/>
          <w:szCs w:val="24"/>
          <w:lang w:bidi="ar"/>
        </w:rPr>
        <w:t>的性能</w:t>
      </w:r>
      <w:r>
        <w:rPr>
          <w:rFonts w:hint="eastAsia"/>
        </w:rPr>
        <w:t>应符合下列规定</w:t>
      </w:r>
      <w:r>
        <w:rPr>
          <w:rFonts w:ascii="Times New Roman" w:hAnsi="Times New Roman" w:cs="Times New Roman"/>
          <w:szCs w:val="24"/>
          <w:lang w:bidi="ar"/>
        </w:rPr>
        <w:t>：</w:t>
      </w:r>
    </w:p>
    <w:p w14:paraId="76665387">
      <w:pPr>
        <w:widowControl/>
        <w:ind w:firstLine="420"/>
        <w:jc w:val="left"/>
        <w:rPr>
          <w:rFonts w:eastAsia="宋体" w:cs="Times New Roman"/>
          <w:kern w:val="0"/>
          <w:szCs w:val="24"/>
          <w:lang w:bidi="ar"/>
        </w:rPr>
      </w:pPr>
      <w:r>
        <w:rPr>
          <w:rFonts w:hint="eastAsia" w:eastAsia="宋体" w:cs="Times New Roman"/>
          <w:b/>
          <w:bCs/>
          <w:kern w:val="0"/>
          <w:szCs w:val="24"/>
          <w:lang w:bidi="ar"/>
        </w:rPr>
        <w:t>1　</w:t>
      </w:r>
      <w:r>
        <w:rPr>
          <w:rFonts w:eastAsia="宋体" w:cs="Times New Roman"/>
          <w:kern w:val="0"/>
          <w:szCs w:val="24"/>
          <w:lang w:bidi="ar"/>
        </w:rPr>
        <w:t>管径不</w:t>
      </w:r>
      <w:r>
        <w:rPr>
          <w:rFonts w:hint="eastAsia" w:eastAsia="宋体" w:cs="Times New Roman"/>
          <w:kern w:val="0"/>
          <w:szCs w:val="24"/>
          <w:lang w:bidi="ar"/>
        </w:rPr>
        <w:t>应</w:t>
      </w:r>
      <w:r>
        <w:rPr>
          <w:rFonts w:eastAsia="宋体" w:cs="Times New Roman"/>
          <w:kern w:val="0"/>
          <w:szCs w:val="24"/>
          <w:lang w:bidi="ar"/>
        </w:rPr>
        <w:t>小于100mm；</w:t>
      </w:r>
    </w:p>
    <w:p w14:paraId="098F8211">
      <w:pPr>
        <w:widowControl/>
        <w:ind w:firstLine="420"/>
        <w:jc w:val="left"/>
        <w:rPr>
          <w:rFonts w:eastAsia="宋体" w:cs="Times New Roman"/>
          <w:kern w:val="0"/>
          <w:szCs w:val="24"/>
          <w:lang w:bidi="ar"/>
        </w:rPr>
      </w:pPr>
      <w:r>
        <w:rPr>
          <w:rFonts w:hint="eastAsia" w:eastAsia="宋体" w:cs="Times New Roman"/>
          <w:b/>
          <w:bCs/>
          <w:kern w:val="0"/>
          <w:szCs w:val="24"/>
          <w:lang w:bidi="ar"/>
        </w:rPr>
        <w:t>2　</w:t>
      </w:r>
      <w:r>
        <w:rPr>
          <w:rFonts w:eastAsia="宋体" w:cs="Times New Roman"/>
          <w:kern w:val="0"/>
          <w:szCs w:val="24"/>
          <w:lang w:bidi="ar"/>
        </w:rPr>
        <w:t>一次检测能力不</w:t>
      </w:r>
      <w:r>
        <w:rPr>
          <w:rFonts w:hint="eastAsia" w:eastAsia="宋体" w:cs="Times New Roman"/>
          <w:kern w:val="0"/>
          <w:szCs w:val="24"/>
          <w:lang w:bidi="ar"/>
        </w:rPr>
        <w:t>应</w:t>
      </w:r>
      <w:r>
        <w:rPr>
          <w:rFonts w:eastAsia="宋体" w:cs="Times New Roman"/>
          <w:kern w:val="0"/>
          <w:szCs w:val="24"/>
          <w:lang w:bidi="ar"/>
        </w:rPr>
        <w:t>低于100m；</w:t>
      </w:r>
    </w:p>
    <w:p w14:paraId="53ED1C9A">
      <w:pPr>
        <w:widowControl/>
        <w:ind w:firstLine="420"/>
        <w:jc w:val="left"/>
        <w:rPr>
          <w:rFonts w:eastAsia="宋体" w:cs="Times New Roman"/>
          <w:kern w:val="0"/>
          <w:szCs w:val="24"/>
          <w:lang w:bidi="ar"/>
        </w:rPr>
      </w:pPr>
      <w:r>
        <w:rPr>
          <w:rFonts w:hint="eastAsia" w:eastAsia="宋体" w:cs="Times New Roman"/>
          <w:b/>
          <w:bCs/>
          <w:kern w:val="0"/>
          <w:szCs w:val="24"/>
          <w:lang w:bidi="ar"/>
        </w:rPr>
        <w:t>3　</w:t>
      </w:r>
      <w:r>
        <w:rPr>
          <w:rFonts w:eastAsia="宋体" w:cs="Times New Roman"/>
          <w:kern w:val="0"/>
          <w:szCs w:val="24"/>
          <w:lang w:bidi="ar"/>
        </w:rPr>
        <w:t>可搭载视频摄像头辅助查看管道内部情况；</w:t>
      </w:r>
    </w:p>
    <w:p w14:paraId="4455C15B">
      <w:pPr>
        <w:widowControl/>
        <w:ind w:firstLine="420"/>
        <w:jc w:val="left"/>
        <w:rPr>
          <w:rFonts w:eastAsia="宋体" w:cs="Times New Roman"/>
          <w:kern w:val="0"/>
          <w:szCs w:val="24"/>
          <w:lang w:bidi="ar"/>
        </w:rPr>
      </w:pPr>
      <w:r>
        <w:rPr>
          <w:rFonts w:hint="eastAsia" w:eastAsia="宋体" w:cs="Times New Roman"/>
          <w:b/>
          <w:bCs/>
          <w:kern w:val="0"/>
          <w:szCs w:val="24"/>
          <w:lang w:bidi="ar"/>
        </w:rPr>
        <w:t>4　</w:t>
      </w:r>
      <w:r>
        <w:rPr>
          <w:rFonts w:eastAsia="宋体" w:cs="Times New Roman"/>
          <w:kern w:val="0"/>
          <w:szCs w:val="24"/>
          <w:lang w:bidi="ar"/>
        </w:rPr>
        <w:t>可搭载定位发生器，用于</w:t>
      </w:r>
      <w:r>
        <w:rPr>
          <w:rFonts w:hint="eastAsia" w:eastAsia="宋体" w:cs="Times New Roman"/>
          <w:kern w:val="0"/>
          <w:szCs w:val="24"/>
          <w:lang w:bidi="ar"/>
        </w:rPr>
        <w:t>地面定位仪确</w:t>
      </w:r>
      <w:r>
        <w:rPr>
          <w:rFonts w:eastAsia="宋体" w:cs="Times New Roman"/>
          <w:kern w:val="0"/>
          <w:szCs w:val="24"/>
          <w:lang w:bidi="ar"/>
        </w:rPr>
        <w:t>定缺陷位置</w:t>
      </w:r>
      <w:r>
        <w:rPr>
          <w:rFonts w:hint="eastAsia" w:eastAsia="宋体" w:cs="Times New Roman"/>
          <w:kern w:val="0"/>
          <w:szCs w:val="24"/>
          <w:lang w:bidi="ar"/>
        </w:rPr>
        <w:t>。</w:t>
      </w:r>
    </w:p>
    <w:p w14:paraId="000B9A81">
      <w:pPr>
        <w:pStyle w:val="2"/>
        <w:ind w:left="0" w:firstLine="0" w:firstLineChars="0"/>
        <w:rPr>
          <w:rFonts w:ascii="Times New Roman" w:hAnsi="Times New Roman" w:cs="Times New Roman"/>
          <w:szCs w:val="24"/>
          <w:lang w:bidi="ar"/>
        </w:rPr>
      </w:pPr>
      <w:r>
        <w:rPr>
          <w:rFonts w:ascii="Times New Roman" w:hAnsi="Times New Roman" w:cs="Times New Roman"/>
          <w:b/>
          <w:bCs/>
          <w:szCs w:val="24"/>
          <w:lang w:bidi="ar"/>
        </w:rPr>
        <w:t>6.2.</w:t>
      </w:r>
      <w:r>
        <w:rPr>
          <w:rFonts w:hint="eastAsia" w:ascii="Times New Roman" w:hAnsi="Times New Roman" w:cs="Times New Roman"/>
          <w:b/>
          <w:bCs/>
          <w:szCs w:val="24"/>
          <w:lang w:bidi="ar"/>
        </w:rPr>
        <w:t>3　</w:t>
      </w:r>
      <w:r>
        <w:rPr>
          <w:rFonts w:hint="eastAsia" w:cs="Times New Roman"/>
          <w:szCs w:val="24"/>
          <w:lang w:bidi="ar"/>
        </w:rPr>
        <w:t>带压</w:t>
      </w:r>
      <w:r>
        <w:rPr>
          <w:rFonts w:ascii="Times New Roman" w:hAnsi="Times New Roman" w:cs="Times New Roman"/>
          <w:szCs w:val="24"/>
          <w:lang w:bidi="ar"/>
        </w:rPr>
        <w:t>超声波</w:t>
      </w:r>
      <w:r>
        <w:rPr>
          <w:rFonts w:hint="eastAsia" w:ascii="Times New Roman" w:hAnsi="Times New Roman" w:cs="Times New Roman"/>
          <w:szCs w:val="24"/>
          <w:lang w:bidi="ar"/>
        </w:rPr>
        <w:t>检测</w:t>
      </w:r>
      <w:r>
        <w:rPr>
          <w:rFonts w:ascii="Times New Roman" w:hAnsi="Times New Roman" w:cs="Times New Roman"/>
          <w:szCs w:val="24"/>
          <w:lang w:bidi="ar"/>
        </w:rPr>
        <w:t>设备</w:t>
      </w:r>
      <w:r>
        <w:rPr>
          <w:rFonts w:hint="eastAsia" w:cs="Times New Roman"/>
          <w:szCs w:val="24"/>
          <w:lang w:bidi="ar"/>
        </w:rPr>
        <w:t>地面装置</w:t>
      </w:r>
      <w:r>
        <w:rPr>
          <w:rFonts w:ascii="Times New Roman" w:hAnsi="Times New Roman" w:cs="Times New Roman"/>
          <w:szCs w:val="24"/>
          <w:lang w:bidi="ar"/>
        </w:rPr>
        <w:t>的性能</w:t>
      </w:r>
      <w:r>
        <w:rPr>
          <w:rFonts w:hint="eastAsia"/>
        </w:rPr>
        <w:t>应符合下列规定</w:t>
      </w:r>
      <w:r>
        <w:rPr>
          <w:rFonts w:ascii="Times New Roman" w:hAnsi="Times New Roman" w:cs="Times New Roman"/>
          <w:szCs w:val="24"/>
          <w:lang w:bidi="ar"/>
        </w:rPr>
        <w:t>：</w:t>
      </w:r>
    </w:p>
    <w:p w14:paraId="5A92D2FA">
      <w:pPr>
        <w:widowControl/>
        <w:ind w:firstLine="482" w:firstLineChars="200"/>
        <w:rPr>
          <w:rFonts w:eastAsia="宋体" w:cs="Times New Roman"/>
          <w:kern w:val="0"/>
          <w:szCs w:val="24"/>
          <w:lang w:bidi="ar"/>
        </w:rPr>
      </w:pPr>
      <w:r>
        <w:rPr>
          <w:rFonts w:eastAsia="宋体" w:cs="Times New Roman"/>
          <w:b/>
          <w:bCs/>
          <w:kern w:val="0"/>
          <w:szCs w:val="24"/>
          <w:lang w:bidi="ar"/>
        </w:rPr>
        <w:t>1　</w:t>
      </w:r>
      <w:r>
        <w:rPr>
          <w:rFonts w:eastAsia="宋体" w:cs="Times New Roman"/>
          <w:kern w:val="0"/>
          <w:szCs w:val="24"/>
          <w:lang w:bidi="ar"/>
        </w:rPr>
        <w:t>牵引检测单元线缆前进后退</w:t>
      </w:r>
      <w:r>
        <w:rPr>
          <w:rFonts w:hint="eastAsia" w:eastAsia="宋体" w:cs="Times New Roman"/>
          <w:kern w:val="0"/>
          <w:szCs w:val="24"/>
          <w:lang w:bidi="ar"/>
        </w:rPr>
        <w:t>，</w:t>
      </w:r>
      <w:r>
        <w:rPr>
          <w:rFonts w:hint="eastAsia" w:ascii="宋体" w:hAnsi="宋体" w:eastAsia="宋体" w:cs="宋体"/>
          <w:color w:val="000000"/>
          <w:kern w:val="0"/>
          <w:szCs w:val="24"/>
          <w:lang w:bidi="ar"/>
        </w:rPr>
        <w:t>电缆计数器的计量单位不应大于</w:t>
      </w:r>
      <w:r>
        <w:rPr>
          <w:rFonts w:eastAsia="宋体" w:cs="Times New Roman"/>
          <w:color w:val="000000"/>
          <w:kern w:val="0"/>
          <w:szCs w:val="24"/>
          <w:lang w:bidi="ar"/>
        </w:rPr>
        <w:t>0.1m；</w:t>
      </w:r>
    </w:p>
    <w:p w14:paraId="7339FE24">
      <w:pPr>
        <w:widowControl/>
        <w:ind w:firstLine="482" w:firstLineChars="200"/>
        <w:rPr>
          <w:rFonts w:eastAsia="宋体" w:cs="Times New Roman"/>
          <w:kern w:val="0"/>
          <w:szCs w:val="24"/>
          <w:lang w:bidi="ar"/>
        </w:rPr>
      </w:pPr>
      <w:r>
        <w:rPr>
          <w:rFonts w:hint="eastAsia" w:eastAsia="宋体" w:cs="Times New Roman"/>
          <w:b/>
          <w:bCs/>
          <w:kern w:val="0"/>
          <w:szCs w:val="24"/>
          <w:lang w:bidi="ar"/>
        </w:rPr>
        <w:t>2　</w:t>
      </w:r>
      <w:r>
        <w:rPr>
          <w:rFonts w:eastAsia="宋体" w:cs="Times New Roman"/>
          <w:kern w:val="0"/>
          <w:szCs w:val="24"/>
          <w:lang w:bidi="ar"/>
        </w:rPr>
        <w:t>应具备检测设备投放功能：投放设备</w:t>
      </w:r>
      <w:r>
        <w:rPr>
          <w:rFonts w:hint="eastAsia" w:eastAsia="宋体" w:cs="Times New Roman"/>
          <w:kern w:val="0"/>
          <w:szCs w:val="24"/>
          <w:lang w:bidi="ar"/>
        </w:rPr>
        <w:t>应</w:t>
      </w:r>
      <w:r>
        <w:rPr>
          <w:rFonts w:eastAsia="宋体" w:cs="Times New Roman"/>
          <w:kern w:val="0"/>
          <w:szCs w:val="24"/>
          <w:lang w:bidi="ar"/>
        </w:rPr>
        <w:t>具备将检测设备投放到带压管道内部能力，可自动收放线，检测线缆移动距离；可通过空气阀、消防栓等闸阀口投放检测设备；</w:t>
      </w:r>
    </w:p>
    <w:p w14:paraId="3FAEEA8B">
      <w:pPr>
        <w:widowControl/>
        <w:ind w:firstLine="482" w:firstLineChars="200"/>
        <w:rPr>
          <w:rFonts w:eastAsia="宋体" w:cs="Times New Roman"/>
          <w:kern w:val="0"/>
          <w:szCs w:val="24"/>
          <w:lang w:bidi="ar"/>
        </w:rPr>
      </w:pPr>
      <w:r>
        <w:rPr>
          <w:rFonts w:hint="eastAsia" w:eastAsia="宋体" w:cs="Times New Roman"/>
          <w:b/>
          <w:bCs/>
          <w:kern w:val="0"/>
          <w:szCs w:val="24"/>
          <w:lang w:bidi="ar"/>
        </w:rPr>
        <w:t>3　</w:t>
      </w:r>
      <w:r>
        <w:rPr>
          <w:rFonts w:hint="eastAsia" w:eastAsia="宋体" w:cs="Times New Roman"/>
          <w:kern w:val="0"/>
          <w:szCs w:val="24"/>
          <w:lang w:bidi="ar"/>
        </w:rPr>
        <w:t>地面定位仪</w:t>
      </w:r>
      <w:r>
        <w:rPr>
          <w:rFonts w:eastAsia="宋体" w:cs="Times New Roman"/>
          <w:kern w:val="0"/>
          <w:szCs w:val="24"/>
          <w:lang w:bidi="ar"/>
        </w:rPr>
        <w:t>缺陷定位深度不</w:t>
      </w:r>
      <w:r>
        <w:rPr>
          <w:rFonts w:hint="eastAsia" w:eastAsia="宋体" w:cs="Times New Roman"/>
          <w:kern w:val="0"/>
          <w:szCs w:val="24"/>
          <w:lang w:bidi="ar"/>
        </w:rPr>
        <w:t>应</w:t>
      </w:r>
      <w:r>
        <w:rPr>
          <w:rFonts w:eastAsia="宋体" w:cs="Times New Roman"/>
          <w:kern w:val="0"/>
          <w:szCs w:val="24"/>
          <w:lang w:bidi="ar"/>
        </w:rPr>
        <w:t>小于5m；定位精度</w:t>
      </w:r>
      <w:r>
        <w:rPr>
          <w:rFonts w:hint="eastAsia" w:eastAsia="宋体" w:cs="Times New Roman"/>
          <w:kern w:val="0"/>
          <w:szCs w:val="24"/>
          <w:lang w:bidi="ar"/>
        </w:rPr>
        <w:t>应为</w:t>
      </w:r>
      <w:r>
        <w:rPr>
          <w:rFonts w:eastAsia="宋体" w:cs="Times New Roman"/>
          <w:kern w:val="0"/>
          <w:szCs w:val="24"/>
          <w:lang w:bidi="ar"/>
        </w:rPr>
        <w:t>±0.5m；</w:t>
      </w:r>
    </w:p>
    <w:p w14:paraId="1C1699F5">
      <w:pPr>
        <w:widowControl/>
        <w:ind w:firstLine="482" w:firstLineChars="200"/>
        <w:rPr>
          <w:rFonts w:cs="Times New Roman"/>
          <w:szCs w:val="24"/>
          <w:lang w:bidi="ar"/>
        </w:rPr>
      </w:pPr>
      <w:r>
        <w:rPr>
          <w:rFonts w:hint="eastAsia" w:eastAsia="宋体" w:cs="Times New Roman"/>
          <w:b/>
          <w:bCs/>
          <w:kern w:val="0"/>
          <w:szCs w:val="24"/>
          <w:lang w:bidi="ar"/>
        </w:rPr>
        <w:t>4　</w:t>
      </w:r>
      <w:r>
        <w:rPr>
          <w:rFonts w:eastAsia="宋体" w:cs="Times New Roman"/>
          <w:kern w:val="0"/>
          <w:szCs w:val="24"/>
          <w:lang w:bidi="ar"/>
        </w:rPr>
        <w:t>超声波</w:t>
      </w:r>
      <w:r>
        <w:rPr>
          <w:rFonts w:hint="eastAsia" w:eastAsia="宋体" w:cs="Times New Roman"/>
          <w:kern w:val="0"/>
          <w:szCs w:val="24"/>
          <w:lang w:bidi="ar"/>
        </w:rPr>
        <w:t>检测设备</w:t>
      </w:r>
      <w:r>
        <w:rPr>
          <w:rFonts w:eastAsia="宋体" w:cs="Times New Roman"/>
          <w:kern w:val="0"/>
          <w:szCs w:val="24"/>
          <w:lang w:bidi="ar"/>
        </w:rPr>
        <w:t>应具备数据处理、展示、记录存储功能。检测数据可通过有线或无线方式实时发送到PC等终端，通过分析软件计算管壁各点位厚</w:t>
      </w:r>
      <w:r>
        <w:rPr>
          <w:rFonts w:hint="eastAsia" w:eastAsia="宋体" w:cs="Times New Roman"/>
          <w:kern w:val="0"/>
          <w:szCs w:val="24"/>
          <w:lang w:bidi="ar"/>
        </w:rPr>
        <w:t>度</w:t>
      </w:r>
      <w:r>
        <w:rPr>
          <w:rFonts w:eastAsia="宋体" w:cs="Times New Roman"/>
          <w:kern w:val="0"/>
          <w:szCs w:val="24"/>
          <w:lang w:bidi="ar"/>
        </w:rPr>
        <w:t>，实时展示三维效果。</w:t>
      </w:r>
    </w:p>
    <w:p w14:paraId="08ABEB8E">
      <w:pPr>
        <w:widowControl/>
        <w:jc w:val="left"/>
        <w:rPr>
          <w:rFonts w:eastAsia="宋体" w:cs="Times New Roman"/>
        </w:rPr>
      </w:pPr>
      <w:r>
        <w:rPr>
          <w:rFonts w:eastAsia="宋体" w:cs="Times New Roman"/>
          <w:b/>
          <w:bCs/>
          <w:kern w:val="0"/>
          <w:szCs w:val="24"/>
          <w:lang w:bidi="ar"/>
        </w:rPr>
        <w:t>6.2.</w:t>
      </w:r>
      <w:r>
        <w:rPr>
          <w:rFonts w:hint="eastAsia" w:eastAsia="宋体" w:cs="Times New Roman"/>
          <w:b/>
          <w:bCs/>
          <w:kern w:val="0"/>
          <w:szCs w:val="24"/>
          <w:lang w:bidi="ar"/>
        </w:rPr>
        <w:t>4　</w:t>
      </w:r>
      <w:r>
        <w:rPr>
          <w:rFonts w:hint="eastAsia" w:eastAsia="宋体" w:cs="Times New Roman"/>
          <w:kern w:val="0"/>
          <w:szCs w:val="24"/>
          <w:lang w:bidi="ar"/>
        </w:rPr>
        <w:t>停水</w:t>
      </w:r>
      <w:r>
        <w:rPr>
          <w:rFonts w:eastAsia="宋体" w:cs="Times New Roman"/>
          <w:kern w:val="0"/>
          <w:szCs w:val="24"/>
          <w:lang w:bidi="ar"/>
        </w:rPr>
        <w:t>检测超声波测厚设备性能</w:t>
      </w:r>
      <w:r>
        <w:rPr>
          <w:rFonts w:hint="eastAsia"/>
        </w:rPr>
        <w:t>应符合下列规定</w:t>
      </w:r>
      <w:r>
        <w:rPr>
          <w:rFonts w:eastAsia="宋体" w:cs="Times New Roman"/>
          <w:kern w:val="0"/>
          <w:szCs w:val="24"/>
          <w:lang w:bidi="ar"/>
        </w:rPr>
        <w:t>：</w:t>
      </w:r>
    </w:p>
    <w:p w14:paraId="09CDE876">
      <w:pPr>
        <w:widowControl/>
        <w:ind w:firstLine="420"/>
        <w:jc w:val="left"/>
        <w:rPr>
          <w:rFonts w:eastAsia="宋体" w:cs="Times New Roman"/>
          <w:kern w:val="0"/>
          <w:szCs w:val="24"/>
          <w:lang w:bidi="ar"/>
        </w:rPr>
      </w:pPr>
      <w:r>
        <w:rPr>
          <w:rFonts w:eastAsia="宋体" w:cs="Times New Roman"/>
          <w:b/>
          <w:bCs/>
          <w:kern w:val="0"/>
          <w:szCs w:val="24"/>
          <w:lang w:bidi="ar"/>
        </w:rPr>
        <w:t>1　</w:t>
      </w:r>
      <w:r>
        <w:rPr>
          <w:rFonts w:hint="eastAsia" w:eastAsia="宋体" w:cs="Times New Roman"/>
          <w:kern w:val="0"/>
          <w:szCs w:val="24"/>
          <w:lang w:bidi="ar"/>
        </w:rPr>
        <w:t>测量</w:t>
      </w:r>
      <w:r>
        <w:rPr>
          <w:rFonts w:eastAsia="宋体" w:cs="Times New Roman"/>
          <w:kern w:val="0"/>
          <w:szCs w:val="24"/>
          <w:lang w:bidi="ar"/>
        </w:rPr>
        <w:t>范围不应小于被测管</w:t>
      </w:r>
      <w:r>
        <w:rPr>
          <w:rFonts w:hint="eastAsia" w:eastAsia="宋体" w:cs="Times New Roman"/>
          <w:kern w:val="0"/>
          <w:szCs w:val="24"/>
          <w:lang w:bidi="ar"/>
        </w:rPr>
        <w:t>壁的</w:t>
      </w:r>
      <w:r>
        <w:rPr>
          <w:rFonts w:eastAsia="宋体" w:cs="Times New Roman"/>
          <w:kern w:val="0"/>
          <w:szCs w:val="24"/>
          <w:lang w:bidi="ar"/>
        </w:rPr>
        <w:t>厚度；</w:t>
      </w:r>
    </w:p>
    <w:p w14:paraId="6BF4D414">
      <w:pPr>
        <w:widowControl/>
        <w:ind w:firstLine="420"/>
        <w:jc w:val="left"/>
        <w:rPr>
          <w:rFonts w:eastAsia="宋体" w:cs="Times New Roman"/>
          <w:kern w:val="0"/>
          <w:szCs w:val="24"/>
          <w:lang w:bidi="ar"/>
        </w:rPr>
      </w:pPr>
      <w:r>
        <w:rPr>
          <w:rFonts w:eastAsia="宋体" w:cs="Times New Roman"/>
          <w:b/>
          <w:bCs/>
          <w:kern w:val="0"/>
          <w:szCs w:val="24"/>
          <w:lang w:bidi="ar"/>
        </w:rPr>
        <w:t>2　</w:t>
      </w:r>
      <w:r>
        <w:rPr>
          <w:rFonts w:eastAsia="宋体" w:cs="Times New Roman"/>
          <w:kern w:val="0"/>
          <w:szCs w:val="24"/>
          <w:lang w:bidi="ar"/>
        </w:rPr>
        <w:t>声速范围应包含被测管道材质声速；</w:t>
      </w:r>
    </w:p>
    <w:p w14:paraId="3BBF096F">
      <w:pPr>
        <w:widowControl/>
        <w:ind w:firstLine="420"/>
        <w:jc w:val="left"/>
        <w:rPr>
          <w:rFonts w:eastAsia="宋体" w:cs="Times New Roman"/>
          <w:kern w:val="0"/>
          <w:szCs w:val="24"/>
          <w:lang w:bidi="ar"/>
        </w:rPr>
      </w:pPr>
      <w:r>
        <w:rPr>
          <w:rFonts w:eastAsia="宋体" w:cs="Times New Roman"/>
          <w:b/>
          <w:bCs/>
          <w:kern w:val="0"/>
          <w:szCs w:val="24"/>
          <w:lang w:bidi="ar"/>
        </w:rPr>
        <w:t>3　</w:t>
      </w:r>
      <w:r>
        <w:rPr>
          <w:rFonts w:eastAsia="宋体" w:cs="Times New Roman"/>
          <w:kern w:val="0"/>
          <w:szCs w:val="24"/>
          <w:lang w:bidi="ar"/>
        </w:rPr>
        <w:t>厚</w:t>
      </w:r>
      <w:r>
        <w:rPr>
          <w:rFonts w:hint="eastAsia" w:eastAsia="宋体" w:cs="Times New Roman"/>
          <w:kern w:val="0"/>
          <w:szCs w:val="24"/>
          <w:lang w:bidi="ar"/>
        </w:rPr>
        <w:t>度</w:t>
      </w:r>
      <w:r>
        <w:rPr>
          <w:rFonts w:eastAsia="宋体" w:cs="Times New Roman"/>
          <w:kern w:val="0"/>
          <w:szCs w:val="24"/>
          <w:lang w:bidi="ar"/>
        </w:rPr>
        <w:t>测量精度不</w:t>
      </w:r>
      <w:r>
        <w:rPr>
          <w:rFonts w:hint="eastAsia" w:eastAsia="宋体" w:cs="Times New Roman"/>
          <w:kern w:val="0"/>
          <w:szCs w:val="24"/>
          <w:lang w:bidi="ar"/>
        </w:rPr>
        <w:t>应</w:t>
      </w:r>
      <w:r>
        <w:rPr>
          <w:rFonts w:eastAsia="宋体" w:cs="Times New Roman"/>
          <w:kern w:val="0"/>
          <w:szCs w:val="24"/>
          <w:lang w:bidi="ar"/>
        </w:rPr>
        <w:t>低于0.</w:t>
      </w:r>
      <w:r>
        <w:rPr>
          <w:rFonts w:hint="eastAsia" w:eastAsia="宋体" w:cs="Times New Roman"/>
          <w:kern w:val="0"/>
          <w:szCs w:val="24"/>
          <w:lang w:bidi="ar"/>
        </w:rPr>
        <w:t>1</w:t>
      </w:r>
      <w:r>
        <w:rPr>
          <w:rFonts w:eastAsia="宋体" w:cs="Times New Roman"/>
          <w:kern w:val="0"/>
          <w:szCs w:val="24"/>
          <w:lang w:bidi="ar"/>
        </w:rPr>
        <w:t>mm；</w:t>
      </w:r>
    </w:p>
    <w:p w14:paraId="2D6FDE25">
      <w:pPr>
        <w:widowControl/>
        <w:ind w:firstLine="420"/>
        <w:rPr>
          <w:rFonts w:eastAsia="宋体" w:cs="Times New Roman"/>
          <w:kern w:val="0"/>
          <w:szCs w:val="24"/>
          <w:lang w:bidi="ar"/>
        </w:rPr>
      </w:pPr>
      <w:r>
        <w:rPr>
          <w:rFonts w:eastAsia="宋体" w:cs="Times New Roman"/>
          <w:b/>
          <w:bCs/>
          <w:kern w:val="0"/>
          <w:szCs w:val="24"/>
          <w:lang w:bidi="ar"/>
        </w:rPr>
        <w:t>4　</w:t>
      </w:r>
      <w:r>
        <w:rPr>
          <w:rFonts w:hint="eastAsia" w:eastAsia="宋体" w:cs="Times New Roman"/>
          <w:kern w:val="0"/>
          <w:szCs w:val="24"/>
          <w:lang w:bidi="ar"/>
        </w:rPr>
        <w:t>应</w:t>
      </w:r>
      <w:r>
        <w:rPr>
          <w:rFonts w:eastAsia="宋体" w:cs="Times New Roman"/>
          <w:kern w:val="0"/>
          <w:szCs w:val="24"/>
          <w:lang w:bidi="ar"/>
        </w:rPr>
        <w:t>具备测量数据存储功能，包括材料，声速、单位、测量值等测量数据；</w:t>
      </w:r>
    </w:p>
    <w:p w14:paraId="115EF52F">
      <w:pPr>
        <w:widowControl/>
        <w:ind w:firstLine="420"/>
        <w:jc w:val="left"/>
        <w:rPr>
          <w:rFonts w:eastAsia="宋体" w:cs="Times New Roman"/>
          <w:kern w:val="0"/>
          <w:szCs w:val="24"/>
          <w:lang w:bidi="ar"/>
        </w:rPr>
      </w:pPr>
      <w:r>
        <w:rPr>
          <w:rFonts w:eastAsia="宋体" w:cs="Times New Roman"/>
          <w:b/>
          <w:bCs/>
          <w:kern w:val="0"/>
          <w:szCs w:val="24"/>
          <w:lang w:bidi="ar"/>
        </w:rPr>
        <w:t>5　</w:t>
      </w:r>
      <w:r>
        <w:rPr>
          <w:rFonts w:hint="eastAsia" w:eastAsia="宋体" w:cs="Times New Roman"/>
          <w:kern w:val="0"/>
          <w:szCs w:val="24"/>
          <w:lang w:bidi="ar"/>
        </w:rPr>
        <w:t>应</w:t>
      </w:r>
      <w:r>
        <w:rPr>
          <w:rFonts w:eastAsia="宋体" w:cs="Times New Roman"/>
          <w:kern w:val="0"/>
          <w:szCs w:val="24"/>
          <w:lang w:bidi="ar"/>
        </w:rPr>
        <w:t>具备单次测量、连续测量、报警测量、反测声速、自助校准功能；</w:t>
      </w:r>
    </w:p>
    <w:p w14:paraId="56083A85">
      <w:pPr>
        <w:widowControl/>
        <w:ind w:firstLine="420"/>
        <w:jc w:val="left"/>
      </w:pPr>
      <w:r>
        <w:rPr>
          <w:rFonts w:eastAsia="宋体" w:cs="Times New Roman"/>
          <w:b/>
          <w:bCs/>
          <w:kern w:val="0"/>
          <w:szCs w:val="24"/>
          <w:lang w:bidi="ar"/>
        </w:rPr>
        <w:t>6　</w:t>
      </w:r>
      <w:r>
        <w:rPr>
          <w:rFonts w:eastAsia="宋体" w:cs="Times New Roman"/>
          <w:kern w:val="0"/>
          <w:szCs w:val="24"/>
          <w:lang w:bidi="ar"/>
        </w:rPr>
        <w:t>设备应满足8h以上工作时长。</w:t>
      </w:r>
    </w:p>
    <w:p w14:paraId="6F011313">
      <w:pPr>
        <w:pStyle w:val="5"/>
      </w:pPr>
      <w:bookmarkStart w:id="168" w:name="_Toc28408"/>
      <w:bookmarkStart w:id="169" w:name="_Toc181825557"/>
      <w:bookmarkStart w:id="170" w:name="_Toc9020"/>
      <w:bookmarkStart w:id="171" w:name="_Toc20485"/>
      <w:bookmarkStart w:id="172" w:name="_Toc15569"/>
      <w:r>
        <w:rPr>
          <w:rFonts w:hint="eastAsia"/>
        </w:rPr>
        <w:t>6.3　检测方法</w:t>
      </w:r>
      <w:bookmarkEnd w:id="168"/>
      <w:bookmarkEnd w:id="169"/>
      <w:bookmarkEnd w:id="170"/>
      <w:bookmarkEnd w:id="171"/>
      <w:bookmarkEnd w:id="172"/>
    </w:p>
    <w:p w14:paraId="16D9B557">
      <w:pPr>
        <w:widowControl/>
        <w:jc w:val="left"/>
        <w:rPr>
          <w:rFonts w:eastAsia="宋体" w:cs="Times New Roman"/>
        </w:rPr>
      </w:pPr>
      <w:r>
        <w:rPr>
          <w:rFonts w:eastAsia="宋体" w:cs="Times New Roman"/>
          <w:b/>
          <w:bCs/>
          <w:kern w:val="0"/>
          <w:szCs w:val="24"/>
          <w:lang w:bidi="ar"/>
        </w:rPr>
        <w:t>6.3.1　</w:t>
      </w:r>
      <w:r>
        <w:rPr>
          <w:rFonts w:hint="eastAsia" w:eastAsia="宋体" w:cs="Times New Roman"/>
          <w:kern w:val="0"/>
          <w:szCs w:val="24"/>
          <w:lang w:bidi="ar"/>
        </w:rPr>
        <w:t>带压</w:t>
      </w:r>
      <w:r>
        <w:rPr>
          <w:rFonts w:eastAsia="宋体" w:cs="Times New Roman"/>
          <w:kern w:val="0"/>
          <w:szCs w:val="24"/>
          <w:lang w:bidi="ar"/>
        </w:rPr>
        <w:t>超声波检测应按下列步骤操作：</w:t>
      </w:r>
    </w:p>
    <w:p w14:paraId="44914118">
      <w:pPr>
        <w:widowControl/>
        <w:ind w:firstLine="420"/>
        <w:jc w:val="left"/>
        <w:rPr>
          <w:rFonts w:eastAsia="宋体" w:cs="Times New Roman"/>
        </w:rPr>
      </w:pPr>
      <w:r>
        <w:rPr>
          <w:rFonts w:eastAsia="宋体" w:cs="Times New Roman"/>
          <w:b/>
          <w:bCs/>
          <w:kern w:val="0"/>
          <w:szCs w:val="24"/>
          <w:lang w:bidi="ar"/>
        </w:rPr>
        <w:t>1　</w:t>
      </w:r>
      <w:r>
        <w:rPr>
          <w:rFonts w:eastAsia="宋体" w:cs="Times New Roman"/>
          <w:kern w:val="0"/>
          <w:szCs w:val="24"/>
          <w:lang w:bidi="ar"/>
        </w:rPr>
        <w:t>检测前踏勘检测现场环境</w:t>
      </w:r>
      <w:r>
        <w:rPr>
          <w:rFonts w:hint="eastAsia" w:eastAsia="宋体" w:cs="Times New Roman"/>
          <w:kern w:val="0"/>
          <w:szCs w:val="24"/>
          <w:lang w:bidi="ar"/>
        </w:rPr>
        <w:t>。</w:t>
      </w:r>
      <w:r>
        <w:rPr>
          <w:rFonts w:eastAsia="宋体" w:cs="Times New Roman"/>
          <w:kern w:val="0"/>
          <w:szCs w:val="24"/>
          <w:lang w:bidi="ar"/>
        </w:rPr>
        <w:t>管道直径和投放口尺寸</w:t>
      </w:r>
      <w:r>
        <w:rPr>
          <w:rFonts w:hint="eastAsia" w:eastAsia="宋体" w:cs="Times New Roman"/>
          <w:kern w:val="0"/>
          <w:szCs w:val="24"/>
          <w:lang w:bidi="ar"/>
        </w:rPr>
        <w:t>应</w:t>
      </w:r>
      <w:r>
        <w:rPr>
          <w:rFonts w:eastAsia="宋体" w:cs="Times New Roman"/>
          <w:kern w:val="0"/>
          <w:szCs w:val="24"/>
          <w:lang w:bidi="ar"/>
        </w:rPr>
        <w:t>满足检测设备工作要求，作业空间</w:t>
      </w:r>
      <w:r>
        <w:rPr>
          <w:rFonts w:hint="eastAsia" w:eastAsia="宋体" w:cs="Times New Roman"/>
          <w:kern w:val="0"/>
          <w:szCs w:val="24"/>
          <w:lang w:bidi="ar"/>
        </w:rPr>
        <w:t>应</w:t>
      </w:r>
      <w:r>
        <w:rPr>
          <w:rFonts w:eastAsia="宋体" w:cs="Times New Roman"/>
          <w:kern w:val="0"/>
          <w:szCs w:val="24"/>
          <w:lang w:bidi="ar"/>
        </w:rPr>
        <w:t>满足设备检测条件</w:t>
      </w:r>
      <w:r>
        <w:rPr>
          <w:rFonts w:hint="eastAsia" w:eastAsia="宋体" w:cs="Times New Roman"/>
          <w:kern w:val="0"/>
          <w:szCs w:val="24"/>
          <w:lang w:bidi="ar"/>
        </w:rPr>
        <w:t>；并获取管道材料信息；</w:t>
      </w:r>
    </w:p>
    <w:p w14:paraId="3CEF80D6">
      <w:pPr>
        <w:widowControl/>
        <w:ind w:firstLine="420"/>
        <w:jc w:val="left"/>
        <w:rPr>
          <w:rFonts w:eastAsia="宋体" w:cs="Times New Roman"/>
          <w:kern w:val="0"/>
          <w:szCs w:val="24"/>
          <w:lang w:bidi="ar"/>
        </w:rPr>
      </w:pPr>
      <w:r>
        <w:rPr>
          <w:rFonts w:eastAsia="宋体" w:cs="Times New Roman"/>
          <w:b/>
          <w:bCs/>
          <w:kern w:val="0"/>
          <w:szCs w:val="24"/>
          <w:lang w:bidi="ar"/>
        </w:rPr>
        <w:t>2　</w:t>
      </w:r>
      <w:r>
        <w:t>作业前检查</w:t>
      </w:r>
      <w:r>
        <w:rPr>
          <w:rFonts w:hint="eastAsia"/>
        </w:rPr>
        <w:t>探测</w:t>
      </w:r>
      <w:r>
        <w:t>器</w:t>
      </w:r>
      <w:r>
        <w:rPr>
          <w:rFonts w:hint="eastAsia"/>
        </w:rPr>
        <w:t>处于</w:t>
      </w:r>
      <w:r>
        <w:t>正常</w:t>
      </w:r>
      <w:r>
        <w:rPr>
          <w:rFonts w:hint="eastAsia"/>
          <w:lang w:eastAsia="zh-CN"/>
        </w:rPr>
        <w:t>并</w:t>
      </w:r>
      <w:r>
        <w:t>做好消毒</w:t>
      </w:r>
      <w:r>
        <w:rPr>
          <w:rFonts w:hint="eastAsia"/>
        </w:rPr>
        <w:t>。</w:t>
      </w:r>
      <w:r>
        <w:rPr>
          <w:rFonts w:hint="eastAsia" w:eastAsia="宋体" w:cs="Times New Roman"/>
          <w:kern w:val="0"/>
          <w:szCs w:val="24"/>
          <w:lang w:bidi="ar"/>
        </w:rPr>
        <w:t>探测器</w:t>
      </w:r>
      <w:r>
        <w:rPr>
          <w:rFonts w:eastAsia="宋体" w:cs="Times New Roman"/>
          <w:kern w:val="0"/>
          <w:szCs w:val="24"/>
          <w:lang w:bidi="ar"/>
        </w:rPr>
        <w:t>投放</w:t>
      </w:r>
      <w:r>
        <w:rPr>
          <w:rFonts w:hint="eastAsia" w:eastAsia="宋体" w:cs="Times New Roman"/>
          <w:kern w:val="0"/>
          <w:szCs w:val="24"/>
          <w:lang w:bidi="ar"/>
        </w:rPr>
        <w:t>时</w:t>
      </w:r>
      <w:r>
        <w:rPr>
          <w:rFonts w:eastAsia="宋体" w:cs="Times New Roman"/>
          <w:kern w:val="0"/>
          <w:szCs w:val="24"/>
          <w:lang w:bidi="ar"/>
        </w:rPr>
        <w:t>不得将异物带入管道；</w:t>
      </w:r>
    </w:p>
    <w:p w14:paraId="72D135BC">
      <w:pPr>
        <w:widowControl/>
        <w:ind w:firstLine="420"/>
        <w:rPr>
          <w:rFonts w:eastAsia="宋体" w:cs="Times New Roman"/>
        </w:rPr>
      </w:pPr>
      <w:r>
        <w:rPr>
          <w:rFonts w:eastAsia="宋体" w:cs="Times New Roman"/>
          <w:b/>
          <w:bCs/>
          <w:kern w:val="0"/>
          <w:szCs w:val="24"/>
          <w:lang w:bidi="ar"/>
        </w:rPr>
        <w:t>3　</w:t>
      </w:r>
      <w:r>
        <w:rPr>
          <w:rFonts w:hint="eastAsia" w:eastAsia="宋体" w:cs="Times New Roman"/>
          <w:kern w:val="0"/>
          <w:szCs w:val="24"/>
          <w:lang w:bidi="ar"/>
        </w:rPr>
        <w:t>探测器</w:t>
      </w:r>
      <w:r>
        <w:rPr>
          <w:rFonts w:eastAsia="宋体" w:cs="Times New Roman"/>
          <w:kern w:val="0"/>
          <w:szCs w:val="24"/>
          <w:lang w:bidi="ar"/>
        </w:rPr>
        <w:t>进入管道预定位置后，启动检测功能</w:t>
      </w:r>
      <w:r>
        <w:rPr>
          <w:rFonts w:hint="eastAsia" w:eastAsia="宋体" w:cs="Times New Roman"/>
          <w:kern w:val="0"/>
          <w:szCs w:val="24"/>
          <w:lang w:bidi="ar"/>
        </w:rPr>
        <w:t>。探测器应</w:t>
      </w:r>
      <w:r>
        <w:rPr>
          <w:rFonts w:eastAsia="宋体" w:cs="Times New Roman"/>
          <w:kern w:val="0"/>
          <w:szCs w:val="24"/>
          <w:lang w:bidi="ar"/>
        </w:rPr>
        <w:t>保持匀速移动</w:t>
      </w:r>
      <w:r>
        <w:rPr>
          <w:rFonts w:hint="eastAsia" w:eastAsia="宋体" w:cs="Times New Roman"/>
          <w:kern w:val="0"/>
          <w:szCs w:val="24"/>
          <w:lang w:bidi="ar"/>
        </w:rPr>
        <w:t>，</w:t>
      </w:r>
      <w:r>
        <w:rPr>
          <w:rFonts w:eastAsia="宋体" w:cs="Times New Roman"/>
          <w:kern w:val="0"/>
          <w:szCs w:val="24"/>
          <w:lang w:bidi="ar"/>
        </w:rPr>
        <w:t>速度</w:t>
      </w:r>
      <w:r>
        <w:rPr>
          <w:rFonts w:hint="eastAsia" w:eastAsia="宋体" w:cs="Times New Roman"/>
          <w:kern w:val="0"/>
          <w:szCs w:val="24"/>
          <w:lang w:bidi="ar"/>
        </w:rPr>
        <w:t>不宜大于0.1m/s；</w:t>
      </w:r>
    </w:p>
    <w:p w14:paraId="7CE4CB80">
      <w:pPr>
        <w:widowControl/>
        <w:ind w:firstLine="420"/>
        <w:rPr>
          <w:rFonts w:eastAsia="宋体" w:cs="Times New Roman"/>
        </w:rPr>
      </w:pPr>
      <w:r>
        <w:rPr>
          <w:rFonts w:eastAsia="宋体" w:cs="Times New Roman"/>
          <w:b/>
          <w:bCs/>
          <w:kern w:val="0"/>
          <w:szCs w:val="24"/>
          <w:lang w:bidi="ar"/>
        </w:rPr>
        <w:t>4　</w:t>
      </w:r>
      <w:r>
        <w:rPr>
          <w:rFonts w:hint="eastAsia" w:eastAsia="宋体" w:cs="Times New Roman"/>
          <w:kern w:val="0"/>
          <w:szCs w:val="24"/>
          <w:lang w:bidi="ar"/>
        </w:rPr>
        <w:t>探测器及</w:t>
      </w:r>
      <w:r>
        <w:rPr>
          <w:rFonts w:eastAsia="宋体" w:cs="Times New Roman"/>
          <w:kern w:val="0"/>
          <w:szCs w:val="24"/>
          <w:lang w:bidi="ar"/>
        </w:rPr>
        <w:t>投放装置</w:t>
      </w:r>
      <w:r>
        <w:rPr>
          <w:rFonts w:hint="eastAsia" w:eastAsia="宋体" w:cs="Times New Roman"/>
          <w:kern w:val="0"/>
          <w:szCs w:val="24"/>
          <w:lang w:bidi="ar"/>
        </w:rPr>
        <w:t>应</w:t>
      </w:r>
      <w:r>
        <w:rPr>
          <w:rFonts w:eastAsia="宋体" w:cs="Times New Roman"/>
          <w:kern w:val="0"/>
          <w:szCs w:val="24"/>
          <w:lang w:bidi="ar"/>
        </w:rPr>
        <w:t>实时通过线缆将测厚数据</w:t>
      </w:r>
      <w:r>
        <w:rPr>
          <w:rFonts w:hint="eastAsia" w:eastAsia="宋体" w:cs="Times New Roman"/>
          <w:kern w:val="0"/>
          <w:szCs w:val="24"/>
          <w:lang w:bidi="ar"/>
        </w:rPr>
        <w:t>和</w:t>
      </w:r>
      <w:r>
        <w:rPr>
          <w:rFonts w:eastAsia="宋体" w:cs="Times New Roman"/>
          <w:kern w:val="0"/>
          <w:szCs w:val="24"/>
          <w:lang w:bidi="ar"/>
        </w:rPr>
        <w:t>线缆移动距离同步实时发送到信息处理终端；</w:t>
      </w:r>
    </w:p>
    <w:p w14:paraId="229B3DBF">
      <w:pPr>
        <w:widowControl/>
        <w:ind w:firstLine="420"/>
        <w:rPr>
          <w:rFonts w:eastAsia="宋体" w:cs="Times New Roman"/>
        </w:rPr>
      </w:pPr>
      <w:r>
        <w:rPr>
          <w:rFonts w:eastAsia="宋体" w:cs="Times New Roman"/>
          <w:b/>
          <w:bCs/>
          <w:kern w:val="0"/>
          <w:szCs w:val="24"/>
          <w:lang w:bidi="ar"/>
        </w:rPr>
        <w:t>5　</w:t>
      </w:r>
      <w:r>
        <w:rPr>
          <w:rFonts w:eastAsia="宋体" w:cs="Times New Roman"/>
          <w:kern w:val="0"/>
          <w:szCs w:val="24"/>
          <w:lang w:bidi="ar"/>
        </w:rPr>
        <w:t>信息处理终端可实时计算管壁各点位厚度并结合移动距离数据生成管道壁厚三维图；</w:t>
      </w:r>
    </w:p>
    <w:p w14:paraId="1C815DE7">
      <w:pPr>
        <w:widowControl/>
        <w:ind w:firstLine="420"/>
        <w:rPr>
          <w:rFonts w:eastAsia="宋体" w:cs="Times New Roman"/>
        </w:rPr>
      </w:pPr>
      <w:r>
        <w:rPr>
          <w:rFonts w:eastAsia="宋体" w:cs="Times New Roman"/>
          <w:b/>
          <w:bCs/>
          <w:kern w:val="0"/>
          <w:szCs w:val="24"/>
          <w:lang w:bidi="ar"/>
        </w:rPr>
        <w:t>6　</w:t>
      </w:r>
      <w:r>
        <w:rPr>
          <w:rFonts w:eastAsia="宋体" w:cs="Times New Roman"/>
          <w:kern w:val="0"/>
          <w:szCs w:val="24"/>
          <w:lang w:bidi="ar"/>
        </w:rPr>
        <w:t>分析显示壁厚异常点，当有</w:t>
      </w:r>
      <w:r>
        <w:rPr>
          <w:rFonts w:hint="eastAsia" w:eastAsia="宋体" w:cs="Times New Roman"/>
          <w:kern w:val="0"/>
          <w:szCs w:val="24"/>
          <w:lang w:bidi="ar"/>
        </w:rPr>
        <w:t>泄漏</w:t>
      </w:r>
      <w:r>
        <w:rPr>
          <w:rFonts w:eastAsia="宋体" w:cs="Times New Roman"/>
          <w:kern w:val="0"/>
          <w:szCs w:val="24"/>
          <w:lang w:bidi="ar"/>
        </w:rPr>
        <w:t>等异常缺陷需要定位时，启动</w:t>
      </w:r>
      <w:r>
        <w:rPr>
          <w:rFonts w:hint="eastAsia" w:eastAsia="宋体" w:cs="Times New Roman"/>
          <w:kern w:val="0"/>
          <w:szCs w:val="24"/>
          <w:lang w:bidi="ar"/>
        </w:rPr>
        <w:t>探测器</w:t>
      </w:r>
      <w:r>
        <w:rPr>
          <w:rFonts w:eastAsia="宋体" w:cs="Times New Roman"/>
          <w:kern w:val="0"/>
          <w:szCs w:val="24"/>
          <w:lang w:bidi="ar"/>
        </w:rPr>
        <w:t>定位发生器，地面同步定位位置；</w:t>
      </w:r>
    </w:p>
    <w:p w14:paraId="0DFC83C4">
      <w:pPr>
        <w:widowControl/>
        <w:ind w:firstLine="420"/>
        <w:rPr>
          <w:rFonts w:eastAsia="宋体" w:cs="Times New Roman"/>
          <w:kern w:val="0"/>
          <w:szCs w:val="24"/>
          <w:lang w:bidi="ar"/>
        </w:rPr>
      </w:pPr>
      <w:r>
        <w:rPr>
          <w:rFonts w:eastAsia="宋体" w:cs="Times New Roman"/>
          <w:b/>
          <w:bCs/>
          <w:kern w:val="0"/>
          <w:szCs w:val="24"/>
          <w:lang w:bidi="ar"/>
        </w:rPr>
        <w:t>7　</w:t>
      </w:r>
      <w:r>
        <w:rPr>
          <w:rFonts w:eastAsia="宋体" w:cs="Times New Roman"/>
          <w:kern w:val="0"/>
          <w:szCs w:val="24"/>
          <w:lang w:bidi="ar"/>
        </w:rPr>
        <w:t>当检测距离达到预定位置时，停止检测，回收</w:t>
      </w:r>
      <w:r>
        <w:rPr>
          <w:rFonts w:hint="eastAsia"/>
        </w:rPr>
        <w:t>探测</w:t>
      </w:r>
      <w:r>
        <w:t>器</w:t>
      </w:r>
      <w:r>
        <w:rPr>
          <w:rFonts w:hint="eastAsia"/>
        </w:rPr>
        <w:t>，恢复检测现场</w:t>
      </w:r>
      <w:r>
        <w:rPr>
          <w:rFonts w:eastAsia="宋体" w:cs="Times New Roman"/>
          <w:kern w:val="0"/>
          <w:szCs w:val="24"/>
          <w:lang w:bidi="ar"/>
        </w:rPr>
        <w:t>。</w:t>
      </w:r>
    </w:p>
    <w:p w14:paraId="60FDF9EB">
      <w:pPr>
        <w:widowControl/>
        <w:rPr>
          <w:rFonts w:eastAsia="宋体" w:cs="Times New Roman"/>
        </w:rPr>
      </w:pPr>
      <w:r>
        <w:rPr>
          <w:rFonts w:eastAsia="宋体" w:cs="Times New Roman"/>
          <w:b/>
          <w:bCs/>
          <w:kern w:val="0"/>
          <w:szCs w:val="24"/>
          <w:lang w:bidi="ar"/>
        </w:rPr>
        <w:t>6.3.</w:t>
      </w:r>
      <w:r>
        <w:rPr>
          <w:rFonts w:hint="eastAsia" w:eastAsia="宋体" w:cs="Times New Roman"/>
          <w:b/>
          <w:bCs/>
          <w:kern w:val="0"/>
          <w:szCs w:val="24"/>
          <w:lang w:bidi="ar"/>
        </w:rPr>
        <w:t>2　</w:t>
      </w:r>
      <w:r>
        <w:rPr>
          <w:rFonts w:hint="eastAsia" w:eastAsia="宋体" w:cs="Times New Roman"/>
          <w:kern w:val="0"/>
          <w:szCs w:val="24"/>
          <w:lang w:bidi="ar"/>
        </w:rPr>
        <w:t>停水</w:t>
      </w:r>
      <w:r>
        <w:rPr>
          <w:rFonts w:eastAsia="宋体" w:cs="Times New Roman"/>
          <w:kern w:val="0"/>
          <w:szCs w:val="24"/>
          <w:lang w:bidi="ar"/>
        </w:rPr>
        <w:t>超声波测厚检测应</w:t>
      </w:r>
      <w:r>
        <w:rPr>
          <w:rFonts w:hint="eastAsia"/>
        </w:rPr>
        <w:t>符合下列规定</w:t>
      </w:r>
      <w:r>
        <w:rPr>
          <w:rFonts w:eastAsia="宋体" w:cs="Times New Roman"/>
          <w:kern w:val="0"/>
          <w:szCs w:val="24"/>
          <w:lang w:bidi="ar"/>
        </w:rPr>
        <w:t>：</w:t>
      </w:r>
    </w:p>
    <w:p w14:paraId="5902D41E">
      <w:pPr>
        <w:widowControl/>
        <w:ind w:firstLine="420"/>
        <w:rPr>
          <w:rFonts w:eastAsia="宋体" w:cs="Times New Roman"/>
        </w:rPr>
      </w:pPr>
      <w:r>
        <w:rPr>
          <w:rFonts w:eastAsia="宋体" w:cs="Times New Roman"/>
          <w:b/>
          <w:bCs/>
          <w:kern w:val="0"/>
          <w:szCs w:val="24"/>
          <w:lang w:bidi="ar"/>
        </w:rPr>
        <w:t>1　</w:t>
      </w:r>
      <w:r>
        <w:rPr>
          <w:rFonts w:eastAsia="宋体" w:cs="Times New Roman"/>
          <w:kern w:val="0"/>
          <w:szCs w:val="24"/>
          <w:lang w:bidi="ar"/>
        </w:rPr>
        <w:t>检测前应对管道进行清洗。管道</w:t>
      </w:r>
      <w:r>
        <w:rPr>
          <w:rFonts w:hint="eastAsia" w:eastAsia="宋体" w:cs="Times New Roman"/>
          <w:kern w:val="0"/>
          <w:szCs w:val="24"/>
          <w:lang w:bidi="ar"/>
        </w:rPr>
        <w:t>内</w:t>
      </w:r>
      <w:r>
        <w:rPr>
          <w:rFonts w:eastAsia="宋体" w:cs="Times New Roman"/>
          <w:kern w:val="0"/>
          <w:szCs w:val="24"/>
          <w:lang w:bidi="ar"/>
        </w:rPr>
        <w:t>应处于排空状态</w:t>
      </w:r>
      <w:r>
        <w:rPr>
          <w:rFonts w:hint="eastAsia" w:eastAsia="宋体" w:cs="Times New Roman"/>
          <w:kern w:val="0"/>
          <w:szCs w:val="24"/>
          <w:lang w:eastAsia="zh-CN" w:bidi="ar"/>
        </w:rPr>
        <w:t>并</w:t>
      </w:r>
      <w:r>
        <w:rPr>
          <w:rFonts w:eastAsia="宋体" w:cs="Times New Roman"/>
          <w:kern w:val="0"/>
          <w:szCs w:val="24"/>
          <w:lang w:bidi="ar"/>
        </w:rPr>
        <w:t>通风良好；</w:t>
      </w:r>
    </w:p>
    <w:p w14:paraId="4E4C6ED6">
      <w:pPr>
        <w:widowControl/>
        <w:ind w:firstLine="420"/>
        <w:rPr>
          <w:rFonts w:eastAsia="宋体" w:cs="Times New Roman"/>
          <w:kern w:val="0"/>
          <w:szCs w:val="24"/>
          <w:lang w:bidi="ar"/>
        </w:rPr>
      </w:pPr>
      <w:r>
        <w:rPr>
          <w:rFonts w:eastAsia="宋体" w:cs="Times New Roman"/>
          <w:b/>
          <w:bCs/>
          <w:kern w:val="0"/>
          <w:szCs w:val="24"/>
          <w:lang w:bidi="ar"/>
        </w:rPr>
        <w:t>2　</w:t>
      </w:r>
      <w:r>
        <w:rPr>
          <w:rFonts w:eastAsia="宋体" w:cs="Times New Roman"/>
          <w:kern w:val="0"/>
          <w:szCs w:val="24"/>
          <w:lang w:bidi="ar"/>
        </w:rPr>
        <w:t>检测前应对仪器进行校准，当管道材料声速不确定时，应采用测厚仪反测管道材料声速；</w:t>
      </w:r>
    </w:p>
    <w:p w14:paraId="16B01A1B">
      <w:pPr>
        <w:widowControl/>
        <w:ind w:firstLine="420"/>
        <w:rPr>
          <w:rFonts w:eastAsia="宋体" w:cs="Times New Roman"/>
          <w:kern w:val="0"/>
          <w:szCs w:val="24"/>
          <w:lang w:bidi="ar"/>
        </w:rPr>
      </w:pPr>
      <w:r>
        <w:rPr>
          <w:rFonts w:eastAsia="宋体" w:cs="Times New Roman"/>
          <w:b/>
          <w:bCs/>
          <w:kern w:val="0"/>
          <w:szCs w:val="24"/>
          <w:lang w:bidi="ar"/>
        </w:rPr>
        <w:t>3　</w:t>
      </w:r>
      <w:r>
        <w:rPr>
          <w:rFonts w:eastAsia="宋体" w:cs="Times New Roman"/>
          <w:kern w:val="0"/>
          <w:szCs w:val="24"/>
          <w:lang w:bidi="ar"/>
        </w:rPr>
        <w:t>在被测管壁表面使用耦合剂，表面粗糙或锈蚀严重时，</w:t>
      </w:r>
      <w:r>
        <w:rPr>
          <w:rFonts w:hint="eastAsia" w:eastAsia="宋体" w:cs="Times New Roman"/>
          <w:kern w:val="0"/>
          <w:szCs w:val="24"/>
          <w:lang w:bidi="ar"/>
        </w:rPr>
        <w:t>宜采用</w:t>
      </w:r>
      <w:r>
        <w:rPr>
          <w:rFonts w:eastAsia="宋体" w:cs="Times New Roman"/>
          <w:kern w:val="0"/>
          <w:szCs w:val="24"/>
          <w:lang w:bidi="ar"/>
        </w:rPr>
        <w:t>砂纸、除锈剂等处理表面；</w:t>
      </w:r>
    </w:p>
    <w:p w14:paraId="22222E71">
      <w:pPr>
        <w:widowControl/>
        <w:ind w:firstLine="420"/>
        <w:rPr>
          <w:rFonts w:eastAsia="宋体" w:cs="Times New Roman"/>
          <w:kern w:val="0"/>
          <w:szCs w:val="24"/>
          <w:lang w:bidi="ar"/>
        </w:rPr>
      </w:pPr>
      <w:r>
        <w:rPr>
          <w:rFonts w:eastAsia="宋体" w:cs="Times New Roman"/>
          <w:b/>
          <w:bCs/>
          <w:kern w:val="0"/>
          <w:szCs w:val="24"/>
          <w:lang w:bidi="ar"/>
        </w:rPr>
        <w:t>4　</w:t>
      </w:r>
      <w:r>
        <w:rPr>
          <w:rFonts w:eastAsia="宋体" w:cs="Times New Roman"/>
          <w:kern w:val="0"/>
          <w:szCs w:val="24"/>
          <w:lang w:bidi="ar"/>
        </w:rPr>
        <w:t>对于整段管壁测量应沿管材环向和轴线方向</w:t>
      </w:r>
      <w:r>
        <w:rPr>
          <w:rFonts w:hint="eastAsia" w:eastAsia="宋体" w:cs="Times New Roman"/>
          <w:kern w:val="0"/>
          <w:szCs w:val="24"/>
          <w:lang w:bidi="ar"/>
        </w:rPr>
        <w:t>网格式</w:t>
      </w:r>
      <w:r>
        <w:rPr>
          <w:rFonts w:eastAsia="宋体" w:cs="Times New Roman"/>
          <w:kern w:val="0"/>
          <w:szCs w:val="24"/>
          <w:lang w:bidi="ar"/>
        </w:rPr>
        <w:t>多点位</w:t>
      </w:r>
      <w:r>
        <w:rPr>
          <w:rFonts w:hint="eastAsia" w:eastAsia="宋体" w:cs="Times New Roman"/>
          <w:kern w:val="0"/>
          <w:szCs w:val="24"/>
          <w:lang w:bidi="ar"/>
        </w:rPr>
        <w:t>均匀</w:t>
      </w:r>
      <w:r>
        <w:rPr>
          <w:rFonts w:eastAsia="宋体" w:cs="Times New Roman"/>
          <w:kern w:val="0"/>
          <w:szCs w:val="24"/>
          <w:lang w:bidi="ar"/>
        </w:rPr>
        <w:t>测量，应沿管壁环向一圈均匀测量，</w:t>
      </w:r>
      <w:r>
        <w:rPr>
          <w:rFonts w:hint="eastAsia" w:eastAsia="宋体" w:cs="Times New Roman"/>
          <w:kern w:val="0"/>
          <w:szCs w:val="24"/>
          <w:lang w:bidi="ar"/>
        </w:rPr>
        <w:t>测量</w:t>
      </w:r>
      <w:r>
        <w:rPr>
          <w:rFonts w:eastAsia="宋体" w:cs="Times New Roman"/>
          <w:kern w:val="0"/>
          <w:szCs w:val="24"/>
          <w:lang w:bidi="ar"/>
        </w:rPr>
        <w:t>点</w:t>
      </w:r>
      <w:r>
        <w:rPr>
          <w:rFonts w:hint="eastAsia" w:eastAsia="宋体" w:cs="Times New Roman"/>
          <w:kern w:val="0"/>
          <w:szCs w:val="24"/>
          <w:lang w:bidi="ar"/>
        </w:rPr>
        <w:t>位间隔距离不应大于5mm；</w:t>
      </w:r>
    </w:p>
    <w:p w14:paraId="764A5C8C">
      <w:pPr>
        <w:widowControl/>
        <w:ind w:firstLine="420"/>
      </w:pPr>
      <w:r>
        <w:rPr>
          <w:rFonts w:eastAsia="宋体" w:cs="Times New Roman"/>
          <w:b/>
          <w:bCs/>
          <w:kern w:val="0"/>
          <w:szCs w:val="24"/>
          <w:lang w:bidi="ar"/>
        </w:rPr>
        <w:t>5　</w:t>
      </w:r>
      <w:r>
        <w:rPr>
          <w:rFonts w:eastAsia="宋体" w:cs="Times New Roman"/>
          <w:kern w:val="0"/>
          <w:szCs w:val="24"/>
          <w:lang w:bidi="ar"/>
        </w:rPr>
        <w:t>对于管壁厚度异常区域应</w:t>
      </w:r>
      <w:r>
        <w:rPr>
          <w:rFonts w:hint="eastAsia" w:eastAsia="宋体" w:cs="Times New Roman"/>
          <w:kern w:val="0"/>
          <w:szCs w:val="24"/>
          <w:lang w:bidi="ar"/>
        </w:rPr>
        <w:t>在地面相应位置</w:t>
      </w:r>
      <w:r>
        <w:rPr>
          <w:rFonts w:eastAsia="宋体" w:cs="Times New Roman"/>
          <w:kern w:val="0"/>
          <w:szCs w:val="24"/>
          <w:lang w:bidi="ar"/>
        </w:rPr>
        <w:t>进行标记</w:t>
      </w:r>
      <w:r>
        <w:rPr>
          <w:rFonts w:hint="eastAsia" w:eastAsia="宋体" w:cs="Times New Roman"/>
          <w:kern w:val="0"/>
          <w:szCs w:val="24"/>
          <w:lang w:bidi="ar"/>
        </w:rPr>
        <w:t>、拍照辅助记录</w:t>
      </w:r>
      <w:r>
        <w:rPr>
          <w:rFonts w:eastAsia="宋体" w:cs="Times New Roman"/>
          <w:kern w:val="0"/>
          <w:szCs w:val="24"/>
          <w:lang w:bidi="ar"/>
        </w:rPr>
        <w:t>。</w:t>
      </w:r>
    </w:p>
    <w:p w14:paraId="39EA6CE6">
      <w:pPr>
        <w:pStyle w:val="5"/>
      </w:pPr>
      <w:bookmarkStart w:id="173" w:name="_Toc9806"/>
      <w:bookmarkStart w:id="174" w:name="_Toc181825558"/>
      <w:bookmarkStart w:id="175" w:name="_Toc19666"/>
      <w:bookmarkStart w:id="176" w:name="_Toc6949"/>
      <w:bookmarkStart w:id="177" w:name="_Toc20044"/>
      <w:r>
        <w:rPr>
          <w:rFonts w:hint="eastAsia"/>
        </w:rPr>
        <w:t>6.4　结果判读</w:t>
      </w:r>
      <w:bookmarkEnd w:id="173"/>
      <w:bookmarkEnd w:id="174"/>
      <w:bookmarkEnd w:id="175"/>
      <w:bookmarkEnd w:id="176"/>
      <w:bookmarkEnd w:id="177"/>
    </w:p>
    <w:p w14:paraId="345AD0EF">
      <w:pPr>
        <w:widowControl/>
        <w:jc w:val="left"/>
        <w:rPr>
          <w:rFonts w:eastAsia="宋体" w:cs="Times New Roman"/>
          <w:kern w:val="0"/>
          <w:szCs w:val="24"/>
          <w:lang w:bidi="ar"/>
        </w:rPr>
      </w:pPr>
      <w:r>
        <w:rPr>
          <w:rFonts w:eastAsia="宋体" w:cs="Times New Roman"/>
          <w:b/>
          <w:bCs/>
          <w:kern w:val="0"/>
          <w:szCs w:val="24"/>
          <w:lang w:bidi="ar"/>
        </w:rPr>
        <w:t>6.4.</w:t>
      </w:r>
      <w:r>
        <w:rPr>
          <w:rFonts w:hint="eastAsia" w:eastAsia="宋体" w:cs="Times New Roman"/>
          <w:b/>
          <w:bCs/>
          <w:kern w:val="0"/>
          <w:szCs w:val="24"/>
          <w:lang w:bidi="ar"/>
        </w:rPr>
        <w:t>1　</w:t>
      </w:r>
      <w:r>
        <w:rPr>
          <w:rFonts w:hint="eastAsia" w:eastAsia="宋体" w:cs="Times New Roman"/>
          <w:kern w:val="0"/>
          <w:szCs w:val="24"/>
          <w:lang w:eastAsia="zh-CN" w:bidi="ar"/>
        </w:rPr>
        <w:t>检测后应</w:t>
      </w:r>
      <w:r>
        <w:rPr>
          <w:rFonts w:eastAsia="宋体" w:cs="Times New Roman"/>
          <w:kern w:val="0"/>
          <w:szCs w:val="24"/>
          <w:lang w:bidi="ar"/>
        </w:rPr>
        <w:t>通过</w:t>
      </w:r>
      <w:r>
        <w:rPr>
          <w:rFonts w:hint="eastAsia" w:eastAsia="宋体" w:cs="Times New Roman"/>
          <w:kern w:val="0"/>
          <w:szCs w:val="24"/>
          <w:lang w:bidi="ar"/>
        </w:rPr>
        <w:t>管道检测壁厚与</w:t>
      </w:r>
      <w:r>
        <w:rPr>
          <w:rFonts w:eastAsia="宋体" w:cs="Times New Roman"/>
          <w:kern w:val="0"/>
          <w:szCs w:val="24"/>
          <w:lang w:bidi="ar"/>
        </w:rPr>
        <w:t>初始壁厚比较</w:t>
      </w:r>
      <w:r>
        <w:rPr>
          <w:rFonts w:hint="eastAsia" w:eastAsia="宋体" w:cs="Times New Roman"/>
          <w:kern w:val="0"/>
          <w:szCs w:val="24"/>
          <w:lang w:bidi="ar"/>
        </w:rPr>
        <w:t>分析管壁减薄数据。</w:t>
      </w:r>
    </w:p>
    <w:p w14:paraId="04262039">
      <w:pPr>
        <w:widowControl/>
        <w:rPr>
          <w:rFonts w:eastAsia="宋体" w:cs="Times New Roman"/>
          <w:kern w:val="0"/>
          <w:szCs w:val="24"/>
          <w:lang w:bidi="ar"/>
        </w:rPr>
      </w:pPr>
      <w:r>
        <w:rPr>
          <w:rFonts w:eastAsia="宋体" w:cs="Times New Roman"/>
          <w:b/>
          <w:bCs/>
          <w:kern w:val="0"/>
          <w:szCs w:val="24"/>
          <w:lang w:bidi="ar"/>
        </w:rPr>
        <w:t>6.4.2　</w:t>
      </w:r>
      <w:r>
        <w:rPr>
          <w:rFonts w:hint="eastAsia" w:eastAsia="宋体" w:cs="Times New Roman"/>
          <w:kern w:val="0"/>
          <w:szCs w:val="24"/>
          <w:lang w:bidi="ar"/>
        </w:rPr>
        <w:t>管壁减薄程度</w:t>
      </w:r>
      <w:r>
        <w:rPr>
          <w:rFonts w:hint="eastAsia" w:eastAsia="宋体" w:cs="Times New Roman"/>
          <w:kern w:val="0"/>
          <w:szCs w:val="24"/>
          <w:lang w:eastAsia="zh-CN" w:bidi="ar"/>
        </w:rPr>
        <w:t>应</w:t>
      </w:r>
      <w:r>
        <w:rPr>
          <w:rFonts w:hint="eastAsia" w:eastAsia="宋体" w:cs="Times New Roman"/>
          <w:kern w:val="0"/>
          <w:szCs w:val="24"/>
          <w:lang w:bidi="ar"/>
        </w:rPr>
        <w:t>按下式计算：</w:t>
      </w:r>
    </w:p>
    <w:p w14:paraId="1819DA3F">
      <w:pPr>
        <w:widowControl/>
        <w:jc w:val="right"/>
        <w:rPr>
          <w:rFonts w:cs="Times New Roman"/>
          <w:b/>
          <w:bCs/>
          <w:kern w:val="0"/>
          <w:szCs w:val="24"/>
          <w:lang w:bidi="ar"/>
        </w:rPr>
      </w:pPr>
      <w:r>
        <w:rPr>
          <w:rFonts w:hint="eastAsia" w:cs="Times New Roman"/>
          <w:b/>
          <w:bCs/>
          <w:i/>
          <w:iCs/>
          <w:kern w:val="0"/>
          <w:szCs w:val="24"/>
          <w:lang w:bidi="ar"/>
        </w:rPr>
        <w:t>A</w:t>
      </w:r>
      <w:r>
        <w:rPr>
          <w:rFonts w:hint="eastAsia" w:cs="Times New Roman"/>
          <w:b/>
          <w:bCs/>
          <w:kern w:val="0"/>
          <w:szCs w:val="24"/>
          <w:lang w:bidi="ar"/>
        </w:rPr>
        <w:t>=（</w:t>
      </w:r>
      <w:r>
        <w:rPr>
          <w:rFonts w:hint="eastAsia" w:cs="Times New Roman"/>
          <w:b/>
          <w:bCs/>
          <w:i/>
          <w:iCs/>
          <w:kern w:val="0"/>
          <w:szCs w:val="24"/>
          <w:lang w:bidi="ar"/>
        </w:rPr>
        <w:t>d／t</w:t>
      </w:r>
      <w:r>
        <w:rPr>
          <w:rFonts w:hint="eastAsia" w:cs="Times New Roman"/>
          <w:b/>
          <w:bCs/>
          <w:kern w:val="0"/>
          <w:szCs w:val="24"/>
          <w:lang w:bidi="ar"/>
        </w:rPr>
        <w:t>）×100%</w:t>
      </w:r>
      <w:r>
        <w:rPr>
          <w:rFonts w:cs="Times New Roman"/>
          <w:b/>
          <w:bCs/>
          <w:kern w:val="0"/>
          <w:szCs w:val="24"/>
          <w:lang w:bidi="ar"/>
        </w:rPr>
        <w:t xml:space="preserve"> </w:t>
      </w:r>
      <w:r>
        <w:rPr>
          <w:rFonts w:cs="Times New Roman"/>
          <w:bCs/>
          <w:kern w:val="0"/>
          <w:szCs w:val="24"/>
          <w:lang w:bidi="ar"/>
        </w:rPr>
        <w:t xml:space="preserve">                 </w:t>
      </w:r>
      <w:r>
        <w:rPr>
          <w:rFonts w:hint="eastAsia" w:cs="Times New Roman"/>
          <w:bCs/>
          <w:kern w:val="0"/>
          <w:szCs w:val="24"/>
          <w:lang w:bidi="ar"/>
        </w:rPr>
        <w:t>（6</w:t>
      </w:r>
      <w:r>
        <w:rPr>
          <w:rFonts w:cs="Times New Roman"/>
          <w:bCs/>
          <w:kern w:val="0"/>
          <w:szCs w:val="24"/>
          <w:lang w:bidi="ar"/>
        </w:rPr>
        <w:t>.4.2</w:t>
      </w:r>
      <w:r>
        <w:rPr>
          <w:rFonts w:hint="eastAsia" w:cs="Times New Roman"/>
          <w:bCs/>
          <w:kern w:val="0"/>
          <w:szCs w:val="24"/>
          <w:lang w:bidi="ar"/>
        </w:rPr>
        <w:t>）</w:t>
      </w:r>
    </w:p>
    <w:p w14:paraId="378CA6BC">
      <w:pPr>
        <w:pStyle w:val="2"/>
        <w:ind w:left="0" w:firstLine="480" w:firstLineChars="200"/>
        <w:rPr>
          <w:rFonts w:ascii="Times New Roman" w:hAnsi="Times New Roman" w:cs="Times New Roman"/>
        </w:rPr>
      </w:pPr>
      <w:r>
        <w:rPr>
          <w:rFonts w:ascii="Times New Roman" w:hAnsi="Times New Roman" w:cs="Times New Roman"/>
        </w:rPr>
        <w:t>式中：</w:t>
      </w:r>
      <w:r>
        <w:rPr>
          <w:rFonts w:ascii="Times New Roman" w:hAnsi="Times New Roman" w:cs="Times New Roman"/>
          <w:i/>
          <w:iCs/>
        </w:rPr>
        <w:t>A ——</w:t>
      </w:r>
      <w:r>
        <w:rPr>
          <w:rFonts w:ascii="Times New Roman" w:hAnsi="Times New Roman" w:cs="Times New Roman"/>
        </w:rPr>
        <w:t>壁厚减薄腐蚀相对程度（用百分数表示）；</w:t>
      </w:r>
    </w:p>
    <w:p w14:paraId="6FC0139D">
      <w:pPr>
        <w:pStyle w:val="2"/>
        <w:numPr>
          <w:ilvl w:val="255"/>
          <w:numId w:val="0"/>
        </w:numPr>
        <w:ind w:firstLine="1200" w:firstLineChars="500"/>
        <w:rPr>
          <w:rFonts w:ascii="Times New Roman" w:hAnsi="Times New Roman" w:cs="Times New Roman"/>
        </w:rPr>
      </w:pPr>
      <w:r>
        <w:rPr>
          <w:rFonts w:ascii="Times New Roman" w:hAnsi="Times New Roman" w:cs="Times New Roman"/>
          <w:i/>
          <w:iCs/>
        </w:rPr>
        <w:t xml:space="preserve">d </w:t>
      </w:r>
      <w:r>
        <w:rPr>
          <w:rFonts w:ascii="Times New Roman" w:hAnsi="Times New Roman" w:cs="Times New Roman"/>
        </w:rPr>
        <w:t>——实测壁厚减薄最大深度(mm)；</w:t>
      </w:r>
    </w:p>
    <w:p w14:paraId="2D065A33">
      <w:pPr>
        <w:widowControl/>
        <w:ind w:firstLine="1200" w:firstLineChars="500"/>
        <w:rPr>
          <w:rFonts w:eastAsia="宋体" w:cs="Times New Roman"/>
          <w:b/>
          <w:bCs/>
          <w:kern w:val="0"/>
          <w:szCs w:val="24"/>
          <w:lang w:bidi="ar"/>
        </w:rPr>
      </w:pPr>
      <w:r>
        <w:rPr>
          <w:rFonts w:cs="Times New Roman"/>
          <w:i/>
          <w:iCs/>
        </w:rPr>
        <w:t xml:space="preserve">t </w:t>
      </w:r>
      <w:r>
        <w:rPr>
          <w:rFonts w:cs="Times New Roman"/>
        </w:rPr>
        <w:t>——管道公称壁厚(mm)。</w:t>
      </w:r>
    </w:p>
    <w:p w14:paraId="0DB3C178">
      <w:pPr>
        <w:pStyle w:val="2"/>
        <w:ind w:firstLine="240"/>
      </w:pPr>
    </w:p>
    <w:p w14:paraId="5850410C">
      <w:pPr>
        <w:pStyle w:val="2"/>
        <w:ind w:firstLine="240"/>
        <w:sectPr>
          <w:pgSz w:w="11906" w:h="16838"/>
          <w:pgMar w:top="1440" w:right="1800" w:bottom="1440" w:left="1800" w:header="851" w:footer="992" w:gutter="0"/>
          <w:cols w:space="425" w:num="1"/>
          <w:docGrid w:type="lines" w:linePitch="312" w:charSpace="0"/>
        </w:sectPr>
      </w:pPr>
    </w:p>
    <w:p w14:paraId="1BE93AFD">
      <w:pPr>
        <w:pStyle w:val="4"/>
      </w:pPr>
      <w:bookmarkStart w:id="178" w:name="_Toc181825559"/>
      <w:bookmarkStart w:id="179" w:name="_Toc23747"/>
      <w:bookmarkStart w:id="180" w:name="_Toc15038"/>
      <w:bookmarkStart w:id="181" w:name="_Toc23551"/>
      <w:bookmarkStart w:id="182" w:name="_Toc28508"/>
      <w:r>
        <w:rPr>
          <w:rFonts w:hint="eastAsia"/>
        </w:rPr>
        <w:t>7　电磁检测</w:t>
      </w:r>
      <w:bookmarkEnd w:id="178"/>
      <w:bookmarkEnd w:id="179"/>
      <w:bookmarkEnd w:id="180"/>
      <w:bookmarkEnd w:id="181"/>
      <w:bookmarkEnd w:id="182"/>
    </w:p>
    <w:p w14:paraId="40491B02">
      <w:pPr>
        <w:pStyle w:val="5"/>
      </w:pPr>
      <w:bookmarkStart w:id="183" w:name="_Toc10778"/>
      <w:bookmarkStart w:id="184" w:name="_Toc1154"/>
      <w:bookmarkStart w:id="185" w:name="_Toc181825560"/>
      <w:bookmarkStart w:id="186" w:name="_Toc13858"/>
      <w:bookmarkStart w:id="187" w:name="_Toc12632"/>
      <w:r>
        <w:rPr>
          <w:rFonts w:hint="eastAsia"/>
        </w:rPr>
        <w:t>7.1　一般规定</w:t>
      </w:r>
      <w:bookmarkEnd w:id="183"/>
      <w:bookmarkEnd w:id="184"/>
      <w:bookmarkEnd w:id="185"/>
      <w:bookmarkEnd w:id="186"/>
      <w:bookmarkEnd w:id="187"/>
    </w:p>
    <w:p w14:paraId="7D889AD0">
      <w:r>
        <w:rPr>
          <w:rFonts w:hint="eastAsia"/>
          <w:b/>
          <w:bCs/>
        </w:rPr>
        <w:t>7.1.1　</w:t>
      </w:r>
      <w:r>
        <w:rPr>
          <w:rFonts w:hint="eastAsia"/>
        </w:rPr>
        <w:t>电磁检测可用于预应力钢筒混凝土管的断丝检测。</w:t>
      </w:r>
    </w:p>
    <w:p w14:paraId="745B0B4D">
      <w:r>
        <w:rPr>
          <w:rFonts w:hint="eastAsia"/>
          <w:b/>
          <w:bCs/>
        </w:rPr>
        <w:t>7.1.2　</w:t>
      </w:r>
      <w:r>
        <w:rPr>
          <w:rFonts w:hint="eastAsia"/>
        </w:rPr>
        <w:t>给水管道电磁检测可分为带压检测和停水检测。</w:t>
      </w:r>
    </w:p>
    <w:p w14:paraId="335CC3C0">
      <w:r>
        <w:rPr>
          <w:rFonts w:hint="eastAsia"/>
          <w:b/>
          <w:bCs/>
        </w:rPr>
        <w:t>7.1.3　</w:t>
      </w:r>
      <w:r>
        <w:rPr>
          <w:rFonts w:hint="eastAsia"/>
        </w:rPr>
        <w:t>管内或管外有发电机或大功率电器设备时，检测期间设备时应短暂关闭</w:t>
      </w:r>
      <w:r>
        <w:rPr>
          <w:rFonts w:hint="eastAsia"/>
          <w:lang w:eastAsia="zh-CN"/>
        </w:rPr>
        <w:t>且</w:t>
      </w:r>
      <w:r>
        <w:rPr>
          <w:rFonts w:hint="eastAsia"/>
        </w:rPr>
        <w:t>应记录管线附近高速铁路或上方高压输电线情况。</w:t>
      </w:r>
    </w:p>
    <w:p w14:paraId="2B82E16E">
      <w:r>
        <w:rPr>
          <w:rFonts w:hint="eastAsia"/>
          <w:b/>
          <w:bCs/>
        </w:rPr>
        <w:t>7.1.4　</w:t>
      </w:r>
      <w:r>
        <w:rPr>
          <w:rFonts w:hint="eastAsia"/>
        </w:rPr>
        <w:t>带压检测应符合下列规定：</w:t>
      </w:r>
    </w:p>
    <w:p w14:paraId="5719470E">
      <w:pPr>
        <w:pStyle w:val="18"/>
        <w:spacing w:after="0" w:line="360" w:lineRule="auto"/>
        <w:ind w:left="480"/>
        <w:rPr>
          <w:rFonts w:ascii="Times New Roman" w:hAnsi="Times New Roman"/>
        </w:rPr>
      </w:pPr>
      <w:r>
        <w:rPr>
          <w:rFonts w:hint="eastAsia" w:ascii="Times New Roman" w:hAnsi="Times New Roman"/>
          <w:b/>
          <w:bCs/>
        </w:rPr>
        <w:t>1　</w:t>
      </w:r>
      <w:r>
        <w:rPr>
          <w:rFonts w:hint="eastAsia"/>
        </w:rPr>
        <w:t>管径不宜小于</w:t>
      </w:r>
      <w:r>
        <w:rPr>
          <w:rFonts w:hint="eastAsia" w:ascii="Times New Roman" w:hAnsi="Times New Roman"/>
        </w:rPr>
        <w:t>400mm；</w:t>
      </w:r>
    </w:p>
    <w:p w14:paraId="280233F9">
      <w:pPr>
        <w:pStyle w:val="18"/>
        <w:spacing w:after="0" w:line="360" w:lineRule="auto"/>
        <w:ind w:left="480"/>
        <w:rPr>
          <w:rFonts w:ascii="Times New Roman" w:hAnsi="Times New Roman"/>
        </w:rPr>
      </w:pPr>
      <w:r>
        <w:rPr>
          <w:rFonts w:ascii="Times New Roman" w:hAnsi="Times New Roman"/>
          <w:b/>
          <w:bCs/>
        </w:rPr>
        <w:t>2　</w:t>
      </w:r>
      <w:r>
        <w:rPr>
          <w:rFonts w:hint="eastAsia" w:ascii="Times New Roman" w:hAnsi="Times New Roman"/>
        </w:rPr>
        <w:t>管内压力不应大于</w:t>
      </w:r>
      <w:r>
        <w:rPr>
          <w:rFonts w:ascii="Times New Roman" w:hAnsi="Times New Roman"/>
        </w:rPr>
        <w:t>2</w:t>
      </w:r>
      <w:r>
        <w:rPr>
          <w:rFonts w:hint="eastAsia" w:ascii="Times New Roman" w:hAnsi="Times New Roman"/>
        </w:rPr>
        <w:t>.0MPa；</w:t>
      </w:r>
    </w:p>
    <w:p w14:paraId="18D2FD24">
      <w:pPr>
        <w:pStyle w:val="18"/>
        <w:spacing w:after="0" w:line="360" w:lineRule="auto"/>
        <w:ind w:left="480"/>
        <w:rPr>
          <w:rFonts w:ascii="Times New Roman" w:hAnsi="Times New Roman"/>
        </w:rPr>
      </w:pPr>
      <w:r>
        <w:rPr>
          <w:rFonts w:hint="eastAsia" w:ascii="Times New Roman" w:hAnsi="Times New Roman"/>
          <w:b/>
          <w:bCs/>
        </w:rPr>
        <w:t>3　</w:t>
      </w:r>
      <w:r>
        <w:rPr>
          <w:rFonts w:hint="eastAsia" w:ascii="Times New Roman" w:hAnsi="Times New Roman"/>
        </w:rPr>
        <w:t>检测期间管</w:t>
      </w:r>
      <w:r>
        <w:rPr>
          <w:rFonts w:hint="eastAsia" w:ascii="Times New Roman" w:hAnsi="Times New Roman"/>
          <w:lang w:val="en-US" w:eastAsia="zh-CN"/>
        </w:rPr>
        <w:t>内水</w:t>
      </w:r>
      <w:r>
        <w:rPr>
          <w:rFonts w:hint="eastAsia" w:ascii="Times New Roman" w:hAnsi="Times New Roman"/>
        </w:rPr>
        <w:t>流速应稳定在0.15m/s～0.9</w:t>
      </w:r>
      <w:r>
        <w:rPr>
          <w:rFonts w:ascii="Times New Roman" w:hAnsi="Times New Roman"/>
        </w:rPr>
        <w:t>0</w:t>
      </w:r>
      <w:r>
        <w:rPr>
          <w:rFonts w:hint="eastAsia" w:ascii="Times New Roman" w:hAnsi="Times New Roman"/>
        </w:rPr>
        <w:t>m/s；</w:t>
      </w:r>
    </w:p>
    <w:p w14:paraId="0F6239E0">
      <w:pPr>
        <w:pStyle w:val="18"/>
        <w:spacing w:after="0" w:line="360" w:lineRule="auto"/>
        <w:ind w:left="480"/>
        <w:rPr>
          <w:rFonts w:ascii="Times New Roman" w:hAnsi="Times New Roman"/>
        </w:rPr>
      </w:pPr>
      <w:r>
        <w:rPr>
          <w:rFonts w:ascii="Times New Roman" w:hAnsi="Times New Roman"/>
          <w:b/>
          <w:bCs/>
        </w:rPr>
        <w:t>4　</w:t>
      </w:r>
      <w:r>
        <w:rPr>
          <w:rFonts w:hint="eastAsia" w:ascii="Times New Roman" w:hAnsi="Times New Roman"/>
        </w:rPr>
        <w:t>检测设备投放口和回收口直径不宜小于400mm；</w:t>
      </w:r>
    </w:p>
    <w:p w14:paraId="781AD42D">
      <w:pPr>
        <w:pStyle w:val="18"/>
        <w:spacing w:after="0" w:line="360" w:lineRule="auto"/>
        <w:ind w:left="480"/>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5　</w:t>
      </w:r>
      <w:r>
        <w:rPr>
          <w:rFonts w:hint="eastAsia" w:ascii="Times New Roman" w:hAnsi="Times New Roman"/>
        </w:rPr>
        <w:t>检测设备</w:t>
      </w:r>
      <w:r>
        <w:rPr>
          <w:rFonts w:hint="eastAsia" w:ascii="Times New Roman" w:hAnsi="Times New Roman"/>
          <w:color w:val="000000" w:themeColor="text1"/>
          <w14:textFill>
            <w14:solidFill>
              <w14:schemeClr w14:val="tx1"/>
            </w14:solidFill>
          </w14:textFill>
        </w:rPr>
        <w:t>投放口和回收口管段应能暂时降压，方便打开投放口和回收口；</w:t>
      </w:r>
    </w:p>
    <w:p w14:paraId="71C194E1">
      <w:pPr>
        <w:pStyle w:val="18"/>
        <w:spacing w:after="0" w:line="360" w:lineRule="auto"/>
        <w:ind w:left="0" w:leftChars="0" w:firstLine="479" w:firstLineChars="199"/>
        <w:rPr>
          <w:rFonts w:ascii="Times New Roman" w:hAnsi="Times New Roman"/>
        </w:rPr>
      </w:pPr>
      <w:r>
        <w:rPr>
          <w:rFonts w:ascii="Times New Roman" w:hAnsi="Times New Roman"/>
          <w:b/>
          <w:bCs/>
        </w:rPr>
        <w:t>6　</w:t>
      </w:r>
      <w:r>
        <w:rPr>
          <w:rFonts w:hint="eastAsia" w:ascii="Times New Roman" w:hAnsi="Times New Roman"/>
        </w:rPr>
        <w:t>管段内应有阀门井用于粘贴追踪传感器，检测期间利用追踪传感器确定探测器在管道内位置。阀门井距离不宜大于1000m；</w:t>
      </w:r>
    </w:p>
    <w:p w14:paraId="53ED304E">
      <w:pPr>
        <w:pStyle w:val="18"/>
        <w:spacing w:after="0" w:line="360" w:lineRule="auto"/>
        <w:ind w:left="480"/>
        <w:rPr>
          <w:rFonts w:ascii="Times New Roman" w:hAnsi="Times New Roman"/>
        </w:rPr>
      </w:pPr>
      <w:r>
        <w:rPr>
          <w:rFonts w:ascii="Times New Roman" w:hAnsi="Times New Roman"/>
          <w:b/>
          <w:bCs/>
        </w:rPr>
        <w:t>7　</w:t>
      </w:r>
      <w:r>
        <w:rPr>
          <w:rFonts w:hint="eastAsia" w:ascii="Times New Roman" w:hAnsi="Times New Roman"/>
        </w:rPr>
        <w:t>检测前应关闭管段沿线的支管。</w:t>
      </w:r>
    </w:p>
    <w:p w14:paraId="253B9059">
      <w:pPr>
        <w:pStyle w:val="18"/>
        <w:spacing w:after="0" w:line="360" w:lineRule="auto"/>
        <w:ind w:left="480"/>
        <w:rPr>
          <w:rFonts w:ascii="Times New Roman" w:hAnsi="Times New Roman"/>
        </w:rPr>
      </w:pPr>
      <w:r>
        <w:rPr>
          <w:rFonts w:ascii="Times New Roman" w:hAnsi="Times New Roman"/>
          <w:b/>
          <w:bCs/>
        </w:rPr>
        <w:t>8　</w:t>
      </w:r>
      <w:r>
        <w:rPr>
          <w:rFonts w:hint="eastAsia" w:ascii="Times New Roman" w:hAnsi="Times New Roman"/>
        </w:rPr>
        <w:t>管段内蝶阀应能按要求调整角度。</w:t>
      </w:r>
    </w:p>
    <w:p w14:paraId="7AB2FA03">
      <w:r>
        <w:rPr>
          <w:rFonts w:hint="eastAsia"/>
          <w:b/>
          <w:bCs/>
        </w:rPr>
        <w:t>7.1.5　</w:t>
      </w:r>
      <w:r>
        <w:rPr>
          <w:rFonts w:hint="eastAsia"/>
        </w:rPr>
        <w:t>停水检测应符合下列规定：</w:t>
      </w:r>
    </w:p>
    <w:p w14:paraId="443FD08B">
      <w:pPr>
        <w:ind w:firstLine="482" w:firstLineChars="200"/>
        <w:rPr>
          <w:b/>
          <w:bCs/>
        </w:rPr>
      </w:pPr>
      <w:r>
        <w:rPr>
          <w:rFonts w:hint="eastAsia"/>
          <w:b/>
          <w:bCs/>
        </w:rPr>
        <w:t>1　</w:t>
      </w:r>
      <w:r>
        <w:rPr>
          <w:rFonts w:hint="eastAsia"/>
        </w:rPr>
        <w:t>管径不宜小于1200mm；</w:t>
      </w:r>
    </w:p>
    <w:p w14:paraId="2B8DEFB0">
      <w:pPr>
        <w:ind w:firstLine="482" w:firstLineChars="200"/>
      </w:pPr>
      <w:r>
        <w:rPr>
          <w:rFonts w:hint="eastAsia"/>
          <w:b/>
          <w:bCs/>
        </w:rPr>
        <w:t>2　</w:t>
      </w:r>
      <w:r>
        <w:rPr>
          <w:rFonts w:hint="eastAsia"/>
        </w:rPr>
        <w:t>管道</w:t>
      </w:r>
      <w:r>
        <w:rPr>
          <w:rFonts w:hint="eastAsia"/>
          <w:lang w:eastAsia="zh-CN"/>
        </w:rPr>
        <w:t>应</w:t>
      </w:r>
      <w:r>
        <w:rPr>
          <w:rFonts w:hint="eastAsia"/>
        </w:rPr>
        <w:t>处于排空状态，水深不</w:t>
      </w:r>
      <w:r>
        <w:rPr>
          <w:rFonts w:hint="eastAsia"/>
          <w:lang w:eastAsia="zh-CN"/>
        </w:rPr>
        <w:t>宜</w:t>
      </w:r>
      <w:r>
        <w:rPr>
          <w:rFonts w:hint="eastAsia"/>
        </w:rPr>
        <w:t>大于500mm</w:t>
      </w:r>
      <w:r>
        <w:rPr>
          <w:rFonts w:hint="eastAsia"/>
          <w:lang w:eastAsia="zh-CN"/>
        </w:rPr>
        <w:t>并</w:t>
      </w:r>
      <w:r>
        <w:rPr>
          <w:rFonts w:hint="eastAsia"/>
        </w:rPr>
        <w:t>应通风良好，作业环境不应对人员健康和安全构成影响</w:t>
      </w:r>
      <w:r>
        <w:t>。</w:t>
      </w:r>
    </w:p>
    <w:p w14:paraId="2783D0B5">
      <w:pPr>
        <w:pStyle w:val="5"/>
      </w:pPr>
      <w:bookmarkStart w:id="188" w:name="_Toc11963"/>
      <w:bookmarkStart w:id="189" w:name="_Toc8398"/>
      <w:bookmarkStart w:id="190" w:name="_Toc181825561"/>
      <w:bookmarkStart w:id="191" w:name="_Toc263"/>
      <w:bookmarkStart w:id="192" w:name="_Toc20811"/>
      <w:r>
        <w:rPr>
          <w:rFonts w:hint="eastAsia"/>
        </w:rPr>
        <w:t>7.2　检测设备</w:t>
      </w:r>
      <w:bookmarkEnd w:id="188"/>
      <w:bookmarkEnd w:id="189"/>
      <w:bookmarkEnd w:id="190"/>
      <w:bookmarkEnd w:id="191"/>
      <w:bookmarkEnd w:id="192"/>
    </w:p>
    <w:p w14:paraId="690FDB9F">
      <w:pPr>
        <w:rPr>
          <w:rFonts w:eastAsia="宋体" w:cs="Times New Roman"/>
        </w:rPr>
      </w:pPr>
      <w:r>
        <w:rPr>
          <w:rFonts w:eastAsia="宋体" w:cs="Times New Roman"/>
          <w:b/>
          <w:bCs/>
        </w:rPr>
        <w:t>7</w:t>
      </w:r>
      <w:r>
        <w:rPr>
          <w:rFonts w:hint="eastAsia" w:eastAsia="宋体" w:cs="Times New Roman"/>
          <w:b/>
          <w:bCs/>
        </w:rPr>
        <w:t>.2.1　</w:t>
      </w:r>
      <w:r>
        <w:rPr>
          <w:rFonts w:hint="eastAsia" w:eastAsia="宋体" w:cs="Times New Roman"/>
        </w:rPr>
        <w:t>带压检测设备的性能</w:t>
      </w:r>
      <w:r>
        <w:rPr>
          <w:rFonts w:hint="eastAsia"/>
        </w:rPr>
        <w:t>应符合下列规定</w:t>
      </w:r>
      <w:r>
        <w:rPr>
          <w:rFonts w:hint="eastAsia" w:eastAsia="宋体" w:cs="Times New Roman"/>
        </w:rPr>
        <w:t>：</w:t>
      </w:r>
    </w:p>
    <w:p w14:paraId="4AC3D303">
      <w:pPr>
        <w:pStyle w:val="18"/>
        <w:spacing w:after="0" w:line="360" w:lineRule="auto"/>
        <w:ind w:left="0" w:leftChars="0" w:firstLine="482" w:firstLineChars="200"/>
        <w:rPr>
          <w:rFonts w:ascii="Times New Roman" w:hAnsi="Times New Roman"/>
        </w:rPr>
      </w:pPr>
      <w:r>
        <w:rPr>
          <w:rFonts w:ascii="Times New Roman" w:hAnsi="Times New Roman"/>
          <w:b/>
          <w:bCs/>
        </w:rPr>
        <w:t>1　</w:t>
      </w:r>
      <w:r>
        <w:rPr>
          <w:rFonts w:hint="eastAsia" w:ascii="Times New Roman" w:hAnsi="Times New Roman"/>
        </w:rPr>
        <w:t>检测设备应能在管道内居中随水流自由浮游；</w:t>
      </w:r>
    </w:p>
    <w:p w14:paraId="25F020E7">
      <w:pPr>
        <w:pStyle w:val="18"/>
        <w:spacing w:after="0" w:line="360" w:lineRule="auto"/>
        <w:ind w:left="0" w:leftChars="0" w:firstLine="482" w:firstLineChars="200"/>
        <w:rPr>
          <w:rFonts w:ascii="Times New Roman" w:hAnsi="Times New Roman"/>
        </w:rPr>
      </w:pPr>
      <w:r>
        <w:rPr>
          <w:rFonts w:hint="eastAsia" w:ascii="Times New Roman" w:hAnsi="Times New Roman"/>
          <w:b/>
          <w:bCs/>
        </w:rPr>
        <w:t>2　</w:t>
      </w:r>
      <w:r>
        <w:rPr>
          <w:rFonts w:hint="eastAsia" w:ascii="Times New Roman" w:hAnsi="Times New Roman"/>
        </w:rPr>
        <w:t>检测设备应采用多个分隔舱，数据采集系统和电池等应分别封装在不同分隔舱内；</w:t>
      </w:r>
    </w:p>
    <w:p w14:paraId="44A707B0">
      <w:pPr>
        <w:pStyle w:val="18"/>
        <w:spacing w:after="0" w:line="360" w:lineRule="auto"/>
        <w:ind w:left="0" w:leftChars="0" w:firstLine="482" w:firstLineChars="200"/>
        <w:rPr>
          <w:rFonts w:ascii="Times New Roman" w:hAnsi="Times New Roman"/>
        </w:rPr>
      </w:pPr>
      <w:r>
        <w:rPr>
          <w:rFonts w:ascii="Times New Roman" w:hAnsi="Times New Roman"/>
          <w:b/>
          <w:bCs/>
        </w:rPr>
        <w:t>3　</w:t>
      </w:r>
      <w:r>
        <w:rPr>
          <w:rFonts w:hint="eastAsia" w:ascii="Times New Roman" w:hAnsi="Times New Roman"/>
        </w:rPr>
        <w:t>各分隔舱之间应使用柔性连接；</w:t>
      </w:r>
    </w:p>
    <w:p w14:paraId="3253AA2D">
      <w:pPr>
        <w:pStyle w:val="18"/>
        <w:spacing w:after="0" w:line="360" w:lineRule="auto"/>
        <w:ind w:left="0" w:leftChars="0" w:firstLine="482" w:firstLineChars="200"/>
        <w:rPr>
          <w:rFonts w:ascii="Times New Roman" w:hAnsi="Times New Roman"/>
        </w:rPr>
      </w:pPr>
      <w:r>
        <w:rPr>
          <w:rFonts w:ascii="Times New Roman" w:hAnsi="Times New Roman"/>
          <w:b/>
          <w:bCs/>
        </w:rPr>
        <w:t>4　</w:t>
      </w:r>
      <w:r>
        <w:rPr>
          <w:rFonts w:hint="eastAsia" w:ascii="Times New Roman" w:hAnsi="Times New Roman"/>
        </w:rPr>
        <w:t>在设备的头部、尾部及各舱之间应设置承推瓣；承推瓣遇到变径、阀门、弯头时应能收拢并通过；承推瓣尺寸、数量、刚度</w:t>
      </w:r>
      <w:r>
        <w:rPr>
          <w:rFonts w:hint="eastAsia"/>
          <w:lang w:eastAsia="zh-CN"/>
        </w:rPr>
        <w:t>宜</w:t>
      </w:r>
      <w:r>
        <w:rPr>
          <w:rFonts w:hint="eastAsia" w:ascii="Times New Roman" w:hAnsi="Times New Roman"/>
        </w:rPr>
        <w:t>根据待检管道直径、流速等确定；</w:t>
      </w:r>
    </w:p>
    <w:p w14:paraId="483F968C">
      <w:pPr>
        <w:pStyle w:val="18"/>
        <w:spacing w:after="0" w:line="360" w:lineRule="auto"/>
        <w:ind w:left="0" w:leftChars="0" w:firstLine="482" w:firstLineChars="200"/>
        <w:rPr>
          <w:rFonts w:ascii="Times New Roman" w:hAnsi="Times New Roman"/>
        </w:rPr>
      </w:pPr>
      <w:r>
        <w:rPr>
          <w:rFonts w:ascii="Times New Roman" w:hAnsi="Times New Roman"/>
          <w:b/>
          <w:bCs/>
        </w:rPr>
        <w:t>5　</w:t>
      </w:r>
      <w:r>
        <w:rPr>
          <w:rFonts w:hint="eastAsia" w:ascii="Times New Roman" w:hAnsi="Times New Roman"/>
        </w:rPr>
        <w:t>检测设备配备的追踪装置持续发出信号</w:t>
      </w:r>
      <w:r>
        <w:rPr>
          <w:rFonts w:hint="eastAsia" w:ascii="Times New Roman" w:hAnsi="Times New Roman"/>
          <w:lang w:eastAsia="zh-CN"/>
        </w:rPr>
        <w:t>时</w:t>
      </w:r>
      <w:r>
        <w:rPr>
          <w:rFonts w:hint="eastAsia" w:ascii="Times New Roman" w:hAnsi="Times New Roman"/>
        </w:rPr>
        <w:t>，可在管外由追踪传感器接收信号对检测设备进行追踪；</w:t>
      </w:r>
    </w:p>
    <w:p w14:paraId="5EC87A88">
      <w:pPr>
        <w:pStyle w:val="18"/>
        <w:spacing w:after="0" w:line="360" w:lineRule="auto"/>
        <w:ind w:left="0" w:leftChars="0" w:firstLine="482" w:firstLineChars="200"/>
        <w:rPr>
          <w:rFonts w:ascii="Times New Roman" w:hAnsi="Times New Roman"/>
        </w:rPr>
      </w:pPr>
      <w:r>
        <w:rPr>
          <w:rFonts w:ascii="Times New Roman" w:hAnsi="Times New Roman"/>
          <w:b/>
          <w:bCs/>
        </w:rPr>
        <w:t>6　</w:t>
      </w:r>
      <w:r>
        <w:rPr>
          <w:rFonts w:hint="eastAsia" w:ascii="Times New Roman" w:hAnsi="Times New Roman"/>
        </w:rPr>
        <w:t>除分隔仓内主接收线圈外，应在承推瓣上安装多个辅助接收线圈，辅助接收线圈数量</w:t>
      </w:r>
      <w:r>
        <w:rPr>
          <w:rFonts w:hint="eastAsia"/>
          <w:lang w:eastAsia="zh-CN"/>
        </w:rPr>
        <w:t>宜</w:t>
      </w:r>
      <w:r>
        <w:rPr>
          <w:rFonts w:hint="eastAsia" w:ascii="Times New Roman" w:hAnsi="Times New Roman"/>
        </w:rPr>
        <w:t>按管径确定；</w:t>
      </w:r>
    </w:p>
    <w:p w14:paraId="69CF9D08">
      <w:pPr>
        <w:pStyle w:val="18"/>
        <w:spacing w:after="0" w:line="360" w:lineRule="auto"/>
        <w:ind w:left="0" w:leftChars="0" w:firstLine="482" w:firstLineChars="200"/>
        <w:rPr>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7　</w:t>
      </w:r>
      <w:r>
        <w:rPr>
          <w:rFonts w:hint="eastAsia"/>
          <w:color w:val="000000" w:themeColor="text1"/>
          <w14:textFill>
            <w14:solidFill>
              <w14:schemeClr w14:val="tx1"/>
            </w14:solidFill>
          </w14:textFill>
        </w:rPr>
        <w:t>数据采集系统应具有实时采集数据、定时采集数据和存储数据等功能；</w:t>
      </w:r>
    </w:p>
    <w:p w14:paraId="527209BD">
      <w:pPr>
        <w:pStyle w:val="18"/>
        <w:spacing w:after="0" w:line="360" w:lineRule="auto"/>
        <w:ind w:left="0" w:leftChars="0" w:firstLine="482" w:firstLineChars="200"/>
        <w:rPr>
          <w:rFonts w:ascii="Times New Roman" w:hAnsi="Times New Roman"/>
        </w:rPr>
      </w:pPr>
      <w:r>
        <w:rPr>
          <w:rFonts w:ascii="Times New Roman" w:hAnsi="Times New Roman"/>
          <w:b/>
          <w:bCs/>
        </w:rPr>
        <w:t>8　</w:t>
      </w:r>
      <w:r>
        <w:rPr>
          <w:rFonts w:hint="eastAsia" w:ascii="Times New Roman" w:hAnsi="Times New Roman"/>
        </w:rPr>
        <w:t>设备电池</w:t>
      </w:r>
      <w:r>
        <w:rPr>
          <w:rFonts w:hint="eastAsia"/>
          <w:lang w:eastAsia="zh-CN"/>
        </w:rPr>
        <w:t>应</w:t>
      </w:r>
      <w:r>
        <w:rPr>
          <w:rFonts w:hint="eastAsia" w:ascii="Times New Roman" w:hAnsi="Times New Roman"/>
        </w:rPr>
        <w:t>支持不小于</w:t>
      </w:r>
      <w:r>
        <w:rPr>
          <w:rFonts w:ascii="Times New Roman" w:hAnsi="Times New Roman"/>
        </w:rPr>
        <w:t>30</w:t>
      </w:r>
      <w:r>
        <w:rPr>
          <w:rFonts w:hint="eastAsia" w:ascii="Times New Roman" w:hAnsi="Times New Roman"/>
        </w:rPr>
        <w:t>h的连续检测；</w:t>
      </w:r>
    </w:p>
    <w:p w14:paraId="7C190B83">
      <w:pPr>
        <w:pStyle w:val="18"/>
        <w:spacing w:after="0" w:line="360" w:lineRule="auto"/>
        <w:ind w:left="0" w:leftChars="0" w:firstLine="482" w:firstLineChars="200"/>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9　</w:t>
      </w:r>
      <w:r>
        <w:rPr>
          <w:rFonts w:hint="eastAsia" w:ascii="Times New Roman" w:hAnsi="Times New Roman"/>
          <w:color w:val="000000" w:themeColor="text1"/>
          <w14:textFill>
            <w14:solidFill>
              <w14:schemeClr w14:val="tx1"/>
            </w14:solidFill>
          </w14:textFill>
        </w:rPr>
        <w:t>检测设备宜加装摄像头及剖面仪。</w:t>
      </w:r>
    </w:p>
    <w:p w14:paraId="29305F12">
      <w:pPr>
        <w:rPr>
          <w:rFonts w:eastAsia="宋体" w:cs="Times New Roman"/>
        </w:rPr>
      </w:pPr>
      <w:r>
        <w:rPr>
          <w:rFonts w:eastAsia="宋体" w:cs="Times New Roman"/>
          <w:b/>
          <w:bCs/>
        </w:rPr>
        <w:t>7</w:t>
      </w:r>
      <w:r>
        <w:rPr>
          <w:rFonts w:hint="eastAsia" w:eastAsia="宋体" w:cs="Times New Roman"/>
          <w:b/>
          <w:bCs/>
        </w:rPr>
        <w:t>.2.2　</w:t>
      </w:r>
      <w:r>
        <w:rPr>
          <w:rFonts w:hint="eastAsia" w:eastAsia="宋体" w:cs="Times New Roman"/>
        </w:rPr>
        <w:t>停水检测设备性能</w:t>
      </w:r>
      <w:r>
        <w:rPr>
          <w:rFonts w:hint="eastAsia"/>
        </w:rPr>
        <w:t>应符合下列规定</w:t>
      </w:r>
      <w:r>
        <w:rPr>
          <w:rFonts w:hint="eastAsia" w:eastAsia="宋体" w:cs="Times New Roman"/>
        </w:rPr>
        <w:t>：</w:t>
      </w:r>
    </w:p>
    <w:p w14:paraId="16CFF921">
      <w:pPr>
        <w:pStyle w:val="18"/>
        <w:spacing w:after="0" w:line="360" w:lineRule="auto"/>
        <w:ind w:left="0" w:leftChars="0" w:firstLine="482" w:firstLineChars="200"/>
        <w:rPr>
          <w:rFonts w:ascii="Times New Roman" w:hAnsi="Times New Roman"/>
        </w:rPr>
      </w:pPr>
      <w:r>
        <w:rPr>
          <w:rFonts w:ascii="Times New Roman" w:hAnsi="Times New Roman"/>
          <w:b/>
          <w:bCs/>
        </w:rPr>
        <w:t>1　</w:t>
      </w:r>
      <w:r>
        <w:rPr>
          <w:rFonts w:hint="eastAsia" w:ascii="Times New Roman" w:hAnsi="Times New Roman"/>
        </w:rPr>
        <w:t>检测系统应由数据采集系统、数据分析处理软件和移动平台等组成；</w:t>
      </w:r>
    </w:p>
    <w:p w14:paraId="5DBBB902">
      <w:pPr>
        <w:pStyle w:val="18"/>
        <w:spacing w:after="0" w:line="360" w:lineRule="auto"/>
        <w:ind w:left="0" w:leftChars="0" w:firstLine="482" w:firstLineChars="200"/>
      </w:pPr>
      <w:r>
        <w:rPr>
          <w:rFonts w:hint="eastAsia" w:ascii="Times New Roman" w:hAnsi="Times New Roman"/>
          <w:b/>
          <w:bCs/>
        </w:rPr>
        <w:t>2　</w:t>
      </w:r>
      <w:r>
        <w:rPr>
          <w:rFonts w:hint="eastAsia"/>
        </w:rPr>
        <w:t>数据采集系统可根据检测现场需求调整发射信号幅度、频率、相位和接收信号放大倍数；</w:t>
      </w:r>
    </w:p>
    <w:p w14:paraId="380A1DB9">
      <w:pPr>
        <w:pStyle w:val="18"/>
        <w:spacing w:after="0" w:line="360" w:lineRule="auto"/>
        <w:ind w:left="0" w:leftChars="0" w:firstLine="482" w:firstLineChars="200"/>
      </w:pPr>
      <w:r>
        <w:rPr>
          <w:rFonts w:ascii="Times New Roman" w:hAnsi="Times New Roman"/>
          <w:b/>
          <w:bCs/>
        </w:rPr>
        <w:t>3　</w:t>
      </w:r>
      <w:r>
        <w:rPr>
          <w:rFonts w:hint="eastAsia"/>
        </w:rPr>
        <w:t>应根据数据标定曲线分析断丝；</w:t>
      </w:r>
    </w:p>
    <w:p w14:paraId="2AD8A534">
      <w:pPr>
        <w:pStyle w:val="18"/>
        <w:spacing w:after="0" w:line="360" w:lineRule="auto"/>
        <w:ind w:left="0" w:leftChars="0" w:firstLine="482" w:firstLineChars="200"/>
        <w:rPr>
          <w:rFonts w:ascii="Times New Roman" w:hAnsi="Times New Roman"/>
          <w:b/>
          <w:bCs/>
        </w:rPr>
      </w:pPr>
      <w:r>
        <w:rPr>
          <w:rFonts w:ascii="Times New Roman" w:hAnsi="Times New Roman"/>
          <w:b/>
          <w:bCs/>
        </w:rPr>
        <w:t>4　</w:t>
      </w:r>
      <w:r>
        <w:rPr>
          <w:rFonts w:hint="eastAsia"/>
        </w:rPr>
        <w:t>检测系统应配备里程计</w:t>
      </w:r>
      <w:r>
        <w:rPr>
          <w:rFonts w:hint="eastAsia"/>
          <w:lang w:eastAsia="zh-CN"/>
        </w:rPr>
        <w:t>并</w:t>
      </w:r>
      <w:r>
        <w:rPr>
          <w:rFonts w:hint="eastAsia"/>
        </w:rPr>
        <w:t>应在检测过程中同步校准。</w:t>
      </w:r>
    </w:p>
    <w:p w14:paraId="0C41DB9F">
      <w:r>
        <w:rPr>
          <w:rFonts w:hint="eastAsia"/>
          <w:b/>
          <w:bCs/>
        </w:rPr>
        <w:t>7.2.3　</w:t>
      </w:r>
      <w:r>
        <w:rPr>
          <w:rFonts w:hint="eastAsia"/>
        </w:rPr>
        <w:t>带压电磁检测设备技术指标应符合表7.2.3的规定。</w:t>
      </w:r>
    </w:p>
    <w:p w14:paraId="5D2334C1">
      <w:pPr>
        <w:pStyle w:val="105"/>
        <w:ind w:left="480"/>
      </w:pPr>
      <w:r>
        <w:rPr>
          <w:rFonts w:hint="eastAsia"/>
        </w:rPr>
        <w:t>表7.2.3　带压电磁检测设备技术指标</w:t>
      </w:r>
    </w:p>
    <w:tbl>
      <w:tblPr>
        <w:tblStyle w:val="29"/>
        <w:tblW w:w="79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5723"/>
      </w:tblGrid>
      <w:tr w14:paraId="211B6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14:paraId="54E33AA1">
            <w:pPr>
              <w:pStyle w:val="106"/>
              <w:rPr>
                <w:szCs w:val="21"/>
              </w:rPr>
            </w:pPr>
            <w:r>
              <w:rPr>
                <w:rFonts w:hint="eastAsia"/>
                <w:szCs w:val="21"/>
              </w:rPr>
              <w:t>项目</w:t>
            </w:r>
          </w:p>
        </w:tc>
        <w:tc>
          <w:tcPr>
            <w:tcW w:w="5723" w:type="dxa"/>
            <w:tcBorders>
              <w:tl2br w:val="nil"/>
              <w:tr2bl w:val="nil"/>
            </w:tcBorders>
            <w:shd w:val="clear" w:color="auto" w:fill="auto"/>
            <w:noWrap/>
            <w:vAlign w:val="center"/>
          </w:tcPr>
          <w:p w14:paraId="714037F0">
            <w:pPr>
              <w:pStyle w:val="106"/>
              <w:rPr>
                <w:szCs w:val="21"/>
              </w:rPr>
            </w:pPr>
            <w:r>
              <w:rPr>
                <w:rFonts w:hint="eastAsia"/>
                <w:szCs w:val="21"/>
              </w:rPr>
              <w:t>技术指标</w:t>
            </w:r>
          </w:p>
        </w:tc>
      </w:tr>
      <w:tr w14:paraId="470D4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14:paraId="5E2D925E">
            <w:pPr>
              <w:pStyle w:val="106"/>
              <w:widowControl/>
              <w:rPr>
                <w:szCs w:val="21"/>
              </w:rPr>
            </w:pPr>
            <w:r>
              <w:rPr>
                <w:rFonts w:hint="eastAsia"/>
                <w:szCs w:val="21"/>
              </w:rPr>
              <w:t>适用管径</w:t>
            </w:r>
          </w:p>
        </w:tc>
        <w:tc>
          <w:tcPr>
            <w:tcW w:w="5723" w:type="dxa"/>
            <w:tcBorders>
              <w:tl2br w:val="nil"/>
              <w:tr2bl w:val="nil"/>
            </w:tcBorders>
            <w:shd w:val="clear" w:color="auto" w:fill="auto"/>
            <w:noWrap/>
            <w:vAlign w:val="center"/>
          </w:tcPr>
          <w:p w14:paraId="06452D2F">
            <w:pPr>
              <w:pStyle w:val="106"/>
              <w:widowControl/>
              <w:rPr>
                <w:szCs w:val="21"/>
              </w:rPr>
            </w:pPr>
            <w:r>
              <w:rPr>
                <w:rFonts w:hint="eastAsia"/>
                <w:szCs w:val="21"/>
              </w:rPr>
              <w:t>≥</w:t>
            </w:r>
            <w:r>
              <w:rPr>
                <w:szCs w:val="21"/>
              </w:rPr>
              <w:t>400mm</w:t>
            </w:r>
          </w:p>
        </w:tc>
      </w:tr>
      <w:tr w14:paraId="56846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14:paraId="1BE112AF">
            <w:pPr>
              <w:pStyle w:val="106"/>
              <w:widowControl/>
              <w:rPr>
                <w:szCs w:val="21"/>
              </w:rPr>
            </w:pPr>
            <w:r>
              <w:rPr>
                <w:rFonts w:hint="eastAsia"/>
                <w:szCs w:val="21"/>
              </w:rPr>
              <w:t>适用最大管内流速</w:t>
            </w:r>
          </w:p>
        </w:tc>
        <w:tc>
          <w:tcPr>
            <w:tcW w:w="5723" w:type="dxa"/>
            <w:tcBorders>
              <w:tl2br w:val="nil"/>
              <w:tr2bl w:val="nil"/>
            </w:tcBorders>
            <w:shd w:val="clear" w:color="auto" w:fill="auto"/>
            <w:noWrap/>
            <w:vAlign w:val="center"/>
          </w:tcPr>
          <w:p w14:paraId="1AAE5158">
            <w:pPr>
              <w:pStyle w:val="106"/>
              <w:widowControl/>
              <w:rPr>
                <w:szCs w:val="21"/>
              </w:rPr>
            </w:pPr>
            <w:r>
              <w:rPr>
                <w:rFonts w:hint="eastAsia"/>
                <w:szCs w:val="21"/>
              </w:rPr>
              <w:t>0.</w:t>
            </w:r>
            <w:r>
              <w:rPr>
                <w:szCs w:val="21"/>
              </w:rPr>
              <w:t>90</w:t>
            </w:r>
            <w:r>
              <w:rPr>
                <w:rFonts w:hint="eastAsia"/>
                <w:szCs w:val="21"/>
              </w:rPr>
              <w:t>m/s</w:t>
            </w:r>
          </w:p>
        </w:tc>
      </w:tr>
      <w:tr w14:paraId="04AAE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14:paraId="1CA8885C">
            <w:pPr>
              <w:pStyle w:val="106"/>
              <w:widowControl/>
              <w:rPr>
                <w:szCs w:val="21"/>
              </w:rPr>
            </w:pPr>
            <w:r>
              <w:rPr>
                <w:rFonts w:hint="eastAsia"/>
                <w:szCs w:val="21"/>
              </w:rPr>
              <w:t>适用最小管内流速</w:t>
            </w:r>
          </w:p>
        </w:tc>
        <w:tc>
          <w:tcPr>
            <w:tcW w:w="5723" w:type="dxa"/>
            <w:tcBorders>
              <w:tl2br w:val="nil"/>
              <w:tr2bl w:val="nil"/>
            </w:tcBorders>
            <w:shd w:val="clear" w:color="auto" w:fill="auto"/>
            <w:noWrap/>
            <w:vAlign w:val="center"/>
          </w:tcPr>
          <w:p w14:paraId="20D48B4F">
            <w:pPr>
              <w:pStyle w:val="106"/>
              <w:widowControl/>
              <w:rPr>
                <w:szCs w:val="21"/>
              </w:rPr>
            </w:pPr>
            <w:r>
              <w:rPr>
                <w:rFonts w:hint="eastAsia"/>
                <w:szCs w:val="21"/>
              </w:rPr>
              <w:t>0.</w:t>
            </w:r>
            <w:r>
              <w:rPr>
                <w:szCs w:val="21"/>
              </w:rPr>
              <w:t>15</w:t>
            </w:r>
            <w:r>
              <w:rPr>
                <w:rFonts w:hint="eastAsia"/>
                <w:szCs w:val="21"/>
              </w:rPr>
              <w:t>m/s</w:t>
            </w:r>
          </w:p>
        </w:tc>
      </w:tr>
      <w:tr w14:paraId="3FC26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14:paraId="3D916D25">
            <w:pPr>
              <w:pStyle w:val="106"/>
              <w:widowControl/>
              <w:rPr>
                <w:szCs w:val="21"/>
              </w:rPr>
            </w:pPr>
            <w:r>
              <w:rPr>
                <w:rFonts w:hint="eastAsia"/>
                <w:szCs w:val="21"/>
              </w:rPr>
              <w:t>适用最大管压</w:t>
            </w:r>
          </w:p>
        </w:tc>
        <w:tc>
          <w:tcPr>
            <w:tcW w:w="5723" w:type="dxa"/>
            <w:tcBorders>
              <w:tl2br w:val="nil"/>
              <w:tr2bl w:val="nil"/>
            </w:tcBorders>
            <w:shd w:val="clear" w:color="auto" w:fill="auto"/>
            <w:noWrap/>
            <w:vAlign w:val="center"/>
          </w:tcPr>
          <w:p w14:paraId="00544871">
            <w:pPr>
              <w:pStyle w:val="106"/>
              <w:widowControl/>
              <w:rPr>
                <w:szCs w:val="21"/>
              </w:rPr>
            </w:pPr>
            <w:r>
              <w:rPr>
                <w:rFonts w:hint="eastAsia"/>
                <w:szCs w:val="21"/>
              </w:rPr>
              <w:t>2MPa</w:t>
            </w:r>
          </w:p>
        </w:tc>
      </w:tr>
      <w:tr w14:paraId="225EB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14:paraId="77CD4F37">
            <w:pPr>
              <w:pStyle w:val="106"/>
              <w:widowControl/>
              <w:rPr>
                <w:szCs w:val="21"/>
              </w:rPr>
            </w:pPr>
            <w:r>
              <w:rPr>
                <w:rFonts w:hint="eastAsia"/>
                <w:szCs w:val="21"/>
              </w:rPr>
              <w:t>可通过管内结构</w:t>
            </w:r>
          </w:p>
        </w:tc>
        <w:tc>
          <w:tcPr>
            <w:tcW w:w="5723" w:type="dxa"/>
            <w:tcBorders>
              <w:tl2br w:val="nil"/>
              <w:tr2bl w:val="nil"/>
            </w:tcBorders>
            <w:shd w:val="clear" w:color="auto" w:fill="auto"/>
            <w:noWrap/>
            <w:vAlign w:val="center"/>
          </w:tcPr>
          <w:p w14:paraId="5482E10E">
            <w:pPr>
              <w:pStyle w:val="106"/>
              <w:widowControl/>
              <w:rPr>
                <w:szCs w:val="21"/>
              </w:rPr>
            </w:pPr>
            <w:r>
              <w:rPr>
                <w:rFonts w:hint="eastAsia"/>
                <w:szCs w:val="21"/>
              </w:rPr>
              <w:t>蝶阀，球阀，闸阀，水平弯管，竖直弯管，变径管段</w:t>
            </w:r>
          </w:p>
        </w:tc>
      </w:tr>
      <w:tr w14:paraId="4D2C4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14:paraId="6DBC8FA5">
            <w:pPr>
              <w:pStyle w:val="106"/>
              <w:widowControl/>
              <w:rPr>
                <w:szCs w:val="21"/>
              </w:rPr>
            </w:pPr>
            <w:r>
              <w:rPr>
                <w:rFonts w:hint="eastAsia"/>
                <w:szCs w:val="21"/>
              </w:rPr>
              <w:t>可通过蝶阀最小尺寸</w:t>
            </w:r>
          </w:p>
        </w:tc>
        <w:tc>
          <w:tcPr>
            <w:tcW w:w="5723" w:type="dxa"/>
            <w:tcBorders>
              <w:tl2br w:val="nil"/>
              <w:tr2bl w:val="nil"/>
            </w:tcBorders>
            <w:shd w:val="clear" w:color="auto" w:fill="auto"/>
            <w:noWrap/>
            <w:vAlign w:val="center"/>
          </w:tcPr>
          <w:p w14:paraId="6FA377B9">
            <w:pPr>
              <w:pStyle w:val="106"/>
              <w:widowControl/>
              <w:rPr>
                <w:szCs w:val="21"/>
              </w:rPr>
            </w:pPr>
            <w:r>
              <w:rPr>
                <w:rFonts w:hint="eastAsia"/>
                <w:szCs w:val="21"/>
              </w:rPr>
              <w:t>600mm</w:t>
            </w:r>
          </w:p>
        </w:tc>
      </w:tr>
      <w:tr w14:paraId="3F421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14:paraId="1DAD8866">
            <w:pPr>
              <w:pStyle w:val="106"/>
              <w:widowControl/>
              <w:rPr>
                <w:szCs w:val="21"/>
              </w:rPr>
            </w:pPr>
            <w:r>
              <w:rPr>
                <w:rFonts w:hint="eastAsia"/>
                <w:szCs w:val="21"/>
              </w:rPr>
              <w:t>可通过最大弯角</w:t>
            </w:r>
          </w:p>
        </w:tc>
        <w:tc>
          <w:tcPr>
            <w:tcW w:w="5723" w:type="dxa"/>
            <w:tcBorders>
              <w:tl2br w:val="nil"/>
              <w:tr2bl w:val="nil"/>
            </w:tcBorders>
            <w:shd w:val="clear" w:color="auto" w:fill="auto"/>
            <w:noWrap/>
            <w:vAlign w:val="center"/>
          </w:tcPr>
          <w:p w14:paraId="72925254">
            <w:pPr>
              <w:pStyle w:val="106"/>
              <w:widowControl/>
              <w:rPr>
                <w:szCs w:val="21"/>
              </w:rPr>
            </w:pPr>
            <w:r>
              <w:rPr>
                <w:rFonts w:hint="eastAsia"/>
                <w:szCs w:val="21"/>
              </w:rPr>
              <w:t>90°（在DN</w:t>
            </w:r>
            <w:r>
              <w:rPr>
                <w:szCs w:val="21"/>
              </w:rPr>
              <w:t>450</w:t>
            </w:r>
            <w:r>
              <w:rPr>
                <w:rFonts w:hint="eastAsia"/>
                <w:szCs w:val="21"/>
              </w:rPr>
              <w:t>以上口径管道中）</w:t>
            </w:r>
          </w:p>
        </w:tc>
      </w:tr>
      <w:tr w14:paraId="7B2B1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14:paraId="5962C039">
            <w:pPr>
              <w:pStyle w:val="106"/>
              <w:widowControl/>
              <w:rPr>
                <w:szCs w:val="21"/>
              </w:rPr>
            </w:pPr>
            <w:r>
              <w:rPr>
                <w:rFonts w:hint="eastAsia"/>
                <w:szCs w:val="21"/>
              </w:rPr>
              <w:t>适用管道坡度</w:t>
            </w:r>
          </w:p>
        </w:tc>
        <w:tc>
          <w:tcPr>
            <w:tcW w:w="5723" w:type="dxa"/>
            <w:tcBorders>
              <w:tl2br w:val="nil"/>
              <w:tr2bl w:val="nil"/>
            </w:tcBorders>
            <w:shd w:val="clear" w:color="auto" w:fill="auto"/>
            <w:noWrap/>
            <w:vAlign w:val="center"/>
          </w:tcPr>
          <w:p w14:paraId="02D7B57A">
            <w:pPr>
              <w:pStyle w:val="106"/>
              <w:widowControl/>
              <w:rPr>
                <w:szCs w:val="21"/>
              </w:rPr>
            </w:pPr>
            <w:r>
              <w:rPr>
                <w:rFonts w:hint="eastAsia"/>
                <w:szCs w:val="21"/>
              </w:rPr>
              <w:t>无限制</w:t>
            </w:r>
          </w:p>
        </w:tc>
      </w:tr>
      <w:tr w14:paraId="549D4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14:paraId="2E47FF73">
            <w:pPr>
              <w:pStyle w:val="106"/>
              <w:widowControl/>
              <w:rPr>
                <w:szCs w:val="21"/>
              </w:rPr>
            </w:pPr>
            <w:r>
              <w:rPr>
                <w:rFonts w:hint="eastAsia"/>
                <w:szCs w:val="21"/>
              </w:rPr>
              <w:t>投放口口径</w:t>
            </w:r>
          </w:p>
        </w:tc>
        <w:tc>
          <w:tcPr>
            <w:tcW w:w="5723" w:type="dxa"/>
            <w:tcBorders>
              <w:tl2br w:val="nil"/>
              <w:tr2bl w:val="nil"/>
            </w:tcBorders>
            <w:shd w:val="clear" w:color="auto" w:fill="auto"/>
            <w:noWrap/>
            <w:vAlign w:val="center"/>
          </w:tcPr>
          <w:p w14:paraId="7E54D019">
            <w:pPr>
              <w:pStyle w:val="106"/>
              <w:widowControl/>
              <w:rPr>
                <w:szCs w:val="21"/>
              </w:rPr>
            </w:pPr>
            <w:r>
              <w:rPr>
                <w:rFonts w:hint="eastAsia"/>
                <w:szCs w:val="21"/>
              </w:rPr>
              <w:t>直径≥</w:t>
            </w:r>
            <w:r>
              <w:rPr>
                <w:szCs w:val="21"/>
              </w:rPr>
              <w:t>400mm</w:t>
            </w:r>
          </w:p>
        </w:tc>
      </w:tr>
      <w:tr w14:paraId="45C82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14:paraId="54DD5570">
            <w:pPr>
              <w:pStyle w:val="106"/>
              <w:widowControl/>
              <w:rPr>
                <w:szCs w:val="21"/>
              </w:rPr>
            </w:pPr>
            <w:r>
              <w:rPr>
                <w:rFonts w:hint="eastAsia"/>
                <w:szCs w:val="21"/>
              </w:rPr>
              <w:t>回收口口径</w:t>
            </w:r>
          </w:p>
        </w:tc>
        <w:tc>
          <w:tcPr>
            <w:tcW w:w="5723" w:type="dxa"/>
            <w:tcBorders>
              <w:tl2br w:val="nil"/>
              <w:tr2bl w:val="nil"/>
            </w:tcBorders>
            <w:shd w:val="clear" w:color="auto" w:fill="auto"/>
            <w:noWrap/>
            <w:vAlign w:val="center"/>
          </w:tcPr>
          <w:p w14:paraId="747AF090">
            <w:pPr>
              <w:pStyle w:val="106"/>
              <w:widowControl/>
              <w:rPr>
                <w:szCs w:val="21"/>
              </w:rPr>
            </w:pPr>
            <w:r>
              <w:rPr>
                <w:rFonts w:hint="eastAsia"/>
                <w:szCs w:val="21"/>
              </w:rPr>
              <w:t>直径≥</w:t>
            </w:r>
            <w:r>
              <w:rPr>
                <w:szCs w:val="21"/>
              </w:rPr>
              <w:t>400mm</w:t>
            </w:r>
          </w:p>
        </w:tc>
      </w:tr>
      <w:tr w14:paraId="4A613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14:paraId="38FA22F2">
            <w:pPr>
              <w:pStyle w:val="106"/>
              <w:widowControl/>
              <w:rPr>
                <w:szCs w:val="21"/>
              </w:rPr>
            </w:pPr>
            <w:r>
              <w:rPr>
                <w:rFonts w:hint="eastAsia"/>
                <w:szCs w:val="21"/>
              </w:rPr>
              <w:t>设备电池寿命</w:t>
            </w:r>
          </w:p>
        </w:tc>
        <w:tc>
          <w:tcPr>
            <w:tcW w:w="5723" w:type="dxa"/>
            <w:tcBorders>
              <w:tl2br w:val="nil"/>
              <w:tr2bl w:val="nil"/>
            </w:tcBorders>
            <w:shd w:val="clear" w:color="auto" w:fill="auto"/>
            <w:vAlign w:val="center"/>
          </w:tcPr>
          <w:p w14:paraId="391018C7">
            <w:pPr>
              <w:pStyle w:val="106"/>
              <w:widowControl/>
              <w:rPr>
                <w:szCs w:val="21"/>
              </w:rPr>
            </w:pPr>
            <w:r>
              <w:rPr>
                <w:rFonts w:hint="eastAsia"/>
                <w:szCs w:val="21"/>
              </w:rPr>
              <w:t>≥</w:t>
            </w:r>
            <w:r>
              <w:rPr>
                <w:szCs w:val="21"/>
              </w:rPr>
              <w:t>30h</w:t>
            </w:r>
            <w:r>
              <w:rPr>
                <w:rFonts w:hint="eastAsia"/>
                <w:szCs w:val="21"/>
              </w:rPr>
              <w:t xml:space="preserve"> </w:t>
            </w:r>
          </w:p>
        </w:tc>
      </w:tr>
      <w:tr w14:paraId="36AA1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14:paraId="742831D0">
            <w:pPr>
              <w:pStyle w:val="106"/>
              <w:widowControl/>
              <w:rPr>
                <w:szCs w:val="21"/>
              </w:rPr>
            </w:pPr>
            <w:r>
              <w:rPr>
                <w:rFonts w:hint="eastAsia"/>
                <w:szCs w:val="21"/>
              </w:rPr>
              <w:t>断丝检测精度</w:t>
            </w:r>
          </w:p>
        </w:tc>
        <w:tc>
          <w:tcPr>
            <w:tcW w:w="5723" w:type="dxa"/>
            <w:tcBorders>
              <w:tl2br w:val="nil"/>
              <w:tr2bl w:val="nil"/>
            </w:tcBorders>
            <w:shd w:val="clear" w:color="auto" w:fill="auto"/>
            <w:vAlign w:val="center"/>
          </w:tcPr>
          <w:p w14:paraId="3159A4A2">
            <w:pPr>
              <w:pStyle w:val="106"/>
              <w:widowControl/>
              <w:rPr>
                <w:szCs w:val="21"/>
              </w:rPr>
            </w:pPr>
            <w:r>
              <w:rPr>
                <w:rFonts w:hint="eastAsia"/>
                <w:szCs w:val="21"/>
              </w:rPr>
              <w:t>5根断丝</w:t>
            </w:r>
          </w:p>
        </w:tc>
      </w:tr>
      <w:tr w14:paraId="052CD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7" w:type="dxa"/>
            <w:tcBorders>
              <w:tl2br w:val="nil"/>
              <w:tr2bl w:val="nil"/>
            </w:tcBorders>
            <w:shd w:val="clear" w:color="auto" w:fill="auto"/>
            <w:noWrap/>
            <w:vAlign w:val="center"/>
          </w:tcPr>
          <w:p w14:paraId="3D10BC6D">
            <w:pPr>
              <w:pStyle w:val="106"/>
              <w:widowControl/>
              <w:rPr>
                <w:szCs w:val="21"/>
              </w:rPr>
            </w:pPr>
            <w:r>
              <w:rPr>
                <w:rFonts w:hint="eastAsia"/>
                <w:szCs w:val="21"/>
              </w:rPr>
              <w:t>断丝定位精度</w:t>
            </w:r>
          </w:p>
        </w:tc>
        <w:tc>
          <w:tcPr>
            <w:tcW w:w="5723" w:type="dxa"/>
            <w:tcBorders>
              <w:tl2br w:val="nil"/>
              <w:tr2bl w:val="nil"/>
            </w:tcBorders>
            <w:shd w:val="clear" w:color="auto" w:fill="auto"/>
            <w:vAlign w:val="center"/>
          </w:tcPr>
          <w:p w14:paraId="7062A7AD">
            <w:pPr>
              <w:pStyle w:val="106"/>
              <w:widowControl/>
              <w:rPr>
                <w:szCs w:val="21"/>
              </w:rPr>
            </w:pPr>
            <w:r>
              <w:rPr>
                <w:rFonts w:hint="eastAsia"/>
                <w:szCs w:val="21"/>
              </w:rPr>
              <w:t>±</w:t>
            </w:r>
            <w:r>
              <w:rPr>
                <w:szCs w:val="21"/>
              </w:rPr>
              <w:t>150mm</w:t>
            </w:r>
          </w:p>
        </w:tc>
      </w:tr>
    </w:tbl>
    <w:p w14:paraId="4C253D5A">
      <w:pPr>
        <w:pStyle w:val="18"/>
        <w:ind w:left="0" w:leftChars="0"/>
      </w:pPr>
    </w:p>
    <w:p w14:paraId="2DC18CED">
      <w:r>
        <w:rPr>
          <w:rFonts w:hint="eastAsia"/>
          <w:b/>
          <w:bCs/>
        </w:rPr>
        <w:t>7.2.4　</w:t>
      </w:r>
      <w:r>
        <w:rPr>
          <w:rFonts w:hint="eastAsia" w:eastAsia="宋体" w:cs="Times New Roman"/>
        </w:rPr>
        <w:t>停水电磁</w:t>
      </w:r>
      <w:r>
        <w:rPr>
          <w:rFonts w:hint="eastAsia"/>
        </w:rPr>
        <w:t>检测设备技术指标应符合表7.2.4的规定。</w:t>
      </w:r>
    </w:p>
    <w:p w14:paraId="6FD3FAFD">
      <w:pPr>
        <w:pStyle w:val="105"/>
        <w:ind w:left="480"/>
      </w:pPr>
      <w:r>
        <w:rPr>
          <w:rFonts w:hint="eastAsia"/>
        </w:rPr>
        <w:t>表7.2.4　停水电磁检测设备技术指标</w:t>
      </w:r>
    </w:p>
    <w:tbl>
      <w:tblPr>
        <w:tblStyle w:val="29"/>
        <w:tblW w:w="7960" w:type="dxa"/>
        <w:jc w:val="center"/>
        <w:tblLayout w:type="autofit"/>
        <w:tblCellMar>
          <w:top w:w="0" w:type="dxa"/>
          <w:left w:w="108" w:type="dxa"/>
          <w:bottom w:w="0" w:type="dxa"/>
          <w:right w:w="108" w:type="dxa"/>
        </w:tblCellMar>
      </w:tblPr>
      <w:tblGrid>
        <w:gridCol w:w="2237"/>
        <w:gridCol w:w="5723"/>
      </w:tblGrid>
      <w:tr w14:paraId="723737B6">
        <w:tblPrEx>
          <w:tblCellMar>
            <w:top w:w="0" w:type="dxa"/>
            <w:left w:w="108" w:type="dxa"/>
            <w:bottom w:w="0" w:type="dxa"/>
            <w:right w:w="108" w:type="dxa"/>
          </w:tblCellMar>
        </w:tblPrEx>
        <w:trPr>
          <w:trHeight w:val="397" w:hRule="atLeast"/>
          <w:jc w:val="center"/>
        </w:trPr>
        <w:tc>
          <w:tcPr>
            <w:tcW w:w="2237" w:type="dxa"/>
            <w:tcBorders>
              <w:top w:val="single" w:color="auto" w:sz="12" w:space="0"/>
              <w:left w:val="single" w:color="auto" w:sz="12" w:space="0"/>
              <w:bottom w:val="single" w:color="auto" w:sz="4" w:space="0"/>
              <w:right w:val="single" w:color="auto" w:sz="4" w:space="0"/>
            </w:tcBorders>
            <w:shd w:val="clear" w:color="auto" w:fill="auto"/>
            <w:noWrap/>
            <w:vAlign w:val="center"/>
          </w:tcPr>
          <w:p w14:paraId="635101A1">
            <w:pPr>
              <w:pStyle w:val="106"/>
              <w:rPr>
                <w:szCs w:val="21"/>
              </w:rPr>
            </w:pPr>
            <w:r>
              <w:rPr>
                <w:rFonts w:hint="eastAsia"/>
                <w:szCs w:val="21"/>
              </w:rPr>
              <w:t>项目</w:t>
            </w:r>
          </w:p>
        </w:tc>
        <w:tc>
          <w:tcPr>
            <w:tcW w:w="5723" w:type="dxa"/>
            <w:tcBorders>
              <w:top w:val="single" w:color="auto" w:sz="12" w:space="0"/>
              <w:left w:val="single" w:color="auto" w:sz="4" w:space="0"/>
              <w:bottom w:val="single" w:color="auto" w:sz="4" w:space="0"/>
              <w:right w:val="single" w:color="auto" w:sz="12" w:space="0"/>
            </w:tcBorders>
            <w:shd w:val="clear" w:color="auto" w:fill="auto"/>
            <w:noWrap/>
            <w:vAlign w:val="center"/>
          </w:tcPr>
          <w:p w14:paraId="763FA9F3">
            <w:pPr>
              <w:pStyle w:val="106"/>
              <w:rPr>
                <w:szCs w:val="21"/>
              </w:rPr>
            </w:pPr>
            <w:r>
              <w:rPr>
                <w:rFonts w:hint="eastAsia"/>
                <w:szCs w:val="21"/>
              </w:rPr>
              <w:t>技术指标</w:t>
            </w:r>
          </w:p>
        </w:tc>
      </w:tr>
      <w:tr w14:paraId="3C8F5308">
        <w:tblPrEx>
          <w:tblCellMar>
            <w:top w:w="0" w:type="dxa"/>
            <w:left w:w="108" w:type="dxa"/>
            <w:bottom w:w="0" w:type="dxa"/>
            <w:right w:w="108" w:type="dxa"/>
          </w:tblCellMar>
        </w:tblPrEx>
        <w:trPr>
          <w:trHeight w:val="397" w:hRule="atLeast"/>
          <w:jc w:val="center"/>
        </w:trPr>
        <w:tc>
          <w:tcPr>
            <w:tcW w:w="2237"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3EB76664">
            <w:pPr>
              <w:pStyle w:val="106"/>
              <w:rPr>
                <w:szCs w:val="21"/>
              </w:rPr>
            </w:pPr>
            <w:r>
              <w:rPr>
                <w:rFonts w:hint="eastAsia"/>
                <w:szCs w:val="21"/>
              </w:rPr>
              <w:t>适用管径</w:t>
            </w:r>
          </w:p>
        </w:tc>
        <w:tc>
          <w:tcPr>
            <w:tcW w:w="5723"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6012EA0">
            <w:pPr>
              <w:pStyle w:val="106"/>
              <w:rPr>
                <w:szCs w:val="21"/>
              </w:rPr>
            </w:pPr>
            <w:r>
              <w:rPr>
                <w:rFonts w:hint="eastAsia"/>
                <w:szCs w:val="21"/>
              </w:rPr>
              <w:t>≥1200</w:t>
            </w:r>
            <w:r>
              <w:rPr>
                <w:szCs w:val="21"/>
              </w:rPr>
              <w:t>mm</w:t>
            </w:r>
          </w:p>
        </w:tc>
      </w:tr>
      <w:tr w14:paraId="5C6E2BFA">
        <w:tblPrEx>
          <w:tblCellMar>
            <w:top w:w="0" w:type="dxa"/>
            <w:left w:w="108" w:type="dxa"/>
            <w:bottom w:w="0" w:type="dxa"/>
            <w:right w:w="108" w:type="dxa"/>
          </w:tblCellMar>
        </w:tblPrEx>
        <w:trPr>
          <w:trHeight w:val="397" w:hRule="atLeast"/>
          <w:jc w:val="center"/>
        </w:trPr>
        <w:tc>
          <w:tcPr>
            <w:tcW w:w="2237"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74237284">
            <w:pPr>
              <w:pStyle w:val="106"/>
              <w:rPr>
                <w:szCs w:val="21"/>
              </w:rPr>
            </w:pPr>
            <w:r>
              <w:rPr>
                <w:rFonts w:hint="eastAsia"/>
                <w:szCs w:val="21"/>
              </w:rPr>
              <w:t>适用温度</w:t>
            </w:r>
          </w:p>
        </w:tc>
        <w:tc>
          <w:tcPr>
            <w:tcW w:w="5723"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BECC09D">
            <w:pPr>
              <w:pStyle w:val="106"/>
              <w:rPr>
                <w:szCs w:val="21"/>
              </w:rPr>
            </w:pPr>
            <w:r>
              <w:rPr>
                <w:rFonts w:hint="eastAsia"/>
                <w:szCs w:val="21"/>
              </w:rPr>
              <w:t>-10℃～48℃</w:t>
            </w:r>
          </w:p>
        </w:tc>
      </w:tr>
      <w:tr w14:paraId="16DB2B8C">
        <w:tblPrEx>
          <w:tblCellMar>
            <w:top w:w="0" w:type="dxa"/>
            <w:left w:w="108" w:type="dxa"/>
            <w:bottom w:w="0" w:type="dxa"/>
            <w:right w:w="108" w:type="dxa"/>
          </w:tblCellMar>
        </w:tblPrEx>
        <w:trPr>
          <w:trHeight w:val="397" w:hRule="atLeast"/>
          <w:jc w:val="center"/>
        </w:trPr>
        <w:tc>
          <w:tcPr>
            <w:tcW w:w="2237"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41AA544D">
            <w:pPr>
              <w:pStyle w:val="106"/>
              <w:rPr>
                <w:szCs w:val="21"/>
              </w:rPr>
            </w:pPr>
            <w:r>
              <w:rPr>
                <w:rFonts w:hint="eastAsia"/>
                <w:szCs w:val="21"/>
              </w:rPr>
              <w:t>适用湿度</w:t>
            </w:r>
          </w:p>
        </w:tc>
        <w:tc>
          <w:tcPr>
            <w:tcW w:w="5723"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7D353D4">
            <w:pPr>
              <w:pStyle w:val="106"/>
              <w:rPr>
                <w:szCs w:val="21"/>
              </w:rPr>
            </w:pPr>
            <w:r>
              <w:rPr>
                <w:rFonts w:hint="eastAsia"/>
                <w:szCs w:val="21"/>
              </w:rPr>
              <w:t>0～100%</w:t>
            </w:r>
          </w:p>
        </w:tc>
      </w:tr>
      <w:tr w14:paraId="17BC91F3">
        <w:tblPrEx>
          <w:tblCellMar>
            <w:top w:w="0" w:type="dxa"/>
            <w:left w:w="108" w:type="dxa"/>
            <w:bottom w:w="0" w:type="dxa"/>
            <w:right w:w="108" w:type="dxa"/>
          </w:tblCellMar>
        </w:tblPrEx>
        <w:trPr>
          <w:trHeight w:val="397" w:hRule="atLeast"/>
          <w:jc w:val="center"/>
        </w:trPr>
        <w:tc>
          <w:tcPr>
            <w:tcW w:w="2237"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53F5685E">
            <w:pPr>
              <w:pStyle w:val="106"/>
              <w:rPr>
                <w:szCs w:val="21"/>
              </w:rPr>
            </w:pPr>
            <w:r>
              <w:rPr>
                <w:rFonts w:hint="eastAsia"/>
                <w:szCs w:val="21"/>
              </w:rPr>
              <w:t>进入孔</w:t>
            </w:r>
          </w:p>
        </w:tc>
        <w:tc>
          <w:tcPr>
            <w:tcW w:w="5723"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698C6F3">
            <w:pPr>
              <w:pStyle w:val="106"/>
              <w:rPr>
                <w:szCs w:val="21"/>
              </w:rPr>
            </w:pPr>
            <w:r>
              <w:rPr>
                <w:rFonts w:hint="eastAsia"/>
                <w:szCs w:val="21"/>
              </w:rPr>
              <w:t>直径≥600mm</w:t>
            </w:r>
          </w:p>
        </w:tc>
      </w:tr>
      <w:tr w14:paraId="428E9431">
        <w:tblPrEx>
          <w:tblCellMar>
            <w:top w:w="0" w:type="dxa"/>
            <w:left w:w="108" w:type="dxa"/>
            <w:bottom w:w="0" w:type="dxa"/>
            <w:right w:w="108" w:type="dxa"/>
          </w:tblCellMar>
        </w:tblPrEx>
        <w:trPr>
          <w:trHeight w:val="397" w:hRule="atLeast"/>
          <w:jc w:val="center"/>
        </w:trPr>
        <w:tc>
          <w:tcPr>
            <w:tcW w:w="2237"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3BA623C1">
            <w:pPr>
              <w:pStyle w:val="106"/>
              <w:rPr>
                <w:szCs w:val="21"/>
              </w:rPr>
            </w:pPr>
            <w:r>
              <w:rPr>
                <w:rFonts w:hint="eastAsia"/>
                <w:szCs w:val="21"/>
              </w:rPr>
              <w:t>断丝检测精度</w:t>
            </w:r>
          </w:p>
        </w:tc>
        <w:tc>
          <w:tcPr>
            <w:tcW w:w="5723" w:type="dxa"/>
            <w:tcBorders>
              <w:top w:val="single" w:color="auto" w:sz="4" w:space="0"/>
              <w:left w:val="single" w:color="auto" w:sz="4" w:space="0"/>
              <w:bottom w:val="single" w:color="auto" w:sz="4" w:space="0"/>
              <w:right w:val="single" w:color="auto" w:sz="12" w:space="0"/>
            </w:tcBorders>
            <w:shd w:val="clear" w:color="auto" w:fill="auto"/>
            <w:vAlign w:val="center"/>
          </w:tcPr>
          <w:p w14:paraId="1FC8C12A">
            <w:pPr>
              <w:pStyle w:val="106"/>
              <w:rPr>
                <w:szCs w:val="21"/>
              </w:rPr>
            </w:pPr>
            <w:r>
              <w:rPr>
                <w:rFonts w:hint="eastAsia"/>
                <w:szCs w:val="21"/>
              </w:rPr>
              <w:t>5根断丝</w:t>
            </w:r>
          </w:p>
        </w:tc>
      </w:tr>
      <w:tr w14:paraId="183487CF">
        <w:tblPrEx>
          <w:tblCellMar>
            <w:top w:w="0" w:type="dxa"/>
            <w:left w:w="108" w:type="dxa"/>
            <w:bottom w:w="0" w:type="dxa"/>
            <w:right w:w="108" w:type="dxa"/>
          </w:tblCellMar>
        </w:tblPrEx>
        <w:trPr>
          <w:trHeight w:val="397" w:hRule="atLeast"/>
          <w:jc w:val="center"/>
        </w:trPr>
        <w:tc>
          <w:tcPr>
            <w:tcW w:w="2237" w:type="dxa"/>
            <w:tcBorders>
              <w:top w:val="single" w:color="auto" w:sz="4" w:space="0"/>
              <w:left w:val="single" w:color="auto" w:sz="12" w:space="0"/>
              <w:bottom w:val="single" w:color="auto" w:sz="12" w:space="0"/>
              <w:right w:val="single" w:color="auto" w:sz="4" w:space="0"/>
            </w:tcBorders>
            <w:shd w:val="clear" w:color="auto" w:fill="auto"/>
            <w:noWrap/>
            <w:vAlign w:val="center"/>
          </w:tcPr>
          <w:p w14:paraId="65179496">
            <w:pPr>
              <w:pStyle w:val="106"/>
              <w:rPr>
                <w:szCs w:val="21"/>
              </w:rPr>
            </w:pPr>
            <w:r>
              <w:rPr>
                <w:rFonts w:hint="eastAsia"/>
                <w:szCs w:val="21"/>
              </w:rPr>
              <w:t>断丝定位精度</w:t>
            </w:r>
          </w:p>
        </w:tc>
        <w:tc>
          <w:tcPr>
            <w:tcW w:w="5723" w:type="dxa"/>
            <w:tcBorders>
              <w:top w:val="single" w:color="auto" w:sz="4" w:space="0"/>
              <w:left w:val="single" w:color="auto" w:sz="4" w:space="0"/>
              <w:bottom w:val="single" w:color="auto" w:sz="12" w:space="0"/>
              <w:right w:val="single" w:color="auto" w:sz="12" w:space="0"/>
            </w:tcBorders>
            <w:shd w:val="clear" w:color="auto" w:fill="auto"/>
            <w:vAlign w:val="center"/>
          </w:tcPr>
          <w:p w14:paraId="65E19D6A">
            <w:pPr>
              <w:pStyle w:val="106"/>
              <w:rPr>
                <w:szCs w:val="21"/>
              </w:rPr>
            </w:pPr>
            <w:r>
              <w:rPr>
                <w:rFonts w:hint="eastAsia"/>
                <w:szCs w:val="21"/>
              </w:rPr>
              <w:t>±15</w:t>
            </w:r>
            <w:r>
              <w:rPr>
                <w:szCs w:val="21"/>
              </w:rPr>
              <w:t>0m</w:t>
            </w:r>
            <w:r>
              <w:rPr>
                <w:rFonts w:hint="eastAsia"/>
                <w:szCs w:val="21"/>
              </w:rPr>
              <w:t>m</w:t>
            </w:r>
          </w:p>
        </w:tc>
      </w:tr>
    </w:tbl>
    <w:p w14:paraId="79B7607D">
      <w:pPr>
        <w:pStyle w:val="18"/>
        <w:spacing w:after="0" w:line="360" w:lineRule="auto"/>
        <w:ind w:left="480"/>
        <w:jc w:val="center"/>
      </w:pPr>
    </w:p>
    <w:p w14:paraId="1EE98470">
      <w:pPr>
        <w:pStyle w:val="5"/>
      </w:pPr>
      <w:bookmarkStart w:id="193" w:name="_Toc181825562"/>
      <w:bookmarkStart w:id="194" w:name="_Toc1466"/>
      <w:bookmarkStart w:id="195" w:name="_Toc22004"/>
      <w:bookmarkStart w:id="196" w:name="_Toc22450"/>
      <w:bookmarkStart w:id="197" w:name="_Toc29598"/>
      <w:r>
        <w:rPr>
          <w:rFonts w:hint="eastAsia"/>
        </w:rPr>
        <w:t>7.3　检测方法</w:t>
      </w:r>
      <w:bookmarkEnd w:id="193"/>
      <w:bookmarkEnd w:id="194"/>
      <w:bookmarkEnd w:id="195"/>
      <w:bookmarkEnd w:id="196"/>
      <w:bookmarkEnd w:id="197"/>
    </w:p>
    <w:p w14:paraId="00678C96">
      <w:r>
        <w:rPr>
          <w:rFonts w:hint="eastAsia"/>
          <w:b/>
          <w:bCs/>
        </w:rPr>
        <w:t>7.3.1　</w:t>
      </w:r>
      <w:r>
        <w:rPr>
          <w:rFonts w:hint="eastAsia"/>
        </w:rPr>
        <w:t>带压检测应按下列步骤进行：</w:t>
      </w:r>
    </w:p>
    <w:p w14:paraId="65A73F87">
      <w:pPr>
        <w:ind w:firstLine="482" w:firstLineChars="200"/>
        <w:rPr>
          <w:rFonts w:eastAsia="宋体" w:cs="Times New Roman"/>
        </w:rPr>
      </w:pPr>
      <w:r>
        <w:rPr>
          <w:rFonts w:hint="eastAsia" w:eastAsia="宋体" w:cs="Times New Roman"/>
          <w:b/>
          <w:bCs/>
        </w:rPr>
        <w:t>1　</w:t>
      </w:r>
      <w:r>
        <w:rPr>
          <w:rFonts w:hint="eastAsia" w:eastAsia="宋体" w:cs="Times New Roman"/>
        </w:rPr>
        <w:t>检测前在选定的阀门井内将追踪传感器固定于管道上；</w:t>
      </w:r>
    </w:p>
    <w:p w14:paraId="0C9276CA">
      <w:pPr>
        <w:ind w:firstLine="482" w:firstLineChars="200"/>
        <w:rPr>
          <w:rFonts w:eastAsia="宋体" w:cs="Times New Roman"/>
        </w:rPr>
      </w:pPr>
      <w:r>
        <w:rPr>
          <w:rFonts w:eastAsia="宋体" w:cs="Times New Roman"/>
          <w:b/>
          <w:bCs/>
        </w:rPr>
        <w:t>2　</w:t>
      </w:r>
      <w:r>
        <w:rPr>
          <w:rFonts w:hint="eastAsia" w:eastAsia="宋体" w:cs="Times New Roman"/>
        </w:rPr>
        <w:t>检测前使回收口降压，打开回收口，安装设备回收网或回收格栅，安装完成后封闭回收口；</w:t>
      </w:r>
    </w:p>
    <w:p w14:paraId="15D2D8CC">
      <w:pPr>
        <w:ind w:firstLine="482" w:firstLineChars="200"/>
        <w:rPr>
          <w:rFonts w:eastAsia="宋体" w:cs="Times New Roman"/>
        </w:rPr>
      </w:pPr>
      <w:r>
        <w:rPr>
          <w:rFonts w:hint="eastAsia" w:eastAsia="宋体" w:cs="Times New Roman"/>
          <w:b/>
          <w:bCs/>
        </w:rPr>
        <w:t>3　</w:t>
      </w:r>
      <w:r>
        <w:rPr>
          <w:rFonts w:hint="eastAsia" w:eastAsia="宋体" w:cs="Times New Roman"/>
        </w:rPr>
        <w:t>组装设备，在水池中进行设备配重，确保其在管道水流中居中自由浮游；</w:t>
      </w:r>
    </w:p>
    <w:p w14:paraId="7A483B93">
      <w:pPr>
        <w:ind w:firstLine="482" w:firstLineChars="200"/>
        <w:rPr>
          <w:rFonts w:eastAsia="宋体" w:cs="Times New Roman"/>
        </w:rPr>
      </w:pPr>
      <w:r>
        <w:rPr>
          <w:rFonts w:eastAsia="宋体" w:cs="Times New Roman"/>
          <w:b/>
          <w:bCs/>
        </w:rPr>
        <w:t>4　</w:t>
      </w:r>
      <w:r>
        <w:rPr>
          <w:rFonts w:hint="eastAsia" w:eastAsia="宋体" w:cs="Times New Roman"/>
        </w:rPr>
        <w:t>检测前调试检测设备，启动数据采集或设定数据采集开始时间；</w:t>
      </w:r>
    </w:p>
    <w:p w14:paraId="0F9A7C56">
      <w:pPr>
        <w:ind w:firstLine="482" w:firstLineChars="200"/>
        <w:rPr>
          <w:rFonts w:eastAsia="宋体" w:cs="Times New Roman"/>
        </w:rPr>
      </w:pPr>
      <w:r>
        <w:rPr>
          <w:rFonts w:eastAsia="宋体" w:cs="Times New Roman"/>
          <w:b/>
          <w:bCs/>
        </w:rPr>
        <w:t>5　</w:t>
      </w:r>
      <w:r>
        <w:rPr>
          <w:rFonts w:eastAsia="宋体" w:cs="Times New Roman"/>
        </w:rPr>
        <w:t>关闭待检测管</w:t>
      </w:r>
      <w:r>
        <w:rPr>
          <w:rFonts w:hint="eastAsia" w:eastAsia="宋体" w:cs="Times New Roman"/>
        </w:rPr>
        <w:t>段内</w:t>
      </w:r>
      <w:r>
        <w:rPr>
          <w:rFonts w:eastAsia="宋体" w:cs="Times New Roman"/>
        </w:rPr>
        <w:t>的支管，确认检测设备经</w:t>
      </w:r>
      <w:r>
        <w:rPr>
          <w:rFonts w:hint="eastAsia" w:eastAsia="宋体" w:cs="Times New Roman"/>
        </w:rPr>
        <w:t>过</w:t>
      </w:r>
      <w:r>
        <w:rPr>
          <w:rFonts w:eastAsia="宋体" w:cs="Times New Roman"/>
        </w:rPr>
        <w:t>支管后方可打开支管阀门；</w:t>
      </w:r>
    </w:p>
    <w:p w14:paraId="2DFFD354">
      <w:pPr>
        <w:pStyle w:val="18"/>
        <w:spacing w:after="0" w:line="360" w:lineRule="auto"/>
        <w:ind w:left="0" w:leftChars="0" w:firstLine="482" w:firstLineChars="200"/>
        <w:rPr>
          <w:rFonts w:ascii="Times New Roman" w:hAnsi="Times New Roman" w:cs="Times New Roman"/>
        </w:rPr>
      </w:pPr>
      <w:r>
        <w:rPr>
          <w:rFonts w:ascii="Times New Roman" w:hAnsi="Times New Roman" w:cs="Times New Roman"/>
          <w:b/>
          <w:bCs/>
        </w:rPr>
        <w:t>6　</w:t>
      </w:r>
      <w:r>
        <w:rPr>
          <w:rFonts w:ascii="Times New Roman" w:hAnsi="Times New Roman" w:cs="Times New Roman"/>
        </w:rPr>
        <w:t>检测前了解管</w:t>
      </w:r>
      <w:r>
        <w:rPr>
          <w:rFonts w:hint="eastAsia" w:ascii="Times New Roman" w:hAnsi="Times New Roman" w:cs="Times New Roman"/>
        </w:rPr>
        <w:t>段</w:t>
      </w:r>
      <w:r>
        <w:rPr>
          <w:rFonts w:ascii="Times New Roman" w:hAnsi="Times New Roman" w:cs="Times New Roman"/>
        </w:rPr>
        <w:t>内蝶阀结构和启闭方向，按要求调整管内蝶阀角度；</w:t>
      </w:r>
    </w:p>
    <w:p w14:paraId="4D802874">
      <w:pPr>
        <w:ind w:firstLine="482" w:firstLineChars="200"/>
        <w:rPr>
          <w:rFonts w:eastAsia="宋体" w:cs="Times New Roman"/>
        </w:rPr>
      </w:pPr>
      <w:r>
        <w:rPr>
          <w:rFonts w:eastAsia="宋体" w:cs="Times New Roman"/>
          <w:b/>
          <w:bCs/>
        </w:rPr>
        <w:t>7　</w:t>
      </w:r>
      <w:r>
        <w:rPr>
          <w:rFonts w:eastAsia="宋体" w:cs="Times New Roman"/>
        </w:rPr>
        <w:t>投放口降压，打开投放口，将设备投放至管道内</w:t>
      </w:r>
      <w:r>
        <w:rPr>
          <w:rFonts w:hint="eastAsia" w:eastAsia="宋体" w:cs="Times New Roman"/>
          <w:lang w:eastAsia="zh-CN"/>
        </w:rPr>
        <w:t>并</w:t>
      </w:r>
      <w:r>
        <w:rPr>
          <w:rFonts w:eastAsia="宋体" w:cs="Times New Roman"/>
        </w:rPr>
        <w:t>用拉索固定后封闭投放口；</w:t>
      </w:r>
    </w:p>
    <w:p w14:paraId="160230DE">
      <w:pPr>
        <w:ind w:firstLine="482" w:firstLineChars="200"/>
        <w:rPr>
          <w:rFonts w:eastAsia="宋体" w:cs="Times New Roman"/>
        </w:rPr>
      </w:pPr>
      <w:r>
        <w:rPr>
          <w:rFonts w:eastAsia="宋体" w:cs="Times New Roman"/>
          <w:b/>
          <w:bCs/>
        </w:rPr>
        <w:t>8　</w:t>
      </w:r>
      <w:r>
        <w:rPr>
          <w:rFonts w:eastAsia="宋体" w:cs="Times New Roman"/>
        </w:rPr>
        <w:t>管</w:t>
      </w:r>
      <w:r>
        <w:rPr>
          <w:rFonts w:hint="eastAsia" w:eastAsia="宋体" w:cs="Times New Roman"/>
        </w:rPr>
        <w:t>段</w:t>
      </w:r>
      <w:r>
        <w:rPr>
          <w:rFonts w:eastAsia="宋体" w:cs="Times New Roman"/>
        </w:rPr>
        <w:t>恢复正常运行，管内流速达到检测要求且追踪</w:t>
      </w:r>
      <w:r>
        <w:rPr>
          <w:rFonts w:hint="eastAsia" w:eastAsia="宋体" w:cs="Times New Roman"/>
        </w:rPr>
        <w:t>系统</w:t>
      </w:r>
      <w:r>
        <w:rPr>
          <w:rFonts w:eastAsia="宋体" w:cs="Times New Roman"/>
        </w:rPr>
        <w:t>就位后，松开拉索，释放检测设备，开始检测；</w:t>
      </w:r>
    </w:p>
    <w:p w14:paraId="53B1AC91">
      <w:pPr>
        <w:ind w:firstLine="482" w:firstLineChars="200"/>
        <w:rPr>
          <w:rFonts w:eastAsia="宋体" w:cs="Times New Roman"/>
        </w:rPr>
      </w:pPr>
      <w:r>
        <w:rPr>
          <w:rFonts w:eastAsia="宋体" w:cs="Times New Roman"/>
          <w:b/>
          <w:bCs/>
        </w:rPr>
        <w:t>9　</w:t>
      </w:r>
      <w:r>
        <w:rPr>
          <w:rFonts w:eastAsia="宋体" w:cs="Times New Roman"/>
        </w:rPr>
        <w:t>至少配备3</w:t>
      </w:r>
      <w:r>
        <w:rPr>
          <w:rFonts w:hint="eastAsia" w:eastAsia="宋体" w:cs="Times New Roman"/>
        </w:rPr>
        <w:t>组</w:t>
      </w:r>
      <w:r>
        <w:rPr>
          <w:rFonts w:eastAsia="宋体" w:cs="Times New Roman"/>
        </w:rPr>
        <w:t>追踪</w:t>
      </w:r>
      <w:r>
        <w:rPr>
          <w:rFonts w:hint="eastAsia" w:eastAsia="宋体" w:cs="Times New Roman"/>
        </w:rPr>
        <w:t>系统。探测器经</w:t>
      </w:r>
      <w:r>
        <w:rPr>
          <w:rFonts w:eastAsia="宋体" w:cs="Times New Roman"/>
        </w:rPr>
        <w:t>过</w:t>
      </w:r>
      <w:r>
        <w:rPr>
          <w:rFonts w:hint="eastAsia" w:eastAsia="宋体" w:cs="Times New Roman"/>
        </w:rPr>
        <w:t>监视</w:t>
      </w:r>
      <w:r>
        <w:rPr>
          <w:rFonts w:eastAsia="宋体" w:cs="Times New Roman"/>
        </w:rPr>
        <w:t>的阀</w:t>
      </w:r>
      <w:r>
        <w:rPr>
          <w:rFonts w:hint="eastAsia" w:eastAsia="宋体" w:cs="Times New Roman"/>
        </w:rPr>
        <w:t>门</w:t>
      </w:r>
      <w:r>
        <w:rPr>
          <w:rFonts w:eastAsia="宋体" w:cs="Times New Roman"/>
        </w:rPr>
        <w:t>井后，移至下一追踪点继续追踪。追踪组确认追踪信号接收正常，</w:t>
      </w:r>
      <w:r>
        <w:rPr>
          <w:rFonts w:hint="eastAsia" w:eastAsia="宋体" w:cs="Times New Roman"/>
        </w:rPr>
        <w:t>监视探测器与即将经过阀门井之间的距离及到达时间</w:t>
      </w:r>
      <w:r>
        <w:rPr>
          <w:rFonts w:eastAsia="宋体" w:cs="Times New Roman"/>
        </w:rPr>
        <w:t>。追踪点信号如有异常，</w:t>
      </w:r>
      <w:r>
        <w:rPr>
          <w:rFonts w:hint="eastAsia" w:eastAsia="宋体" w:cs="Times New Roman"/>
        </w:rPr>
        <w:t>应</w:t>
      </w:r>
      <w:r>
        <w:rPr>
          <w:rFonts w:eastAsia="宋体" w:cs="Times New Roman"/>
        </w:rPr>
        <w:t>做好记录；</w:t>
      </w:r>
    </w:p>
    <w:p w14:paraId="040F8250">
      <w:pPr>
        <w:ind w:firstLine="482" w:firstLineChars="200"/>
      </w:pPr>
      <w:r>
        <w:rPr>
          <w:rFonts w:eastAsia="宋体" w:cs="Times New Roman"/>
          <w:b/>
          <w:bCs/>
        </w:rPr>
        <w:t>10　</w:t>
      </w:r>
      <w:r>
        <w:rPr>
          <w:rFonts w:hint="eastAsia" w:eastAsia="宋体" w:cs="Times New Roman"/>
        </w:rPr>
        <w:t>通过追踪传感器或插入式摄像头确认探测器到达回收网或回收格栅后，回收口降压，打开回收口，取出设备并拆卸回收网/回收格栅后，封闭回收口。</w:t>
      </w:r>
    </w:p>
    <w:p w14:paraId="798DF6E1">
      <w:r>
        <w:rPr>
          <w:rFonts w:hint="eastAsia"/>
          <w:b/>
          <w:bCs/>
        </w:rPr>
        <w:t>7.3.2　</w:t>
      </w:r>
      <w:r>
        <w:rPr>
          <w:rFonts w:hint="eastAsia" w:eastAsia="宋体" w:cs="Times New Roman"/>
        </w:rPr>
        <w:t>停水</w:t>
      </w:r>
      <w:r>
        <w:rPr>
          <w:rFonts w:hint="eastAsia"/>
        </w:rPr>
        <w:t>检测应符合下列规定：</w:t>
      </w:r>
    </w:p>
    <w:p w14:paraId="4D87D289">
      <w:pPr>
        <w:pStyle w:val="18"/>
        <w:spacing w:after="0" w:line="360" w:lineRule="auto"/>
        <w:ind w:left="0" w:leftChars="0" w:firstLine="482" w:firstLineChars="200"/>
        <w:rPr>
          <w:rFonts w:ascii="Times New Roman" w:hAnsi="Times New Roman" w:cs="Times New Roman"/>
        </w:rPr>
      </w:pPr>
      <w:r>
        <w:rPr>
          <w:rFonts w:ascii="Times New Roman" w:hAnsi="Times New Roman" w:cs="Times New Roman"/>
          <w:b/>
          <w:bCs/>
        </w:rPr>
        <w:t>1　</w:t>
      </w:r>
      <w:r>
        <w:rPr>
          <w:rFonts w:ascii="Times New Roman" w:hAnsi="Times New Roman" w:cs="Times New Roman"/>
        </w:rPr>
        <w:t>检测前</w:t>
      </w:r>
      <w:r>
        <w:rPr>
          <w:rFonts w:hint="eastAsia" w:ascii="Times New Roman" w:hAnsi="Times New Roman" w:cs="Times New Roman"/>
        </w:rPr>
        <w:t>应</w:t>
      </w:r>
      <w:r>
        <w:rPr>
          <w:rFonts w:ascii="Times New Roman" w:hAnsi="Times New Roman" w:cs="Times New Roman"/>
        </w:rPr>
        <w:t>对检测系统状态完好性进行检查</w:t>
      </w:r>
      <w:r>
        <w:rPr>
          <w:rFonts w:hint="eastAsia" w:ascii="Times New Roman" w:hAnsi="Times New Roman" w:cs="Times New Roman"/>
          <w:lang w:eastAsia="zh-CN"/>
        </w:rPr>
        <w:t>并</w:t>
      </w:r>
      <w:r>
        <w:rPr>
          <w:rFonts w:ascii="Times New Roman" w:hAnsi="Times New Roman" w:cs="Times New Roman"/>
        </w:rPr>
        <w:t>对移动平台上的里程计进行校准。发射线圈和接收线圈宜靠近管壁内</w:t>
      </w:r>
      <w:r>
        <w:rPr>
          <w:rFonts w:hint="eastAsia" w:ascii="Times New Roman" w:hAnsi="Times New Roman" w:cs="Times New Roman"/>
          <w:lang w:eastAsia="zh-CN"/>
        </w:rPr>
        <w:t>侧</w:t>
      </w:r>
      <w:r>
        <w:rPr>
          <w:rFonts w:ascii="Times New Roman" w:hAnsi="Times New Roman" w:cs="Times New Roman"/>
        </w:rPr>
        <w:t>，但不</w:t>
      </w:r>
      <w:r>
        <w:rPr>
          <w:rFonts w:hint="eastAsia" w:ascii="Times New Roman" w:hAnsi="Times New Roman" w:cs="Times New Roman"/>
        </w:rPr>
        <w:t>应</w:t>
      </w:r>
      <w:r>
        <w:rPr>
          <w:rFonts w:ascii="Times New Roman" w:hAnsi="Times New Roman" w:cs="Times New Roman"/>
        </w:rPr>
        <w:t>与管道发生接触；</w:t>
      </w:r>
    </w:p>
    <w:p w14:paraId="03F44301">
      <w:pPr>
        <w:pStyle w:val="18"/>
        <w:spacing w:after="0" w:line="360" w:lineRule="auto"/>
        <w:ind w:left="0" w:leftChars="0" w:firstLine="482" w:firstLineChars="200"/>
        <w:rPr>
          <w:rFonts w:ascii="Times New Roman" w:hAnsi="Times New Roman" w:cs="Times New Roman"/>
        </w:rPr>
      </w:pPr>
      <w:r>
        <w:rPr>
          <w:rFonts w:ascii="Times New Roman" w:hAnsi="Times New Roman" w:cs="Times New Roman"/>
          <w:b/>
          <w:bCs/>
        </w:rPr>
        <w:t>2　</w:t>
      </w:r>
      <w:r>
        <w:rPr>
          <w:rFonts w:hint="eastAsia" w:ascii="Times New Roman" w:hAnsi="Times New Roman" w:cs="Times New Roman"/>
          <w:bCs/>
        </w:rPr>
        <w:t>应</w:t>
      </w:r>
      <w:r>
        <w:rPr>
          <w:rFonts w:hint="eastAsia" w:ascii="Times New Roman" w:hAnsi="Times New Roman" w:cs="Times New Roman"/>
        </w:rPr>
        <w:t>按</w:t>
      </w:r>
      <w:r>
        <w:rPr>
          <w:rFonts w:ascii="Times New Roman" w:hAnsi="Times New Roman" w:cs="Times New Roman"/>
        </w:rPr>
        <w:t>标定试验获得的工作参数对检测系统参数设置，根据管径大小，对发射信号频率、幅度、相位及信号放大倍数调整，直至采集到清晰信号；</w:t>
      </w:r>
    </w:p>
    <w:p w14:paraId="4D1E93C0">
      <w:pPr>
        <w:pStyle w:val="18"/>
        <w:spacing w:after="0" w:line="360" w:lineRule="auto"/>
        <w:ind w:left="0" w:leftChars="0" w:firstLine="482" w:firstLineChars="200"/>
        <w:rPr>
          <w:rFonts w:ascii="Times New Roman" w:hAnsi="Times New Roman" w:cs="Times New Roman"/>
        </w:rPr>
      </w:pPr>
      <w:r>
        <w:rPr>
          <w:rFonts w:ascii="Times New Roman" w:hAnsi="Times New Roman" w:cs="Times New Roman"/>
          <w:b/>
          <w:bCs/>
        </w:rPr>
        <w:t>3　</w:t>
      </w:r>
      <w:r>
        <w:rPr>
          <w:rFonts w:ascii="Times New Roman" w:hAnsi="Times New Roman" w:cs="Times New Roman"/>
        </w:rPr>
        <w:t>检测系统中保存的管道编号与管道实物编号</w:t>
      </w:r>
      <w:r>
        <w:rPr>
          <w:rFonts w:hint="eastAsia" w:ascii="Times New Roman" w:hAnsi="Times New Roman" w:cs="Times New Roman"/>
        </w:rPr>
        <w:t>应一致；</w:t>
      </w:r>
    </w:p>
    <w:p w14:paraId="642C2B52">
      <w:pPr>
        <w:pStyle w:val="18"/>
        <w:spacing w:after="0" w:line="360" w:lineRule="auto"/>
        <w:ind w:left="0" w:leftChars="0" w:firstLine="482" w:firstLineChars="200"/>
        <w:rPr>
          <w:rFonts w:ascii="Times New Roman" w:hAnsi="Times New Roman" w:cs="Times New Roman"/>
        </w:rPr>
      </w:pPr>
      <w:r>
        <w:rPr>
          <w:rFonts w:ascii="Times New Roman" w:hAnsi="Times New Roman" w:cs="Times New Roman"/>
          <w:b/>
          <w:bCs/>
        </w:rPr>
        <w:t>4　</w:t>
      </w:r>
      <w:r>
        <w:rPr>
          <w:rFonts w:ascii="Times New Roman" w:hAnsi="Times New Roman" w:cs="Times New Roman"/>
        </w:rPr>
        <w:t>检测正式开始前</w:t>
      </w:r>
      <w:r>
        <w:rPr>
          <w:rFonts w:hint="eastAsia" w:ascii="Times New Roman" w:hAnsi="Times New Roman" w:cs="Times New Roman"/>
        </w:rPr>
        <w:t>应进行</w:t>
      </w:r>
      <w:r>
        <w:rPr>
          <w:rFonts w:ascii="Times New Roman" w:hAnsi="Times New Roman" w:cs="Times New Roman"/>
        </w:rPr>
        <w:t>试测</w:t>
      </w:r>
      <w:r>
        <w:rPr>
          <w:rFonts w:hint="eastAsia" w:ascii="Times New Roman" w:hAnsi="Times New Roman" w:cs="Times New Roman"/>
        </w:rPr>
        <w:t>。应</w:t>
      </w:r>
      <w:r>
        <w:rPr>
          <w:rFonts w:ascii="Times New Roman" w:hAnsi="Times New Roman" w:cs="Times New Roman"/>
        </w:rPr>
        <w:t>通过对最初5节管进行3次重复性检测，确认检测</w:t>
      </w:r>
      <w:r>
        <w:rPr>
          <w:rFonts w:hint="eastAsia" w:ascii="Times New Roman" w:hAnsi="Times New Roman" w:cs="Times New Roman"/>
        </w:rPr>
        <w:t>系统的</w:t>
      </w:r>
      <w:r>
        <w:rPr>
          <w:rFonts w:ascii="Times New Roman" w:hAnsi="Times New Roman" w:cs="Times New Roman"/>
        </w:rPr>
        <w:t>设备参数设置合理、工作状态正常后，</w:t>
      </w:r>
      <w:r>
        <w:rPr>
          <w:rFonts w:hint="eastAsia" w:ascii="Times New Roman" w:hAnsi="Times New Roman" w:cs="Times New Roman"/>
        </w:rPr>
        <w:t>方可</w:t>
      </w:r>
      <w:r>
        <w:rPr>
          <w:rFonts w:ascii="Times New Roman" w:hAnsi="Times New Roman" w:cs="Times New Roman"/>
        </w:rPr>
        <w:t>开始正式采集每个管节的信号数据</w:t>
      </w:r>
      <w:r>
        <w:rPr>
          <w:rFonts w:hint="eastAsia" w:ascii="Times New Roman" w:hAnsi="Times New Roman" w:cs="Times New Roman"/>
        </w:rPr>
        <w:t>；</w:t>
      </w:r>
    </w:p>
    <w:p w14:paraId="47080C58">
      <w:pPr>
        <w:pStyle w:val="18"/>
        <w:spacing w:after="0" w:line="360" w:lineRule="auto"/>
        <w:ind w:left="0" w:leftChars="0" w:firstLine="482" w:firstLineChars="200"/>
        <w:rPr>
          <w:rFonts w:ascii="Times New Roman" w:hAnsi="Times New Roman" w:cs="Times New Roman"/>
        </w:rPr>
      </w:pPr>
      <w:r>
        <w:rPr>
          <w:rFonts w:ascii="Times New Roman" w:hAnsi="Times New Roman" w:cs="Times New Roman"/>
          <w:b/>
          <w:bCs/>
        </w:rPr>
        <w:t>5　</w:t>
      </w:r>
      <w:r>
        <w:rPr>
          <w:rFonts w:ascii="Times New Roman" w:hAnsi="Times New Roman" w:cs="Times New Roman"/>
        </w:rPr>
        <w:t>检测过程中</w:t>
      </w:r>
      <w:r>
        <w:rPr>
          <w:rFonts w:hint="eastAsia" w:ascii="Times New Roman" w:hAnsi="Times New Roman" w:cs="Times New Roman"/>
        </w:rPr>
        <w:t>可</w:t>
      </w:r>
      <w:r>
        <w:rPr>
          <w:rFonts w:ascii="Times New Roman" w:hAnsi="Times New Roman" w:cs="Times New Roman"/>
        </w:rPr>
        <w:t>通过重复性检测进行期间核查。期间核查频率应保证两个排气阀之间</w:t>
      </w:r>
      <w:r>
        <w:rPr>
          <w:rFonts w:hint="eastAsia" w:ascii="Times New Roman" w:hAnsi="Times New Roman" w:cs="Times New Roman"/>
        </w:rPr>
        <w:t>的</w:t>
      </w:r>
      <w:r>
        <w:rPr>
          <w:rFonts w:ascii="Times New Roman" w:hAnsi="Times New Roman" w:cs="Times New Roman"/>
        </w:rPr>
        <w:t>检测对象</w:t>
      </w:r>
      <w:r>
        <w:rPr>
          <w:rFonts w:hint="eastAsia" w:ascii="Times New Roman" w:hAnsi="Times New Roman" w:cs="Times New Roman"/>
        </w:rPr>
        <w:t>不</w:t>
      </w:r>
      <w:r>
        <w:rPr>
          <w:rFonts w:ascii="Times New Roman" w:hAnsi="Times New Roman" w:cs="Times New Roman"/>
        </w:rPr>
        <w:t>少</w:t>
      </w:r>
      <w:r>
        <w:rPr>
          <w:rFonts w:hint="eastAsia" w:ascii="Times New Roman" w:hAnsi="Times New Roman" w:cs="Times New Roman"/>
        </w:rPr>
        <w:t>于</w:t>
      </w:r>
      <w:r>
        <w:rPr>
          <w:rFonts w:ascii="Times New Roman" w:hAnsi="Times New Roman" w:cs="Times New Roman"/>
        </w:rPr>
        <w:t>一次。发现或怀疑检测系统存在问题，应重新调试并确认正常。对不能确认检测工作</w:t>
      </w:r>
      <w:r>
        <w:rPr>
          <w:rFonts w:hint="eastAsia" w:ascii="Times New Roman" w:hAnsi="Times New Roman" w:cs="Times New Roman"/>
        </w:rPr>
        <w:t>处于</w:t>
      </w:r>
      <w:r>
        <w:rPr>
          <w:rFonts w:ascii="Times New Roman" w:hAnsi="Times New Roman" w:cs="Times New Roman"/>
        </w:rPr>
        <w:t>正常状态下的管</w:t>
      </w:r>
      <w:r>
        <w:rPr>
          <w:rFonts w:hint="eastAsia" w:ascii="Times New Roman" w:hAnsi="Times New Roman" w:cs="Times New Roman"/>
        </w:rPr>
        <w:t>段</w:t>
      </w:r>
      <w:r>
        <w:rPr>
          <w:rFonts w:ascii="Times New Roman" w:hAnsi="Times New Roman" w:cs="Times New Roman"/>
        </w:rPr>
        <w:t>应进行复测</w:t>
      </w:r>
      <w:r>
        <w:rPr>
          <w:rFonts w:hint="eastAsia" w:ascii="Times New Roman" w:hAnsi="Times New Roman" w:cs="Times New Roman"/>
        </w:rPr>
        <w:t>；</w:t>
      </w:r>
    </w:p>
    <w:p w14:paraId="3692D310">
      <w:pPr>
        <w:pStyle w:val="18"/>
        <w:spacing w:after="0" w:line="360" w:lineRule="auto"/>
        <w:ind w:left="0" w:leftChars="0" w:firstLine="482" w:firstLineChars="200"/>
        <w:rPr>
          <w:rFonts w:ascii="Times New Roman" w:hAnsi="Times New Roman" w:cs="Times New Roman"/>
        </w:rPr>
      </w:pPr>
      <w:r>
        <w:rPr>
          <w:rFonts w:ascii="Times New Roman" w:hAnsi="Times New Roman" w:cs="Times New Roman"/>
          <w:b/>
          <w:bCs/>
        </w:rPr>
        <w:t>6　</w:t>
      </w:r>
      <w:r>
        <w:rPr>
          <w:rFonts w:ascii="Times New Roman" w:hAnsi="Times New Roman" w:cs="Times New Roman"/>
        </w:rPr>
        <w:t>检测过程中</w:t>
      </w:r>
      <w:r>
        <w:rPr>
          <w:rFonts w:hint="eastAsia" w:ascii="Times New Roman" w:hAnsi="Times New Roman" w:cs="Times New Roman"/>
        </w:rPr>
        <w:t>对</w:t>
      </w:r>
      <w:r>
        <w:rPr>
          <w:rFonts w:ascii="Times New Roman" w:hAnsi="Times New Roman" w:cs="Times New Roman"/>
        </w:rPr>
        <w:t>无法确定的异常信号时</w:t>
      </w:r>
      <w:r>
        <w:rPr>
          <w:rFonts w:hint="eastAsia" w:ascii="Times New Roman" w:hAnsi="Times New Roman" w:cs="Times New Roman"/>
        </w:rPr>
        <w:t>应</w:t>
      </w:r>
      <w:r>
        <w:rPr>
          <w:rFonts w:ascii="Times New Roman" w:hAnsi="Times New Roman" w:cs="Times New Roman"/>
        </w:rPr>
        <w:t>做好记录</w:t>
      </w:r>
      <w:r>
        <w:rPr>
          <w:rFonts w:hint="eastAsia" w:ascii="Times New Roman" w:hAnsi="Times New Roman" w:cs="Times New Roman"/>
          <w:lang w:eastAsia="zh-CN"/>
        </w:rPr>
        <w:t>并</w:t>
      </w:r>
      <w:r>
        <w:rPr>
          <w:rFonts w:ascii="Times New Roman" w:hAnsi="Times New Roman" w:cs="Times New Roman"/>
        </w:rPr>
        <w:t>对信号异常段进行复测。</w:t>
      </w:r>
    </w:p>
    <w:p w14:paraId="0B5365D1">
      <w:pPr>
        <w:pStyle w:val="5"/>
      </w:pPr>
      <w:bookmarkStart w:id="198" w:name="_Toc181825563"/>
      <w:bookmarkStart w:id="199" w:name="_Toc31054"/>
      <w:bookmarkStart w:id="200" w:name="_Toc3147"/>
      <w:bookmarkStart w:id="201" w:name="_Toc17528"/>
      <w:bookmarkStart w:id="202" w:name="_Toc2540"/>
      <w:r>
        <w:rPr>
          <w:rFonts w:hint="eastAsia"/>
        </w:rPr>
        <w:t>7.4　结果判读</w:t>
      </w:r>
      <w:bookmarkEnd w:id="198"/>
      <w:bookmarkEnd w:id="199"/>
      <w:bookmarkEnd w:id="200"/>
      <w:bookmarkEnd w:id="201"/>
      <w:bookmarkEnd w:id="202"/>
    </w:p>
    <w:p w14:paraId="7875BBB4">
      <w:r>
        <w:rPr>
          <w:rFonts w:hint="eastAsia"/>
          <w:b/>
        </w:rPr>
        <w:t>7.4.1　</w:t>
      </w:r>
      <w:r>
        <w:rPr>
          <w:rFonts w:hint="eastAsia"/>
        </w:rPr>
        <w:t>结果判读应分析检测每个管节检测曲线，对比振幅、相位出现的偏移，识别断丝，估算断丝数量，推定断丝位置。</w:t>
      </w:r>
    </w:p>
    <w:p w14:paraId="0951C45F">
      <w:r>
        <w:rPr>
          <w:b/>
        </w:rPr>
        <w:t>7.4.2　</w:t>
      </w:r>
      <w:r>
        <w:rPr>
          <w:rFonts w:hint="eastAsia"/>
        </w:rPr>
        <w:t>对于出现断丝的管节，应按</w:t>
      </w:r>
      <w:r>
        <w:rPr>
          <w:rFonts w:hint="eastAsia"/>
          <w:lang w:eastAsia="zh-CN"/>
        </w:rPr>
        <w:t>本标准</w:t>
      </w:r>
      <w:r>
        <w:rPr>
          <w:rFonts w:hint="eastAsia"/>
        </w:rPr>
        <w:t>附录B记录管节编号、管节位置、断丝位置及断丝数量</w:t>
      </w:r>
      <w:r>
        <w:t>。</w:t>
      </w:r>
      <w:r>
        <w:rPr>
          <w:rFonts w:hint="eastAsia"/>
        </w:rPr>
        <w:t>2处及以上断丝时，断丝数量宜采用分号“；”隔离。</w:t>
      </w:r>
    </w:p>
    <w:p w14:paraId="21B8F2D6">
      <w:r>
        <w:rPr>
          <w:rFonts w:hint="eastAsia"/>
          <w:b/>
        </w:rPr>
        <w:t>7.4.</w:t>
      </w:r>
      <w:r>
        <w:rPr>
          <w:b/>
        </w:rPr>
        <w:t>3　</w:t>
      </w:r>
      <w:r>
        <w:rPr>
          <w:rFonts w:hint="eastAsia"/>
        </w:rPr>
        <w:t>单处断丝可判断的最小断丝数量应根据管道结构及尺寸确定；管道轴向有2处以上断丝时，总断丝数量应为各处断丝数量之和；管道某处出现夹杂断丝而无法明确分辨边界</w:t>
      </w:r>
      <w:r>
        <w:rPr>
          <w:rFonts w:hint="eastAsia"/>
          <w:lang w:eastAsia="zh-CN"/>
        </w:rPr>
        <w:t>时</w:t>
      </w:r>
      <w:r>
        <w:rPr>
          <w:rFonts w:hint="eastAsia"/>
        </w:rPr>
        <w:t>，应按断丝处理；某处断丝数量100根以上，可判为大范围受损，不再给出断丝数量</w:t>
      </w:r>
      <w:r>
        <w:t>。</w:t>
      </w:r>
    </w:p>
    <w:p w14:paraId="1C51C895">
      <w:r>
        <w:rPr>
          <w:rFonts w:hint="eastAsia"/>
          <w:b/>
        </w:rPr>
        <w:t>7.4.4　</w:t>
      </w:r>
      <w:r>
        <w:rPr>
          <w:rFonts w:hint="eastAsia"/>
        </w:rPr>
        <w:t>当无法确认断丝异常信号时，应在报告中说明。</w:t>
      </w:r>
    </w:p>
    <w:p w14:paraId="0300A46A">
      <w:r>
        <w:rPr>
          <w:rFonts w:cs="Times New Roman"/>
          <w:b/>
          <w:bCs/>
        </w:rPr>
        <w:t>7.4.</w:t>
      </w:r>
      <w:r>
        <w:rPr>
          <w:rFonts w:hint="eastAsia" w:cs="Times New Roman"/>
          <w:b/>
          <w:bCs/>
        </w:rPr>
        <w:t>5　</w:t>
      </w:r>
      <w:r>
        <w:rPr>
          <w:rFonts w:hint="eastAsia"/>
        </w:rPr>
        <w:t>对带压检测数据</w:t>
      </w:r>
      <w:r>
        <w:t>分析时，</w:t>
      </w:r>
      <w:r>
        <w:rPr>
          <w:rFonts w:hint="eastAsia"/>
        </w:rPr>
        <w:t>应综合</w:t>
      </w:r>
      <w:r>
        <w:t>使用所有</w:t>
      </w:r>
      <w:r>
        <w:rPr>
          <w:rFonts w:hint="eastAsia"/>
        </w:rPr>
        <w:t>接收线圈</w:t>
      </w:r>
      <w:r>
        <w:t>接收数据判断断丝数量和断丝位置；</w:t>
      </w:r>
      <w:r>
        <w:rPr>
          <w:rFonts w:hint="eastAsia"/>
        </w:rPr>
        <w:t>当</w:t>
      </w:r>
      <w:r>
        <w:t>某些</w:t>
      </w:r>
      <w:r>
        <w:rPr>
          <w:rFonts w:hint="eastAsia"/>
        </w:rPr>
        <w:t>接收线圈</w:t>
      </w:r>
      <w:r>
        <w:t>接收数据质量不佳时，可选择质量好的数据进行分析。</w:t>
      </w:r>
    </w:p>
    <w:p w14:paraId="3E57D8E0">
      <w:pPr>
        <w:rPr>
          <w:shd w:val="clear" w:color="auto" w:fill="FFFFFF"/>
        </w:rPr>
        <w:sectPr>
          <w:pgSz w:w="11906" w:h="16838"/>
          <w:pgMar w:top="1440" w:right="1800" w:bottom="1440" w:left="1800" w:header="851" w:footer="992" w:gutter="0"/>
          <w:cols w:space="425" w:num="1"/>
          <w:docGrid w:type="lines" w:linePitch="312" w:charSpace="0"/>
        </w:sectPr>
      </w:pPr>
    </w:p>
    <w:p w14:paraId="6B1923D5">
      <w:pPr>
        <w:pStyle w:val="4"/>
      </w:pPr>
      <w:bookmarkStart w:id="203" w:name="_Toc31328"/>
      <w:bookmarkStart w:id="204" w:name="_Toc26444"/>
      <w:bookmarkStart w:id="205" w:name="_Toc12479"/>
      <w:bookmarkStart w:id="206" w:name="_Toc25627"/>
      <w:bookmarkStart w:id="207" w:name="_Toc181825564"/>
      <w:r>
        <w:rPr>
          <w:rFonts w:hint="eastAsia"/>
        </w:rPr>
        <w:t>8　噪声管内检测</w:t>
      </w:r>
      <w:bookmarkEnd w:id="203"/>
      <w:bookmarkEnd w:id="204"/>
      <w:bookmarkEnd w:id="205"/>
      <w:bookmarkEnd w:id="206"/>
      <w:bookmarkEnd w:id="207"/>
    </w:p>
    <w:p w14:paraId="6340F55A">
      <w:pPr>
        <w:pStyle w:val="5"/>
      </w:pPr>
      <w:bookmarkStart w:id="208" w:name="_Toc181825565"/>
      <w:bookmarkStart w:id="209" w:name="_Toc19788"/>
      <w:bookmarkStart w:id="210" w:name="_Toc1367"/>
      <w:bookmarkStart w:id="211" w:name="_Toc1371"/>
      <w:bookmarkStart w:id="212" w:name="_Toc7710"/>
      <w:r>
        <w:rPr>
          <w:rFonts w:hint="eastAsia"/>
        </w:rPr>
        <w:t>8.1　一般规定</w:t>
      </w:r>
      <w:bookmarkEnd w:id="208"/>
      <w:bookmarkEnd w:id="209"/>
      <w:bookmarkEnd w:id="210"/>
      <w:bookmarkEnd w:id="211"/>
      <w:bookmarkEnd w:id="212"/>
    </w:p>
    <w:p w14:paraId="1069BE48">
      <w:pPr>
        <w:rPr>
          <w:rFonts w:eastAsia="宋体" w:cs="Times New Roman"/>
        </w:rPr>
      </w:pPr>
      <w:r>
        <w:rPr>
          <w:rFonts w:eastAsia="宋体" w:cs="Times New Roman"/>
          <w:b/>
          <w:bCs/>
        </w:rPr>
        <w:t>8</w:t>
      </w:r>
      <w:r>
        <w:rPr>
          <w:rFonts w:hint="eastAsia" w:eastAsia="宋体" w:cs="Times New Roman"/>
          <w:b/>
          <w:bCs/>
        </w:rPr>
        <w:t>.1.1　</w:t>
      </w:r>
      <w:r>
        <w:rPr>
          <w:rFonts w:hint="eastAsia" w:eastAsia="宋体" w:cs="Times New Roman"/>
        </w:rPr>
        <w:t>噪声管内检测可用于带压管道泄漏及气囊检测。</w:t>
      </w:r>
    </w:p>
    <w:p w14:paraId="678B421F">
      <w:pPr>
        <w:rPr>
          <w:rFonts w:eastAsia="宋体" w:cs="Times New Roman"/>
        </w:rPr>
      </w:pPr>
      <w:r>
        <w:rPr>
          <w:rFonts w:eastAsia="宋体" w:cs="Times New Roman"/>
          <w:b/>
          <w:bCs/>
        </w:rPr>
        <w:t>8</w:t>
      </w:r>
      <w:r>
        <w:rPr>
          <w:rFonts w:hint="eastAsia" w:eastAsia="宋体" w:cs="Times New Roman"/>
          <w:b/>
          <w:bCs/>
        </w:rPr>
        <w:t>.1.2　</w:t>
      </w:r>
      <w:r>
        <w:rPr>
          <w:rFonts w:hint="eastAsia" w:eastAsia="宋体" w:cs="Times New Roman"/>
        </w:rPr>
        <w:t>给水管道噪声管内检测可分为自由行进式检测和动力伞检测。</w:t>
      </w:r>
    </w:p>
    <w:p w14:paraId="2A53310F">
      <w:pPr>
        <w:rPr>
          <w:rFonts w:eastAsia="宋体" w:cs="Times New Roman"/>
        </w:rPr>
      </w:pPr>
      <w:r>
        <w:rPr>
          <w:rFonts w:eastAsia="宋体" w:cs="Times New Roman"/>
          <w:b/>
          <w:bCs/>
        </w:rPr>
        <w:t>8</w:t>
      </w:r>
      <w:r>
        <w:rPr>
          <w:rFonts w:hint="eastAsia" w:eastAsia="宋体" w:cs="Times New Roman"/>
          <w:b/>
          <w:bCs/>
        </w:rPr>
        <w:t>.1.3　</w:t>
      </w:r>
      <w:r>
        <w:rPr>
          <w:rFonts w:hint="eastAsia" w:eastAsia="宋体" w:cs="Times New Roman"/>
        </w:rPr>
        <w:t>自由行进式噪声管内检测应符合下列规定：</w:t>
      </w:r>
    </w:p>
    <w:p w14:paraId="00A12945">
      <w:pPr>
        <w:ind w:firstLine="482" w:firstLineChars="200"/>
        <w:rPr>
          <w:rFonts w:eastAsia="宋体" w:cs="Times New Roman"/>
        </w:rPr>
      </w:pPr>
      <w:r>
        <w:rPr>
          <w:rFonts w:hint="eastAsia" w:eastAsia="宋体" w:cs="Times New Roman"/>
          <w:b/>
          <w:bCs/>
        </w:rPr>
        <w:t>1　</w:t>
      </w:r>
      <w:r>
        <w:rPr>
          <w:rFonts w:hint="eastAsia" w:eastAsia="宋体" w:cs="Times New Roman"/>
        </w:rPr>
        <w:t>管道内径不应小于300mm。管内有蝶阀时，管径不应小于5</w:t>
      </w:r>
      <w:r>
        <w:rPr>
          <w:rFonts w:eastAsia="宋体" w:cs="Times New Roman"/>
        </w:rPr>
        <w:t>00mm</w:t>
      </w:r>
      <w:r>
        <w:rPr>
          <w:rFonts w:hint="eastAsia" w:eastAsia="宋体" w:cs="Times New Roman"/>
        </w:rPr>
        <w:t>；</w:t>
      </w:r>
    </w:p>
    <w:p w14:paraId="495F2F55">
      <w:pPr>
        <w:ind w:firstLine="482" w:firstLineChars="200"/>
        <w:rPr>
          <w:rFonts w:eastAsia="宋体" w:cs="Times New Roman"/>
        </w:rPr>
      </w:pPr>
      <w:r>
        <w:rPr>
          <w:rFonts w:hint="eastAsia" w:eastAsia="宋体" w:cs="Times New Roman"/>
          <w:b/>
          <w:bCs/>
        </w:rPr>
        <w:t>2　</w:t>
      </w:r>
      <w:r>
        <w:rPr>
          <w:rFonts w:hint="eastAsia" w:eastAsia="宋体" w:cs="Times New Roman"/>
        </w:rPr>
        <w:t>水流速不宜小于0</w:t>
      </w:r>
      <w:r>
        <w:rPr>
          <w:rFonts w:eastAsia="宋体" w:cs="Times New Roman"/>
        </w:rPr>
        <w:t>.15m/s；</w:t>
      </w:r>
    </w:p>
    <w:p w14:paraId="4C4ED3EE">
      <w:pPr>
        <w:ind w:firstLine="482" w:firstLineChars="200"/>
        <w:rPr>
          <w:rFonts w:eastAsia="宋体" w:cs="Times New Roman"/>
        </w:rPr>
      </w:pPr>
      <w:r>
        <w:rPr>
          <w:rFonts w:hint="eastAsia" w:eastAsia="宋体" w:cs="Times New Roman"/>
          <w:b/>
          <w:bCs/>
        </w:rPr>
        <w:t>3　</w:t>
      </w:r>
      <w:r>
        <w:rPr>
          <w:rFonts w:hint="eastAsia" w:eastAsia="宋体" w:cs="Times New Roman"/>
        </w:rPr>
        <w:t>管道压力宜为0</w:t>
      </w:r>
      <w:r>
        <w:rPr>
          <w:rFonts w:eastAsia="宋体" w:cs="Times New Roman"/>
        </w:rPr>
        <w:t>.1MPa</w:t>
      </w:r>
      <w:r>
        <w:rPr>
          <w:rFonts w:hint="eastAsia" w:eastAsia="宋体" w:cs="Times New Roman"/>
        </w:rPr>
        <w:t>～</w:t>
      </w:r>
      <w:r>
        <w:rPr>
          <w:rFonts w:eastAsia="宋体" w:cs="Times New Roman"/>
        </w:rPr>
        <w:t>1.6MPa；</w:t>
      </w:r>
    </w:p>
    <w:p w14:paraId="720ADC0E">
      <w:pPr>
        <w:numPr>
          <w:ilvl w:val="255"/>
          <w:numId w:val="0"/>
        </w:numPr>
        <w:ind w:firstLine="482" w:firstLineChars="200"/>
        <w:rPr>
          <w:rFonts w:eastAsia="宋体" w:cs="Times New Roman"/>
        </w:rPr>
      </w:pPr>
      <w:r>
        <w:rPr>
          <w:rFonts w:hint="eastAsia" w:eastAsia="宋体" w:cs="Times New Roman"/>
          <w:b/>
          <w:bCs/>
        </w:rPr>
        <w:t>4　</w:t>
      </w:r>
      <w:r>
        <w:rPr>
          <w:rFonts w:hint="eastAsia" w:eastAsia="宋体" w:cs="Times New Roman"/>
        </w:rPr>
        <w:t>管段内应能粘贴传感器，传感器距离不宜大于1</w:t>
      </w:r>
      <w:r>
        <w:rPr>
          <w:rFonts w:eastAsia="宋体" w:cs="Times New Roman"/>
        </w:rPr>
        <w:t>000m；</w:t>
      </w:r>
    </w:p>
    <w:p w14:paraId="01EE5C7B">
      <w:pPr>
        <w:ind w:firstLine="482" w:firstLineChars="200"/>
        <w:rPr>
          <w:rFonts w:eastAsia="宋体" w:cs="Times New Roman"/>
        </w:rPr>
      </w:pPr>
      <w:r>
        <w:rPr>
          <w:rFonts w:hint="eastAsia" w:eastAsia="宋体" w:cs="Times New Roman"/>
          <w:b/>
          <w:bCs/>
        </w:rPr>
        <w:t>5　</w:t>
      </w:r>
      <w:r>
        <w:rPr>
          <w:rFonts w:hint="eastAsia" w:eastAsia="宋体" w:cs="Times New Roman"/>
          <w:bCs/>
        </w:rPr>
        <w:t>应</w:t>
      </w:r>
      <w:r>
        <w:rPr>
          <w:rFonts w:hint="eastAsia" w:eastAsia="宋体" w:cs="Times New Roman"/>
        </w:rPr>
        <w:t>在管段上游端及下游端选择阀门井作为投球点和收球点，投球点和收球点处的闸阀应能通过套有泡沫球的智能球；</w:t>
      </w:r>
    </w:p>
    <w:p w14:paraId="4FE1BCDC">
      <w:pPr>
        <w:ind w:firstLine="482" w:firstLineChars="200"/>
        <w:rPr>
          <w:rFonts w:eastAsia="宋体" w:cs="Times New Roman"/>
        </w:rPr>
      </w:pPr>
      <w:r>
        <w:rPr>
          <w:rFonts w:eastAsia="宋体" w:cs="Times New Roman"/>
          <w:b/>
          <w:bCs/>
        </w:rPr>
        <w:t>6　</w:t>
      </w:r>
      <w:r>
        <w:rPr>
          <w:rFonts w:hint="eastAsia" w:eastAsia="宋体" w:cs="Times New Roman"/>
        </w:rPr>
        <w:t>投球点和收球点距离弯头不应小于管径的</w:t>
      </w:r>
      <w:r>
        <w:rPr>
          <w:rFonts w:eastAsia="宋体" w:cs="Times New Roman"/>
        </w:rPr>
        <w:t>5</w:t>
      </w:r>
      <w:r>
        <w:rPr>
          <w:rFonts w:hint="eastAsia" w:eastAsia="宋体" w:cs="Times New Roman"/>
        </w:rPr>
        <w:t>倍，距离蝶阀或三通的距离不应小于管径的</w:t>
      </w:r>
      <w:r>
        <w:rPr>
          <w:rFonts w:eastAsia="宋体" w:cs="Times New Roman"/>
        </w:rPr>
        <w:t>10</w:t>
      </w:r>
      <w:r>
        <w:rPr>
          <w:rFonts w:hint="eastAsia" w:eastAsia="宋体" w:cs="Times New Roman"/>
        </w:rPr>
        <w:t>倍</w:t>
      </w:r>
      <w:r>
        <w:rPr>
          <w:rFonts w:hint="eastAsia" w:eastAsia="宋体" w:cs="Times New Roman"/>
          <w:lang w:eastAsia="zh-CN"/>
        </w:rPr>
        <w:t>并</w:t>
      </w:r>
      <w:r>
        <w:rPr>
          <w:rFonts w:hint="eastAsia" w:eastAsia="宋体" w:cs="Times New Roman"/>
        </w:rPr>
        <w:t>应有足够的作业空间。</w:t>
      </w:r>
    </w:p>
    <w:p w14:paraId="0EEA5B4F">
      <w:pPr>
        <w:tabs>
          <w:tab w:val="left" w:pos="1830"/>
        </w:tabs>
      </w:pPr>
      <w:r>
        <w:rPr>
          <w:rFonts w:hint="eastAsia"/>
          <w:b/>
          <w:bCs/>
        </w:rPr>
        <w:t>8.1.4　</w:t>
      </w:r>
      <w:r>
        <w:rPr>
          <w:rFonts w:hint="eastAsia"/>
        </w:rPr>
        <w:t>动力伞</w:t>
      </w:r>
      <w:r>
        <w:rPr>
          <w:rFonts w:hint="eastAsia" w:eastAsia="宋体" w:cs="Times New Roman"/>
        </w:rPr>
        <w:t>噪声管内检测应满足</w:t>
      </w:r>
      <w:r>
        <w:rPr>
          <w:rFonts w:hint="eastAsia" w:eastAsia="宋体" w:cs="Times New Roman"/>
          <w:lang w:eastAsia="zh-CN"/>
        </w:rPr>
        <w:t>本标准</w:t>
      </w:r>
      <w:r>
        <w:rPr>
          <w:rFonts w:hint="eastAsia" w:eastAsia="宋体" w:cs="Times New Roman"/>
        </w:rPr>
        <w:t>第</w:t>
      </w:r>
      <w:r>
        <w:rPr>
          <w:rFonts w:hint="eastAsia"/>
        </w:rPr>
        <w:t>4.1.4条、第4.1.7条的要求。</w:t>
      </w:r>
    </w:p>
    <w:p w14:paraId="676903C5">
      <w:pPr>
        <w:pStyle w:val="5"/>
      </w:pPr>
      <w:bookmarkStart w:id="213" w:name="_Toc181825566"/>
      <w:bookmarkStart w:id="214" w:name="_Toc22881"/>
      <w:bookmarkStart w:id="215" w:name="_Toc31393"/>
      <w:bookmarkStart w:id="216" w:name="_Toc14881"/>
      <w:bookmarkStart w:id="217" w:name="_Toc15590"/>
      <w:bookmarkStart w:id="218" w:name="_Toc7215"/>
      <w:bookmarkStart w:id="219" w:name="_Toc9821"/>
      <w:r>
        <w:rPr>
          <w:rFonts w:hint="eastAsia"/>
        </w:rPr>
        <w:t>8.2　检测设备</w:t>
      </w:r>
      <w:bookmarkEnd w:id="213"/>
      <w:bookmarkEnd w:id="214"/>
      <w:bookmarkEnd w:id="215"/>
      <w:bookmarkEnd w:id="216"/>
      <w:bookmarkEnd w:id="217"/>
      <w:bookmarkEnd w:id="218"/>
      <w:bookmarkEnd w:id="219"/>
    </w:p>
    <w:p w14:paraId="01E21C9B">
      <w:pPr>
        <w:rPr>
          <w:rFonts w:eastAsia="宋体" w:cs="Times New Roman"/>
        </w:rPr>
      </w:pPr>
      <w:r>
        <w:rPr>
          <w:rFonts w:eastAsia="宋体" w:cs="Times New Roman"/>
          <w:b/>
          <w:bCs/>
        </w:rPr>
        <w:t>8</w:t>
      </w:r>
      <w:r>
        <w:rPr>
          <w:rFonts w:hint="eastAsia" w:eastAsia="宋体" w:cs="Times New Roman"/>
          <w:b/>
          <w:bCs/>
        </w:rPr>
        <w:t>.2.1　</w:t>
      </w:r>
      <w:r>
        <w:rPr>
          <w:rFonts w:hint="eastAsia" w:eastAsia="宋体" w:cs="Times New Roman"/>
        </w:rPr>
        <w:t>自由行进式检测设备应由数据采集系统、投球装置、收球装置、追踪装置和G</w:t>
      </w:r>
      <w:r>
        <w:rPr>
          <w:rFonts w:eastAsia="宋体" w:cs="Times New Roman"/>
        </w:rPr>
        <w:t>PS</w:t>
      </w:r>
      <w:r>
        <w:rPr>
          <w:rFonts w:hint="eastAsia" w:eastAsia="宋体" w:cs="Times New Roman"/>
        </w:rPr>
        <w:t>接收器等部件组成</w:t>
      </w:r>
      <w:r>
        <w:rPr>
          <w:rFonts w:hint="eastAsia" w:eastAsia="宋体" w:cs="Times New Roman"/>
          <w:lang w:eastAsia="zh-CN"/>
        </w:rPr>
        <w:t>并</w:t>
      </w:r>
      <w:r>
        <w:rPr>
          <w:rFonts w:hint="eastAsia" w:eastAsia="宋体" w:cs="Times New Roman"/>
        </w:rPr>
        <w:t>应符合下列规定：</w:t>
      </w:r>
    </w:p>
    <w:p w14:paraId="30D337D2">
      <w:pPr>
        <w:ind w:firstLine="482" w:firstLineChars="200"/>
        <w:rPr>
          <w:rFonts w:eastAsia="宋体" w:cs="Times New Roman"/>
        </w:rPr>
      </w:pPr>
      <w:r>
        <w:rPr>
          <w:rFonts w:hint="eastAsia" w:eastAsia="宋体" w:cs="Times New Roman"/>
          <w:b/>
          <w:bCs/>
        </w:rPr>
        <w:t>1　</w:t>
      </w:r>
      <w:r>
        <w:rPr>
          <w:rFonts w:hint="eastAsia" w:eastAsia="宋体" w:cs="Times New Roman"/>
        </w:rPr>
        <w:t>数据采集系统</w:t>
      </w:r>
      <w:r>
        <w:rPr>
          <w:rFonts w:hint="eastAsia" w:eastAsia="宋体" w:cs="Times New Roman"/>
          <w:lang w:eastAsia="zh-CN"/>
        </w:rPr>
        <w:t>宜</w:t>
      </w:r>
      <w:r>
        <w:rPr>
          <w:rFonts w:hint="eastAsia" w:eastAsia="宋体" w:cs="Times New Roman"/>
        </w:rPr>
        <w:t>为铝质智能球，内部元器件</w:t>
      </w:r>
      <w:r>
        <w:rPr>
          <w:rFonts w:hint="eastAsia" w:eastAsia="宋体" w:cs="Times New Roman"/>
          <w:lang w:eastAsia="zh-CN"/>
        </w:rPr>
        <w:t>可</w:t>
      </w:r>
      <w:r>
        <w:rPr>
          <w:rFonts w:hint="eastAsia" w:eastAsia="宋体" w:cs="Times New Roman"/>
        </w:rPr>
        <w:t>由微处理器、声传感器、旋转传感器、温度传感器、声脉冲发射器、存储器和电池组等组成。</w:t>
      </w:r>
    </w:p>
    <w:p w14:paraId="3CEC6E17">
      <w:pPr>
        <w:ind w:firstLine="482" w:firstLineChars="200"/>
        <w:rPr>
          <w:rFonts w:eastAsia="宋体" w:cs="Times New Roman"/>
        </w:rPr>
      </w:pPr>
      <w:r>
        <w:rPr>
          <w:rFonts w:hint="eastAsia" w:eastAsia="宋体" w:cs="Times New Roman"/>
          <w:b/>
          <w:bCs/>
        </w:rPr>
        <w:t>2　</w:t>
      </w:r>
      <w:r>
        <w:rPr>
          <w:rFonts w:hint="eastAsia" w:eastAsia="宋体" w:cs="Times New Roman"/>
        </w:rPr>
        <w:t>收球装置</w:t>
      </w:r>
      <w:r>
        <w:rPr>
          <w:rFonts w:hint="eastAsia" w:eastAsia="宋体" w:cs="Times New Roman"/>
          <w:lang w:eastAsia="zh-CN"/>
        </w:rPr>
        <w:t>可</w:t>
      </w:r>
      <w:r>
        <w:rPr>
          <w:rFonts w:hint="eastAsia" w:eastAsia="宋体" w:cs="Times New Roman"/>
        </w:rPr>
        <w:t>由管组件、回收网及摄像头组成，回收网应能在动水中可靠地兜住智能球。</w:t>
      </w:r>
    </w:p>
    <w:p w14:paraId="26315417">
      <w:r>
        <w:rPr>
          <w:rFonts w:hint="eastAsia" w:eastAsia="宋体" w:cs="Times New Roman"/>
          <w:b/>
          <w:bCs/>
        </w:rPr>
        <w:t>8.2.2　</w:t>
      </w:r>
      <w:r>
        <w:rPr>
          <w:rFonts w:hint="eastAsia" w:eastAsia="宋体" w:cs="Times New Roman"/>
        </w:rPr>
        <w:t>动力伞检测设备应</w:t>
      </w:r>
      <w:r>
        <w:rPr>
          <w:rFonts w:hint="eastAsia"/>
        </w:rPr>
        <w:t>由摄像头、水听器、定位系统、主控制器、插入装置、送缆器、线缆车等部件组成</w:t>
      </w:r>
      <w:r>
        <w:rPr>
          <w:rFonts w:hint="eastAsia"/>
          <w:lang w:eastAsia="zh-CN"/>
        </w:rPr>
        <w:t>并</w:t>
      </w:r>
      <w:r>
        <w:rPr>
          <w:rFonts w:hint="eastAsia"/>
        </w:rPr>
        <w:t>应符合下列规定：</w:t>
      </w:r>
    </w:p>
    <w:p w14:paraId="2C8B7E0C">
      <w:pPr>
        <w:ind w:firstLine="482" w:firstLineChars="200"/>
      </w:pPr>
      <w:r>
        <w:rPr>
          <w:rFonts w:hint="eastAsia"/>
          <w:b/>
          <w:bCs/>
        </w:rPr>
        <w:t>1　</w:t>
      </w:r>
      <w:r>
        <w:rPr>
          <w:rFonts w:hint="eastAsia"/>
        </w:rPr>
        <w:t>摄像头技术指标应符合表4.2.1的规定；</w:t>
      </w:r>
    </w:p>
    <w:p w14:paraId="62BED157">
      <w:pPr>
        <w:ind w:firstLine="482" w:firstLineChars="200"/>
      </w:pPr>
      <w:r>
        <w:rPr>
          <w:rFonts w:hint="eastAsia"/>
          <w:b/>
          <w:bCs/>
        </w:rPr>
        <w:t>2　</w:t>
      </w:r>
      <w:r>
        <w:rPr>
          <w:rFonts w:hint="eastAsia"/>
        </w:rPr>
        <w:t>水听器技术指标应符合表8.2.2-1的规定；</w:t>
      </w:r>
    </w:p>
    <w:p w14:paraId="64E4103F">
      <w:pPr>
        <w:ind w:firstLine="482" w:firstLineChars="200"/>
      </w:pPr>
      <w:r>
        <w:rPr>
          <w:rFonts w:hint="eastAsia"/>
          <w:b/>
          <w:bCs/>
        </w:rPr>
        <w:t>3　</w:t>
      </w:r>
      <w:r>
        <w:rPr>
          <w:rFonts w:hint="eastAsia"/>
        </w:rPr>
        <w:t>定位系统技术指标应符合表8.2.2-2的规定；</w:t>
      </w:r>
    </w:p>
    <w:p w14:paraId="0D8059F2">
      <w:pPr>
        <w:ind w:firstLine="482" w:firstLineChars="200"/>
      </w:pPr>
      <w:r>
        <w:rPr>
          <w:rFonts w:hint="eastAsia"/>
          <w:b/>
          <w:bCs/>
        </w:rPr>
        <w:t>4　</w:t>
      </w:r>
      <w:r>
        <w:rPr>
          <w:rFonts w:hint="eastAsia"/>
        </w:rPr>
        <w:t>主控制器应具有在监视器上同步显示日期、时间、管径、在管道内行进距离等信息的功能</w:t>
      </w:r>
      <w:r>
        <w:rPr>
          <w:rFonts w:hint="eastAsia"/>
          <w:lang w:eastAsia="zh-CN"/>
        </w:rPr>
        <w:t>并</w:t>
      </w:r>
      <w:r>
        <w:rPr>
          <w:rFonts w:hint="eastAsia"/>
        </w:rPr>
        <w:t>应对数据处理；</w:t>
      </w:r>
    </w:p>
    <w:p w14:paraId="66FDED7B">
      <w:pPr>
        <w:ind w:firstLine="482" w:firstLineChars="200"/>
      </w:pPr>
      <w:r>
        <w:rPr>
          <w:rFonts w:hint="eastAsia"/>
          <w:b/>
          <w:bCs/>
        </w:rPr>
        <w:t>5　</w:t>
      </w:r>
      <w:r>
        <w:rPr>
          <w:rFonts w:hint="eastAsia"/>
        </w:rPr>
        <w:t>插入装置应能带压投放探测器进入管道内部检测；</w:t>
      </w:r>
    </w:p>
    <w:p w14:paraId="18FBE9E4">
      <w:pPr>
        <w:ind w:firstLine="482" w:firstLineChars="200"/>
      </w:pPr>
      <w:r>
        <w:rPr>
          <w:rFonts w:hint="eastAsia"/>
          <w:b/>
          <w:bCs/>
        </w:rPr>
        <w:t>6　</w:t>
      </w:r>
      <w:r>
        <w:t>适用水压</w:t>
      </w:r>
      <w:r>
        <w:rPr>
          <w:rFonts w:hint="eastAsia"/>
        </w:rPr>
        <w:t>宜为</w:t>
      </w:r>
      <w:r>
        <w:t>0.1MPa～1.6MPa</w:t>
      </w:r>
      <w:r>
        <w:rPr>
          <w:rFonts w:hint="eastAsia"/>
        </w:rPr>
        <w:t>，单次检测长度不应小于1500m。</w:t>
      </w:r>
    </w:p>
    <w:p w14:paraId="2AEA66CF">
      <w:pPr>
        <w:pStyle w:val="105"/>
        <w:widowControl/>
        <w:ind w:firstLine="422" w:firstLineChars="200"/>
      </w:pPr>
      <w:r>
        <w:rPr>
          <w:rFonts w:hint="eastAsia"/>
        </w:rPr>
        <w:t>表</w:t>
      </w:r>
      <w:r>
        <w:t>8</w:t>
      </w:r>
      <w:r>
        <w:rPr>
          <w:rFonts w:hint="eastAsia"/>
        </w:rPr>
        <w:t>.2.2-1　水听器技术指标</w:t>
      </w:r>
    </w:p>
    <w:tbl>
      <w:tblPr>
        <w:tblStyle w:val="30"/>
        <w:tblW w:w="79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44"/>
        <w:gridCol w:w="4300"/>
      </w:tblGrid>
      <w:tr w14:paraId="17343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091B1F5A">
            <w:pPr>
              <w:widowControl/>
              <w:spacing w:line="240" w:lineRule="auto"/>
              <w:jc w:val="center"/>
              <w:rPr>
                <w:kern w:val="0"/>
                <w:sz w:val="21"/>
                <w:szCs w:val="21"/>
                <w:lang w:bidi="ar"/>
              </w:rPr>
            </w:pPr>
            <w:r>
              <w:rPr>
                <w:kern w:val="0"/>
                <w:sz w:val="21"/>
                <w:szCs w:val="21"/>
                <w:lang w:bidi="ar"/>
              </w:rPr>
              <w:t>项目</w:t>
            </w:r>
          </w:p>
        </w:tc>
        <w:tc>
          <w:tcPr>
            <w:tcW w:w="4300" w:type="dxa"/>
            <w:tcBorders>
              <w:tl2br w:val="nil"/>
              <w:tr2bl w:val="nil"/>
            </w:tcBorders>
            <w:vAlign w:val="center"/>
          </w:tcPr>
          <w:p w14:paraId="6B3A2016">
            <w:pPr>
              <w:widowControl/>
              <w:spacing w:line="240" w:lineRule="auto"/>
              <w:jc w:val="center"/>
              <w:rPr>
                <w:kern w:val="0"/>
                <w:sz w:val="21"/>
                <w:szCs w:val="21"/>
                <w:lang w:bidi="ar"/>
              </w:rPr>
            </w:pPr>
            <w:r>
              <w:rPr>
                <w:kern w:val="0"/>
                <w:sz w:val="21"/>
                <w:szCs w:val="21"/>
                <w:lang w:bidi="ar"/>
              </w:rPr>
              <w:t>技术指标</w:t>
            </w:r>
          </w:p>
        </w:tc>
      </w:tr>
      <w:tr w14:paraId="27769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4157C0BB">
            <w:pPr>
              <w:widowControl/>
              <w:spacing w:line="240" w:lineRule="auto"/>
              <w:jc w:val="center"/>
              <w:rPr>
                <w:kern w:val="0"/>
                <w:sz w:val="21"/>
                <w:szCs w:val="21"/>
                <w:lang w:bidi="ar"/>
              </w:rPr>
            </w:pPr>
            <w:r>
              <w:rPr>
                <w:sz w:val="21"/>
                <w:szCs w:val="21"/>
              </w:rPr>
              <w:t>最小探测漏</w:t>
            </w:r>
            <w:r>
              <w:rPr>
                <w:rFonts w:hint="eastAsia"/>
                <w:sz w:val="21"/>
                <w:szCs w:val="21"/>
              </w:rPr>
              <w:t>量</w:t>
            </w:r>
          </w:p>
        </w:tc>
        <w:tc>
          <w:tcPr>
            <w:tcW w:w="4300" w:type="dxa"/>
            <w:tcBorders>
              <w:tl2br w:val="nil"/>
              <w:tr2bl w:val="nil"/>
            </w:tcBorders>
            <w:vAlign w:val="center"/>
          </w:tcPr>
          <w:p w14:paraId="7B22C845">
            <w:pPr>
              <w:widowControl/>
              <w:spacing w:line="240" w:lineRule="auto"/>
              <w:jc w:val="center"/>
              <w:rPr>
                <w:kern w:val="0"/>
                <w:sz w:val="21"/>
                <w:szCs w:val="21"/>
                <w:lang w:bidi="ar"/>
              </w:rPr>
            </w:pPr>
            <w:r>
              <w:rPr>
                <w:rFonts w:hint="eastAsia"/>
                <w:sz w:val="21"/>
                <w:szCs w:val="21"/>
              </w:rPr>
              <w:t>≤</w:t>
            </w:r>
            <w:r>
              <w:rPr>
                <w:sz w:val="21"/>
                <w:szCs w:val="21"/>
              </w:rPr>
              <w:t>0.2L/min</w:t>
            </w:r>
          </w:p>
        </w:tc>
      </w:tr>
      <w:tr w14:paraId="7EBE8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6E2059CA">
            <w:pPr>
              <w:widowControl/>
              <w:spacing w:line="240" w:lineRule="auto"/>
              <w:jc w:val="center"/>
              <w:rPr>
                <w:kern w:val="0"/>
                <w:sz w:val="21"/>
                <w:szCs w:val="21"/>
                <w:lang w:bidi="ar"/>
              </w:rPr>
            </w:pPr>
            <w:r>
              <w:rPr>
                <w:rFonts w:hint="eastAsia"/>
                <w:sz w:val="21"/>
                <w:szCs w:val="21"/>
              </w:rPr>
              <w:t>工作频率范围</w:t>
            </w:r>
          </w:p>
        </w:tc>
        <w:tc>
          <w:tcPr>
            <w:tcW w:w="4300" w:type="dxa"/>
            <w:tcBorders>
              <w:tl2br w:val="nil"/>
              <w:tr2bl w:val="nil"/>
            </w:tcBorders>
            <w:vAlign w:val="center"/>
          </w:tcPr>
          <w:p w14:paraId="0DDE30CC">
            <w:pPr>
              <w:widowControl/>
              <w:spacing w:line="240" w:lineRule="auto"/>
              <w:jc w:val="center"/>
              <w:rPr>
                <w:kern w:val="0"/>
                <w:sz w:val="21"/>
                <w:szCs w:val="21"/>
                <w:lang w:bidi="ar"/>
              </w:rPr>
            </w:pPr>
            <w:r>
              <w:rPr>
                <w:rFonts w:hint="eastAsia"/>
                <w:sz w:val="21"/>
                <w:szCs w:val="21"/>
              </w:rPr>
              <w:t>覆盖</w:t>
            </w:r>
            <w:r>
              <w:rPr>
                <w:sz w:val="21"/>
                <w:szCs w:val="21"/>
              </w:rPr>
              <w:t>20H</w:t>
            </w:r>
            <w:r>
              <w:rPr>
                <w:rFonts w:hint="eastAsia"/>
                <w:sz w:val="21"/>
                <w:szCs w:val="21"/>
              </w:rPr>
              <w:t>z～</w:t>
            </w:r>
            <w:r>
              <w:rPr>
                <w:sz w:val="21"/>
                <w:szCs w:val="21"/>
              </w:rPr>
              <w:t>20000H</w:t>
            </w:r>
            <w:r>
              <w:rPr>
                <w:rFonts w:hint="eastAsia"/>
                <w:sz w:val="21"/>
                <w:szCs w:val="21"/>
              </w:rPr>
              <w:t>z</w:t>
            </w:r>
          </w:p>
        </w:tc>
      </w:tr>
      <w:tr w14:paraId="37CF8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0838D40D">
            <w:pPr>
              <w:widowControl/>
              <w:spacing w:line="240" w:lineRule="auto"/>
              <w:jc w:val="center"/>
              <w:rPr>
                <w:kern w:val="0"/>
                <w:sz w:val="21"/>
                <w:szCs w:val="21"/>
                <w:lang w:bidi="ar"/>
              </w:rPr>
            </w:pPr>
            <w:r>
              <w:rPr>
                <w:rFonts w:hint="eastAsia"/>
                <w:sz w:val="21"/>
                <w:szCs w:val="21"/>
              </w:rPr>
              <w:t>工作温度</w:t>
            </w:r>
          </w:p>
        </w:tc>
        <w:tc>
          <w:tcPr>
            <w:tcW w:w="4300" w:type="dxa"/>
            <w:tcBorders>
              <w:tl2br w:val="nil"/>
              <w:tr2bl w:val="nil"/>
            </w:tcBorders>
            <w:vAlign w:val="center"/>
          </w:tcPr>
          <w:p w14:paraId="175DBB80">
            <w:pPr>
              <w:widowControl/>
              <w:spacing w:line="240" w:lineRule="auto"/>
              <w:jc w:val="center"/>
              <w:rPr>
                <w:kern w:val="0"/>
                <w:sz w:val="21"/>
                <w:szCs w:val="21"/>
                <w:lang w:bidi="ar"/>
              </w:rPr>
            </w:pPr>
            <w:r>
              <w:rPr>
                <w:rFonts w:hint="eastAsia"/>
                <w:sz w:val="21"/>
                <w:szCs w:val="21"/>
              </w:rPr>
              <w:t>0℃～</w:t>
            </w:r>
            <w:r>
              <w:rPr>
                <w:sz w:val="21"/>
                <w:szCs w:val="21"/>
              </w:rPr>
              <w:t>40</w:t>
            </w:r>
            <w:r>
              <w:rPr>
                <w:rFonts w:hint="eastAsia"/>
                <w:sz w:val="21"/>
                <w:szCs w:val="21"/>
              </w:rPr>
              <w:t>℃</w:t>
            </w:r>
          </w:p>
        </w:tc>
      </w:tr>
      <w:tr w14:paraId="6FEB7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7ADC476F">
            <w:pPr>
              <w:widowControl/>
              <w:spacing w:line="240" w:lineRule="auto"/>
              <w:jc w:val="center"/>
              <w:rPr>
                <w:kern w:val="0"/>
                <w:sz w:val="21"/>
                <w:szCs w:val="21"/>
                <w:lang w:bidi="ar"/>
              </w:rPr>
            </w:pPr>
            <w:r>
              <w:rPr>
                <w:sz w:val="21"/>
                <w:szCs w:val="21"/>
              </w:rPr>
              <w:t>适用水压</w:t>
            </w:r>
          </w:p>
        </w:tc>
        <w:tc>
          <w:tcPr>
            <w:tcW w:w="4300" w:type="dxa"/>
            <w:tcBorders>
              <w:tl2br w:val="nil"/>
              <w:tr2bl w:val="nil"/>
            </w:tcBorders>
            <w:vAlign w:val="center"/>
          </w:tcPr>
          <w:p w14:paraId="4E63BADF">
            <w:pPr>
              <w:widowControl/>
              <w:spacing w:line="240" w:lineRule="auto"/>
              <w:jc w:val="center"/>
              <w:rPr>
                <w:kern w:val="0"/>
                <w:sz w:val="21"/>
                <w:szCs w:val="21"/>
                <w:lang w:bidi="ar"/>
              </w:rPr>
            </w:pPr>
            <w:r>
              <w:rPr>
                <w:sz w:val="21"/>
                <w:szCs w:val="21"/>
              </w:rPr>
              <w:t>0.1MPa</w:t>
            </w:r>
            <w:r>
              <w:rPr>
                <w:rFonts w:hint="eastAsia"/>
                <w:sz w:val="21"/>
                <w:szCs w:val="21"/>
              </w:rPr>
              <w:t>～</w:t>
            </w:r>
            <w:r>
              <w:rPr>
                <w:sz w:val="21"/>
                <w:szCs w:val="21"/>
              </w:rPr>
              <w:t>1.6MPa</w:t>
            </w:r>
          </w:p>
        </w:tc>
      </w:tr>
      <w:tr w14:paraId="241F0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57F27FAC">
            <w:pPr>
              <w:widowControl/>
              <w:spacing w:line="240" w:lineRule="auto"/>
              <w:jc w:val="center"/>
              <w:rPr>
                <w:kern w:val="0"/>
                <w:sz w:val="21"/>
                <w:szCs w:val="21"/>
                <w:lang w:bidi="ar"/>
              </w:rPr>
            </w:pPr>
            <w:r>
              <w:rPr>
                <w:rFonts w:hint="eastAsia"/>
                <w:kern w:val="0"/>
                <w:sz w:val="21"/>
                <w:szCs w:val="21"/>
                <w:lang w:bidi="ar"/>
              </w:rPr>
              <w:t>防护等级</w:t>
            </w:r>
          </w:p>
        </w:tc>
        <w:tc>
          <w:tcPr>
            <w:tcW w:w="4300" w:type="dxa"/>
            <w:tcBorders>
              <w:tl2br w:val="nil"/>
              <w:tr2bl w:val="nil"/>
            </w:tcBorders>
            <w:vAlign w:val="center"/>
          </w:tcPr>
          <w:p w14:paraId="300A6C6E">
            <w:pPr>
              <w:widowControl/>
              <w:spacing w:line="240" w:lineRule="auto"/>
              <w:jc w:val="center"/>
              <w:rPr>
                <w:sz w:val="21"/>
                <w:szCs w:val="21"/>
              </w:rPr>
            </w:pPr>
            <w:r>
              <w:rPr>
                <w:sz w:val="21"/>
                <w:szCs w:val="21"/>
              </w:rPr>
              <w:t>IP68</w:t>
            </w:r>
          </w:p>
        </w:tc>
      </w:tr>
    </w:tbl>
    <w:p w14:paraId="1A3141E1">
      <w:pPr>
        <w:pStyle w:val="105"/>
        <w:widowControl/>
        <w:ind w:firstLine="422" w:firstLineChars="200"/>
      </w:pPr>
      <w:r>
        <w:rPr>
          <w:rFonts w:hint="eastAsia"/>
        </w:rPr>
        <w:t>表</w:t>
      </w:r>
      <w:r>
        <w:t>8</w:t>
      </w:r>
      <w:r>
        <w:rPr>
          <w:rFonts w:hint="eastAsia"/>
        </w:rPr>
        <w:t>.2.2-2　定位系统技术指标</w:t>
      </w:r>
    </w:p>
    <w:tbl>
      <w:tblPr>
        <w:tblStyle w:val="30"/>
        <w:tblW w:w="79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44"/>
        <w:gridCol w:w="4300"/>
      </w:tblGrid>
      <w:tr w14:paraId="63952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572EA689">
            <w:pPr>
              <w:widowControl/>
              <w:spacing w:line="240" w:lineRule="auto"/>
              <w:jc w:val="center"/>
              <w:rPr>
                <w:kern w:val="0"/>
                <w:sz w:val="21"/>
                <w:szCs w:val="21"/>
                <w:lang w:bidi="ar"/>
              </w:rPr>
            </w:pPr>
            <w:r>
              <w:rPr>
                <w:kern w:val="0"/>
                <w:sz w:val="21"/>
                <w:szCs w:val="21"/>
                <w:lang w:bidi="ar"/>
              </w:rPr>
              <w:t>项目</w:t>
            </w:r>
          </w:p>
        </w:tc>
        <w:tc>
          <w:tcPr>
            <w:tcW w:w="4300" w:type="dxa"/>
            <w:tcBorders>
              <w:tl2br w:val="nil"/>
              <w:tr2bl w:val="nil"/>
            </w:tcBorders>
            <w:vAlign w:val="center"/>
          </w:tcPr>
          <w:p w14:paraId="0701B4A0">
            <w:pPr>
              <w:widowControl/>
              <w:spacing w:line="240" w:lineRule="auto"/>
              <w:jc w:val="center"/>
              <w:rPr>
                <w:kern w:val="0"/>
                <w:sz w:val="21"/>
                <w:szCs w:val="21"/>
                <w:lang w:bidi="ar"/>
              </w:rPr>
            </w:pPr>
            <w:r>
              <w:rPr>
                <w:kern w:val="0"/>
                <w:sz w:val="21"/>
                <w:szCs w:val="21"/>
                <w:lang w:bidi="ar"/>
              </w:rPr>
              <w:t>技术指标</w:t>
            </w:r>
          </w:p>
        </w:tc>
      </w:tr>
      <w:tr w14:paraId="104DE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6FEA7A76">
            <w:pPr>
              <w:widowControl/>
              <w:spacing w:line="240" w:lineRule="auto"/>
              <w:jc w:val="center"/>
              <w:rPr>
                <w:kern w:val="0"/>
                <w:sz w:val="21"/>
                <w:szCs w:val="21"/>
                <w:lang w:bidi="ar"/>
              </w:rPr>
            </w:pPr>
            <w:r>
              <w:rPr>
                <w:sz w:val="21"/>
                <w:szCs w:val="21"/>
              </w:rPr>
              <w:t>定位精度</w:t>
            </w:r>
          </w:p>
        </w:tc>
        <w:tc>
          <w:tcPr>
            <w:tcW w:w="4300" w:type="dxa"/>
            <w:tcBorders>
              <w:tl2br w:val="nil"/>
              <w:tr2bl w:val="nil"/>
            </w:tcBorders>
            <w:vAlign w:val="center"/>
          </w:tcPr>
          <w:p w14:paraId="30896BF6">
            <w:pPr>
              <w:widowControl/>
              <w:spacing w:line="240" w:lineRule="auto"/>
              <w:jc w:val="center"/>
              <w:rPr>
                <w:kern w:val="0"/>
                <w:sz w:val="21"/>
                <w:szCs w:val="21"/>
                <w:lang w:bidi="ar"/>
              </w:rPr>
            </w:pPr>
            <w:r>
              <w:rPr>
                <w:sz w:val="21"/>
                <w:szCs w:val="21"/>
              </w:rPr>
              <w:t>±0.5m</w:t>
            </w:r>
          </w:p>
        </w:tc>
      </w:tr>
      <w:tr w14:paraId="03CB7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4E56DD73">
            <w:pPr>
              <w:widowControl/>
              <w:spacing w:line="240" w:lineRule="auto"/>
              <w:jc w:val="center"/>
              <w:rPr>
                <w:kern w:val="0"/>
                <w:sz w:val="21"/>
                <w:szCs w:val="21"/>
                <w:lang w:bidi="ar"/>
              </w:rPr>
            </w:pPr>
            <w:r>
              <w:rPr>
                <w:sz w:val="21"/>
                <w:szCs w:val="21"/>
              </w:rPr>
              <w:t>定位深度</w:t>
            </w:r>
          </w:p>
        </w:tc>
        <w:tc>
          <w:tcPr>
            <w:tcW w:w="4300" w:type="dxa"/>
            <w:tcBorders>
              <w:tl2br w:val="nil"/>
              <w:tr2bl w:val="nil"/>
            </w:tcBorders>
            <w:vAlign w:val="center"/>
          </w:tcPr>
          <w:p w14:paraId="28714D11">
            <w:pPr>
              <w:widowControl/>
              <w:spacing w:line="240" w:lineRule="auto"/>
              <w:jc w:val="center"/>
              <w:rPr>
                <w:kern w:val="0"/>
                <w:sz w:val="21"/>
                <w:szCs w:val="21"/>
                <w:lang w:bidi="ar"/>
              </w:rPr>
            </w:pPr>
            <w:r>
              <w:rPr>
                <w:rFonts w:hint="eastAsia"/>
                <w:sz w:val="21"/>
                <w:szCs w:val="21"/>
              </w:rPr>
              <w:t>≥</w:t>
            </w:r>
            <w:r>
              <w:rPr>
                <w:sz w:val="21"/>
                <w:szCs w:val="21"/>
              </w:rPr>
              <w:t>6</w:t>
            </w:r>
            <w:r>
              <w:rPr>
                <w:rFonts w:hint="eastAsia"/>
                <w:sz w:val="21"/>
                <w:szCs w:val="21"/>
              </w:rPr>
              <w:t>m</w:t>
            </w:r>
          </w:p>
        </w:tc>
      </w:tr>
      <w:tr w14:paraId="43131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4" w:type="dxa"/>
            <w:tcBorders>
              <w:tl2br w:val="nil"/>
              <w:tr2bl w:val="nil"/>
            </w:tcBorders>
            <w:vAlign w:val="center"/>
          </w:tcPr>
          <w:p w14:paraId="58620FCA">
            <w:pPr>
              <w:widowControl/>
              <w:spacing w:line="240" w:lineRule="auto"/>
              <w:jc w:val="center"/>
              <w:rPr>
                <w:kern w:val="0"/>
                <w:sz w:val="21"/>
                <w:szCs w:val="21"/>
                <w:lang w:bidi="ar"/>
              </w:rPr>
            </w:pPr>
            <w:r>
              <w:rPr>
                <w:rFonts w:hint="eastAsia"/>
                <w:sz w:val="21"/>
                <w:szCs w:val="21"/>
              </w:rPr>
              <w:t>工作温度</w:t>
            </w:r>
          </w:p>
        </w:tc>
        <w:tc>
          <w:tcPr>
            <w:tcW w:w="4300" w:type="dxa"/>
            <w:tcBorders>
              <w:tl2br w:val="nil"/>
              <w:tr2bl w:val="nil"/>
            </w:tcBorders>
            <w:vAlign w:val="center"/>
          </w:tcPr>
          <w:p w14:paraId="3D029E40">
            <w:pPr>
              <w:widowControl/>
              <w:spacing w:line="240" w:lineRule="auto"/>
              <w:jc w:val="center"/>
              <w:rPr>
                <w:kern w:val="0"/>
                <w:sz w:val="21"/>
                <w:szCs w:val="21"/>
                <w:lang w:bidi="ar"/>
              </w:rPr>
            </w:pPr>
            <w:r>
              <w:rPr>
                <w:rFonts w:hint="eastAsia"/>
                <w:sz w:val="21"/>
                <w:szCs w:val="21"/>
              </w:rPr>
              <w:t>0℃～</w:t>
            </w:r>
            <w:r>
              <w:rPr>
                <w:sz w:val="21"/>
                <w:szCs w:val="21"/>
              </w:rPr>
              <w:t>40</w:t>
            </w:r>
            <w:r>
              <w:rPr>
                <w:rFonts w:hint="eastAsia"/>
                <w:sz w:val="21"/>
                <w:szCs w:val="21"/>
              </w:rPr>
              <w:t>℃</w:t>
            </w:r>
          </w:p>
        </w:tc>
      </w:tr>
    </w:tbl>
    <w:p w14:paraId="4E33E1ED"/>
    <w:p w14:paraId="539BD801">
      <w:pPr>
        <w:pStyle w:val="5"/>
      </w:pPr>
      <w:bookmarkStart w:id="220" w:name="_Toc15084"/>
      <w:bookmarkStart w:id="221" w:name="_Toc18863"/>
      <w:bookmarkStart w:id="222" w:name="_Toc19759"/>
      <w:bookmarkStart w:id="223" w:name="_Toc181825567"/>
      <w:bookmarkStart w:id="224" w:name="_Toc1930"/>
      <w:r>
        <w:rPr>
          <w:rFonts w:hint="eastAsia"/>
        </w:rPr>
        <w:t>8.3　检测方法</w:t>
      </w:r>
      <w:bookmarkEnd w:id="220"/>
      <w:bookmarkEnd w:id="221"/>
      <w:bookmarkEnd w:id="222"/>
      <w:bookmarkEnd w:id="223"/>
      <w:bookmarkEnd w:id="224"/>
    </w:p>
    <w:p w14:paraId="20080C0D">
      <w:pPr>
        <w:rPr>
          <w:rFonts w:eastAsia="宋体" w:cs="Times New Roman"/>
        </w:rPr>
      </w:pPr>
      <w:r>
        <w:rPr>
          <w:rFonts w:eastAsia="宋体" w:cs="Times New Roman"/>
          <w:b/>
          <w:bCs/>
        </w:rPr>
        <w:t>8</w:t>
      </w:r>
      <w:r>
        <w:rPr>
          <w:rFonts w:hint="eastAsia" w:eastAsia="宋体" w:cs="Times New Roman"/>
          <w:b/>
          <w:bCs/>
        </w:rPr>
        <w:t>.3.1　</w:t>
      </w:r>
      <w:r>
        <w:rPr>
          <w:rFonts w:hint="eastAsia" w:eastAsia="宋体" w:cs="Times New Roman"/>
        </w:rPr>
        <w:t>自由行进式检测应按下列步骤操作：</w:t>
      </w:r>
    </w:p>
    <w:p w14:paraId="5CFC3F91">
      <w:pPr>
        <w:ind w:firstLine="482" w:firstLineChars="200"/>
        <w:rPr>
          <w:rFonts w:eastAsia="宋体" w:cs="Times New Roman"/>
        </w:rPr>
      </w:pPr>
      <w:r>
        <w:rPr>
          <w:rFonts w:eastAsia="宋体" w:cs="Times New Roman"/>
          <w:b/>
          <w:bCs/>
        </w:rPr>
        <w:t>1　</w:t>
      </w:r>
      <w:r>
        <w:rPr>
          <w:rFonts w:hint="eastAsia" w:eastAsia="宋体" w:cs="Times New Roman"/>
        </w:rPr>
        <w:t>依据管径及流速选择回收网，回收装置安装在闸阀上，插入网并展开；</w:t>
      </w:r>
    </w:p>
    <w:p w14:paraId="7D0D3FD0">
      <w:pPr>
        <w:ind w:firstLine="482" w:firstLineChars="200"/>
        <w:rPr>
          <w:rFonts w:eastAsia="宋体" w:cs="Times New Roman"/>
        </w:rPr>
      </w:pPr>
      <w:r>
        <w:rPr>
          <w:rFonts w:eastAsia="宋体" w:cs="Times New Roman"/>
          <w:b/>
          <w:bCs/>
        </w:rPr>
        <w:t>2　</w:t>
      </w:r>
      <w:r>
        <w:rPr>
          <w:rFonts w:hint="eastAsia" w:eastAsia="宋体" w:cs="Times New Roman"/>
        </w:rPr>
        <w:t>检测前调试智能球，启动数据采集，在智能球上套泡沫球；</w:t>
      </w:r>
    </w:p>
    <w:p w14:paraId="7458D9ED">
      <w:pPr>
        <w:ind w:firstLine="482" w:firstLineChars="200"/>
        <w:rPr>
          <w:rFonts w:eastAsia="宋体" w:cs="Times New Roman"/>
        </w:rPr>
      </w:pPr>
      <w:r>
        <w:rPr>
          <w:rFonts w:eastAsia="宋体" w:cs="Times New Roman"/>
          <w:b/>
          <w:bCs/>
        </w:rPr>
        <w:t>3　</w:t>
      </w:r>
      <w:r>
        <w:rPr>
          <w:rFonts w:hint="eastAsia" w:eastAsia="宋体" w:cs="Times New Roman"/>
        </w:rPr>
        <w:t>检测前关闭待检测管线上</w:t>
      </w:r>
      <w:r>
        <w:rPr>
          <w:rFonts w:eastAsia="宋体" w:cs="Times New Roman"/>
        </w:rPr>
        <w:t>DN75及以上的支管，确认智能球经</w:t>
      </w:r>
      <w:r>
        <w:rPr>
          <w:rFonts w:hint="eastAsia" w:eastAsia="宋体" w:cs="Times New Roman"/>
        </w:rPr>
        <w:t>过</w:t>
      </w:r>
      <w:r>
        <w:rPr>
          <w:rFonts w:eastAsia="宋体" w:cs="Times New Roman"/>
        </w:rPr>
        <w:t>支管后方可打开支管阀门；</w:t>
      </w:r>
    </w:p>
    <w:p w14:paraId="590A4348">
      <w:pPr>
        <w:ind w:firstLine="482" w:firstLineChars="200"/>
        <w:rPr>
          <w:rFonts w:eastAsia="宋体" w:cs="Times New Roman"/>
        </w:rPr>
      </w:pPr>
      <w:r>
        <w:rPr>
          <w:rFonts w:eastAsia="宋体" w:cs="Times New Roman"/>
          <w:b/>
          <w:bCs/>
        </w:rPr>
        <w:t>4　</w:t>
      </w:r>
      <w:r>
        <w:rPr>
          <w:rFonts w:hint="eastAsia" w:eastAsia="宋体" w:cs="Times New Roman"/>
        </w:rPr>
        <w:t>将投球装置安装在投球点闸阀上，确认追踪小组已就位时将球投入管道；</w:t>
      </w:r>
    </w:p>
    <w:p w14:paraId="35D6BB29">
      <w:pPr>
        <w:ind w:firstLine="482" w:firstLineChars="200"/>
        <w:rPr>
          <w:rFonts w:eastAsia="宋体" w:cs="Times New Roman"/>
        </w:rPr>
      </w:pPr>
      <w:r>
        <w:rPr>
          <w:rFonts w:eastAsia="宋体" w:cs="Times New Roman"/>
          <w:b/>
          <w:bCs/>
        </w:rPr>
        <w:t>5　</w:t>
      </w:r>
      <w:r>
        <w:rPr>
          <w:rFonts w:hint="eastAsia" w:eastAsia="宋体" w:cs="Times New Roman"/>
        </w:rPr>
        <w:t>至少配备3组追踪系统，智能球经过监视阀门井后，移至下一追踪点继续追踪。追踪系统确认追踪信号接收正常，监视智能球与即将经过阀门井之间的距离及到达时间。追踪点信号如有异常，应做好记录；</w:t>
      </w:r>
    </w:p>
    <w:p w14:paraId="6E44601B">
      <w:pPr>
        <w:ind w:firstLine="482" w:firstLineChars="200"/>
        <w:rPr>
          <w:rFonts w:eastAsia="宋体" w:cs="Times New Roman"/>
        </w:rPr>
      </w:pPr>
      <w:r>
        <w:rPr>
          <w:rFonts w:eastAsia="宋体" w:cs="Times New Roman"/>
          <w:b/>
          <w:bCs/>
        </w:rPr>
        <w:t>6　</w:t>
      </w:r>
      <w:r>
        <w:rPr>
          <w:rFonts w:hint="eastAsia" w:eastAsia="宋体" w:cs="Times New Roman"/>
        </w:rPr>
        <w:t>通过粘贴在回收井中的传感器以及固定在回收网上的摄像头确认智能球进入回收网后，将回收网拔出管道，取出智能球。</w:t>
      </w:r>
    </w:p>
    <w:p w14:paraId="70AD6142">
      <w:pPr>
        <w:rPr>
          <w:rFonts w:eastAsia="宋体" w:cs="Times New Roman"/>
        </w:rPr>
      </w:pPr>
      <w:r>
        <w:rPr>
          <w:rFonts w:hint="eastAsia" w:eastAsia="宋体" w:cs="Times New Roman"/>
          <w:b/>
          <w:bCs/>
        </w:rPr>
        <w:t>8.3.2　</w:t>
      </w:r>
      <w:r>
        <w:rPr>
          <w:rFonts w:hint="eastAsia" w:eastAsia="宋体" w:cs="Times New Roman"/>
        </w:rPr>
        <w:t>动力伞噪声管内检测应符合</w:t>
      </w:r>
      <w:r>
        <w:rPr>
          <w:rFonts w:hint="eastAsia" w:eastAsia="宋体" w:cs="Times New Roman"/>
          <w:lang w:eastAsia="zh-CN"/>
        </w:rPr>
        <w:t>本标准</w:t>
      </w:r>
      <w:r>
        <w:rPr>
          <w:rFonts w:hint="eastAsia" w:eastAsia="宋体" w:cs="Times New Roman"/>
        </w:rPr>
        <w:t>第4.3.1条的规定。</w:t>
      </w:r>
    </w:p>
    <w:p w14:paraId="49645A2D">
      <w:pPr>
        <w:ind w:firstLine="480" w:firstLineChars="200"/>
        <w:rPr>
          <w:rFonts w:eastAsia="宋体" w:cs="Times New Roman"/>
        </w:rPr>
      </w:pPr>
    </w:p>
    <w:p w14:paraId="54AF94C3">
      <w:pPr>
        <w:pStyle w:val="5"/>
      </w:pPr>
      <w:bookmarkStart w:id="225" w:name="_Toc6920"/>
      <w:bookmarkStart w:id="226" w:name="_Toc181825568"/>
      <w:bookmarkStart w:id="227" w:name="_Toc19591"/>
      <w:bookmarkStart w:id="228" w:name="_Toc1537"/>
      <w:bookmarkStart w:id="229" w:name="_Toc12758"/>
      <w:r>
        <w:rPr>
          <w:rFonts w:hint="eastAsia"/>
        </w:rPr>
        <w:t>8.4　结果判读</w:t>
      </w:r>
      <w:bookmarkEnd w:id="225"/>
      <w:bookmarkEnd w:id="226"/>
      <w:bookmarkEnd w:id="227"/>
      <w:bookmarkEnd w:id="228"/>
      <w:bookmarkEnd w:id="229"/>
    </w:p>
    <w:p w14:paraId="4D05E5A4">
      <w:pPr>
        <w:rPr>
          <w:rFonts w:eastAsia="宋体" w:cs="Times New Roman"/>
        </w:rPr>
      </w:pPr>
      <w:r>
        <w:rPr>
          <w:rFonts w:eastAsia="宋体" w:cs="Times New Roman"/>
          <w:b/>
        </w:rPr>
        <w:t>8</w:t>
      </w:r>
      <w:r>
        <w:rPr>
          <w:rFonts w:hint="eastAsia" w:eastAsia="宋体" w:cs="Times New Roman"/>
          <w:b/>
        </w:rPr>
        <w:t>.4.1　</w:t>
      </w:r>
      <w:r>
        <w:rPr>
          <w:rFonts w:hint="eastAsia" w:eastAsia="宋体" w:cs="Times New Roman"/>
        </w:rPr>
        <w:t>自由行进式检测</w:t>
      </w:r>
      <w:r>
        <w:rPr>
          <w:rFonts w:hint="eastAsia"/>
        </w:rPr>
        <w:t>结果判读</w:t>
      </w:r>
      <w:r>
        <w:rPr>
          <w:rFonts w:hint="eastAsia" w:eastAsia="宋体" w:cs="Times New Roman"/>
        </w:rPr>
        <w:t>应符合下列规定：</w:t>
      </w:r>
    </w:p>
    <w:p w14:paraId="4F863DE0">
      <w:pPr>
        <w:ind w:firstLine="482" w:firstLineChars="200"/>
        <w:rPr>
          <w:rFonts w:eastAsia="宋体" w:cs="Times New Roman"/>
        </w:rPr>
      </w:pPr>
      <w:bookmarkStart w:id="230" w:name="OLE_LINK12"/>
      <w:r>
        <w:rPr>
          <w:rFonts w:hint="eastAsia" w:eastAsia="宋体" w:cs="Times New Roman"/>
          <w:b/>
          <w:bCs/>
        </w:rPr>
        <w:t>1　</w:t>
      </w:r>
      <w:bookmarkEnd w:id="230"/>
      <w:r>
        <w:rPr>
          <w:rFonts w:hint="eastAsia" w:eastAsia="宋体" w:cs="Times New Roman"/>
          <w:lang w:eastAsia="zh-CN"/>
        </w:rPr>
        <w:t>应</w:t>
      </w:r>
      <w:r>
        <w:rPr>
          <w:rFonts w:hint="eastAsia" w:eastAsia="宋体" w:cs="Times New Roman"/>
        </w:rPr>
        <w:t>依据检测信号及记录的声音分析漏点及气囊，漏点及气囊位置</w:t>
      </w:r>
      <w:r>
        <w:rPr>
          <w:rFonts w:hint="eastAsia" w:eastAsia="宋体" w:cs="Times New Roman"/>
          <w:lang w:eastAsia="zh-CN"/>
        </w:rPr>
        <w:t>宜</w:t>
      </w:r>
      <w:r>
        <w:rPr>
          <w:rFonts w:hint="eastAsia" w:eastAsia="宋体" w:cs="Times New Roman"/>
        </w:rPr>
        <w:t>通过追踪点记录的智能球通过时间、智能球在管道内滚动的圈数、弯头及管道附属设施信号，结合图纸综合判定；</w:t>
      </w:r>
    </w:p>
    <w:p w14:paraId="31B823B1">
      <w:pPr>
        <w:ind w:firstLine="482" w:firstLineChars="200"/>
        <w:rPr>
          <w:rFonts w:eastAsia="宋体" w:cs="Times New Roman"/>
        </w:rPr>
      </w:pPr>
      <w:r>
        <w:rPr>
          <w:rFonts w:hint="eastAsia" w:eastAsia="宋体" w:cs="Times New Roman"/>
          <w:b/>
        </w:rPr>
        <w:t>2　</w:t>
      </w:r>
      <w:r>
        <w:rPr>
          <w:rFonts w:hint="eastAsia" w:eastAsia="宋体" w:cs="Times New Roman"/>
        </w:rPr>
        <w:t>漏点和气囊位置，</w:t>
      </w:r>
      <w:r>
        <w:rPr>
          <w:rFonts w:hint="eastAsia" w:eastAsia="宋体" w:cs="Times New Roman"/>
          <w:lang w:eastAsia="zh-CN"/>
        </w:rPr>
        <w:t>可</w:t>
      </w:r>
      <w:r>
        <w:rPr>
          <w:rFonts w:hint="eastAsia" w:eastAsia="宋体" w:cs="Times New Roman"/>
        </w:rPr>
        <w:t>通过与最近的装有监测传感器阀门井之间的距离描述；</w:t>
      </w:r>
    </w:p>
    <w:p w14:paraId="29E54089">
      <w:pPr>
        <w:ind w:firstLine="482" w:firstLineChars="200"/>
        <w:rPr>
          <w:rFonts w:eastAsia="宋体" w:cs="Times New Roman"/>
        </w:rPr>
      </w:pPr>
      <w:r>
        <w:rPr>
          <w:rFonts w:eastAsia="宋体" w:cs="Times New Roman"/>
          <w:b/>
        </w:rPr>
        <w:t>3　</w:t>
      </w:r>
      <w:r>
        <w:rPr>
          <w:rFonts w:hint="eastAsia" w:eastAsia="宋体" w:cs="Times New Roman"/>
        </w:rPr>
        <w:t>现场确定漏点及气囊位置时，应沿管道走向测量，须考虑弯头、管道纵坡、倒虹吸等对测量距离的影响。</w:t>
      </w:r>
    </w:p>
    <w:p w14:paraId="2E3A3434">
      <w:r>
        <w:rPr>
          <w:rFonts w:eastAsia="宋体" w:cs="Times New Roman"/>
          <w:b/>
          <w:bCs/>
        </w:rPr>
        <w:t>8</w:t>
      </w:r>
      <w:r>
        <w:rPr>
          <w:rFonts w:hint="eastAsia" w:eastAsia="宋体" w:cs="Times New Roman"/>
          <w:b/>
          <w:bCs/>
        </w:rPr>
        <w:t>.4.2　</w:t>
      </w:r>
      <w:r>
        <w:rPr>
          <w:rFonts w:hint="eastAsia" w:eastAsia="宋体" w:cs="Times New Roman"/>
        </w:rPr>
        <w:t>动力伞检测</w:t>
      </w:r>
      <w:r>
        <w:rPr>
          <w:rFonts w:hint="eastAsia"/>
        </w:rPr>
        <w:t>结果判读</w:t>
      </w:r>
      <w:r>
        <w:rPr>
          <w:rFonts w:hint="eastAsia" w:eastAsia="宋体" w:cs="Times New Roman"/>
        </w:rPr>
        <w:t>应符合下列规定：</w:t>
      </w:r>
    </w:p>
    <w:p w14:paraId="56812AF0">
      <w:pPr>
        <w:ind w:firstLine="482" w:firstLineChars="200"/>
        <w:rPr>
          <w:rFonts w:eastAsia="宋体" w:cs="Times New Roman"/>
        </w:rPr>
      </w:pPr>
      <w:r>
        <w:rPr>
          <w:rFonts w:hint="eastAsia" w:eastAsia="宋体" w:cs="Times New Roman"/>
          <w:b/>
          <w:bCs/>
        </w:rPr>
        <w:t>1　</w:t>
      </w:r>
      <w:r>
        <w:rPr>
          <w:rFonts w:hint="eastAsia" w:eastAsia="宋体" w:cs="Times New Roman"/>
        </w:rPr>
        <w:t>复杂场景地面标记漏点及气囊位置可按图纸和线缆长度，使用电子定位仪精确定位；</w:t>
      </w:r>
    </w:p>
    <w:p w14:paraId="63C4811C">
      <w:pPr>
        <w:ind w:firstLine="482" w:firstLineChars="200"/>
        <w:rPr>
          <w:rFonts w:eastAsia="宋体" w:cs="Times New Roman"/>
        </w:rPr>
      </w:pPr>
      <w:r>
        <w:rPr>
          <w:rFonts w:hint="eastAsia" w:eastAsia="宋体" w:cs="Times New Roman"/>
          <w:b/>
        </w:rPr>
        <w:t>2　</w:t>
      </w:r>
      <w:r>
        <w:rPr>
          <w:rFonts w:hint="eastAsia" w:eastAsia="宋体" w:cs="Times New Roman"/>
        </w:rPr>
        <w:t>管道内部的图像周向位置判定应采用探测器的横滚角参数修正后标记管道缺陷的绝对位置</w:t>
      </w:r>
      <w:r>
        <w:rPr>
          <w:rFonts w:eastAsia="宋体" w:cs="Times New Roman"/>
        </w:rPr>
        <w:t>。</w:t>
      </w:r>
    </w:p>
    <w:p w14:paraId="313F0580">
      <w:pPr>
        <w:widowControl/>
        <w:ind w:firstLine="420"/>
        <w:jc w:val="left"/>
      </w:pPr>
    </w:p>
    <w:p w14:paraId="7D6152DF">
      <w:pPr>
        <w:pStyle w:val="2"/>
        <w:ind w:firstLine="240"/>
      </w:pPr>
    </w:p>
    <w:p w14:paraId="56E5E01F">
      <w:pPr>
        <w:pStyle w:val="2"/>
        <w:ind w:firstLine="240"/>
      </w:pPr>
    </w:p>
    <w:p w14:paraId="6FE9C8CE">
      <w:pPr>
        <w:sectPr>
          <w:pgSz w:w="11906" w:h="16838"/>
          <w:pgMar w:top="1440" w:right="1800" w:bottom="1440" w:left="1800" w:header="851" w:footer="992" w:gutter="0"/>
          <w:cols w:space="425" w:num="1"/>
          <w:docGrid w:type="lines" w:linePitch="312" w:charSpace="0"/>
        </w:sectPr>
      </w:pPr>
    </w:p>
    <w:p w14:paraId="6949A29A">
      <w:pPr>
        <w:pStyle w:val="4"/>
      </w:pPr>
      <w:bookmarkStart w:id="231" w:name="_Toc17048"/>
      <w:bookmarkStart w:id="232" w:name="_Toc15463"/>
      <w:bookmarkStart w:id="233" w:name="_Toc2974"/>
      <w:bookmarkStart w:id="234" w:name="_Toc21665"/>
      <w:bookmarkStart w:id="235" w:name="_Toc181825569"/>
      <w:bookmarkStart w:id="236" w:name="_Toc31509"/>
      <w:bookmarkStart w:id="237" w:name="_Toc28751"/>
      <w:bookmarkStart w:id="238" w:name="_Toc18839"/>
      <w:bookmarkStart w:id="239" w:name="_Toc29126"/>
      <w:bookmarkStart w:id="240" w:name="_Toc8781"/>
      <w:r>
        <w:rPr>
          <w:rFonts w:hint="eastAsia"/>
        </w:rPr>
        <w:t>9　</w:t>
      </w:r>
      <w:bookmarkEnd w:id="231"/>
      <w:bookmarkEnd w:id="232"/>
      <w:bookmarkEnd w:id="233"/>
      <w:r>
        <w:rPr>
          <w:rFonts w:hint="eastAsia"/>
        </w:rPr>
        <w:t>其他方法检测</w:t>
      </w:r>
      <w:bookmarkEnd w:id="234"/>
      <w:bookmarkEnd w:id="235"/>
      <w:bookmarkEnd w:id="236"/>
      <w:bookmarkEnd w:id="237"/>
      <w:bookmarkEnd w:id="238"/>
      <w:bookmarkEnd w:id="239"/>
      <w:bookmarkEnd w:id="240"/>
    </w:p>
    <w:p w14:paraId="20EA878D">
      <w:pPr>
        <w:pStyle w:val="5"/>
      </w:pPr>
      <w:bookmarkStart w:id="241" w:name="_Toc16923"/>
      <w:bookmarkStart w:id="242" w:name="_Toc33717433"/>
      <w:bookmarkStart w:id="243" w:name="_Toc29897"/>
      <w:bookmarkStart w:id="244" w:name="_Toc17840"/>
      <w:bookmarkStart w:id="245" w:name="_Toc14143"/>
      <w:bookmarkStart w:id="246" w:name="_Toc16059"/>
      <w:bookmarkStart w:id="247" w:name="_Toc34161076"/>
      <w:bookmarkStart w:id="248" w:name="_Toc25303"/>
      <w:bookmarkStart w:id="249" w:name="_Toc38548932"/>
      <w:bookmarkStart w:id="250" w:name="_Toc33710985"/>
      <w:bookmarkStart w:id="251" w:name="_Toc14554"/>
      <w:bookmarkStart w:id="252" w:name="_Toc28864420"/>
      <w:bookmarkStart w:id="253" w:name="_Toc29235455"/>
      <w:bookmarkStart w:id="254" w:name="_Toc181825570"/>
      <w:r>
        <w:rPr>
          <w:rFonts w:hint="eastAsia"/>
        </w:rPr>
        <w:t>9.1　一般规定</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56EB829A">
      <w:bookmarkStart w:id="255" w:name="_Toc33717434"/>
      <w:bookmarkStart w:id="256" w:name="_Toc28864421"/>
      <w:bookmarkStart w:id="257" w:name="_Toc29235456"/>
      <w:bookmarkStart w:id="258" w:name="_Toc34161077"/>
      <w:bookmarkStart w:id="259" w:name="_Toc38548933"/>
      <w:bookmarkStart w:id="260" w:name="_Toc33710986"/>
      <w:bookmarkStart w:id="261" w:name="_Toc20537"/>
      <w:r>
        <w:rPr>
          <w:rFonts w:hint="eastAsia"/>
          <w:b/>
          <w:bCs/>
        </w:rPr>
        <w:t>9.1.1　</w:t>
      </w:r>
      <w:r>
        <w:rPr>
          <w:rFonts w:hint="eastAsia"/>
        </w:rPr>
        <w:t>其他检测方法可分为流量法检测、压力法检测、听音法检测、相关分析法检测、噪声法检测、气体检测分析法等。</w:t>
      </w:r>
    </w:p>
    <w:p w14:paraId="220F1CA3">
      <w:r>
        <w:rPr>
          <w:rFonts w:hint="eastAsia"/>
          <w:b/>
          <w:bCs/>
        </w:rPr>
        <w:t>9.1.2　</w:t>
      </w:r>
      <w:r>
        <w:rPr>
          <w:rFonts w:hint="eastAsia"/>
        </w:rPr>
        <w:t>其他检测方法除应符合</w:t>
      </w:r>
      <w:r>
        <w:rPr>
          <w:rFonts w:hint="eastAsia"/>
          <w:lang w:eastAsia="zh-CN"/>
        </w:rPr>
        <w:t>本标准</w:t>
      </w:r>
      <w:r>
        <w:rPr>
          <w:rFonts w:hint="eastAsia"/>
        </w:rPr>
        <w:t>的规定外，尚应符合现行行业标准《城镇供水管网漏水探测技术规程》CJJ 159、《城镇供水管网漏损控制及评定标准》CJJ 92的有关规定。</w:t>
      </w:r>
    </w:p>
    <w:bookmarkEnd w:id="255"/>
    <w:bookmarkEnd w:id="256"/>
    <w:bookmarkEnd w:id="257"/>
    <w:bookmarkEnd w:id="258"/>
    <w:bookmarkEnd w:id="259"/>
    <w:bookmarkEnd w:id="260"/>
    <w:bookmarkEnd w:id="261"/>
    <w:p w14:paraId="6133E500">
      <w:pPr>
        <w:pStyle w:val="5"/>
      </w:pPr>
      <w:bookmarkStart w:id="262" w:name="_Toc9121"/>
      <w:bookmarkStart w:id="263" w:name="_Toc31381"/>
      <w:bookmarkStart w:id="264" w:name="_Toc18086"/>
      <w:bookmarkStart w:id="265" w:name="_Toc181825571"/>
      <w:bookmarkStart w:id="266" w:name="_Toc31453"/>
      <w:bookmarkStart w:id="267" w:name="_Toc10442"/>
      <w:bookmarkStart w:id="268" w:name="_Toc15817"/>
      <w:r>
        <w:rPr>
          <w:rFonts w:hint="eastAsia"/>
        </w:rPr>
        <w:t>9.2　</w:t>
      </w:r>
      <w:r>
        <w:rPr>
          <w:rFonts w:hint="eastAsia" w:ascii="宋体" w:hAnsi="宋体" w:cs="宋体"/>
        </w:rPr>
        <w:t>流量法检测</w:t>
      </w:r>
      <w:bookmarkEnd w:id="262"/>
      <w:bookmarkEnd w:id="263"/>
      <w:bookmarkEnd w:id="264"/>
      <w:bookmarkEnd w:id="265"/>
      <w:bookmarkEnd w:id="266"/>
      <w:bookmarkEnd w:id="267"/>
      <w:bookmarkEnd w:id="268"/>
    </w:p>
    <w:p w14:paraId="40D61A7A">
      <w:pPr>
        <w:rPr>
          <w:bCs/>
        </w:rPr>
      </w:pPr>
      <w:r>
        <w:rPr>
          <w:rFonts w:hint="eastAsia"/>
          <w:b/>
        </w:rPr>
        <w:t>9.2.1　</w:t>
      </w:r>
      <w:r>
        <w:rPr>
          <w:rFonts w:hint="eastAsia"/>
          <w:bCs/>
        </w:rPr>
        <w:t>流量法检测可根据实际情况选择区域装表法或区域测流法。</w:t>
      </w:r>
    </w:p>
    <w:p w14:paraId="36F27487">
      <w:pPr>
        <w:rPr>
          <w:bCs/>
        </w:rPr>
      </w:pPr>
      <w:r>
        <w:rPr>
          <w:rFonts w:hint="eastAsia"/>
          <w:b/>
        </w:rPr>
        <w:t>9.2.2　</w:t>
      </w:r>
      <w:r>
        <w:rPr>
          <w:rFonts w:hint="eastAsia"/>
          <w:bCs/>
        </w:rPr>
        <w:t>采用区域装表法时，应符合下列规定：</w:t>
      </w:r>
    </w:p>
    <w:p w14:paraId="5945433B">
      <w:pPr>
        <w:ind w:firstLine="482" w:firstLineChars="200"/>
        <w:rPr>
          <w:bCs/>
        </w:rPr>
      </w:pPr>
      <w:r>
        <w:rPr>
          <w:rFonts w:hint="eastAsia" w:eastAsia="宋体" w:cs="Times New Roman"/>
          <w:b/>
          <w:bCs/>
        </w:rPr>
        <w:t>1　</w:t>
      </w:r>
      <w:r>
        <w:rPr>
          <w:rFonts w:hint="eastAsia"/>
          <w:bCs/>
        </w:rPr>
        <w:t xml:space="preserve">应调查待测区域管道情况，确保进出区域管道、区域内全部用户用水均应准确计量。否则应在相应位置加装流量计或水表，安装方式应符合现行国家标准《饮用冷水水表和热水水表 </w:t>
      </w:r>
      <w:r>
        <w:rPr>
          <w:bCs/>
        </w:rPr>
        <w:t xml:space="preserve"> </w:t>
      </w:r>
      <w:r>
        <w:rPr>
          <w:rFonts w:hint="eastAsia"/>
          <w:bCs/>
        </w:rPr>
        <w:t>第1部分：计量要求和技术要求》GB/T 778.1、行业标准《电磁流量计》JB/T 9248、《超声波水表》CJ/T 434的有关规定；</w:t>
      </w:r>
    </w:p>
    <w:p w14:paraId="5ABA57F6">
      <w:pPr>
        <w:ind w:firstLine="482" w:firstLineChars="200"/>
        <w:rPr>
          <w:rFonts w:hint="eastAsia" w:eastAsiaTheme="minorEastAsia"/>
          <w:bCs/>
          <w:lang w:eastAsia="zh-CN"/>
        </w:rPr>
      </w:pPr>
      <w:r>
        <w:rPr>
          <w:rFonts w:hint="eastAsia"/>
          <w:b/>
        </w:rPr>
        <w:t>2　</w:t>
      </w:r>
      <w:r>
        <w:rPr>
          <w:rFonts w:hint="eastAsia"/>
          <w:bCs/>
        </w:rPr>
        <w:t>不具备安装条件的管道，应在检测期间关闭阀门</w:t>
      </w:r>
      <w:r>
        <w:rPr>
          <w:rFonts w:hint="eastAsia"/>
          <w:bCs/>
          <w:lang w:eastAsia="zh-CN"/>
        </w:rPr>
        <w:t>；</w:t>
      </w:r>
    </w:p>
    <w:p w14:paraId="2990347A">
      <w:pPr>
        <w:ind w:firstLine="482" w:firstLineChars="200"/>
        <w:rPr>
          <w:bCs/>
        </w:rPr>
      </w:pPr>
      <w:r>
        <w:rPr>
          <w:b/>
        </w:rPr>
        <w:t>3</w:t>
      </w:r>
      <w:r>
        <w:rPr>
          <w:rFonts w:hint="eastAsia"/>
          <w:b/>
        </w:rPr>
        <w:t>　</w:t>
      </w:r>
      <w:r>
        <w:rPr>
          <w:rFonts w:hint="eastAsia"/>
          <w:bCs/>
        </w:rPr>
        <w:t>对可能出现双向流的进出管道，应安装双向计量的水表或流量计；</w:t>
      </w:r>
    </w:p>
    <w:p w14:paraId="31C1F70E">
      <w:pPr>
        <w:ind w:firstLine="482" w:firstLineChars="200"/>
        <w:rPr>
          <w:bCs/>
        </w:rPr>
      </w:pPr>
      <w:r>
        <w:rPr>
          <w:b/>
        </w:rPr>
        <w:t>4</w:t>
      </w:r>
      <w:r>
        <w:rPr>
          <w:rFonts w:hint="eastAsia"/>
          <w:b/>
        </w:rPr>
        <w:t>　</w:t>
      </w:r>
      <w:r>
        <w:rPr>
          <w:rFonts w:hint="eastAsia"/>
          <w:bCs/>
        </w:rPr>
        <w:t>应采取保障水量数据在时间上一致性的措施；</w:t>
      </w:r>
    </w:p>
    <w:p w14:paraId="289EED60">
      <w:pPr>
        <w:ind w:firstLine="482" w:firstLineChars="200"/>
        <w:rPr>
          <w:bCs/>
        </w:rPr>
      </w:pPr>
      <w:r>
        <w:rPr>
          <w:b/>
        </w:rPr>
        <w:t>5</w:t>
      </w:r>
      <w:r>
        <w:rPr>
          <w:rFonts w:hint="eastAsia"/>
          <w:b/>
        </w:rPr>
        <w:t>　</w:t>
      </w:r>
      <w:r>
        <w:rPr>
          <w:rFonts w:hint="eastAsia"/>
          <w:bCs/>
        </w:rPr>
        <w:t>应计算同一时间段内的净流入检测区域内水量和区域内用户总用水量，当二者之差超过5%时，可判断为存在漏水异常。</w:t>
      </w:r>
    </w:p>
    <w:p w14:paraId="23BCA4F2">
      <w:pPr>
        <w:rPr>
          <w:bCs/>
        </w:rPr>
      </w:pPr>
      <w:r>
        <w:rPr>
          <w:rFonts w:hint="eastAsia"/>
          <w:b/>
        </w:rPr>
        <w:t>9.2.3　</w:t>
      </w:r>
      <w:r>
        <w:rPr>
          <w:rFonts w:hint="eastAsia"/>
          <w:bCs/>
        </w:rPr>
        <w:t>区域测流法宜用于无水箱、水池等蓄水设施的区域，应符合下列规定。</w:t>
      </w:r>
    </w:p>
    <w:p w14:paraId="2E518480">
      <w:pPr>
        <w:ind w:firstLine="482" w:firstLineChars="200"/>
        <w:rPr>
          <w:bCs/>
        </w:rPr>
      </w:pPr>
      <w:r>
        <w:rPr>
          <w:rFonts w:hint="eastAsia"/>
          <w:b/>
        </w:rPr>
        <w:t>1　</w:t>
      </w:r>
      <w:r>
        <w:rPr>
          <w:rFonts w:hint="eastAsia"/>
          <w:bCs/>
        </w:rPr>
        <w:t>宜先通过测量、统计或合理推算等方式确定所在地区平均夜间用水量，作为判断基准；</w:t>
      </w:r>
    </w:p>
    <w:p w14:paraId="22067E60">
      <w:pPr>
        <w:ind w:firstLine="482" w:firstLineChars="200"/>
        <w:rPr>
          <w:bCs/>
        </w:rPr>
      </w:pPr>
      <w:r>
        <w:rPr>
          <w:rFonts w:hint="eastAsia"/>
          <w:b/>
        </w:rPr>
        <w:t>2　</w:t>
      </w:r>
      <w:r>
        <w:rPr>
          <w:rFonts w:hint="eastAsia"/>
          <w:bCs/>
        </w:rPr>
        <w:t>应满足区域进出管道均安装流量计或水表，存在双向流的管道应安装双向计量水表或流量计。</w:t>
      </w:r>
    </w:p>
    <w:p w14:paraId="1F3DF1C4">
      <w:pPr>
        <w:rPr>
          <w:bCs/>
        </w:rPr>
      </w:pPr>
      <w:r>
        <w:rPr>
          <w:rFonts w:hint="eastAsia"/>
          <w:b/>
        </w:rPr>
        <w:t>9.2.4　</w:t>
      </w:r>
      <w:r>
        <w:rPr>
          <w:rFonts w:hint="eastAsia"/>
          <w:bCs/>
        </w:rPr>
        <w:t>采用在</w:t>
      </w:r>
      <w:bookmarkStart w:id="269" w:name="OLE_LINK13"/>
      <w:r>
        <w:rPr>
          <w:rFonts w:hint="eastAsia"/>
          <w:bCs/>
        </w:rPr>
        <w:t>线水表</w:t>
      </w:r>
      <w:bookmarkEnd w:id="269"/>
      <w:r>
        <w:rPr>
          <w:rFonts w:hint="eastAsia"/>
          <w:bCs/>
        </w:rPr>
        <w:t>或流量计进行流量法检测时，水表、流量计或数据采集终端应具备校时功能</w:t>
      </w:r>
      <w:r>
        <w:rPr>
          <w:rFonts w:hint="eastAsia"/>
          <w:bCs/>
          <w:lang w:eastAsia="zh-CN"/>
        </w:rPr>
        <w:t>且</w:t>
      </w:r>
      <w:r>
        <w:rPr>
          <w:rFonts w:hint="eastAsia"/>
          <w:bCs/>
        </w:rPr>
        <w:t>在检测开始前应校时。</w:t>
      </w:r>
    </w:p>
    <w:p w14:paraId="2A321C86">
      <w:pPr>
        <w:pStyle w:val="5"/>
      </w:pPr>
      <w:bookmarkStart w:id="270" w:name="_Toc34161078"/>
      <w:bookmarkStart w:id="271" w:name="_Toc33717435"/>
      <w:bookmarkStart w:id="272" w:name="_Toc29235457"/>
      <w:bookmarkStart w:id="273" w:name="_Toc38548934"/>
      <w:bookmarkStart w:id="274" w:name="_Toc28864422"/>
      <w:bookmarkStart w:id="275" w:name="_Toc33710987"/>
      <w:bookmarkStart w:id="276" w:name="_Toc7135"/>
      <w:bookmarkStart w:id="277" w:name="_Toc181825572"/>
      <w:bookmarkStart w:id="278" w:name="_Toc11747"/>
      <w:bookmarkStart w:id="279" w:name="_Toc19745"/>
      <w:bookmarkStart w:id="280" w:name="_Toc5485"/>
      <w:bookmarkStart w:id="281" w:name="_Toc22612"/>
      <w:bookmarkStart w:id="282" w:name="_Toc22251"/>
      <w:bookmarkStart w:id="283" w:name="_Toc21008"/>
      <w:r>
        <w:rPr>
          <w:rFonts w:hint="eastAsia"/>
        </w:rPr>
        <w:t>9.3　</w:t>
      </w:r>
      <w:bookmarkEnd w:id="270"/>
      <w:bookmarkEnd w:id="271"/>
      <w:bookmarkEnd w:id="272"/>
      <w:bookmarkEnd w:id="273"/>
      <w:bookmarkEnd w:id="274"/>
      <w:bookmarkEnd w:id="275"/>
      <w:bookmarkEnd w:id="276"/>
      <w:r>
        <w:rPr>
          <w:rFonts w:hint="eastAsia"/>
        </w:rPr>
        <w:t>压力法检测</w:t>
      </w:r>
      <w:bookmarkEnd w:id="277"/>
      <w:bookmarkEnd w:id="278"/>
      <w:bookmarkEnd w:id="279"/>
      <w:bookmarkEnd w:id="280"/>
      <w:bookmarkEnd w:id="281"/>
      <w:bookmarkEnd w:id="282"/>
      <w:bookmarkEnd w:id="283"/>
    </w:p>
    <w:p w14:paraId="7D1ADF4F">
      <w:pPr>
        <w:rPr>
          <w:bCs/>
        </w:rPr>
      </w:pPr>
      <w:r>
        <w:rPr>
          <w:rFonts w:hint="eastAsia"/>
          <w:b/>
        </w:rPr>
        <w:t>9.3.</w:t>
      </w:r>
      <w:r>
        <w:rPr>
          <w:b/>
        </w:rPr>
        <w:t>1　</w:t>
      </w:r>
      <w:r>
        <w:rPr>
          <w:rFonts w:hint="eastAsia"/>
          <w:bCs/>
        </w:rPr>
        <w:t>采用压力法检测时，应调查检测区域内管道高程等资料，合理布置测压分布点，绘制理论压力坡降曲线。</w:t>
      </w:r>
    </w:p>
    <w:p w14:paraId="2F62B108">
      <w:pPr>
        <w:rPr>
          <w:bCs/>
        </w:rPr>
      </w:pPr>
      <w:r>
        <w:rPr>
          <w:rFonts w:hint="eastAsia"/>
          <w:b/>
        </w:rPr>
        <w:t>9.3.2　</w:t>
      </w:r>
      <w:r>
        <w:rPr>
          <w:rFonts w:hint="eastAsia"/>
          <w:bCs/>
        </w:rPr>
        <w:t>采用压力法检测时，宜使用带远传功能的压力计，精度不应低于1.5级</w:t>
      </w:r>
      <w:r>
        <w:rPr>
          <w:rFonts w:hint="eastAsia"/>
          <w:bCs/>
          <w:lang w:eastAsia="zh-CN"/>
        </w:rPr>
        <w:t>且</w:t>
      </w:r>
      <w:r>
        <w:rPr>
          <w:rFonts w:hint="eastAsia"/>
          <w:bCs/>
        </w:rPr>
        <w:t>应在使用前进行校时。</w:t>
      </w:r>
    </w:p>
    <w:p w14:paraId="143595B5">
      <w:pPr>
        <w:rPr>
          <w:rFonts w:cs="Times New Roman"/>
        </w:rPr>
      </w:pPr>
      <w:r>
        <w:rPr>
          <w:rFonts w:hint="eastAsia"/>
          <w:b/>
        </w:rPr>
        <w:t>9.3.</w:t>
      </w:r>
      <w:r>
        <w:rPr>
          <w:rFonts w:hint="eastAsia"/>
          <w:b/>
          <w:lang w:val="en-US" w:eastAsia="zh-CN"/>
        </w:rPr>
        <w:t>3</w:t>
      </w:r>
      <w:r>
        <w:rPr>
          <w:rFonts w:hint="eastAsia"/>
          <w:b/>
        </w:rPr>
        <w:t>　</w:t>
      </w:r>
      <w:r>
        <w:rPr>
          <w:rFonts w:hint="eastAsia"/>
          <w:bCs/>
        </w:rPr>
        <w:t>检测应选择管道压力相对稳定的时间段进行，避开用水高峰期</w:t>
      </w:r>
      <w:r>
        <w:rPr>
          <w:rFonts w:hint="eastAsia" w:cs="Times New Roman"/>
        </w:rPr>
        <w:t>。</w:t>
      </w:r>
    </w:p>
    <w:p w14:paraId="6A9425AC">
      <w:pPr>
        <w:pStyle w:val="5"/>
      </w:pPr>
      <w:bookmarkStart w:id="284" w:name="_Toc181825573"/>
      <w:bookmarkStart w:id="285" w:name="_Toc20762"/>
      <w:bookmarkStart w:id="286" w:name="_Toc26990"/>
      <w:bookmarkStart w:id="287" w:name="_Toc10601"/>
      <w:bookmarkStart w:id="288" w:name="_Toc24146"/>
      <w:bookmarkStart w:id="289" w:name="_Toc29948"/>
      <w:bookmarkStart w:id="290" w:name="_Toc29684"/>
      <w:r>
        <w:rPr>
          <w:rFonts w:hint="eastAsia"/>
        </w:rPr>
        <w:t>9.4　听音法检测</w:t>
      </w:r>
      <w:bookmarkEnd w:id="284"/>
      <w:bookmarkEnd w:id="285"/>
      <w:bookmarkEnd w:id="286"/>
      <w:bookmarkEnd w:id="287"/>
      <w:bookmarkEnd w:id="288"/>
      <w:bookmarkEnd w:id="289"/>
      <w:bookmarkEnd w:id="290"/>
    </w:p>
    <w:p w14:paraId="5E22FA09">
      <w:r>
        <w:rPr>
          <w:rFonts w:hint="eastAsia"/>
          <w:b/>
          <w:bCs/>
        </w:rPr>
        <w:t>9.4.1　</w:t>
      </w:r>
      <w:r>
        <w:rPr>
          <w:rFonts w:hint="eastAsia"/>
        </w:rPr>
        <w:t>采用听音法检测时，应调查</w:t>
      </w:r>
      <w:r>
        <w:rPr>
          <w:rFonts w:hint="eastAsia"/>
          <w:bCs/>
        </w:rPr>
        <w:t>检测区域内</w:t>
      </w:r>
      <w:r>
        <w:rPr>
          <w:rFonts w:hint="eastAsia"/>
        </w:rPr>
        <w:t>管道管径、材质、走向等基础信息。</w:t>
      </w:r>
    </w:p>
    <w:p w14:paraId="740F6086">
      <w:r>
        <w:rPr>
          <w:rFonts w:hint="eastAsia"/>
          <w:b/>
          <w:bCs/>
        </w:rPr>
        <w:t>9.4.2　</w:t>
      </w:r>
      <w:r>
        <w:rPr>
          <w:rFonts w:hint="eastAsia"/>
        </w:rPr>
        <w:t>采用听音法检测的管道压力不应小于0.15MPa。</w:t>
      </w:r>
    </w:p>
    <w:p w14:paraId="4C759113">
      <w:r>
        <w:rPr>
          <w:rFonts w:hint="eastAsia"/>
          <w:b/>
          <w:bCs/>
        </w:rPr>
        <w:t>9.4.3　</w:t>
      </w:r>
      <w:r>
        <w:rPr>
          <w:rFonts w:hint="eastAsia"/>
        </w:rPr>
        <w:t>采用听音法检测时，宜首先在检测管段阀门、消火栓或其他金属连接附件处预检测，判断漏点所在管段，然后采用地面听音法对该管段进行详查。</w:t>
      </w:r>
    </w:p>
    <w:p w14:paraId="4F78876D">
      <w:pPr>
        <w:rPr>
          <w:rFonts w:hAnsi="Cambria Math" w:cs="Times New Roman"/>
        </w:rPr>
      </w:pPr>
      <w:r>
        <w:rPr>
          <w:rFonts w:hint="eastAsia"/>
          <w:b/>
          <w:bCs/>
        </w:rPr>
        <w:t>9.4.4　</w:t>
      </w:r>
      <w:r>
        <w:rPr>
          <w:rFonts w:hint="eastAsia"/>
        </w:rPr>
        <w:t>听音法宜在夜间进行。</w:t>
      </w:r>
    </w:p>
    <w:p w14:paraId="0748E5D6">
      <w:pPr>
        <w:pStyle w:val="5"/>
      </w:pPr>
      <w:bookmarkStart w:id="291" w:name="_Toc14221"/>
      <w:bookmarkStart w:id="292" w:name="_Toc31098"/>
      <w:bookmarkStart w:id="293" w:name="_Toc30383"/>
      <w:bookmarkStart w:id="294" w:name="_Toc29842"/>
      <w:bookmarkStart w:id="295" w:name="_Toc7190"/>
      <w:bookmarkStart w:id="296" w:name="_Toc181825574"/>
      <w:bookmarkStart w:id="297" w:name="_Toc8042"/>
      <w:r>
        <w:rPr>
          <w:rFonts w:hint="eastAsia"/>
        </w:rPr>
        <w:t>9.5　相关分析法检测</w:t>
      </w:r>
      <w:bookmarkEnd w:id="291"/>
      <w:bookmarkEnd w:id="292"/>
      <w:bookmarkEnd w:id="293"/>
      <w:bookmarkEnd w:id="294"/>
      <w:bookmarkEnd w:id="295"/>
      <w:bookmarkEnd w:id="296"/>
      <w:bookmarkEnd w:id="297"/>
    </w:p>
    <w:p w14:paraId="2BB1C1A5">
      <w:r>
        <w:rPr>
          <w:rFonts w:hint="eastAsia"/>
          <w:b/>
          <w:bCs/>
        </w:rPr>
        <w:t>9.5.1　</w:t>
      </w:r>
      <w:r>
        <w:rPr>
          <w:rFonts w:hint="eastAsia"/>
        </w:rPr>
        <w:t>相关分析法检测宜用于已查明漏水管段的漏点精确定位。</w:t>
      </w:r>
    </w:p>
    <w:p w14:paraId="7457D1C9">
      <w:r>
        <w:rPr>
          <w:rFonts w:hint="eastAsia"/>
          <w:b/>
          <w:bCs/>
        </w:rPr>
        <w:t>9.5.2　</w:t>
      </w:r>
      <w:r>
        <w:rPr>
          <w:rFonts w:hint="eastAsia"/>
        </w:rPr>
        <w:t>探测距离应根据管道实际情况合理选取。</w:t>
      </w:r>
    </w:p>
    <w:p w14:paraId="29F0ABF2">
      <w:r>
        <w:rPr>
          <w:rFonts w:hint="eastAsia"/>
          <w:b/>
          <w:bCs/>
        </w:rPr>
        <w:t>9.5.3　</w:t>
      </w:r>
      <w:r>
        <w:rPr>
          <w:rFonts w:hint="eastAsia"/>
        </w:rPr>
        <w:t>安装传感器前应清理待测管道可吸附的金属附件或管壁。</w:t>
      </w:r>
    </w:p>
    <w:p w14:paraId="559B971C">
      <w:pPr>
        <w:pStyle w:val="5"/>
      </w:pPr>
      <w:bookmarkStart w:id="298" w:name="_Toc4802"/>
      <w:bookmarkStart w:id="299" w:name="_Toc181825575"/>
      <w:bookmarkStart w:id="300" w:name="_Toc24721"/>
      <w:bookmarkStart w:id="301" w:name="_Toc22551"/>
      <w:bookmarkStart w:id="302" w:name="_Toc5754"/>
      <w:bookmarkStart w:id="303" w:name="_Toc25413"/>
      <w:bookmarkStart w:id="304" w:name="_Toc23792"/>
      <w:r>
        <w:rPr>
          <w:rFonts w:hint="eastAsia"/>
        </w:rPr>
        <w:t>9.6　噪声法检测</w:t>
      </w:r>
      <w:bookmarkEnd w:id="298"/>
      <w:bookmarkEnd w:id="299"/>
      <w:bookmarkEnd w:id="300"/>
      <w:bookmarkEnd w:id="301"/>
      <w:bookmarkEnd w:id="302"/>
      <w:bookmarkEnd w:id="303"/>
      <w:bookmarkEnd w:id="304"/>
    </w:p>
    <w:p w14:paraId="6D3216FF">
      <w:r>
        <w:rPr>
          <w:rFonts w:hint="eastAsia"/>
          <w:b/>
          <w:bCs/>
        </w:rPr>
        <w:t>9.6.1　</w:t>
      </w:r>
      <w:r>
        <w:rPr>
          <w:rFonts w:hint="eastAsia"/>
        </w:rPr>
        <w:t>噪声法检测可用于管段漏水判断和管道漏水监控。</w:t>
      </w:r>
    </w:p>
    <w:p w14:paraId="00E7EF4A">
      <w:r>
        <w:rPr>
          <w:rFonts w:hint="eastAsia"/>
          <w:b/>
          <w:bCs/>
        </w:rPr>
        <w:t>9.6.2　</w:t>
      </w:r>
      <w:r>
        <w:rPr>
          <w:rFonts w:hint="eastAsia"/>
        </w:rPr>
        <w:t>噪声法宜用于钢管、球墨铸铁管等金属管道检测</w:t>
      </w:r>
      <w:r>
        <w:rPr>
          <w:rFonts w:hint="eastAsia"/>
          <w:lang w:eastAsia="zh-CN"/>
        </w:rPr>
        <w:t>且</w:t>
      </w:r>
      <w:r>
        <w:rPr>
          <w:rFonts w:hint="eastAsia"/>
        </w:rPr>
        <w:t>管径不宜大于1000mm。用于非金属管道检测时，管径不宜大于100mm。</w:t>
      </w:r>
    </w:p>
    <w:p w14:paraId="55BF4F80">
      <w:r>
        <w:rPr>
          <w:rFonts w:hint="eastAsia"/>
          <w:b/>
          <w:bCs/>
        </w:rPr>
        <w:t>9.6.3　</w:t>
      </w:r>
      <w:r>
        <w:rPr>
          <w:rFonts w:hint="eastAsia"/>
        </w:rPr>
        <w:t>采用噪声法检测时，应调查检测区域内管道口径、材质、走向、连接关系和阀门情况，合理设计探头安放位置。探头安装后应做好记录。</w:t>
      </w:r>
    </w:p>
    <w:p w14:paraId="44C4C784">
      <w:pPr>
        <w:rPr>
          <w:rFonts w:hAnsi="Cambria Math" w:cs="Times New Roman"/>
        </w:rPr>
      </w:pPr>
      <w:r>
        <w:rPr>
          <w:rFonts w:hint="eastAsia"/>
          <w:b/>
          <w:bCs/>
        </w:rPr>
        <w:t>9.6.4　</w:t>
      </w:r>
      <w:r>
        <w:rPr>
          <w:rFonts w:hint="eastAsia"/>
        </w:rPr>
        <w:t>移动式噪声记录仪应在使用前统一校时，固定式噪声记录仪应按设备使用说明书的要求定期进行校时。</w:t>
      </w:r>
    </w:p>
    <w:p w14:paraId="5F8D9BAA">
      <w:pPr>
        <w:pStyle w:val="5"/>
      </w:pPr>
      <w:bookmarkStart w:id="305" w:name="_Toc8065"/>
      <w:bookmarkStart w:id="306" w:name="_Toc6448"/>
      <w:bookmarkStart w:id="307" w:name="_Toc181825576"/>
      <w:bookmarkStart w:id="308" w:name="_Toc18614"/>
      <w:bookmarkStart w:id="309" w:name="_Toc21496"/>
      <w:bookmarkStart w:id="310" w:name="_Toc8824"/>
      <w:bookmarkStart w:id="311" w:name="_Toc10893"/>
      <w:r>
        <w:rPr>
          <w:rFonts w:hint="eastAsia"/>
        </w:rPr>
        <w:t>9.7　气体检测分析法</w:t>
      </w:r>
      <w:bookmarkEnd w:id="305"/>
      <w:bookmarkEnd w:id="306"/>
      <w:bookmarkEnd w:id="307"/>
      <w:bookmarkEnd w:id="308"/>
      <w:bookmarkEnd w:id="309"/>
      <w:bookmarkEnd w:id="310"/>
      <w:bookmarkEnd w:id="311"/>
    </w:p>
    <w:p w14:paraId="34D9AF97">
      <w:r>
        <w:rPr>
          <w:rFonts w:hint="eastAsia"/>
          <w:b/>
          <w:bCs/>
        </w:rPr>
        <w:t>9.7.1　</w:t>
      </w:r>
      <w:r>
        <w:rPr>
          <w:rFonts w:hint="eastAsia"/>
        </w:rPr>
        <w:t>气体检测分析法可用于漏水量小或管道压力低等难以通过常规手段检测漏水的情况。</w:t>
      </w:r>
    </w:p>
    <w:p w14:paraId="52C70084">
      <w:r>
        <w:rPr>
          <w:rFonts w:hint="eastAsia"/>
          <w:b/>
          <w:bCs/>
        </w:rPr>
        <w:t>9.7.2　</w:t>
      </w:r>
      <w:r>
        <w:rPr>
          <w:rFonts w:hint="eastAsia"/>
        </w:rPr>
        <w:t>气体检测分析法应采用在空气中含量极少、易被检测且非易燃易爆的示踪气体，示踪气体不应影响供水水质和环境。</w:t>
      </w:r>
    </w:p>
    <w:p w14:paraId="487CABBA"/>
    <w:p w14:paraId="3B57D500">
      <w:pPr>
        <w:pStyle w:val="18"/>
        <w:ind w:left="480"/>
        <w:sectPr>
          <w:footerReference r:id="rId12" w:type="default"/>
          <w:pgSz w:w="11906" w:h="16838"/>
          <w:pgMar w:top="1440" w:right="1841" w:bottom="1440" w:left="1800" w:header="851" w:footer="992" w:gutter="0"/>
          <w:cols w:space="425" w:num="1"/>
          <w:docGrid w:type="lines" w:linePitch="312" w:charSpace="0"/>
        </w:sectPr>
      </w:pPr>
    </w:p>
    <w:p w14:paraId="263117CB">
      <w:pPr>
        <w:keepNext/>
        <w:keepLines/>
        <w:jc w:val="center"/>
        <w:outlineLvl w:val="0"/>
        <w:rPr>
          <w:rFonts w:eastAsia="华文宋体"/>
          <w:b/>
          <w:bCs/>
          <w:kern w:val="44"/>
          <w:sz w:val="32"/>
          <w:szCs w:val="44"/>
        </w:rPr>
      </w:pPr>
      <w:bookmarkStart w:id="312" w:name="_Toc32564"/>
      <w:bookmarkStart w:id="313" w:name="_Toc28788"/>
      <w:bookmarkStart w:id="314" w:name="_Toc181825577"/>
      <w:bookmarkStart w:id="315" w:name="_Toc12602"/>
      <w:bookmarkStart w:id="316" w:name="_Toc21647"/>
      <w:bookmarkStart w:id="317" w:name="_Toc17422"/>
      <w:bookmarkStart w:id="318" w:name="_Toc23601"/>
      <w:bookmarkStart w:id="319" w:name="_Toc26101"/>
      <w:bookmarkStart w:id="320" w:name="_Toc6982"/>
      <w:r>
        <w:rPr>
          <w:rFonts w:hint="eastAsia" w:eastAsia="华文宋体"/>
          <w:b/>
          <w:bCs/>
          <w:kern w:val="44"/>
          <w:sz w:val="32"/>
          <w:szCs w:val="44"/>
        </w:rPr>
        <w:t>10　管道评估</w:t>
      </w:r>
      <w:bookmarkEnd w:id="312"/>
      <w:bookmarkEnd w:id="313"/>
      <w:bookmarkEnd w:id="314"/>
      <w:bookmarkEnd w:id="315"/>
      <w:bookmarkEnd w:id="316"/>
      <w:bookmarkEnd w:id="317"/>
      <w:bookmarkEnd w:id="318"/>
    </w:p>
    <w:p w14:paraId="36B33FA2">
      <w:pPr>
        <w:pStyle w:val="5"/>
      </w:pPr>
      <w:bookmarkStart w:id="321" w:name="_Toc9822"/>
      <w:bookmarkStart w:id="322" w:name="_Toc20023"/>
      <w:bookmarkStart w:id="323" w:name="_Toc181825578"/>
      <w:bookmarkStart w:id="324" w:name="_Toc11887"/>
      <w:bookmarkStart w:id="325" w:name="_Toc21814"/>
      <w:bookmarkStart w:id="326" w:name="_Toc29940"/>
      <w:bookmarkStart w:id="327" w:name="_Toc15469"/>
      <w:r>
        <w:rPr>
          <w:rFonts w:hint="eastAsia"/>
        </w:rPr>
        <w:t>10.1　一般规定</w:t>
      </w:r>
      <w:bookmarkEnd w:id="321"/>
      <w:bookmarkEnd w:id="322"/>
      <w:bookmarkEnd w:id="323"/>
      <w:bookmarkEnd w:id="324"/>
      <w:bookmarkEnd w:id="325"/>
      <w:bookmarkEnd w:id="326"/>
      <w:bookmarkEnd w:id="327"/>
    </w:p>
    <w:p w14:paraId="1B405DBA">
      <w:r>
        <w:rPr>
          <w:rFonts w:hint="eastAsia"/>
          <w:b/>
          <w:bCs/>
        </w:rPr>
        <w:t>10.1.1　</w:t>
      </w:r>
      <w:r>
        <w:rPr>
          <w:rFonts w:hint="eastAsia"/>
        </w:rPr>
        <w:t>管道状况评估应以管道结构安全为基础，评估管道结构性缺陷和功能性缺陷状况。</w:t>
      </w:r>
    </w:p>
    <w:p w14:paraId="5F803DE3">
      <w:r>
        <w:rPr>
          <w:rFonts w:hint="eastAsia"/>
          <w:b/>
          <w:bCs/>
        </w:rPr>
        <w:t>10.1.2　</w:t>
      </w:r>
      <w:r>
        <w:rPr>
          <w:rFonts w:hint="eastAsia"/>
        </w:rPr>
        <w:t>管道状况评估应依据检测资料、设计资料、运行维护资料和调查资料，对管道结构性状况、功能性状况、周边环境和服役功能等指标评估。</w:t>
      </w:r>
    </w:p>
    <w:p w14:paraId="0E74AAD4">
      <w:r>
        <w:rPr>
          <w:rFonts w:hint="eastAsia"/>
          <w:b/>
          <w:bCs/>
        </w:rPr>
        <w:t>10.1.3　</w:t>
      </w:r>
      <w:r>
        <w:rPr>
          <w:rFonts w:hint="eastAsia"/>
        </w:rPr>
        <w:t>管道状况宜采用数据模型或程序软件开展评估</w:t>
      </w:r>
      <w:r>
        <w:rPr>
          <w:rFonts w:hint="eastAsia"/>
          <w:lang w:eastAsia="zh-CN"/>
        </w:rPr>
        <w:t>并</w:t>
      </w:r>
      <w:r>
        <w:rPr>
          <w:rFonts w:hint="eastAsia"/>
        </w:rPr>
        <w:t>人工复核确认。</w:t>
      </w:r>
    </w:p>
    <w:p w14:paraId="43CC9AAE">
      <w:r>
        <w:rPr>
          <w:rFonts w:hint="eastAsia"/>
          <w:b/>
          <w:bCs/>
        </w:rPr>
        <w:t>10.1.4　</w:t>
      </w:r>
      <w:r>
        <w:rPr>
          <w:rFonts w:hint="eastAsia"/>
        </w:rPr>
        <w:t>管道评估应以管段为基本单元，单段长度不宜小于10</w:t>
      </w:r>
      <w:r>
        <w:t>0m</w:t>
      </w:r>
      <w:r>
        <w:rPr>
          <w:rFonts w:hint="eastAsia"/>
        </w:rPr>
        <w:t>。当对多个管段或区域管道检测时，应按管径、缺陷类型、缺陷等级划分评估管段，同时按水流方向依序排列管段</w:t>
      </w:r>
      <w:r>
        <w:rPr>
          <w:rFonts w:hint="eastAsia"/>
          <w:lang w:eastAsia="zh-CN"/>
        </w:rPr>
        <w:t>并</w:t>
      </w:r>
      <w:r>
        <w:rPr>
          <w:rFonts w:hint="eastAsia"/>
        </w:rPr>
        <w:t>确定不同评估等级管段数量占全部管段数量的比例。</w:t>
      </w:r>
    </w:p>
    <w:p w14:paraId="6A99ED05">
      <w:r>
        <w:rPr>
          <w:rFonts w:hint="eastAsia"/>
          <w:b/>
          <w:bCs/>
        </w:rPr>
        <w:t>10.1.5　</w:t>
      </w:r>
      <w:r>
        <w:rPr>
          <w:rFonts w:hint="eastAsia"/>
        </w:rPr>
        <w:t>评估管道缺陷应包括缺陷名称、代码、等级、分值、压力影响系数和缺陷长度影响系数。</w:t>
      </w:r>
    </w:p>
    <w:p w14:paraId="50813008">
      <w:pPr>
        <w:pStyle w:val="5"/>
      </w:pPr>
      <w:bookmarkStart w:id="328" w:name="_Toc31192"/>
      <w:bookmarkStart w:id="329" w:name="_Toc181825579"/>
      <w:bookmarkStart w:id="330" w:name="_Toc31694"/>
      <w:bookmarkStart w:id="331" w:name="_Toc21157"/>
      <w:bookmarkStart w:id="332" w:name="_Toc4210"/>
      <w:bookmarkStart w:id="333" w:name="_Toc29686"/>
      <w:bookmarkStart w:id="334" w:name="_Toc30862"/>
      <w:r>
        <w:rPr>
          <w:rFonts w:hint="eastAsia"/>
        </w:rPr>
        <w:t>10.2　检测缺陷类型、代码及等级</w:t>
      </w:r>
      <w:bookmarkEnd w:id="328"/>
      <w:bookmarkEnd w:id="329"/>
      <w:bookmarkEnd w:id="330"/>
      <w:bookmarkEnd w:id="331"/>
      <w:bookmarkEnd w:id="332"/>
      <w:bookmarkEnd w:id="333"/>
      <w:bookmarkEnd w:id="334"/>
    </w:p>
    <w:p w14:paraId="0F47C2E9">
      <w:r>
        <w:rPr>
          <w:rFonts w:hint="eastAsia"/>
          <w:b/>
          <w:bCs/>
        </w:rPr>
        <w:t>10.2.1　</w:t>
      </w:r>
      <w:r>
        <w:rPr>
          <w:rFonts w:hint="eastAsia"/>
        </w:rPr>
        <w:t>管道内部状况可包括下列项目：</w:t>
      </w:r>
    </w:p>
    <w:p w14:paraId="1A465443">
      <w:pPr>
        <w:tabs>
          <w:tab w:val="left" w:pos="420"/>
        </w:tabs>
        <w:ind w:left="845" w:hanging="425"/>
      </w:pPr>
      <w:r>
        <w:rPr>
          <w:b/>
          <w:bCs/>
        </w:rPr>
        <w:t>1　</w:t>
      </w:r>
      <w:r>
        <w:rPr>
          <w:rFonts w:hint="eastAsia"/>
        </w:rPr>
        <w:t>泄漏；</w:t>
      </w:r>
    </w:p>
    <w:p w14:paraId="483404F8">
      <w:pPr>
        <w:tabs>
          <w:tab w:val="left" w:pos="420"/>
        </w:tabs>
        <w:ind w:left="845" w:hanging="425"/>
      </w:pPr>
      <w:r>
        <w:rPr>
          <w:b/>
          <w:bCs/>
        </w:rPr>
        <w:t>2　</w:t>
      </w:r>
      <w:r>
        <w:rPr>
          <w:rFonts w:hint="eastAsia"/>
        </w:rPr>
        <w:t>腐蚀；</w:t>
      </w:r>
    </w:p>
    <w:p w14:paraId="3F7A0D82">
      <w:pPr>
        <w:tabs>
          <w:tab w:val="left" w:pos="420"/>
        </w:tabs>
        <w:ind w:left="845" w:hanging="425"/>
      </w:pPr>
      <w:r>
        <w:rPr>
          <w:b/>
          <w:bCs/>
        </w:rPr>
        <w:t>3　</w:t>
      </w:r>
      <w:r>
        <w:rPr>
          <w:rFonts w:hint="eastAsia"/>
        </w:rPr>
        <w:t>内衬层脱落；</w:t>
      </w:r>
    </w:p>
    <w:p w14:paraId="6DE4CD91">
      <w:pPr>
        <w:tabs>
          <w:tab w:val="left" w:pos="420"/>
        </w:tabs>
        <w:ind w:left="845" w:hanging="425"/>
      </w:pPr>
      <w:r>
        <w:rPr>
          <w:b/>
          <w:bCs/>
        </w:rPr>
        <w:t>4　</w:t>
      </w:r>
      <w:r>
        <w:rPr>
          <w:rFonts w:hint="eastAsia"/>
        </w:rPr>
        <w:t>变形；</w:t>
      </w:r>
    </w:p>
    <w:p w14:paraId="51ECBE5B">
      <w:pPr>
        <w:tabs>
          <w:tab w:val="left" w:pos="420"/>
        </w:tabs>
        <w:ind w:left="845" w:hanging="425"/>
      </w:pPr>
      <w:r>
        <w:rPr>
          <w:b/>
          <w:bCs/>
        </w:rPr>
        <w:t>5　</w:t>
      </w:r>
      <w:r>
        <w:rPr>
          <w:rFonts w:hint="eastAsia"/>
        </w:rPr>
        <w:t>破裂；</w:t>
      </w:r>
    </w:p>
    <w:p w14:paraId="19ED035C">
      <w:pPr>
        <w:tabs>
          <w:tab w:val="left" w:pos="420"/>
        </w:tabs>
        <w:ind w:left="845" w:hanging="425"/>
      </w:pPr>
      <w:r>
        <w:rPr>
          <w:b/>
          <w:bCs/>
        </w:rPr>
        <w:t>6　</w:t>
      </w:r>
      <w:r>
        <w:rPr>
          <w:rFonts w:hint="eastAsia"/>
        </w:rPr>
        <w:t>断丝；</w:t>
      </w:r>
    </w:p>
    <w:p w14:paraId="761709A8">
      <w:pPr>
        <w:tabs>
          <w:tab w:val="left" w:pos="420"/>
        </w:tabs>
        <w:ind w:left="845" w:hanging="425"/>
      </w:pPr>
      <w:r>
        <w:rPr>
          <w:b/>
          <w:bCs/>
        </w:rPr>
        <w:t>7　</w:t>
      </w:r>
      <w:r>
        <w:rPr>
          <w:rFonts w:hint="eastAsia"/>
        </w:rPr>
        <w:t>沉积；</w:t>
      </w:r>
    </w:p>
    <w:p w14:paraId="4D7513B3">
      <w:pPr>
        <w:tabs>
          <w:tab w:val="left" w:pos="420"/>
        </w:tabs>
        <w:ind w:left="845" w:hanging="425"/>
      </w:pPr>
      <w:r>
        <w:rPr>
          <w:b/>
          <w:bCs/>
        </w:rPr>
        <w:t>8　</w:t>
      </w:r>
      <w:r>
        <w:rPr>
          <w:rFonts w:hint="eastAsia"/>
        </w:rPr>
        <w:t>障碍物；</w:t>
      </w:r>
    </w:p>
    <w:p w14:paraId="4E23EE74">
      <w:pPr>
        <w:tabs>
          <w:tab w:val="left" w:pos="420"/>
        </w:tabs>
        <w:ind w:left="845" w:hanging="425"/>
      </w:pPr>
      <w:r>
        <w:rPr>
          <w:b/>
          <w:bCs/>
        </w:rPr>
        <w:t>9　</w:t>
      </w:r>
      <w:r>
        <w:rPr>
          <w:rFonts w:hint="eastAsia"/>
        </w:rPr>
        <w:t>悬浮物；</w:t>
      </w:r>
    </w:p>
    <w:p w14:paraId="69635FDD">
      <w:pPr>
        <w:tabs>
          <w:tab w:val="left" w:pos="420"/>
        </w:tabs>
        <w:ind w:left="845" w:hanging="425"/>
      </w:pPr>
      <w:r>
        <w:rPr>
          <w:b/>
          <w:bCs/>
        </w:rPr>
        <w:t>10　</w:t>
      </w:r>
      <w:r>
        <w:rPr>
          <w:rFonts w:hint="eastAsia"/>
          <w:lang w:eastAsia="zh-CN"/>
        </w:rPr>
        <w:t>管垢</w:t>
      </w:r>
      <w:r>
        <w:rPr>
          <w:rFonts w:hint="eastAsia"/>
        </w:rPr>
        <w:t>；</w:t>
      </w:r>
    </w:p>
    <w:p w14:paraId="251AFB6E">
      <w:pPr>
        <w:tabs>
          <w:tab w:val="left" w:pos="420"/>
        </w:tabs>
        <w:ind w:left="845" w:hanging="425"/>
      </w:pPr>
      <w:r>
        <w:rPr>
          <w:b/>
          <w:bCs/>
        </w:rPr>
        <w:t>11　</w:t>
      </w:r>
      <w:r>
        <w:rPr>
          <w:rFonts w:hint="eastAsia"/>
        </w:rPr>
        <w:t>气囊；</w:t>
      </w:r>
    </w:p>
    <w:p w14:paraId="6C3B59E1">
      <w:pPr>
        <w:tabs>
          <w:tab w:val="left" w:pos="420"/>
        </w:tabs>
        <w:ind w:left="845" w:hanging="425"/>
        <w:rPr>
          <w:rFonts w:ascii="宋体" w:hAnsi="宋体" w:eastAsia="宋体"/>
          <w:kern w:val="0"/>
          <w:szCs w:val="21"/>
        </w:rPr>
      </w:pPr>
      <w:r>
        <w:rPr>
          <w:b/>
          <w:bCs/>
        </w:rPr>
        <w:t>12　</w:t>
      </w:r>
      <w:r>
        <w:rPr>
          <w:rFonts w:hint="eastAsia"/>
        </w:rPr>
        <w:t>冗余接口。</w:t>
      </w:r>
    </w:p>
    <w:p w14:paraId="02D1F1DB">
      <w:r>
        <w:rPr>
          <w:rFonts w:hint="eastAsia"/>
          <w:b/>
          <w:bCs/>
        </w:rPr>
        <w:t>10.2.2　</w:t>
      </w:r>
      <w:r>
        <w:rPr>
          <w:rFonts w:hint="eastAsia"/>
        </w:rPr>
        <w:t>管道漏损评估应包括对管段和管网的漏损检测分析。</w:t>
      </w:r>
    </w:p>
    <w:p w14:paraId="3B2D7005">
      <w:r>
        <w:rPr>
          <w:rFonts w:hint="eastAsia"/>
          <w:b/>
          <w:bCs/>
        </w:rPr>
        <w:t>10.2.3　</w:t>
      </w:r>
      <w:r>
        <w:rPr>
          <w:rFonts w:hint="eastAsia"/>
        </w:rPr>
        <w:t>管道周边环境状况宜包括管道敷设环境及岩土体、地面道路设施、邻近建构物等对管道服役状况的影响程度。</w:t>
      </w:r>
    </w:p>
    <w:p w14:paraId="72133C2B">
      <w:r>
        <w:rPr>
          <w:rFonts w:hint="eastAsia"/>
          <w:b/>
          <w:bCs/>
        </w:rPr>
        <w:t>10.2.4　</w:t>
      </w:r>
      <w:r>
        <w:t>管道缺陷</w:t>
      </w:r>
      <w:r>
        <w:rPr>
          <w:rFonts w:hint="eastAsia"/>
        </w:rPr>
        <w:t>应分为结构性缺陷与功能性缺陷，缺陷类型级别</w:t>
      </w:r>
      <w:r>
        <w:t>应按表</w:t>
      </w:r>
      <w:r>
        <w:rPr>
          <w:rFonts w:hint="eastAsia"/>
        </w:rPr>
        <w:t>10.</w:t>
      </w:r>
      <w:r>
        <w:t>2.</w:t>
      </w:r>
      <w:r>
        <w:rPr>
          <w:rFonts w:hint="eastAsia"/>
        </w:rPr>
        <w:t>4确定</w:t>
      </w:r>
      <w:r>
        <w:t>。</w:t>
      </w:r>
    </w:p>
    <w:p w14:paraId="42229141">
      <w:pPr>
        <w:contextualSpacing/>
        <w:jc w:val="center"/>
        <w:rPr>
          <w:b/>
          <w:sz w:val="21"/>
        </w:rPr>
      </w:pPr>
      <w:r>
        <w:rPr>
          <w:rFonts w:hint="eastAsia"/>
          <w:b/>
          <w:sz w:val="21"/>
        </w:rPr>
        <w:t>表10.</w:t>
      </w:r>
      <w:r>
        <w:rPr>
          <w:b/>
          <w:sz w:val="21"/>
        </w:rPr>
        <w:t>2.</w:t>
      </w:r>
      <w:r>
        <w:rPr>
          <w:rFonts w:hint="eastAsia"/>
          <w:b/>
          <w:sz w:val="21"/>
        </w:rPr>
        <w:t>4　缺陷类型级别分类表</w:t>
      </w:r>
    </w:p>
    <w:tbl>
      <w:tblPr>
        <w:tblStyle w:val="30"/>
        <w:tblW w:w="68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630"/>
        <w:gridCol w:w="1530"/>
        <w:gridCol w:w="1560"/>
      </w:tblGrid>
      <w:tr w14:paraId="6E998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3" w:type="dxa"/>
            <w:vMerge w:val="restart"/>
            <w:tcBorders>
              <w:top w:val="single" w:color="auto" w:sz="12" w:space="0"/>
              <w:tl2br w:val="nil"/>
            </w:tcBorders>
            <w:vAlign w:val="center"/>
          </w:tcPr>
          <w:p w14:paraId="2F91CAD2">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缺陷类型</w:t>
            </w:r>
          </w:p>
        </w:tc>
        <w:tc>
          <w:tcPr>
            <w:tcW w:w="4720" w:type="dxa"/>
            <w:gridSpan w:val="3"/>
            <w:tcBorders>
              <w:tl2br w:val="nil"/>
              <w:tr2bl w:val="nil"/>
            </w:tcBorders>
            <w:vAlign w:val="center"/>
          </w:tcPr>
          <w:p w14:paraId="59F2E944">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级别</w:t>
            </w:r>
          </w:p>
        </w:tc>
      </w:tr>
      <w:tr w14:paraId="33542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3" w:type="dxa"/>
            <w:vMerge w:val="continue"/>
            <w:tcBorders>
              <w:bottom w:val="single" w:color="auto" w:sz="4" w:space="0"/>
              <w:tl2br w:val="nil"/>
            </w:tcBorders>
            <w:vAlign w:val="center"/>
          </w:tcPr>
          <w:p w14:paraId="5A9783A9">
            <w:pPr>
              <w:tabs>
                <w:tab w:val="left" w:pos="1568"/>
              </w:tabs>
              <w:spacing w:line="240" w:lineRule="auto"/>
              <w:jc w:val="center"/>
              <w:rPr>
                <w:rFonts w:hint="default" w:ascii="Times New Roman" w:hAnsi="Times New Roman" w:eastAsia="宋体" w:cs="Times New Roman"/>
                <w:bCs/>
                <w:kern w:val="44"/>
                <w:sz w:val="21"/>
                <w:szCs w:val="21"/>
              </w:rPr>
            </w:pPr>
          </w:p>
        </w:tc>
        <w:tc>
          <w:tcPr>
            <w:tcW w:w="1630" w:type="dxa"/>
            <w:tcBorders>
              <w:tl2br w:val="nil"/>
              <w:tr2bl w:val="nil"/>
            </w:tcBorders>
            <w:vAlign w:val="center"/>
          </w:tcPr>
          <w:p w14:paraId="2A986E1F">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1</w:t>
            </w:r>
          </w:p>
        </w:tc>
        <w:tc>
          <w:tcPr>
            <w:tcW w:w="1530" w:type="dxa"/>
            <w:tcBorders>
              <w:tl2br w:val="nil"/>
              <w:tr2bl w:val="nil"/>
            </w:tcBorders>
            <w:vAlign w:val="center"/>
          </w:tcPr>
          <w:p w14:paraId="7889E2B6">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2</w:t>
            </w:r>
          </w:p>
        </w:tc>
        <w:tc>
          <w:tcPr>
            <w:tcW w:w="1560" w:type="dxa"/>
            <w:tcBorders>
              <w:tl2br w:val="nil"/>
              <w:tr2bl w:val="nil"/>
            </w:tcBorders>
            <w:vAlign w:val="center"/>
          </w:tcPr>
          <w:p w14:paraId="4DB6ED6B">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3</w:t>
            </w:r>
          </w:p>
        </w:tc>
      </w:tr>
      <w:tr w14:paraId="0EAD2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3" w:type="dxa"/>
            <w:tcBorders>
              <w:top w:val="single" w:color="auto" w:sz="4" w:space="0"/>
              <w:tl2br w:val="nil"/>
              <w:tr2bl w:val="nil"/>
            </w:tcBorders>
            <w:vAlign w:val="center"/>
          </w:tcPr>
          <w:p w14:paraId="0F04961F">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结构性缺陷</w:t>
            </w:r>
          </w:p>
        </w:tc>
        <w:tc>
          <w:tcPr>
            <w:tcW w:w="1630" w:type="dxa"/>
            <w:tcBorders>
              <w:tl2br w:val="nil"/>
              <w:tr2bl w:val="nil"/>
            </w:tcBorders>
            <w:vAlign w:val="center"/>
          </w:tcPr>
          <w:p w14:paraId="1CCECED5">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轻微缺陷</w:t>
            </w:r>
          </w:p>
        </w:tc>
        <w:tc>
          <w:tcPr>
            <w:tcW w:w="1530" w:type="dxa"/>
            <w:tcBorders>
              <w:tl2br w:val="nil"/>
              <w:tr2bl w:val="nil"/>
            </w:tcBorders>
            <w:vAlign w:val="center"/>
          </w:tcPr>
          <w:p w14:paraId="643EBDE8">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中等缺陷</w:t>
            </w:r>
          </w:p>
        </w:tc>
        <w:tc>
          <w:tcPr>
            <w:tcW w:w="1560" w:type="dxa"/>
            <w:tcBorders>
              <w:tl2br w:val="nil"/>
              <w:tr2bl w:val="nil"/>
            </w:tcBorders>
            <w:vAlign w:val="center"/>
          </w:tcPr>
          <w:p w14:paraId="33F7F3D1">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严重缺陷</w:t>
            </w:r>
          </w:p>
        </w:tc>
      </w:tr>
      <w:tr w14:paraId="162F3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3" w:type="dxa"/>
            <w:tcBorders>
              <w:tl2br w:val="nil"/>
              <w:tr2bl w:val="nil"/>
            </w:tcBorders>
            <w:vAlign w:val="center"/>
          </w:tcPr>
          <w:p w14:paraId="3EC07689">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功能性缺陷</w:t>
            </w:r>
          </w:p>
        </w:tc>
        <w:tc>
          <w:tcPr>
            <w:tcW w:w="1630" w:type="dxa"/>
            <w:tcBorders>
              <w:tl2br w:val="nil"/>
              <w:tr2bl w:val="nil"/>
            </w:tcBorders>
            <w:vAlign w:val="center"/>
          </w:tcPr>
          <w:p w14:paraId="71FC7023">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轻微缺陷</w:t>
            </w:r>
          </w:p>
        </w:tc>
        <w:tc>
          <w:tcPr>
            <w:tcW w:w="1530" w:type="dxa"/>
            <w:tcBorders>
              <w:tl2br w:val="nil"/>
              <w:tr2bl w:val="nil"/>
            </w:tcBorders>
            <w:vAlign w:val="center"/>
          </w:tcPr>
          <w:p w14:paraId="3E965E0E">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中等缺陷</w:t>
            </w:r>
          </w:p>
        </w:tc>
        <w:tc>
          <w:tcPr>
            <w:tcW w:w="1560" w:type="dxa"/>
            <w:tcBorders>
              <w:tl2br w:val="nil"/>
              <w:tr2bl w:val="nil"/>
            </w:tcBorders>
            <w:vAlign w:val="center"/>
          </w:tcPr>
          <w:p w14:paraId="1A8ADC3F">
            <w:pPr>
              <w:tabs>
                <w:tab w:val="left" w:pos="1568"/>
              </w:tabs>
              <w:spacing w:line="240" w:lineRule="auto"/>
              <w:jc w:val="center"/>
              <w:rPr>
                <w:rFonts w:hint="default" w:ascii="Times New Roman" w:hAnsi="Times New Roman" w:eastAsia="宋体" w:cs="Times New Roman"/>
                <w:bCs/>
                <w:kern w:val="44"/>
                <w:sz w:val="21"/>
                <w:szCs w:val="21"/>
              </w:rPr>
            </w:pPr>
            <w:r>
              <w:rPr>
                <w:rFonts w:hint="default" w:ascii="Times New Roman" w:hAnsi="Times New Roman" w:eastAsia="宋体" w:cs="Times New Roman"/>
                <w:bCs/>
                <w:kern w:val="44"/>
                <w:sz w:val="21"/>
                <w:szCs w:val="21"/>
              </w:rPr>
              <w:t>严重缺陷</w:t>
            </w:r>
          </w:p>
        </w:tc>
      </w:tr>
    </w:tbl>
    <w:p w14:paraId="52EAC681">
      <w:r>
        <w:rPr>
          <w:rFonts w:hint="eastAsia"/>
          <w:b/>
          <w:bCs/>
        </w:rPr>
        <w:t>10.2.5　</w:t>
      </w:r>
      <w:r>
        <w:t>结构性缺陷的名称、代码、</w:t>
      </w:r>
      <w:r>
        <w:rPr>
          <w:rFonts w:hint="eastAsia"/>
        </w:rPr>
        <w:t>级别</w:t>
      </w:r>
      <w:r>
        <w:t>划分及分值应符合表</w:t>
      </w:r>
      <w:r>
        <w:rPr>
          <w:rFonts w:hint="eastAsia"/>
        </w:rPr>
        <w:t>10.</w:t>
      </w:r>
      <w:r>
        <w:t>2.</w:t>
      </w:r>
      <w:r>
        <w:rPr>
          <w:rFonts w:hint="eastAsia"/>
        </w:rPr>
        <w:t>5</w:t>
      </w:r>
      <w:r>
        <w:t>的规定</w:t>
      </w:r>
      <w:r>
        <w:rPr>
          <w:rFonts w:hint="eastAsia"/>
        </w:rPr>
        <w:t>。</w:t>
      </w:r>
    </w:p>
    <w:p w14:paraId="0B3FB809">
      <w:pPr>
        <w:contextualSpacing/>
        <w:jc w:val="center"/>
        <w:rPr>
          <w:b/>
          <w:sz w:val="21"/>
        </w:rPr>
      </w:pPr>
      <w:r>
        <w:rPr>
          <w:rFonts w:hint="eastAsia"/>
          <w:b/>
          <w:sz w:val="21"/>
        </w:rPr>
        <w:t>表10.</w:t>
      </w:r>
      <w:r>
        <w:rPr>
          <w:b/>
          <w:sz w:val="21"/>
        </w:rPr>
        <w:t>2.</w:t>
      </w:r>
      <w:r>
        <w:rPr>
          <w:rFonts w:hint="eastAsia"/>
          <w:b/>
          <w:sz w:val="21"/>
        </w:rPr>
        <w:t>5　结构性缺陷的名称、代码、级别划分及分值</w:t>
      </w:r>
    </w:p>
    <w:tbl>
      <w:tblPr>
        <w:tblStyle w:val="30"/>
        <w:tblW w:w="88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663"/>
        <w:gridCol w:w="1218"/>
        <w:gridCol w:w="415"/>
        <w:gridCol w:w="2211"/>
        <w:gridCol w:w="660"/>
        <w:gridCol w:w="1664"/>
        <w:gridCol w:w="1262"/>
      </w:tblGrid>
      <w:tr w14:paraId="625A1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tcBorders>
              <w:tl2br w:val="nil"/>
              <w:tr2bl w:val="nil"/>
            </w:tcBorders>
            <w:vAlign w:val="center"/>
          </w:tcPr>
          <w:p w14:paraId="7FB021D2">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缺陷名称</w:t>
            </w:r>
          </w:p>
        </w:tc>
        <w:tc>
          <w:tcPr>
            <w:tcW w:w="663" w:type="dxa"/>
            <w:tcBorders>
              <w:tl2br w:val="nil"/>
              <w:tr2bl w:val="nil"/>
            </w:tcBorders>
            <w:vAlign w:val="center"/>
          </w:tcPr>
          <w:p w14:paraId="0509E016">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缺陷代码</w:t>
            </w:r>
          </w:p>
        </w:tc>
        <w:tc>
          <w:tcPr>
            <w:tcW w:w="1218" w:type="dxa"/>
            <w:tcBorders>
              <w:tl2br w:val="nil"/>
              <w:tr2bl w:val="nil"/>
            </w:tcBorders>
            <w:vAlign w:val="center"/>
          </w:tcPr>
          <w:p w14:paraId="2D902EFA">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定义</w:t>
            </w:r>
          </w:p>
        </w:tc>
        <w:tc>
          <w:tcPr>
            <w:tcW w:w="415" w:type="dxa"/>
            <w:tcBorders>
              <w:tl2br w:val="nil"/>
              <w:tr2bl w:val="nil"/>
            </w:tcBorders>
            <w:vAlign w:val="center"/>
          </w:tcPr>
          <w:p w14:paraId="5B7CEE62">
            <w:pPr>
              <w:tabs>
                <w:tab w:val="left" w:pos="1568"/>
              </w:tabs>
              <w:spacing w:line="240" w:lineRule="auto"/>
              <w:jc w:val="center"/>
              <w:rPr>
                <w:rFonts w:eastAsia="宋体" w:cs="Times New Roman"/>
                <w:bCs/>
                <w:kern w:val="44"/>
                <w:sz w:val="21"/>
                <w:szCs w:val="21"/>
              </w:rPr>
            </w:pPr>
            <w:r>
              <w:rPr>
                <w:rFonts w:cs="Times New Roman"/>
                <w:bCs/>
                <w:sz w:val="21"/>
              </w:rPr>
              <w:t>级别</w:t>
            </w:r>
          </w:p>
        </w:tc>
        <w:tc>
          <w:tcPr>
            <w:tcW w:w="2211" w:type="dxa"/>
            <w:tcBorders>
              <w:tl2br w:val="nil"/>
              <w:tr2bl w:val="nil"/>
            </w:tcBorders>
            <w:vAlign w:val="center"/>
          </w:tcPr>
          <w:p w14:paraId="3BB49F62">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缺陷描述</w:t>
            </w:r>
          </w:p>
        </w:tc>
        <w:tc>
          <w:tcPr>
            <w:tcW w:w="660" w:type="dxa"/>
            <w:tcBorders>
              <w:tl2br w:val="nil"/>
              <w:tr2bl w:val="nil"/>
            </w:tcBorders>
            <w:vAlign w:val="center"/>
          </w:tcPr>
          <w:p w14:paraId="7644A38E">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分值</w:t>
            </w:r>
          </w:p>
        </w:tc>
        <w:tc>
          <w:tcPr>
            <w:tcW w:w="1664" w:type="dxa"/>
            <w:tcBorders>
              <w:tl2br w:val="nil"/>
              <w:tr2bl w:val="nil"/>
            </w:tcBorders>
            <w:vAlign w:val="center"/>
          </w:tcPr>
          <w:p w14:paraId="15669FB6">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压力影响系数</w:t>
            </w:r>
          </w:p>
        </w:tc>
        <w:tc>
          <w:tcPr>
            <w:tcW w:w="1262" w:type="dxa"/>
            <w:tcBorders>
              <w:tl2br w:val="nil"/>
              <w:tr2bl w:val="nil"/>
            </w:tcBorders>
            <w:vAlign w:val="center"/>
          </w:tcPr>
          <w:p w14:paraId="12E42074">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缺陷长度影响系数</w:t>
            </w:r>
          </w:p>
        </w:tc>
      </w:tr>
      <w:tr w14:paraId="4BBF2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restart"/>
            <w:tcBorders>
              <w:tl2br w:val="nil"/>
              <w:tr2bl w:val="nil"/>
            </w:tcBorders>
            <w:vAlign w:val="center"/>
          </w:tcPr>
          <w:p w14:paraId="1AA61733">
            <w:pPr>
              <w:tabs>
                <w:tab w:val="left" w:pos="1568"/>
              </w:tabs>
              <w:spacing w:line="240" w:lineRule="auto"/>
              <w:rPr>
                <w:rFonts w:eastAsia="宋体" w:cs="Times New Roman"/>
                <w:bCs/>
                <w:kern w:val="44"/>
                <w:sz w:val="21"/>
                <w:szCs w:val="21"/>
              </w:rPr>
            </w:pPr>
            <w:r>
              <w:rPr>
                <w:rFonts w:eastAsia="宋体" w:cs="Times New Roman"/>
                <w:bCs/>
                <w:kern w:val="44"/>
                <w:sz w:val="21"/>
                <w:szCs w:val="21"/>
              </w:rPr>
              <w:t>泄漏</w:t>
            </w:r>
          </w:p>
        </w:tc>
        <w:tc>
          <w:tcPr>
            <w:tcW w:w="663" w:type="dxa"/>
            <w:vMerge w:val="restart"/>
            <w:tcBorders>
              <w:tl2br w:val="nil"/>
              <w:tr2bl w:val="nil"/>
            </w:tcBorders>
            <w:vAlign w:val="center"/>
          </w:tcPr>
          <w:p w14:paraId="4198BD3C">
            <w:pPr>
              <w:tabs>
                <w:tab w:val="left" w:pos="1568"/>
              </w:tabs>
              <w:spacing w:line="240" w:lineRule="auto"/>
              <w:rPr>
                <w:rFonts w:eastAsia="宋体" w:cs="Times New Roman"/>
                <w:bCs/>
                <w:kern w:val="44"/>
                <w:sz w:val="21"/>
                <w:szCs w:val="21"/>
              </w:rPr>
            </w:pPr>
            <w:r>
              <w:rPr>
                <w:rFonts w:eastAsia="宋体" w:cs="Times New Roman"/>
                <w:bCs/>
                <w:kern w:val="44"/>
                <w:sz w:val="21"/>
                <w:szCs w:val="21"/>
              </w:rPr>
              <w:t>XL</w:t>
            </w:r>
          </w:p>
        </w:tc>
        <w:tc>
          <w:tcPr>
            <w:tcW w:w="1218" w:type="dxa"/>
            <w:vMerge w:val="restart"/>
            <w:tcBorders>
              <w:tl2br w:val="nil"/>
              <w:tr2bl w:val="nil"/>
            </w:tcBorders>
            <w:vAlign w:val="center"/>
          </w:tcPr>
          <w:p w14:paraId="0A40808B">
            <w:pPr>
              <w:tabs>
                <w:tab w:val="left" w:pos="1568"/>
              </w:tabs>
              <w:spacing w:line="240" w:lineRule="auto"/>
              <w:rPr>
                <w:rFonts w:eastAsia="宋体" w:cs="Times New Roman"/>
                <w:bCs/>
                <w:kern w:val="44"/>
                <w:sz w:val="21"/>
                <w:szCs w:val="21"/>
              </w:rPr>
            </w:pPr>
            <w:r>
              <w:rPr>
                <w:rFonts w:eastAsia="宋体" w:cs="Times New Roman"/>
                <w:bCs/>
                <w:kern w:val="44"/>
                <w:sz w:val="21"/>
                <w:szCs w:val="21"/>
              </w:rPr>
              <w:t>水从管道异常点流出管道</w:t>
            </w:r>
          </w:p>
        </w:tc>
        <w:tc>
          <w:tcPr>
            <w:tcW w:w="415" w:type="dxa"/>
            <w:tcBorders>
              <w:tl2br w:val="nil"/>
              <w:tr2bl w:val="nil"/>
            </w:tcBorders>
            <w:vAlign w:val="center"/>
          </w:tcPr>
          <w:p w14:paraId="0B73E151">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211" w:type="dxa"/>
            <w:tcBorders>
              <w:tl2br w:val="nil"/>
              <w:tr2bl w:val="nil"/>
            </w:tcBorders>
            <w:vAlign w:val="center"/>
          </w:tcPr>
          <w:p w14:paraId="52028A6A">
            <w:pPr>
              <w:tabs>
                <w:tab w:val="left" w:pos="1568"/>
              </w:tabs>
              <w:spacing w:line="240" w:lineRule="auto"/>
              <w:rPr>
                <w:rFonts w:eastAsia="宋体" w:cs="Times New Roman"/>
                <w:bCs/>
                <w:kern w:val="44"/>
                <w:sz w:val="21"/>
                <w:szCs w:val="21"/>
              </w:rPr>
            </w:pPr>
            <w:r>
              <w:rPr>
                <w:rFonts w:eastAsia="宋体" w:cs="Times New Roman"/>
                <w:bCs/>
                <w:kern w:val="44"/>
                <w:sz w:val="21"/>
                <w:szCs w:val="21"/>
              </w:rPr>
              <w:t>小漏，漏水量</w:t>
            </w:r>
            <w:r>
              <w:rPr>
                <w:rFonts w:hint="eastAsia" w:eastAsia="宋体" w:cs="Times New Roman"/>
                <w:bCs/>
                <w:kern w:val="44"/>
                <w:sz w:val="21"/>
                <w:szCs w:val="21"/>
              </w:rPr>
              <w:t>小于</w:t>
            </w:r>
            <w:r>
              <w:rPr>
                <w:rFonts w:eastAsia="宋体" w:cs="Times New Roman"/>
                <w:bCs/>
                <w:kern w:val="44"/>
                <w:sz w:val="21"/>
                <w:szCs w:val="21"/>
              </w:rPr>
              <w:t>8L/min</w:t>
            </w:r>
          </w:p>
        </w:tc>
        <w:tc>
          <w:tcPr>
            <w:tcW w:w="660" w:type="dxa"/>
            <w:tcBorders>
              <w:tl2br w:val="nil"/>
              <w:tr2bl w:val="nil"/>
            </w:tcBorders>
            <w:vAlign w:val="center"/>
          </w:tcPr>
          <w:p w14:paraId="77836907">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4</w:t>
            </w:r>
          </w:p>
        </w:tc>
        <w:tc>
          <w:tcPr>
            <w:tcW w:w="1664" w:type="dxa"/>
            <w:vMerge w:val="restart"/>
            <w:tcBorders>
              <w:tl2br w:val="nil"/>
              <w:tr2bl w:val="nil"/>
            </w:tcBorders>
            <w:vAlign w:val="center"/>
          </w:tcPr>
          <w:p w14:paraId="1673AB96">
            <w:pPr>
              <w:tabs>
                <w:tab w:val="left" w:pos="1568"/>
              </w:tabs>
              <w:spacing w:line="240" w:lineRule="auto"/>
              <w:jc w:val="left"/>
              <w:rPr>
                <w:rFonts w:eastAsia="宋体" w:cs="Times New Roman"/>
                <w:bCs/>
                <w:kern w:val="44"/>
                <w:sz w:val="21"/>
                <w:szCs w:val="21"/>
              </w:rPr>
            </w:pPr>
            <w:r>
              <w:rPr>
                <w:rFonts w:hint="eastAsia" w:eastAsia="宋体" w:cs="Times New Roman"/>
                <w:bCs/>
                <w:kern w:val="44"/>
                <w:sz w:val="21"/>
                <w:szCs w:val="21"/>
              </w:rPr>
              <w:t>压力小于0.2M</w:t>
            </w:r>
            <w:r>
              <w:rPr>
                <w:rFonts w:eastAsia="宋体" w:cs="Times New Roman"/>
                <w:bCs/>
                <w:kern w:val="44"/>
                <w:sz w:val="21"/>
                <w:szCs w:val="21"/>
              </w:rPr>
              <w:t>P</w:t>
            </w:r>
            <w:r>
              <w:rPr>
                <w:rFonts w:hint="eastAsia" w:eastAsia="宋体" w:cs="Times New Roman"/>
                <w:bCs/>
                <w:kern w:val="44"/>
                <w:sz w:val="21"/>
                <w:szCs w:val="21"/>
              </w:rPr>
              <w:t>a取</w:t>
            </w:r>
            <w:r>
              <w:rPr>
                <w:rFonts w:eastAsia="宋体" w:cs="Times New Roman"/>
                <w:bCs/>
                <w:kern w:val="44"/>
                <w:sz w:val="21"/>
                <w:szCs w:val="21"/>
              </w:rPr>
              <w:t>1</w:t>
            </w:r>
            <w:r>
              <w:rPr>
                <w:rFonts w:hint="eastAsia" w:eastAsia="宋体" w:cs="Times New Roman"/>
                <w:bCs/>
                <w:kern w:val="44"/>
                <w:sz w:val="21"/>
                <w:szCs w:val="21"/>
              </w:rPr>
              <w:t>.0；压力0.2</w:t>
            </w:r>
            <w:r>
              <w:rPr>
                <w:rFonts w:eastAsia="宋体" w:cs="Times New Roman"/>
                <w:bCs/>
                <w:kern w:val="44"/>
                <w:sz w:val="21"/>
                <w:szCs w:val="21"/>
              </w:rPr>
              <w:t>P</w:t>
            </w:r>
            <w:r>
              <w:rPr>
                <w:rFonts w:hint="eastAsia" w:eastAsia="宋体" w:cs="Times New Roman"/>
                <w:bCs/>
                <w:kern w:val="44"/>
                <w:sz w:val="21"/>
                <w:szCs w:val="21"/>
              </w:rPr>
              <w:t>～0.5M</w:t>
            </w:r>
            <w:r>
              <w:rPr>
                <w:rFonts w:eastAsia="宋体" w:cs="Times New Roman"/>
                <w:bCs/>
                <w:kern w:val="44"/>
                <w:sz w:val="21"/>
                <w:szCs w:val="21"/>
              </w:rPr>
              <w:t>P</w:t>
            </w:r>
            <w:r>
              <w:rPr>
                <w:rFonts w:hint="eastAsia" w:eastAsia="宋体" w:cs="Times New Roman"/>
                <w:bCs/>
                <w:kern w:val="44"/>
                <w:sz w:val="21"/>
                <w:szCs w:val="21"/>
              </w:rPr>
              <w:t>a取1</w:t>
            </w:r>
            <w:r>
              <w:rPr>
                <w:rFonts w:eastAsia="宋体" w:cs="Times New Roman"/>
                <w:bCs/>
                <w:kern w:val="44"/>
                <w:sz w:val="21"/>
                <w:szCs w:val="21"/>
              </w:rPr>
              <w:t>.1</w:t>
            </w:r>
            <w:r>
              <w:rPr>
                <w:rFonts w:hint="eastAsia" w:eastAsia="宋体" w:cs="Times New Roman"/>
                <w:bCs/>
                <w:kern w:val="44"/>
                <w:sz w:val="21"/>
                <w:szCs w:val="21"/>
              </w:rPr>
              <w:t>；压力大于0.5M</w:t>
            </w:r>
            <w:r>
              <w:rPr>
                <w:rFonts w:eastAsia="宋体" w:cs="Times New Roman"/>
                <w:bCs/>
                <w:kern w:val="44"/>
                <w:sz w:val="21"/>
                <w:szCs w:val="21"/>
              </w:rPr>
              <w:t>P</w:t>
            </w:r>
            <w:r>
              <w:rPr>
                <w:rFonts w:hint="eastAsia" w:eastAsia="宋体" w:cs="Times New Roman"/>
                <w:bCs/>
                <w:kern w:val="44"/>
                <w:sz w:val="21"/>
                <w:szCs w:val="21"/>
              </w:rPr>
              <w:t>a取1.</w:t>
            </w:r>
            <w:r>
              <w:rPr>
                <w:rFonts w:eastAsia="宋体" w:cs="Times New Roman"/>
                <w:bCs/>
                <w:kern w:val="44"/>
                <w:sz w:val="21"/>
                <w:szCs w:val="21"/>
              </w:rPr>
              <w:t>2</w:t>
            </w:r>
          </w:p>
        </w:tc>
        <w:tc>
          <w:tcPr>
            <w:tcW w:w="1262" w:type="dxa"/>
            <w:vMerge w:val="restart"/>
            <w:tcBorders>
              <w:tl2br w:val="nil"/>
              <w:tr2bl w:val="nil"/>
            </w:tcBorders>
            <w:vAlign w:val="center"/>
          </w:tcPr>
          <w:p w14:paraId="3C8C6721">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p>
        </w:tc>
      </w:tr>
      <w:tr w14:paraId="2140F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Merge w:val="continue"/>
            <w:tcBorders>
              <w:tl2br w:val="nil"/>
              <w:tr2bl w:val="nil"/>
            </w:tcBorders>
            <w:vAlign w:val="center"/>
          </w:tcPr>
          <w:p w14:paraId="16D54D24">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14:paraId="18740C22">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14:paraId="7283B4A0">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14:paraId="34E8C8A9">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211" w:type="dxa"/>
            <w:tcBorders>
              <w:tl2br w:val="nil"/>
              <w:tr2bl w:val="nil"/>
            </w:tcBorders>
            <w:vAlign w:val="center"/>
          </w:tcPr>
          <w:p w14:paraId="4374221D">
            <w:pPr>
              <w:tabs>
                <w:tab w:val="left" w:pos="1568"/>
              </w:tabs>
              <w:spacing w:line="240" w:lineRule="auto"/>
              <w:rPr>
                <w:rFonts w:eastAsia="宋体" w:cs="Times New Roman"/>
                <w:bCs/>
                <w:kern w:val="44"/>
                <w:sz w:val="21"/>
                <w:szCs w:val="21"/>
              </w:rPr>
            </w:pPr>
            <w:r>
              <w:rPr>
                <w:rFonts w:eastAsia="宋体" w:cs="Times New Roman"/>
                <w:bCs/>
                <w:kern w:val="44"/>
                <w:sz w:val="21"/>
                <w:szCs w:val="21"/>
              </w:rPr>
              <w:t>中漏，漏水量在8L/min～40L/min</w:t>
            </w:r>
          </w:p>
        </w:tc>
        <w:tc>
          <w:tcPr>
            <w:tcW w:w="660" w:type="dxa"/>
            <w:tcBorders>
              <w:tl2br w:val="nil"/>
              <w:tr2bl w:val="nil"/>
            </w:tcBorders>
            <w:vAlign w:val="center"/>
          </w:tcPr>
          <w:p w14:paraId="354B3CFD">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7</w:t>
            </w:r>
          </w:p>
        </w:tc>
        <w:tc>
          <w:tcPr>
            <w:tcW w:w="1664" w:type="dxa"/>
            <w:vMerge w:val="continue"/>
            <w:tcBorders>
              <w:tl2br w:val="nil"/>
              <w:tr2bl w:val="nil"/>
            </w:tcBorders>
            <w:vAlign w:val="center"/>
          </w:tcPr>
          <w:p w14:paraId="5ED20E25">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14:paraId="17064691">
            <w:pPr>
              <w:tabs>
                <w:tab w:val="left" w:pos="1568"/>
              </w:tabs>
              <w:spacing w:line="240" w:lineRule="auto"/>
              <w:rPr>
                <w:rFonts w:eastAsia="宋体" w:cs="Times New Roman"/>
                <w:bCs/>
                <w:kern w:val="44"/>
                <w:sz w:val="21"/>
                <w:szCs w:val="21"/>
              </w:rPr>
            </w:pPr>
          </w:p>
        </w:tc>
      </w:tr>
      <w:tr w14:paraId="15AAB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tcBorders>
              <w:tl2br w:val="nil"/>
              <w:tr2bl w:val="nil"/>
            </w:tcBorders>
            <w:vAlign w:val="center"/>
          </w:tcPr>
          <w:p w14:paraId="252A9567">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14:paraId="6AA06323">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14:paraId="6DB2F81E">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14:paraId="7CF042DE">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211" w:type="dxa"/>
            <w:tcBorders>
              <w:tl2br w:val="nil"/>
              <w:tr2bl w:val="nil"/>
            </w:tcBorders>
            <w:vAlign w:val="center"/>
          </w:tcPr>
          <w:p w14:paraId="417A152D">
            <w:pPr>
              <w:tabs>
                <w:tab w:val="left" w:pos="1568"/>
              </w:tabs>
              <w:spacing w:line="240" w:lineRule="auto"/>
              <w:rPr>
                <w:rFonts w:eastAsia="宋体" w:cs="Times New Roman"/>
                <w:bCs/>
                <w:kern w:val="44"/>
                <w:sz w:val="21"/>
                <w:szCs w:val="21"/>
              </w:rPr>
            </w:pPr>
            <w:r>
              <w:rPr>
                <w:rFonts w:eastAsia="宋体" w:cs="Times New Roman"/>
                <w:bCs/>
                <w:kern w:val="44"/>
                <w:sz w:val="21"/>
                <w:szCs w:val="21"/>
              </w:rPr>
              <w:t>大漏，漏水量</w:t>
            </w:r>
            <w:r>
              <w:rPr>
                <w:rFonts w:hint="eastAsia" w:eastAsia="宋体" w:cs="Times New Roman"/>
                <w:bCs/>
                <w:kern w:val="44"/>
                <w:sz w:val="21"/>
                <w:szCs w:val="21"/>
              </w:rPr>
              <w:t>大于</w:t>
            </w:r>
            <w:r>
              <w:rPr>
                <w:rFonts w:eastAsia="宋体" w:cs="Times New Roman"/>
                <w:bCs/>
                <w:kern w:val="44"/>
                <w:sz w:val="21"/>
                <w:szCs w:val="21"/>
              </w:rPr>
              <w:t>40L/min</w:t>
            </w:r>
          </w:p>
        </w:tc>
        <w:tc>
          <w:tcPr>
            <w:tcW w:w="660" w:type="dxa"/>
            <w:tcBorders>
              <w:tl2br w:val="nil"/>
              <w:tr2bl w:val="nil"/>
            </w:tcBorders>
            <w:vAlign w:val="center"/>
          </w:tcPr>
          <w:p w14:paraId="3A207F00">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10</w:t>
            </w:r>
          </w:p>
        </w:tc>
        <w:tc>
          <w:tcPr>
            <w:tcW w:w="1664" w:type="dxa"/>
            <w:vMerge w:val="continue"/>
            <w:tcBorders>
              <w:tl2br w:val="nil"/>
              <w:tr2bl w:val="nil"/>
            </w:tcBorders>
            <w:vAlign w:val="center"/>
          </w:tcPr>
          <w:p w14:paraId="5F8CC698">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14:paraId="33D41292">
            <w:pPr>
              <w:tabs>
                <w:tab w:val="left" w:pos="1568"/>
              </w:tabs>
              <w:spacing w:line="240" w:lineRule="auto"/>
              <w:rPr>
                <w:rFonts w:eastAsia="宋体" w:cs="Times New Roman"/>
                <w:bCs/>
                <w:kern w:val="44"/>
                <w:sz w:val="21"/>
                <w:szCs w:val="21"/>
              </w:rPr>
            </w:pPr>
          </w:p>
        </w:tc>
      </w:tr>
      <w:tr w14:paraId="28B81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restart"/>
            <w:tcBorders>
              <w:tl2br w:val="nil"/>
              <w:tr2bl w:val="nil"/>
            </w:tcBorders>
            <w:vAlign w:val="center"/>
          </w:tcPr>
          <w:p w14:paraId="04A2EB63">
            <w:pPr>
              <w:tabs>
                <w:tab w:val="left" w:pos="1568"/>
              </w:tabs>
              <w:spacing w:line="240" w:lineRule="auto"/>
              <w:rPr>
                <w:rFonts w:eastAsia="宋体" w:cs="Times New Roman"/>
                <w:bCs/>
                <w:kern w:val="44"/>
                <w:sz w:val="21"/>
                <w:szCs w:val="21"/>
              </w:rPr>
            </w:pPr>
            <w:r>
              <w:rPr>
                <w:rFonts w:eastAsia="宋体" w:cs="Times New Roman"/>
                <w:bCs/>
                <w:kern w:val="44"/>
                <w:sz w:val="21"/>
                <w:szCs w:val="21"/>
              </w:rPr>
              <w:t>腐蚀</w:t>
            </w:r>
          </w:p>
        </w:tc>
        <w:tc>
          <w:tcPr>
            <w:tcW w:w="663" w:type="dxa"/>
            <w:vMerge w:val="restart"/>
            <w:tcBorders>
              <w:tl2br w:val="nil"/>
              <w:tr2bl w:val="nil"/>
            </w:tcBorders>
            <w:vAlign w:val="center"/>
          </w:tcPr>
          <w:p w14:paraId="2473A471">
            <w:pPr>
              <w:tabs>
                <w:tab w:val="left" w:pos="1568"/>
              </w:tabs>
              <w:spacing w:line="240" w:lineRule="auto"/>
              <w:rPr>
                <w:rFonts w:eastAsia="宋体" w:cs="Times New Roman"/>
                <w:bCs/>
                <w:kern w:val="44"/>
                <w:sz w:val="21"/>
                <w:szCs w:val="21"/>
              </w:rPr>
            </w:pPr>
            <w:r>
              <w:rPr>
                <w:rFonts w:eastAsia="宋体" w:cs="Times New Roman"/>
                <w:bCs/>
                <w:kern w:val="44"/>
                <w:sz w:val="21"/>
                <w:szCs w:val="21"/>
              </w:rPr>
              <w:t>FS</w:t>
            </w:r>
          </w:p>
        </w:tc>
        <w:tc>
          <w:tcPr>
            <w:tcW w:w="1218" w:type="dxa"/>
            <w:vMerge w:val="restart"/>
            <w:tcBorders>
              <w:tl2br w:val="nil"/>
              <w:tr2bl w:val="nil"/>
            </w:tcBorders>
            <w:vAlign w:val="center"/>
          </w:tcPr>
          <w:p w14:paraId="45412DB3">
            <w:pPr>
              <w:tabs>
                <w:tab w:val="left" w:pos="1568"/>
              </w:tabs>
              <w:spacing w:line="240" w:lineRule="auto"/>
              <w:rPr>
                <w:rFonts w:eastAsia="宋体" w:cs="Times New Roman"/>
                <w:bCs/>
                <w:kern w:val="44"/>
                <w:sz w:val="21"/>
                <w:szCs w:val="21"/>
              </w:rPr>
            </w:pPr>
            <w:r>
              <w:rPr>
                <w:rFonts w:eastAsia="宋体" w:cs="Times New Roman"/>
                <w:bCs/>
                <w:kern w:val="44"/>
                <w:sz w:val="21"/>
                <w:szCs w:val="21"/>
              </w:rPr>
              <w:t>管道内壁受侵蚀而流失或剥落</w:t>
            </w:r>
          </w:p>
        </w:tc>
        <w:tc>
          <w:tcPr>
            <w:tcW w:w="415" w:type="dxa"/>
            <w:tcBorders>
              <w:tl2br w:val="nil"/>
              <w:tr2bl w:val="nil"/>
            </w:tcBorders>
            <w:vAlign w:val="center"/>
          </w:tcPr>
          <w:p w14:paraId="54A28BA8">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211" w:type="dxa"/>
            <w:tcBorders>
              <w:tl2br w:val="nil"/>
              <w:tr2bl w:val="nil"/>
            </w:tcBorders>
            <w:vAlign w:val="center"/>
          </w:tcPr>
          <w:p w14:paraId="61168889">
            <w:pPr>
              <w:tabs>
                <w:tab w:val="left" w:pos="1568"/>
              </w:tabs>
              <w:spacing w:line="240" w:lineRule="auto"/>
              <w:rPr>
                <w:rFonts w:eastAsia="宋体" w:cs="Times New Roman"/>
                <w:bCs/>
                <w:kern w:val="44"/>
                <w:sz w:val="21"/>
                <w:szCs w:val="21"/>
              </w:rPr>
            </w:pPr>
            <w:r>
              <w:rPr>
                <w:rFonts w:eastAsia="宋体" w:cs="Times New Roman"/>
                <w:bCs/>
                <w:kern w:val="44"/>
                <w:sz w:val="21"/>
                <w:szCs w:val="21"/>
              </w:rPr>
              <w:t>轻度腐蚀—表面轻微剥落，管壁出现凹凸面</w:t>
            </w:r>
          </w:p>
        </w:tc>
        <w:tc>
          <w:tcPr>
            <w:tcW w:w="660" w:type="dxa"/>
            <w:tcBorders>
              <w:tl2br w:val="nil"/>
              <w:tr2bl w:val="nil"/>
            </w:tcBorders>
            <w:vAlign w:val="center"/>
          </w:tcPr>
          <w:p w14:paraId="1D536866">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1664" w:type="dxa"/>
            <w:tcBorders>
              <w:tl2br w:val="nil"/>
              <w:tr2bl w:val="nil"/>
            </w:tcBorders>
            <w:vAlign w:val="center"/>
          </w:tcPr>
          <w:p w14:paraId="0E8AE081">
            <w:pPr>
              <w:tabs>
                <w:tab w:val="left" w:pos="1568"/>
              </w:tabs>
              <w:spacing w:line="240" w:lineRule="auto"/>
              <w:rPr>
                <w:rFonts w:eastAsia="宋体" w:cs="Times New Roman"/>
                <w:bCs/>
                <w:kern w:val="44"/>
                <w:sz w:val="21"/>
                <w:szCs w:val="21"/>
              </w:rPr>
            </w:pPr>
            <w:r>
              <w:rPr>
                <w:rFonts w:eastAsia="宋体" w:cs="Times New Roman"/>
                <w:bCs/>
                <w:kern w:val="44"/>
                <w:sz w:val="21"/>
                <w:szCs w:val="21"/>
              </w:rPr>
              <w:t>影响系数1</w:t>
            </w:r>
            <w:r>
              <w:rPr>
                <w:rFonts w:hint="eastAsia" w:eastAsia="宋体" w:cs="Times New Roman"/>
                <w:bCs/>
                <w:kern w:val="44"/>
                <w:sz w:val="21"/>
                <w:szCs w:val="21"/>
              </w:rPr>
              <w:t>.0</w:t>
            </w:r>
          </w:p>
        </w:tc>
        <w:tc>
          <w:tcPr>
            <w:tcW w:w="1262" w:type="dxa"/>
            <w:vMerge w:val="restart"/>
            <w:tcBorders>
              <w:tl2br w:val="nil"/>
              <w:tr2bl w:val="nil"/>
            </w:tcBorders>
            <w:vAlign w:val="center"/>
          </w:tcPr>
          <w:p w14:paraId="0EC723B6">
            <w:pPr>
              <w:tabs>
                <w:tab w:val="left" w:pos="1568"/>
              </w:tabs>
              <w:spacing w:line="240" w:lineRule="auto"/>
              <w:rPr>
                <w:rFonts w:eastAsia="宋体" w:cs="Times New Roman"/>
                <w:bCs/>
                <w:kern w:val="44"/>
                <w:sz w:val="21"/>
                <w:szCs w:val="21"/>
              </w:rPr>
            </w:pPr>
            <w:r>
              <w:rPr>
                <w:rFonts w:eastAsia="宋体" w:cs="Times New Roman"/>
                <w:bCs/>
                <w:kern w:val="44"/>
                <w:sz w:val="21"/>
                <w:szCs w:val="21"/>
              </w:rPr>
              <w:t>缺陷纵向距离长度不大于1m</w:t>
            </w: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r>
              <w:rPr>
                <w:rFonts w:eastAsia="宋体" w:cs="Times New Roman"/>
                <w:bCs/>
                <w:kern w:val="44"/>
                <w:sz w:val="21"/>
                <w:szCs w:val="21"/>
              </w:rPr>
              <w:t>；缺陷纵向距离大于或等于1m</w:t>
            </w:r>
            <w:r>
              <w:rPr>
                <w:rFonts w:hint="eastAsia" w:eastAsia="宋体" w:cs="Times New Roman"/>
                <w:bCs/>
                <w:kern w:val="44"/>
                <w:sz w:val="21"/>
                <w:szCs w:val="21"/>
              </w:rPr>
              <w:t>取</w:t>
            </w:r>
            <w:r>
              <w:rPr>
                <w:rFonts w:eastAsia="宋体" w:cs="Times New Roman"/>
                <w:bCs/>
                <w:kern w:val="44"/>
                <w:sz w:val="21"/>
                <w:szCs w:val="21"/>
              </w:rPr>
              <w:t>1.1</w:t>
            </w:r>
          </w:p>
        </w:tc>
      </w:tr>
      <w:tr w14:paraId="67B0D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tcBorders>
              <w:tl2br w:val="nil"/>
              <w:tr2bl w:val="nil"/>
            </w:tcBorders>
            <w:vAlign w:val="center"/>
          </w:tcPr>
          <w:p w14:paraId="797A8357">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14:paraId="3365A88B">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14:paraId="57538D28">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14:paraId="6C524D28">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211" w:type="dxa"/>
            <w:tcBorders>
              <w:tl2br w:val="nil"/>
              <w:tr2bl w:val="nil"/>
            </w:tcBorders>
            <w:vAlign w:val="center"/>
          </w:tcPr>
          <w:p w14:paraId="153E3F3B">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表面出现明显剥落，管壁出现环向覆盖范围不大于弧长180°的凹凸面</w:t>
            </w:r>
          </w:p>
        </w:tc>
        <w:tc>
          <w:tcPr>
            <w:tcW w:w="660" w:type="dxa"/>
            <w:tcBorders>
              <w:tl2br w:val="nil"/>
              <w:tr2bl w:val="nil"/>
            </w:tcBorders>
            <w:vAlign w:val="center"/>
          </w:tcPr>
          <w:p w14:paraId="1FF8D2F3">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4</w:t>
            </w:r>
          </w:p>
        </w:tc>
        <w:tc>
          <w:tcPr>
            <w:tcW w:w="1664" w:type="dxa"/>
            <w:tcBorders>
              <w:tl2br w:val="nil"/>
              <w:tr2bl w:val="nil"/>
            </w:tcBorders>
            <w:vAlign w:val="center"/>
          </w:tcPr>
          <w:p w14:paraId="38EB8AD1">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压力小于0.2M</w:t>
            </w:r>
            <w:r>
              <w:rPr>
                <w:rFonts w:eastAsia="宋体" w:cs="Times New Roman"/>
                <w:bCs/>
                <w:kern w:val="44"/>
                <w:sz w:val="21"/>
                <w:szCs w:val="21"/>
              </w:rPr>
              <w:t>P</w:t>
            </w:r>
            <w:r>
              <w:rPr>
                <w:rFonts w:hint="eastAsia" w:eastAsia="宋体" w:cs="Times New Roman"/>
                <w:bCs/>
                <w:kern w:val="44"/>
                <w:sz w:val="21"/>
                <w:szCs w:val="21"/>
              </w:rPr>
              <w:t>a取</w:t>
            </w:r>
            <w:r>
              <w:rPr>
                <w:rFonts w:eastAsia="宋体" w:cs="Times New Roman"/>
                <w:bCs/>
                <w:kern w:val="44"/>
                <w:sz w:val="21"/>
                <w:szCs w:val="21"/>
              </w:rPr>
              <w:t>1；</w:t>
            </w:r>
            <w:r>
              <w:rPr>
                <w:rFonts w:hint="eastAsia" w:eastAsia="宋体" w:cs="Times New Roman"/>
                <w:bCs/>
                <w:kern w:val="44"/>
                <w:sz w:val="21"/>
                <w:szCs w:val="21"/>
              </w:rPr>
              <w:t>压力0.2～0.5M</w:t>
            </w:r>
            <w:r>
              <w:rPr>
                <w:rFonts w:eastAsia="宋体" w:cs="Times New Roman"/>
                <w:bCs/>
                <w:kern w:val="44"/>
                <w:sz w:val="21"/>
                <w:szCs w:val="21"/>
              </w:rPr>
              <w:t>P</w:t>
            </w:r>
            <w:r>
              <w:rPr>
                <w:rFonts w:hint="eastAsia" w:eastAsia="宋体" w:cs="Times New Roman"/>
                <w:bCs/>
                <w:kern w:val="44"/>
                <w:sz w:val="21"/>
                <w:szCs w:val="21"/>
              </w:rPr>
              <w:t>a取1</w:t>
            </w:r>
            <w:r>
              <w:rPr>
                <w:rFonts w:eastAsia="宋体" w:cs="Times New Roman"/>
                <w:bCs/>
                <w:kern w:val="44"/>
                <w:sz w:val="21"/>
                <w:szCs w:val="21"/>
              </w:rPr>
              <w:t>.1</w:t>
            </w:r>
            <w:r>
              <w:rPr>
                <w:rFonts w:hint="eastAsia" w:eastAsia="宋体" w:cs="Times New Roman"/>
                <w:bCs/>
                <w:kern w:val="44"/>
                <w:sz w:val="21"/>
                <w:szCs w:val="21"/>
              </w:rPr>
              <w:t>；压力大于0.5M</w:t>
            </w:r>
            <w:r>
              <w:rPr>
                <w:rFonts w:eastAsia="宋体" w:cs="Times New Roman"/>
                <w:bCs/>
                <w:kern w:val="44"/>
                <w:sz w:val="21"/>
                <w:szCs w:val="21"/>
              </w:rPr>
              <w:t>P</w:t>
            </w:r>
            <w:r>
              <w:rPr>
                <w:rFonts w:hint="eastAsia" w:eastAsia="宋体" w:cs="Times New Roman"/>
                <w:bCs/>
                <w:kern w:val="44"/>
                <w:sz w:val="21"/>
                <w:szCs w:val="21"/>
              </w:rPr>
              <w:t>a取1.</w:t>
            </w:r>
            <w:r>
              <w:rPr>
                <w:rFonts w:eastAsia="宋体" w:cs="Times New Roman"/>
                <w:bCs/>
                <w:kern w:val="44"/>
                <w:sz w:val="21"/>
                <w:szCs w:val="21"/>
              </w:rPr>
              <w:t>2</w:t>
            </w:r>
          </w:p>
        </w:tc>
        <w:tc>
          <w:tcPr>
            <w:tcW w:w="1262" w:type="dxa"/>
            <w:vMerge w:val="continue"/>
            <w:tcBorders>
              <w:tl2br w:val="nil"/>
              <w:tr2bl w:val="nil"/>
            </w:tcBorders>
            <w:vAlign w:val="center"/>
          </w:tcPr>
          <w:p w14:paraId="11ED63D0">
            <w:pPr>
              <w:tabs>
                <w:tab w:val="left" w:pos="1568"/>
              </w:tabs>
              <w:spacing w:line="240" w:lineRule="auto"/>
              <w:rPr>
                <w:rFonts w:eastAsia="宋体" w:cs="Times New Roman"/>
                <w:bCs/>
                <w:kern w:val="44"/>
                <w:sz w:val="21"/>
                <w:szCs w:val="21"/>
              </w:rPr>
            </w:pPr>
          </w:p>
        </w:tc>
      </w:tr>
      <w:tr w14:paraId="22BD0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tcBorders>
              <w:tl2br w:val="nil"/>
              <w:tr2bl w:val="nil"/>
            </w:tcBorders>
            <w:vAlign w:val="center"/>
          </w:tcPr>
          <w:p w14:paraId="1507D174">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14:paraId="107DE16B">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14:paraId="77F5559B">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14:paraId="48A04BE9">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211" w:type="dxa"/>
            <w:tcBorders>
              <w:tl2br w:val="nil"/>
              <w:tr2bl w:val="nil"/>
            </w:tcBorders>
            <w:vAlign w:val="center"/>
          </w:tcPr>
          <w:p w14:paraId="0FBACF50">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表面出现明显剥落，管壁出现环向覆盖范围大于弧长180°的凹凸面</w:t>
            </w:r>
          </w:p>
        </w:tc>
        <w:tc>
          <w:tcPr>
            <w:tcW w:w="660" w:type="dxa"/>
            <w:tcBorders>
              <w:tl2br w:val="nil"/>
              <w:tr2bl w:val="nil"/>
            </w:tcBorders>
            <w:vAlign w:val="center"/>
          </w:tcPr>
          <w:p w14:paraId="092F1643">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7</w:t>
            </w:r>
          </w:p>
        </w:tc>
        <w:tc>
          <w:tcPr>
            <w:tcW w:w="1664" w:type="dxa"/>
            <w:tcBorders>
              <w:tl2br w:val="nil"/>
              <w:tr2bl w:val="nil"/>
            </w:tcBorders>
            <w:vAlign w:val="center"/>
          </w:tcPr>
          <w:p w14:paraId="7D20BFA3">
            <w:pPr>
              <w:tabs>
                <w:tab w:val="left" w:pos="1568"/>
              </w:tabs>
              <w:spacing w:line="240" w:lineRule="auto"/>
              <w:jc w:val="left"/>
              <w:rPr>
                <w:rFonts w:eastAsia="宋体" w:cs="Times New Roman"/>
                <w:bCs/>
                <w:kern w:val="44"/>
                <w:sz w:val="21"/>
                <w:szCs w:val="21"/>
              </w:rPr>
            </w:pPr>
            <w:r>
              <w:rPr>
                <w:rFonts w:hint="eastAsia" w:eastAsia="宋体" w:cs="Times New Roman"/>
                <w:bCs/>
                <w:kern w:val="44"/>
                <w:sz w:val="21"/>
                <w:szCs w:val="21"/>
              </w:rPr>
              <w:t>压力小于0.2M</w:t>
            </w:r>
            <w:r>
              <w:rPr>
                <w:rFonts w:eastAsia="宋体" w:cs="Times New Roman"/>
                <w:bCs/>
                <w:kern w:val="44"/>
                <w:sz w:val="21"/>
                <w:szCs w:val="21"/>
              </w:rPr>
              <w:t>P</w:t>
            </w:r>
            <w:r>
              <w:rPr>
                <w:rFonts w:hint="eastAsia" w:eastAsia="宋体" w:cs="Times New Roman"/>
                <w:bCs/>
                <w:kern w:val="44"/>
                <w:sz w:val="21"/>
                <w:szCs w:val="21"/>
              </w:rPr>
              <w:t>a取</w:t>
            </w:r>
            <w:r>
              <w:rPr>
                <w:rFonts w:eastAsia="宋体" w:cs="Times New Roman"/>
                <w:bCs/>
                <w:kern w:val="44"/>
                <w:sz w:val="21"/>
                <w:szCs w:val="21"/>
              </w:rPr>
              <w:t>1</w:t>
            </w:r>
            <w:r>
              <w:rPr>
                <w:rFonts w:hint="eastAsia" w:eastAsia="宋体" w:cs="Times New Roman"/>
                <w:bCs/>
                <w:kern w:val="44"/>
                <w:sz w:val="21"/>
                <w:szCs w:val="21"/>
              </w:rPr>
              <w:t>.0</w:t>
            </w:r>
            <w:r>
              <w:rPr>
                <w:rFonts w:eastAsia="宋体" w:cs="Times New Roman"/>
                <w:bCs/>
                <w:kern w:val="44"/>
                <w:sz w:val="21"/>
                <w:szCs w:val="21"/>
              </w:rPr>
              <w:t>；</w:t>
            </w:r>
            <w:r>
              <w:rPr>
                <w:rFonts w:hint="eastAsia" w:eastAsia="宋体" w:cs="Times New Roman"/>
                <w:bCs/>
                <w:kern w:val="44"/>
                <w:sz w:val="21"/>
                <w:szCs w:val="21"/>
              </w:rPr>
              <w:t>压力0.2～0.5M</w:t>
            </w:r>
            <w:r>
              <w:rPr>
                <w:rFonts w:eastAsia="宋体" w:cs="Times New Roman"/>
                <w:bCs/>
                <w:kern w:val="44"/>
                <w:sz w:val="21"/>
                <w:szCs w:val="21"/>
              </w:rPr>
              <w:t>P</w:t>
            </w:r>
            <w:r>
              <w:rPr>
                <w:rFonts w:hint="eastAsia" w:eastAsia="宋体" w:cs="Times New Roman"/>
                <w:bCs/>
                <w:kern w:val="44"/>
                <w:sz w:val="21"/>
                <w:szCs w:val="21"/>
              </w:rPr>
              <w:t>a取1</w:t>
            </w:r>
            <w:r>
              <w:rPr>
                <w:rFonts w:eastAsia="宋体" w:cs="Times New Roman"/>
                <w:bCs/>
                <w:kern w:val="44"/>
                <w:sz w:val="21"/>
                <w:szCs w:val="21"/>
              </w:rPr>
              <w:t>.1</w:t>
            </w:r>
            <w:r>
              <w:rPr>
                <w:rFonts w:hint="eastAsia" w:eastAsia="宋体" w:cs="Times New Roman"/>
                <w:bCs/>
                <w:kern w:val="44"/>
                <w:sz w:val="21"/>
                <w:szCs w:val="21"/>
              </w:rPr>
              <w:t>；压力大于0.5M</w:t>
            </w:r>
            <w:r>
              <w:rPr>
                <w:rFonts w:eastAsia="宋体" w:cs="Times New Roman"/>
                <w:bCs/>
                <w:kern w:val="44"/>
                <w:sz w:val="21"/>
                <w:szCs w:val="21"/>
              </w:rPr>
              <w:t>P</w:t>
            </w:r>
            <w:r>
              <w:rPr>
                <w:rFonts w:hint="eastAsia" w:eastAsia="宋体" w:cs="Times New Roman"/>
                <w:bCs/>
                <w:kern w:val="44"/>
                <w:sz w:val="21"/>
                <w:szCs w:val="21"/>
              </w:rPr>
              <w:t>a取1.</w:t>
            </w:r>
            <w:r>
              <w:rPr>
                <w:rFonts w:eastAsia="宋体" w:cs="Times New Roman"/>
                <w:bCs/>
                <w:kern w:val="44"/>
                <w:sz w:val="21"/>
                <w:szCs w:val="21"/>
              </w:rPr>
              <w:t>2</w:t>
            </w:r>
          </w:p>
        </w:tc>
        <w:tc>
          <w:tcPr>
            <w:tcW w:w="1262" w:type="dxa"/>
            <w:vMerge w:val="continue"/>
            <w:tcBorders>
              <w:tl2br w:val="nil"/>
              <w:tr2bl w:val="nil"/>
            </w:tcBorders>
            <w:vAlign w:val="center"/>
          </w:tcPr>
          <w:p w14:paraId="0E27106B">
            <w:pPr>
              <w:tabs>
                <w:tab w:val="left" w:pos="1568"/>
              </w:tabs>
              <w:spacing w:line="240" w:lineRule="auto"/>
              <w:rPr>
                <w:rFonts w:eastAsia="宋体" w:cs="Times New Roman"/>
                <w:bCs/>
                <w:kern w:val="44"/>
                <w:sz w:val="21"/>
                <w:szCs w:val="21"/>
              </w:rPr>
            </w:pPr>
          </w:p>
        </w:tc>
      </w:tr>
      <w:tr w14:paraId="475DE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restart"/>
            <w:tcBorders>
              <w:tl2br w:val="nil"/>
              <w:tr2bl w:val="nil"/>
            </w:tcBorders>
            <w:vAlign w:val="center"/>
          </w:tcPr>
          <w:p w14:paraId="62DD6CE8">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内衬层脱落</w:t>
            </w:r>
          </w:p>
        </w:tc>
        <w:tc>
          <w:tcPr>
            <w:tcW w:w="663" w:type="dxa"/>
            <w:vMerge w:val="restart"/>
            <w:tcBorders>
              <w:tl2br w:val="nil"/>
              <w:tr2bl w:val="nil"/>
            </w:tcBorders>
            <w:vAlign w:val="center"/>
          </w:tcPr>
          <w:p w14:paraId="61A997D5">
            <w:pPr>
              <w:tabs>
                <w:tab w:val="left" w:pos="1568"/>
              </w:tabs>
              <w:spacing w:line="240" w:lineRule="auto"/>
              <w:rPr>
                <w:rFonts w:eastAsia="宋体" w:cs="Times New Roman"/>
                <w:bCs/>
                <w:kern w:val="44"/>
                <w:sz w:val="21"/>
                <w:szCs w:val="21"/>
              </w:rPr>
            </w:pPr>
            <w:r>
              <w:rPr>
                <w:rFonts w:eastAsia="宋体" w:cs="Times New Roman"/>
                <w:bCs/>
                <w:kern w:val="44"/>
                <w:sz w:val="21"/>
                <w:szCs w:val="21"/>
              </w:rPr>
              <w:t>TL</w:t>
            </w:r>
          </w:p>
        </w:tc>
        <w:tc>
          <w:tcPr>
            <w:tcW w:w="1218" w:type="dxa"/>
            <w:vMerge w:val="restart"/>
            <w:tcBorders>
              <w:tl2br w:val="nil"/>
              <w:tr2bl w:val="nil"/>
            </w:tcBorders>
            <w:vAlign w:val="center"/>
          </w:tcPr>
          <w:p w14:paraId="16466889">
            <w:pPr>
              <w:tabs>
                <w:tab w:val="left" w:pos="1568"/>
              </w:tabs>
              <w:spacing w:line="240" w:lineRule="auto"/>
              <w:rPr>
                <w:rFonts w:eastAsia="宋体" w:cs="Times New Roman"/>
                <w:bCs/>
                <w:kern w:val="44"/>
                <w:sz w:val="21"/>
                <w:szCs w:val="21"/>
              </w:rPr>
            </w:pPr>
            <w:r>
              <w:rPr>
                <w:rFonts w:eastAsia="宋体" w:cs="Times New Roman"/>
                <w:bCs/>
                <w:kern w:val="44"/>
                <w:sz w:val="21"/>
                <w:szCs w:val="21"/>
              </w:rPr>
              <w:t>管道内壁受到应力，导致防腐层脱落</w:t>
            </w:r>
          </w:p>
        </w:tc>
        <w:tc>
          <w:tcPr>
            <w:tcW w:w="415" w:type="dxa"/>
            <w:tcBorders>
              <w:tl2br w:val="nil"/>
              <w:tr2bl w:val="nil"/>
            </w:tcBorders>
            <w:vAlign w:val="center"/>
          </w:tcPr>
          <w:p w14:paraId="1CC3D5C4">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211" w:type="dxa"/>
            <w:tcBorders>
              <w:tl2br w:val="nil"/>
              <w:tr2bl w:val="nil"/>
            </w:tcBorders>
            <w:vAlign w:val="center"/>
          </w:tcPr>
          <w:p w14:paraId="54F94E9D">
            <w:pPr>
              <w:tabs>
                <w:tab w:val="left" w:pos="1568"/>
              </w:tabs>
              <w:spacing w:line="240" w:lineRule="auto"/>
              <w:rPr>
                <w:rFonts w:eastAsia="宋体" w:cs="Times New Roman"/>
                <w:bCs/>
                <w:kern w:val="44"/>
                <w:sz w:val="21"/>
                <w:szCs w:val="21"/>
              </w:rPr>
            </w:pPr>
            <w:r>
              <w:rPr>
                <w:rFonts w:eastAsia="宋体" w:cs="Times New Roman"/>
                <w:bCs/>
                <w:kern w:val="44"/>
                <w:sz w:val="21"/>
                <w:szCs w:val="21"/>
              </w:rPr>
              <w:t>管道防腐层轻微脱落</w:t>
            </w:r>
            <w:r>
              <w:rPr>
                <w:rFonts w:hint="eastAsia" w:eastAsia="宋体" w:cs="Times New Roman"/>
                <w:bCs/>
                <w:kern w:val="44"/>
                <w:sz w:val="21"/>
                <w:szCs w:val="21"/>
                <w:lang w:eastAsia="zh-CN"/>
              </w:rPr>
              <w:t>且</w:t>
            </w:r>
            <w:r>
              <w:rPr>
                <w:rFonts w:eastAsia="宋体" w:cs="Times New Roman"/>
                <w:bCs/>
                <w:kern w:val="44"/>
                <w:sz w:val="21"/>
                <w:szCs w:val="21"/>
              </w:rPr>
              <w:t>未露出管道材质</w:t>
            </w:r>
          </w:p>
        </w:tc>
        <w:tc>
          <w:tcPr>
            <w:tcW w:w="660" w:type="dxa"/>
            <w:tcBorders>
              <w:tl2br w:val="nil"/>
              <w:tr2bl w:val="nil"/>
            </w:tcBorders>
            <w:vAlign w:val="center"/>
          </w:tcPr>
          <w:p w14:paraId="05939BBA">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1664" w:type="dxa"/>
            <w:vMerge w:val="restart"/>
            <w:tcBorders>
              <w:tl2br w:val="nil"/>
              <w:tr2bl w:val="nil"/>
            </w:tcBorders>
            <w:vAlign w:val="center"/>
          </w:tcPr>
          <w:p w14:paraId="35ED4C94">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取1.0</w:t>
            </w:r>
          </w:p>
        </w:tc>
        <w:tc>
          <w:tcPr>
            <w:tcW w:w="1262" w:type="dxa"/>
            <w:vMerge w:val="restart"/>
            <w:tcBorders>
              <w:tl2br w:val="nil"/>
              <w:tr2bl w:val="nil"/>
            </w:tcBorders>
            <w:vAlign w:val="center"/>
          </w:tcPr>
          <w:p w14:paraId="68C62807">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p>
        </w:tc>
      </w:tr>
      <w:tr w14:paraId="73DC2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tcBorders>
              <w:tl2br w:val="nil"/>
              <w:tr2bl w:val="nil"/>
            </w:tcBorders>
            <w:vAlign w:val="center"/>
          </w:tcPr>
          <w:p w14:paraId="569584AA">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14:paraId="6D486B52">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14:paraId="6DDCB3B2">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14:paraId="2AA2E2D6">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211" w:type="dxa"/>
            <w:tcBorders>
              <w:tl2br w:val="nil"/>
              <w:tr2bl w:val="nil"/>
            </w:tcBorders>
            <w:vAlign w:val="center"/>
          </w:tcPr>
          <w:p w14:paraId="62B8CA79">
            <w:pPr>
              <w:tabs>
                <w:tab w:val="left" w:pos="1568"/>
              </w:tabs>
              <w:spacing w:line="240" w:lineRule="auto"/>
              <w:rPr>
                <w:rFonts w:eastAsia="宋体" w:cs="Times New Roman"/>
                <w:bCs/>
                <w:kern w:val="44"/>
                <w:sz w:val="21"/>
                <w:szCs w:val="21"/>
              </w:rPr>
            </w:pPr>
            <w:r>
              <w:rPr>
                <w:rFonts w:eastAsia="宋体" w:cs="Times New Roman"/>
                <w:bCs/>
                <w:kern w:val="44"/>
                <w:sz w:val="21"/>
                <w:szCs w:val="21"/>
              </w:rPr>
              <w:t>管道防腐层脱落，露出管道材质且环向覆盖范围不大于30°</w:t>
            </w:r>
          </w:p>
        </w:tc>
        <w:tc>
          <w:tcPr>
            <w:tcW w:w="660" w:type="dxa"/>
            <w:tcBorders>
              <w:tl2br w:val="nil"/>
              <w:tr2bl w:val="nil"/>
            </w:tcBorders>
            <w:vAlign w:val="center"/>
          </w:tcPr>
          <w:p w14:paraId="160E0467">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4</w:t>
            </w:r>
          </w:p>
        </w:tc>
        <w:tc>
          <w:tcPr>
            <w:tcW w:w="1664" w:type="dxa"/>
            <w:vMerge w:val="continue"/>
            <w:tcBorders>
              <w:tl2br w:val="nil"/>
              <w:tr2bl w:val="nil"/>
            </w:tcBorders>
            <w:vAlign w:val="center"/>
          </w:tcPr>
          <w:p w14:paraId="469A291E">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14:paraId="0D8E787D">
            <w:pPr>
              <w:tabs>
                <w:tab w:val="left" w:pos="1568"/>
              </w:tabs>
              <w:spacing w:line="240" w:lineRule="auto"/>
              <w:rPr>
                <w:rFonts w:eastAsia="宋体" w:cs="Times New Roman"/>
                <w:bCs/>
                <w:kern w:val="44"/>
                <w:sz w:val="21"/>
                <w:szCs w:val="21"/>
              </w:rPr>
            </w:pPr>
          </w:p>
        </w:tc>
      </w:tr>
      <w:tr w14:paraId="653A3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tcBorders>
              <w:tl2br w:val="nil"/>
              <w:tr2bl w:val="nil"/>
            </w:tcBorders>
            <w:vAlign w:val="center"/>
          </w:tcPr>
          <w:p w14:paraId="45BB97EF">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14:paraId="6A4896BB">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14:paraId="165A948D">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14:paraId="50A92589">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211" w:type="dxa"/>
            <w:tcBorders>
              <w:tl2br w:val="nil"/>
              <w:tr2bl w:val="nil"/>
            </w:tcBorders>
            <w:vAlign w:val="center"/>
          </w:tcPr>
          <w:p w14:paraId="109478BC">
            <w:pPr>
              <w:tabs>
                <w:tab w:val="left" w:pos="1568"/>
              </w:tabs>
              <w:spacing w:line="240" w:lineRule="auto"/>
              <w:rPr>
                <w:rFonts w:eastAsia="宋体" w:cs="Times New Roman"/>
                <w:bCs/>
                <w:kern w:val="44"/>
                <w:sz w:val="21"/>
                <w:szCs w:val="21"/>
              </w:rPr>
            </w:pPr>
            <w:r>
              <w:rPr>
                <w:rFonts w:eastAsia="宋体" w:cs="Times New Roman"/>
                <w:bCs/>
                <w:kern w:val="44"/>
                <w:sz w:val="21"/>
                <w:szCs w:val="21"/>
              </w:rPr>
              <w:t>管道防腐层脱落，露出管道材质且环向覆盖范围大于30°</w:t>
            </w:r>
          </w:p>
        </w:tc>
        <w:tc>
          <w:tcPr>
            <w:tcW w:w="660" w:type="dxa"/>
            <w:tcBorders>
              <w:tl2br w:val="nil"/>
              <w:tr2bl w:val="nil"/>
            </w:tcBorders>
            <w:vAlign w:val="center"/>
          </w:tcPr>
          <w:p w14:paraId="5D4AD5CF">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7</w:t>
            </w:r>
          </w:p>
        </w:tc>
        <w:tc>
          <w:tcPr>
            <w:tcW w:w="1664" w:type="dxa"/>
            <w:vMerge w:val="continue"/>
            <w:tcBorders>
              <w:tl2br w:val="nil"/>
              <w:tr2bl w:val="nil"/>
            </w:tcBorders>
            <w:vAlign w:val="center"/>
          </w:tcPr>
          <w:p w14:paraId="42C5DBFF">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14:paraId="2740C070">
            <w:pPr>
              <w:tabs>
                <w:tab w:val="left" w:pos="1568"/>
              </w:tabs>
              <w:spacing w:line="240" w:lineRule="auto"/>
              <w:rPr>
                <w:rFonts w:eastAsia="宋体" w:cs="Times New Roman"/>
                <w:bCs/>
                <w:kern w:val="44"/>
                <w:sz w:val="21"/>
                <w:szCs w:val="21"/>
              </w:rPr>
            </w:pPr>
          </w:p>
        </w:tc>
      </w:tr>
    </w:tbl>
    <w:p w14:paraId="6A86495F">
      <w:pPr>
        <w:contextualSpacing/>
        <w:jc w:val="center"/>
        <w:rPr>
          <w:rFonts w:hint="eastAsia"/>
          <w:b/>
          <w:sz w:val="21"/>
        </w:rPr>
      </w:pPr>
      <w:r>
        <w:rPr>
          <w:rFonts w:hint="eastAsia"/>
          <w:b/>
          <w:sz w:val="21"/>
          <w:lang w:val="en-US" w:eastAsia="zh-CN"/>
        </w:rPr>
        <w:t>续</w:t>
      </w:r>
      <w:r>
        <w:rPr>
          <w:rFonts w:hint="eastAsia"/>
          <w:b/>
          <w:sz w:val="21"/>
        </w:rPr>
        <w:t>表10.2.5</w:t>
      </w:r>
    </w:p>
    <w:tbl>
      <w:tblPr>
        <w:tblStyle w:val="30"/>
        <w:tblW w:w="88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663"/>
        <w:gridCol w:w="1218"/>
        <w:gridCol w:w="415"/>
        <w:gridCol w:w="2211"/>
        <w:gridCol w:w="660"/>
        <w:gridCol w:w="1664"/>
        <w:gridCol w:w="1262"/>
      </w:tblGrid>
      <w:tr w14:paraId="0FD81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tcBorders>
              <w:tl2br w:val="nil"/>
              <w:tr2bl w:val="nil"/>
            </w:tcBorders>
            <w:vAlign w:val="center"/>
          </w:tcPr>
          <w:p w14:paraId="13BD92F3">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缺陷名称</w:t>
            </w:r>
          </w:p>
        </w:tc>
        <w:tc>
          <w:tcPr>
            <w:tcW w:w="663" w:type="dxa"/>
            <w:tcBorders>
              <w:tl2br w:val="nil"/>
              <w:tr2bl w:val="nil"/>
            </w:tcBorders>
            <w:vAlign w:val="center"/>
          </w:tcPr>
          <w:p w14:paraId="499DAF64">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缺陷代码</w:t>
            </w:r>
          </w:p>
        </w:tc>
        <w:tc>
          <w:tcPr>
            <w:tcW w:w="1218" w:type="dxa"/>
            <w:tcBorders>
              <w:tl2br w:val="nil"/>
              <w:tr2bl w:val="nil"/>
            </w:tcBorders>
            <w:vAlign w:val="center"/>
          </w:tcPr>
          <w:p w14:paraId="47676894">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定义</w:t>
            </w:r>
          </w:p>
        </w:tc>
        <w:tc>
          <w:tcPr>
            <w:tcW w:w="415" w:type="dxa"/>
            <w:tcBorders>
              <w:tl2br w:val="nil"/>
              <w:tr2bl w:val="nil"/>
            </w:tcBorders>
            <w:vAlign w:val="center"/>
          </w:tcPr>
          <w:p w14:paraId="78585389">
            <w:pPr>
              <w:tabs>
                <w:tab w:val="left" w:pos="1568"/>
              </w:tabs>
              <w:spacing w:line="240" w:lineRule="auto"/>
              <w:jc w:val="center"/>
              <w:rPr>
                <w:rFonts w:eastAsia="宋体" w:cs="Times New Roman"/>
                <w:bCs/>
                <w:kern w:val="44"/>
                <w:sz w:val="21"/>
                <w:szCs w:val="21"/>
              </w:rPr>
            </w:pPr>
            <w:r>
              <w:rPr>
                <w:rFonts w:cs="Times New Roman"/>
                <w:bCs/>
                <w:sz w:val="21"/>
              </w:rPr>
              <w:t>级别</w:t>
            </w:r>
          </w:p>
        </w:tc>
        <w:tc>
          <w:tcPr>
            <w:tcW w:w="2211" w:type="dxa"/>
            <w:tcBorders>
              <w:tl2br w:val="nil"/>
              <w:tr2bl w:val="nil"/>
            </w:tcBorders>
            <w:vAlign w:val="center"/>
          </w:tcPr>
          <w:p w14:paraId="2E798B03">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缺陷描述</w:t>
            </w:r>
          </w:p>
        </w:tc>
        <w:tc>
          <w:tcPr>
            <w:tcW w:w="660" w:type="dxa"/>
            <w:tcBorders>
              <w:tl2br w:val="nil"/>
              <w:tr2bl w:val="nil"/>
            </w:tcBorders>
            <w:vAlign w:val="center"/>
          </w:tcPr>
          <w:p w14:paraId="30246B05">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分值</w:t>
            </w:r>
          </w:p>
        </w:tc>
        <w:tc>
          <w:tcPr>
            <w:tcW w:w="1664" w:type="dxa"/>
            <w:tcBorders>
              <w:tl2br w:val="nil"/>
              <w:tr2bl w:val="nil"/>
            </w:tcBorders>
            <w:vAlign w:val="center"/>
          </w:tcPr>
          <w:p w14:paraId="0624CF40">
            <w:pPr>
              <w:tabs>
                <w:tab w:val="left" w:pos="1568"/>
              </w:tabs>
              <w:spacing w:line="240" w:lineRule="auto"/>
              <w:jc w:val="center"/>
              <w:rPr>
                <w:rFonts w:hint="eastAsia" w:eastAsia="宋体" w:cs="Times New Roman"/>
                <w:bCs/>
                <w:kern w:val="44"/>
                <w:sz w:val="21"/>
                <w:szCs w:val="21"/>
              </w:rPr>
            </w:pPr>
            <w:r>
              <w:rPr>
                <w:rFonts w:hint="eastAsia" w:eastAsia="宋体" w:cs="Times New Roman"/>
                <w:bCs/>
                <w:kern w:val="44"/>
                <w:sz w:val="21"/>
                <w:szCs w:val="21"/>
              </w:rPr>
              <w:t>压力影响系数</w:t>
            </w:r>
          </w:p>
        </w:tc>
        <w:tc>
          <w:tcPr>
            <w:tcW w:w="1262" w:type="dxa"/>
            <w:tcBorders>
              <w:tl2br w:val="nil"/>
              <w:tr2bl w:val="nil"/>
            </w:tcBorders>
            <w:vAlign w:val="center"/>
          </w:tcPr>
          <w:p w14:paraId="5FB98B44">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缺陷长度影响系数</w:t>
            </w:r>
          </w:p>
        </w:tc>
      </w:tr>
      <w:tr w14:paraId="43BFA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restart"/>
            <w:tcBorders>
              <w:tl2br w:val="nil"/>
              <w:tr2bl w:val="nil"/>
            </w:tcBorders>
            <w:vAlign w:val="center"/>
          </w:tcPr>
          <w:p w14:paraId="74E3A763">
            <w:pPr>
              <w:tabs>
                <w:tab w:val="left" w:pos="1568"/>
              </w:tabs>
              <w:spacing w:line="240" w:lineRule="auto"/>
              <w:rPr>
                <w:rFonts w:eastAsia="宋体" w:cs="Times New Roman"/>
                <w:bCs/>
                <w:kern w:val="44"/>
                <w:sz w:val="21"/>
                <w:szCs w:val="21"/>
              </w:rPr>
            </w:pPr>
            <w:r>
              <w:rPr>
                <w:rFonts w:eastAsia="宋体" w:cs="Times New Roman"/>
                <w:bCs/>
                <w:kern w:val="44"/>
                <w:sz w:val="21"/>
                <w:szCs w:val="21"/>
              </w:rPr>
              <w:t>变形</w:t>
            </w:r>
          </w:p>
        </w:tc>
        <w:tc>
          <w:tcPr>
            <w:tcW w:w="663" w:type="dxa"/>
            <w:vMerge w:val="restart"/>
            <w:tcBorders>
              <w:tl2br w:val="nil"/>
              <w:tr2bl w:val="nil"/>
            </w:tcBorders>
            <w:vAlign w:val="center"/>
          </w:tcPr>
          <w:p w14:paraId="5A86D883">
            <w:pPr>
              <w:tabs>
                <w:tab w:val="left" w:pos="1568"/>
              </w:tabs>
              <w:spacing w:line="240" w:lineRule="auto"/>
              <w:rPr>
                <w:rFonts w:eastAsia="宋体" w:cs="Times New Roman"/>
                <w:bCs/>
                <w:kern w:val="44"/>
                <w:sz w:val="21"/>
                <w:szCs w:val="21"/>
              </w:rPr>
            </w:pPr>
            <w:r>
              <w:rPr>
                <w:rFonts w:eastAsia="宋体" w:cs="Times New Roman"/>
                <w:bCs/>
                <w:kern w:val="44"/>
                <w:sz w:val="21"/>
                <w:szCs w:val="21"/>
              </w:rPr>
              <w:t>BX</w:t>
            </w:r>
          </w:p>
        </w:tc>
        <w:tc>
          <w:tcPr>
            <w:tcW w:w="1218" w:type="dxa"/>
            <w:vMerge w:val="restart"/>
            <w:tcBorders>
              <w:tl2br w:val="nil"/>
              <w:tr2bl w:val="nil"/>
            </w:tcBorders>
            <w:vAlign w:val="center"/>
          </w:tcPr>
          <w:p w14:paraId="23078454">
            <w:pPr>
              <w:tabs>
                <w:tab w:val="left" w:pos="1568"/>
              </w:tabs>
              <w:spacing w:line="240" w:lineRule="auto"/>
              <w:rPr>
                <w:rFonts w:eastAsia="宋体" w:cs="Times New Roman"/>
                <w:bCs/>
                <w:kern w:val="44"/>
                <w:sz w:val="21"/>
                <w:szCs w:val="21"/>
              </w:rPr>
            </w:pPr>
            <w:r>
              <w:rPr>
                <w:rFonts w:eastAsia="宋体" w:cs="Times New Roman"/>
                <w:bCs/>
                <w:kern w:val="44"/>
                <w:sz w:val="21"/>
                <w:szCs w:val="21"/>
              </w:rPr>
              <w:t>管道受外力挤压造成形状变异</w:t>
            </w:r>
          </w:p>
        </w:tc>
        <w:tc>
          <w:tcPr>
            <w:tcW w:w="415" w:type="dxa"/>
            <w:tcBorders>
              <w:tl2br w:val="nil"/>
              <w:tr2bl w:val="nil"/>
            </w:tcBorders>
            <w:vAlign w:val="center"/>
          </w:tcPr>
          <w:p w14:paraId="4D45BB0E">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211" w:type="dxa"/>
            <w:tcBorders>
              <w:tl2br w:val="nil"/>
              <w:tr2bl w:val="nil"/>
            </w:tcBorders>
            <w:vAlign w:val="center"/>
          </w:tcPr>
          <w:p w14:paraId="6AAF60E6">
            <w:pPr>
              <w:tabs>
                <w:tab w:val="left" w:pos="1568"/>
              </w:tabs>
              <w:spacing w:line="240" w:lineRule="auto"/>
              <w:rPr>
                <w:rFonts w:eastAsia="宋体" w:cs="Times New Roman"/>
                <w:bCs/>
                <w:kern w:val="44"/>
                <w:sz w:val="21"/>
                <w:szCs w:val="21"/>
              </w:rPr>
            </w:pPr>
            <w:r>
              <w:rPr>
                <w:rFonts w:eastAsia="宋体" w:cs="Times New Roman"/>
                <w:bCs/>
                <w:kern w:val="44"/>
                <w:sz w:val="21"/>
                <w:szCs w:val="21"/>
              </w:rPr>
              <w:t>变形不大于管道直径的5％</w:t>
            </w:r>
          </w:p>
        </w:tc>
        <w:tc>
          <w:tcPr>
            <w:tcW w:w="660" w:type="dxa"/>
            <w:tcBorders>
              <w:tl2br w:val="nil"/>
              <w:tr2bl w:val="nil"/>
            </w:tcBorders>
            <w:vAlign w:val="center"/>
          </w:tcPr>
          <w:p w14:paraId="7A316068">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1664" w:type="dxa"/>
            <w:vMerge w:val="restart"/>
            <w:tcBorders>
              <w:tl2br w:val="nil"/>
              <w:tr2bl w:val="nil"/>
            </w:tcBorders>
            <w:vAlign w:val="center"/>
          </w:tcPr>
          <w:p w14:paraId="7650777E">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取1.0</w:t>
            </w:r>
          </w:p>
        </w:tc>
        <w:tc>
          <w:tcPr>
            <w:tcW w:w="1262" w:type="dxa"/>
            <w:vMerge w:val="restart"/>
            <w:tcBorders>
              <w:tl2br w:val="nil"/>
              <w:tr2bl w:val="nil"/>
            </w:tcBorders>
            <w:vAlign w:val="center"/>
          </w:tcPr>
          <w:p w14:paraId="37811765">
            <w:pPr>
              <w:tabs>
                <w:tab w:val="left" w:pos="1568"/>
              </w:tabs>
              <w:spacing w:line="240" w:lineRule="auto"/>
              <w:rPr>
                <w:rFonts w:eastAsia="宋体" w:cs="Times New Roman"/>
                <w:bCs/>
                <w:kern w:val="44"/>
                <w:sz w:val="21"/>
                <w:szCs w:val="21"/>
              </w:rPr>
            </w:pPr>
            <w:r>
              <w:rPr>
                <w:rFonts w:eastAsia="宋体" w:cs="Times New Roman"/>
                <w:bCs/>
                <w:kern w:val="44"/>
                <w:sz w:val="21"/>
                <w:szCs w:val="21"/>
              </w:rPr>
              <w:t>缺陷纵向距离长度不大于2m</w:t>
            </w: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r>
              <w:rPr>
                <w:rFonts w:eastAsia="宋体" w:cs="Times New Roman"/>
                <w:bCs/>
                <w:kern w:val="44"/>
                <w:sz w:val="21"/>
                <w:szCs w:val="21"/>
              </w:rPr>
              <w:t>；缺陷纵向距离</w:t>
            </w:r>
            <w:r>
              <w:rPr>
                <w:rFonts w:hint="eastAsia" w:eastAsia="宋体" w:cs="Times New Roman"/>
                <w:bCs/>
                <w:kern w:val="44"/>
                <w:sz w:val="21"/>
                <w:szCs w:val="21"/>
              </w:rPr>
              <w:t>不小于</w:t>
            </w:r>
            <w:r>
              <w:rPr>
                <w:rFonts w:eastAsia="宋体" w:cs="Times New Roman"/>
                <w:bCs/>
                <w:kern w:val="44"/>
                <w:sz w:val="21"/>
                <w:szCs w:val="21"/>
              </w:rPr>
              <w:t>2m</w:t>
            </w:r>
            <w:r>
              <w:rPr>
                <w:rFonts w:hint="eastAsia" w:eastAsia="宋体" w:cs="Times New Roman"/>
                <w:bCs/>
                <w:kern w:val="44"/>
                <w:sz w:val="21"/>
                <w:szCs w:val="21"/>
              </w:rPr>
              <w:t>取</w:t>
            </w:r>
            <w:r>
              <w:rPr>
                <w:rFonts w:eastAsia="宋体" w:cs="Times New Roman"/>
                <w:bCs/>
                <w:kern w:val="44"/>
                <w:sz w:val="21"/>
                <w:szCs w:val="21"/>
              </w:rPr>
              <w:t>1.1</w:t>
            </w:r>
          </w:p>
        </w:tc>
      </w:tr>
      <w:tr w14:paraId="7472A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tcBorders>
              <w:tl2br w:val="nil"/>
              <w:tr2bl w:val="nil"/>
            </w:tcBorders>
            <w:vAlign w:val="center"/>
          </w:tcPr>
          <w:p w14:paraId="0D25DC73">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14:paraId="6D7B8DC2">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14:paraId="15D6F473">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14:paraId="13066304">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211" w:type="dxa"/>
            <w:tcBorders>
              <w:tl2br w:val="nil"/>
              <w:tr2bl w:val="nil"/>
            </w:tcBorders>
            <w:vAlign w:val="center"/>
          </w:tcPr>
          <w:p w14:paraId="29ED6857">
            <w:pPr>
              <w:tabs>
                <w:tab w:val="left" w:pos="1568"/>
              </w:tabs>
              <w:spacing w:line="240" w:lineRule="auto"/>
              <w:rPr>
                <w:rFonts w:eastAsia="宋体" w:cs="Times New Roman"/>
                <w:bCs/>
                <w:kern w:val="44"/>
                <w:sz w:val="21"/>
                <w:szCs w:val="21"/>
              </w:rPr>
            </w:pPr>
            <w:r>
              <w:rPr>
                <w:rFonts w:eastAsia="宋体" w:cs="Times New Roman"/>
                <w:bCs/>
                <w:kern w:val="44"/>
                <w:sz w:val="21"/>
                <w:szCs w:val="21"/>
              </w:rPr>
              <w:t>变形为管道直径的5%～15%</w:t>
            </w:r>
          </w:p>
        </w:tc>
        <w:tc>
          <w:tcPr>
            <w:tcW w:w="660" w:type="dxa"/>
            <w:tcBorders>
              <w:tl2br w:val="nil"/>
              <w:tr2bl w:val="nil"/>
            </w:tcBorders>
            <w:vAlign w:val="center"/>
          </w:tcPr>
          <w:p w14:paraId="40D5334E">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4</w:t>
            </w:r>
          </w:p>
        </w:tc>
        <w:tc>
          <w:tcPr>
            <w:tcW w:w="1664" w:type="dxa"/>
            <w:vMerge w:val="continue"/>
            <w:tcBorders>
              <w:tl2br w:val="nil"/>
              <w:tr2bl w:val="nil"/>
            </w:tcBorders>
            <w:vAlign w:val="center"/>
          </w:tcPr>
          <w:p w14:paraId="1C8AF862">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14:paraId="38CA7659">
            <w:pPr>
              <w:tabs>
                <w:tab w:val="left" w:pos="1568"/>
              </w:tabs>
              <w:spacing w:line="240" w:lineRule="auto"/>
              <w:rPr>
                <w:rFonts w:eastAsia="宋体" w:cs="Times New Roman"/>
                <w:bCs/>
                <w:kern w:val="44"/>
                <w:sz w:val="21"/>
                <w:szCs w:val="21"/>
              </w:rPr>
            </w:pPr>
          </w:p>
        </w:tc>
      </w:tr>
      <w:tr w14:paraId="0466D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tcBorders>
              <w:tl2br w:val="nil"/>
              <w:tr2bl w:val="nil"/>
            </w:tcBorders>
            <w:vAlign w:val="center"/>
          </w:tcPr>
          <w:p w14:paraId="6B650687">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14:paraId="34894D91">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14:paraId="7D0FD8EA">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14:paraId="24F3AC0C">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211" w:type="dxa"/>
            <w:tcBorders>
              <w:tl2br w:val="nil"/>
              <w:tr2bl w:val="nil"/>
            </w:tcBorders>
            <w:vAlign w:val="center"/>
          </w:tcPr>
          <w:p w14:paraId="081437AE">
            <w:pPr>
              <w:tabs>
                <w:tab w:val="left" w:pos="1568"/>
              </w:tabs>
              <w:spacing w:line="240" w:lineRule="auto"/>
              <w:rPr>
                <w:rFonts w:eastAsia="宋体" w:cs="Times New Roman"/>
                <w:bCs/>
                <w:kern w:val="44"/>
                <w:sz w:val="21"/>
                <w:szCs w:val="21"/>
              </w:rPr>
            </w:pPr>
            <w:r>
              <w:rPr>
                <w:rFonts w:eastAsia="宋体" w:cs="Times New Roman"/>
                <w:bCs/>
                <w:kern w:val="44"/>
                <w:sz w:val="21"/>
                <w:szCs w:val="21"/>
              </w:rPr>
              <w:t>变形大于管道直径的15％</w:t>
            </w:r>
          </w:p>
        </w:tc>
        <w:tc>
          <w:tcPr>
            <w:tcW w:w="660" w:type="dxa"/>
            <w:tcBorders>
              <w:tl2br w:val="nil"/>
              <w:tr2bl w:val="nil"/>
            </w:tcBorders>
            <w:vAlign w:val="center"/>
          </w:tcPr>
          <w:p w14:paraId="44CFD8CE">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7</w:t>
            </w:r>
          </w:p>
        </w:tc>
        <w:tc>
          <w:tcPr>
            <w:tcW w:w="1664" w:type="dxa"/>
            <w:vMerge w:val="continue"/>
            <w:tcBorders>
              <w:tl2br w:val="nil"/>
              <w:tr2bl w:val="nil"/>
            </w:tcBorders>
            <w:vAlign w:val="center"/>
          </w:tcPr>
          <w:p w14:paraId="4EF58BDC">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14:paraId="1C307DFB">
            <w:pPr>
              <w:tabs>
                <w:tab w:val="left" w:pos="1568"/>
              </w:tabs>
              <w:spacing w:line="240" w:lineRule="auto"/>
              <w:rPr>
                <w:rFonts w:eastAsia="宋体" w:cs="Times New Roman"/>
                <w:bCs/>
                <w:kern w:val="44"/>
                <w:sz w:val="21"/>
                <w:szCs w:val="21"/>
              </w:rPr>
            </w:pPr>
          </w:p>
        </w:tc>
      </w:tr>
      <w:tr w14:paraId="7BC88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45" w:type="dxa"/>
            <w:vMerge w:val="restart"/>
            <w:tcBorders>
              <w:tl2br w:val="nil"/>
              <w:tr2bl w:val="nil"/>
            </w:tcBorders>
            <w:vAlign w:val="center"/>
          </w:tcPr>
          <w:p w14:paraId="51C3E639">
            <w:pPr>
              <w:tabs>
                <w:tab w:val="left" w:pos="1568"/>
              </w:tabs>
              <w:spacing w:line="240" w:lineRule="auto"/>
              <w:rPr>
                <w:rFonts w:eastAsia="宋体" w:cs="Times New Roman"/>
                <w:bCs/>
                <w:kern w:val="44"/>
                <w:sz w:val="21"/>
                <w:szCs w:val="21"/>
              </w:rPr>
            </w:pPr>
            <w:r>
              <w:rPr>
                <w:rFonts w:eastAsia="宋体" w:cs="Times New Roman"/>
                <w:bCs/>
                <w:kern w:val="44"/>
                <w:sz w:val="21"/>
                <w:szCs w:val="21"/>
              </w:rPr>
              <w:t>破裂</w:t>
            </w:r>
          </w:p>
        </w:tc>
        <w:tc>
          <w:tcPr>
            <w:tcW w:w="663" w:type="dxa"/>
            <w:vMerge w:val="restart"/>
            <w:tcBorders>
              <w:tl2br w:val="nil"/>
              <w:tr2bl w:val="nil"/>
            </w:tcBorders>
            <w:vAlign w:val="center"/>
          </w:tcPr>
          <w:p w14:paraId="400D2C04">
            <w:pPr>
              <w:tabs>
                <w:tab w:val="left" w:pos="1568"/>
              </w:tabs>
              <w:spacing w:line="240" w:lineRule="auto"/>
              <w:rPr>
                <w:rFonts w:eastAsia="宋体" w:cs="Times New Roman"/>
                <w:bCs/>
                <w:kern w:val="44"/>
                <w:sz w:val="21"/>
                <w:szCs w:val="21"/>
              </w:rPr>
            </w:pPr>
            <w:r>
              <w:rPr>
                <w:rFonts w:eastAsia="宋体" w:cs="Times New Roman"/>
                <w:bCs/>
                <w:kern w:val="44"/>
                <w:sz w:val="21"/>
                <w:szCs w:val="21"/>
              </w:rPr>
              <w:t>PL</w:t>
            </w:r>
          </w:p>
        </w:tc>
        <w:tc>
          <w:tcPr>
            <w:tcW w:w="1218" w:type="dxa"/>
            <w:vMerge w:val="restart"/>
            <w:tcBorders>
              <w:tl2br w:val="nil"/>
              <w:tr2bl w:val="nil"/>
            </w:tcBorders>
            <w:vAlign w:val="center"/>
          </w:tcPr>
          <w:p w14:paraId="1AAB0FBA">
            <w:pPr>
              <w:tabs>
                <w:tab w:val="left" w:pos="1568"/>
              </w:tabs>
              <w:spacing w:line="240" w:lineRule="auto"/>
              <w:rPr>
                <w:rFonts w:eastAsia="宋体" w:cs="Times New Roman"/>
                <w:bCs/>
                <w:kern w:val="44"/>
                <w:sz w:val="21"/>
                <w:szCs w:val="21"/>
              </w:rPr>
            </w:pPr>
            <w:r>
              <w:rPr>
                <w:rFonts w:eastAsia="宋体" w:cs="Times New Roman"/>
                <w:bCs/>
                <w:kern w:val="44"/>
                <w:sz w:val="21"/>
                <w:szCs w:val="21"/>
              </w:rPr>
              <w:t>管道的外部压力超过自身的承受力致使管道发生破裂。</w:t>
            </w:r>
          </w:p>
        </w:tc>
        <w:tc>
          <w:tcPr>
            <w:tcW w:w="415" w:type="dxa"/>
            <w:tcBorders>
              <w:tl2br w:val="nil"/>
              <w:tr2bl w:val="nil"/>
            </w:tcBorders>
            <w:vAlign w:val="center"/>
          </w:tcPr>
          <w:p w14:paraId="4A2C6B13">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211" w:type="dxa"/>
            <w:tcBorders>
              <w:tl2br w:val="nil"/>
              <w:tr2bl w:val="nil"/>
            </w:tcBorders>
            <w:vAlign w:val="center"/>
          </w:tcPr>
          <w:p w14:paraId="41206748">
            <w:pPr>
              <w:tabs>
                <w:tab w:val="left" w:pos="1568"/>
              </w:tabs>
              <w:spacing w:line="240" w:lineRule="auto"/>
              <w:rPr>
                <w:rFonts w:eastAsia="宋体" w:cs="Times New Roman"/>
                <w:bCs/>
                <w:kern w:val="44"/>
                <w:sz w:val="21"/>
                <w:szCs w:val="21"/>
              </w:rPr>
            </w:pPr>
            <w:r>
              <w:rPr>
                <w:rFonts w:eastAsia="宋体" w:cs="Times New Roman"/>
                <w:bCs/>
                <w:kern w:val="44"/>
                <w:sz w:val="21"/>
                <w:szCs w:val="21"/>
              </w:rPr>
              <w:t>管道内部管壁上有可见细裂痕</w:t>
            </w:r>
          </w:p>
        </w:tc>
        <w:tc>
          <w:tcPr>
            <w:tcW w:w="660" w:type="dxa"/>
            <w:tcBorders>
              <w:tl2br w:val="nil"/>
              <w:tr2bl w:val="nil"/>
            </w:tcBorders>
            <w:vAlign w:val="center"/>
          </w:tcPr>
          <w:p w14:paraId="4BC57B33">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5</w:t>
            </w:r>
          </w:p>
        </w:tc>
        <w:tc>
          <w:tcPr>
            <w:tcW w:w="1664" w:type="dxa"/>
            <w:vMerge w:val="restart"/>
            <w:tcBorders>
              <w:tl2br w:val="nil"/>
              <w:tr2bl w:val="nil"/>
            </w:tcBorders>
            <w:vAlign w:val="center"/>
          </w:tcPr>
          <w:p w14:paraId="08C22D8A">
            <w:pPr>
              <w:tabs>
                <w:tab w:val="left" w:pos="1568"/>
              </w:tabs>
              <w:spacing w:line="240" w:lineRule="auto"/>
              <w:jc w:val="left"/>
              <w:rPr>
                <w:rFonts w:eastAsia="宋体" w:cs="Times New Roman"/>
                <w:bCs/>
                <w:kern w:val="44"/>
                <w:sz w:val="21"/>
                <w:szCs w:val="21"/>
              </w:rPr>
            </w:pPr>
            <w:r>
              <w:rPr>
                <w:rFonts w:hint="eastAsia" w:eastAsia="宋体" w:cs="Times New Roman"/>
                <w:bCs/>
                <w:kern w:val="44"/>
                <w:sz w:val="21"/>
                <w:szCs w:val="21"/>
              </w:rPr>
              <w:t>压力小于0.2M</w:t>
            </w:r>
            <w:r>
              <w:rPr>
                <w:rFonts w:eastAsia="宋体" w:cs="Times New Roman"/>
                <w:bCs/>
                <w:kern w:val="44"/>
                <w:sz w:val="21"/>
                <w:szCs w:val="21"/>
              </w:rPr>
              <w:t>P</w:t>
            </w:r>
            <w:r>
              <w:rPr>
                <w:rFonts w:hint="eastAsia" w:eastAsia="宋体" w:cs="Times New Roman"/>
                <w:bCs/>
                <w:kern w:val="44"/>
                <w:sz w:val="21"/>
                <w:szCs w:val="21"/>
              </w:rPr>
              <w:t>a取</w:t>
            </w:r>
            <w:r>
              <w:rPr>
                <w:rFonts w:eastAsia="宋体" w:cs="Times New Roman"/>
                <w:bCs/>
                <w:kern w:val="44"/>
                <w:sz w:val="21"/>
                <w:szCs w:val="21"/>
              </w:rPr>
              <w:t>1</w:t>
            </w:r>
            <w:r>
              <w:rPr>
                <w:rFonts w:hint="eastAsia" w:eastAsia="宋体" w:cs="Times New Roman"/>
                <w:bCs/>
                <w:kern w:val="44"/>
                <w:sz w:val="21"/>
                <w:szCs w:val="21"/>
              </w:rPr>
              <w:t>.0</w:t>
            </w:r>
            <w:r>
              <w:rPr>
                <w:rFonts w:eastAsia="宋体" w:cs="Times New Roman"/>
                <w:bCs/>
                <w:kern w:val="44"/>
                <w:sz w:val="21"/>
                <w:szCs w:val="21"/>
              </w:rPr>
              <w:t>；</w:t>
            </w:r>
            <w:r>
              <w:rPr>
                <w:rFonts w:hint="eastAsia" w:eastAsia="宋体" w:cs="Times New Roman"/>
                <w:bCs/>
                <w:kern w:val="44"/>
                <w:sz w:val="21"/>
                <w:szCs w:val="21"/>
              </w:rPr>
              <w:t>压力0.2～0.5M</w:t>
            </w:r>
            <w:r>
              <w:rPr>
                <w:rFonts w:hint="eastAsia" w:eastAsia="宋体" w:cs="Times New Roman"/>
                <w:bCs/>
                <w:kern w:val="44"/>
                <w:sz w:val="21"/>
                <w:szCs w:val="21"/>
                <w:lang w:val="en-US" w:eastAsia="zh-CN"/>
              </w:rPr>
              <w:t>P</w:t>
            </w:r>
            <w:r>
              <w:rPr>
                <w:rFonts w:hint="eastAsia" w:eastAsia="宋体" w:cs="Times New Roman"/>
                <w:bCs/>
                <w:kern w:val="44"/>
                <w:sz w:val="21"/>
                <w:szCs w:val="21"/>
              </w:rPr>
              <w:t>a取1</w:t>
            </w:r>
            <w:r>
              <w:rPr>
                <w:rFonts w:eastAsia="宋体" w:cs="Times New Roman"/>
                <w:bCs/>
                <w:kern w:val="44"/>
                <w:sz w:val="21"/>
                <w:szCs w:val="21"/>
              </w:rPr>
              <w:t>.1</w:t>
            </w:r>
            <w:r>
              <w:rPr>
                <w:rFonts w:hint="eastAsia" w:eastAsia="宋体" w:cs="Times New Roman"/>
                <w:bCs/>
                <w:kern w:val="44"/>
                <w:sz w:val="21"/>
                <w:szCs w:val="21"/>
              </w:rPr>
              <w:t>；压力大于0.5M</w:t>
            </w:r>
            <w:r>
              <w:rPr>
                <w:rFonts w:eastAsia="宋体" w:cs="Times New Roman"/>
                <w:bCs/>
                <w:kern w:val="44"/>
                <w:sz w:val="21"/>
                <w:szCs w:val="21"/>
              </w:rPr>
              <w:t>P</w:t>
            </w:r>
            <w:r>
              <w:rPr>
                <w:rFonts w:hint="eastAsia" w:eastAsia="宋体" w:cs="Times New Roman"/>
                <w:bCs/>
                <w:kern w:val="44"/>
                <w:sz w:val="21"/>
                <w:szCs w:val="21"/>
              </w:rPr>
              <w:t>a取1.2</w:t>
            </w:r>
          </w:p>
        </w:tc>
        <w:tc>
          <w:tcPr>
            <w:tcW w:w="1262" w:type="dxa"/>
            <w:vMerge w:val="restart"/>
            <w:tcBorders>
              <w:tl2br w:val="nil"/>
              <w:tr2bl w:val="nil"/>
            </w:tcBorders>
            <w:vAlign w:val="center"/>
          </w:tcPr>
          <w:p w14:paraId="3A9B4C79">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取</w:t>
            </w:r>
            <w:r>
              <w:rPr>
                <w:rFonts w:eastAsia="宋体" w:cs="Times New Roman"/>
                <w:bCs/>
                <w:kern w:val="44"/>
                <w:sz w:val="21"/>
                <w:szCs w:val="21"/>
              </w:rPr>
              <w:t>为2</w:t>
            </w:r>
            <w:r>
              <w:rPr>
                <w:rFonts w:hint="eastAsia" w:eastAsia="宋体" w:cs="Times New Roman"/>
                <w:bCs/>
                <w:kern w:val="44"/>
                <w:sz w:val="21"/>
                <w:szCs w:val="21"/>
              </w:rPr>
              <w:t>.0</w:t>
            </w:r>
          </w:p>
        </w:tc>
      </w:tr>
      <w:tr w14:paraId="33402A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45" w:type="dxa"/>
            <w:vMerge w:val="continue"/>
            <w:tcBorders>
              <w:tl2br w:val="nil"/>
              <w:tr2bl w:val="nil"/>
            </w:tcBorders>
            <w:vAlign w:val="center"/>
          </w:tcPr>
          <w:p w14:paraId="29CE0C6B">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14:paraId="50236F54">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14:paraId="1130CCB6">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14:paraId="440F5966">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211" w:type="dxa"/>
            <w:tcBorders>
              <w:tl2br w:val="nil"/>
              <w:tr2bl w:val="nil"/>
            </w:tcBorders>
            <w:vAlign w:val="center"/>
          </w:tcPr>
          <w:p w14:paraId="6F3A0449">
            <w:pPr>
              <w:tabs>
                <w:tab w:val="left" w:pos="1568"/>
              </w:tabs>
              <w:spacing w:line="240" w:lineRule="auto"/>
              <w:rPr>
                <w:rFonts w:eastAsia="宋体" w:cs="Times New Roman"/>
                <w:bCs/>
                <w:kern w:val="44"/>
                <w:sz w:val="21"/>
                <w:szCs w:val="21"/>
              </w:rPr>
            </w:pPr>
            <w:r>
              <w:rPr>
                <w:rFonts w:eastAsia="宋体" w:cs="Times New Roman"/>
                <w:bCs/>
                <w:kern w:val="44"/>
                <w:sz w:val="21"/>
                <w:szCs w:val="21"/>
              </w:rPr>
              <w:t>破裂处已形成明显间隙，但管道的形状未受影响且破裂无脱落</w:t>
            </w:r>
          </w:p>
        </w:tc>
        <w:tc>
          <w:tcPr>
            <w:tcW w:w="660" w:type="dxa"/>
            <w:tcBorders>
              <w:tl2br w:val="nil"/>
              <w:tr2bl w:val="nil"/>
            </w:tcBorders>
            <w:vAlign w:val="center"/>
          </w:tcPr>
          <w:p w14:paraId="64847615">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7</w:t>
            </w:r>
          </w:p>
        </w:tc>
        <w:tc>
          <w:tcPr>
            <w:tcW w:w="1664" w:type="dxa"/>
            <w:vMerge w:val="continue"/>
            <w:tcBorders>
              <w:tl2br w:val="nil"/>
              <w:tr2bl w:val="nil"/>
            </w:tcBorders>
            <w:vAlign w:val="center"/>
          </w:tcPr>
          <w:p w14:paraId="419A8774">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14:paraId="51711742">
            <w:pPr>
              <w:tabs>
                <w:tab w:val="left" w:pos="1568"/>
              </w:tabs>
              <w:spacing w:line="240" w:lineRule="auto"/>
              <w:rPr>
                <w:rFonts w:eastAsia="宋体" w:cs="Times New Roman"/>
                <w:bCs/>
                <w:kern w:val="44"/>
                <w:sz w:val="21"/>
                <w:szCs w:val="21"/>
              </w:rPr>
            </w:pPr>
          </w:p>
        </w:tc>
      </w:tr>
      <w:tr w14:paraId="2A62E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45" w:type="dxa"/>
            <w:vMerge w:val="continue"/>
            <w:tcBorders>
              <w:tl2br w:val="nil"/>
              <w:tr2bl w:val="nil"/>
            </w:tcBorders>
            <w:vAlign w:val="center"/>
          </w:tcPr>
          <w:p w14:paraId="0490D086">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14:paraId="755F8FF0">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14:paraId="5B5840CF">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14:paraId="6C85CBAB">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211" w:type="dxa"/>
            <w:tcBorders>
              <w:tl2br w:val="nil"/>
              <w:tr2bl w:val="nil"/>
            </w:tcBorders>
            <w:vAlign w:val="center"/>
          </w:tcPr>
          <w:p w14:paraId="4F6BFAB6">
            <w:pPr>
              <w:tabs>
                <w:tab w:val="left" w:pos="1568"/>
              </w:tabs>
              <w:spacing w:line="240" w:lineRule="auto"/>
              <w:rPr>
                <w:rFonts w:eastAsia="宋体" w:cs="Times New Roman"/>
                <w:bCs/>
                <w:kern w:val="44"/>
                <w:sz w:val="21"/>
                <w:szCs w:val="21"/>
              </w:rPr>
            </w:pPr>
            <w:r>
              <w:rPr>
                <w:rFonts w:eastAsia="宋体" w:cs="Times New Roman"/>
                <w:bCs/>
                <w:kern w:val="44"/>
                <w:sz w:val="21"/>
                <w:szCs w:val="21"/>
              </w:rPr>
              <w:t>破裂处已经形成内衬脱落或已发生漏水</w:t>
            </w:r>
          </w:p>
        </w:tc>
        <w:tc>
          <w:tcPr>
            <w:tcW w:w="660" w:type="dxa"/>
            <w:tcBorders>
              <w:tl2br w:val="nil"/>
              <w:tr2bl w:val="nil"/>
            </w:tcBorders>
            <w:vAlign w:val="center"/>
          </w:tcPr>
          <w:p w14:paraId="04DFF297">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10</w:t>
            </w:r>
          </w:p>
        </w:tc>
        <w:tc>
          <w:tcPr>
            <w:tcW w:w="1664" w:type="dxa"/>
            <w:vMerge w:val="continue"/>
            <w:tcBorders>
              <w:tl2br w:val="nil"/>
              <w:tr2bl w:val="nil"/>
            </w:tcBorders>
            <w:vAlign w:val="center"/>
          </w:tcPr>
          <w:p w14:paraId="525D51BF">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14:paraId="6932A586">
            <w:pPr>
              <w:tabs>
                <w:tab w:val="left" w:pos="1568"/>
              </w:tabs>
              <w:spacing w:line="240" w:lineRule="auto"/>
              <w:rPr>
                <w:rFonts w:eastAsia="宋体" w:cs="Times New Roman"/>
                <w:bCs/>
                <w:kern w:val="44"/>
                <w:sz w:val="21"/>
                <w:szCs w:val="21"/>
              </w:rPr>
            </w:pPr>
          </w:p>
        </w:tc>
      </w:tr>
      <w:tr w14:paraId="044B9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45" w:type="dxa"/>
            <w:vMerge w:val="restart"/>
            <w:tcBorders>
              <w:tl2br w:val="nil"/>
              <w:tr2bl w:val="nil"/>
            </w:tcBorders>
            <w:vAlign w:val="center"/>
          </w:tcPr>
          <w:p w14:paraId="4C9AC811">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断丝</w:t>
            </w:r>
          </w:p>
        </w:tc>
        <w:tc>
          <w:tcPr>
            <w:tcW w:w="663" w:type="dxa"/>
            <w:vMerge w:val="restart"/>
            <w:tcBorders>
              <w:tl2br w:val="nil"/>
              <w:tr2bl w:val="nil"/>
            </w:tcBorders>
            <w:vAlign w:val="center"/>
          </w:tcPr>
          <w:p w14:paraId="2CE53B6B">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DS</w:t>
            </w:r>
          </w:p>
        </w:tc>
        <w:tc>
          <w:tcPr>
            <w:tcW w:w="1218" w:type="dxa"/>
            <w:vMerge w:val="restart"/>
            <w:tcBorders>
              <w:tl2br w:val="nil"/>
              <w:tr2bl w:val="nil"/>
            </w:tcBorders>
            <w:vAlign w:val="center"/>
          </w:tcPr>
          <w:p w14:paraId="50888841">
            <w:pPr>
              <w:tabs>
                <w:tab w:val="left" w:pos="1568"/>
              </w:tabs>
              <w:spacing w:line="240" w:lineRule="auto"/>
              <w:rPr>
                <w:rFonts w:eastAsia="宋体" w:cs="Times New Roman"/>
                <w:bCs/>
                <w:kern w:val="44"/>
                <w:sz w:val="21"/>
                <w:szCs w:val="21"/>
              </w:rPr>
            </w:pPr>
            <w:r>
              <w:rPr>
                <w:rFonts w:eastAsia="宋体" w:cs="Times New Roman"/>
                <w:bCs/>
                <w:kern w:val="44"/>
                <w:sz w:val="21"/>
                <w:szCs w:val="21"/>
              </w:rPr>
              <w:t>管道中预应力钢丝断裂</w:t>
            </w:r>
          </w:p>
        </w:tc>
        <w:tc>
          <w:tcPr>
            <w:tcW w:w="415" w:type="dxa"/>
            <w:tcBorders>
              <w:tl2br w:val="nil"/>
              <w:tr2bl w:val="nil"/>
            </w:tcBorders>
            <w:vAlign w:val="center"/>
          </w:tcPr>
          <w:p w14:paraId="031FFD6C">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1</w:t>
            </w:r>
          </w:p>
        </w:tc>
        <w:tc>
          <w:tcPr>
            <w:tcW w:w="2211" w:type="dxa"/>
            <w:tcBorders>
              <w:tl2br w:val="nil"/>
              <w:tr2bl w:val="nil"/>
            </w:tcBorders>
            <w:vAlign w:val="center"/>
          </w:tcPr>
          <w:p w14:paraId="3F9EC1A3">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出现断丝且断丝</w:t>
            </w:r>
            <w:r>
              <w:rPr>
                <w:rFonts w:eastAsia="宋体" w:cs="Times New Roman"/>
                <w:bCs/>
                <w:kern w:val="44"/>
                <w:sz w:val="21"/>
                <w:szCs w:val="21"/>
              </w:rPr>
              <w:t>数量</w:t>
            </w:r>
            <w:r>
              <w:rPr>
                <w:rFonts w:hint="eastAsia" w:eastAsia="宋体" w:cs="Times New Roman"/>
                <w:bCs/>
                <w:kern w:val="44"/>
                <w:sz w:val="21"/>
                <w:szCs w:val="21"/>
                <w:lang w:val="en-US" w:eastAsia="zh-CN"/>
              </w:rPr>
              <w:t>少</w:t>
            </w:r>
            <w:r>
              <w:rPr>
                <w:rFonts w:hint="eastAsia" w:eastAsia="宋体" w:cs="Times New Roman"/>
                <w:bCs/>
                <w:kern w:val="44"/>
                <w:sz w:val="21"/>
                <w:szCs w:val="21"/>
              </w:rPr>
              <w:t>于10</w:t>
            </w:r>
            <w:r>
              <w:rPr>
                <w:rFonts w:eastAsia="宋体" w:cs="Times New Roman"/>
                <w:bCs/>
                <w:kern w:val="44"/>
                <w:sz w:val="21"/>
                <w:szCs w:val="21"/>
              </w:rPr>
              <w:t>根</w:t>
            </w:r>
          </w:p>
        </w:tc>
        <w:tc>
          <w:tcPr>
            <w:tcW w:w="660" w:type="dxa"/>
            <w:tcBorders>
              <w:tl2br w:val="nil"/>
              <w:tr2bl w:val="nil"/>
            </w:tcBorders>
            <w:vAlign w:val="center"/>
          </w:tcPr>
          <w:p w14:paraId="3AC6F19E">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5</w:t>
            </w:r>
          </w:p>
        </w:tc>
        <w:tc>
          <w:tcPr>
            <w:tcW w:w="1664" w:type="dxa"/>
            <w:vMerge w:val="restart"/>
            <w:tcBorders>
              <w:tl2br w:val="nil"/>
              <w:tr2bl w:val="nil"/>
            </w:tcBorders>
            <w:vAlign w:val="center"/>
          </w:tcPr>
          <w:p w14:paraId="4DF6FA31">
            <w:pPr>
              <w:tabs>
                <w:tab w:val="left" w:pos="1568"/>
              </w:tabs>
              <w:spacing w:line="240" w:lineRule="auto"/>
              <w:jc w:val="left"/>
              <w:rPr>
                <w:rFonts w:eastAsia="宋体" w:cs="Times New Roman"/>
                <w:bCs/>
                <w:kern w:val="44"/>
                <w:sz w:val="21"/>
                <w:szCs w:val="21"/>
              </w:rPr>
            </w:pPr>
            <w:r>
              <w:rPr>
                <w:rFonts w:hint="eastAsia" w:eastAsia="宋体" w:cs="Times New Roman"/>
                <w:bCs/>
                <w:kern w:val="44"/>
                <w:sz w:val="21"/>
                <w:szCs w:val="21"/>
              </w:rPr>
              <w:t>压力小于0.2M</w:t>
            </w:r>
            <w:r>
              <w:rPr>
                <w:rFonts w:eastAsia="宋体" w:cs="Times New Roman"/>
                <w:bCs/>
                <w:kern w:val="44"/>
                <w:sz w:val="21"/>
                <w:szCs w:val="21"/>
              </w:rPr>
              <w:t>P</w:t>
            </w:r>
            <w:r>
              <w:rPr>
                <w:rFonts w:hint="eastAsia" w:eastAsia="宋体" w:cs="Times New Roman"/>
                <w:bCs/>
                <w:kern w:val="44"/>
                <w:sz w:val="21"/>
                <w:szCs w:val="21"/>
              </w:rPr>
              <w:t>a取</w:t>
            </w:r>
            <w:r>
              <w:rPr>
                <w:rFonts w:eastAsia="宋体" w:cs="Times New Roman"/>
                <w:bCs/>
                <w:kern w:val="44"/>
                <w:sz w:val="21"/>
                <w:szCs w:val="21"/>
              </w:rPr>
              <w:t>1</w:t>
            </w:r>
            <w:r>
              <w:rPr>
                <w:rFonts w:hint="eastAsia" w:eastAsia="宋体" w:cs="Times New Roman"/>
                <w:bCs/>
                <w:kern w:val="44"/>
                <w:sz w:val="21"/>
                <w:szCs w:val="21"/>
              </w:rPr>
              <w:t>.0；压力0.2</w:t>
            </w:r>
            <w:r>
              <w:rPr>
                <w:rFonts w:eastAsia="宋体" w:cs="Times New Roman"/>
                <w:bCs/>
                <w:kern w:val="44"/>
                <w:sz w:val="21"/>
                <w:szCs w:val="21"/>
              </w:rPr>
              <w:t>P</w:t>
            </w:r>
            <w:r>
              <w:rPr>
                <w:rFonts w:hint="eastAsia" w:eastAsia="宋体" w:cs="Times New Roman"/>
                <w:bCs/>
                <w:kern w:val="44"/>
                <w:sz w:val="21"/>
                <w:szCs w:val="21"/>
              </w:rPr>
              <w:t>～0.5M</w:t>
            </w:r>
            <w:r>
              <w:rPr>
                <w:rFonts w:eastAsia="宋体" w:cs="Times New Roman"/>
                <w:bCs/>
                <w:kern w:val="44"/>
                <w:sz w:val="21"/>
                <w:szCs w:val="21"/>
              </w:rPr>
              <w:t>P</w:t>
            </w:r>
            <w:r>
              <w:rPr>
                <w:rFonts w:hint="eastAsia" w:eastAsia="宋体" w:cs="Times New Roman"/>
                <w:bCs/>
                <w:kern w:val="44"/>
                <w:sz w:val="21"/>
                <w:szCs w:val="21"/>
              </w:rPr>
              <w:t>a取1</w:t>
            </w:r>
            <w:r>
              <w:rPr>
                <w:rFonts w:eastAsia="宋体" w:cs="Times New Roman"/>
                <w:bCs/>
                <w:kern w:val="44"/>
                <w:sz w:val="21"/>
                <w:szCs w:val="21"/>
              </w:rPr>
              <w:t>.1</w:t>
            </w:r>
            <w:r>
              <w:rPr>
                <w:rFonts w:hint="eastAsia" w:eastAsia="宋体" w:cs="Times New Roman"/>
                <w:bCs/>
                <w:kern w:val="44"/>
                <w:sz w:val="21"/>
                <w:szCs w:val="21"/>
              </w:rPr>
              <w:t>；压力大于0.5M</w:t>
            </w:r>
            <w:r>
              <w:rPr>
                <w:rFonts w:eastAsia="宋体" w:cs="Times New Roman"/>
                <w:bCs/>
                <w:kern w:val="44"/>
                <w:sz w:val="21"/>
                <w:szCs w:val="21"/>
              </w:rPr>
              <w:t>P</w:t>
            </w:r>
            <w:r>
              <w:rPr>
                <w:rFonts w:hint="eastAsia" w:eastAsia="宋体" w:cs="Times New Roman"/>
                <w:bCs/>
                <w:kern w:val="44"/>
                <w:sz w:val="21"/>
                <w:szCs w:val="21"/>
              </w:rPr>
              <w:t>a取1.</w:t>
            </w:r>
            <w:r>
              <w:rPr>
                <w:rFonts w:eastAsia="宋体" w:cs="Times New Roman"/>
                <w:bCs/>
                <w:kern w:val="44"/>
                <w:sz w:val="21"/>
                <w:szCs w:val="21"/>
              </w:rPr>
              <w:t>2</w:t>
            </w:r>
          </w:p>
        </w:tc>
        <w:tc>
          <w:tcPr>
            <w:tcW w:w="1262" w:type="dxa"/>
            <w:vMerge w:val="restart"/>
            <w:tcBorders>
              <w:tl2br w:val="nil"/>
              <w:tr2bl w:val="nil"/>
            </w:tcBorders>
            <w:vAlign w:val="center"/>
          </w:tcPr>
          <w:p w14:paraId="0158878A">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p>
        </w:tc>
      </w:tr>
      <w:tr w14:paraId="32A76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745" w:type="dxa"/>
            <w:vMerge w:val="continue"/>
            <w:tcBorders>
              <w:tl2br w:val="nil"/>
              <w:tr2bl w:val="nil"/>
            </w:tcBorders>
            <w:vAlign w:val="center"/>
          </w:tcPr>
          <w:p w14:paraId="654273A0">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14:paraId="508511BD">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14:paraId="3B1E1FE8">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14:paraId="161FF9FF">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2</w:t>
            </w:r>
          </w:p>
        </w:tc>
        <w:tc>
          <w:tcPr>
            <w:tcW w:w="2211" w:type="dxa"/>
            <w:tcBorders>
              <w:tl2br w:val="nil"/>
              <w:tr2bl w:val="nil"/>
            </w:tcBorders>
            <w:vAlign w:val="center"/>
          </w:tcPr>
          <w:p w14:paraId="286858B5">
            <w:pPr>
              <w:tabs>
                <w:tab w:val="left" w:pos="1568"/>
              </w:tabs>
              <w:spacing w:line="240" w:lineRule="auto"/>
              <w:rPr>
                <w:rFonts w:eastAsia="宋体" w:cs="Times New Roman"/>
                <w:bCs/>
                <w:kern w:val="44"/>
                <w:sz w:val="21"/>
                <w:szCs w:val="21"/>
              </w:rPr>
            </w:pPr>
            <w:r>
              <w:rPr>
                <w:rFonts w:eastAsia="宋体" w:cs="Times New Roman"/>
                <w:bCs/>
                <w:kern w:val="44"/>
                <w:sz w:val="21"/>
                <w:szCs w:val="21"/>
              </w:rPr>
              <w:t>断丝数量</w:t>
            </w:r>
            <w:r>
              <w:rPr>
                <w:rFonts w:hint="eastAsia" w:eastAsia="宋体" w:cs="Times New Roman"/>
                <w:bCs/>
                <w:kern w:val="44"/>
                <w:sz w:val="21"/>
                <w:szCs w:val="21"/>
              </w:rPr>
              <w:t>10</w:t>
            </w:r>
            <w:r>
              <w:rPr>
                <w:rFonts w:eastAsia="宋体" w:cs="Times New Roman"/>
                <w:bCs/>
                <w:kern w:val="44"/>
                <w:sz w:val="21"/>
                <w:szCs w:val="21"/>
              </w:rPr>
              <w:t>根</w:t>
            </w:r>
            <w:r>
              <w:rPr>
                <w:rFonts w:hint="eastAsia" w:eastAsia="宋体" w:cs="Times New Roman"/>
                <w:bCs/>
                <w:kern w:val="44"/>
                <w:sz w:val="21"/>
                <w:szCs w:val="21"/>
              </w:rPr>
              <w:t>～10%总缠丝环数；断丝数量在10%</w:t>
            </w:r>
            <w:r>
              <w:rPr>
                <w:rFonts w:eastAsia="宋体" w:cs="Times New Roman"/>
                <w:bCs/>
                <w:kern w:val="44"/>
                <w:sz w:val="21"/>
                <w:szCs w:val="21"/>
              </w:rPr>
              <w:t>～</w:t>
            </w:r>
            <w:r>
              <w:rPr>
                <w:rFonts w:hint="eastAsia" w:eastAsia="宋体" w:cs="Times New Roman"/>
                <w:bCs/>
                <w:kern w:val="44"/>
                <w:sz w:val="21"/>
                <w:szCs w:val="21"/>
              </w:rPr>
              <w:t>15%总缠丝环数之间且断丝区域不少于2处</w:t>
            </w:r>
          </w:p>
        </w:tc>
        <w:tc>
          <w:tcPr>
            <w:tcW w:w="660" w:type="dxa"/>
            <w:tcBorders>
              <w:tl2br w:val="nil"/>
              <w:tr2bl w:val="nil"/>
            </w:tcBorders>
            <w:vAlign w:val="center"/>
          </w:tcPr>
          <w:p w14:paraId="5830B8E8">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7</w:t>
            </w:r>
          </w:p>
        </w:tc>
        <w:tc>
          <w:tcPr>
            <w:tcW w:w="1664" w:type="dxa"/>
            <w:vMerge w:val="continue"/>
            <w:tcBorders>
              <w:tl2br w:val="nil"/>
              <w:tr2bl w:val="nil"/>
            </w:tcBorders>
            <w:vAlign w:val="center"/>
          </w:tcPr>
          <w:p w14:paraId="46482B96">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14:paraId="40B76D3C">
            <w:pPr>
              <w:tabs>
                <w:tab w:val="left" w:pos="1568"/>
              </w:tabs>
              <w:spacing w:line="240" w:lineRule="auto"/>
              <w:rPr>
                <w:rFonts w:eastAsia="宋体" w:cs="Times New Roman"/>
                <w:bCs/>
                <w:kern w:val="44"/>
                <w:sz w:val="21"/>
                <w:szCs w:val="21"/>
              </w:rPr>
            </w:pPr>
          </w:p>
        </w:tc>
      </w:tr>
      <w:tr w14:paraId="34C76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745" w:type="dxa"/>
            <w:vMerge w:val="continue"/>
            <w:tcBorders>
              <w:tl2br w:val="nil"/>
              <w:tr2bl w:val="nil"/>
            </w:tcBorders>
            <w:vAlign w:val="center"/>
          </w:tcPr>
          <w:p w14:paraId="0C1FA424">
            <w:pPr>
              <w:tabs>
                <w:tab w:val="left" w:pos="1568"/>
              </w:tabs>
              <w:spacing w:line="240" w:lineRule="auto"/>
              <w:rPr>
                <w:rFonts w:eastAsia="宋体" w:cs="Times New Roman"/>
                <w:bCs/>
                <w:kern w:val="44"/>
                <w:sz w:val="21"/>
                <w:szCs w:val="21"/>
              </w:rPr>
            </w:pPr>
          </w:p>
        </w:tc>
        <w:tc>
          <w:tcPr>
            <w:tcW w:w="663" w:type="dxa"/>
            <w:vMerge w:val="continue"/>
            <w:tcBorders>
              <w:tl2br w:val="nil"/>
              <w:tr2bl w:val="nil"/>
            </w:tcBorders>
            <w:vAlign w:val="center"/>
          </w:tcPr>
          <w:p w14:paraId="539175E7">
            <w:pPr>
              <w:tabs>
                <w:tab w:val="left" w:pos="1568"/>
              </w:tabs>
              <w:spacing w:line="240" w:lineRule="auto"/>
              <w:rPr>
                <w:rFonts w:eastAsia="宋体" w:cs="Times New Roman"/>
                <w:bCs/>
                <w:kern w:val="44"/>
                <w:sz w:val="21"/>
                <w:szCs w:val="21"/>
              </w:rPr>
            </w:pPr>
          </w:p>
        </w:tc>
        <w:tc>
          <w:tcPr>
            <w:tcW w:w="1218" w:type="dxa"/>
            <w:vMerge w:val="continue"/>
            <w:tcBorders>
              <w:tl2br w:val="nil"/>
              <w:tr2bl w:val="nil"/>
            </w:tcBorders>
            <w:vAlign w:val="center"/>
          </w:tcPr>
          <w:p w14:paraId="71BBFC7A">
            <w:pPr>
              <w:tabs>
                <w:tab w:val="left" w:pos="1568"/>
              </w:tabs>
              <w:spacing w:line="240" w:lineRule="auto"/>
              <w:rPr>
                <w:rFonts w:eastAsia="宋体" w:cs="Times New Roman"/>
                <w:bCs/>
                <w:kern w:val="44"/>
                <w:sz w:val="21"/>
                <w:szCs w:val="21"/>
              </w:rPr>
            </w:pPr>
          </w:p>
        </w:tc>
        <w:tc>
          <w:tcPr>
            <w:tcW w:w="415" w:type="dxa"/>
            <w:tcBorders>
              <w:tl2br w:val="nil"/>
              <w:tr2bl w:val="nil"/>
            </w:tcBorders>
            <w:vAlign w:val="center"/>
          </w:tcPr>
          <w:p w14:paraId="5DB2965E">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3</w:t>
            </w:r>
          </w:p>
        </w:tc>
        <w:tc>
          <w:tcPr>
            <w:tcW w:w="2211" w:type="dxa"/>
            <w:tcBorders>
              <w:tl2br w:val="nil"/>
              <w:tr2bl w:val="nil"/>
            </w:tcBorders>
            <w:vAlign w:val="center"/>
          </w:tcPr>
          <w:p w14:paraId="45F905CF">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断丝数量在10%～15%总缠丝环数之间且断丝集中在1处；断丝数量不少于15%总缠丝环数</w:t>
            </w:r>
          </w:p>
        </w:tc>
        <w:tc>
          <w:tcPr>
            <w:tcW w:w="660" w:type="dxa"/>
            <w:tcBorders>
              <w:tl2br w:val="nil"/>
              <w:tr2bl w:val="nil"/>
            </w:tcBorders>
            <w:vAlign w:val="center"/>
          </w:tcPr>
          <w:p w14:paraId="4A020696">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10</w:t>
            </w:r>
          </w:p>
        </w:tc>
        <w:tc>
          <w:tcPr>
            <w:tcW w:w="1664" w:type="dxa"/>
            <w:vMerge w:val="continue"/>
            <w:tcBorders>
              <w:tl2br w:val="nil"/>
              <w:tr2bl w:val="nil"/>
            </w:tcBorders>
            <w:vAlign w:val="center"/>
          </w:tcPr>
          <w:p w14:paraId="536886C9">
            <w:pPr>
              <w:tabs>
                <w:tab w:val="left" w:pos="1568"/>
              </w:tabs>
              <w:spacing w:line="240" w:lineRule="auto"/>
              <w:rPr>
                <w:rFonts w:eastAsia="宋体" w:cs="Times New Roman"/>
                <w:bCs/>
                <w:kern w:val="44"/>
                <w:sz w:val="21"/>
                <w:szCs w:val="21"/>
              </w:rPr>
            </w:pPr>
          </w:p>
        </w:tc>
        <w:tc>
          <w:tcPr>
            <w:tcW w:w="1262" w:type="dxa"/>
            <w:vMerge w:val="continue"/>
            <w:tcBorders>
              <w:tl2br w:val="nil"/>
              <w:tr2bl w:val="nil"/>
            </w:tcBorders>
            <w:vAlign w:val="center"/>
          </w:tcPr>
          <w:p w14:paraId="1ACEA110">
            <w:pPr>
              <w:tabs>
                <w:tab w:val="left" w:pos="1568"/>
              </w:tabs>
              <w:spacing w:line="240" w:lineRule="auto"/>
              <w:rPr>
                <w:rFonts w:eastAsia="宋体" w:cs="Times New Roman"/>
                <w:bCs/>
                <w:kern w:val="44"/>
                <w:sz w:val="21"/>
                <w:szCs w:val="21"/>
              </w:rPr>
            </w:pPr>
          </w:p>
        </w:tc>
      </w:tr>
    </w:tbl>
    <w:p w14:paraId="12F23748">
      <w:pPr>
        <w:pStyle w:val="2"/>
      </w:pPr>
    </w:p>
    <w:p w14:paraId="1274D1EB">
      <w:pPr>
        <w:pStyle w:val="2"/>
      </w:pPr>
    </w:p>
    <w:p w14:paraId="10392B3E">
      <w:r>
        <w:rPr>
          <w:rFonts w:hint="eastAsia"/>
          <w:b/>
          <w:bCs/>
        </w:rPr>
        <w:t>10.</w:t>
      </w:r>
      <w:r>
        <w:rPr>
          <w:b/>
          <w:bCs/>
        </w:rPr>
        <w:t>2.</w:t>
      </w:r>
      <w:r>
        <w:rPr>
          <w:rFonts w:hint="eastAsia"/>
          <w:b/>
          <w:bCs/>
        </w:rPr>
        <w:t>6　</w:t>
      </w:r>
      <w:r>
        <w:t>功能性缺陷类型、代码、等级划分和分值应符合表</w:t>
      </w:r>
      <w:r>
        <w:rPr>
          <w:rFonts w:hint="eastAsia"/>
        </w:rPr>
        <w:t>10.</w:t>
      </w:r>
      <w:r>
        <w:t>2.</w:t>
      </w:r>
      <w:r>
        <w:rPr>
          <w:rFonts w:hint="eastAsia"/>
        </w:rPr>
        <w:t>6</w:t>
      </w:r>
      <w:r>
        <w:t>的规定。</w:t>
      </w:r>
    </w:p>
    <w:p w14:paraId="62B077C7">
      <w:pPr>
        <w:keepNext/>
        <w:keepLines w:val="0"/>
        <w:pageBreakBefore w:val="0"/>
        <w:widowControl w:val="0"/>
        <w:kinsoku/>
        <w:wordWrap/>
        <w:overflowPunct/>
        <w:topLinePunct w:val="0"/>
        <w:autoSpaceDE/>
        <w:autoSpaceDN/>
        <w:bidi w:val="0"/>
        <w:adjustRightInd/>
        <w:snapToGrid/>
        <w:contextualSpacing/>
        <w:jc w:val="center"/>
        <w:textAlignment w:val="auto"/>
        <w:rPr>
          <w:b/>
          <w:sz w:val="21"/>
        </w:rPr>
      </w:pPr>
      <w:r>
        <w:rPr>
          <w:b/>
          <w:sz w:val="21"/>
        </w:rPr>
        <w:t>表</w:t>
      </w:r>
      <w:r>
        <w:rPr>
          <w:rFonts w:hint="eastAsia"/>
          <w:b/>
          <w:sz w:val="21"/>
        </w:rPr>
        <w:t>10.</w:t>
      </w:r>
      <w:r>
        <w:rPr>
          <w:b/>
          <w:sz w:val="21"/>
        </w:rPr>
        <w:t>2.</w:t>
      </w:r>
      <w:r>
        <w:rPr>
          <w:rFonts w:hint="eastAsia"/>
          <w:b/>
          <w:sz w:val="21"/>
        </w:rPr>
        <w:t>6　</w:t>
      </w:r>
      <w:r>
        <w:rPr>
          <w:b/>
          <w:sz w:val="21"/>
        </w:rPr>
        <w:t>功能性缺陷</w:t>
      </w:r>
      <w:r>
        <w:rPr>
          <w:rFonts w:hint="eastAsia"/>
          <w:b/>
          <w:sz w:val="21"/>
        </w:rPr>
        <w:t>的名称</w:t>
      </w:r>
      <w:r>
        <w:rPr>
          <w:b/>
          <w:sz w:val="21"/>
        </w:rPr>
        <w:t>、代码、等级划分及分值</w:t>
      </w:r>
    </w:p>
    <w:tbl>
      <w:tblPr>
        <w:tblStyle w:val="30"/>
        <w:tblW w:w="87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645"/>
        <w:gridCol w:w="1545"/>
        <w:gridCol w:w="570"/>
        <w:gridCol w:w="2442"/>
        <w:gridCol w:w="465"/>
        <w:gridCol w:w="2024"/>
      </w:tblGrid>
      <w:tr w14:paraId="5DA48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04" w:type="dxa"/>
            <w:tcBorders>
              <w:tl2br w:val="nil"/>
              <w:tr2bl w:val="nil"/>
            </w:tcBorders>
            <w:vAlign w:val="center"/>
          </w:tcPr>
          <w:p w14:paraId="43DA77AC">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缺陷名称</w:t>
            </w:r>
          </w:p>
        </w:tc>
        <w:tc>
          <w:tcPr>
            <w:tcW w:w="645" w:type="dxa"/>
            <w:tcBorders>
              <w:tl2br w:val="nil"/>
              <w:tr2bl w:val="nil"/>
            </w:tcBorders>
            <w:vAlign w:val="center"/>
          </w:tcPr>
          <w:p w14:paraId="0C8627F4">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缺陷代码</w:t>
            </w:r>
          </w:p>
        </w:tc>
        <w:tc>
          <w:tcPr>
            <w:tcW w:w="1545" w:type="dxa"/>
            <w:tcBorders>
              <w:tl2br w:val="nil"/>
              <w:tr2bl w:val="nil"/>
            </w:tcBorders>
            <w:vAlign w:val="center"/>
          </w:tcPr>
          <w:p w14:paraId="6D0A49A8">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定义</w:t>
            </w:r>
          </w:p>
        </w:tc>
        <w:tc>
          <w:tcPr>
            <w:tcW w:w="570" w:type="dxa"/>
            <w:tcBorders>
              <w:tl2br w:val="nil"/>
              <w:tr2bl w:val="nil"/>
            </w:tcBorders>
            <w:vAlign w:val="center"/>
          </w:tcPr>
          <w:p w14:paraId="6012E773">
            <w:pPr>
              <w:tabs>
                <w:tab w:val="left" w:pos="1568"/>
              </w:tabs>
              <w:spacing w:line="240" w:lineRule="auto"/>
              <w:jc w:val="center"/>
              <w:rPr>
                <w:rFonts w:eastAsia="宋体" w:cs="Times New Roman"/>
                <w:bCs/>
                <w:kern w:val="44"/>
                <w:sz w:val="21"/>
                <w:szCs w:val="21"/>
              </w:rPr>
            </w:pPr>
            <w:r>
              <w:rPr>
                <w:rFonts w:cs="Times New Roman"/>
                <w:bCs/>
                <w:sz w:val="21"/>
                <w:szCs w:val="21"/>
              </w:rPr>
              <w:t>级别</w:t>
            </w:r>
          </w:p>
        </w:tc>
        <w:tc>
          <w:tcPr>
            <w:tcW w:w="2442" w:type="dxa"/>
            <w:tcBorders>
              <w:tl2br w:val="nil"/>
              <w:tr2bl w:val="nil"/>
            </w:tcBorders>
            <w:vAlign w:val="center"/>
          </w:tcPr>
          <w:p w14:paraId="12A358DC">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缺陷描述</w:t>
            </w:r>
          </w:p>
        </w:tc>
        <w:tc>
          <w:tcPr>
            <w:tcW w:w="465" w:type="dxa"/>
            <w:tcBorders>
              <w:tl2br w:val="nil"/>
              <w:tr2bl w:val="nil"/>
            </w:tcBorders>
            <w:vAlign w:val="center"/>
          </w:tcPr>
          <w:p w14:paraId="72F0167C">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分值</w:t>
            </w:r>
          </w:p>
        </w:tc>
        <w:tc>
          <w:tcPr>
            <w:tcW w:w="2024" w:type="dxa"/>
            <w:tcBorders>
              <w:tl2br w:val="nil"/>
              <w:tr2bl w:val="nil"/>
            </w:tcBorders>
            <w:vAlign w:val="center"/>
          </w:tcPr>
          <w:p w14:paraId="4E9C313C">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缺陷长度影响系数</w:t>
            </w:r>
          </w:p>
        </w:tc>
      </w:tr>
      <w:tr w14:paraId="3B4F9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restart"/>
            <w:tcBorders>
              <w:tl2br w:val="nil"/>
              <w:tr2bl w:val="nil"/>
            </w:tcBorders>
            <w:vAlign w:val="center"/>
          </w:tcPr>
          <w:p w14:paraId="1DE4C8E8">
            <w:pPr>
              <w:tabs>
                <w:tab w:val="left" w:pos="1568"/>
              </w:tabs>
              <w:spacing w:line="240" w:lineRule="auto"/>
              <w:rPr>
                <w:rFonts w:hint="eastAsia" w:eastAsia="宋体" w:cs="Times New Roman"/>
                <w:bCs/>
                <w:kern w:val="44"/>
                <w:sz w:val="21"/>
                <w:szCs w:val="21"/>
                <w:lang w:eastAsia="zh-CN"/>
              </w:rPr>
            </w:pPr>
            <w:r>
              <w:rPr>
                <w:rFonts w:hint="eastAsia" w:eastAsia="宋体" w:cs="Times New Roman"/>
                <w:bCs/>
                <w:kern w:val="44"/>
                <w:sz w:val="21"/>
                <w:szCs w:val="21"/>
                <w:lang w:eastAsia="zh-CN"/>
              </w:rPr>
              <w:t>管垢</w:t>
            </w:r>
          </w:p>
        </w:tc>
        <w:tc>
          <w:tcPr>
            <w:tcW w:w="645" w:type="dxa"/>
            <w:vMerge w:val="restart"/>
            <w:tcBorders>
              <w:tl2br w:val="nil"/>
              <w:tr2bl w:val="nil"/>
            </w:tcBorders>
            <w:vAlign w:val="center"/>
          </w:tcPr>
          <w:p w14:paraId="179377F9">
            <w:pPr>
              <w:tabs>
                <w:tab w:val="left" w:pos="1568"/>
              </w:tabs>
              <w:spacing w:line="240" w:lineRule="auto"/>
              <w:rPr>
                <w:rFonts w:eastAsia="宋体" w:cs="Times New Roman"/>
                <w:bCs/>
                <w:kern w:val="44"/>
                <w:sz w:val="21"/>
                <w:szCs w:val="21"/>
              </w:rPr>
            </w:pPr>
            <w:r>
              <w:rPr>
                <w:rFonts w:eastAsia="宋体" w:cs="Times New Roman"/>
                <w:bCs/>
                <w:kern w:val="44"/>
                <w:sz w:val="21"/>
                <w:szCs w:val="21"/>
              </w:rPr>
              <w:t>GL</w:t>
            </w:r>
          </w:p>
        </w:tc>
        <w:tc>
          <w:tcPr>
            <w:tcW w:w="1545" w:type="dxa"/>
            <w:vMerge w:val="restart"/>
            <w:tcBorders>
              <w:tl2br w:val="nil"/>
              <w:tr2bl w:val="nil"/>
            </w:tcBorders>
            <w:vAlign w:val="center"/>
          </w:tcPr>
          <w:p w14:paraId="1DB6416F">
            <w:pPr>
              <w:tabs>
                <w:tab w:val="left" w:pos="1568"/>
              </w:tabs>
              <w:spacing w:line="240" w:lineRule="auto"/>
              <w:rPr>
                <w:rFonts w:eastAsia="宋体" w:cs="Times New Roman"/>
                <w:bCs/>
                <w:kern w:val="44"/>
                <w:sz w:val="21"/>
                <w:szCs w:val="21"/>
              </w:rPr>
            </w:pPr>
            <w:r>
              <w:rPr>
                <w:rFonts w:eastAsia="宋体" w:cs="Times New Roman"/>
                <w:bCs/>
                <w:kern w:val="44"/>
                <w:sz w:val="21"/>
                <w:szCs w:val="21"/>
              </w:rPr>
              <w:t>管道内壁上的附着物</w:t>
            </w:r>
          </w:p>
        </w:tc>
        <w:tc>
          <w:tcPr>
            <w:tcW w:w="570" w:type="dxa"/>
            <w:tcBorders>
              <w:tl2br w:val="nil"/>
              <w:tr2bl w:val="nil"/>
            </w:tcBorders>
            <w:vAlign w:val="center"/>
          </w:tcPr>
          <w:p w14:paraId="51EA2AD1">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442" w:type="dxa"/>
            <w:tcBorders>
              <w:tl2br w:val="nil"/>
              <w:tr2bl w:val="nil"/>
            </w:tcBorders>
            <w:vAlign w:val="center"/>
          </w:tcPr>
          <w:p w14:paraId="0F5F18C9">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lang w:eastAsia="zh-CN"/>
              </w:rPr>
              <w:t>管垢</w:t>
            </w:r>
            <w:r>
              <w:rPr>
                <w:rFonts w:eastAsia="宋体" w:cs="Times New Roman"/>
                <w:bCs/>
                <w:kern w:val="44"/>
                <w:sz w:val="21"/>
                <w:szCs w:val="21"/>
              </w:rPr>
              <w:t>造成的过水断面损失不大于10％</w:t>
            </w:r>
          </w:p>
        </w:tc>
        <w:tc>
          <w:tcPr>
            <w:tcW w:w="465" w:type="dxa"/>
            <w:tcBorders>
              <w:tl2br w:val="nil"/>
              <w:tr2bl w:val="nil"/>
            </w:tcBorders>
            <w:vAlign w:val="center"/>
          </w:tcPr>
          <w:p w14:paraId="6DBD5C68">
            <w:pPr>
              <w:tabs>
                <w:tab w:val="left" w:pos="1568"/>
              </w:tabs>
              <w:spacing w:line="240" w:lineRule="auto"/>
              <w:rPr>
                <w:rFonts w:eastAsia="宋体" w:cs="Times New Roman"/>
                <w:bCs/>
                <w:kern w:val="44"/>
                <w:sz w:val="21"/>
                <w:szCs w:val="21"/>
              </w:rPr>
            </w:pPr>
            <w:r>
              <w:rPr>
                <w:rFonts w:eastAsia="宋体" w:cs="Times New Roman"/>
                <w:bCs/>
                <w:kern w:val="44"/>
                <w:sz w:val="21"/>
                <w:szCs w:val="21"/>
              </w:rPr>
              <w:t>2</w:t>
            </w:r>
          </w:p>
        </w:tc>
        <w:tc>
          <w:tcPr>
            <w:tcW w:w="2024" w:type="dxa"/>
            <w:vMerge w:val="restart"/>
            <w:tcBorders>
              <w:tl2br w:val="nil"/>
              <w:tr2bl w:val="nil"/>
            </w:tcBorders>
            <w:vAlign w:val="center"/>
          </w:tcPr>
          <w:p w14:paraId="09FC2E49">
            <w:pPr>
              <w:tabs>
                <w:tab w:val="left" w:pos="1568"/>
              </w:tabs>
              <w:spacing w:line="240" w:lineRule="auto"/>
              <w:rPr>
                <w:rFonts w:eastAsia="宋体" w:cs="Times New Roman"/>
                <w:bCs/>
                <w:kern w:val="44"/>
                <w:sz w:val="21"/>
                <w:szCs w:val="21"/>
              </w:rPr>
            </w:pPr>
            <w:r>
              <w:rPr>
                <w:rFonts w:eastAsia="宋体" w:cs="Times New Roman"/>
                <w:bCs/>
                <w:kern w:val="44"/>
                <w:sz w:val="21"/>
                <w:szCs w:val="21"/>
              </w:rPr>
              <w:t>缺陷纵向距离长度不大于2m</w:t>
            </w: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r>
              <w:rPr>
                <w:rFonts w:eastAsia="宋体" w:cs="Times New Roman"/>
                <w:bCs/>
                <w:kern w:val="44"/>
                <w:sz w:val="21"/>
                <w:szCs w:val="21"/>
              </w:rPr>
              <w:t>；缺陷纵向距离大于或等于2m</w:t>
            </w:r>
            <w:r>
              <w:rPr>
                <w:rFonts w:hint="eastAsia" w:eastAsia="宋体" w:cs="Times New Roman"/>
                <w:bCs/>
                <w:kern w:val="44"/>
                <w:sz w:val="21"/>
                <w:szCs w:val="21"/>
              </w:rPr>
              <w:t>取</w:t>
            </w:r>
            <w:r>
              <w:rPr>
                <w:rFonts w:eastAsia="宋体" w:cs="Times New Roman"/>
                <w:bCs/>
                <w:kern w:val="44"/>
                <w:sz w:val="21"/>
                <w:szCs w:val="21"/>
              </w:rPr>
              <w:t>1.1</w:t>
            </w:r>
          </w:p>
        </w:tc>
      </w:tr>
      <w:tr w14:paraId="5BEA0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14:paraId="2DD81E75">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14:paraId="6B10764F">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14:paraId="6A4E1C57">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14:paraId="2061FD23">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442" w:type="dxa"/>
            <w:tcBorders>
              <w:tl2br w:val="nil"/>
              <w:tr2bl w:val="nil"/>
            </w:tcBorders>
            <w:vAlign w:val="center"/>
          </w:tcPr>
          <w:p w14:paraId="760FCE2A">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lang w:eastAsia="zh-CN"/>
              </w:rPr>
              <w:t>管垢</w:t>
            </w:r>
            <w:r>
              <w:rPr>
                <w:rFonts w:eastAsia="宋体" w:cs="Times New Roman"/>
                <w:bCs/>
                <w:kern w:val="44"/>
                <w:sz w:val="21"/>
                <w:szCs w:val="21"/>
              </w:rPr>
              <w:t>造成的过水断面损失在10％～20％之间</w:t>
            </w:r>
          </w:p>
        </w:tc>
        <w:tc>
          <w:tcPr>
            <w:tcW w:w="465" w:type="dxa"/>
            <w:tcBorders>
              <w:tl2br w:val="nil"/>
              <w:tr2bl w:val="nil"/>
            </w:tcBorders>
            <w:vAlign w:val="center"/>
          </w:tcPr>
          <w:p w14:paraId="469A1E21">
            <w:pPr>
              <w:tabs>
                <w:tab w:val="left" w:pos="1568"/>
              </w:tabs>
              <w:spacing w:line="240" w:lineRule="auto"/>
              <w:rPr>
                <w:rFonts w:eastAsia="宋体" w:cs="Times New Roman"/>
                <w:bCs/>
                <w:kern w:val="44"/>
                <w:sz w:val="21"/>
                <w:szCs w:val="21"/>
              </w:rPr>
            </w:pPr>
            <w:r>
              <w:rPr>
                <w:rFonts w:eastAsia="宋体" w:cs="Times New Roman"/>
                <w:bCs/>
                <w:kern w:val="44"/>
                <w:sz w:val="21"/>
                <w:szCs w:val="21"/>
              </w:rPr>
              <w:t>4</w:t>
            </w:r>
          </w:p>
        </w:tc>
        <w:tc>
          <w:tcPr>
            <w:tcW w:w="2024" w:type="dxa"/>
            <w:vMerge w:val="continue"/>
            <w:tcBorders>
              <w:tl2br w:val="nil"/>
              <w:tr2bl w:val="nil"/>
            </w:tcBorders>
            <w:vAlign w:val="center"/>
          </w:tcPr>
          <w:p w14:paraId="0B36D181">
            <w:pPr>
              <w:tabs>
                <w:tab w:val="left" w:pos="1568"/>
              </w:tabs>
              <w:spacing w:line="240" w:lineRule="auto"/>
              <w:rPr>
                <w:rFonts w:eastAsia="宋体" w:cs="Times New Roman"/>
                <w:bCs/>
                <w:kern w:val="44"/>
                <w:sz w:val="21"/>
                <w:szCs w:val="21"/>
              </w:rPr>
            </w:pPr>
          </w:p>
        </w:tc>
      </w:tr>
      <w:tr w14:paraId="05215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14:paraId="55E56A48">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14:paraId="23F28342">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14:paraId="353F09A5">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14:paraId="666688FF">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442" w:type="dxa"/>
            <w:tcBorders>
              <w:tl2br w:val="nil"/>
              <w:tr2bl w:val="nil"/>
            </w:tcBorders>
            <w:vAlign w:val="center"/>
          </w:tcPr>
          <w:p w14:paraId="0F66461E">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lang w:eastAsia="zh-CN"/>
              </w:rPr>
              <w:t>管垢</w:t>
            </w:r>
            <w:bookmarkStart w:id="595" w:name="_GoBack"/>
            <w:bookmarkEnd w:id="595"/>
            <w:r>
              <w:rPr>
                <w:rFonts w:eastAsia="宋体" w:cs="Times New Roman"/>
                <w:bCs/>
                <w:kern w:val="44"/>
                <w:sz w:val="21"/>
                <w:szCs w:val="21"/>
              </w:rPr>
              <w:t>造成的过水断面损失大于20％</w:t>
            </w:r>
          </w:p>
        </w:tc>
        <w:tc>
          <w:tcPr>
            <w:tcW w:w="465" w:type="dxa"/>
            <w:tcBorders>
              <w:tl2br w:val="nil"/>
              <w:tr2bl w:val="nil"/>
            </w:tcBorders>
            <w:vAlign w:val="center"/>
          </w:tcPr>
          <w:p w14:paraId="624C22CE">
            <w:pPr>
              <w:tabs>
                <w:tab w:val="left" w:pos="1568"/>
              </w:tabs>
              <w:spacing w:line="240" w:lineRule="auto"/>
              <w:rPr>
                <w:rFonts w:eastAsia="宋体" w:cs="Times New Roman"/>
                <w:bCs/>
                <w:kern w:val="44"/>
                <w:sz w:val="21"/>
                <w:szCs w:val="21"/>
              </w:rPr>
            </w:pPr>
            <w:r>
              <w:rPr>
                <w:rFonts w:eastAsia="宋体" w:cs="Times New Roman"/>
                <w:bCs/>
                <w:kern w:val="44"/>
                <w:sz w:val="21"/>
                <w:szCs w:val="21"/>
              </w:rPr>
              <w:t>6</w:t>
            </w:r>
          </w:p>
        </w:tc>
        <w:tc>
          <w:tcPr>
            <w:tcW w:w="2024" w:type="dxa"/>
            <w:vMerge w:val="continue"/>
            <w:tcBorders>
              <w:tl2br w:val="nil"/>
              <w:tr2bl w:val="nil"/>
            </w:tcBorders>
            <w:vAlign w:val="center"/>
          </w:tcPr>
          <w:p w14:paraId="544990AD">
            <w:pPr>
              <w:tabs>
                <w:tab w:val="left" w:pos="1568"/>
              </w:tabs>
              <w:spacing w:line="240" w:lineRule="auto"/>
              <w:rPr>
                <w:rFonts w:eastAsia="宋体" w:cs="Times New Roman"/>
                <w:bCs/>
                <w:kern w:val="44"/>
                <w:sz w:val="21"/>
                <w:szCs w:val="21"/>
              </w:rPr>
            </w:pPr>
          </w:p>
        </w:tc>
      </w:tr>
      <w:tr w14:paraId="012B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restart"/>
            <w:tcBorders>
              <w:tl2br w:val="nil"/>
              <w:tr2bl w:val="nil"/>
            </w:tcBorders>
            <w:vAlign w:val="center"/>
          </w:tcPr>
          <w:p w14:paraId="5143A631">
            <w:pPr>
              <w:tabs>
                <w:tab w:val="left" w:pos="1568"/>
              </w:tabs>
              <w:spacing w:line="240" w:lineRule="auto"/>
              <w:rPr>
                <w:rFonts w:eastAsia="宋体" w:cs="Times New Roman"/>
                <w:bCs/>
                <w:kern w:val="44"/>
                <w:sz w:val="21"/>
                <w:szCs w:val="21"/>
              </w:rPr>
            </w:pPr>
            <w:r>
              <w:rPr>
                <w:rFonts w:eastAsia="宋体" w:cs="Times New Roman"/>
                <w:bCs/>
                <w:kern w:val="44"/>
                <w:sz w:val="21"/>
                <w:szCs w:val="21"/>
              </w:rPr>
              <w:t>障碍物</w:t>
            </w:r>
          </w:p>
        </w:tc>
        <w:tc>
          <w:tcPr>
            <w:tcW w:w="645" w:type="dxa"/>
            <w:vMerge w:val="restart"/>
            <w:tcBorders>
              <w:tl2br w:val="nil"/>
              <w:tr2bl w:val="nil"/>
            </w:tcBorders>
            <w:vAlign w:val="center"/>
          </w:tcPr>
          <w:p w14:paraId="3C332C96">
            <w:pPr>
              <w:tabs>
                <w:tab w:val="left" w:pos="1568"/>
              </w:tabs>
              <w:spacing w:line="240" w:lineRule="auto"/>
              <w:rPr>
                <w:rFonts w:eastAsia="宋体" w:cs="Times New Roman"/>
                <w:bCs/>
                <w:kern w:val="44"/>
                <w:sz w:val="21"/>
                <w:szCs w:val="21"/>
              </w:rPr>
            </w:pPr>
            <w:r>
              <w:rPr>
                <w:rFonts w:eastAsia="宋体" w:cs="Times New Roman"/>
                <w:bCs/>
                <w:kern w:val="44"/>
                <w:sz w:val="21"/>
                <w:szCs w:val="21"/>
              </w:rPr>
              <w:t>ZW</w:t>
            </w:r>
          </w:p>
        </w:tc>
        <w:tc>
          <w:tcPr>
            <w:tcW w:w="1545" w:type="dxa"/>
            <w:vMerge w:val="restart"/>
            <w:tcBorders>
              <w:tl2br w:val="nil"/>
              <w:tr2bl w:val="nil"/>
            </w:tcBorders>
            <w:vAlign w:val="center"/>
          </w:tcPr>
          <w:p w14:paraId="70B27948">
            <w:pPr>
              <w:tabs>
                <w:tab w:val="left" w:pos="1568"/>
              </w:tabs>
              <w:spacing w:line="240" w:lineRule="auto"/>
              <w:rPr>
                <w:rFonts w:eastAsia="宋体" w:cs="Times New Roman"/>
                <w:bCs/>
                <w:kern w:val="44"/>
                <w:sz w:val="21"/>
                <w:szCs w:val="21"/>
              </w:rPr>
            </w:pPr>
            <w:r>
              <w:rPr>
                <w:rFonts w:eastAsia="宋体" w:cs="Times New Roman"/>
                <w:bCs/>
                <w:kern w:val="44"/>
                <w:sz w:val="21"/>
                <w:szCs w:val="21"/>
              </w:rPr>
              <w:t>管道内影响过流的阻挡物</w:t>
            </w:r>
          </w:p>
        </w:tc>
        <w:tc>
          <w:tcPr>
            <w:tcW w:w="570" w:type="dxa"/>
            <w:tcBorders>
              <w:tl2br w:val="nil"/>
              <w:tr2bl w:val="nil"/>
            </w:tcBorders>
            <w:vAlign w:val="center"/>
          </w:tcPr>
          <w:p w14:paraId="620AA00F">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442" w:type="dxa"/>
            <w:tcBorders>
              <w:tl2br w:val="nil"/>
              <w:tr2bl w:val="nil"/>
            </w:tcBorders>
            <w:vAlign w:val="center"/>
          </w:tcPr>
          <w:p w14:paraId="21BF656D">
            <w:pPr>
              <w:tabs>
                <w:tab w:val="left" w:pos="1568"/>
              </w:tabs>
              <w:spacing w:line="240" w:lineRule="auto"/>
              <w:rPr>
                <w:rFonts w:eastAsia="宋体" w:cs="Times New Roman"/>
                <w:bCs/>
                <w:kern w:val="44"/>
                <w:sz w:val="21"/>
                <w:szCs w:val="21"/>
              </w:rPr>
            </w:pPr>
            <w:r>
              <w:rPr>
                <w:rFonts w:eastAsia="宋体" w:cs="Times New Roman"/>
                <w:bCs/>
                <w:kern w:val="44"/>
                <w:sz w:val="21"/>
                <w:szCs w:val="21"/>
              </w:rPr>
              <w:t>过水断面损失不大于10%</w:t>
            </w:r>
          </w:p>
        </w:tc>
        <w:tc>
          <w:tcPr>
            <w:tcW w:w="465" w:type="dxa"/>
            <w:tcBorders>
              <w:tl2br w:val="nil"/>
              <w:tr2bl w:val="nil"/>
            </w:tcBorders>
            <w:vAlign w:val="center"/>
          </w:tcPr>
          <w:p w14:paraId="1358F2BB">
            <w:pPr>
              <w:tabs>
                <w:tab w:val="left" w:pos="1568"/>
              </w:tabs>
              <w:spacing w:line="240" w:lineRule="auto"/>
              <w:rPr>
                <w:rFonts w:eastAsia="宋体" w:cs="Times New Roman"/>
                <w:bCs/>
                <w:kern w:val="44"/>
                <w:sz w:val="21"/>
                <w:szCs w:val="21"/>
              </w:rPr>
            </w:pPr>
            <w:r>
              <w:rPr>
                <w:rFonts w:eastAsia="宋体" w:cs="Times New Roman"/>
                <w:bCs/>
                <w:kern w:val="44"/>
                <w:sz w:val="21"/>
                <w:szCs w:val="21"/>
              </w:rPr>
              <w:t>2</w:t>
            </w:r>
          </w:p>
        </w:tc>
        <w:tc>
          <w:tcPr>
            <w:tcW w:w="2024" w:type="dxa"/>
            <w:vMerge w:val="restart"/>
            <w:tcBorders>
              <w:tl2br w:val="nil"/>
              <w:tr2bl w:val="nil"/>
            </w:tcBorders>
            <w:vAlign w:val="center"/>
          </w:tcPr>
          <w:p w14:paraId="3D8F0FE4">
            <w:pPr>
              <w:tabs>
                <w:tab w:val="left" w:pos="1568"/>
              </w:tabs>
              <w:spacing w:line="240" w:lineRule="auto"/>
              <w:rPr>
                <w:rFonts w:eastAsia="宋体" w:cs="Times New Roman"/>
                <w:bCs/>
                <w:kern w:val="44"/>
                <w:sz w:val="21"/>
                <w:szCs w:val="21"/>
              </w:rPr>
            </w:pPr>
            <w:r>
              <w:rPr>
                <w:rFonts w:eastAsia="宋体" w:cs="Times New Roman"/>
                <w:bCs/>
                <w:kern w:val="44"/>
                <w:sz w:val="21"/>
                <w:szCs w:val="21"/>
              </w:rPr>
              <w:t>缺陷纵向距离长度不大于2m</w:t>
            </w: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r>
              <w:rPr>
                <w:rFonts w:eastAsia="宋体" w:cs="Times New Roman"/>
                <w:bCs/>
                <w:kern w:val="44"/>
                <w:sz w:val="21"/>
                <w:szCs w:val="21"/>
              </w:rPr>
              <w:t>；缺陷纵向距离</w:t>
            </w:r>
            <w:r>
              <w:rPr>
                <w:rFonts w:hint="eastAsia" w:eastAsia="宋体" w:cs="Times New Roman"/>
                <w:bCs/>
                <w:kern w:val="44"/>
                <w:sz w:val="21"/>
                <w:szCs w:val="21"/>
              </w:rPr>
              <w:t>不小于</w:t>
            </w:r>
            <w:r>
              <w:rPr>
                <w:rFonts w:eastAsia="宋体" w:cs="Times New Roman"/>
                <w:bCs/>
                <w:kern w:val="44"/>
                <w:sz w:val="21"/>
                <w:szCs w:val="21"/>
              </w:rPr>
              <w:t>2m</w:t>
            </w:r>
            <w:r>
              <w:rPr>
                <w:rFonts w:hint="eastAsia" w:eastAsia="宋体" w:cs="Times New Roman"/>
                <w:bCs/>
                <w:kern w:val="44"/>
                <w:sz w:val="21"/>
                <w:szCs w:val="21"/>
              </w:rPr>
              <w:t>取</w:t>
            </w:r>
            <w:r>
              <w:rPr>
                <w:rFonts w:eastAsia="宋体" w:cs="Times New Roman"/>
                <w:bCs/>
                <w:kern w:val="44"/>
                <w:sz w:val="21"/>
                <w:szCs w:val="21"/>
              </w:rPr>
              <w:t>1.1</w:t>
            </w:r>
          </w:p>
        </w:tc>
      </w:tr>
      <w:tr w14:paraId="22AF9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14:paraId="760C4CA8">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14:paraId="3BFC49F8">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14:paraId="3A3AFB3F">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14:paraId="316CE288">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442" w:type="dxa"/>
            <w:tcBorders>
              <w:tl2br w:val="nil"/>
              <w:tr2bl w:val="nil"/>
            </w:tcBorders>
            <w:vAlign w:val="center"/>
          </w:tcPr>
          <w:p w14:paraId="2E7470A4">
            <w:pPr>
              <w:tabs>
                <w:tab w:val="left" w:pos="1568"/>
              </w:tabs>
              <w:spacing w:line="240" w:lineRule="auto"/>
              <w:rPr>
                <w:rFonts w:eastAsia="宋体" w:cs="Times New Roman"/>
                <w:bCs/>
                <w:kern w:val="44"/>
                <w:sz w:val="21"/>
                <w:szCs w:val="21"/>
              </w:rPr>
            </w:pPr>
            <w:r>
              <w:rPr>
                <w:rFonts w:eastAsia="宋体" w:cs="Times New Roman"/>
                <w:bCs/>
                <w:kern w:val="44"/>
                <w:sz w:val="21"/>
                <w:szCs w:val="21"/>
              </w:rPr>
              <w:t>过水断面损失10%～20%</w:t>
            </w:r>
          </w:p>
        </w:tc>
        <w:tc>
          <w:tcPr>
            <w:tcW w:w="465" w:type="dxa"/>
            <w:tcBorders>
              <w:tl2br w:val="nil"/>
              <w:tr2bl w:val="nil"/>
            </w:tcBorders>
            <w:vAlign w:val="center"/>
          </w:tcPr>
          <w:p w14:paraId="6E098A6E">
            <w:pPr>
              <w:tabs>
                <w:tab w:val="left" w:pos="1568"/>
              </w:tabs>
              <w:spacing w:line="240" w:lineRule="auto"/>
              <w:rPr>
                <w:rFonts w:eastAsia="宋体" w:cs="Times New Roman"/>
                <w:bCs/>
                <w:kern w:val="44"/>
                <w:sz w:val="21"/>
                <w:szCs w:val="21"/>
              </w:rPr>
            </w:pPr>
            <w:r>
              <w:rPr>
                <w:rFonts w:eastAsia="宋体" w:cs="Times New Roman"/>
                <w:bCs/>
                <w:kern w:val="44"/>
                <w:sz w:val="21"/>
                <w:szCs w:val="21"/>
              </w:rPr>
              <w:t>4</w:t>
            </w:r>
          </w:p>
        </w:tc>
        <w:tc>
          <w:tcPr>
            <w:tcW w:w="2024" w:type="dxa"/>
            <w:vMerge w:val="continue"/>
            <w:tcBorders>
              <w:tl2br w:val="nil"/>
              <w:tr2bl w:val="nil"/>
            </w:tcBorders>
            <w:vAlign w:val="center"/>
          </w:tcPr>
          <w:p w14:paraId="4DD9FD8F">
            <w:pPr>
              <w:tabs>
                <w:tab w:val="left" w:pos="1568"/>
              </w:tabs>
              <w:spacing w:line="240" w:lineRule="auto"/>
              <w:rPr>
                <w:rFonts w:eastAsia="宋体" w:cs="Times New Roman"/>
                <w:bCs/>
                <w:kern w:val="44"/>
                <w:sz w:val="21"/>
                <w:szCs w:val="21"/>
              </w:rPr>
            </w:pPr>
          </w:p>
        </w:tc>
      </w:tr>
      <w:tr w14:paraId="0C89F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14:paraId="7E23A7C9">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14:paraId="3BDB3090">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14:paraId="022B55BE">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14:paraId="49055911">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442" w:type="dxa"/>
            <w:tcBorders>
              <w:tl2br w:val="nil"/>
              <w:tr2bl w:val="nil"/>
            </w:tcBorders>
            <w:vAlign w:val="center"/>
          </w:tcPr>
          <w:p w14:paraId="7AAC1032">
            <w:pPr>
              <w:tabs>
                <w:tab w:val="left" w:pos="1568"/>
              </w:tabs>
              <w:spacing w:line="240" w:lineRule="auto"/>
              <w:rPr>
                <w:rFonts w:eastAsia="宋体" w:cs="Times New Roman"/>
                <w:bCs/>
                <w:kern w:val="44"/>
                <w:sz w:val="21"/>
                <w:szCs w:val="21"/>
              </w:rPr>
            </w:pPr>
            <w:r>
              <w:rPr>
                <w:rFonts w:eastAsia="宋体" w:cs="Times New Roman"/>
                <w:bCs/>
                <w:kern w:val="44"/>
                <w:sz w:val="21"/>
                <w:szCs w:val="21"/>
              </w:rPr>
              <w:t>过水断面损失大于20%</w:t>
            </w:r>
          </w:p>
        </w:tc>
        <w:tc>
          <w:tcPr>
            <w:tcW w:w="465" w:type="dxa"/>
            <w:tcBorders>
              <w:tl2br w:val="nil"/>
              <w:tr2bl w:val="nil"/>
            </w:tcBorders>
            <w:vAlign w:val="center"/>
          </w:tcPr>
          <w:p w14:paraId="15B3C936">
            <w:pPr>
              <w:tabs>
                <w:tab w:val="left" w:pos="1568"/>
              </w:tabs>
              <w:spacing w:line="240" w:lineRule="auto"/>
              <w:rPr>
                <w:rFonts w:eastAsia="宋体" w:cs="Times New Roman"/>
                <w:bCs/>
                <w:kern w:val="44"/>
                <w:sz w:val="21"/>
                <w:szCs w:val="21"/>
              </w:rPr>
            </w:pPr>
            <w:r>
              <w:rPr>
                <w:rFonts w:eastAsia="宋体" w:cs="Times New Roman"/>
                <w:bCs/>
                <w:kern w:val="44"/>
                <w:sz w:val="21"/>
                <w:szCs w:val="21"/>
              </w:rPr>
              <w:t>6</w:t>
            </w:r>
          </w:p>
        </w:tc>
        <w:tc>
          <w:tcPr>
            <w:tcW w:w="2024" w:type="dxa"/>
            <w:vMerge w:val="continue"/>
            <w:tcBorders>
              <w:tl2br w:val="nil"/>
              <w:tr2bl w:val="nil"/>
            </w:tcBorders>
            <w:vAlign w:val="center"/>
          </w:tcPr>
          <w:p w14:paraId="3C8A8F14">
            <w:pPr>
              <w:tabs>
                <w:tab w:val="left" w:pos="1568"/>
              </w:tabs>
              <w:spacing w:line="240" w:lineRule="auto"/>
              <w:rPr>
                <w:rFonts w:eastAsia="宋体" w:cs="Times New Roman"/>
                <w:bCs/>
                <w:kern w:val="44"/>
                <w:sz w:val="21"/>
                <w:szCs w:val="21"/>
              </w:rPr>
            </w:pPr>
          </w:p>
        </w:tc>
      </w:tr>
      <w:tr w14:paraId="6C9F9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restart"/>
            <w:tcBorders>
              <w:tl2br w:val="nil"/>
              <w:tr2bl w:val="nil"/>
            </w:tcBorders>
            <w:vAlign w:val="center"/>
          </w:tcPr>
          <w:p w14:paraId="47CF4AFE">
            <w:pPr>
              <w:tabs>
                <w:tab w:val="left" w:pos="1568"/>
              </w:tabs>
              <w:spacing w:line="240" w:lineRule="auto"/>
              <w:rPr>
                <w:rFonts w:eastAsia="宋体" w:cs="Times New Roman"/>
                <w:bCs/>
                <w:kern w:val="44"/>
                <w:sz w:val="21"/>
                <w:szCs w:val="21"/>
              </w:rPr>
            </w:pPr>
            <w:r>
              <w:rPr>
                <w:rFonts w:eastAsia="宋体" w:cs="Times New Roman"/>
                <w:bCs/>
                <w:kern w:val="44"/>
                <w:sz w:val="21"/>
                <w:szCs w:val="21"/>
              </w:rPr>
              <w:t>冗余接口</w:t>
            </w:r>
          </w:p>
        </w:tc>
        <w:tc>
          <w:tcPr>
            <w:tcW w:w="645" w:type="dxa"/>
            <w:vMerge w:val="restart"/>
            <w:tcBorders>
              <w:tl2br w:val="nil"/>
              <w:tr2bl w:val="nil"/>
            </w:tcBorders>
            <w:vAlign w:val="center"/>
          </w:tcPr>
          <w:p w14:paraId="3630754D">
            <w:pPr>
              <w:tabs>
                <w:tab w:val="left" w:pos="1568"/>
              </w:tabs>
              <w:spacing w:line="240" w:lineRule="auto"/>
              <w:rPr>
                <w:rFonts w:eastAsia="宋体" w:cs="Times New Roman"/>
                <w:bCs/>
                <w:kern w:val="44"/>
                <w:sz w:val="21"/>
                <w:szCs w:val="21"/>
              </w:rPr>
            </w:pPr>
            <w:r>
              <w:rPr>
                <w:rFonts w:eastAsia="宋体" w:cs="Times New Roman"/>
                <w:bCs/>
                <w:kern w:val="44"/>
                <w:sz w:val="21"/>
                <w:szCs w:val="21"/>
              </w:rPr>
              <w:t>RY</w:t>
            </w:r>
          </w:p>
        </w:tc>
        <w:tc>
          <w:tcPr>
            <w:tcW w:w="1545" w:type="dxa"/>
            <w:vMerge w:val="restart"/>
            <w:tcBorders>
              <w:tl2br w:val="nil"/>
              <w:tr2bl w:val="nil"/>
            </w:tcBorders>
            <w:vAlign w:val="center"/>
          </w:tcPr>
          <w:p w14:paraId="3C644947">
            <w:pPr>
              <w:tabs>
                <w:tab w:val="left" w:pos="1568"/>
              </w:tabs>
              <w:spacing w:line="240" w:lineRule="auto"/>
              <w:rPr>
                <w:rFonts w:eastAsia="宋体" w:cs="Times New Roman"/>
                <w:bCs/>
                <w:kern w:val="44"/>
                <w:sz w:val="21"/>
                <w:szCs w:val="21"/>
              </w:rPr>
            </w:pPr>
            <w:r>
              <w:rPr>
                <w:rFonts w:eastAsia="宋体" w:cs="Times New Roman"/>
                <w:bCs/>
                <w:kern w:val="44"/>
                <w:sz w:val="21"/>
                <w:szCs w:val="21"/>
              </w:rPr>
              <w:t>未在管线图标注的支管接口</w:t>
            </w:r>
          </w:p>
        </w:tc>
        <w:tc>
          <w:tcPr>
            <w:tcW w:w="570" w:type="dxa"/>
            <w:tcBorders>
              <w:tl2br w:val="nil"/>
              <w:tr2bl w:val="nil"/>
            </w:tcBorders>
            <w:vAlign w:val="center"/>
          </w:tcPr>
          <w:p w14:paraId="1DB6C3DB">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442" w:type="dxa"/>
            <w:tcBorders>
              <w:tl2br w:val="nil"/>
              <w:tr2bl w:val="nil"/>
            </w:tcBorders>
            <w:vAlign w:val="center"/>
          </w:tcPr>
          <w:p w14:paraId="1FB1A8CD">
            <w:pPr>
              <w:tabs>
                <w:tab w:val="left" w:pos="1568"/>
              </w:tabs>
              <w:spacing w:line="240" w:lineRule="auto"/>
              <w:rPr>
                <w:rFonts w:eastAsia="宋体" w:cs="Times New Roman"/>
                <w:bCs/>
                <w:kern w:val="44"/>
                <w:sz w:val="21"/>
                <w:szCs w:val="21"/>
              </w:rPr>
            </w:pPr>
            <w:r>
              <w:rPr>
                <w:rFonts w:eastAsia="宋体" w:cs="Times New Roman"/>
                <w:bCs/>
                <w:kern w:val="44"/>
                <w:sz w:val="21"/>
                <w:szCs w:val="21"/>
              </w:rPr>
              <w:t>支管管道直径占主管管道直径不大于20%</w:t>
            </w:r>
          </w:p>
        </w:tc>
        <w:tc>
          <w:tcPr>
            <w:tcW w:w="465" w:type="dxa"/>
            <w:tcBorders>
              <w:tl2br w:val="nil"/>
              <w:tr2bl w:val="nil"/>
            </w:tcBorders>
            <w:vAlign w:val="center"/>
          </w:tcPr>
          <w:p w14:paraId="448FB180">
            <w:pPr>
              <w:tabs>
                <w:tab w:val="left" w:pos="1568"/>
              </w:tabs>
              <w:spacing w:line="240" w:lineRule="auto"/>
              <w:rPr>
                <w:rFonts w:eastAsia="宋体" w:cs="Times New Roman"/>
                <w:bCs/>
                <w:kern w:val="44"/>
                <w:sz w:val="21"/>
                <w:szCs w:val="21"/>
              </w:rPr>
            </w:pPr>
            <w:r>
              <w:rPr>
                <w:rFonts w:eastAsia="宋体" w:cs="Times New Roman"/>
                <w:bCs/>
                <w:kern w:val="44"/>
                <w:sz w:val="21"/>
                <w:szCs w:val="21"/>
              </w:rPr>
              <w:t>1</w:t>
            </w:r>
          </w:p>
        </w:tc>
        <w:tc>
          <w:tcPr>
            <w:tcW w:w="2024" w:type="dxa"/>
            <w:vMerge w:val="restart"/>
            <w:tcBorders>
              <w:tl2br w:val="nil"/>
              <w:tr2bl w:val="nil"/>
            </w:tcBorders>
            <w:vAlign w:val="center"/>
          </w:tcPr>
          <w:p w14:paraId="59C77EF7">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p>
        </w:tc>
      </w:tr>
      <w:tr w14:paraId="24F1A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14:paraId="1B20D315">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14:paraId="17444C65">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14:paraId="452C31EF">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14:paraId="1563604E">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442" w:type="dxa"/>
            <w:tcBorders>
              <w:tl2br w:val="nil"/>
              <w:tr2bl w:val="nil"/>
            </w:tcBorders>
            <w:vAlign w:val="center"/>
          </w:tcPr>
          <w:p w14:paraId="7E85A540">
            <w:pPr>
              <w:tabs>
                <w:tab w:val="left" w:pos="1568"/>
              </w:tabs>
              <w:spacing w:line="240" w:lineRule="auto"/>
              <w:rPr>
                <w:rFonts w:eastAsia="宋体" w:cs="Times New Roman"/>
                <w:bCs/>
                <w:kern w:val="44"/>
                <w:sz w:val="21"/>
                <w:szCs w:val="21"/>
              </w:rPr>
            </w:pPr>
            <w:r>
              <w:rPr>
                <w:rFonts w:eastAsia="宋体" w:cs="Times New Roman"/>
                <w:bCs/>
                <w:kern w:val="44"/>
                <w:sz w:val="21"/>
                <w:szCs w:val="21"/>
              </w:rPr>
              <w:t>支管管道直径占主管管道直径20％～40%之间</w:t>
            </w:r>
          </w:p>
        </w:tc>
        <w:tc>
          <w:tcPr>
            <w:tcW w:w="465" w:type="dxa"/>
            <w:tcBorders>
              <w:tl2br w:val="nil"/>
              <w:tr2bl w:val="nil"/>
            </w:tcBorders>
            <w:vAlign w:val="center"/>
          </w:tcPr>
          <w:p w14:paraId="7049C0A5">
            <w:pPr>
              <w:tabs>
                <w:tab w:val="left" w:pos="1568"/>
              </w:tabs>
              <w:spacing w:line="240" w:lineRule="auto"/>
              <w:rPr>
                <w:rFonts w:eastAsia="宋体" w:cs="Times New Roman"/>
                <w:bCs/>
                <w:kern w:val="44"/>
                <w:sz w:val="21"/>
                <w:szCs w:val="21"/>
              </w:rPr>
            </w:pPr>
            <w:r>
              <w:rPr>
                <w:rFonts w:eastAsia="宋体" w:cs="Times New Roman"/>
                <w:bCs/>
                <w:kern w:val="44"/>
                <w:sz w:val="21"/>
                <w:szCs w:val="21"/>
              </w:rPr>
              <w:t>3</w:t>
            </w:r>
          </w:p>
        </w:tc>
        <w:tc>
          <w:tcPr>
            <w:tcW w:w="2024" w:type="dxa"/>
            <w:vMerge w:val="continue"/>
            <w:tcBorders>
              <w:tl2br w:val="nil"/>
              <w:tr2bl w:val="nil"/>
            </w:tcBorders>
            <w:vAlign w:val="center"/>
          </w:tcPr>
          <w:p w14:paraId="757EDB5F">
            <w:pPr>
              <w:tabs>
                <w:tab w:val="left" w:pos="1568"/>
              </w:tabs>
              <w:spacing w:line="240" w:lineRule="auto"/>
              <w:rPr>
                <w:rFonts w:eastAsia="宋体" w:cs="Times New Roman"/>
                <w:bCs/>
                <w:kern w:val="44"/>
                <w:sz w:val="21"/>
                <w:szCs w:val="21"/>
              </w:rPr>
            </w:pPr>
          </w:p>
        </w:tc>
      </w:tr>
      <w:tr w14:paraId="7AF8A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14:paraId="044D4EA2">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14:paraId="54AC56FE">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14:paraId="1D3B88B0">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14:paraId="2331E867">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442" w:type="dxa"/>
            <w:tcBorders>
              <w:tl2br w:val="nil"/>
              <w:tr2bl w:val="nil"/>
            </w:tcBorders>
            <w:vAlign w:val="center"/>
          </w:tcPr>
          <w:p w14:paraId="026DC916">
            <w:pPr>
              <w:tabs>
                <w:tab w:val="left" w:pos="1568"/>
              </w:tabs>
              <w:spacing w:line="240" w:lineRule="auto"/>
              <w:rPr>
                <w:rFonts w:eastAsia="宋体" w:cs="Times New Roman"/>
                <w:bCs/>
                <w:kern w:val="44"/>
                <w:sz w:val="21"/>
                <w:szCs w:val="21"/>
              </w:rPr>
            </w:pPr>
            <w:r>
              <w:rPr>
                <w:rFonts w:eastAsia="宋体" w:cs="Times New Roman"/>
                <w:bCs/>
                <w:kern w:val="44"/>
                <w:sz w:val="21"/>
                <w:szCs w:val="21"/>
              </w:rPr>
              <w:t>支管管道直径占主管管道直径大于40%</w:t>
            </w:r>
          </w:p>
        </w:tc>
        <w:tc>
          <w:tcPr>
            <w:tcW w:w="465" w:type="dxa"/>
            <w:tcBorders>
              <w:tl2br w:val="nil"/>
              <w:tr2bl w:val="nil"/>
            </w:tcBorders>
            <w:vAlign w:val="center"/>
          </w:tcPr>
          <w:p w14:paraId="3D0EC18F">
            <w:pPr>
              <w:tabs>
                <w:tab w:val="left" w:pos="1568"/>
              </w:tabs>
              <w:spacing w:line="240" w:lineRule="auto"/>
              <w:rPr>
                <w:rFonts w:eastAsia="宋体" w:cs="Times New Roman"/>
                <w:bCs/>
                <w:kern w:val="44"/>
                <w:sz w:val="21"/>
                <w:szCs w:val="21"/>
              </w:rPr>
            </w:pPr>
            <w:r>
              <w:rPr>
                <w:rFonts w:eastAsia="宋体" w:cs="Times New Roman"/>
                <w:bCs/>
                <w:kern w:val="44"/>
                <w:sz w:val="21"/>
                <w:szCs w:val="21"/>
              </w:rPr>
              <w:t>5</w:t>
            </w:r>
          </w:p>
        </w:tc>
        <w:tc>
          <w:tcPr>
            <w:tcW w:w="2024" w:type="dxa"/>
            <w:vMerge w:val="continue"/>
            <w:tcBorders>
              <w:tl2br w:val="nil"/>
              <w:tr2bl w:val="nil"/>
            </w:tcBorders>
            <w:vAlign w:val="center"/>
          </w:tcPr>
          <w:p w14:paraId="2B9E2C96">
            <w:pPr>
              <w:tabs>
                <w:tab w:val="left" w:pos="1568"/>
              </w:tabs>
              <w:spacing w:line="240" w:lineRule="auto"/>
              <w:rPr>
                <w:rFonts w:eastAsia="宋体" w:cs="Times New Roman"/>
                <w:bCs/>
                <w:kern w:val="44"/>
                <w:sz w:val="21"/>
                <w:szCs w:val="21"/>
              </w:rPr>
            </w:pPr>
          </w:p>
        </w:tc>
      </w:tr>
      <w:tr w14:paraId="5D17A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restart"/>
            <w:tcBorders>
              <w:tl2br w:val="nil"/>
              <w:tr2bl w:val="nil"/>
            </w:tcBorders>
            <w:vAlign w:val="center"/>
          </w:tcPr>
          <w:p w14:paraId="3A558EBC">
            <w:pPr>
              <w:tabs>
                <w:tab w:val="left" w:pos="1568"/>
              </w:tabs>
              <w:spacing w:line="240" w:lineRule="auto"/>
              <w:rPr>
                <w:rFonts w:eastAsia="宋体" w:cs="Times New Roman"/>
                <w:bCs/>
                <w:kern w:val="44"/>
                <w:sz w:val="21"/>
                <w:szCs w:val="21"/>
              </w:rPr>
            </w:pPr>
            <w:r>
              <w:rPr>
                <w:rFonts w:eastAsia="宋体" w:cs="Times New Roman"/>
                <w:bCs/>
                <w:kern w:val="44"/>
                <w:sz w:val="21"/>
                <w:szCs w:val="21"/>
              </w:rPr>
              <w:t>沉积</w:t>
            </w:r>
          </w:p>
        </w:tc>
        <w:tc>
          <w:tcPr>
            <w:tcW w:w="645" w:type="dxa"/>
            <w:vMerge w:val="restart"/>
            <w:tcBorders>
              <w:tl2br w:val="nil"/>
              <w:tr2bl w:val="nil"/>
            </w:tcBorders>
            <w:vAlign w:val="center"/>
          </w:tcPr>
          <w:p w14:paraId="2BC28DBD">
            <w:pPr>
              <w:tabs>
                <w:tab w:val="left" w:pos="1568"/>
              </w:tabs>
              <w:spacing w:line="240" w:lineRule="auto"/>
              <w:rPr>
                <w:rFonts w:eastAsia="宋体" w:cs="Times New Roman"/>
                <w:bCs/>
                <w:kern w:val="44"/>
                <w:sz w:val="21"/>
                <w:szCs w:val="21"/>
              </w:rPr>
            </w:pPr>
            <w:r>
              <w:rPr>
                <w:rFonts w:eastAsia="宋体" w:cs="Times New Roman"/>
                <w:bCs/>
                <w:kern w:val="44"/>
                <w:sz w:val="21"/>
                <w:szCs w:val="21"/>
              </w:rPr>
              <w:t>CJ</w:t>
            </w:r>
          </w:p>
        </w:tc>
        <w:tc>
          <w:tcPr>
            <w:tcW w:w="1545" w:type="dxa"/>
            <w:vMerge w:val="restart"/>
            <w:tcBorders>
              <w:tl2br w:val="nil"/>
              <w:tr2bl w:val="nil"/>
            </w:tcBorders>
            <w:vAlign w:val="center"/>
          </w:tcPr>
          <w:p w14:paraId="110E1F15">
            <w:pPr>
              <w:tabs>
                <w:tab w:val="left" w:pos="1568"/>
              </w:tabs>
              <w:spacing w:line="240" w:lineRule="auto"/>
              <w:rPr>
                <w:rFonts w:eastAsia="宋体" w:cs="Times New Roman"/>
                <w:bCs/>
                <w:kern w:val="44"/>
                <w:sz w:val="21"/>
                <w:szCs w:val="21"/>
              </w:rPr>
            </w:pPr>
            <w:r>
              <w:rPr>
                <w:rFonts w:eastAsia="宋体" w:cs="Times New Roman"/>
                <w:bCs/>
                <w:kern w:val="44"/>
                <w:sz w:val="21"/>
                <w:szCs w:val="21"/>
              </w:rPr>
              <w:t>杂质在管道底部沉淀淤积</w:t>
            </w:r>
          </w:p>
        </w:tc>
        <w:tc>
          <w:tcPr>
            <w:tcW w:w="570" w:type="dxa"/>
            <w:tcBorders>
              <w:tl2br w:val="nil"/>
              <w:tr2bl w:val="nil"/>
            </w:tcBorders>
            <w:vAlign w:val="center"/>
          </w:tcPr>
          <w:p w14:paraId="546C4A44">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442" w:type="dxa"/>
            <w:tcBorders>
              <w:tl2br w:val="nil"/>
              <w:tr2bl w:val="nil"/>
            </w:tcBorders>
            <w:vAlign w:val="center"/>
          </w:tcPr>
          <w:p w14:paraId="3D144C39">
            <w:pPr>
              <w:tabs>
                <w:tab w:val="left" w:pos="1568"/>
              </w:tabs>
              <w:spacing w:line="240" w:lineRule="auto"/>
              <w:rPr>
                <w:rFonts w:eastAsia="宋体" w:cs="Times New Roman"/>
                <w:bCs/>
                <w:kern w:val="44"/>
                <w:sz w:val="21"/>
                <w:szCs w:val="21"/>
              </w:rPr>
            </w:pPr>
            <w:r>
              <w:rPr>
                <w:rFonts w:eastAsia="宋体" w:cs="Times New Roman"/>
                <w:bCs/>
                <w:kern w:val="44"/>
                <w:sz w:val="21"/>
                <w:szCs w:val="21"/>
              </w:rPr>
              <w:t>沉积物厚度不大于管道直径的10%</w:t>
            </w:r>
          </w:p>
        </w:tc>
        <w:tc>
          <w:tcPr>
            <w:tcW w:w="465" w:type="dxa"/>
            <w:tcBorders>
              <w:tl2br w:val="nil"/>
              <w:tr2bl w:val="nil"/>
            </w:tcBorders>
            <w:vAlign w:val="center"/>
          </w:tcPr>
          <w:p w14:paraId="0F71C2DE">
            <w:pPr>
              <w:tabs>
                <w:tab w:val="left" w:pos="1568"/>
              </w:tabs>
              <w:spacing w:line="240" w:lineRule="auto"/>
              <w:rPr>
                <w:rFonts w:eastAsia="宋体" w:cs="Times New Roman"/>
                <w:bCs/>
                <w:kern w:val="44"/>
                <w:sz w:val="21"/>
                <w:szCs w:val="21"/>
              </w:rPr>
            </w:pPr>
            <w:r>
              <w:rPr>
                <w:rFonts w:eastAsia="宋体" w:cs="Times New Roman"/>
                <w:bCs/>
                <w:kern w:val="44"/>
                <w:sz w:val="21"/>
                <w:szCs w:val="21"/>
              </w:rPr>
              <w:t>2</w:t>
            </w:r>
          </w:p>
        </w:tc>
        <w:tc>
          <w:tcPr>
            <w:tcW w:w="2024" w:type="dxa"/>
            <w:vMerge w:val="restart"/>
            <w:tcBorders>
              <w:tl2br w:val="nil"/>
              <w:tr2bl w:val="nil"/>
            </w:tcBorders>
            <w:vAlign w:val="center"/>
          </w:tcPr>
          <w:p w14:paraId="676E9025">
            <w:pPr>
              <w:tabs>
                <w:tab w:val="left" w:pos="1568"/>
              </w:tabs>
              <w:spacing w:line="240" w:lineRule="auto"/>
              <w:rPr>
                <w:rFonts w:eastAsia="宋体" w:cs="Times New Roman"/>
                <w:bCs/>
                <w:kern w:val="44"/>
                <w:sz w:val="21"/>
                <w:szCs w:val="21"/>
              </w:rPr>
            </w:pPr>
            <w:r>
              <w:rPr>
                <w:rFonts w:eastAsia="宋体" w:cs="Times New Roman"/>
                <w:bCs/>
                <w:kern w:val="44"/>
                <w:sz w:val="21"/>
                <w:szCs w:val="21"/>
              </w:rPr>
              <w:t>缺陷纵向距离长度不大于2m</w:t>
            </w: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r>
              <w:rPr>
                <w:rFonts w:eastAsia="宋体" w:cs="Times New Roman"/>
                <w:bCs/>
                <w:kern w:val="44"/>
                <w:sz w:val="21"/>
                <w:szCs w:val="21"/>
              </w:rPr>
              <w:t>；缺陷纵向距离大于或等于2m</w:t>
            </w:r>
            <w:r>
              <w:rPr>
                <w:rFonts w:hint="eastAsia" w:eastAsia="宋体" w:cs="Times New Roman"/>
                <w:bCs/>
                <w:kern w:val="44"/>
                <w:sz w:val="21"/>
                <w:szCs w:val="21"/>
              </w:rPr>
              <w:t>取</w:t>
            </w:r>
            <w:r>
              <w:rPr>
                <w:rFonts w:eastAsia="宋体" w:cs="Times New Roman"/>
                <w:bCs/>
                <w:kern w:val="44"/>
                <w:sz w:val="21"/>
                <w:szCs w:val="21"/>
              </w:rPr>
              <w:t>1.1</w:t>
            </w:r>
          </w:p>
        </w:tc>
      </w:tr>
      <w:tr w14:paraId="6DA2A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14:paraId="65987AFF">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14:paraId="646DBA3C">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14:paraId="47B750DD">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14:paraId="3317D488">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442" w:type="dxa"/>
            <w:tcBorders>
              <w:tl2br w:val="nil"/>
              <w:tr2bl w:val="nil"/>
            </w:tcBorders>
            <w:vAlign w:val="center"/>
          </w:tcPr>
          <w:p w14:paraId="6EE5B2C2">
            <w:pPr>
              <w:tabs>
                <w:tab w:val="left" w:pos="1568"/>
              </w:tabs>
              <w:spacing w:line="240" w:lineRule="auto"/>
              <w:rPr>
                <w:rFonts w:eastAsia="宋体" w:cs="Times New Roman"/>
                <w:bCs/>
                <w:kern w:val="44"/>
                <w:sz w:val="21"/>
                <w:szCs w:val="21"/>
              </w:rPr>
            </w:pPr>
            <w:r>
              <w:rPr>
                <w:rFonts w:eastAsia="宋体" w:cs="Times New Roman"/>
                <w:bCs/>
                <w:kern w:val="44"/>
                <w:sz w:val="21"/>
                <w:szCs w:val="21"/>
              </w:rPr>
              <w:t>沉积物厚度为管道直径的10%～20%</w:t>
            </w:r>
          </w:p>
        </w:tc>
        <w:tc>
          <w:tcPr>
            <w:tcW w:w="465" w:type="dxa"/>
            <w:tcBorders>
              <w:tl2br w:val="nil"/>
              <w:tr2bl w:val="nil"/>
            </w:tcBorders>
            <w:vAlign w:val="center"/>
          </w:tcPr>
          <w:p w14:paraId="79707044">
            <w:pPr>
              <w:tabs>
                <w:tab w:val="left" w:pos="1568"/>
              </w:tabs>
              <w:spacing w:line="240" w:lineRule="auto"/>
              <w:rPr>
                <w:rFonts w:eastAsia="宋体" w:cs="Times New Roman"/>
                <w:bCs/>
                <w:kern w:val="44"/>
                <w:sz w:val="21"/>
                <w:szCs w:val="21"/>
              </w:rPr>
            </w:pPr>
            <w:r>
              <w:rPr>
                <w:rFonts w:eastAsia="宋体" w:cs="Times New Roman"/>
                <w:bCs/>
                <w:kern w:val="44"/>
                <w:sz w:val="21"/>
                <w:szCs w:val="21"/>
              </w:rPr>
              <w:t>4</w:t>
            </w:r>
          </w:p>
        </w:tc>
        <w:tc>
          <w:tcPr>
            <w:tcW w:w="2024" w:type="dxa"/>
            <w:vMerge w:val="continue"/>
            <w:tcBorders>
              <w:tl2br w:val="nil"/>
              <w:tr2bl w:val="nil"/>
            </w:tcBorders>
            <w:vAlign w:val="center"/>
          </w:tcPr>
          <w:p w14:paraId="6CC3E562">
            <w:pPr>
              <w:tabs>
                <w:tab w:val="left" w:pos="1568"/>
              </w:tabs>
              <w:spacing w:line="240" w:lineRule="auto"/>
              <w:rPr>
                <w:rFonts w:eastAsia="宋体" w:cs="Times New Roman"/>
                <w:bCs/>
                <w:kern w:val="44"/>
                <w:sz w:val="21"/>
                <w:szCs w:val="21"/>
              </w:rPr>
            </w:pPr>
          </w:p>
        </w:tc>
      </w:tr>
      <w:tr w14:paraId="6207B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14:paraId="1F01930E">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14:paraId="7B30A1CC">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14:paraId="0D64E7DF">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14:paraId="20FE4026">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442" w:type="dxa"/>
            <w:tcBorders>
              <w:tl2br w:val="nil"/>
              <w:tr2bl w:val="nil"/>
            </w:tcBorders>
            <w:vAlign w:val="center"/>
          </w:tcPr>
          <w:p w14:paraId="2586D383">
            <w:pPr>
              <w:tabs>
                <w:tab w:val="left" w:pos="1568"/>
              </w:tabs>
              <w:spacing w:line="240" w:lineRule="auto"/>
              <w:rPr>
                <w:rFonts w:eastAsia="宋体" w:cs="Times New Roman"/>
                <w:bCs/>
                <w:kern w:val="44"/>
                <w:sz w:val="21"/>
                <w:szCs w:val="21"/>
              </w:rPr>
            </w:pPr>
            <w:r>
              <w:rPr>
                <w:rFonts w:eastAsia="宋体" w:cs="Times New Roman"/>
                <w:bCs/>
                <w:kern w:val="44"/>
                <w:sz w:val="21"/>
                <w:szCs w:val="21"/>
              </w:rPr>
              <w:t>沉积物厚度大于管道直径的20%</w:t>
            </w:r>
          </w:p>
        </w:tc>
        <w:tc>
          <w:tcPr>
            <w:tcW w:w="465" w:type="dxa"/>
            <w:tcBorders>
              <w:tl2br w:val="nil"/>
              <w:tr2bl w:val="nil"/>
            </w:tcBorders>
            <w:vAlign w:val="center"/>
          </w:tcPr>
          <w:p w14:paraId="427B0123">
            <w:pPr>
              <w:tabs>
                <w:tab w:val="left" w:pos="1568"/>
              </w:tabs>
              <w:spacing w:line="240" w:lineRule="auto"/>
              <w:rPr>
                <w:rFonts w:eastAsia="宋体" w:cs="Times New Roman"/>
                <w:bCs/>
                <w:kern w:val="44"/>
                <w:sz w:val="21"/>
                <w:szCs w:val="21"/>
              </w:rPr>
            </w:pPr>
            <w:r>
              <w:rPr>
                <w:rFonts w:eastAsia="宋体" w:cs="Times New Roman"/>
                <w:bCs/>
                <w:kern w:val="44"/>
                <w:sz w:val="21"/>
                <w:szCs w:val="21"/>
              </w:rPr>
              <w:t>5</w:t>
            </w:r>
          </w:p>
        </w:tc>
        <w:tc>
          <w:tcPr>
            <w:tcW w:w="2024" w:type="dxa"/>
            <w:vMerge w:val="continue"/>
            <w:tcBorders>
              <w:tl2br w:val="nil"/>
              <w:tr2bl w:val="nil"/>
            </w:tcBorders>
            <w:vAlign w:val="center"/>
          </w:tcPr>
          <w:p w14:paraId="15F879A1">
            <w:pPr>
              <w:tabs>
                <w:tab w:val="left" w:pos="1568"/>
              </w:tabs>
              <w:spacing w:line="240" w:lineRule="auto"/>
              <w:rPr>
                <w:rFonts w:eastAsia="宋体" w:cs="Times New Roman"/>
                <w:bCs/>
                <w:kern w:val="44"/>
                <w:sz w:val="21"/>
                <w:szCs w:val="21"/>
              </w:rPr>
            </w:pPr>
          </w:p>
        </w:tc>
      </w:tr>
      <w:tr w14:paraId="62E2B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104" w:type="dxa"/>
            <w:vMerge w:val="restart"/>
            <w:tcBorders>
              <w:tl2br w:val="nil"/>
              <w:tr2bl w:val="nil"/>
            </w:tcBorders>
            <w:vAlign w:val="center"/>
          </w:tcPr>
          <w:p w14:paraId="4FAB4330">
            <w:pPr>
              <w:tabs>
                <w:tab w:val="left" w:pos="1568"/>
              </w:tabs>
              <w:spacing w:line="240" w:lineRule="auto"/>
              <w:rPr>
                <w:rFonts w:eastAsia="宋体" w:cs="Times New Roman"/>
                <w:bCs/>
                <w:kern w:val="44"/>
                <w:sz w:val="21"/>
                <w:szCs w:val="21"/>
              </w:rPr>
            </w:pPr>
            <w:r>
              <w:rPr>
                <w:rFonts w:eastAsia="宋体" w:cs="Times New Roman"/>
                <w:bCs/>
                <w:kern w:val="44"/>
                <w:sz w:val="21"/>
                <w:szCs w:val="21"/>
              </w:rPr>
              <w:t>气囊</w:t>
            </w:r>
          </w:p>
        </w:tc>
        <w:tc>
          <w:tcPr>
            <w:tcW w:w="645" w:type="dxa"/>
            <w:vMerge w:val="restart"/>
            <w:tcBorders>
              <w:tl2br w:val="nil"/>
              <w:tr2bl w:val="nil"/>
            </w:tcBorders>
            <w:vAlign w:val="center"/>
          </w:tcPr>
          <w:p w14:paraId="2ADA7B11">
            <w:pPr>
              <w:tabs>
                <w:tab w:val="left" w:pos="1568"/>
              </w:tabs>
              <w:spacing w:line="240" w:lineRule="auto"/>
              <w:rPr>
                <w:rFonts w:eastAsia="宋体" w:cs="Times New Roman"/>
                <w:bCs/>
                <w:kern w:val="44"/>
                <w:sz w:val="21"/>
                <w:szCs w:val="21"/>
              </w:rPr>
            </w:pPr>
            <w:r>
              <w:rPr>
                <w:rFonts w:eastAsia="宋体" w:cs="Times New Roman"/>
                <w:bCs/>
                <w:kern w:val="44"/>
                <w:sz w:val="21"/>
                <w:szCs w:val="21"/>
              </w:rPr>
              <w:t>QN</w:t>
            </w:r>
          </w:p>
        </w:tc>
        <w:tc>
          <w:tcPr>
            <w:tcW w:w="1545" w:type="dxa"/>
            <w:vMerge w:val="restart"/>
            <w:tcBorders>
              <w:tl2br w:val="nil"/>
              <w:tr2bl w:val="nil"/>
            </w:tcBorders>
            <w:vAlign w:val="center"/>
          </w:tcPr>
          <w:p w14:paraId="2D3D5AF2">
            <w:pPr>
              <w:tabs>
                <w:tab w:val="left" w:pos="1568"/>
              </w:tabs>
              <w:spacing w:line="240" w:lineRule="auto"/>
              <w:rPr>
                <w:rFonts w:eastAsia="宋体" w:cs="Times New Roman"/>
                <w:bCs/>
                <w:kern w:val="44"/>
                <w:sz w:val="21"/>
                <w:szCs w:val="21"/>
              </w:rPr>
            </w:pPr>
            <w:r>
              <w:rPr>
                <w:rFonts w:eastAsia="宋体" w:cs="Times New Roman"/>
                <w:bCs/>
                <w:kern w:val="44"/>
                <w:sz w:val="21"/>
                <w:szCs w:val="21"/>
              </w:rPr>
              <w:t>管道滞留气体无法排出</w:t>
            </w:r>
          </w:p>
        </w:tc>
        <w:tc>
          <w:tcPr>
            <w:tcW w:w="570" w:type="dxa"/>
            <w:tcBorders>
              <w:tl2br w:val="nil"/>
              <w:tr2bl w:val="nil"/>
            </w:tcBorders>
            <w:vAlign w:val="center"/>
          </w:tcPr>
          <w:p w14:paraId="336AF820">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442" w:type="dxa"/>
            <w:tcBorders>
              <w:tl2br w:val="nil"/>
              <w:tr2bl w:val="nil"/>
            </w:tcBorders>
            <w:vAlign w:val="center"/>
          </w:tcPr>
          <w:p w14:paraId="04DA5E86">
            <w:pPr>
              <w:tabs>
                <w:tab w:val="left" w:pos="1568"/>
              </w:tabs>
              <w:spacing w:line="240" w:lineRule="auto"/>
              <w:rPr>
                <w:rFonts w:eastAsia="宋体" w:cs="Times New Roman"/>
                <w:bCs/>
                <w:kern w:val="44"/>
                <w:sz w:val="21"/>
                <w:szCs w:val="21"/>
              </w:rPr>
            </w:pPr>
            <w:r>
              <w:rPr>
                <w:rFonts w:eastAsia="宋体" w:cs="Times New Roman"/>
                <w:bCs/>
                <w:kern w:val="44"/>
                <w:sz w:val="21"/>
                <w:szCs w:val="21"/>
              </w:rPr>
              <w:t>气囊不大于管道直径的10%</w:t>
            </w:r>
          </w:p>
        </w:tc>
        <w:tc>
          <w:tcPr>
            <w:tcW w:w="465" w:type="dxa"/>
            <w:tcBorders>
              <w:tl2br w:val="nil"/>
              <w:tr2bl w:val="nil"/>
            </w:tcBorders>
            <w:vAlign w:val="center"/>
          </w:tcPr>
          <w:p w14:paraId="11B55B19">
            <w:pPr>
              <w:tabs>
                <w:tab w:val="left" w:pos="1568"/>
              </w:tabs>
              <w:spacing w:line="240" w:lineRule="auto"/>
              <w:rPr>
                <w:rFonts w:eastAsia="宋体" w:cs="Times New Roman"/>
                <w:bCs/>
                <w:kern w:val="44"/>
                <w:sz w:val="21"/>
                <w:szCs w:val="21"/>
              </w:rPr>
            </w:pPr>
            <w:r>
              <w:rPr>
                <w:rFonts w:eastAsia="宋体" w:cs="Times New Roman"/>
                <w:bCs/>
                <w:kern w:val="44"/>
                <w:sz w:val="21"/>
                <w:szCs w:val="21"/>
              </w:rPr>
              <w:t>3</w:t>
            </w:r>
          </w:p>
        </w:tc>
        <w:tc>
          <w:tcPr>
            <w:tcW w:w="2024" w:type="dxa"/>
            <w:vMerge w:val="restart"/>
            <w:tcBorders>
              <w:tl2br w:val="nil"/>
              <w:tr2bl w:val="nil"/>
            </w:tcBorders>
            <w:vAlign w:val="center"/>
          </w:tcPr>
          <w:p w14:paraId="2A2A1076">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缺陷纵向距离长度不大于4m取1.0；缺陷纵向距离4m～9m取1.1，缺陷纵向距离大于或等于9m取1.2</w:t>
            </w:r>
          </w:p>
        </w:tc>
      </w:tr>
      <w:tr w14:paraId="0DDFA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104" w:type="dxa"/>
            <w:vMerge w:val="continue"/>
            <w:tcBorders>
              <w:tl2br w:val="nil"/>
              <w:tr2bl w:val="nil"/>
            </w:tcBorders>
            <w:vAlign w:val="center"/>
          </w:tcPr>
          <w:p w14:paraId="56DE53BD">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14:paraId="5B00B03B">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14:paraId="6A187EBA">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14:paraId="7E2DFD28">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442" w:type="dxa"/>
            <w:tcBorders>
              <w:tl2br w:val="nil"/>
              <w:tr2bl w:val="nil"/>
            </w:tcBorders>
            <w:vAlign w:val="center"/>
          </w:tcPr>
          <w:p w14:paraId="2E083F44">
            <w:pPr>
              <w:tabs>
                <w:tab w:val="left" w:pos="1568"/>
              </w:tabs>
              <w:spacing w:line="240" w:lineRule="auto"/>
              <w:rPr>
                <w:rFonts w:eastAsia="宋体" w:cs="Times New Roman"/>
                <w:bCs/>
                <w:kern w:val="44"/>
                <w:sz w:val="21"/>
                <w:szCs w:val="21"/>
              </w:rPr>
            </w:pPr>
            <w:r>
              <w:rPr>
                <w:rFonts w:eastAsia="宋体" w:cs="Times New Roman"/>
                <w:bCs/>
                <w:kern w:val="44"/>
                <w:sz w:val="21"/>
                <w:szCs w:val="21"/>
              </w:rPr>
              <w:t>气囊为管道直径的10%～30%</w:t>
            </w:r>
          </w:p>
        </w:tc>
        <w:tc>
          <w:tcPr>
            <w:tcW w:w="465" w:type="dxa"/>
            <w:tcBorders>
              <w:tl2br w:val="nil"/>
              <w:tr2bl w:val="nil"/>
            </w:tcBorders>
            <w:vAlign w:val="center"/>
          </w:tcPr>
          <w:p w14:paraId="7F8965E7">
            <w:pPr>
              <w:tabs>
                <w:tab w:val="left" w:pos="1568"/>
              </w:tabs>
              <w:spacing w:line="240" w:lineRule="auto"/>
              <w:rPr>
                <w:rFonts w:eastAsia="宋体" w:cs="Times New Roman"/>
                <w:bCs/>
                <w:kern w:val="44"/>
                <w:sz w:val="21"/>
                <w:szCs w:val="21"/>
              </w:rPr>
            </w:pPr>
            <w:r>
              <w:rPr>
                <w:rFonts w:eastAsia="宋体" w:cs="Times New Roman"/>
                <w:bCs/>
                <w:kern w:val="44"/>
                <w:sz w:val="21"/>
                <w:szCs w:val="21"/>
              </w:rPr>
              <w:t>6</w:t>
            </w:r>
          </w:p>
        </w:tc>
        <w:tc>
          <w:tcPr>
            <w:tcW w:w="2024" w:type="dxa"/>
            <w:vMerge w:val="continue"/>
            <w:tcBorders>
              <w:tl2br w:val="nil"/>
              <w:tr2bl w:val="nil"/>
            </w:tcBorders>
            <w:vAlign w:val="center"/>
          </w:tcPr>
          <w:p w14:paraId="50EC7B0C">
            <w:pPr>
              <w:tabs>
                <w:tab w:val="left" w:pos="1568"/>
              </w:tabs>
              <w:spacing w:line="240" w:lineRule="auto"/>
              <w:rPr>
                <w:rFonts w:eastAsia="宋体" w:cs="Times New Roman"/>
                <w:bCs/>
                <w:kern w:val="44"/>
                <w:sz w:val="21"/>
                <w:szCs w:val="21"/>
              </w:rPr>
            </w:pPr>
          </w:p>
        </w:tc>
      </w:tr>
      <w:tr w14:paraId="36B2B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14:paraId="443355EA">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14:paraId="400B78EB">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14:paraId="7ECCF0FD">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14:paraId="4A98C19A">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442" w:type="dxa"/>
            <w:tcBorders>
              <w:tl2br w:val="nil"/>
              <w:tr2bl w:val="nil"/>
            </w:tcBorders>
            <w:vAlign w:val="center"/>
          </w:tcPr>
          <w:p w14:paraId="70794CF9">
            <w:pPr>
              <w:tabs>
                <w:tab w:val="left" w:pos="1568"/>
              </w:tabs>
              <w:spacing w:line="240" w:lineRule="auto"/>
              <w:rPr>
                <w:rFonts w:eastAsia="宋体" w:cs="Times New Roman"/>
                <w:bCs/>
                <w:kern w:val="44"/>
                <w:sz w:val="21"/>
                <w:szCs w:val="21"/>
              </w:rPr>
            </w:pPr>
            <w:r>
              <w:rPr>
                <w:rFonts w:eastAsia="宋体" w:cs="Times New Roman"/>
                <w:bCs/>
                <w:kern w:val="44"/>
                <w:sz w:val="21"/>
                <w:szCs w:val="21"/>
              </w:rPr>
              <w:t>气囊大于管道直径的30％</w:t>
            </w:r>
          </w:p>
        </w:tc>
        <w:tc>
          <w:tcPr>
            <w:tcW w:w="465" w:type="dxa"/>
            <w:tcBorders>
              <w:tl2br w:val="nil"/>
              <w:tr2bl w:val="nil"/>
            </w:tcBorders>
            <w:vAlign w:val="center"/>
          </w:tcPr>
          <w:p w14:paraId="359668C4">
            <w:pPr>
              <w:tabs>
                <w:tab w:val="left" w:pos="1568"/>
              </w:tabs>
              <w:spacing w:line="240" w:lineRule="auto"/>
              <w:rPr>
                <w:rFonts w:eastAsia="宋体" w:cs="Times New Roman"/>
                <w:bCs/>
                <w:kern w:val="44"/>
                <w:sz w:val="21"/>
                <w:szCs w:val="21"/>
              </w:rPr>
            </w:pPr>
            <w:r>
              <w:rPr>
                <w:rFonts w:eastAsia="宋体" w:cs="Times New Roman"/>
                <w:bCs/>
                <w:kern w:val="44"/>
                <w:sz w:val="21"/>
                <w:szCs w:val="21"/>
              </w:rPr>
              <w:t>10</w:t>
            </w:r>
          </w:p>
        </w:tc>
        <w:tc>
          <w:tcPr>
            <w:tcW w:w="2024" w:type="dxa"/>
            <w:vMerge w:val="continue"/>
            <w:tcBorders>
              <w:tl2br w:val="nil"/>
              <w:tr2bl w:val="nil"/>
            </w:tcBorders>
            <w:vAlign w:val="center"/>
          </w:tcPr>
          <w:p w14:paraId="788BE617">
            <w:pPr>
              <w:tabs>
                <w:tab w:val="left" w:pos="1568"/>
              </w:tabs>
              <w:spacing w:line="240" w:lineRule="auto"/>
              <w:rPr>
                <w:rFonts w:eastAsia="宋体" w:cs="Times New Roman"/>
                <w:bCs/>
                <w:kern w:val="44"/>
                <w:sz w:val="21"/>
                <w:szCs w:val="21"/>
              </w:rPr>
            </w:pPr>
          </w:p>
        </w:tc>
      </w:tr>
      <w:tr w14:paraId="01208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04" w:type="dxa"/>
            <w:vMerge w:val="restart"/>
            <w:tcBorders>
              <w:tl2br w:val="nil"/>
              <w:tr2bl w:val="nil"/>
            </w:tcBorders>
            <w:vAlign w:val="center"/>
          </w:tcPr>
          <w:p w14:paraId="38F310C1">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悬浮物</w:t>
            </w:r>
          </w:p>
        </w:tc>
        <w:tc>
          <w:tcPr>
            <w:tcW w:w="645" w:type="dxa"/>
            <w:vMerge w:val="restart"/>
            <w:tcBorders>
              <w:tl2br w:val="nil"/>
              <w:tr2bl w:val="nil"/>
            </w:tcBorders>
            <w:vAlign w:val="center"/>
          </w:tcPr>
          <w:p w14:paraId="38E98A26">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X</w:t>
            </w:r>
            <w:r>
              <w:rPr>
                <w:rFonts w:eastAsia="宋体" w:cs="Times New Roman"/>
                <w:bCs/>
                <w:kern w:val="44"/>
                <w:sz w:val="21"/>
                <w:szCs w:val="21"/>
              </w:rPr>
              <w:t>F</w:t>
            </w:r>
          </w:p>
        </w:tc>
        <w:tc>
          <w:tcPr>
            <w:tcW w:w="1545" w:type="dxa"/>
            <w:vMerge w:val="restart"/>
            <w:tcBorders>
              <w:tl2br w:val="nil"/>
              <w:tr2bl w:val="nil"/>
            </w:tcBorders>
            <w:vAlign w:val="center"/>
          </w:tcPr>
          <w:p w14:paraId="582F8368">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管道内悬浮在水中的固体物质，包括不溶于水中的无机物、有机物及泥沙、黏土、微生物等</w:t>
            </w:r>
          </w:p>
        </w:tc>
        <w:tc>
          <w:tcPr>
            <w:tcW w:w="570" w:type="dxa"/>
            <w:tcBorders>
              <w:tl2br w:val="nil"/>
              <w:tr2bl w:val="nil"/>
            </w:tcBorders>
            <w:vAlign w:val="center"/>
          </w:tcPr>
          <w:p w14:paraId="09434DB5">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1</w:t>
            </w:r>
          </w:p>
        </w:tc>
        <w:tc>
          <w:tcPr>
            <w:tcW w:w="2442" w:type="dxa"/>
            <w:tcBorders>
              <w:tl2br w:val="nil"/>
              <w:tr2bl w:val="nil"/>
            </w:tcBorders>
            <w:vAlign w:val="center"/>
          </w:tcPr>
          <w:p w14:paraId="6A557E4F">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水质清</w:t>
            </w:r>
            <w:r>
              <w:rPr>
                <w:rFonts w:hint="eastAsia" w:eastAsia="宋体" w:cs="Times New Roman"/>
                <w:bCs/>
                <w:kern w:val="44"/>
                <w:sz w:val="21"/>
                <w:szCs w:val="21"/>
                <w:lang w:eastAsia="zh-CN"/>
              </w:rPr>
              <w:t>澈</w:t>
            </w:r>
            <w:r>
              <w:rPr>
                <w:rFonts w:hint="eastAsia" w:eastAsia="宋体" w:cs="Times New Roman"/>
                <w:bCs/>
                <w:kern w:val="44"/>
                <w:sz w:val="21"/>
                <w:szCs w:val="21"/>
              </w:rPr>
              <w:t>，少量悬浮物质</w:t>
            </w:r>
          </w:p>
        </w:tc>
        <w:tc>
          <w:tcPr>
            <w:tcW w:w="465" w:type="dxa"/>
            <w:tcBorders>
              <w:tl2br w:val="nil"/>
              <w:tr2bl w:val="nil"/>
            </w:tcBorders>
            <w:vAlign w:val="center"/>
          </w:tcPr>
          <w:p w14:paraId="0E752EE1">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1</w:t>
            </w:r>
          </w:p>
        </w:tc>
        <w:tc>
          <w:tcPr>
            <w:tcW w:w="2024" w:type="dxa"/>
            <w:vMerge w:val="restart"/>
            <w:tcBorders>
              <w:tl2br w:val="nil"/>
              <w:tr2bl w:val="nil"/>
            </w:tcBorders>
            <w:vAlign w:val="center"/>
          </w:tcPr>
          <w:p w14:paraId="39FEAEA1">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取</w:t>
            </w:r>
            <w:r>
              <w:rPr>
                <w:rFonts w:eastAsia="宋体" w:cs="Times New Roman"/>
                <w:bCs/>
                <w:kern w:val="44"/>
                <w:sz w:val="21"/>
                <w:szCs w:val="21"/>
              </w:rPr>
              <w:t>1</w:t>
            </w:r>
            <w:r>
              <w:rPr>
                <w:rFonts w:hint="eastAsia" w:eastAsia="宋体" w:cs="Times New Roman"/>
                <w:bCs/>
                <w:kern w:val="44"/>
                <w:sz w:val="21"/>
                <w:szCs w:val="21"/>
              </w:rPr>
              <w:t>.0</w:t>
            </w:r>
          </w:p>
        </w:tc>
      </w:tr>
      <w:tr w14:paraId="4BE2B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04" w:type="dxa"/>
            <w:vMerge w:val="continue"/>
            <w:tcBorders>
              <w:tl2br w:val="nil"/>
              <w:tr2bl w:val="nil"/>
            </w:tcBorders>
            <w:vAlign w:val="center"/>
          </w:tcPr>
          <w:p w14:paraId="6879536B">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14:paraId="66CB766E">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14:paraId="1B08210E">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14:paraId="06639A1B">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2</w:t>
            </w:r>
          </w:p>
        </w:tc>
        <w:tc>
          <w:tcPr>
            <w:tcW w:w="2442" w:type="dxa"/>
            <w:tcBorders>
              <w:tl2br w:val="nil"/>
              <w:tr2bl w:val="nil"/>
            </w:tcBorders>
            <w:vAlign w:val="center"/>
          </w:tcPr>
          <w:p w14:paraId="3D7FAE7A">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水质较清</w:t>
            </w:r>
            <w:r>
              <w:rPr>
                <w:rFonts w:hint="eastAsia" w:eastAsia="宋体" w:cs="Times New Roman"/>
                <w:bCs/>
                <w:kern w:val="44"/>
                <w:sz w:val="21"/>
                <w:szCs w:val="21"/>
                <w:lang w:eastAsia="zh-CN"/>
              </w:rPr>
              <w:t>澈</w:t>
            </w:r>
            <w:r>
              <w:rPr>
                <w:rFonts w:hint="eastAsia" w:eastAsia="宋体" w:cs="Times New Roman"/>
                <w:bCs/>
                <w:kern w:val="44"/>
                <w:sz w:val="21"/>
                <w:szCs w:val="21"/>
              </w:rPr>
              <w:t>，较多的悬浮物质</w:t>
            </w:r>
          </w:p>
        </w:tc>
        <w:tc>
          <w:tcPr>
            <w:tcW w:w="465" w:type="dxa"/>
            <w:tcBorders>
              <w:tl2br w:val="nil"/>
              <w:tr2bl w:val="nil"/>
            </w:tcBorders>
            <w:vAlign w:val="center"/>
          </w:tcPr>
          <w:p w14:paraId="0D6FBBD3">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4</w:t>
            </w:r>
          </w:p>
        </w:tc>
        <w:tc>
          <w:tcPr>
            <w:tcW w:w="2024" w:type="dxa"/>
            <w:vMerge w:val="continue"/>
            <w:tcBorders>
              <w:tl2br w:val="nil"/>
              <w:tr2bl w:val="nil"/>
            </w:tcBorders>
            <w:vAlign w:val="center"/>
          </w:tcPr>
          <w:p w14:paraId="7808B31D">
            <w:pPr>
              <w:tabs>
                <w:tab w:val="left" w:pos="1568"/>
              </w:tabs>
              <w:spacing w:line="240" w:lineRule="auto"/>
              <w:rPr>
                <w:rFonts w:eastAsia="宋体" w:cs="Times New Roman"/>
                <w:bCs/>
                <w:kern w:val="44"/>
                <w:sz w:val="21"/>
                <w:szCs w:val="21"/>
              </w:rPr>
            </w:pPr>
          </w:p>
        </w:tc>
      </w:tr>
      <w:tr w14:paraId="64AF07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4" w:type="dxa"/>
            <w:vMerge w:val="continue"/>
            <w:tcBorders>
              <w:tl2br w:val="nil"/>
              <w:tr2bl w:val="nil"/>
            </w:tcBorders>
            <w:vAlign w:val="center"/>
          </w:tcPr>
          <w:p w14:paraId="017C0672">
            <w:pPr>
              <w:tabs>
                <w:tab w:val="left" w:pos="1568"/>
              </w:tabs>
              <w:spacing w:line="240" w:lineRule="auto"/>
              <w:rPr>
                <w:rFonts w:eastAsia="宋体" w:cs="Times New Roman"/>
                <w:bCs/>
                <w:kern w:val="44"/>
                <w:sz w:val="21"/>
                <w:szCs w:val="21"/>
              </w:rPr>
            </w:pPr>
          </w:p>
        </w:tc>
        <w:tc>
          <w:tcPr>
            <w:tcW w:w="645" w:type="dxa"/>
            <w:vMerge w:val="continue"/>
            <w:tcBorders>
              <w:tl2br w:val="nil"/>
              <w:tr2bl w:val="nil"/>
            </w:tcBorders>
            <w:vAlign w:val="center"/>
          </w:tcPr>
          <w:p w14:paraId="176A5A4B">
            <w:pPr>
              <w:tabs>
                <w:tab w:val="left" w:pos="1568"/>
              </w:tabs>
              <w:spacing w:line="240" w:lineRule="auto"/>
              <w:rPr>
                <w:rFonts w:eastAsia="宋体" w:cs="Times New Roman"/>
                <w:bCs/>
                <w:kern w:val="44"/>
                <w:sz w:val="21"/>
                <w:szCs w:val="21"/>
              </w:rPr>
            </w:pPr>
          </w:p>
        </w:tc>
        <w:tc>
          <w:tcPr>
            <w:tcW w:w="1545" w:type="dxa"/>
            <w:vMerge w:val="continue"/>
            <w:tcBorders>
              <w:tl2br w:val="nil"/>
              <w:tr2bl w:val="nil"/>
            </w:tcBorders>
            <w:vAlign w:val="center"/>
          </w:tcPr>
          <w:p w14:paraId="458D6681">
            <w:pPr>
              <w:tabs>
                <w:tab w:val="left" w:pos="1568"/>
              </w:tabs>
              <w:spacing w:line="240" w:lineRule="auto"/>
              <w:rPr>
                <w:rFonts w:eastAsia="宋体" w:cs="Times New Roman"/>
                <w:bCs/>
                <w:kern w:val="44"/>
                <w:sz w:val="21"/>
                <w:szCs w:val="21"/>
              </w:rPr>
            </w:pPr>
          </w:p>
        </w:tc>
        <w:tc>
          <w:tcPr>
            <w:tcW w:w="570" w:type="dxa"/>
            <w:tcBorders>
              <w:tl2br w:val="nil"/>
              <w:tr2bl w:val="nil"/>
            </w:tcBorders>
            <w:vAlign w:val="center"/>
          </w:tcPr>
          <w:p w14:paraId="151F1926">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3</w:t>
            </w:r>
          </w:p>
        </w:tc>
        <w:tc>
          <w:tcPr>
            <w:tcW w:w="2442" w:type="dxa"/>
            <w:tcBorders>
              <w:tl2br w:val="nil"/>
              <w:tr2bl w:val="nil"/>
            </w:tcBorders>
            <w:vAlign w:val="center"/>
          </w:tcPr>
          <w:p w14:paraId="5002780A">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水质较混浊，较多的悬浮物质</w:t>
            </w:r>
          </w:p>
        </w:tc>
        <w:tc>
          <w:tcPr>
            <w:tcW w:w="465" w:type="dxa"/>
            <w:tcBorders>
              <w:tl2br w:val="nil"/>
              <w:tr2bl w:val="nil"/>
            </w:tcBorders>
            <w:vAlign w:val="center"/>
          </w:tcPr>
          <w:p w14:paraId="535C02E2">
            <w:pPr>
              <w:tabs>
                <w:tab w:val="left" w:pos="1568"/>
              </w:tabs>
              <w:spacing w:line="240" w:lineRule="auto"/>
              <w:rPr>
                <w:rFonts w:eastAsia="宋体" w:cs="Times New Roman"/>
                <w:bCs/>
                <w:kern w:val="44"/>
                <w:sz w:val="21"/>
                <w:szCs w:val="21"/>
              </w:rPr>
            </w:pPr>
            <w:r>
              <w:rPr>
                <w:rFonts w:hint="eastAsia" w:eastAsia="宋体" w:cs="Times New Roman"/>
                <w:bCs/>
                <w:kern w:val="44"/>
                <w:sz w:val="21"/>
                <w:szCs w:val="21"/>
              </w:rPr>
              <w:t>7</w:t>
            </w:r>
          </w:p>
        </w:tc>
        <w:tc>
          <w:tcPr>
            <w:tcW w:w="2024" w:type="dxa"/>
            <w:vMerge w:val="continue"/>
            <w:tcBorders>
              <w:tl2br w:val="nil"/>
              <w:tr2bl w:val="nil"/>
            </w:tcBorders>
            <w:vAlign w:val="center"/>
          </w:tcPr>
          <w:p w14:paraId="1D6AE0D9">
            <w:pPr>
              <w:tabs>
                <w:tab w:val="left" w:pos="1568"/>
              </w:tabs>
              <w:spacing w:line="240" w:lineRule="auto"/>
              <w:rPr>
                <w:rFonts w:eastAsia="宋体" w:cs="Times New Roman"/>
                <w:bCs/>
                <w:kern w:val="44"/>
                <w:sz w:val="21"/>
                <w:szCs w:val="21"/>
              </w:rPr>
            </w:pPr>
          </w:p>
        </w:tc>
      </w:tr>
    </w:tbl>
    <w:p w14:paraId="24E6623F">
      <w:pPr>
        <w:spacing w:before="156" w:after="156"/>
      </w:pPr>
      <w:bookmarkStart w:id="335" w:name="_Toc19870"/>
      <w:bookmarkStart w:id="336" w:name="_Toc20573"/>
      <w:bookmarkStart w:id="337" w:name="_Toc26275"/>
      <w:bookmarkStart w:id="338" w:name="_Toc30938"/>
      <w:bookmarkStart w:id="339" w:name="_Toc31140"/>
      <w:bookmarkStart w:id="340" w:name="_Toc4700"/>
    </w:p>
    <w:p w14:paraId="6FFD5444">
      <w:pPr>
        <w:pStyle w:val="5"/>
      </w:pPr>
      <w:bookmarkStart w:id="341" w:name="_Toc181825580"/>
      <w:r>
        <w:rPr>
          <w:rFonts w:hint="eastAsia"/>
        </w:rPr>
        <w:t>10.3　结构性状况评估</w:t>
      </w:r>
      <w:bookmarkEnd w:id="335"/>
      <w:bookmarkEnd w:id="336"/>
      <w:bookmarkEnd w:id="337"/>
      <w:bookmarkEnd w:id="338"/>
      <w:bookmarkEnd w:id="339"/>
      <w:bookmarkEnd w:id="340"/>
      <w:bookmarkEnd w:id="341"/>
    </w:p>
    <w:p w14:paraId="213FB748">
      <w:r>
        <w:rPr>
          <w:rFonts w:hint="eastAsia"/>
          <w:b/>
          <w:bCs/>
        </w:rPr>
        <w:t>10.3.1　</w:t>
      </w:r>
      <w:r>
        <w:t>结构性</w:t>
      </w:r>
      <w:r>
        <w:rPr>
          <w:rFonts w:hint="eastAsia"/>
        </w:rPr>
        <w:t>缺陷</w:t>
      </w:r>
      <w:r>
        <w:t>状况评估分值</w:t>
      </w:r>
      <w:r>
        <w:rPr>
          <w:rFonts w:hint="eastAsia"/>
        </w:rPr>
        <w:t>应按下式计算：</w:t>
      </w:r>
    </w:p>
    <w:p w14:paraId="363A489E">
      <w:pPr>
        <w:jc w:val="right"/>
        <w:rPr>
          <w:rFonts w:ascii="宋体" w:hAnsi="宋体" w:eastAsia="宋体"/>
          <w:kern w:val="0"/>
          <w:szCs w:val="21"/>
        </w:rPr>
      </w:pPr>
      <m:oMath>
        <m:r>
          <m:rPr/>
          <w:rPr>
            <w:rFonts w:ascii="Cambria Math" w:hAnsi="Cambria Math"/>
            <w:kern w:val="0"/>
            <w:szCs w:val="21"/>
          </w:rPr>
          <m:t>F=</m:t>
        </m:r>
        <m:d>
          <m:dPr>
            <m:begChr m:val="{"/>
            <m:endChr m:val=""/>
            <m:ctrlPr>
              <w:rPr>
                <w:rFonts w:ascii="Cambria Math" w:hAnsi="Cambria Math"/>
                <w:i/>
                <w:kern w:val="0"/>
                <w:szCs w:val="21"/>
              </w:rPr>
            </m:ctrlPr>
          </m:dPr>
          <m:e>
            <m:eqArr>
              <m:eqArrPr>
                <m:ctrlPr>
                  <w:rPr>
                    <w:rFonts w:ascii="Cambria Math" w:hAnsi="Cambria Math"/>
                    <w:i/>
                    <w:kern w:val="0"/>
                    <w:szCs w:val="21"/>
                  </w:rPr>
                </m:ctrlPr>
              </m:eqArrPr>
              <m:e>
                <m:r>
                  <m:rPr/>
                  <w:rPr>
                    <w:rFonts w:ascii="Cambria Math" w:hAnsi="Cambria Math" w:cs="Times New Roman"/>
                  </w:rPr>
                  <m:t>S</m:t>
                </m:r>
                <m:r>
                  <m:rPr>
                    <m:sty m:val="p"/>
                  </m:rPr>
                  <w:rPr>
                    <w:rFonts w:ascii="Cambria Math" w:hAnsi="Cambria Math"/>
                    <w:kern w:val="0"/>
                    <w:szCs w:val="21"/>
                  </w:rPr>
                  <m:t>,</m:t>
                </m:r>
                <m:sSub>
                  <m:sSubPr>
                    <m:ctrlPr>
                      <w:rPr>
                        <w:rFonts w:ascii="Cambria Math" w:hAnsi="Cambria Math" w:cs="Times New Roman"/>
                        <w:i/>
                      </w:rPr>
                    </m:ctrlPr>
                  </m:sSubPr>
                  <m:e>
                    <m:r>
                      <m:rPr/>
                      <w:rPr>
                        <w:rFonts w:hint="default" w:ascii="Cambria Math" w:hAnsi="Cambria Math" w:cs="Times New Roman"/>
                        <w:lang w:val="en-US" w:eastAsia="zh-CN"/>
                      </w:rPr>
                      <m:t xml:space="preserve">              </m:t>
                    </m:r>
                    <m:r>
                      <m:rPr/>
                      <w:rPr>
                        <w:rFonts w:ascii="Cambria Math" w:hAnsi="Cambria Math" w:cs="Times New Roman"/>
                      </w:rPr>
                      <m:t xml:space="preserve"> S</m:t>
                    </m:r>
                    <m:ctrlPr>
                      <w:rPr>
                        <w:rFonts w:ascii="Cambria Math" w:hAnsi="Cambria Math" w:cs="Times New Roman"/>
                        <w:i/>
                      </w:rPr>
                    </m:ctrlPr>
                  </m:e>
                  <m:sub>
                    <m:r>
                      <m:rPr/>
                      <w:rPr>
                        <w:rFonts w:ascii="Cambria Math" w:hAnsi="Cambria Math" w:cs="Times New Roman"/>
                      </w:rPr>
                      <m:t>max</m:t>
                    </m:r>
                    <m:ctrlPr>
                      <w:rPr>
                        <w:rFonts w:ascii="Cambria Math" w:hAnsi="Cambria Math" w:cs="Times New Roman"/>
                        <w:i/>
                      </w:rPr>
                    </m:ctrlPr>
                  </m:sub>
                </m:sSub>
                <m:r>
                  <m:rPr/>
                  <w:rPr>
                    <w:rFonts w:ascii="Cambria Math" w:hAnsi="Cambria Math" w:cs="Times New Roman"/>
                  </w:rPr>
                  <m:t>&lt;S</m:t>
                </m:r>
                <m:ctrlPr>
                  <w:rPr>
                    <w:rFonts w:ascii="Cambria Math" w:hAnsi="Cambria Math"/>
                    <w:i/>
                    <w:kern w:val="0"/>
                    <w:szCs w:val="21"/>
                  </w:rPr>
                </m:ctrlPr>
              </m:e>
              <m:e>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max</m:t>
                    </m:r>
                    <m:ctrlPr>
                      <w:rPr>
                        <w:rFonts w:ascii="Cambria Math" w:hAnsi="Cambria Math"/>
                        <w:i/>
                      </w:rPr>
                    </m:ctrlPr>
                  </m:sub>
                </m:sSub>
                <m:r>
                  <m:rPr>
                    <m:sty m:val="p"/>
                  </m:rPr>
                  <w:rPr>
                    <w:rFonts w:ascii="Cambria Math" w:hAnsi="Cambria Math"/>
                  </w:rPr>
                  <m:t>,</m:t>
                </m:r>
                <m:sSub>
                  <m:sSubPr>
                    <m:ctrlPr>
                      <w:rPr>
                        <w:rFonts w:ascii="Cambria Math" w:hAnsi="Cambria Math" w:cs="Times New Roman"/>
                        <w:i/>
                      </w:rPr>
                    </m:ctrlPr>
                  </m:sSubPr>
                  <m:e>
                    <m:r>
                      <m:rPr/>
                      <w:rPr>
                        <w:rFonts w:ascii="Cambria Math" w:hAnsi="Cambria Math" w:cs="Times New Roman"/>
                      </w:rPr>
                      <m:t xml:space="preserve"> </m:t>
                    </m:r>
                    <m:r>
                      <m:rPr/>
                      <w:rPr>
                        <w:rFonts w:hint="default" w:ascii="Cambria Math" w:hAnsi="Cambria Math" w:cs="Times New Roman"/>
                        <w:lang w:val="en-US" w:eastAsia="zh-CN"/>
                      </w:rPr>
                      <m:t xml:space="preserve">       </m:t>
                    </m:r>
                    <m:r>
                      <m:rPr/>
                      <w:rPr>
                        <w:rFonts w:ascii="Cambria Math" w:hAnsi="Cambria Math" w:cs="Times New Roman"/>
                      </w:rPr>
                      <m:t>S</m:t>
                    </m:r>
                    <m:ctrlPr>
                      <w:rPr>
                        <w:rFonts w:ascii="Cambria Math" w:hAnsi="Cambria Math" w:cs="Times New Roman"/>
                        <w:i/>
                      </w:rPr>
                    </m:ctrlPr>
                  </m:e>
                  <m:sub>
                    <m:func>
                      <m:funcPr>
                        <m:ctrlPr>
                          <w:rPr>
                            <w:rFonts w:ascii="Cambria Math" w:hAnsi="Cambria Math" w:cs="Times New Roman"/>
                            <w:i/>
                          </w:rPr>
                        </m:ctrlPr>
                      </m:funcPr>
                      <m:fName>
                        <m:r>
                          <m:rPr>
                            <m:sty m:val="p"/>
                          </m:rPr>
                          <w:rPr>
                            <w:rFonts w:ascii="Cambria Math" w:hAnsi="Cambria Math" w:cs="Times New Roman"/>
                          </w:rPr>
                          <m:t>max</m:t>
                        </m:r>
                        <m:ctrlPr>
                          <w:rPr>
                            <w:rFonts w:ascii="Cambria Math" w:hAnsi="Cambria Math" w:cs="Times New Roman"/>
                            <w:i/>
                          </w:rPr>
                        </m:ctrlPr>
                      </m:fName>
                      <m:e>
                        <m:r>
                          <m:rPr/>
                          <w:rPr>
                            <w:rFonts w:ascii="Cambria Math" w:hAnsi="Cambria Math" w:cs="Times New Roman"/>
                          </w:rPr>
                          <m:t xml:space="preserve"> </m:t>
                        </m:r>
                        <m:ctrlPr>
                          <w:rPr>
                            <w:rFonts w:ascii="Cambria Math" w:hAnsi="Cambria Math" w:cs="Times New Roman"/>
                            <w:i/>
                          </w:rPr>
                        </m:ctrlPr>
                      </m:e>
                    </m:func>
                    <m:ctrlPr>
                      <w:rPr>
                        <w:rFonts w:ascii="Cambria Math" w:hAnsi="Cambria Math" w:cs="Times New Roman"/>
                        <w:i/>
                      </w:rPr>
                    </m:ctrlPr>
                  </m:sub>
                </m:sSub>
                <m:r>
                  <m:rPr/>
                  <w:rPr>
                    <w:rFonts w:ascii="Cambria Math" w:hAnsi="Cambria Math" w:cs="Times New Roman"/>
                  </w:rPr>
                  <m:t>≥S</m:t>
                </m:r>
                <m:ctrlPr>
                  <w:rPr>
                    <w:rFonts w:ascii="Cambria Math" w:hAnsi="Cambria Math"/>
                    <w:i/>
                    <w:kern w:val="0"/>
                    <w:szCs w:val="21"/>
                  </w:rPr>
                </m:ctrlPr>
              </m:e>
            </m:eqArr>
            <m:ctrlPr>
              <w:rPr>
                <w:rFonts w:ascii="Cambria Math" w:hAnsi="Cambria Math"/>
                <w:i/>
                <w:kern w:val="0"/>
                <w:szCs w:val="21"/>
              </w:rPr>
            </m:ctrlPr>
          </m:e>
        </m:d>
      </m:oMath>
      <w:r>
        <w:rPr>
          <w:rFonts w:hint="eastAsia" w:hAnsi="Cambria Math"/>
          <w:kern w:val="0"/>
          <w:szCs w:val="21"/>
        </w:rPr>
        <w:t xml:space="preserve">                  </w:t>
      </w:r>
      <w:r>
        <w:rPr>
          <w:rFonts w:eastAsia="宋体" w:cs="Times New Roman"/>
          <w:kern w:val="0"/>
          <w:szCs w:val="21"/>
        </w:rPr>
        <w:t>（</w:t>
      </w:r>
      <w:r>
        <w:rPr>
          <w:rFonts w:hint="eastAsia" w:eastAsia="宋体" w:cs="Times New Roman"/>
          <w:kern w:val="0"/>
          <w:szCs w:val="21"/>
        </w:rPr>
        <w:t>10.3.1</w:t>
      </w:r>
      <w:r>
        <w:rPr>
          <w:rFonts w:eastAsia="宋体" w:cs="Times New Roman"/>
          <w:kern w:val="0"/>
          <w:szCs w:val="21"/>
        </w:rPr>
        <w:t>）</w:t>
      </w:r>
    </w:p>
    <w:p w14:paraId="19B8B282">
      <w:pPr>
        <w:jc w:val="left"/>
        <w:rPr>
          <w:rFonts w:eastAsia="宋体" w:cs="Times New Roman"/>
          <w:kern w:val="0"/>
          <w:szCs w:val="21"/>
        </w:rPr>
      </w:pPr>
      <w:r>
        <w:rPr>
          <w:rFonts w:hint="eastAsia" w:ascii="宋体" w:hAnsi="宋体" w:eastAsia="宋体"/>
          <w:kern w:val="0"/>
          <w:szCs w:val="21"/>
        </w:rPr>
        <w:t xml:space="preserve">式中： </w:t>
      </w:r>
      <w:r>
        <w:rPr>
          <w:rFonts w:eastAsia="宋体" w:cs="Times New Roman"/>
          <w:i/>
          <w:iCs/>
          <w:kern w:val="0"/>
          <w:szCs w:val="21"/>
        </w:rPr>
        <w:t>F</w:t>
      </w:r>
      <w:r>
        <w:rPr>
          <w:rFonts w:ascii="宋体" w:hAnsi="宋体" w:eastAsia="宋体" w:cs="Times New Roman"/>
          <w:kern w:val="0"/>
          <w:szCs w:val="21"/>
        </w:rPr>
        <w:t xml:space="preserve"> </w:t>
      </w:r>
      <w:r>
        <w:rPr>
          <w:rFonts w:hint="eastAsia" w:ascii="宋体" w:hAnsi="宋体"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管段结构性缺陷分值；</w:t>
      </w:r>
    </w:p>
    <w:p w14:paraId="0F35E4DF">
      <w:pPr>
        <w:jc w:val="left"/>
        <w:rPr>
          <w:rFonts w:eastAsia="宋体" w:cs="Times New Roman"/>
          <w:kern w:val="0"/>
          <w:szCs w:val="21"/>
        </w:rPr>
      </w:pPr>
      <w:r>
        <w:rPr>
          <w:rFonts w:eastAsia="宋体" w:cs="Times New Roman"/>
          <w:kern w:val="0"/>
          <w:szCs w:val="21"/>
        </w:rPr>
        <w:tab/>
      </w:r>
      <w:r>
        <w:rPr>
          <w:rFonts w:eastAsia="宋体" w:cs="Times New Roman"/>
          <w:kern w:val="0"/>
          <w:szCs w:val="21"/>
        </w:rPr>
        <w:tab/>
      </w:r>
      <m:oMath>
        <m:sSub>
          <m:sSubPr>
            <m:ctrlPr>
              <w:rPr>
                <w:rFonts w:ascii="Cambria Math" w:hAnsi="Cambria Math" w:cs="Times New Roman"/>
                <w:i/>
              </w:rPr>
            </m:ctrlPr>
          </m:sSubPr>
          <m:e>
            <m:r>
              <m:rPr/>
              <w:rPr>
                <w:rFonts w:ascii="Cambria Math" w:hAnsi="Cambria Math" w:cs="Times New Roman"/>
              </w:rPr>
              <m:t>S</m:t>
            </m:r>
            <m:ctrlPr>
              <w:rPr>
                <w:rFonts w:ascii="Cambria Math" w:hAnsi="Cambria Math" w:cs="Times New Roman"/>
                <w:i/>
              </w:rPr>
            </m:ctrlPr>
          </m:e>
          <m:sub>
            <m:r>
              <m:rPr/>
              <w:rPr>
                <w:rFonts w:hint="eastAsia" w:ascii="Cambria Math" w:hAnsi="Cambria Math" w:cs="Times New Roman"/>
              </w:rPr>
              <m:t>max</m:t>
            </m:r>
            <m:ctrlPr>
              <w:rPr>
                <w:rFonts w:ascii="Cambria Math" w:hAnsi="Cambria Math" w:cs="Times New Roman"/>
                <w:i/>
              </w:rPr>
            </m:ctrlPr>
          </m:sub>
        </m:sSub>
      </m:oMath>
      <w:r>
        <w:rPr>
          <w:rFonts w:hint="eastAsia"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管段结构性缺陷中损坏最严重处的分值；</w:t>
      </w:r>
    </w:p>
    <w:p w14:paraId="1AA60B3F">
      <w:pPr>
        <w:jc w:val="left"/>
        <w:rPr>
          <w:rFonts w:eastAsia="宋体" w:cs="Times New Roman"/>
          <w:kern w:val="0"/>
          <w:szCs w:val="21"/>
        </w:rPr>
      </w:pPr>
      <w:r>
        <w:rPr>
          <w:rFonts w:eastAsia="宋体" w:cs="Times New Roman"/>
          <w:kern w:val="0"/>
          <w:szCs w:val="21"/>
        </w:rPr>
        <w:tab/>
      </w:r>
      <w:r>
        <w:rPr>
          <w:rFonts w:eastAsia="宋体" w:cs="Times New Roman"/>
          <w:kern w:val="0"/>
          <w:szCs w:val="21"/>
        </w:rPr>
        <w:tab/>
      </w:r>
      <m:oMath>
        <m:r>
          <m:rPr/>
          <w:rPr>
            <w:rFonts w:ascii="Cambria Math" w:hAnsi="Cambria Math" w:cs="Times New Roman"/>
          </w:rPr>
          <m:t>S</m:t>
        </m:r>
      </m:oMath>
      <w:r>
        <w:rPr>
          <w:rFonts w:hint="eastAsia" w:eastAsia="宋体" w:cs="Times New Roman"/>
          <w:kern w:val="0"/>
          <w:szCs w:val="21"/>
        </w:rPr>
        <w:t xml:space="preserve">   </w:t>
      </w:r>
      <w:r>
        <w:rPr>
          <w:rFonts w:eastAsia="宋体" w:cs="Times New Roman"/>
          <w:kern w:val="0"/>
          <w:szCs w:val="21"/>
        </w:rPr>
        <w:t xml:space="preserve"> —— </w:t>
      </w:r>
      <w:r>
        <w:rPr>
          <w:rFonts w:hint="eastAsia" w:eastAsia="宋体" w:cs="Times New Roman"/>
          <w:kern w:val="0"/>
          <w:szCs w:val="21"/>
        </w:rPr>
        <w:t>管段结构性缺陷中按缺陷点数计算的平均值。</w:t>
      </w:r>
    </w:p>
    <w:p w14:paraId="0F8946FF">
      <w:pPr>
        <w:jc w:val="left"/>
        <w:rPr>
          <w:rFonts w:ascii="宋体" w:hAnsi="宋体" w:eastAsia="宋体"/>
          <w:kern w:val="0"/>
          <w:szCs w:val="21"/>
        </w:rPr>
      </w:pPr>
      <w:r>
        <w:rPr>
          <w:rFonts w:hint="eastAsia"/>
          <w:b/>
          <w:bCs/>
        </w:rPr>
        <w:t>10.3.2　</w:t>
      </w:r>
      <w:r>
        <w:rPr>
          <w:rFonts w:hint="eastAsia" w:ascii="宋体" w:hAnsi="宋体" w:eastAsia="宋体"/>
          <w:kern w:val="0"/>
          <w:szCs w:val="21"/>
        </w:rPr>
        <w:t>管段损坏状况应符合下列规定：</w:t>
      </w:r>
    </w:p>
    <w:p w14:paraId="523035FF">
      <w:r>
        <w:tab/>
      </w:r>
      <w:r>
        <w:rPr>
          <w:b/>
          <w:bCs/>
        </w:rPr>
        <w:t>1　</w:t>
      </w:r>
      <w:r>
        <w:rPr>
          <w:rFonts w:hint="eastAsia"/>
        </w:rPr>
        <w:t>管段损坏状况参数应按下列公式计算：</w:t>
      </w:r>
    </w:p>
    <w:p w14:paraId="7B81E5A0">
      <w:pPr>
        <w:ind w:left="2520" w:hanging="110"/>
        <w:jc w:val="right"/>
        <w:rPr>
          <w:rFonts w:eastAsia="宋体" w:cs="Times New Roman"/>
          <w:kern w:val="0"/>
          <w:szCs w:val="21"/>
        </w:rPr>
      </w:pPr>
      <m:oMath>
        <m:r>
          <m:rPr/>
          <w:rPr>
            <w:rFonts w:ascii="Cambria Math" w:hAnsi="Cambria Math"/>
            <w:szCs w:val="24"/>
          </w:rPr>
          <m:t>S</m:t>
        </m:r>
        <m:r>
          <m:rPr>
            <m:sty m:val="p"/>
          </m:rPr>
          <w:rPr>
            <w:rFonts w:ascii="Cambria Math" w:hAnsi="Cambria Math"/>
            <w:szCs w:val="24"/>
          </w:rPr>
          <m:t>=</m:t>
        </m:r>
        <m:f>
          <m:fPr>
            <m:ctrlPr>
              <w:rPr>
                <w:rFonts w:ascii="Cambria Math" w:hAnsi="Cambria Math"/>
                <w:szCs w:val="24"/>
              </w:rPr>
            </m:ctrlPr>
          </m:fPr>
          <m:num>
            <m:r>
              <m:rPr>
                <m:sty m:val="p"/>
              </m:rPr>
              <w:rPr>
                <w:rFonts w:ascii="Cambria Math" w:hAnsi="Cambria Math"/>
                <w:szCs w:val="24"/>
              </w:rPr>
              <m:t>1</m:t>
            </m:r>
            <m:ctrlPr>
              <w:rPr>
                <w:rFonts w:ascii="Cambria Math" w:hAnsi="Cambria Math"/>
                <w:szCs w:val="24"/>
              </w:rPr>
            </m:ctrlPr>
          </m:num>
          <m:den>
            <m:r>
              <m:rPr/>
              <w:rPr>
                <w:rFonts w:ascii="Cambria Math" w:hAnsi="Cambria Math"/>
                <w:szCs w:val="24"/>
              </w:rPr>
              <m:t>n</m:t>
            </m:r>
            <m:ctrlPr>
              <w:rPr>
                <w:rFonts w:ascii="Cambria Math" w:hAnsi="Cambria Math"/>
                <w:szCs w:val="24"/>
              </w:rPr>
            </m:ctrlPr>
          </m:den>
        </m:f>
        <m:nary>
          <m:naryPr>
            <m:chr m:val="∑"/>
            <m:limLoc m:val="undOvr"/>
            <m:ctrlPr>
              <w:rPr>
                <w:rFonts w:ascii="Cambria Math" w:hAnsi="Cambria Math"/>
                <w:szCs w:val="24"/>
              </w:rPr>
            </m:ctrlPr>
          </m:naryPr>
          <m:sub>
            <m:r>
              <m:rPr/>
              <w:rPr>
                <w:rFonts w:ascii="Cambria Math" w:hAnsi="Cambria Math"/>
                <w:szCs w:val="24"/>
              </w:rPr>
              <m:t>i=1</m:t>
            </m:r>
            <m:ctrlPr>
              <w:rPr>
                <w:rFonts w:ascii="Cambria Math" w:hAnsi="Cambria Math"/>
                <w:szCs w:val="24"/>
              </w:rPr>
            </m:ctrlPr>
          </m:sub>
          <m:sup>
            <m:r>
              <m:rPr/>
              <w:rPr>
                <w:rFonts w:ascii="Cambria Math" w:hAnsi="Cambria Math"/>
                <w:szCs w:val="24"/>
              </w:rPr>
              <m:t>n</m:t>
            </m:r>
            <m:ctrlPr>
              <w:rPr>
                <w:rFonts w:ascii="Cambria Math" w:hAnsi="Cambria Math"/>
                <w:szCs w:val="24"/>
              </w:rPr>
            </m:ctrlPr>
          </m:sup>
          <m:e>
            <m:sSub>
              <m:sSubPr>
                <m:ctrlPr>
                  <w:rPr>
                    <w:rFonts w:ascii="Cambria Math" w:hAnsi="Cambria Math"/>
                    <w:i/>
                    <w:szCs w:val="24"/>
                  </w:rPr>
                </m:ctrlPr>
              </m:sSubPr>
              <m:e>
                <m:r>
                  <m:rPr/>
                  <w:rPr>
                    <w:rFonts w:ascii="Cambria Math" w:hAnsi="Cambria Math"/>
                    <w:szCs w:val="24"/>
                  </w:rPr>
                  <m:t>P</m:t>
                </m:r>
                <m:ctrlPr>
                  <w:rPr>
                    <w:rFonts w:ascii="Cambria Math" w:hAnsi="Cambria Math"/>
                    <w:i/>
                    <w:szCs w:val="24"/>
                  </w:rPr>
                </m:ctrlPr>
              </m:e>
              <m:sub>
                <m:r>
                  <m:rPr/>
                  <w:rPr>
                    <w:rFonts w:ascii="Cambria Math" w:hAnsi="Cambria Math"/>
                    <w:szCs w:val="24"/>
                  </w:rPr>
                  <m:t>i</m:t>
                </m:r>
                <m:ctrlPr>
                  <w:rPr>
                    <w:rFonts w:ascii="Cambria Math" w:hAnsi="Cambria Math"/>
                    <w:i/>
                    <w:szCs w:val="24"/>
                  </w:rPr>
                </m:ctrlPr>
              </m:sub>
            </m:sSub>
            <m:sSub>
              <m:sSubPr>
                <m:ctrlPr>
                  <w:rPr>
                    <w:rFonts w:ascii="Cambria Math" w:hAnsi="Cambria Math"/>
                    <w:i/>
                    <w:szCs w:val="24"/>
                  </w:rPr>
                </m:ctrlPr>
              </m:sSubPr>
              <m:e>
                <m:r>
                  <m:rPr/>
                  <w:rPr>
                    <w:rFonts w:ascii="Cambria Math" w:hAnsi="Cambria Math"/>
                    <w:szCs w:val="24"/>
                  </w:rPr>
                  <m:t>E</m:t>
                </m:r>
                <m:ctrlPr>
                  <w:rPr>
                    <w:rFonts w:ascii="Cambria Math" w:hAnsi="Cambria Math"/>
                    <w:i/>
                    <w:szCs w:val="24"/>
                  </w:rPr>
                </m:ctrlPr>
              </m:e>
              <m:sub>
                <m:r>
                  <m:rPr/>
                  <w:rPr>
                    <w:rFonts w:ascii="Cambria Math" w:hAnsi="Cambria Math"/>
                    <w:szCs w:val="24"/>
                  </w:rPr>
                  <m:t xml:space="preserve"> i</m:t>
                </m:r>
                <m:ctrlPr>
                  <w:rPr>
                    <w:rFonts w:ascii="Cambria Math" w:hAnsi="Cambria Math"/>
                    <w:i/>
                    <w:szCs w:val="24"/>
                  </w:rPr>
                </m:ctrlPr>
              </m:sub>
            </m:sSub>
            <m:ctrlPr>
              <w:rPr>
                <w:rFonts w:ascii="Cambria Math" w:hAnsi="Cambria Math"/>
                <w:szCs w:val="24"/>
              </w:rPr>
            </m:ctrlPr>
          </m:e>
        </m:nary>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ascii="宋体" w:hAnsi="Cambria Math" w:eastAsia="宋体"/>
          <w:kern w:val="0"/>
          <w:szCs w:val="21"/>
        </w:rPr>
        <w:t xml:space="preserve"> </w:t>
      </w:r>
      <w:r>
        <w:rPr>
          <w:rFonts w:ascii="宋体" w:hAnsi="Cambria Math" w:eastAsia="宋体"/>
          <w:kern w:val="0"/>
          <w:szCs w:val="21"/>
        </w:rPr>
        <w:tab/>
      </w:r>
      <w:r>
        <w:rPr>
          <w:rFonts w:ascii="宋体" w:hAnsi="Cambria Math" w:eastAsia="宋体"/>
          <w:kern w:val="0"/>
          <w:szCs w:val="21"/>
        </w:rPr>
        <w:tab/>
      </w:r>
      <w:r>
        <w:rPr>
          <w:rFonts w:ascii="宋体" w:hAnsi="Cambria Math" w:eastAsia="宋体"/>
          <w:kern w:val="0"/>
          <w:szCs w:val="21"/>
        </w:rPr>
        <w:tab/>
      </w:r>
      <w:r>
        <w:rPr>
          <w:rFonts w:hint="eastAsia" w:ascii="宋体" w:hAnsi="Cambria Math" w:eastAsia="宋体"/>
          <w:kern w:val="0"/>
          <w:szCs w:val="21"/>
        </w:rPr>
        <w:t xml:space="preserve">           </w:t>
      </w:r>
      <w:r>
        <w:rPr>
          <w:rFonts w:eastAsia="宋体" w:cs="Times New Roman"/>
          <w:kern w:val="0"/>
          <w:szCs w:val="21"/>
        </w:rPr>
        <w:t>（</w:t>
      </w:r>
      <w:r>
        <w:rPr>
          <w:rFonts w:hint="eastAsia" w:eastAsia="宋体" w:cs="Times New Roman"/>
          <w:kern w:val="0"/>
          <w:szCs w:val="21"/>
        </w:rPr>
        <w:t>10.3.2</w:t>
      </w:r>
      <w:r>
        <w:rPr>
          <w:rFonts w:eastAsia="宋体" w:cs="Times New Roman"/>
          <w:kern w:val="0"/>
          <w:szCs w:val="21"/>
        </w:rPr>
        <w:t>-1）</w:t>
      </w:r>
    </w:p>
    <w:p w14:paraId="3F708C01">
      <w:pPr>
        <w:ind w:left="2520" w:hanging="110"/>
        <w:jc w:val="right"/>
      </w:pPr>
      <m:oMath>
        <m:sSub>
          <m:sSubPr>
            <m:ctrlPr>
              <w:rPr>
                <w:rFonts w:ascii="Cambria Math" w:hAnsi="Cambria Math" w:cs="Times New Roman"/>
                <w:i/>
              </w:rPr>
            </m:ctrlPr>
          </m:sSubPr>
          <m:e>
            <m:r>
              <m:rPr/>
              <w:rPr>
                <w:rFonts w:ascii="Cambria Math" w:hAnsi="Cambria Math" w:cs="Times New Roman"/>
              </w:rPr>
              <m:t>S</m:t>
            </m:r>
            <m:ctrlPr>
              <w:rPr>
                <w:rFonts w:ascii="Cambria Math" w:hAnsi="Cambria Math" w:cs="Times New Roman"/>
                <w:i/>
              </w:rPr>
            </m:ctrlPr>
          </m:e>
          <m:sub>
            <m:r>
              <m:rPr/>
              <w:rPr>
                <w:rFonts w:ascii="Cambria Math" w:hAnsi="Cambria Math" w:cs="Times New Roman"/>
              </w:rPr>
              <m:t>max</m:t>
            </m:r>
            <m:ctrlPr>
              <w:rPr>
                <w:rFonts w:ascii="Cambria Math" w:hAnsi="Cambria Math" w:cs="Times New Roman"/>
                <w:i/>
              </w:rPr>
            </m:ctrlPr>
          </m:sub>
        </m:sSub>
        <m:r>
          <m:rPr>
            <m:sty m:val="bi"/>
          </m:rPr>
          <w:rPr>
            <w:rFonts w:ascii="Cambria Math" w:hAnsi="Cambria Math"/>
          </w:rPr>
          <m:t>=max{</m:t>
        </m:r>
        <m:sSub>
          <m:sSubPr>
            <m:ctrlPr>
              <w:rPr>
                <w:rFonts w:ascii="Cambria Math" w:hAnsi="Cambria Math"/>
                <w:b/>
                <w:bCs/>
                <w:i/>
              </w:rPr>
            </m:ctrlPr>
          </m:sSubPr>
          <m:e>
            <m:r>
              <m:rPr>
                <m:sty m:val="bi"/>
              </m:rPr>
              <w:rPr>
                <w:rFonts w:ascii="Cambria Math" w:hAnsi="Cambria Math"/>
              </w:rPr>
              <m:t>P</m:t>
            </m:r>
            <m:ctrlPr>
              <w:rPr>
                <w:rFonts w:ascii="Cambria Math" w:hAnsi="Cambria Math"/>
                <w:b/>
                <w:bCs/>
                <w:i/>
              </w:rPr>
            </m:ctrlPr>
          </m:e>
          <m:sub>
            <m:r>
              <m:rPr>
                <m:sty m:val="bi"/>
              </m:rPr>
              <w:rPr>
                <w:rFonts w:ascii="Cambria Math" w:hAnsi="Cambria Math"/>
              </w:rPr>
              <m:t>i</m:t>
            </m:r>
            <m:ctrlPr>
              <w:rPr>
                <w:rFonts w:ascii="Cambria Math" w:hAnsi="Cambria Math"/>
                <w:b/>
                <w:bCs/>
                <w:i/>
              </w:rPr>
            </m:ctrlPr>
          </m:sub>
        </m:sSub>
        <m:r>
          <m:rPr>
            <m:sty m:val="bi"/>
          </m:rPr>
          <w:rPr>
            <w:rFonts w:ascii="Cambria Math" w:hAnsi="Cambria Math"/>
          </w:rPr>
          <m:t>}</m:t>
        </m:r>
      </m:oMath>
      <w:r>
        <w:rPr>
          <w:rFonts w:hint="eastAsia"/>
          <w:b/>
          <w:bCs/>
        </w:rPr>
        <w:t xml:space="preserve"> </w:t>
      </w:r>
      <w:r>
        <w:rPr>
          <w:b/>
          <w:bCs/>
        </w:rPr>
        <w:t xml:space="preserve">       </w:t>
      </w:r>
      <w:r>
        <w:rPr>
          <w:rFonts w:hint="eastAsia"/>
          <w:b/>
          <w:bCs/>
        </w:rPr>
        <w:t xml:space="preserve">         </w:t>
      </w:r>
      <w:r>
        <w:rPr>
          <w:b/>
          <w:bCs/>
        </w:rPr>
        <w:t xml:space="preserve">  </w:t>
      </w:r>
      <w:r>
        <w:t xml:space="preserve"> </w:t>
      </w:r>
      <w:r>
        <w:rPr>
          <w:rFonts w:hint="eastAsia"/>
        </w:rPr>
        <w:t>（</w:t>
      </w:r>
      <w:r>
        <w:t>10.3.2-2</w:t>
      </w:r>
      <w:r>
        <w:rPr>
          <w:rFonts w:hint="eastAsia"/>
        </w:rPr>
        <w:t>）</w:t>
      </w:r>
    </w:p>
    <w:p w14:paraId="542D7204">
      <w:pPr>
        <w:rPr>
          <w:rFonts w:eastAsia="宋体" w:cs="Times New Roman"/>
        </w:rPr>
      </w:pPr>
      <w:r>
        <w:rPr>
          <w:rFonts w:eastAsia="宋体" w:cs="Times New Roman"/>
        </w:rPr>
        <w:t>式中：</w:t>
      </w:r>
      <w:r>
        <w:rPr>
          <w:rFonts w:eastAsia="宋体" w:cs="Times New Roman"/>
          <w:i/>
          <w:iCs/>
        </w:rPr>
        <w:t>P</w:t>
      </w:r>
      <w:r>
        <w:rPr>
          <w:rFonts w:eastAsia="宋体" w:cs="Times New Roman"/>
          <w:vertAlign w:val="subscript"/>
        </w:rPr>
        <w:t xml:space="preserve">i </w:t>
      </w:r>
      <w:r>
        <w:rPr>
          <w:rFonts w:eastAsia="宋体" w:cs="Times New Roman"/>
        </w:rPr>
        <w:t>—— 第i个缺陷的缺陷分值</w:t>
      </w:r>
      <w:r>
        <w:rPr>
          <w:rFonts w:hint="eastAsia" w:eastAsia="宋体" w:cs="Times New Roman"/>
        </w:rPr>
        <w:t>；</w:t>
      </w:r>
    </w:p>
    <w:p w14:paraId="425821E1">
      <w:pPr>
        <w:ind w:firstLine="720" w:firstLineChars="300"/>
        <w:rPr>
          <w:rFonts w:eastAsia="宋体" w:cs="Times New Roman"/>
        </w:rPr>
      </w:pPr>
      <w:r>
        <w:rPr>
          <w:rFonts w:eastAsia="宋体" w:cs="Times New Roman"/>
          <w:i/>
          <w:iCs/>
        </w:rPr>
        <w:t>E</w:t>
      </w:r>
      <w:r>
        <w:rPr>
          <w:rFonts w:eastAsia="宋体" w:cs="Times New Roman"/>
          <w:vertAlign w:val="subscript"/>
        </w:rPr>
        <w:t>i</w:t>
      </w:r>
      <w:r>
        <w:rPr>
          <w:rFonts w:eastAsia="宋体" w:cs="Times New Roman"/>
        </w:rPr>
        <w:t>—— 第i个缺陷的缺陷长度</w:t>
      </w:r>
      <w:r>
        <w:rPr>
          <w:rFonts w:hint="eastAsia" w:eastAsia="宋体" w:cs="Times New Roman"/>
        </w:rPr>
        <w:t>影响</w:t>
      </w:r>
      <w:r>
        <w:rPr>
          <w:rFonts w:eastAsia="宋体" w:cs="Times New Roman"/>
        </w:rPr>
        <w:t>系数</w:t>
      </w:r>
      <w:r>
        <w:rPr>
          <w:rFonts w:hint="eastAsia" w:eastAsia="宋体" w:cs="Times New Roman"/>
        </w:rPr>
        <w:t>；</w:t>
      </w:r>
    </w:p>
    <w:p w14:paraId="456DCAA9">
      <w:pPr>
        <w:ind w:firstLine="720" w:firstLineChars="300"/>
      </w:pPr>
      <m:oMath>
        <m:sSub>
          <m:sSubPr>
            <m:ctrlPr>
              <w:rPr>
                <w:rFonts w:ascii="Cambria Math" w:hAnsi="Cambria Math" w:eastAsia="宋体" w:cs="Times New Roman"/>
                <w:i/>
              </w:rPr>
            </m:ctrlPr>
          </m:sSubPr>
          <m:e>
            <m:r>
              <m:rPr/>
              <w:rPr>
                <w:rFonts w:ascii="Cambria Math" w:hAnsi="Cambria Math" w:eastAsia="宋体" w:cs="Times New Roman"/>
              </w:rPr>
              <m:t>T</m:t>
            </m:r>
            <m:ctrlPr>
              <w:rPr>
                <w:rFonts w:ascii="Cambria Math" w:hAnsi="Cambria Math" w:eastAsia="宋体" w:cs="Times New Roman"/>
                <w:i/>
              </w:rPr>
            </m:ctrlPr>
          </m:e>
          <m:sub>
            <m:r>
              <m:rPr/>
              <w:rPr>
                <w:rFonts w:hint="eastAsia" w:ascii="Cambria Math" w:hAnsi="Cambria Math" w:eastAsia="宋体" w:cs="Times New Roman"/>
              </w:rPr>
              <m:t>i</m:t>
            </m:r>
            <m:ctrlPr>
              <w:rPr>
                <w:rFonts w:ascii="Cambria Math" w:hAnsi="Cambria Math" w:eastAsia="宋体" w:cs="Times New Roman"/>
                <w:i/>
              </w:rPr>
            </m:ctrlPr>
          </m:sub>
        </m:sSub>
      </m:oMath>
      <w:r>
        <w:rPr>
          <w:rFonts w:eastAsia="宋体" w:cs="Times New Roman"/>
        </w:rPr>
        <w:t>—— 第i个缺陷的</w:t>
      </w:r>
      <w:r>
        <w:rPr>
          <w:rFonts w:hint="eastAsia" w:eastAsia="宋体" w:cs="Times New Roman"/>
        </w:rPr>
        <w:t>压力影响系数；</w:t>
      </w:r>
    </w:p>
    <w:p w14:paraId="51B2BF32">
      <w:pPr>
        <w:tabs>
          <w:tab w:val="center" w:pos="4153"/>
        </w:tabs>
        <w:ind w:firstLine="720" w:firstLineChars="300"/>
        <w:rPr>
          <w:rFonts w:eastAsia="宋体" w:cs="Times New Roman"/>
        </w:rPr>
      </w:pPr>
      <w:r>
        <w:rPr>
          <w:rFonts w:eastAsia="宋体" w:cs="Times New Roman"/>
          <w:position w:val="-6"/>
        </w:rPr>
        <w:object>
          <v:shape id="_x0000_i1026" o:spt="75" type="#_x0000_t75" style="height:12.55pt;width:9.5pt;" o:ole="t" filled="f" o:preferrelative="t" stroked="f" coordsize="21600,21600">
            <v:path/>
            <v:fill on="f" focussize="0,0"/>
            <v:stroke on="f" joinstyle="miter"/>
            <v:imagedata r:id="rId21" o:title=""/>
            <o:lock v:ext="edit" aspectratio="t"/>
            <w10:wrap type="none"/>
            <w10:anchorlock/>
          </v:shape>
          <o:OLEObject Type="Embed" ProgID="Equation.3" ShapeID="_x0000_i1026" DrawAspect="Content" ObjectID="_1468075726" r:id="rId22">
            <o:LockedField>false</o:LockedField>
          </o:OLEObject>
        </w:object>
      </w:r>
      <w:r>
        <w:rPr>
          <w:rFonts w:eastAsia="宋体" w:cs="Times New Roman"/>
        </w:rPr>
        <w:t>——</w:t>
      </w:r>
      <w:r>
        <w:rPr>
          <w:rFonts w:hint="eastAsia" w:eastAsia="宋体" w:cs="Times New Roman"/>
        </w:rPr>
        <w:t>管段</w:t>
      </w:r>
      <w:r>
        <w:rPr>
          <w:rFonts w:eastAsia="宋体" w:cs="Times New Roman"/>
        </w:rPr>
        <w:t>缺陷</w:t>
      </w:r>
      <w:r>
        <w:rPr>
          <w:rFonts w:hint="eastAsia" w:eastAsia="宋体" w:cs="Times New Roman"/>
        </w:rPr>
        <w:t>的数量。</w:t>
      </w:r>
    </w:p>
    <w:p w14:paraId="0366387B">
      <w:pPr>
        <w:ind w:firstLine="482" w:firstLineChars="200"/>
      </w:pPr>
      <w:r>
        <w:rPr>
          <w:rFonts w:hint="eastAsia"/>
          <w:b/>
          <w:bCs/>
        </w:rPr>
        <w:t>2　</w:t>
      </w:r>
      <w:r>
        <w:rPr>
          <w:rFonts w:hint="eastAsia"/>
        </w:rPr>
        <w:t>当管段存在结构性缺陷时，结构性缺陷密度应按下式计算：</w:t>
      </w:r>
    </w:p>
    <w:p w14:paraId="35B34701">
      <w:pPr>
        <w:ind w:left="2580" w:firstLine="360" w:firstLineChars="150"/>
        <w:jc w:val="right"/>
        <w:rPr>
          <w:rFonts w:eastAsia="宋体" w:cs="Times New Roman"/>
          <w:kern w:val="0"/>
          <w:szCs w:val="21"/>
        </w:rPr>
      </w:pPr>
      <m:oMath>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F</m:t>
            </m:r>
            <m:ctrlPr>
              <w:rPr>
                <w:rFonts w:ascii="Cambria Math" w:hAnsi="Cambria Math"/>
              </w:rPr>
            </m:ctrlPr>
          </m:sub>
        </m:sSub>
        <m:r>
          <m:rPr>
            <m:sty m:val="p"/>
          </m:rPr>
          <w:rPr>
            <w:rFonts w:hint="eastAsia" w:ascii="Cambria Math" w:hAnsi="Cambria Math"/>
          </w:rPr>
          <m:t>=</m:t>
        </m:r>
        <m:f>
          <m:fPr>
            <m:ctrlPr>
              <w:rPr>
                <w:rFonts w:ascii="Cambria Math" w:hAnsi="Cambria Math"/>
              </w:rPr>
            </m:ctrlPr>
          </m:fPr>
          <m:num>
            <m:r>
              <m:rPr/>
              <w:rPr>
                <w:rFonts w:ascii="Cambria Math" w:hAnsi="Cambria Math"/>
              </w:rPr>
              <m:t>1</m:t>
            </m:r>
            <m:ctrlPr>
              <w:rPr>
                <w:rFonts w:ascii="Cambria Math" w:hAnsi="Cambria Math"/>
              </w:rPr>
            </m:ctrlPr>
          </m:num>
          <m:den>
            <m:r>
              <m:rPr/>
              <w:rPr>
                <w:rFonts w:ascii="Cambria Math" w:hAnsi="Cambria Math"/>
              </w:rPr>
              <m:t>SL</m:t>
            </m:r>
            <m:ctrlPr>
              <w:rPr>
                <w:rFonts w:ascii="Cambria Math" w:hAnsi="Cambria Math"/>
              </w:rPr>
            </m:ctrlPr>
          </m:den>
        </m:f>
        <m:nary>
          <m:naryPr>
            <m:chr m:val="∑"/>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n</m:t>
            </m:r>
            <m:ctrlPr>
              <w:rPr>
                <w:rFonts w:ascii="Cambria Math" w:hAnsi="Cambria Math"/>
              </w:rPr>
            </m:ctrlPr>
          </m:sup>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 xml:space="preserve"> </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hint="eastAsia" w:ascii="Cambria Math" w:hAnsi="Cambria Math"/>
                  </w:rPr>
                  <m:t>i</m:t>
                </m:r>
                <m:ctrlPr>
                  <w:rPr>
                    <w:rFonts w:ascii="Cambria Math" w:hAnsi="Cambria Math"/>
                    <w:i/>
                  </w:rPr>
                </m:ctrlPr>
              </m:sub>
            </m:sSub>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rPr>
            </m:ctrlPr>
          </m:e>
        </m:nary>
        <m:sSub>
          <m:sSubPr>
            <m:ctrlPr>
              <w:rPr>
                <w:rFonts w:ascii="Cambria Math" w:hAnsi="Cambria Math"/>
                <w:i/>
              </w:rPr>
            </m:ctrlPr>
          </m:sSubPr>
          <m:e>
            <m:r>
              <m:rPr/>
              <w:rPr>
                <w:rFonts w:ascii="Cambria Math" w:hAnsi="Cambria Math"/>
              </w:rPr>
              <m:t>T</m:t>
            </m:r>
            <m:ctrlPr>
              <w:rPr>
                <w:rFonts w:ascii="Cambria Math" w:hAnsi="Cambria Math"/>
                <w:i/>
              </w:rPr>
            </m:ctrlPr>
          </m:e>
          <m:sub>
            <m:r>
              <m:rPr/>
              <w:rPr>
                <w:rFonts w:hint="eastAsia" w:ascii="Cambria Math" w:hAnsi="Cambria Math"/>
              </w:rPr>
              <m:t>i</m:t>
            </m:r>
            <m:ctrlPr>
              <w:rPr>
                <w:rFonts w:ascii="Cambria Math" w:hAnsi="Cambria Math"/>
                <w:i/>
              </w:rPr>
            </m:ctrlPr>
          </m:sub>
        </m:sSub>
      </m:oMath>
      <w:r>
        <w:rPr>
          <w:rFonts w:hint="eastAsia" w:ascii="宋体" w:hAnsi="Cambria Math" w:eastAsia="宋体"/>
          <w:kern w:val="0"/>
          <w:szCs w:val="21"/>
        </w:rPr>
        <w:t xml:space="preserve">   </w:t>
      </w:r>
      <w:r>
        <w:rPr>
          <w:rFonts w:ascii="宋体" w:hAnsi="Cambria Math" w:eastAsia="宋体"/>
          <w:kern w:val="0"/>
          <w:szCs w:val="21"/>
        </w:rPr>
        <w:t xml:space="preserve">  </w:t>
      </w:r>
      <w:r>
        <w:rPr>
          <w:rFonts w:hint="eastAsia" w:ascii="宋体" w:hAnsi="Cambria Math" w:eastAsia="宋体"/>
          <w:kern w:val="0"/>
          <w:szCs w:val="21"/>
        </w:rPr>
        <w:t xml:space="preserve">   </w:t>
      </w:r>
      <w:r>
        <w:rPr>
          <w:rFonts w:ascii="宋体" w:hAnsi="Cambria Math" w:eastAsia="宋体"/>
          <w:kern w:val="0"/>
          <w:szCs w:val="21"/>
        </w:rPr>
        <w:t xml:space="preserve"> </w:t>
      </w:r>
      <w:r>
        <w:rPr>
          <w:rFonts w:hint="eastAsia" w:ascii="宋体" w:hAnsi="Cambria Math" w:eastAsia="宋体"/>
          <w:kern w:val="0"/>
          <w:szCs w:val="21"/>
        </w:rPr>
        <w:t xml:space="preserve">     </w:t>
      </w:r>
      <w:r>
        <w:rPr>
          <w:rFonts w:ascii="宋体" w:hAnsi="Cambria Math" w:eastAsia="宋体"/>
          <w:kern w:val="0"/>
          <w:szCs w:val="21"/>
        </w:rPr>
        <w:t xml:space="preserve"> </w:t>
      </w:r>
      <w:r>
        <w:rPr>
          <w:rFonts w:eastAsia="宋体" w:cs="Times New Roman"/>
          <w:kern w:val="0"/>
          <w:szCs w:val="21"/>
        </w:rPr>
        <w:t>（</w:t>
      </w:r>
      <w:r>
        <w:rPr>
          <w:rFonts w:hint="eastAsia" w:eastAsia="宋体" w:cs="Times New Roman"/>
          <w:kern w:val="0"/>
          <w:szCs w:val="21"/>
        </w:rPr>
        <w:t>10.3.2</w:t>
      </w:r>
      <w:r>
        <w:rPr>
          <w:rFonts w:eastAsia="宋体" w:cs="Times New Roman"/>
          <w:kern w:val="0"/>
          <w:szCs w:val="21"/>
        </w:rPr>
        <w:t>-3）</w:t>
      </w:r>
    </w:p>
    <w:p w14:paraId="48952490">
      <w:pPr>
        <w:rPr>
          <w:rFonts w:eastAsia="宋体" w:cs="Times New Roman"/>
        </w:rPr>
      </w:pPr>
      <w:r>
        <w:rPr>
          <w:rFonts w:eastAsia="宋体" w:cs="Times New Roman"/>
        </w:rPr>
        <w:t>式中：</w:t>
      </w:r>
      <m:oMath>
        <m:sSub>
          <m:sSubPr>
            <m:ctrlPr>
              <w:rPr>
                <w:rFonts w:ascii="Cambria Math" w:hAnsi="Cambria Math" w:eastAsia="宋体" w:cs="Times New Roman"/>
                <w:i/>
              </w:rPr>
            </m:ctrlPr>
          </m:sSubPr>
          <m:e>
            <m:r>
              <m:rPr/>
              <w:rPr>
                <w:rFonts w:ascii="Cambria Math" w:hAnsi="Cambria Math" w:eastAsia="宋体" w:cs="Times New Roman"/>
              </w:rPr>
              <m:t>D</m:t>
            </m:r>
            <m:ctrlPr>
              <w:rPr>
                <w:rFonts w:ascii="Cambria Math" w:hAnsi="Cambria Math" w:eastAsia="宋体" w:cs="Times New Roman"/>
                <w:i/>
              </w:rPr>
            </m:ctrlPr>
          </m:e>
          <m:sub>
            <m:r>
              <m:rPr/>
              <w:rPr>
                <w:rFonts w:ascii="Cambria Math" w:hAnsi="Cambria Math" w:eastAsia="宋体" w:cs="Times New Roman"/>
              </w:rPr>
              <m:t>F</m:t>
            </m:r>
            <m:ctrlPr>
              <w:rPr>
                <w:rFonts w:ascii="Cambria Math" w:hAnsi="Cambria Math" w:eastAsia="宋体" w:cs="Times New Roman"/>
                <w:i/>
              </w:rPr>
            </m:ctrlPr>
          </m:sub>
        </m:sSub>
      </m:oMath>
      <w:r>
        <w:rPr>
          <w:rFonts w:eastAsia="宋体" w:cs="Times New Roman"/>
        </w:rPr>
        <w:t xml:space="preserve"> ——</w:t>
      </w:r>
      <w:r>
        <w:rPr>
          <w:rFonts w:hint="eastAsia"/>
        </w:rPr>
        <w:t>管段结构性</w:t>
      </w:r>
      <w:r>
        <w:rPr>
          <w:rFonts w:hint="eastAsia" w:eastAsia="宋体" w:cs="Times New Roman"/>
        </w:rPr>
        <w:t>缺陷密度；</w:t>
      </w:r>
    </w:p>
    <w:p w14:paraId="2A3D9515">
      <w:pPr>
        <w:ind w:firstLine="720" w:firstLineChars="300"/>
        <w:rPr>
          <w:rFonts w:eastAsia="宋体" w:cs="Times New Roman"/>
        </w:rPr>
      </w:pPr>
      <w:r>
        <w:rPr>
          <w:rFonts w:eastAsia="宋体" w:cs="Times New Roman"/>
          <w:i/>
          <w:iCs/>
        </w:rPr>
        <w:t>L</w:t>
      </w:r>
      <w:r>
        <w:rPr>
          <w:rFonts w:eastAsia="宋体" w:cs="Times New Roman"/>
        </w:rPr>
        <w:t xml:space="preserve"> ——被评估</w:t>
      </w:r>
      <w:r>
        <w:rPr>
          <w:rFonts w:hint="eastAsia" w:eastAsia="宋体" w:cs="Times New Roman"/>
        </w:rPr>
        <w:t>管段</w:t>
      </w:r>
      <w:r>
        <w:rPr>
          <w:rFonts w:eastAsia="宋体" w:cs="Times New Roman"/>
        </w:rPr>
        <w:t>总长度(m)</w:t>
      </w:r>
      <w:r>
        <w:rPr>
          <w:rFonts w:hint="eastAsia" w:eastAsia="宋体" w:cs="Times New Roman"/>
        </w:rPr>
        <w:t>；</w:t>
      </w:r>
    </w:p>
    <w:p w14:paraId="0CA670B9">
      <w:pPr>
        <w:ind w:firstLine="720" w:firstLineChars="300"/>
        <w:rPr>
          <w:rFonts w:eastAsia="宋体" w:cs="Times New Roman"/>
          <w:vertAlign w:val="subscript"/>
        </w:rPr>
      </w:pPr>
      <w:r>
        <w:rPr>
          <w:rFonts w:eastAsia="宋体" w:cs="Times New Roman"/>
          <w:i/>
          <w:iCs/>
        </w:rPr>
        <w:t>L</w:t>
      </w:r>
      <w:r>
        <w:rPr>
          <w:rFonts w:eastAsia="宋体" w:cs="Times New Roman"/>
          <w:vertAlign w:val="subscript"/>
        </w:rPr>
        <w:t xml:space="preserve">i </w:t>
      </w:r>
      <w:r>
        <w:rPr>
          <w:rFonts w:eastAsia="宋体" w:cs="Times New Roman"/>
        </w:rPr>
        <w:t>——第i个缺陷的纵向距离长度(m)</w:t>
      </w:r>
      <w:r>
        <w:rPr>
          <w:rFonts w:hint="eastAsia" w:eastAsia="宋体" w:cs="Times New Roman"/>
        </w:rPr>
        <w:t>。</w:t>
      </w:r>
      <w:r>
        <w:rPr>
          <w:rFonts w:ascii="宋体" w:hAnsi="宋体" w:eastAsia="宋体"/>
          <w:kern w:val="0"/>
          <w:szCs w:val="21"/>
        </w:rPr>
        <w:t>当</w:t>
      </w:r>
      <m:oMath>
        <m:sSub>
          <m:sSubPr>
            <m:ctrlPr>
              <w:rPr>
                <w:rFonts w:ascii="Cambria Math" w:hAnsi="Cambria Math" w:cs="Times New Roman"/>
                <w:i/>
              </w:rPr>
            </m:ctrlPr>
          </m:sSubPr>
          <m:e>
            <m:r>
              <m:rPr/>
              <w:rPr>
                <w:rFonts w:ascii="Cambria Math" w:hAnsi="Cambria Math" w:cs="Times New Roman"/>
              </w:rPr>
              <m:t>L</m:t>
            </m:r>
            <m:ctrlPr>
              <w:rPr>
                <w:rFonts w:ascii="Cambria Math" w:hAnsi="Cambria Math" w:cs="Times New Roman"/>
                <w:i/>
              </w:rPr>
            </m:ctrlPr>
          </m:e>
          <m:sub>
            <m:r>
              <m:rPr/>
              <w:rPr>
                <w:rFonts w:ascii="Cambria Math" w:hAnsi="Cambria Math" w:cs="Times New Roman"/>
              </w:rPr>
              <m:t>i</m:t>
            </m:r>
            <m:ctrlPr>
              <w:rPr>
                <w:rFonts w:ascii="Cambria Math" w:hAnsi="Cambria Math" w:cs="Times New Roman"/>
                <w:i/>
              </w:rPr>
            </m:ctrlPr>
          </m:sub>
        </m:sSub>
        <m:r>
          <m:rPr/>
          <w:rPr>
            <w:rFonts w:ascii="Cambria Math" w:hAnsi="Cambria Math" w:cs="Times New Roman"/>
          </w:rPr>
          <m:t xml:space="preserve">≥ </m:t>
        </m:r>
        <m:f>
          <m:fPr>
            <m:ctrlPr>
              <w:rPr>
                <w:rFonts w:ascii="Cambria Math" w:hAnsi="Cambria Math" w:cs="Times New Roman"/>
                <w:i/>
              </w:rPr>
            </m:ctrlPr>
          </m:fPr>
          <m:num>
            <m:r>
              <m:rPr/>
              <w:rPr>
                <w:rFonts w:ascii="Cambria Math" w:hAnsi="Cambria Math" w:cs="Times New Roman"/>
              </w:rPr>
              <m:t>1</m:t>
            </m:r>
            <m:ctrlPr>
              <w:rPr>
                <w:rFonts w:ascii="Cambria Math" w:hAnsi="Cambria Math" w:cs="Times New Roman"/>
                <w:i/>
              </w:rPr>
            </m:ctrlPr>
          </m:num>
          <m:den>
            <m:r>
              <m:rPr/>
              <w:rPr>
                <w:rFonts w:ascii="Cambria Math" w:hAnsi="Cambria Math" w:cs="Times New Roman"/>
              </w:rPr>
              <m:t>10</m:t>
            </m:r>
            <m:ctrlPr>
              <w:rPr>
                <w:rFonts w:ascii="Cambria Math" w:hAnsi="Cambria Math" w:cs="Times New Roman"/>
                <w:i/>
              </w:rPr>
            </m:ctrlPr>
          </m:den>
        </m:f>
        <m:r>
          <m:rPr/>
          <w:rPr>
            <w:rFonts w:ascii="Cambria Math" w:hAnsi="Cambria Math"/>
          </w:rPr>
          <m:t xml:space="preserve"> </m:t>
        </m:r>
      </m:oMath>
      <w:r>
        <w:rPr>
          <w:rFonts w:eastAsia="宋体" w:cs="Times New Roman"/>
          <w:i/>
          <w:iCs/>
        </w:rPr>
        <w:t>L</w:t>
      </w:r>
      <w:r>
        <w:rPr>
          <w:rFonts w:eastAsia="宋体" w:cs="Times New Roman"/>
        </w:rPr>
        <w:t xml:space="preserve"> </w:t>
      </w:r>
      <w:r>
        <w:rPr>
          <w:rFonts w:hint="eastAsia" w:ascii="宋体" w:hAnsi="宋体" w:eastAsia="宋体"/>
          <w:kern w:val="0"/>
          <w:szCs w:val="21"/>
        </w:rPr>
        <w:t>时，</w:t>
      </w:r>
      <m:oMath>
        <m:sSub>
          <m:sSubPr>
            <m:ctrlPr>
              <w:rPr>
                <w:rFonts w:ascii="Cambria Math" w:hAnsi="Cambria Math" w:cs="Times New Roman"/>
                <w:i/>
              </w:rPr>
            </m:ctrlPr>
          </m:sSubPr>
          <m:e>
            <m:r>
              <m:rPr/>
              <w:rPr>
                <w:rFonts w:ascii="Cambria Math" w:hAnsi="Cambria Math" w:cs="Times New Roman"/>
              </w:rPr>
              <m:t>L</m:t>
            </m:r>
            <m:ctrlPr>
              <w:rPr>
                <w:rFonts w:ascii="Cambria Math" w:hAnsi="Cambria Math" w:cs="Times New Roman"/>
                <w:i/>
              </w:rPr>
            </m:ctrlPr>
          </m:e>
          <m:sub>
            <m:r>
              <m:rPr/>
              <w:rPr>
                <w:rFonts w:ascii="Cambria Math" w:hAnsi="Cambria Math" w:cs="Times New Roman"/>
              </w:rPr>
              <m:t>i</m:t>
            </m:r>
            <m:ctrlPr>
              <w:rPr>
                <w:rFonts w:ascii="Cambria Math" w:hAnsi="Cambria Math" w:cs="Times New Roman"/>
                <w:i/>
              </w:rPr>
            </m:ctrlPr>
          </m:sub>
        </m:sSub>
        <m:r>
          <m:rPr/>
          <w:rPr>
            <w:rFonts w:ascii="Cambria Math" w:hAnsi="Cambria Math"/>
          </w:rPr>
          <m:t xml:space="preserve">= </m:t>
        </m:r>
        <m:f>
          <m:fPr>
            <m:ctrlPr>
              <w:rPr>
                <w:rFonts w:ascii="Cambria Math" w:hAnsi="Cambria Math" w:cs="Times New Roman"/>
                <w:i/>
              </w:rPr>
            </m:ctrlPr>
          </m:fPr>
          <m:num>
            <m:r>
              <m:rPr/>
              <w:rPr>
                <w:rFonts w:ascii="Cambria Math" w:hAnsi="Cambria Math" w:cs="Times New Roman"/>
              </w:rPr>
              <m:t>1</m:t>
            </m:r>
            <m:ctrlPr>
              <w:rPr>
                <w:rFonts w:ascii="Cambria Math" w:hAnsi="Cambria Math" w:cs="Times New Roman"/>
                <w:i/>
              </w:rPr>
            </m:ctrlPr>
          </m:num>
          <m:den>
            <m:r>
              <m:rPr/>
              <w:rPr>
                <w:rFonts w:ascii="Cambria Math" w:hAnsi="Cambria Math" w:cs="Times New Roman"/>
              </w:rPr>
              <m:t>10</m:t>
            </m:r>
            <m:ctrlPr>
              <w:rPr>
                <w:rFonts w:ascii="Cambria Math" w:hAnsi="Cambria Math" w:cs="Times New Roman"/>
                <w:i/>
              </w:rPr>
            </m:ctrlPr>
          </m:den>
        </m:f>
        <m:r>
          <m:rPr/>
          <w:rPr>
            <w:rFonts w:ascii="Cambria Math" w:hAnsi="Cambria Math"/>
          </w:rPr>
          <m:t xml:space="preserve"> </m:t>
        </m:r>
      </m:oMath>
      <w:r>
        <w:rPr>
          <w:rFonts w:eastAsia="宋体" w:cs="Times New Roman"/>
          <w:i/>
          <w:iCs/>
        </w:rPr>
        <w:t>L</w:t>
      </w:r>
      <w:r>
        <w:rPr>
          <w:rFonts w:hint="eastAsia" w:eastAsia="宋体" w:cs="Times New Roman"/>
          <w:i/>
          <w:iCs/>
        </w:rPr>
        <w:t>。</w:t>
      </w:r>
    </w:p>
    <w:p w14:paraId="289ABFE7">
      <w:r>
        <w:rPr>
          <w:rFonts w:hint="eastAsia"/>
          <w:b/>
          <w:bCs/>
        </w:rPr>
        <w:t>10.3.3　</w:t>
      </w:r>
      <w:r>
        <w:rPr>
          <w:rFonts w:hint="eastAsia"/>
        </w:rPr>
        <w:t>管段结构性缺陷等级评估应符合表10.3.3-1的规定。管段结构性缺陷类型评估可按表10.3.3-2确定。</w:t>
      </w:r>
    </w:p>
    <w:p w14:paraId="12DAEF16">
      <w:pPr>
        <w:jc w:val="center"/>
        <w:rPr>
          <w:b/>
          <w:bCs/>
          <w:sz w:val="21"/>
          <w:szCs w:val="21"/>
        </w:rPr>
      </w:pPr>
      <w:r>
        <w:rPr>
          <w:rFonts w:hint="eastAsia"/>
          <w:b/>
          <w:bCs/>
          <w:sz w:val="21"/>
          <w:szCs w:val="21"/>
        </w:rPr>
        <w:t>表10.3.3-1　管段结构性缺陷等级评估表</w:t>
      </w:r>
    </w:p>
    <w:tbl>
      <w:tblPr>
        <w:tblStyle w:val="30"/>
        <w:tblW w:w="418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386"/>
        <w:gridCol w:w="4740"/>
      </w:tblGrid>
      <w:tr w14:paraId="4F485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4" w:type="pct"/>
            <w:vAlign w:val="center"/>
          </w:tcPr>
          <w:p w14:paraId="7578E7A8">
            <w:pPr>
              <w:jc w:val="center"/>
              <w:rPr>
                <w:rFonts w:cs="Times New Roman"/>
                <w:sz w:val="21"/>
                <w:szCs w:val="21"/>
              </w:rPr>
            </w:pPr>
            <w:r>
              <w:rPr>
                <w:rFonts w:cs="Times New Roman"/>
                <w:sz w:val="21"/>
                <w:szCs w:val="21"/>
              </w:rPr>
              <w:t>缺陷等级</w:t>
            </w:r>
          </w:p>
        </w:tc>
        <w:tc>
          <w:tcPr>
            <w:tcW w:w="3325" w:type="pct"/>
            <w:vAlign w:val="center"/>
          </w:tcPr>
          <w:p w14:paraId="3A079ABA">
            <w:pPr>
              <w:jc w:val="center"/>
              <w:rPr>
                <w:rFonts w:cs="Times New Roman"/>
                <w:sz w:val="21"/>
                <w:szCs w:val="21"/>
              </w:rPr>
            </w:pPr>
            <w:r>
              <w:rPr>
                <w:rFonts w:cs="Times New Roman"/>
                <w:sz w:val="21"/>
                <w:szCs w:val="21"/>
              </w:rPr>
              <w:t>评分数值</w:t>
            </w:r>
            <w:r>
              <w:rPr>
                <w:rFonts w:cs="Times New Roman"/>
                <w:i/>
                <w:iCs/>
                <w:sz w:val="21"/>
                <w:szCs w:val="21"/>
              </w:rPr>
              <w:t>F</w:t>
            </w:r>
          </w:p>
        </w:tc>
      </w:tr>
      <w:tr w14:paraId="3E717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4" w:type="pct"/>
            <w:vAlign w:val="center"/>
          </w:tcPr>
          <w:p w14:paraId="0000F8F6">
            <w:pPr>
              <w:jc w:val="center"/>
              <w:rPr>
                <w:rFonts w:cs="Times New Roman"/>
                <w:sz w:val="21"/>
                <w:szCs w:val="21"/>
              </w:rPr>
            </w:pPr>
            <w:r>
              <w:rPr>
                <w:rFonts w:cs="Times New Roman"/>
                <w:sz w:val="21"/>
                <w:szCs w:val="21"/>
              </w:rPr>
              <w:t>Ⅰ</w:t>
            </w:r>
          </w:p>
        </w:tc>
        <w:tc>
          <w:tcPr>
            <w:tcW w:w="3325" w:type="pct"/>
            <w:vAlign w:val="center"/>
          </w:tcPr>
          <w:p w14:paraId="07E0D4D7">
            <w:pPr>
              <w:jc w:val="center"/>
              <w:rPr>
                <w:rFonts w:cs="Times New Roman"/>
                <w:sz w:val="21"/>
                <w:szCs w:val="21"/>
              </w:rPr>
            </w:pPr>
            <w:r>
              <w:rPr>
                <w:rFonts w:cs="Times New Roman"/>
                <w:i/>
                <w:iCs/>
                <w:sz w:val="21"/>
                <w:szCs w:val="21"/>
              </w:rPr>
              <w:t>F</w:t>
            </w:r>
            <w:r>
              <w:rPr>
                <w:rFonts w:hint="eastAsia" w:eastAsia="宋体" w:cs="Times New Roman"/>
                <w:sz w:val="21"/>
                <w:szCs w:val="21"/>
              </w:rPr>
              <w:t>≤</w:t>
            </w:r>
            <w:r>
              <w:rPr>
                <w:rFonts w:cs="Times New Roman"/>
                <w:sz w:val="21"/>
                <w:szCs w:val="21"/>
              </w:rPr>
              <w:t>1</w:t>
            </w:r>
          </w:p>
        </w:tc>
      </w:tr>
      <w:tr w14:paraId="7E763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4" w:type="pct"/>
            <w:vAlign w:val="center"/>
          </w:tcPr>
          <w:p w14:paraId="5C44A22D">
            <w:pPr>
              <w:jc w:val="center"/>
              <w:rPr>
                <w:rFonts w:cs="Times New Roman"/>
                <w:sz w:val="21"/>
                <w:szCs w:val="21"/>
              </w:rPr>
            </w:pPr>
            <w:r>
              <w:rPr>
                <w:rFonts w:cs="Times New Roman"/>
                <w:sz w:val="21"/>
                <w:szCs w:val="21"/>
              </w:rPr>
              <w:t>Ⅱ</w:t>
            </w:r>
          </w:p>
        </w:tc>
        <w:tc>
          <w:tcPr>
            <w:tcW w:w="3325" w:type="pct"/>
            <w:vAlign w:val="center"/>
          </w:tcPr>
          <w:p w14:paraId="1735F5BD">
            <w:pPr>
              <w:jc w:val="center"/>
              <w:rPr>
                <w:rFonts w:cs="Times New Roman"/>
                <w:sz w:val="21"/>
                <w:szCs w:val="21"/>
              </w:rPr>
            </w:pPr>
            <w:r>
              <w:rPr>
                <w:rFonts w:cs="Times New Roman"/>
                <w:sz w:val="21"/>
                <w:szCs w:val="21"/>
              </w:rPr>
              <w:t>1</w:t>
            </w:r>
            <w:r>
              <w:rPr>
                <w:rFonts w:hint="eastAsia" w:cs="Times New Roman"/>
                <w:sz w:val="21"/>
                <w:szCs w:val="21"/>
              </w:rPr>
              <w:t>＜</w:t>
            </w:r>
            <w:r>
              <w:rPr>
                <w:rFonts w:cs="Times New Roman"/>
                <w:i/>
                <w:iCs/>
                <w:sz w:val="21"/>
                <w:szCs w:val="21"/>
              </w:rPr>
              <w:t>F</w:t>
            </w:r>
            <w:r>
              <w:rPr>
                <w:rFonts w:hint="eastAsia" w:eastAsia="宋体" w:cs="Times New Roman"/>
                <w:sz w:val="21"/>
                <w:szCs w:val="21"/>
              </w:rPr>
              <w:t>≤</w:t>
            </w:r>
            <w:r>
              <w:rPr>
                <w:rFonts w:cs="Times New Roman"/>
                <w:sz w:val="21"/>
                <w:szCs w:val="21"/>
              </w:rPr>
              <w:t>4</w:t>
            </w:r>
          </w:p>
        </w:tc>
      </w:tr>
      <w:tr w14:paraId="1B424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4" w:type="pct"/>
            <w:vAlign w:val="center"/>
          </w:tcPr>
          <w:p w14:paraId="37181089">
            <w:pPr>
              <w:tabs>
                <w:tab w:val="left" w:pos="735"/>
              </w:tabs>
              <w:jc w:val="center"/>
              <w:rPr>
                <w:rFonts w:cs="Times New Roman"/>
                <w:sz w:val="21"/>
                <w:szCs w:val="21"/>
              </w:rPr>
            </w:pPr>
            <w:r>
              <w:rPr>
                <w:rFonts w:cs="Times New Roman"/>
                <w:sz w:val="21"/>
                <w:szCs w:val="21"/>
              </w:rPr>
              <w:t>Ⅲ</w:t>
            </w:r>
          </w:p>
        </w:tc>
        <w:tc>
          <w:tcPr>
            <w:tcW w:w="3325" w:type="pct"/>
            <w:vAlign w:val="center"/>
          </w:tcPr>
          <w:p w14:paraId="36A2CC03">
            <w:pPr>
              <w:jc w:val="center"/>
              <w:rPr>
                <w:rFonts w:cs="Times New Roman"/>
                <w:sz w:val="21"/>
                <w:szCs w:val="21"/>
              </w:rPr>
            </w:pPr>
            <w:r>
              <w:rPr>
                <w:rFonts w:cs="Times New Roman"/>
                <w:sz w:val="21"/>
                <w:szCs w:val="21"/>
              </w:rPr>
              <w:t>4</w:t>
            </w:r>
            <w:r>
              <w:rPr>
                <w:rFonts w:hint="eastAsia" w:cs="Times New Roman"/>
                <w:sz w:val="21"/>
                <w:szCs w:val="21"/>
              </w:rPr>
              <w:t>＜</w:t>
            </w:r>
            <w:r>
              <w:rPr>
                <w:rFonts w:cs="Times New Roman"/>
                <w:i/>
                <w:iCs/>
                <w:sz w:val="21"/>
                <w:szCs w:val="21"/>
              </w:rPr>
              <w:t>F</w:t>
            </w:r>
            <w:r>
              <w:rPr>
                <w:rFonts w:hint="eastAsia" w:eastAsia="宋体" w:cs="Times New Roman"/>
                <w:sz w:val="21"/>
                <w:szCs w:val="21"/>
              </w:rPr>
              <w:t>≤</w:t>
            </w:r>
            <w:r>
              <w:rPr>
                <w:rFonts w:cs="Times New Roman"/>
                <w:sz w:val="21"/>
                <w:szCs w:val="21"/>
              </w:rPr>
              <w:t>7</w:t>
            </w:r>
          </w:p>
        </w:tc>
      </w:tr>
      <w:tr w14:paraId="0B09B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4" w:type="pct"/>
            <w:vAlign w:val="center"/>
          </w:tcPr>
          <w:p w14:paraId="2C214D4C">
            <w:pPr>
              <w:tabs>
                <w:tab w:val="left" w:pos="735"/>
              </w:tabs>
              <w:jc w:val="center"/>
              <w:rPr>
                <w:rFonts w:cs="Times New Roman"/>
                <w:sz w:val="21"/>
                <w:szCs w:val="21"/>
              </w:rPr>
            </w:pPr>
            <w:r>
              <w:rPr>
                <w:rFonts w:cs="Times New Roman"/>
                <w:sz w:val="21"/>
                <w:szCs w:val="21"/>
              </w:rPr>
              <w:t>Ⅳ</w:t>
            </w:r>
          </w:p>
        </w:tc>
        <w:tc>
          <w:tcPr>
            <w:tcW w:w="3325" w:type="pct"/>
            <w:vAlign w:val="center"/>
          </w:tcPr>
          <w:p w14:paraId="3C46D8F2">
            <w:pPr>
              <w:jc w:val="center"/>
              <w:rPr>
                <w:rFonts w:cs="Times New Roman"/>
                <w:sz w:val="21"/>
                <w:szCs w:val="21"/>
              </w:rPr>
            </w:pPr>
            <w:r>
              <w:rPr>
                <w:rFonts w:cs="Times New Roman"/>
                <w:i/>
                <w:iCs/>
                <w:sz w:val="21"/>
                <w:szCs w:val="21"/>
              </w:rPr>
              <w:t>F</w:t>
            </w:r>
            <w:r>
              <w:rPr>
                <w:rFonts w:hint="eastAsia" w:cs="Times New Roman"/>
                <w:sz w:val="21"/>
                <w:szCs w:val="21"/>
              </w:rPr>
              <w:t>＞</w:t>
            </w:r>
            <w:r>
              <w:rPr>
                <w:rFonts w:cs="Times New Roman"/>
                <w:sz w:val="21"/>
                <w:szCs w:val="21"/>
              </w:rPr>
              <w:t>7</w:t>
            </w:r>
          </w:p>
        </w:tc>
      </w:tr>
    </w:tbl>
    <w:p w14:paraId="51DB47C9">
      <w:pPr>
        <w:rPr>
          <w:rFonts w:eastAsia="黑体" w:cs="Times New Roman"/>
        </w:rPr>
      </w:pPr>
    </w:p>
    <w:p w14:paraId="5C291F4B">
      <w:pPr>
        <w:jc w:val="center"/>
        <w:rPr>
          <w:b/>
          <w:bCs/>
          <w:sz w:val="21"/>
          <w:szCs w:val="21"/>
        </w:rPr>
      </w:pPr>
      <w:r>
        <w:rPr>
          <w:rFonts w:hint="eastAsia"/>
          <w:b/>
          <w:bCs/>
          <w:sz w:val="21"/>
          <w:szCs w:val="21"/>
        </w:rPr>
        <w:t>表10.3.3-2　管段结构性缺陷类型评估参考表</w:t>
      </w:r>
    </w:p>
    <w:tbl>
      <w:tblPr>
        <w:tblStyle w:val="30"/>
        <w:tblW w:w="0" w:type="auto"/>
        <w:tblInd w:w="35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1920"/>
        <w:gridCol w:w="1975"/>
        <w:gridCol w:w="1575"/>
      </w:tblGrid>
      <w:tr w14:paraId="6D343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140" w:type="dxa"/>
            <w:tcBorders>
              <w:tl2br w:val="nil"/>
              <w:tr2bl w:val="nil"/>
            </w:tcBorders>
          </w:tcPr>
          <w:p w14:paraId="6AE4A6AE">
            <w:pPr>
              <w:jc w:val="center"/>
              <w:rPr>
                <w:rFonts w:ascii="宋体" w:hAnsi="宋体" w:eastAsia="宋体" w:cs="宋体"/>
                <w:sz w:val="21"/>
                <w:szCs w:val="21"/>
              </w:rPr>
            </w:pPr>
            <w:r>
              <w:rPr>
                <w:rFonts w:hint="eastAsia" w:ascii="宋体" w:hAnsi="宋体" w:eastAsia="宋体" w:cs="宋体"/>
                <w:sz w:val="21"/>
                <w:szCs w:val="21"/>
              </w:rPr>
              <w:t>缺陷密度</w:t>
            </w:r>
            <m:oMath>
              <m:sSub>
                <m:sSubPr>
                  <m:ctrlPr>
                    <w:rPr>
                      <w:rFonts w:hint="eastAsia" w:ascii="Cambria Math" w:hAnsi="Cambria Math" w:eastAsia="宋体" w:cs="宋体"/>
                      <w:i/>
                      <w:sz w:val="21"/>
                      <w:szCs w:val="21"/>
                    </w:rPr>
                  </m:ctrlPr>
                </m:sSubPr>
                <m:e>
                  <m:r>
                    <m:rPr/>
                    <w:rPr>
                      <w:rFonts w:ascii="Cambria Math" w:hAnsi="Cambria Math" w:eastAsia="宋体" w:cs="宋体"/>
                      <w:sz w:val="21"/>
                      <w:szCs w:val="21"/>
                    </w:rPr>
                    <m:t>D</m:t>
                  </m:r>
                  <m:ctrlPr>
                    <w:rPr>
                      <w:rFonts w:hint="eastAsia" w:ascii="Cambria Math" w:hAnsi="Cambria Math" w:eastAsia="宋体" w:cs="宋体"/>
                      <w:i/>
                      <w:sz w:val="21"/>
                      <w:szCs w:val="21"/>
                    </w:rPr>
                  </m:ctrlPr>
                </m:e>
                <m:sub>
                  <m:r>
                    <m:rPr/>
                    <w:rPr>
                      <w:rFonts w:ascii="Cambria Math" w:hAnsi="Cambria Math" w:eastAsia="宋体" w:cs="宋体"/>
                      <w:sz w:val="21"/>
                      <w:szCs w:val="21"/>
                    </w:rPr>
                    <m:t>F</m:t>
                  </m:r>
                  <m:ctrlPr>
                    <w:rPr>
                      <w:rFonts w:hint="eastAsia" w:ascii="Cambria Math" w:hAnsi="Cambria Math" w:eastAsia="宋体" w:cs="宋体"/>
                      <w:i/>
                      <w:sz w:val="21"/>
                      <w:szCs w:val="21"/>
                    </w:rPr>
                  </m:ctrlPr>
                </m:sub>
              </m:sSub>
            </m:oMath>
          </w:p>
        </w:tc>
        <w:tc>
          <w:tcPr>
            <w:tcW w:w="1920" w:type="dxa"/>
            <w:tcBorders>
              <w:tl2br w:val="nil"/>
              <w:tr2bl w:val="nil"/>
            </w:tcBorders>
          </w:tcPr>
          <w:p w14:paraId="2070C0AF">
            <w:pPr>
              <w:jc w:val="center"/>
              <w:rPr>
                <w:rFonts w:ascii="宋体" w:hAnsi="宋体" w:eastAsia="宋体" w:cs="宋体"/>
                <w:sz w:val="21"/>
                <w:szCs w:val="21"/>
              </w:rPr>
            </w:pPr>
            <m:oMath>
              <m:sSub>
                <m:sSubPr>
                  <m:ctrlPr>
                    <w:rPr>
                      <w:rFonts w:hint="eastAsia" w:ascii="Cambria Math" w:hAnsi="Cambria Math" w:eastAsia="宋体" w:cs="宋体"/>
                      <w:i/>
                      <w:sz w:val="21"/>
                      <w:szCs w:val="21"/>
                    </w:rPr>
                  </m:ctrlPr>
                </m:sSubPr>
                <m:e>
                  <m:r>
                    <m:rPr/>
                    <w:rPr>
                      <w:rFonts w:ascii="Cambria Math" w:hAnsi="Cambria Math" w:eastAsia="宋体" w:cs="宋体"/>
                      <w:sz w:val="21"/>
                      <w:szCs w:val="21"/>
                    </w:rPr>
                    <m:t>D</m:t>
                  </m:r>
                  <m:ctrlPr>
                    <w:rPr>
                      <w:rFonts w:hint="eastAsia" w:ascii="Cambria Math" w:hAnsi="Cambria Math" w:eastAsia="宋体" w:cs="宋体"/>
                      <w:i/>
                      <w:sz w:val="21"/>
                      <w:szCs w:val="21"/>
                    </w:rPr>
                  </m:ctrlPr>
                </m:e>
                <m:sub>
                  <m:r>
                    <m:rPr/>
                    <w:rPr>
                      <w:rFonts w:ascii="Cambria Math" w:hAnsi="Cambria Math" w:eastAsia="宋体" w:cs="宋体"/>
                      <w:sz w:val="21"/>
                      <w:szCs w:val="21"/>
                    </w:rPr>
                    <m:t>F</m:t>
                  </m:r>
                  <m:ctrlPr>
                    <w:rPr>
                      <w:rFonts w:hint="eastAsia" w:ascii="Cambria Math" w:hAnsi="Cambria Math" w:eastAsia="宋体" w:cs="宋体"/>
                      <w:i/>
                      <w:sz w:val="21"/>
                      <w:szCs w:val="21"/>
                    </w:rPr>
                  </m:ctrlPr>
                </m:sub>
              </m:sSub>
            </m:oMath>
            <w:r>
              <w:rPr>
                <w:rFonts w:hint="eastAsia" w:eastAsia="宋体" w:cs="Times New Roman"/>
                <w:sz w:val="21"/>
                <w:szCs w:val="21"/>
              </w:rPr>
              <w:t>≤</w:t>
            </w:r>
            <w:r>
              <w:rPr>
                <w:rFonts w:hint="eastAsia" w:ascii="宋体" w:hAnsi="宋体" w:eastAsia="宋体" w:cs="宋体"/>
                <w:sz w:val="21"/>
                <w:szCs w:val="21"/>
              </w:rPr>
              <w:t>0.1</w:t>
            </w:r>
          </w:p>
        </w:tc>
        <w:tc>
          <w:tcPr>
            <w:tcW w:w="1975" w:type="dxa"/>
            <w:tcBorders>
              <w:tl2br w:val="nil"/>
              <w:tr2bl w:val="nil"/>
            </w:tcBorders>
          </w:tcPr>
          <w:p w14:paraId="31F0A6FA">
            <w:pPr>
              <w:jc w:val="center"/>
              <w:rPr>
                <w:rFonts w:ascii="宋体" w:hAnsi="宋体" w:eastAsia="宋体" w:cs="宋体"/>
                <w:sz w:val="21"/>
                <w:szCs w:val="21"/>
              </w:rPr>
            </w:pPr>
            <w:r>
              <w:rPr>
                <w:rFonts w:hint="eastAsia" w:ascii="宋体" w:hAnsi="宋体" w:eastAsia="宋体" w:cs="宋体"/>
                <w:sz w:val="21"/>
                <w:szCs w:val="21"/>
              </w:rPr>
              <w:t>0.1</w:t>
            </w:r>
            <w:r>
              <w:rPr>
                <w:rFonts w:hint="eastAsia" w:cs="Times New Roman"/>
                <w:sz w:val="21"/>
                <w:szCs w:val="21"/>
              </w:rPr>
              <w:t>＜</w:t>
            </w:r>
            <m:oMath>
              <m:sSub>
                <m:sSubPr>
                  <m:ctrlPr>
                    <w:rPr>
                      <w:rFonts w:hint="eastAsia" w:ascii="Cambria Math" w:hAnsi="Cambria Math" w:eastAsia="宋体" w:cs="宋体"/>
                      <w:i/>
                      <w:sz w:val="21"/>
                      <w:szCs w:val="21"/>
                    </w:rPr>
                  </m:ctrlPr>
                </m:sSubPr>
                <m:e>
                  <m:r>
                    <m:rPr/>
                    <w:rPr>
                      <w:rFonts w:ascii="Cambria Math" w:hAnsi="Cambria Math" w:eastAsia="宋体" w:cs="宋体"/>
                      <w:sz w:val="21"/>
                      <w:szCs w:val="21"/>
                    </w:rPr>
                    <m:t>D</m:t>
                  </m:r>
                  <m:ctrlPr>
                    <w:rPr>
                      <w:rFonts w:hint="eastAsia" w:ascii="Cambria Math" w:hAnsi="Cambria Math" w:eastAsia="宋体" w:cs="宋体"/>
                      <w:i/>
                      <w:sz w:val="21"/>
                      <w:szCs w:val="21"/>
                    </w:rPr>
                  </m:ctrlPr>
                </m:e>
                <m:sub>
                  <m:r>
                    <m:rPr/>
                    <w:rPr>
                      <w:rFonts w:ascii="Cambria Math" w:hAnsi="Cambria Math" w:eastAsia="宋体" w:cs="宋体"/>
                      <w:sz w:val="21"/>
                      <w:szCs w:val="21"/>
                    </w:rPr>
                    <m:t>F</m:t>
                  </m:r>
                  <m:ctrlPr>
                    <w:rPr>
                      <w:rFonts w:hint="eastAsia" w:ascii="Cambria Math" w:hAnsi="Cambria Math" w:eastAsia="宋体" w:cs="宋体"/>
                      <w:i/>
                      <w:sz w:val="21"/>
                      <w:szCs w:val="21"/>
                    </w:rPr>
                  </m:ctrlPr>
                </m:sub>
              </m:sSub>
            </m:oMath>
            <w:r>
              <w:rPr>
                <w:rFonts w:hint="eastAsia" w:eastAsia="宋体" w:cs="Times New Roman"/>
                <w:sz w:val="21"/>
                <w:szCs w:val="21"/>
              </w:rPr>
              <w:t>≤</w:t>
            </w:r>
            <w:r>
              <w:rPr>
                <w:rFonts w:hint="eastAsia" w:ascii="宋体" w:hAnsi="宋体" w:eastAsia="宋体" w:cs="宋体"/>
                <w:sz w:val="21"/>
                <w:szCs w:val="21"/>
              </w:rPr>
              <w:t>0.5</w:t>
            </w:r>
          </w:p>
        </w:tc>
        <w:tc>
          <w:tcPr>
            <w:tcW w:w="1575" w:type="dxa"/>
            <w:tcBorders>
              <w:tl2br w:val="nil"/>
              <w:tr2bl w:val="nil"/>
            </w:tcBorders>
          </w:tcPr>
          <w:p w14:paraId="0A986C54">
            <w:pPr>
              <w:jc w:val="center"/>
              <w:rPr>
                <w:rFonts w:ascii="宋体" w:hAnsi="宋体" w:eastAsia="宋体" w:cs="宋体"/>
                <w:sz w:val="21"/>
                <w:szCs w:val="21"/>
              </w:rPr>
            </w:pPr>
            <m:oMath>
              <m:sSub>
                <m:sSubPr>
                  <m:ctrlPr>
                    <w:rPr>
                      <w:rFonts w:hint="eastAsia" w:ascii="Cambria Math" w:hAnsi="Cambria Math" w:eastAsia="宋体" w:cs="宋体"/>
                      <w:i/>
                      <w:sz w:val="21"/>
                      <w:szCs w:val="21"/>
                    </w:rPr>
                  </m:ctrlPr>
                </m:sSubPr>
                <m:e>
                  <m:r>
                    <m:rPr/>
                    <w:rPr>
                      <w:rFonts w:ascii="Cambria Math" w:hAnsi="Cambria Math" w:eastAsia="宋体" w:cs="宋体"/>
                      <w:sz w:val="21"/>
                      <w:szCs w:val="21"/>
                    </w:rPr>
                    <m:t>D</m:t>
                  </m:r>
                  <m:ctrlPr>
                    <w:rPr>
                      <w:rFonts w:hint="eastAsia" w:ascii="Cambria Math" w:hAnsi="Cambria Math" w:eastAsia="宋体" w:cs="宋体"/>
                      <w:i/>
                      <w:sz w:val="21"/>
                      <w:szCs w:val="21"/>
                    </w:rPr>
                  </m:ctrlPr>
                </m:e>
                <m:sub>
                  <m:r>
                    <m:rPr/>
                    <w:rPr>
                      <w:rFonts w:ascii="Cambria Math" w:hAnsi="Cambria Math" w:eastAsia="宋体" w:cs="宋体"/>
                      <w:sz w:val="21"/>
                      <w:szCs w:val="21"/>
                    </w:rPr>
                    <m:t>F</m:t>
                  </m:r>
                  <m:ctrlPr>
                    <w:rPr>
                      <w:rFonts w:hint="eastAsia" w:ascii="Cambria Math" w:hAnsi="Cambria Math" w:eastAsia="宋体" w:cs="宋体"/>
                      <w:i/>
                      <w:sz w:val="21"/>
                      <w:szCs w:val="21"/>
                    </w:rPr>
                  </m:ctrlPr>
                </m:sub>
              </m:sSub>
            </m:oMath>
            <w:r>
              <w:rPr>
                <w:rFonts w:hint="eastAsia" w:cs="Times New Roman"/>
                <w:sz w:val="21"/>
                <w:szCs w:val="21"/>
              </w:rPr>
              <w:t>＞</w:t>
            </w:r>
            <w:r>
              <w:rPr>
                <w:rFonts w:hint="eastAsia" w:ascii="宋体" w:hAnsi="宋体" w:eastAsia="宋体" w:cs="宋体"/>
                <w:sz w:val="21"/>
                <w:szCs w:val="21"/>
              </w:rPr>
              <w:t>0.5</w:t>
            </w:r>
          </w:p>
        </w:tc>
      </w:tr>
      <w:tr w14:paraId="25E51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40" w:type="dxa"/>
            <w:tcBorders>
              <w:tl2br w:val="nil"/>
              <w:tr2bl w:val="nil"/>
            </w:tcBorders>
          </w:tcPr>
          <w:p w14:paraId="5F069124">
            <w:pPr>
              <w:jc w:val="center"/>
              <w:rPr>
                <w:rFonts w:ascii="宋体" w:hAnsi="宋体" w:eastAsia="宋体" w:cs="宋体"/>
                <w:sz w:val="21"/>
                <w:szCs w:val="21"/>
              </w:rPr>
            </w:pPr>
            <w:r>
              <w:rPr>
                <w:rFonts w:hint="eastAsia" w:ascii="宋体" w:hAnsi="宋体" w:eastAsia="宋体" w:cs="宋体"/>
                <w:sz w:val="21"/>
                <w:szCs w:val="21"/>
              </w:rPr>
              <w:t>管段结构性缺陷类型</w:t>
            </w:r>
          </w:p>
        </w:tc>
        <w:tc>
          <w:tcPr>
            <w:tcW w:w="1920" w:type="dxa"/>
            <w:tcBorders>
              <w:tl2br w:val="nil"/>
              <w:tr2bl w:val="nil"/>
            </w:tcBorders>
          </w:tcPr>
          <w:p w14:paraId="424AF13E">
            <w:pPr>
              <w:jc w:val="center"/>
              <w:rPr>
                <w:rFonts w:ascii="宋体" w:hAnsi="宋体" w:eastAsia="宋体" w:cs="宋体"/>
                <w:sz w:val="21"/>
                <w:szCs w:val="21"/>
              </w:rPr>
            </w:pPr>
            <w:r>
              <w:rPr>
                <w:rFonts w:hint="eastAsia" w:ascii="宋体" w:hAnsi="宋体" w:eastAsia="宋体" w:cs="宋体"/>
                <w:sz w:val="21"/>
                <w:szCs w:val="21"/>
              </w:rPr>
              <w:t>局部缺陷</w:t>
            </w:r>
          </w:p>
        </w:tc>
        <w:tc>
          <w:tcPr>
            <w:tcW w:w="1975" w:type="dxa"/>
            <w:tcBorders>
              <w:tl2br w:val="nil"/>
              <w:tr2bl w:val="nil"/>
            </w:tcBorders>
          </w:tcPr>
          <w:p w14:paraId="2C20E38A">
            <w:pPr>
              <w:jc w:val="center"/>
              <w:rPr>
                <w:rFonts w:ascii="宋体" w:hAnsi="宋体" w:eastAsia="宋体" w:cs="宋体"/>
                <w:sz w:val="21"/>
                <w:szCs w:val="21"/>
              </w:rPr>
            </w:pPr>
            <w:r>
              <w:rPr>
                <w:rFonts w:hint="eastAsia" w:ascii="宋体" w:hAnsi="宋体" w:eastAsia="宋体" w:cs="宋体"/>
                <w:sz w:val="21"/>
                <w:szCs w:val="21"/>
              </w:rPr>
              <w:t>部分缺陷</w:t>
            </w:r>
          </w:p>
        </w:tc>
        <w:tc>
          <w:tcPr>
            <w:tcW w:w="1575" w:type="dxa"/>
            <w:tcBorders>
              <w:tl2br w:val="nil"/>
              <w:tr2bl w:val="nil"/>
            </w:tcBorders>
          </w:tcPr>
          <w:p w14:paraId="6A505023">
            <w:pPr>
              <w:jc w:val="center"/>
              <w:rPr>
                <w:rFonts w:ascii="宋体" w:hAnsi="宋体" w:eastAsia="宋体" w:cs="宋体"/>
                <w:sz w:val="21"/>
                <w:szCs w:val="21"/>
              </w:rPr>
            </w:pPr>
            <w:r>
              <w:rPr>
                <w:rFonts w:hint="eastAsia" w:ascii="宋体" w:hAnsi="宋体" w:eastAsia="宋体" w:cs="宋体"/>
                <w:sz w:val="21"/>
                <w:szCs w:val="21"/>
              </w:rPr>
              <w:t>整体缺陷</w:t>
            </w:r>
          </w:p>
        </w:tc>
      </w:tr>
    </w:tbl>
    <w:p w14:paraId="2B31C48F">
      <w:pPr>
        <w:rPr>
          <w:rFonts w:eastAsia="黑体" w:cs="Times New Roman"/>
        </w:rPr>
      </w:pPr>
    </w:p>
    <w:p w14:paraId="4ADF9A10">
      <w:pPr>
        <w:pStyle w:val="2"/>
      </w:pPr>
    </w:p>
    <w:p w14:paraId="3CE173D3">
      <w:pPr>
        <w:pStyle w:val="5"/>
      </w:pPr>
      <w:bookmarkStart w:id="342" w:name="_Toc29231"/>
      <w:bookmarkStart w:id="343" w:name="_Toc28760"/>
      <w:bookmarkStart w:id="344" w:name="_Toc13462"/>
      <w:bookmarkStart w:id="345" w:name="_Toc181825581"/>
      <w:bookmarkStart w:id="346" w:name="_Toc1017"/>
      <w:bookmarkStart w:id="347" w:name="_Toc8029"/>
      <w:bookmarkStart w:id="348" w:name="_Toc25800"/>
      <w:r>
        <w:rPr>
          <w:rFonts w:hint="eastAsia"/>
        </w:rPr>
        <w:t>10.4　功能性状况评估</w:t>
      </w:r>
      <w:bookmarkEnd w:id="342"/>
      <w:bookmarkEnd w:id="343"/>
      <w:bookmarkEnd w:id="344"/>
      <w:bookmarkEnd w:id="345"/>
      <w:bookmarkEnd w:id="346"/>
      <w:bookmarkEnd w:id="347"/>
      <w:bookmarkEnd w:id="348"/>
    </w:p>
    <w:p w14:paraId="22B5155B">
      <w:r>
        <w:rPr>
          <w:rFonts w:hint="eastAsia"/>
          <w:b/>
          <w:bCs/>
        </w:rPr>
        <w:t>10.4.1　</w:t>
      </w:r>
      <w:r>
        <w:rPr>
          <w:rFonts w:hint="eastAsia"/>
        </w:rPr>
        <w:t>管段功能性缺陷状况评估分值应按下式计算：</w:t>
      </w:r>
    </w:p>
    <w:p w14:paraId="26662E20">
      <w:pPr>
        <w:ind w:left="2520" w:firstLine="420" w:firstLineChars="175"/>
        <w:jc w:val="right"/>
        <w:rPr>
          <w:rFonts w:eastAsia="宋体" w:cs="Times New Roman"/>
          <w:kern w:val="0"/>
          <w:szCs w:val="21"/>
        </w:rPr>
      </w:pPr>
      <w:r>
        <w:rPr>
          <w:rFonts w:hint="eastAsia" w:hAnsi="Cambria Math" w:eastAsia="宋体"/>
          <w:i/>
          <w:iCs/>
          <w:kern w:val="0"/>
          <w:szCs w:val="21"/>
        </w:rPr>
        <w:t>G</w:t>
      </w:r>
      <m:oMath>
        <m:r>
          <m:rPr>
            <m:sty m:val="p"/>
          </m:rPr>
          <w:rPr>
            <w:rFonts w:ascii="Cambria Math" w:hAnsi="Cambria Math" w:eastAsia="宋体"/>
            <w:kern w:val="0"/>
            <w:szCs w:val="21"/>
          </w:rPr>
          <m:t>=</m:t>
        </m:r>
        <m:d>
          <m:dPr>
            <m:begChr m:val="{"/>
            <m:endChr m:val=""/>
            <m:ctrlPr>
              <w:rPr>
                <w:rFonts w:ascii="Cambria Math" w:hAnsi="Cambria Math" w:eastAsia="宋体"/>
                <w:kern w:val="0"/>
                <w:szCs w:val="21"/>
              </w:rPr>
            </m:ctrlPr>
          </m:dPr>
          <m:e>
            <m:eqArr>
              <m:eqArrPr>
                <m:ctrlPr>
                  <w:rPr>
                    <w:rFonts w:ascii="Cambria Math" w:hAnsi="Cambria Math" w:eastAsia="宋体"/>
                    <w:kern w:val="0"/>
                    <w:szCs w:val="21"/>
                  </w:rPr>
                </m:ctrlPr>
              </m:eqArrPr>
              <m:e>
                <m:r>
                  <m:rPr/>
                  <w:rPr>
                    <w:rFonts w:ascii="Cambria Math" w:hAnsi="Cambria Math" w:eastAsia="宋体"/>
                    <w:kern w:val="0"/>
                    <w:szCs w:val="21"/>
                  </w:rPr>
                  <m:t xml:space="preserve">Y, </m:t>
                </m:r>
                <m:sSub>
                  <m:sSubPr>
                    <m:ctrlPr>
                      <w:rPr>
                        <w:rFonts w:ascii="Cambria Math" w:hAnsi="Cambria Math" w:cs="Times New Roman"/>
                        <w:i/>
                      </w:rPr>
                    </m:ctrlPr>
                  </m:sSubPr>
                  <m:e>
                    <m:r>
                      <m:rPr/>
                      <w:rPr>
                        <w:rFonts w:hint="default" w:ascii="Cambria Math" w:hAnsi="Cambria Math" w:cs="Times New Roman"/>
                        <w:lang w:val="en-US" w:eastAsia="zh-CN"/>
                      </w:rPr>
                      <m:t xml:space="preserve">            </m:t>
                    </m:r>
                    <m:r>
                      <m:rPr/>
                      <w:rPr>
                        <w:rFonts w:ascii="Cambria Math" w:hAnsi="Cambria Math" w:cs="Times New Roman"/>
                      </w:rPr>
                      <m:t>Y</m:t>
                    </m:r>
                    <m:ctrlPr>
                      <w:rPr>
                        <w:rFonts w:ascii="Cambria Math" w:hAnsi="Cambria Math" w:cs="Times New Roman"/>
                        <w:i/>
                      </w:rPr>
                    </m:ctrlPr>
                  </m:e>
                  <m:sub>
                    <m:r>
                      <m:rPr/>
                      <w:rPr>
                        <w:rFonts w:ascii="Cambria Math" w:hAnsi="Cambria Math" w:cs="Times New Roman"/>
                      </w:rPr>
                      <m:t>max</m:t>
                    </m:r>
                    <m:ctrlPr>
                      <w:rPr>
                        <w:rFonts w:ascii="Cambria Math" w:hAnsi="Cambria Math" w:cs="Times New Roman"/>
                        <w:i/>
                      </w:rPr>
                    </m:ctrlPr>
                  </m:sub>
                </m:sSub>
                <m:r>
                  <m:rPr/>
                  <w:rPr>
                    <w:rFonts w:ascii="Cambria Math" w:hAnsi="Cambria Math" w:cs="Times New Roman"/>
                  </w:rPr>
                  <m:t>&lt;Y</m:t>
                </m:r>
                <m:ctrlPr>
                  <w:rPr>
                    <w:rFonts w:ascii="Cambria Math" w:hAnsi="Cambria Math" w:eastAsia="宋体"/>
                    <w:kern w:val="0"/>
                    <w:szCs w:val="21"/>
                  </w:rPr>
                </m:ctrlPr>
              </m:e>
              <m:e>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max,</m:t>
                    </m:r>
                    <m:ctrlPr>
                      <w:rPr>
                        <w:rFonts w:ascii="Cambria Math" w:hAnsi="Cambria Math"/>
                        <w:i/>
                      </w:rPr>
                    </m:ctrlPr>
                  </m:sub>
                </m:sSub>
                <m:sSub>
                  <m:sSubPr>
                    <m:ctrlPr>
                      <w:rPr>
                        <w:rFonts w:ascii="Cambria Math" w:hAnsi="Cambria Math"/>
                        <w:i/>
                      </w:rPr>
                    </m:ctrlPr>
                  </m:sSubPr>
                  <m:e>
                    <m:r>
                      <m:rPr/>
                      <w:rPr>
                        <w:rFonts w:ascii="Cambria Math" w:hAnsi="Cambria Math"/>
                      </w:rPr>
                      <m:t>,</m:t>
                    </m:r>
                    <m:r>
                      <m:rPr/>
                      <w:rPr>
                        <w:rFonts w:hint="default" w:ascii="Cambria Math" w:hAnsi="Cambria Math"/>
                        <w:lang w:val="en-US" w:eastAsia="zh-CN"/>
                      </w:rPr>
                      <m:t xml:space="preserve">      </m:t>
                    </m:r>
                    <m:r>
                      <m:rPr/>
                      <w:rPr>
                        <w:rFonts w:ascii="Cambria Math" w:hAnsi="Cambria Math"/>
                      </w:rPr>
                      <m:t xml:space="preserve"> Y</m:t>
                    </m:r>
                    <m:ctrlPr>
                      <w:rPr>
                        <w:rFonts w:ascii="Cambria Math" w:hAnsi="Cambria Math"/>
                        <w:i/>
                      </w:rPr>
                    </m:ctrlPr>
                  </m:e>
                  <m:sub>
                    <m:func>
                      <m:funcPr>
                        <m:ctrlPr>
                          <w:rPr>
                            <w:rFonts w:ascii="Cambria Math" w:hAnsi="Cambria Math"/>
                            <w:i/>
                          </w:rPr>
                        </m:ctrlPr>
                      </m:funcPr>
                      <m:fName>
                        <m:r>
                          <m:rPr>
                            <m:sty m:val="p"/>
                          </m:rPr>
                          <w:rPr>
                            <w:rFonts w:ascii="Cambria Math" w:hAnsi="Cambria Math"/>
                          </w:rPr>
                          <m:t>max</m:t>
                        </m:r>
                        <m:ctrlPr>
                          <w:rPr>
                            <w:rFonts w:ascii="Cambria Math" w:hAnsi="Cambria Math"/>
                            <w:i/>
                          </w:rPr>
                        </m:ctrlPr>
                      </m:fName>
                      <m:e>
                        <m:r>
                          <m:rPr/>
                          <w:rPr>
                            <w:rFonts w:ascii="Cambria Math" w:hAnsi="Cambria Math"/>
                          </w:rPr>
                          <m:t xml:space="preserve"> </m:t>
                        </m:r>
                        <m:ctrlPr>
                          <w:rPr>
                            <w:rFonts w:ascii="Cambria Math" w:hAnsi="Cambria Math"/>
                            <w:i/>
                          </w:rPr>
                        </m:ctrlPr>
                      </m:e>
                    </m:func>
                    <m:ctrlPr>
                      <w:rPr>
                        <w:rFonts w:ascii="Cambria Math" w:hAnsi="Cambria Math"/>
                        <w:i/>
                      </w:rPr>
                    </m:ctrlPr>
                  </m:sub>
                </m:sSub>
                <m:r>
                  <m:rPr/>
                  <w:rPr>
                    <w:rFonts w:ascii="Cambria Math" w:hAnsi="Cambria Math"/>
                  </w:rPr>
                  <m:t>≥Y</m:t>
                </m:r>
                <m:ctrlPr>
                  <w:rPr>
                    <w:rFonts w:ascii="Cambria Math" w:hAnsi="Cambria Math" w:eastAsia="宋体"/>
                    <w:kern w:val="0"/>
                    <w:szCs w:val="21"/>
                  </w:rPr>
                </m:ctrlPr>
              </m:e>
            </m:eqArr>
            <m:ctrlPr>
              <w:rPr>
                <w:rFonts w:ascii="Cambria Math" w:hAnsi="Cambria Math" w:eastAsia="宋体"/>
                <w:kern w:val="0"/>
                <w:szCs w:val="21"/>
              </w:rPr>
            </m:ctrlPr>
          </m:e>
        </m:d>
      </m:oMath>
      <w:r>
        <w:rPr>
          <w:rFonts w:hint="eastAsia" w:hAnsi="Cambria Math" w:eastAsia="宋体"/>
          <w:i/>
          <w:kern w:val="0"/>
          <w:szCs w:val="21"/>
        </w:rPr>
        <w:t xml:space="preserve">                  </w:t>
      </w:r>
      <w:r>
        <w:rPr>
          <w:rFonts w:eastAsia="宋体" w:cs="Times New Roman"/>
          <w:kern w:val="0"/>
          <w:szCs w:val="21"/>
        </w:rPr>
        <w:t>（</w:t>
      </w:r>
      <w:r>
        <w:rPr>
          <w:rFonts w:hint="eastAsia" w:eastAsia="宋体" w:cs="Times New Roman"/>
          <w:kern w:val="0"/>
          <w:szCs w:val="21"/>
        </w:rPr>
        <w:t>10.4.1</w:t>
      </w:r>
      <w:r>
        <w:rPr>
          <w:rFonts w:eastAsia="宋体" w:cs="Times New Roman"/>
          <w:kern w:val="0"/>
          <w:szCs w:val="21"/>
        </w:rPr>
        <w:t>）</w:t>
      </w:r>
    </w:p>
    <w:p w14:paraId="2D3A9748">
      <w:pPr>
        <w:jc w:val="left"/>
        <w:rPr>
          <w:rFonts w:eastAsia="宋体" w:cs="Times New Roman"/>
          <w:kern w:val="0"/>
          <w:szCs w:val="21"/>
        </w:rPr>
      </w:pPr>
      <w:r>
        <w:rPr>
          <w:rFonts w:hint="eastAsia" w:ascii="宋体" w:hAnsi="宋体" w:eastAsia="宋体"/>
          <w:kern w:val="0"/>
          <w:szCs w:val="21"/>
        </w:rPr>
        <w:t xml:space="preserve">式中： </w:t>
      </w:r>
      <w:r>
        <w:rPr>
          <w:rFonts w:eastAsia="宋体" w:cs="Times New Roman"/>
          <w:i/>
          <w:iCs/>
          <w:kern w:val="0"/>
          <w:szCs w:val="21"/>
        </w:rPr>
        <w:t>G</w:t>
      </w:r>
      <w:r>
        <w:rPr>
          <w:rFonts w:hint="eastAsia" w:eastAsia="宋体" w:cs="Times New Roman"/>
          <w:i/>
          <w:iCs/>
          <w:kern w:val="0"/>
          <w:szCs w:val="21"/>
        </w:rPr>
        <w:t xml:space="preserve">  </w:t>
      </w:r>
      <w:r>
        <w:rPr>
          <w:rFonts w:ascii="宋体" w:hAnsi="宋体"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管段功能性缺陷分值；</w:t>
      </w:r>
    </w:p>
    <w:p w14:paraId="488EDF8E">
      <w:pPr>
        <w:jc w:val="left"/>
        <w:rPr>
          <w:rFonts w:eastAsia="宋体" w:cs="Times New Roman"/>
          <w:kern w:val="0"/>
          <w:szCs w:val="21"/>
        </w:rPr>
      </w:pPr>
      <w:r>
        <w:rPr>
          <w:rFonts w:eastAsia="宋体" w:cs="Times New Roman"/>
          <w:kern w:val="0"/>
          <w:szCs w:val="21"/>
        </w:rPr>
        <w:tab/>
      </w:r>
      <w:r>
        <w:rPr>
          <w:rFonts w:eastAsia="宋体" w:cs="Times New Roman"/>
          <w:kern w:val="0"/>
          <w:szCs w:val="21"/>
        </w:rPr>
        <w:tab/>
      </w:r>
      <m:oMath>
        <m:sSub>
          <m:sSubPr>
            <m:ctrlPr>
              <w:rPr>
                <w:rFonts w:ascii="Cambria Math" w:hAnsi="Cambria Math" w:cs="Times New Roman"/>
                <w:i/>
              </w:rPr>
            </m:ctrlPr>
          </m:sSubPr>
          <m:e>
            <m:r>
              <m:rPr/>
              <w:rPr>
                <w:rFonts w:ascii="Cambria Math" w:hAnsi="Cambria Math" w:cs="Times New Roman"/>
              </w:rPr>
              <m:t>Y</m:t>
            </m:r>
            <m:ctrlPr>
              <w:rPr>
                <w:rFonts w:ascii="Cambria Math" w:hAnsi="Cambria Math" w:cs="Times New Roman"/>
                <w:i/>
              </w:rPr>
            </m:ctrlPr>
          </m:e>
          <m:sub>
            <m:r>
              <m:rPr/>
              <w:rPr>
                <w:rFonts w:hint="eastAsia" w:ascii="Cambria Math" w:hAnsi="Cambria Math" w:cs="Times New Roman"/>
              </w:rPr>
              <m:t>max</m:t>
            </m:r>
            <m:ctrlPr>
              <w:rPr>
                <w:rFonts w:ascii="Cambria Math" w:hAnsi="Cambria Math" w:cs="Times New Roman"/>
                <w:i/>
              </w:rPr>
            </m:ctrlPr>
          </m:sub>
        </m:sSub>
      </m:oMath>
      <w:r>
        <w:rPr>
          <w:rFonts w:hint="eastAsia" w:eastAsia="宋体" w:cs="Times New Roman"/>
          <w:kern w:val="0"/>
          <w:szCs w:val="21"/>
        </w:rPr>
        <w:t xml:space="preserve"> </w:t>
      </w:r>
      <w:r>
        <w:rPr>
          <w:rFonts w:eastAsia="宋体" w:cs="Times New Roman"/>
          <w:kern w:val="0"/>
          <w:szCs w:val="21"/>
        </w:rPr>
        <w:t xml:space="preserve">—— </w:t>
      </w:r>
      <w:r>
        <w:rPr>
          <w:rFonts w:hint="eastAsia" w:eastAsia="宋体" w:cs="Times New Roman"/>
          <w:kern w:val="0"/>
          <w:szCs w:val="21"/>
        </w:rPr>
        <w:t>管段功能性缺陷中最严重处的分值；</w:t>
      </w:r>
    </w:p>
    <w:p w14:paraId="1BCC735C">
      <w:pPr>
        <w:jc w:val="left"/>
        <w:rPr>
          <w:rFonts w:eastAsia="宋体" w:cs="Times New Roman"/>
          <w:kern w:val="0"/>
          <w:szCs w:val="21"/>
        </w:rPr>
      </w:pPr>
      <w:r>
        <w:rPr>
          <w:rFonts w:eastAsia="宋体" w:cs="Times New Roman"/>
          <w:kern w:val="0"/>
          <w:szCs w:val="21"/>
        </w:rPr>
        <w:tab/>
      </w:r>
      <w:r>
        <w:rPr>
          <w:rFonts w:eastAsia="宋体" w:cs="Times New Roman"/>
          <w:kern w:val="0"/>
          <w:szCs w:val="21"/>
        </w:rPr>
        <w:tab/>
      </w:r>
      <m:oMath>
        <m:r>
          <m:rPr/>
          <w:rPr>
            <w:rFonts w:ascii="Cambria Math" w:hAnsi="Cambria Math" w:cs="Times New Roman"/>
          </w:rPr>
          <m:t>Y</m:t>
        </m:r>
      </m:oMath>
      <w:r>
        <w:rPr>
          <w:rFonts w:hint="eastAsia" w:eastAsia="宋体" w:cs="Times New Roman"/>
          <w:kern w:val="0"/>
          <w:szCs w:val="21"/>
        </w:rPr>
        <w:t xml:space="preserve">   </w:t>
      </w:r>
      <w:r>
        <w:rPr>
          <w:rFonts w:eastAsia="宋体" w:cs="Times New Roman"/>
          <w:kern w:val="0"/>
          <w:szCs w:val="21"/>
        </w:rPr>
        <w:t xml:space="preserve"> —— </w:t>
      </w:r>
      <w:r>
        <w:rPr>
          <w:rFonts w:hint="eastAsia" w:eastAsia="宋体" w:cs="Times New Roman"/>
          <w:kern w:val="0"/>
          <w:szCs w:val="21"/>
        </w:rPr>
        <w:t>管段功能性缺陷中按缺陷点数计算的平均值。</w:t>
      </w:r>
    </w:p>
    <w:p w14:paraId="3FF4D2D7">
      <w:r>
        <w:rPr>
          <w:rFonts w:hint="eastAsia"/>
          <w:b/>
          <w:bCs/>
        </w:rPr>
        <w:t>10.4.2　</w:t>
      </w:r>
      <w:r>
        <w:rPr>
          <w:rFonts w:hint="eastAsia"/>
        </w:rPr>
        <w:t>管段运行状况应符合下列规定：</w:t>
      </w:r>
    </w:p>
    <w:p w14:paraId="0B0FF674">
      <w:r>
        <w:rPr>
          <w:b/>
          <w:bCs/>
        </w:rPr>
        <w:tab/>
      </w:r>
      <w:r>
        <w:rPr>
          <w:b/>
          <w:bCs/>
        </w:rPr>
        <w:t>1　</w:t>
      </w:r>
      <w:r>
        <w:rPr>
          <w:rFonts w:hint="eastAsia"/>
        </w:rPr>
        <w:t>管段运行状况参数应按下列公式计算：</w:t>
      </w:r>
    </w:p>
    <w:p w14:paraId="12ACE508">
      <w:pPr>
        <w:ind w:left="2520" w:firstLine="420"/>
        <w:jc w:val="right"/>
        <w:rPr>
          <w:rFonts w:eastAsia="宋体" w:cs="Times New Roman"/>
          <w:kern w:val="0"/>
          <w:szCs w:val="21"/>
        </w:rPr>
      </w:pPr>
      <m:oMath>
        <m:r>
          <m:rPr/>
          <w:rPr>
            <w:rFonts w:ascii="Cambria Math" w:hAnsi="Cambria Math" w:cs="Times New Roman"/>
            <w:szCs w:val="24"/>
          </w:rPr>
          <m:t>Y</m:t>
        </m:r>
        <m:r>
          <m:rPr>
            <m:sty m:val="p"/>
          </m:rPr>
          <w:rPr>
            <w:rFonts w:ascii="Cambria Math" w:hAnsi="Cambria Math"/>
            <w:szCs w:val="24"/>
          </w:rPr>
          <m:t>=</m:t>
        </m:r>
        <m:f>
          <m:fPr>
            <m:ctrlPr>
              <w:rPr>
                <w:rFonts w:ascii="Cambria Math" w:hAnsi="Cambria Math"/>
                <w:szCs w:val="24"/>
              </w:rPr>
            </m:ctrlPr>
          </m:fPr>
          <m:num>
            <m:r>
              <m:rPr>
                <m:sty m:val="p"/>
              </m:rPr>
              <w:rPr>
                <w:rFonts w:ascii="Cambria Math" w:hAnsi="Cambria Math"/>
                <w:szCs w:val="24"/>
              </w:rPr>
              <m:t>1</m:t>
            </m:r>
            <m:ctrlPr>
              <w:rPr>
                <w:rFonts w:ascii="Cambria Math" w:hAnsi="Cambria Math"/>
                <w:szCs w:val="24"/>
              </w:rPr>
            </m:ctrlPr>
          </m:num>
          <m:den>
            <m:r>
              <m:rPr/>
              <w:rPr>
                <w:rFonts w:ascii="Cambria Math" w:hAnsi="Cambria Math"/>
                <w:szCs w:val="24"/>
              </w:rPr>
              <m:t>n</m:t>
            </m:r>
            <m:ctrlPr>
              <w:rPr>
                <w:rFonts w:ascii="Cambria Math" w:hAnsi="Cambria Math"/>
                <w:szCs w:val="24"/>
              </w:rPr>
            </m:ctrlPr>
          </m:den>
        </m:f>
        <m:nary>
          <m:naryPr>
            <m:chr m:val="∑"/>
            <m:limLoc m:val="undOvr"/>
            <m:ctrlPr>
              <w:rPr>
                <w:rFonts w:ascii="Cambria Math" w:hAnsi="Cambria Math"/>
                <w:szCs w:val="24"/>
              </w:rPr>
            </m:ctrlPr>
          </m:naryPr>
          <m:sub>
            <m:r>
              <m:rPr/>
              <w:rPr>
                <w:rFonts w:ascii="Cambria Math" w:hAnsi="Cambria Math"/>
                <w:szCs w:val="24"/>
              </w:rPr>
              <m:t>j=1</m:t>
            </m:r>
            <m:ctrlPr>
              <w:rPr>
                <w:rFonts w:ascii="Cambria Math" w:hAnsi="Cambria Math"/>
                <w:szCs w:val="24"/>
              </w:rPr>
            </m:ctrlPr>
          </m:sub>
          <m:sup>
            <m:r>
              <m:rPr/>
              <w:rPr>
                <w:rFonts w:ascii="Cambria Math" w:hAnsi="Cambria Math"/>
                <w:szCs w:val="24"/>
              </w:rPr>
              <m:t>n</m:t>
            </m:r>
            <m:ctrlPr>
              <w:rPr>
                <w:rFonts w:ascii="Cambria Math" w:hAnsi="Cambria Math"/>
                <w:szCs w:val="24"/>
              </w:rPr>
            </m:ctrlPr>
          </m:sup>
          <m:e>
            <m:sSub>
              <m:sSubPr>
                <m:ctrlPr>
                  <w:rPr>
                    <w:rFonts w:ascii="Cambria Math" w:hAnsi="Cambria Math"/>
                    <w:i/>
                    <w:szCs w:val="24"/>
                  </w:rPr>
                </m:ctrlPr>
              </m:sSubPr>
              <m:e>
                <m:r>
                  <m:rPr/>
                  <w:rPr>
                    <w:rFonts w:ascii="Cambria Math" w:hAnsi="Cambria Math"/>
                    <w:szCs w:val="24"/>
                  </w:rPr>
                  <m:t>P</m:t>
                </m:r>
                <m:ctrlPr>
                  <w:rPr>
                    <w:rFonts w:ascii="Cambria Math" w:hAnsi="Cambria Math"/>
                    <w:i/>
                    <w:szCs w:val="24"/>
                  </w:rPr>
                </m:ctrlPr>
              </m:e>
              <m:sub>
                <m:r>
                  <m:rPr/>
                  <w:rPr>
                    <w:rFonts w:ascii="Cambria Math" w:hAnsi="Cambria Math"/>
                    <w:szCs w:val="24"/>
                  </w:rPr>
                  <m:t>j</m:t>
                </m:r>
                <m:ctrlPr>
                  <w:rPr>
                    <w:rFonts w:ascii="Cambria Math" w:hAnsi="Cambria Math"/>
                    <w:i/>
                    <w:szCs w:val="24"/>
                  </w:rPr>
                </m:ctrlPr>
              </m:sub>
            </m:sSub>
            <m:sSub>
              <m:sSubPr>
                <m:ctrlPr>
                  <w:rPr>
                    <w:rFonts w:ascii="Cambria Math" w:hAnsi="Cambria Math"/>
                    <w:i/>
                    <w:szCs w:val="24"/>
                  </w:rPr>
                </m:ctrlPr>
              </m:sSubPr>
              <m:e>
                <m:r>
                  <m:rPr/>
                  <w:rPr>
                    <w:rFonts w:ascii="Cambria Math" w:hAnsi="Cambria Math"/>
                    <w:szCs w:val="24"/>
                  </w:rPr>
                  <m:t>E</m:t>
                </m:r>
                <m:ctrlPr>
                  <w:rPr>
                    <w:rFonts w:ascii="Cambria Math" w:hAnsi="Cambria Math"/>
                    <w:i/>
                    <w:szCs w:val="24"/>
                  </w:rPr>
                </m:ctrlPr>
              </m:e>
              <m:sub>
                <m:r>
                  <m:rPr/>
                  <w:rPr>
                    <w:rFonts w:ascii="Cambria Math" w:hAnsi="Cambria Math"/>
                    <w:szCs w:val="24"/>
                  </w:rPr>
                  <m:t>j</m:t>
                </m:r>
                <m:ctrlPr>
                  <w:rPr>
                    <w:rFonts w:ascii="Cambria Math" w:hAnsi="Cambria Math"/>
                    <w:i/>
                    <w:szCs w:val="24"/>
                  </w:rPr>
                </m:ctrlPr>
              </m:sub>
            </m:sSub>
            <m:ctrlPr>
              <w:rPr>
                <w:rFonts w:ascii="Cambria Math" w:hAnsi="Cambria Math"/>
                <w:szCs w:val="24"/>
              </w:rPr>
            </m:ctrlPr>
          </m:e>
        </m:nary>
      </m:oMath>
      <w:r>
        <w:rPr>
          <w:rFonts w:hint="eastAsia" w:ascii="宋体" w:hAnsi="Cambria Math" w:eastAsia="宋体"/>
          <w:kern w:val="0"/>
          <w:szCs w:val="21"/>
        </w:rPr>
        <w:t xml:space="preserve"> </w:t>
      </w:r>
      <w:r>
        <w:rPr>
          <w:rFonts w:ascii="宋体" w:hAnsi="Cambria Math" w:eastAsia="宋体"/>
          <w:kern w:val="0"/>
          <w:szCs w:val="21"/>
        </w:rPr>
        <w:tab/>
      </w:r>
      <w:r>
        <w:rPr>
          <w:rFonts w:ascii="宋体" w:hAnsi="Cambria Math" w:eastAsia="宋体"/>
          <w:kern w:val="0"/>
          <w:szCs w:val="21"/>
        </w:rPr>
        <w:tab/>
      </w:r>
      <w:r>
        <w:rPr>
          <w:rFonts w:ascii="宋体" w:hAnsi="Cambria Math" w:eastAsia="宋体"/>
          <w:kern w:val="0"/>
          <w:szCs w:val="21"/>
        </w:rPr>
        <w:tab/>
      </w:r>
      <w:r>
        <w:rPr>
          <w:rFonts w:hint="eastAsia" w:ascii="宋体" w:hAnsi="Cambria Math" w:eastAsia="宋体"/>
          <w:kern w:val="0"/>
          <w:szCs w:val="21"/>
        </w:rPr>
        <w:t xml:space="preserve">         </w:t>
      </w:r>
      <w:r>
        <w:rPr>
          <w:rFonts w:eastAsia="宋体" w:cs="Times New Roman"/>
          <w:kern w:val="0"/>
          <w:szCs w:val="21"/>
        </w:rPr>
        <w:t>（</w:t>
      </w:r>
      <w:r>
        <w:rPr>
          <w:rFonts w:hint="eastAsia" w:eastAsia="宋体" w:cs="Times New Roman"/>
          <w:kern w:val="0"/>
          <w:szCs w:val="21"/>
        </w:rPr>
        <w:t>10.4.2</w:t>
      </w:r>
      <w:r>
        <w:rPr>
          <w:rFonts w:eastAsia="宋体" w:cs="Times New Roman"/>
          <w:kern w:val="0"/>
          <w:szCs w:val="21"/>
        </w:rPr>
        <w:t>-1）</w:t>
      </w:r>
    </w:p>
    <w:p w14:paraId="301F98C7">
      <w:pPr>
        <w:ind w:left="2520" w:firstLine="420"/>
        <w:jc w:val="right"/>
      </w:pPr>
      <m:oMath>
        <m:sSub>
          <m:sSubPr>
            <m:ctrlPr>
              <w:rPr>
                <w:rFonts w:ascii="Cambria Math" w:hAnsi="Cambria Math" w:cs="Times New Roman"/>
                <w:i/>
              </w:rPr>
            </m:ctrlPr>
          </m:sSubPr>
          <m:e>
            <m:r>
              <m:rPr/>
              <w:rPr>
                <w:rFonts w:ascii="Cambria Math" w:hAnsi="Cambria Math" w:cs="Times New Roman"/>
              </w:rPr>
              <m:t>Y</m:t>
            </m:r>
            <m:ctrlPr>
              <w:rPr>
                <w:rFonts w:ascii="Cambria Math" w:hAnsi="Cambria Math" w:cs="Times New Roman"/>
                <w:i/>
              </w:rPr>
            </m:ctrlPr>
          </m:e>
          <m:sub>
            <m:r>
              <m:rPr/>
              <w:rPr>
                <w:rFonts w:ascii="Cambria Math" w:hAnsi="Cambria Math" w:cs="Times New Roman"/>
              </w:rPr>
              <m:t>max</m:t>
            </m:r>
            <m:ctrlPr>
              <w:rPr>
                <w:rFonts w:ascii="Cambria Math" w:hAnsi="Cambria Math" w:cs="Times New Roman"/>
                <w:i/>
              </w:rPr>
            </m:ctrlPr>
          </m:sub>
        </m:sSub>
        <m:r>
          <m:rPr>
            <m:sty m:val="bi"/>
          </m:rPr>
          <w:rPr>
            <w:rFonts w:ascii="Cambria Math" w:hAnsi="Cambria Math"/>
          </w:rPr>
          <m:t>=max{</m:t>
        </m:r>
        <m:sSub>
          <m:sSubPr>
            <m:ctrlPr>
              <w:rPr>
                <w:rFonts w:ascii="Cambria Math" w:hAnsi="Cambria Math"/>
                <w:b/>
                <w:bCs/>
                <w:i/>
              </w:rPr>
            </m:ctrlPr>
          </m:sSubPr>
          <m:e>
            <m:r>
              <m:rPr>
                <m:sty m:val="bi"/>
              </m:rPr>
              <w:rPr>
                <w:rFonts w:ascii="Cambria Math" w:hAnsi="Cambria Math"/>
              </w:rPr>
              <m:t>P</m:t>
            </m:r>
            <m:ctrlPr>
              <w:rPr>
                <w:rFonts w:ascii="Cambria Math" w:hAnsi="Cambria Math"/>
                <w:b/>
                <w:bCs/>
                <w:i/>
              </w:rPr>
            </m:ctrlPr>
          </m:e>
          <m:sub>
            <m:r>
              <m:rPr>
                <m:sty m:val="bi"/>
              </m:rPr>
              <w:rPr>
                <w:rFonts w:ascii="Cambria Math" w:hAnsi="Cambria Math"/>
              </w:rPr>
              <m:t>j</m:t>
            </m:r>
            <m:ctrlPr>
              <w:rPr>
                <w:rFonts w:ascii="Cambria Math" w:hAnsi="Cambria Math"/>
                <w:b/>
                <w:bCs/>
                <w:i/>
              </w:rPr>
            </m:ctrlPr>
          </m:sub>
        </m:sSub>
        <m:r>
          <m:rPr>
            <m:sty m:val="bi"/>
          </m:rPr>
          <w:rPr>
            <w:rFonts w:ascii="Cambria Math" w:hAnsi="Cambria Math"/>
          </w:rPr>
          <m:t>}</m:t>
        </m:r>
      </m:oMath>
      <w:r>
        <w:rPr>
          <w:rFonts w:hint="eastAsia"/>
          <w:b/>
          <w:bCs/>
        </w:rPr>
        <w:t xml:space="preserve"> </w:t>
      </w:r>
      <w:r>
        <w:rPr>
          <w:b/>
          <w:bCs/>
        </w:rPr>
        <w:t xml:space="preserve">       </w:t>
      </w:r>
      <w:r>
        <w:rPr>
          <w:rFonts w:hint="eastAsia"/>
          <w:b/>
          <w:bCs/>
        </w:rPr>
        <w:t xml:space="preserve">         </w:t>
      </w:r>
      <w:r>
        <w:rPr>
          <w:b/>
          <w:bCs/>
        </w:rPr>
        <w:t xml:space="preserve">  </w:t>
      </w:r>
      <w:r>
        <w:t xml:space="preserve"> (10.4.2-2</w:t>
      </w:r>
      <w:r>
        <w:rPr>
          <w:rFonts w:hint="eastAsia"/>
        </w:rPr>
        <w:t>）</w:t>
      </w:r>
    </w:p>
    <w:p w14:paraId="46D8A255">
      <w:pPr>
        <w:rPr>
          <w:rFonts w:eastAsia="宋体" w:cs="Times New Roman"/>
        </w:rPr>
      </w:pPr>
      <w:r>
        <w:rPr>
          <w:rFonts w:eastAsia="宋体" w:cs="Times New Roman"/>
        </w:rPr>
        <w:t>式中：</w:t>
      </w:r>
      <m:oMath>
        <m:sSub>
          <m:sSubPr>
            <m:ctrlPr>
              <w:rPr>
                <w:rFonts w:ascii="Cambria Math" w:hAnsi="Cambria Math" w:eastAsia="宋体" w:cs="Times New Roman"/>
                <w:i/>
              </w:rPr>
            </m:ctrlPr>
          </m:sSubPr>
          <m:e>
            <m:r>
              <m:rPr/>
              <w:rPr>
                <w:rFonts w:ascii="Cambria Math" w:hAnsi="Cambria Math" w:eastAsia="宋体" w:cs="Times New Roman"/>
              </w:rPr>
              <m:t>P</m:t>
            </m:r>
            <m:ctrlPr>
              <w:rPr>
                <w:rFonts w:ascii="Cambria Math" w:hAnsi="Cambria Math" w:eastAsia="宋体" w:cs="Times New Roman"/>
                <w:i/>
              </w:rPr>
            </m:ctrlPr>
          </m:e>
          <m:sub>
            <m:r>
              <m:rPr/>
              <w:rPr>
                <w:rFonts w:ascii="Cambria Math" w:hAnsi="Cambria Math" w:eastAsia="宋体" w:cs="Times New Roman"/>
              </w:rPr>
              <m:t>j</m:t>
            </m:r>
            <m:ctrlPr>
              <w:rPr>
                <w:rFonts w:ascii="Cambria Math" w:hAnsi="Cambria Math" w:eastAsia="宋体" w:cs="Times New Roman"/>
                <w:i/>
              </w:rPr>
            </m:ctrlPr>
          </m:sub>
        </m:sSub>
      </m:oMath>
      <w:r>
        <w:rPr>
          <w:rFonts w:eastAsia="宋体" w:cs="Times New Roman"/>
        </w:rPr>
        <w:t xml:space="preserve">—— </w:t>
      </w:r>
      <w:r>
        <w:rPr>
          <w:rFonts w:hint="eastAsia" w:eastAsia="宋体" w:cs="Times New Roman"/>
        </w:rPr>
        <w:t>第j个缺陷的缺陷分值；</w:t>
      </w:r>
    </w:p>
    <w:p w14:paraId="22648D3B">
      <w:pPr>
        <w:ind w:firstLine="720" w:firstLineChars="300"/>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E</m:t>
            </m:r>
            <m:ctrlPr>
              <w:rPr>
                <w:rFonts w:ascii="Cambria Math" w:hAnsi="Cambria Math" w:eastAsia="宋体" w:cs="Times New Roman"/>
                <w:i/>
              </w:rPr>
            </m:ctrlPr>
          </m:e>
          <m:sub>
            <m:r>
              <m:rPr/>
              <w:rPr>
                <w:rFonts w:ascii="Cambria Math" w:hAnsi="Cambria Math" w:eastAsia="宋体" w:cs="Times New Roman"/>
              </w:rPr>
              <m:t>j</m:t>
            </m:r>
            <m:ctrlPr>
              <w:rPr>
                <w:rFonts w:ascii="Cambria Math" w:hAnsi="Cambria Math" w:eastAsia="宋体" w:cs="Times New Roman"/>
                <w:i/>
              </w:rPr>
            </m:ctrlPr>
          </m:sub>
        </m:sSub>
      </m:oMath>
      <w:r>
        <w:rPr>
          <w:rFonts w:eastAsia="宋体" w:cs="Times New Roman"/>
        </w:rPr>
        <w:t xml:space="preserve">—— </w:t>
      </w:r>
      <w:r>
        <w:rPr>
          <w:rFonts w:hint="eastAsia" w:eastAsia="宋体" w:cs="Times New Roman"/>
        </w:rPr>
        <w:t>第j个缺陷的缺陷长度影响系数；</w:t>
      </w:r>
    </w:p>
    <w:p w14:paraId="27D2DDA1">
      <w:pPr>
        <w:ind w:firstLine="482" w:firstLineChars="200"/>
      </w:pPr>
      <w:r>
        <w:rPr>
          <w:rFonts w:hint="eastAsia"/>
          <w:b/>
          <w:bCs/>
        </w:rPr>
        <w:t>2　</w:t>
      </w:r>
      <w:r>
        <w:rPr>
          <w:rFonts w:hint="eastAsia"/>
        </w:rPr>
        <w:t>当管段存在功能性缺陷时，功能性缺陷密度应按下式计算：</w:t>
      </w:r>
    </w:p>
    <w:p w14:paraId="0AE1D14C">
      <w:pPr>
        <w:ind w:left="2580"/>
        <w:jc w:val="right"/>
        <w:rPr>
          <w:rFonts w:eastAsia="宋体" w:cs="Times New Roman"/>
          <w:kern w:val="0"/>
          <w:szCs w:val="21"/>
        </w:rPr>
      </w:pPr>
      <m:oMath>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G</m:t>
            </m:r>
            <m:ctrlPr>
              <w:rPr>
                <w:rFonts w:ascii="Cambria Math" w:hAnsi="Cambria Math"/>
              </w:rPr>
            </m:ctrlPr>
          </m:sub>
        </m:sSub>
        <m:r>
          <m:rPr>
            <m:sty m:val="p"/>
          </m:rPr>
          <w:rPr>
            <w:rFonts w:hint="eastAsia" w:ascii="Cambria Math" w:hAnsi="Cambria Math"/>
          </w:rPr>
          <m:t>=</m:t>
        </m:r>
        <m:f>
          <m:fPr>
            <m:ctrlPr>
              <w:rPr>
                <w:rFonts w:ascii="Cambria Math" w:hAnsi="Cambria Math"/>
              </w:rPr>
            </m:ctrlPr>
          </m:fPr>
          <m:num>
            <m:r>
              <m:rPr/>
              <w:rPr>
                <w:rFonts w:ascii="Cambria Math" w:hAnsi="Cambria Math"/>
              </w:rPr>
              <m:t>1</m:t>
            </m:r>
            <m:ctrlPr>
              <w:rPr>
                <w:rFonts w:ascii="Cambria Math" w:hAnsi="Cambria Math"/>
              </w:rPr>
            </m:ctrlPr>
          </m:num>
          <m:den>
            <m:r>
              <m:rPr/>
              <w:rPr>
                <w:rFonts w:ascii="Cambria Math" w:hAnsi="Cambria Math"/>
              </w:rPr>
              <m:t>YL</m:t>
            </m:r>
            <m:ctrlPr>
              <w:rPr>
                <w:rFonts w:ascii="Cambria Math" w:hAnsi="Cambria Math"/>
              </w:rPr>
            </m:ctrlPr>
          </m:den>
        </m:f>
        <m:nary>
          <m:naryPr>
            <m:chr m:val="∑"/>
            <m:limLoc m:val="undOvr"/>
            <m:ctrlPr>
              <w:rPr>
                <w:rFonts w:ascii="Cambria Math" w:hAnsi="Cambria Math"/>
              </w:rPr>
            </m:ctrlPr>
          </m:naryPr>
          <m:sub>
            <m:r>
              <m:rPr/>
              <w:rPr>
                <w:rFonts w:ascii="Cambria Math" w:hAnsi="Cambria Math"/>
              </w:rPr>
              <m:t>j=1</m:t>
            </m:r>
            <m:ctrlPr>
              <w:rPr>
                <w:rFonts w:ascii="Cambria Math" w:hAnsi="Cambria Math"/>
              </w:rPr>
            </m:ctrlPr>
          </m:sub>
          <m:sup>
            <m:r>
              <m:rPr/>
              <w:rPr>
                <w:rFonts w:ascii="Cambria Math" w:hAnsi="Cambria Math"/>
              </w:rPr>
              <m:t>n</m:t>
            </m:r>
            <m:ctrlPr>
              <w:rPr>
                <w:rFonts w:ascii="Cambria Math" w:hAnsi="Cambria Math"/>
              </w:rPr>
            </m:ctrlPr>
          </m:sup>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 xml:space="preserve"> </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j</m:t>
                </m:r>
                <m:ctrlPr>
                  <w:rPr>
                    <w:rFonts w:ascii="Cambria Math" w:hAnsi="Cambria Math"/>
                    <w:i/>
                  </w:rPr>
                </m:ctrlPr>
              </m:sub>
            </m:sSub>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rPr>
            </m:ctrlPr>
          </m:e>
        </m:nary>
      </m:oMath>
      <w:r>
        <w:rPr>
          <w:rFonts w:hint="eastAsia" w:ascii="宋体" w:hAnsi="Cambria Math" w:eastAsia="宋体"/>
          <w:kern w:val="0"/>
          <w:szCs w:val="21"/>
        </w:rPr>
        <w:t xml:space="preserve">   </w:t>
      </w:r>
      <w:r>
        <w:rPr>
          <w:rFonts w:ascii="宋体" w:hAnsi="Cambria Math" w:eastAsia="宋体"/>
          <w:kern w:val="0"/>
          <w:szCs w:val="21"/>
        </w:rPr>
        <w:t xml:space="preserve">        </w:t>
      </w:r>
      <w:r>
        <w:rPr>
          <w:rFonts w:hint="eastAsia" w:ascii="宋体" w:hAnsi="Cambria Math" w:eastAsia="宋体"/>
          <w:kern w:val="0"/>
          <w:szCs w:val="21"/>
        </w:rPr>
        <w:t xml:space="preserve">   </w:t>
      </w:r>
      <w:r>
        <w:rPr>
          <w:rFonts w:ascii="宋体" w:hAnsi="Cambria Math" w:eastAsia="宋体"/>
          <w:kern w:val="0"/>
          <w:szCs w:val="21"/>
        </w:rPr>
        <w:t xml:space="preserve"> </w:t>
      </w:r>
      <w:r>
        <w:rPr>
          <w:rFonts w:eastAsia="宋体" w:cs="Times New Roman"/>
          <w:kern w:val="0"/>
          <w:szCs w:val="21"/>
        </w:rPr>
        <w:t xml:space="preserve"> （</w:t>
      </w:r>
      <w:r>
        <w:rPr>
          <w:rFonts w:hint="eastAsia" w:eastAsia="宋体" w:cs="Times New Roman"/>
          <w:kern w:val="0"/>
          <w:szCs w:val="21"/>
        </w:rPr>
        <w:t>10.4.2</w:t>
      </w:r>
      <w:r>
        <w:rPr>
          <w:rFonts w:eastAsia="宋体" w:cs="Times New Roman"/>
          <w:kern w:val="0"/>
          <w:szCs w:val="21"/>
        </w:rPr>
        <w:t>-3）</w:t>
      </w:r>
    </w:p>
    <w:p w14:paraId="5146E8D9">
      <w:pPr>
        <w:ind w:left="2520"/>
        <w:jc w:val="right"/>
        <w:rPr>
          <w:rFonts w:eastAsia="宋体" w:cs="Times New Roman"/>
          <w:kern w:val="0"/>
          <w:szCs w:val="21"/>
        </w:rPr>
      </w:pPr>
    </w:p>
    <w:p w14:paraId="696BA897">
      <w:pPr>
        <w:rPr>
          <w:rFonts w:eastAsia="宋体" w:cs="Times New Roman"/>
        </w:rPr>
      </w:pPr>
      <w:r>
        <w:rPr>
          <w:rFonts w:eastAsia="宋体" w:cs="Times New Roman"/>
        </w:rPr>
        <w:t>式中：</w:t>
      </w:r>
      <m:oMath>
        <m:sSub>
          <m:sSubPr>
            <m:ctrlPr>
              <w:rPr>
                <w:rFonts w:ascii="Cambria Math" w:hAnsi="Cambria Math" w:eastAsia="宋体" w:cs="Times New Roman"/>
              </w:rPr>
            </m:ctrlPr>
          </m:sSubPr>
          <m:e>
            <m:r>
              <m:rPr/>
              <w:rPr>
                <w:rFonts w:ascii="Cambria Math" w:hAnsi="Cambria Math" w:eastAsia="宋体" w:cs="Times New Roman"/>
              </w:rPr>
              <m:t>D</m:t>
            </m:r>
            <m:ctrlPr>
              <w:rPr>
                <w:rFonts w:ascii="Cambria Math" w:hAnsi="Cambria Math" w:eastAsia="宋体" w:cs="Times New Roman"/>
              </w:rPr>
            </m:ctrlPr>
          </m:e>
          <m:sub>
            <m:r>
              <m:rPr/>
              <w:rPr>
                <w:rFonts w:ascii="Cambria Math" w:hAnsi="Cambria Math" w:eastAsia="宋体" w:cs="Times New Roman"/>
              </w:rPr>
              <m:t>G</m:t>
            </m:r>
            <m:ctrlPr>
              <w:rPr>
                <w:rFonts w:ascii="Cambria Math" w:hAnsi="Cambria Math" w:eastAsia="宋体" w:cs="Times New Roman"/>
              </w:rPr>
            </m:ctrlPr>
          </m:sub>
        </m:sSub>
      </m:oMath>
      <w:r>
        <w:rPr>
          <w:rFonts w:eastAsia="宋体" w:cs="Times New Roman"/>
        </w:rPr>
        <w:t>——</w:t>
      </w:r>
      <w:r>
        <w:rPr>
          <w:rFonts w:hint="eastAsia" w:eastAsia="宋体" w:cs="Times New Roman"/>
        </w:rPr>
        <w:t>管段功能性缺陷密度；</w:t>
      </w:r>
    </w:p>
    <w:p w14:paraId="59601CAB">
      <w:pPr>
        <w:ind w:firstLine="720"/>
        <w:rPr>
          <w:rFonts w:eastAsia="宋体" w:cs="Times New Roman"/>
        </w:rPr>
      </w:pPr>
      <m:oMath>
        <m:sSub>
          <m:sSubPr>
            <m:ctrlPr>
              <w:rPr>
                <w:rFonts w:ascii="Cambria Math" w:hAnsi="Cambria Math" w:eastAsia="宋体" w:cs="Times New Roman"/>
              </w:rPr>
            </m:ctrlPr>
          </m:sSubPr>
          <m:e>
            <m:r>
              <m:rPr/>
              <w:rPr>
                <w:rFonts w:ascii="Cambria Math" w:hAnsi="Cambria Math" w:eastAsia="宋体" w:cs="Times New Roman"/>
              </w:rPr>
              <m:t>L</m:t>
            </m:r>
            <m:ctrlPr>
              <w:rPr>
                <w:rFonts w:ascii="Cambria Math" w:hAnsi="Cambria Math" w:eastAsia="宋体" w:cs="Times New Roman"/>
              </w:rPr>
            </m:ctrlPr>
          </m:e>
          <m:sub>
            <m:r>
              <m:rPr/>
              <w:rPr>
                <w:rFonts w:ascii="Cambria Math" w:hAnsi="Cambria Math" w:eastAsia="宋体" w:cs="Times New Roman"/>
              </w:rPr>
              <m:t>j</m:t>
            </m:r>
            <m:ctrlPr>
              <w:rPr>
                <w:rFonts w:ascii="Cambria Math" w:hAnsi="Cambria Math" w:eastAsia="宋体" w:cs="Times New Roman"/>
              </w:rPr>
            </m:ctrlPr>
          </m:sub>
        </m:sSub>
      </m:oMath>
      <w:r>
        <w:rPr>
          <w:rFonts w:eastAsia="宋体" w:cs="Times New Roman"/>
        </w:rPr>
        <w:t>——第</w:t>
      </w:r>
      <w:r>
        <w:rPr>
          <w:rFonts w:hint="eastAsia" w:eastAsia="宋体" w:cs="Times New Roman"/>
        </w:rPr>
        <w:t>j</w:t>
      </w:r>
      <w:r>
        <w:rPr>
          <w:rFonts w:eastAsia="宋体" w:cs="Times New Roman"/>
        </w:rPr>
        <w:t>个缺陷的纵向距离长度(m)</w:t>
      </w:r>
      <w:r>
        <w:rPr>
          <w:rFonts w:hint="eastAsia" w:eastAsia="宋体" w:cs="Times New Roman"/>
        </w:rPr>
        <w:t>。</w:t>
      </w:r>
      <w:r>
        <w:rPr>
          <w:rFonts w:ascii="宋体" w:hAnsi="宋体" w:eastAsia="宋体"/>
          <w:kern w:val="0"/>
          <w:szCs w:val="21"/>
        </w:rPr>
        <w:t>当</w:t>
      </w:r>
      <m:oMath>
        <m:sSub>
          <m:sSubPr>
            <m:ctrlPr>
              <w:rPr>
                <w:rFonts w:ascii="Cambria Math" w:hAnsi="Cambria Math" w:cs="Times New Roman"/>
                <w:i/>
              </w:rPr>
            </m:ctrlPr>
          </m:sSubPr>
          <m:e>
            <m:r>
              <m:rPr/>
              <w:rPr>
                <w:rFonts w:ascii="Cambria Math" w:hAnsi="Cambria Math" w:cs="Times New Roman"/>
              </w:rPr>
              <m:t>L</m:t>
            </m:r>
            <m:ctrlPr>
              <w:rPr>
                <w:rFonts w:ascii="Cambria Math" w:hAnsi="Cambria Math" w:cs="Times New Roman"/>
                <w:i/>
              </w:rPr>
            </m:ctrlPr>
          </m:e>
          <m:sub>
            <m:r>
              <m:rPr/>
              <w:rPr>
                <w:rFonts w:ascii="Cambria Math" w:hAnsi="Cambria Math" w:cs="Times New Roman"/>
              </w:rPr>
              <m:t>j</m:t>
            </m:r>
            <m:ctrlPr>
              <w:rPr>
                <w:rFonts w:ascii="Cambria Math" w:hAnsi="Cambria Math" w:cs="Times New Roman"/>
                <w:i/>
              </w:rPr>
            </m:ctrlPr>
          </m:sub>
        </m:sSub>
        <m:r>
          <m:rPr/>
          <w:rPr>
            <w:rFonts w:ascii="Cambria Math" w:hAnsi="Cambria Math" w:cs="Times New Roman"/>
          </w:rPr>
          <m:t xml:space="preserve">≥ </m:t>
        </m:r>
        <m:f>
          <m:fPr>
            <m:ctrlPr>
              <w:rPr>
                <w:rFonts w:ascii="Cambria Math" w:hAnsi="Cambria Math" w:cs="Times New Roman"/>
                <w:i/>
              </w:rPr>
            </m:ctrlPr>
          </m:fPr>
          <m:num>
            <m:r>
              <m:rPr/>
              <w:rPr>
                <w:rFonts w:ascii="Cambria Math" w:hAnsi="Cambria Math" w:cs="Times New Roman"/>
              </w:rPr>
              <m:t>1</m:t>
            </m:r>
            <m:ctrlPr>
              <w:rPr>
                <w:rFonts w:ascii="Cambria Math" w:hAnsi="Cambria Math" w:cs="Times New Roman"/>
                <w:i/>
              </w:rPr>
            </m:ctrlPr>
          </m:num>
          <m:den>
            <m:r>
              <m:rPr/>
              <w:rPr>
                <w:rFonts w:ascii="Cambria Math" w:hAnsi="Cambria Math" w:cs="Times New Roman"/>
              </w:rPr>
              <m:t>10</m:t>
            </m:r>
            <m:ctrlPr>
              <w:rPr>
                <w:rFonts w:ascii="Cambria Math" w:hAnsi="Cambria Math" w:cs="Times New Roman"/>
                <w:i/>
              </w:rPr>
            </m:ctrlPr>
          </m:den>
        </m:f>
        <m:r>
          <m:rPr/>
          <w:rPr>
            <w:rFonts w:ascii="Cambria Math" w:hAnsi="Cambria Math"/>
          </w:rPr>
          <m:t xml:space="preserve"> </m:t>
        </m:r>
      </m:oMath>
      <w:r>
        <w:rPr>
          <w:rFonts w:eastAsia="宋体" w:cs="Times New Roman"/>
          <w:i/>
          <w:iCs/>
        </w:rPr>
        <w:t>L</w:t>
      </w:r>
      <w:r>
        <w:rPr>
          <w:rFonts w:eastAsia="宋体" w:cs="Times New Roman"/>
        </w:rPr>
        <w:t xml:space="preserve"> </w:t>
      </w:r>
      <w:r>
        <w:rPr>
          <w:rFonts w:hint="eastAsia" w:ascii="宋体" w:hAnsi="宋体" w:eastAsia="宋体"/>
          <w:kern w:val="0"/>
          <w:szCs w:val="21"/>
        </w:rPr>
        <w:t>时，</w:t>
      </w:r>
      <m:oMath>
        <m:sSub>
          <m:sSubPr>
            <m:ctrlPr>
              <w:rPr>
                <w:rFonts w:ascii="Cambria Math" w:hAnsi="Cambria Math" w:cs="Times New Roman"/>
                <w:i/>
              </w:rPr>
            </m:ctrlPr>
          </m:sSubPr>
          <m:e>
            <m:r>
              <m:rPr/>
              <w:rPr>
                <w:rFonts w:ascii="Cambria Math" w:hAnsi="Cambria Math" w:cs="Times New Roman"/>
              </w:rPr>
              <m:t>L</m:t>
            </m:r>
            <m:ctrlPr>
              <w:rPr>
                <w:rFonts w:ascii="Cambria Math" w:hAnsi="Cambria Math" w:cs="Times New Roman"/>
                <w:i/>
              </w:rPr>
            </m:ctrlPr>
          </m:e>
          <m:sub>
            <m:r>
              <m:rPr/>
              <w:rPr>
                <w:rFonts w:ascii="Cambria Math" w:hAnsi="Cambria Math" w:cs="Times New Roman"/>
              </w:rPr>
              <m:t>j</m:t>
            </m:r>
            <m:ctrlPr>
              <w:rPr>
                <w:rFonts w:ascii="Cambria Math" w:hAnsi="Cambria Math" w:cs="Times New Roman"/>
                <w:i/>
              </w:rPr>
            </m:ctrlPr>
          </m:sub>
        </m:sSub>
        <m:r>
          <m:rPr/>
          <w:rPr>
            <w:rFonts w:ascii="Cambria Math" w:hAnsi="Cambria Math"/>
          </w:rPr>
          <m:t xml:space="preserve">= </m:t>
        </m:r>
        <m:f>
          <m:fPr>
            <m:ctrlPr>
              <w:rPr>
                <w:rFonts w:ascii="Cambria Math" w:hAnsi="Cambria Math" w:cs="Times New Roman"/>
                <w:i/>
              </w:rPr>
            </m:ctrlPr>
          </m:fPr>
          <m:num>
            <m:r>
              <m:rPr/>
              <w:rPr>
                <w:rFonts w:ascii="Cambria Math" w:hAnsi="Cambria Math" w:cs="Times New Roman"/>
              </w:rPr>
              <m:t>1</m:t>
            </m:r>
            <m:ctrlPr>
              <w:rPr>
                <w:rFonts w:ascii="Cambria Math" w:hAnsi="Cambria Math" w:cs="Times New Roman"/>
                <w:i/>
              </w:rPr>
            </m:ctrlPr>
          </m:num>
          <m:den>
            <m:r>
              <m:rPr/>
              <w:rPr>
                <w:rFonts w:ascii="Cambria Math" w:hAnsi="Cambria Math" w:cs="Times New Roman"/>
              </w:rPr>
              <m:t>10</m:t>
            </m:r>
            <m:ctrlPr>
              <w:rPr>
                <w:rFonts w:ascii="Cambria Math" w:hAnsi="Cambria Math" w:cs="Times New Roman"/>
                <w:i/>
              </w:rPr>
            </m:ctrlPr>
          </m:den>
        </m:f>
        <m:r>
          <m:rPr/>
          <w:rPr>
            <w:rFonts w:ascii="Cambria Math" w:hAnsi="Cambria Math"/>
          </w:rPr>
          <m:t xml:space="preserve"> </m:t>
        </m:r>
      </m:oMath>
      <w:r>
        <w:rPr>
          <w:rFonts w:eastAsia="宋体" w:cs="Times New Roman"/>
          <w:i/>
          <w:iCs/>
        </w:rPr>
        <w:t>L</w:t>
      </w:r>
      <w:r>
        <w:rPr>
          <w:rFonts w:hint="eastAsia" w:eastAsia="宋体" w:cs="Times New Roman"/>
          <w:i/>
          <w:iCs/>
        </w:rPr>
        <w:t>。</w:t>
      </w:r>
    </w:p>
    <w:p w14:paraId="754A6041">
      <w:pPr>
        <w:rPr>
          <w:rFonts w:hint="eastAsia"/>
        </w:rPr>
      </w:pPr>
      <w:r>
        <w:rPr>
          <w:rFonts w:hint="eastAsia"/>
          <w:b/>
          <w:bCs/>
        </w:rPr>
        <w:t>10.4.3　</w:t>
      </w:r>
      <w:r>
        <w:rPr>
          <w:rFonts w:hint="eastAsia"/>
        </w:rPr>
        <w:t>管段功能性缺陷等级评估应符合表10.4.3-1的规定。管段功能性缺陷类型评估可按表10.4.3-2确定。</w:t>
      </w:r>
    </w:p>
    <w:p w14:paraId="6CE5FD7C">
      <w:pPr>
        <w:pStyle w:val="2"/>
      </w:pPr>
    </w:p>
    <w:p w14:paraId="07F38893">
      <w:pPr>
        <w:keepNext/>
        <w:keepLines w:val="0"/>
        <w:pageBreakBefore w:val="0"/>
        <w:widowControl w:val="0"/>
        <w:kinsoku/>
        <w:wordWrap/>
        <w:overflowPunct/>
        <w:topLinePunct w:val="0"/>
        <w:autoSpaceDE/>
        <w:autoSpaceDN/>
        <w:bidi w:val="0"/>
        <w:adjustRightInd/>
        <w:snapToGrid/>
        <w:jc w:val="center"/>
        <w:textAlignment w:val="auto"/>
        <w:rPr>
          <w:b/>
          <w:bCs/>
          <w:sz w:val="21"/>
          <w:szCs w:val="21"/>
        </w:rPr>
      </w:pPr>
      <w:r>
        <w:rPr>
          <w:rFonts w:hint="eastAsia"/>
          <w:b/>
          <w:bCs/>
          <w:sz w:val="21"/>
          <w:szCs w:val="21"/>
        </w:rPr>
        <w:t>表10.4.3-1　管段功能性缺陷等级评估表</w:t>
      </w:r>
    </w:p>
    <w:tbl>
      <w:tblPr>
        <w:tblStyle w:val="30"/>
        <w:tblW w:w="7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5"/>
        <w:gridCol w:w="4956"/>
      </w:tblGrid>
      <w:tr w14:paraId="1913E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85" w:type="dxa"/>
            <w:vAlign w:val="center"/>
          </w:tcPr>
          <w:p w14:paraId="22BF44A6">
            <w:pPr>
              <w:jc w:val="center"/>
              <w:rPr>
                <w:rFonts w:cs="Times New Roman"/>
                <w:sz w:val="21"/>
                <w:szCs w:val="21"/>
              </w:rPr>
            </w:pPr>
            <w:r>
              <w:rPr>
                <w:rFonts w:cs="Times New Roman"/>
                <w:sz w:val="21"/>
                <w:szCs w:val="21"/>
              </w:rPr>
              <w:t>缺陷等级</w:t>
            </w:r>
          </w:p>
        </w:tc>
        <w:tc>
          <w:tcPr>
            <w:tcW w:w="4956" w:type="dxa"/>
            <w:vAlign w:val="center"/>
          </w:tcPr>
          <w:p w14:paraId="116CDDDD">
            <w:pPr>
              <w:jc w:val="center"/>
              <w:rPr>
                <w:rFonts w:cs="Times New Roman"/>
                <w:sz w:val="21"/>
                <w:szCs w:val="21"/>
              </w:rPr>
            </w:pPr>
            <w:r>
              <w:rPr>
                <w:rFonts w:cs="Times New Roman"/>
                <w:sz w:val="21"/>
                <w:szCs w:val="21"/>
              </w:rPr>
              <w:t>评分数值</w:t>
            </w:r>
            <w:r>
              <w:rPr>
                <w:rFonts w:cs="Times New Roman"/>
                <w:i/>
                <w:iCs/>
                <w:sz w:val="21"/>
                <w:szCs w:val="21"/>
              </w:rPr>
              <w:t>G</w:t>
            </w:r>
          </w:p>
        </w:tc>
      </w:tr>
      <w:tr w14:paraId="79E9C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5" w:type="dxa"/>
            <w:vAlign w:val="center"/>
          </w:tcPr>
          <w:p w14:paraId="01E336C1">
            <w:pPr>
              <w:jc w:val="center"/>
              <w:rPr>
                <w:rFonts w:cs="Times New Roman"/>
                <w:sz w:val="21"/>
                <w:szCs w:val="21"/>
              </w:rPr>
            </w:pPr>
            <w:r>
              <w:rPr>
                <w:rFonts w:cs="Times New Roman"/>
                <w:sz w:val="21"/>
                <w:szCs w:val="21"/>
              </w:rPr>
              <w:t>Ⅰ</w:t>
            </w:r>
          </w:p>
        </w:tc>
        <w:tc>
          <w:tcPr>
            <w:tcW w:w="4956" w:type="dxa"/>
            <w:vAlign w:val="center"/>
          </w:tcPr>
          <w:p w14:paraId="7DF2E566">
            <w:pPr>
              <w:jc w:val="center"/>
              <w:rPr>
                <w:rFonts w:cs="Times New Roman"/>
                <w:sz w:val="21"/>
                <w:szCs w:val="21"/>
              </w:rPr>
            </w:pPr>
            <w:r>
              <w:rPr>
                <w:rFonts w:cs="Times New Roman"/>
                <w:i/>
                <w:iCs/>
                <w:sz w:val="21"/>
                <w:szCs w:val="21"/>
              </w:rPr>
              <w:t>G</w:t>
            </w:r>
            <w:r>
              <w:rPr>
                <w:rFonts w:hint="eastAsia" w:cs="Times New Roman"/>
                <w:sz w:val="21"/>
                <w:szCs w:val="21"/>
              </w:rPr>
              <w:t>≤</w:t>
            </w:r>
            <w:r>
              <w:rPr>
                <w:rFonts w:cs="Times New Roman"/>
                <w:sz w:val="21"/>
                <w:szCs w:val="21"/>
              </w:rPr>
              <w:t>1</w:t>
            </w:r>
          </w:p>
        </w:tc>
      </w:tr>
      <w:tr w14:paraId="4C08F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5" w:type="dxa"/>
            <w:vAlign w:val="center"/>
          </w:tcPr>
          <w:p w14:paraId="204EDEC7">
            <w:pPr>
              <w:jc w:val="center"/>
              <w:rPr>
                <w:rFonts w:cs="Times New Roman"/>
                <w:sz w:val="21"/>
                <w:szCs w:val="21"/>
              </w:rPr>
            </w:pPr>
            <w:r>
              <w:rPr>
                <w:rFonts w:cs="Times New Roman"/>
                <w:sz w:val="21"/>
                <w:szCs w:val="21"/>
              </w:rPr>
              <w:t>Ⅱ</w:t>
            </w:r>
          </w:p>
        </w:tc>
        <w:tc>
          <w:tcPr>
            <w:tcW w:w="4956" w:type="dxa"/>
            <w:vAlign w:val="center"/>
          </w:tcPr>
          <w:p w14:paraId="18D9974A">
            <w:pPr>
              <w:jc w:val="center"/>
              <w:rPr>
                <w:rFonts w:cs="Times New Roman"/>
                <w:sz w:val="21"/>
                <w:szCs w:val="21"/>
              </w:rPr>
            </w:pPr>
            <w:r>
              <w:rPr>
                <w:rFonts w:cs="Times New Roman"/>
                <w:sz w:val="21"/>
                <w:szCs w:val="21"/>
              </w:rPr>
              <w:t>1</w:t>
            </w:r>
            <w:r>
              <w:rPr>
                <w:rFonts w:hint="eastAsia" w:cs="Times New Roman"/>
                <w:sz w:val="21"/>
                <w:szCs w:val="21"/>
              </w:rPr>
              <w:t>＜</w:t>
            </w:r>
            <w:r>
              <w:rPr>
                <w:rFonts w:cs="Times New Roman"/>
                <w:i/>
                <w:iCs/>
                <w:sz w:val="21"/>
                <w:szCs w:val="21"/>
              </w:rPr>
              <w:t>G</w:t>
            </w:r>
            <w:r>
              <w:rPr>
                <w:rFonts w:hint="eastAsia" w:cs="Times New Roman"/>
                <w:sz w:val="21"/>
                <w:szCs w:val="21"/>
              </w:rPr>
              <w:t>≤</w:t>
            </w:r>
            <w:r>
              <w:rPr>
                <w:rFonts w:cs="Times New Roman"/>
                <w:sz w:val="21"/>
                <w:szCs w:val="21"/>
              </w:rPr>
              <w:t>4</w:t>
            </w:r>
          </w:p>
        </w:tc>
      </w:tr>
      <w:tr w14:paraId="4F74E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5" w:type="dxa"/>
            <w:vAlign w:val="center"/>
          </w:tcPr>
          <w:p w14:paraId="0E81E826">
            <w:pPr>
              <w:tabs>
                <w:tab w:val="left" w:pos="735"/>
              </w:tabs>
              <w:jc w:val="center"/>
              <w:rPr>
                <w:rFonts w:cs="Times New Roman"/>
                <w:sz w:val="21"/>
                <w:szCs w:val="21"/>
              </w:rPr>
            </w:pPr>
            <w:r>
              <w:rPr>
                <w:rFonts w:cs="Times New Roman"/>
                <w:sz w:val="21"/>
                <w:szCs w:val="21"/>
              </w:rPr>
              <w:t>Ⅲ</w:t>
            </w:r>
          </w:p>
        </w:tc>
        <w:tc>
          <w:tcPr>
            <w:tcW w:w="4956" w:type="dxa"/>
            <w:vAlign w:val="center"/>
          </w:tcPr>
          <w:p w14:paraId="5FBD3CDC">
            <w:pPr>
              <w:jc w:val="center"/>
              <w:rPr>
                <w:rFonts w:cs="Times New Roman"/>
                <w:sz w:val="21"/>
                <w:szCs w:val="21"/>
              </w:rPr>
            </w:pPr>
            <w:r>
              <w:rPr>
                <w:rFonts w:cs="Times New Roman"/>
                <w:sz w:val="21"/>
                <w:szCs w:val="21"/>
              </w:rPr>
              <w:t>4＜</w:t>
            </w:r>
            <w:r>
              <w:rPr>
                <w:rFonts w:cs="Times New Roman"/>
                <w:i/>
                <w:iCs/>
                <w:sz w:val="21"/>
                <w:szCs w:val="21"/>
              </w:rPr>
              <w:t>G</w:t>
            </w:r>
            <w:r>
              <w:rPr>
                <w:rFonts w:hint="eastAsia" w:cs="Times New Roman"/>
                <w:sz w:val="21"/>
                <w:szCs w:val="21"/>
              </w:rPr>
              <w:t>≤</w:t>
            </w:r>
            <w:r>
              <w:rPr>
                <w:rFonts w:cs="Times New Roman"/>
                <w:sz w:val="21"/>
                <w:szCs w:val="21"/>
              </w:rPr>
              <w:t>7</w:t>
            </w:r>
          </w:p>
        </w:tc>
      </w:tr>
      <w:tr w14:paraId="1BF9D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5" w:type="dxa"/>
            <w:vAlign w:val="center"/>
          </w:tcPr>
          <w:p w14:paraId="0EA1804B">
            <w:pPr>
              <w:tabs>
                <w:tab w:val="left" w:pos="735"/>
              </w:tabs>
              <w:jc w:val="center"/>
              <w:rPr>
                <w:rFonts w:cs="Times New Roman"/>
                <w:sz w:val="21"/>
                <w:szCs w:val="21"/>
              </w:rPr>
            </w:pPr>
            <w:r>
              <w:rPr>
                <w:rFonts w:cs="Times New Roman"/>
                <w:sz w:val="21"/>
                <w:szCs w:val="21"/>
              </w:rPr>
              <w:t>Ⅳ</w:t>
            </w:r>
          </w:p>
        </w:tc>
        <w:tc>
          <w:tcPr>
            <w:tcW w:w="4956" w:type="dxa"/>
            <w:vAlign w:val="center"/>
          </w:tcPr>
          <w:p w14:paraId="3F1C7F7F">
            <w:pPr>
              <w:jc w:val="center"/>
              <w:rPr>
                <w:rFonts w:cs="Times New Roman"/>
                <w:sz w:val="21"/>
                <w:szCs w:val="21"/>
              </w:rPr>
            </w:pPr>
            <w:r>
              <w:rPr>
                <w:rFonts w:cs="Times New Roman"/>
                <w:i/>
                <w:iCs/>
                <w:sz w:val="21"/>
                <w:szCs w:val="21"/>
              </w:rPr>
              <w:t>G</w:t>
            </w:r>
            <w:r>
              <w:rPr>
                <w:rFonts w:hint="eastAsia" w:cs="Times New Roman"/>
                <w:sz w:val="21"/>
                <w:szCs w:val="21"/>
              </w:rPr>
              <w:t>＞</w:t>
            </w:r>
            <w:r>
              <w:rPr>
                <w:rFonts w:cs="Times New Roman"/>
                <w:sz w:val="21"/>
                <w:szCs w:val="21"/>
              </w:rPr>
              <w:t>7</w:t>
            </w:r>
          </w:p>
        </w:tc>
      </w:tr>
    </w:tbl>
    <w:p w14:paraId="1A22CEDA">
      <w:pPr>
        <w:jc w:val="left"/>
      </w:pPr>
      <w:bookmarkStart w:id="349" w:name="_Toc18576"/>
    </w:p>
    <w:p w14:paraId="641FCF55">
      <w:pPr>
        <w:jc w:val="center"/>
        <w:rPr>
          <w:b/>
          <w:bCs/>
          <w:sz w:val="21"/>
          <w:szCs w:val="21"/>
        </w:rPr>
      </w:pPr>
      <w:r>
        <w:rPr>
          <w:rFonts w:hint="eastAsia"/>
          <w:b/>
          <w:bCs/>
          <w:sz w:val="21"/>
          <w:szCs w:val="21"/>
        </w:rPr>
        <w:t>表10.4.3-2　管段功能性缺陷类型评估参考表</w:t>
      </w:r>
    </w:p>
    <w:tbl>
      <w:tblPr>
        <w:tblStyle w:val="29"/>
        <w:tblW w:w="0" w:type="auto"/>
        <w:tblInd w:w="53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1770"/>
        <w:gridCol w:w="1930"/>
        <w:gridCol w:w="1440"/>
      </w:tblGrid>
      <w:tr w14:paraId="32353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00" w:type="dxa"/>
            <w:tcBorders>
              <w:tl2br w:val="nil"/>
              <w:tr2bl w:val="nil"/>
            </w:tcBorders>
          </w:tcPr>
          <w:p w14:paraId="18F7951C">
            <w:pPr>
              <w:jc w:val="center"/>
              <w:rPr>
                <w:rFonts w:ascii="宋体" w:hAnsi="宋体" w:eastAsia="宋体" w:cs="宋体"/>
                <w:sz w:val="21"/>
                <w:szCs w:val="21"/>
              </w:rPr>
            </w:pPr>
            <w:r>
              <w:rPr>
                <w:rFonts w:hint="eastAsia" w:ascii="宋体" w:hAnsi="宋体" w:eastAsia="宋体" w:cs="宋体"/>
                <w:sz w:val="21"/>
                <w:szCs w:val="21"/>
              </w:rPr>
              <w:t>缺陷密度</w:t>
            </w:r>
            <m:oMath>
              <m:sSub>
                <m:sSubPr>
                  <m:ctrlPr>
                    <w:rPr>
                      <w:rFonts w:hint="eastAsia" w:ascii="Cambria Math" w:hAnsi="Cambria Math" w:eastAsia="宋体" w:cs="宋体"/>
                      <w:i/>
                      <w:sz w:val="21"/>
                      <w:szCs w:val="21"/>
                    </w:rPr>
                  </m:ctrlPr>
                </m:sSubPr>
                <m:e>
                  <m:r>
                    <m:rPr/>
                    <w:rPr>
                      <w:rFonts w:ascii="Cambria Math" w:hAnsi="Cambria Math" w:eastAsia="宋体" w:cs="宋体"/>
                      <w:sz w:val="21"/>
                      <w:szCs w:val="21"/>
                    </w:rPr>
                    <m:t>D</m:t>
                  </m:r>
                  <m:ctrlPr>
                    <w:rPr>
                      <w:rFonts w:hint="eastAsia" w:ascii="Cambria Math" w:hAnsi="Cambria Math" w:eastAsia="宋体" w:cs="宋体"/>
                      <w:i/>
                      <w:sz w:val="21"/>
                      <w:szCs w:val="21"/>
                    </w:rPr>
                  </m:ctrlPr>
                </m:e>
                <m:sub>
                  <m:r>
                    <m:rPr/>
                    <w:rPr>
                      <w:rFonts w:ascii="Cambria Math" w:hAnsi="Cambria Math" w:eastAsia="宋体" w:cs="宋体"/>
                      <w:sz w:val="21"/>
                      <w:szCs w:val="21"/>
                    </w:rPr>
                    <m:t>G</m:t>
                  </m:r>
                  <m:ctrlPr>
                    <w:rPr>
                      <w:rFonts w:hint="eastAsia" w:ascii="Cambria Math" w:hAnsi="Cambria Math" w:eastAsia="宋体" w:cs="宋体"/>
                      <w:i/>
                      <w:sz w:val="21"/>
                      <w:szCs w:val="21"/>
                    </w:rPr>
                  </m:ctrlPr>
                </m:sub>
              </m:sSub>
            </m:oMath>
          </w:p>
        </w:tc>
        <w:tc>
          <w:tcPr>
            <w:tcW w:w="1770" w:type="dxa"/>
            <w:tcBorders>
              <w:tl2br w:val="nil"/>
              <w:tr2bl w:val="nil"/>
            </w:tcBorders>
          </w:tcPr>
          <w:p w14:paraId="7D200888">
            <w:pPr>
              <w:jc w:val="center"/>
              <w:rPr>
                <w:rFonts w:ascii="宋体" w:hAnsi="宋体" w:eastAsia="宋体" w:cs="宋体"/>
                <w:sz w:val="21"/>
                <w:szCs w:val="21"/>
              </w:rPr>
            </w:pPr>
            <m:oMath>
              <m:sSub>
                <m:sSubPr>
                  <m:ctrlPr>
                    <w:rPr>
                      <w:rFonts w:hint="eastAsia" w:ascii="Cambria Math" w:hAnsi="Cambria Math" w:eastAsia="宋体" w:cs="宋体"/>
                      <w:i/>
                      <w:sz w:val="21"/>
                      <w:szCs w:val="21"/>
                    </w:rPr>
                  </m:ctrlPr>
                </m:sSubPr>
                <m:e>
                  <m:r>
                    <m:rPr/>
                    <w:rPr>
                      <w:rFonts w:ascii="Cambria Math" w:hAnsi="Cambria Math" w:eastAsia="宋体" w:cs="宋体"/>
                      <w:sz w:val="21"/>
                      <w:szCs w:val="21"/>
                    </w:rPr>
                    <m:t>D</m:t>
                  </m:r>
                  <m:ctrlPr>
                    <w:rPr>
                      <w:rFonts w:hint="eastAsia" w:ascii="Cambria Math" w:hAnsi="Cambria Math" w:eastAsia="宋体" w:cs="宋体"/>
                      <w:i/>
                      <w:sz w:val="21"/>
                      <w:szCs w:val="21"/>
                    </w:rPr>
                  </m:ctrlPr>
                </m:e>
                <m:sub>
                  <m:r>
                    <m:rPr/>
                    <w:rPr>
                      <w:rFonts w:ascii="Cambria Math" w:hAnsi="Cambria Math" w:eastAsia="宋体" w:cs="宋体"/>
                      <w:sz w:val="21"/>
                      <w:szCs w:val="21"/>
                    </w:rPr>
                    <m:t>G</m:t>
                  </m:r>
                  <m:ctrlPr>
                    <w:rPr>
                      <w:rFonts w:hint="eastAsia" w:ascii="Cambria Math" w:hAnsi="Cambria Math" w:eastAsia="宋体" w:cs="宋体"/>
                      <w:i/>
                      <w:sz w:val="21"/>
                      <w:szCs w:val="21"/>
                    </w:rPr>
                  </m:ctrlPr>
                </m:sub>
              </m:sSub>
            </m:oMath>
            <w:r>
              <w:rPr>
                <w:rFonts w:hint="eastAsia" w:eastAsia="宋体" w:cs="Times New Roman"/>
                <w:sz w:val="21"/>
                <w:szCs w:val="21"/>
              </w:rPr>
              <w:t>≤</w:t>
            </w:r>
            <w:r>
              <w:rPr>
                <w:rFonts w:hint="eastAsia" w:ascii="宋体" w:hAnsi="宋体" w:eastAsia="宋体" w:cs="宋体"/>
                <w:sz w:val="21"/>
                <w:szCs w:val="21"/>
              </w:rPr>
              <w:t>0.1</w:t>
            </w:r>
          </w:p>
        </w:tc>
        <w:tc>
          <w:tcPr>
            <w:tcW w:w="1930" w:type="dxa"/>
            <w:tcBorders>
              <w:tl2br w:val="nil"/>
              <w:tr2bl w:val="nil"/>
            </w:tcBorders>
          </w:tcPr>
          <w:p w14:paraId="111FDEE6">
            <w:pPr>
              <w:jc w:val="center"/>
              <w:rPr>
                <w:rFonts w:ascii="宋体" w:hAnsi="宋体" w:eastAsia="宋体" w:cs="宋体"/>
                <w:sz w:val="21"/>
                <w:szCs w:val="21"/>
              </w:rPr>
            </w:pPr>
            <w:r>
              <w:rPr>
                <w:rFonts w:hint="eastAsia" w:ascii="宋体" w:hAnsi="宋体" w:eastAsia="宋体" w:cs="宋体"/>
                <w:sz w:val="21"/>
                <w:szCs w:val="21"/>
              </w:rPr>
              <w:t>0.1</w:t>
            </w:r>
            <w:r>
              <w:rPr>
                <w:rFonts w:hint="eastAsia" w:cs="Times New Roman"/>
                <w:sz w:val="21"/>
                <w:szCs w:val="21"/>
              </w:rPr>
              <w:t>＜</w:t>
            </w:r>
            <m:oMath>
              <m:sSub>
                <m:sSubPr>
                  <m:ctrlPr>
                    <w:rPr>
                      <w:rFonts w:hint="eastAsia" w:ascii="Cambria Math" w:hAnsi="Cambria Math" w:eastAsia="宋体" w:cs="宋体"/>
                      <w:i/>
                      <w:sz w:val="21"/>
                      <w:szCs w:val="21"/>
                    </w:rPr>
                  </m:ctrlPr>
                </m:sSubPr>
                <m:e>
                  <m:r>
                    <m:rPr/>
                    <w:rPr>
                      <w:rFonts w:ascii="Cambria Math" w:hAnsi="Cambria Math" w:eastAsia="宋体" w:cs="宋体"/>
                      <w:sz w:val="21"/>
                      <w:szCs w:val="21"/>
                    </w:rPr>
                    <m:t>D</m:t>
                  </m:r>
                  <m:ctrlPr>
                    <w:rPr>
                      <w:rFonts w:hint="eastAsia" w:ascii="Cambria Math" w:hAnsi="Cambria Math" w:eastAsia="宋体" w:cs="宋体"/>
                      <w:i/>
                      <w:sz w:val="21"/>
                      <w:szCs w:val="21"/>
                    </w:rPr>
                  </m:ctrlPr>
                </m:e>
                <m:sub>
                  <m:r>
                    <m:rPr/>
                    <w:rPr>
                      <w:rFonts w:ascii="Cambria Math" w:hAnsi="Cambria Math" w:eastAsia="宋体" w:cs="宋体"/>
                      <w:sz w:val="21"/>
                      <w:szCs w:val="21"/>
                    </w:rPr>
                    <m:t>G</m:t>
                  </m:r>
                  <m:ctrlPr>
                    <w:rPr>
                      <w:rFonts w:hint="eastAsia" w:ascii="Cambria Math" w:hAnsi="Cambria Math" w:eastAsia="宋体" w:cs="宋体"/>
                      <w:i/>
                      <w:sz w:val="21"/>
                      <w:szCs w:val="21"/>
                    </w:rPr>
                  </m:ctrlPr>
                </m:sub>
              </m:sSub>
            </m:oMath>
            <w:r>
              <w:rPr>
                <w:rFonts w:hint="eastAsia" w:eastAsia="宋体" w:cs="Times New Roman"/>
                <w:sz w:val="21"/>
                <w:szCs w:val="21"/>
              </w:rPr>
              <w:t>≤</w:t>
            </w:r>
            <w:r>
              <w:rPr>
                <w:rFonts w:hint="eastAsia" w:ascii="宋体" w:hAnsi="宋体" w:eastAsia="宋体" w:cs="宋体"/>
                <w:sz w:val="21"/>
                <w:szCs w:val="21"/>
              </w:rPr>
              <w:t>0.5</w:t>
            </w:r>
          </w:p>
        </w:tc>
        <w:tc>
          <w:tcPr>
            <w:tcW w:w="1440" w:type="dxa"/>
            <w:tcBorders>
              <w:tl2br w:val="nil"/>
              <w:tr2bl w:val="nil"/>
            </w:tcBorders>
          </w:tcPr>
          <w:p w14:paraId="20EBC522">
            <w:pPr>
              <w:jc w:val="center"/>
              <w:rPr>
                <w:rFonts w:ascii="宋体" w:hAnsi="宋体" w:eastAsia="宋体" w:cs="宋体"/>
                <w:sz w:val="21"/>
                <w:szCs w:val="21"/>
              </w:rPr>
            </w:pPr>
            <m:oMath>
              <m:sSub>
                <m:sSubPr>
                  <m:ctrlPr>
                    <w:rPr>
                      <w:rFonts w:hint="eastAsia" w:ascii="Cambria Math" w:hAnsi="Cambria Math" w:eastAsia="宋体" w:cs="宋体"/>
                      <w:i/>
                      <w:sz w:val="21"/>
                      <w:szCs w:val="21"/>
                    </w:rPr>
                  </m:ctrlPr>
                </m:sSubPr>
                <m:e>
                  <m:r>
                    <m:rPr/>
                    <w:rPr>
                      <w:rFonts w:ascii="Cambria Math" w:hAnsi="Cambria Math" w:eastAsia="宋体" w:cs="宋体"/>
                      <w:sz w:val="21"/>
                      <w:szCs w:val="21"/>
                    </w:rPr>
                    <m:t>D</m:t>
                  </m:r>
                  <m:ctrlPr>
                    <w:rPr>
                      <w:rFonts w:hint="eastAsia" w:ascii="Cambria Math" w:hAnsi="Cambria Math" w:eastAsia="宋体" w:cs="宋体"/>
                      <w:i/>
                      <w:sz w:val="21"/>
                      <w:szCs w:val="21"/>
                    </w:rPr>
                  </m:ctrlPr>
                </m:e>
                <m:sub>
                  <m:r>
                    <m:rPr/>
                    <w:rPr>
                      <w:rFonts w:ascii="Cambria Math" w:hAnsi="Cambria Math" w:eastAsia="宋体" w:cs="宋体"/>
                      <w:sz w:val="21"/>
                      <w:szCs w:val="21"/>
                    </w:rPr>
                    <m:t>G</m:t>
                  </m:r>
                  <m:ctrlPr>
                    <w:rPr>
                      <w:rFonts w:hint="eastAsia" w:ascii="Cambria Math" w:hAnsi="Cambria Math" w:eastAsia="宋体" w:cs="宋体"/>
                      <w:i/>
                      <w:sz w:val="21"/>
                      <w:szCs w:val="21"/>
                    </w:rPr>
                  </m:ctrlPr>
                </m:sub>
              </m:sSub>
            </m:oMath>
            <w:r>
              <w:rPr>
                <w:rFonts w:hint="eastAsia" w:cs="Times New Roman"/>
                <w:sz w:val="21"/>
                <w:szCs w:val="21"/>
              </w:rPr>
              <w:t>＞</w:t>
            </w:r>
            <w:r>
              <w:rPr>
                <w:rFonts w:hint="eastAsia" w:ascii="宋体" w:hAnsi="宋体" w:eastAsia="宋体" w:cs="宋体"/>
                <w:sz w:val="21"/>
                <w:szCs w:val="21"/>
              </w:rPr>
              <w:t>0.5</w:t>
            </w:r>
          </w:p>
        </w:tc>
      </w:tr>
      <w:tr w14:paraId="6041B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00" w:type="dxa"/>
            <w:tcBorders>
              <w:tl2br w:val="nil"/>
              <w:tr2bl w:val="nil"/>
            </w:tcBorders>
          </w:tcPr>
          <w:p w14:paraId="2AECF818">
            <w:pPr>
              <w:jc w:val="center"/>
              <w:rPr>
                <w:rFonts w:ascii="宋体" w:hAnsi="宋体" w:eastAsia="宋体" w:cs="宋体"/>
                <w:sz w:val="21"/>
                <w:szCs w:val="21"/>
              </w:rPr>
            </w:pPr>
            <w:r>
              <w:rPr>
                <w:rFonts w:hint="eastAsia" w:ascii="宋体" w:hAnsi="宋体" w:eastAsia="宋体" w:cs="宋体"/>
                <w:sz w:val="21"/>
                <w:szCs w:val="21"/>
              </w:rPr>
              <w:t>管段功能性缺陷类型</w:t>
            </w:r>
          </w:p>
        </w:tc>
        <w:tc>
          <w:tcPr>
            <w:tcW w:w="1770" w:type="dxa"/>
            <w:tcBorders>
              <w:tl2br w:val="nil"/>
              <w:tr2bl w:val="nil"/>
            </w:tcBorders>
          </w:tcPr>
          <w:p w14:paraId="3546FD46">
            <w:pPr>
              <w:jc w:val="center"/>
              <w:rPr>
                <w:rFonts w:ascii="宋体" w:hAnsi="宋体" w:eastAsia="宋体" w:cs="宋体"/>
                <w:sz w:val="21"/>
                <w:szCs w:val="21"/>
              </w:rPr>
            </w:pPr>
            <w:r>
              <w:rPr>
                <w:rFonts w:hint="eastAsia" w:ascii="宋体" w:hAnsi="宋体" w:eastAsia="宋体" w:cs="宋体"/>
                <w:sz w:val="21"/>
                <w:szCs w:val="21"/>
              </w:rPr>
              <w:t>局部缺陷</w:t>
            </w:r>
          </w:p>
        </w:tc>
        <w:tc>
          <w:tcPr>
            <w:tcW w:w="1930" w:type="dxa"/>
            <w:tcBorders>
              <w:tl2br w:val="nil"/>
              <w:tr2bl w:val="nil"/>
            </w:tcBorders>
          </w:tcPr>
          <w:p w14:paraId="50FC04C7">
            <w:pPr>
              <w:jc w:val="center"/>
              <w:rPr>
                <w:rFonts w:ascii="宋体" w:hAnsi="宋体" w:eastAsia="宋体" w:cs="宋体"/>
                <w:sz w:val="21"/>
                <w:szCs w:val="21"/>
              </w:rPr>
            </w:pPr>
            <w:r>
              <w:rPr>
                <w:rFonts w:hint="eastAsia" w:ascii="宋体" w:hAnsi="宋体" w:eastAsia="宋体" w:cs="宋体"/>
                <w:sz w:val="21"/>
                <w:szCs w:val="21"/>
              </w:rPr>
              <w:t>部分缺陷</w:t>
            </w:r>
          </w:p>
        </w:tc>
        <w:tc>
          <w:tcPr>
            <w:tcW w:w="1440" w:type="dxa"/>
            <w:tcBorders>
              <w:tl2br w:val="nil"/>
              <w:tr2bl w:val="nil"/>
            </w:tcBorders>
          </w:tcPr>
          <w:p w14:paraId="196EFEE5">
            <w:pPr>
              <w:jc w:val="center"/>
              <w:rPr>
                <w:rFonts w:ascii="宋体" w:hAnsi="宋体" w:eastAsia="宋体" w:cs="宋体"/>
                <w:sz w:val="21"/>
                <w:szCs w:val="21"/>
              </w:rPr>
            </w:pPr>
            <w:r>
              <w:rPr>
                <w:rFonts w:hint="eastAsia" w:ascii="宋体" w:hAnsi="宋体" w:eastAsia="宋体" w:cs="宋体"/>
                <w:sz w:val="21"/>
                <w:szCs w:val="21"/>
              </w:rPr>
              <w:t>整体缺陷</w:t>
            </w:r>
          </w:p>
        </w:tc>
      </w:tr>
    </w:tbl>
    <w:p w14:paraId="3C3C05A3">
      <w:pPr>
        <w:jc w:val="left"/>
      </w:pPr>
    </w:p>
    <w:p w14:paraId="5E4D40D9">
      <w:pPr>
        <w:pStyle w:val="5"/>
      </w:pPr>
      <w:bookmarkStart w:id="350" w:name="_Toc29226"/>
      <w:bookmarkStart w:id="351" w:name="_Toc5361"/>
      <w:bookmarkStart w:id="352" w:name="_Toc181825582"/>
      <w:bookmarkStart w:id="353" w:name="_Toc28216"/>
      <w:bookmarkStart w:id="354" w:name="OLE_LINK14"/>
      <w:r>
        <w:rPr>
          <w:rFonts w:hint="eastAsia"/>
        </w:rPr>
        <w:t>10.5　管段失效后果风险评估</w:t>
      </w:r>
      <w:bookmarkEnd w:id="350"/>
      <w:bookmarkEnd w:id="351"/>
      <w:bookmarkEnd w:id="352"/>
      <w:bookmarkEnd w:id="353"/>
    </w:p>
    <w:bookmarkEnd w:id="349"/>
    <w:bookmarkEnd w:id="354"/>
    <w:p w14:paraId="5561C751">
      <w:bookmarkStart w:id="355" w:name="OLE_LINK15"/>
      <w:bookmarkStart w:id="356" w:name="_Toc20561"/>
      <w:r>
        <w:rPr>
          <w:rFonts w:hint="eastAsia"/>
          <w:b/>
          <w:bCs/>
        </w:rPr>
        <w:t>10.5.</w:t>
      </w:r>
      <w:bookmarkEnd w:id="355"/>
      <w:r>
        <w:rPr>
          <w:rFonts w:hint="eastAsia"/>
          <w:b/>
          <w:bCs/>
        </w:rPr>
        <w:t>1　</w:t>
      </w:r>
      <w:r>
        <w:rPr>
          <w:rFonts w:hint="eastAsia"/>
        </w:rPr>
        <w:t>管段失效后果风险评估分值应按下列公式计算：</w:t>
      </w:r>
    </w:p>
    <w:p w14:paraId="254A7B4D">
      <w:pPr>
        <w:tabs>
          <w:tab w:val="left" w:pos="1568"/>
        </w:tabs>
        <w:jc w:val="right"/>
        <w:rPr>
          <w:rFonts w:ascii="宋体" w:hAnsi="宋体" w:eastAsia="宋体" w:cs="黑体"/>
          <w:bCs/>
          <w:kern w:val="44"/>
          <w:szCs w:val="21"/>
        </w:rPr>
      </w:pPr>
      <m:oMath>
        <m:r>
          <m:rPr/>
          <w:rPr>
            <w:rFonts w:ascii="Cambria Math" w:hAnsi="Cambria Math" w:eastAsia="宋体"/>
          </w:rPr>
          <m:t>R=</m:t>
        </m:r>
        <m:nary>
          <m:naryPr>
            <m:chr m:val="∑"/>
            <m:limLoc m:val="undOvr"/>
            <m:ctrlPr>
              <w:rPr>
                <w:rFonts w:ascii="Cambria Math" w:hAnsi="Cambria Math" w:eastAsia="宋体"/>
                <w:i/>
              </w:rPr>
            </m:ctrlPr>
          </m:naryPr>
          <m:sub>
            <m:r>
              <m:rPr/>
              <w:rPr>
                <w:rFonts w:ascii="Cambria Math" w:hAnsi="Cambria Math" w:eastAsia="宋体"/>
              </w:rPr>
              <m:t>1</m:t>
            </m:r>
            <m:ctrlPr>
              <w:rPr>
                <w:rFonts w:ascii="Cambria Math" w:hAnsi="Cambria Math" w:eastAsia="宋体"/>
                <w:i/>
              </w:rPr>
            </m:ctrlPr>
          </m:sub>
          <m:sup>
            <m:r>
              <m:rPr/>
              <w:rPr>
                <w:rFonts w:ascii="Cambria Math" w:hAnsi="Cambria Math" w:eastAsia="宋体"/>
              </w:rPr>
              <m:t>m</m:t>
            </m:r>
            <m:ctrlPr>
              <w:rPr>
                <w:rFonts w:ascii="Cambria Math" w:hAnsi="Cambria Math" w:eastAsia="宋体"/>
                <w:i/>
              </w:rPr>
            </m:ctrlPr>
          </m:sup>
          <m:e>
            <m:sSub>
              <m:sSubPr>
                <m:ctrlPr>
                  <w:rPr>
                    <w:rFonts w:ascii="Cambria Math" w:hAnsi="Cambria Math" w:eastAsia="宋体"/>
                    <w:i/>
                  </w:rPr>
                </m:ctrlPr>
              </m:sSubPr>
              <m:e>
                <m:r>
                  <m:rPr/>
                  <w:rPr>
                    <w:rFonts w:ascii="Cambria Math" w:hAnsi="Cambria Math" w:eastAsia="宋体"/>
                  </w:rPr>
                  <m:t>q</m:t>
                </m:r>
                <m:ctrlPr>
                  <w:rPr>
                    <w:rFonts w:ascii="Cambria Math" w:hAnsi="Cambria Math" w:eastAsia="宋体"/>
                    <w:i/>
                  </w:rPr>
                </m:ctrlPr>
              </m:e>
              <m:sub>
                <m:r>
                  <m:rPr/>
                  <w:rPr>
                    <w:rFonts w:ascii="Cambria Math" w:hAnsi="Cambria Math" w:eastAsia="宋体"/>
                  </w:rPr>
                  <m:t>i</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i</m:t>
                </m:r>
                <m:ctrlPr>
                  <w:rPr>
                    <w:rFonts w:ascii="Cambria Math" w:hAnsi="Cambria Math" w:eastAsia="宋体"/>
                    <w:i/>
                  </w:rPr>
                </m:ctrlPr>
              </m:sub>
            </m:sSub>
            <m:ctrlPr>
              <w:rPr>
                <w:rFonts w:ascii="Cambria Math" w:hAnsi="Cambria Math" w:eastAsia="宋体"/>
                <w:i/>
              </w:rPr>
            </m:ctrlPr>
          </m:e>
        </m:nary>
      </m:oMath>
      <w:r>
        <w:rPr>
          <w:rFonts w:hint="eastAsia" w:hAnsi="Cambria Math" w:eastAsia="宋体"/>
        </w:rPr>
        <w:t xml:space="preserve">                         （10.5.1）</w:t>
      </w:r>
    </w:p>
    <w:p w14:paraId="5B4151C7">
      <w:pPr>
        <w:widowControl/>
        <w:rPr>
          <w:rFonts w:cs="Times New Roman"/>
        </w:rPr>
      </w:pPr>
      <w:r>
        <w:rPr>
          <w:rFonts w:eastAsia="宋体" w:cs="Times New Roman"/>
        </w:rPr>
        <w:t>式中：</w:t>
      </w:r>
      <w:r>
        <w:rPr>
          <w:rFonts w:eastAsia="宋体" w:cs="Times New Roman"/>
          <w:i/>
          <w:iCs/>
        </w:rPr>
        <w:t>R</w:t>
      </w:r>
      <w:r>
        <w:rPr>
          <w:rFonts w:eastAsia="宋体" w:cs="Times New Roman"/>
        </w:rPr>
        <w:t>——</w:t>
      </w:r>
      <w:r>
        <w:rPr>
          <w:rFonts w:hint="eastAsia" w:cs="Times New Roman"/>
        </w:rPr>
        <w:t>管段失效后果风险评估的分值；</w:t>
      </w:r>
    </w:p>
    <w:p w14:paraId="3BA9FAC3">
      <w:pPr>
        <w:widowControl/>
        <w:ind w:firstLine="720" w:firstLineChars="300"/>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q</m:t>
            </m:r>
            <m:ctrlPr>
              <w:rPr>
                <w:rFonts w:ascii="Cambria Math" w:hAnsi="Cambria Math" w:eastAsia="宋体" w:cs="Times New Roman"/>
                <w:i/>
              </w:rPr>
            </m:ctrlPr>
          </m:e>
          <m:sub>
            <m:r>
              <m:rPr/>
              <w:rPr>
                <w:rFonts w:ascii="Cambria Math" w:hAnsi="Cambria Math" w:eastAsia="宋体" w:cs="Times New Roman"/>
              </w:rPr>
              <m:t>i</m:t>
            </m:r>
            <m:ctrlPr>
              <w:rPr>
                <w:rFonts w:ascii="Cambria Math" w:hAnsi="Cambria Math" w:eastAsia="宋体" w:cs="Times New Roman"/>
                <w:i/>
              </w:rPr>
            </m:ctrlPr>
          </m:sub>
        </m:sSub>
      </m:oMath>
      <w:r>
        <w:rPr>
          <w:rFonts w:eastAsia="宋体" w:cs="Times New Roman"/>
        </w:rPr>
        <w:t>——第</w:t>
      </w:r>
      <m:oMath>
        <m:r>
          <m:rPr/>
          <w:rPr>
            <w:rFonts w:ascii="Cambria Math" w:hAnsi="Cambria Math" w:eastAsia="宋体" w:cs="Times New Roman"/>
          </w:rPr>
          <m:t>i</m:t>
        </m:r>
      </m:oMath>
      <w:r>
        <w:rPr>
          <w:rFonts w:eastAsia="宋体" w:cs="Times New Roman"/>
        </w:rPr>
        <w:t>项失效后果风险评估评分系数，</w:t>
      </w:r>
      <w:r>
        <w:rPr>
          <w:rFonts w:hint="eastAsia" w:eastAsia="宋体" w:cs="Times New Roman"/>
        </w:rPr>
        <w:t>按</w:t>
      </w:r>
      <w:r>
        <w:rPr>
          <w:rFonts w:eastAsia="宋体" w:cs="Times New Roman"/>
        </w:rPr>
        <w:t>表</w:t>
      </w:r>
      <w:r>
        <w:rPr>
          <w:rFonts w:hint="eastAsia" w:eastAsia="宋体" w:cs="Times New Roman"/>
        </w:rPr>
        <w:t>10.5.1-1</w:t>
      </w:r>
      <w:r>
        <w:rPr>
          <w:rFonts w:eastAsia="宋体" w:cs="Times New Roman"/>
        </w:rPr>
        <w:t>取值；</w:t>
      </w:r>
    </w:p>
    <w:p w14:paraId="1568DBDA">
      <w:pPr>
        <w:widowControl/>
        <w:ind w:firstLine="720" w:firstLineChars="300"/>
        <w:rPr>
          <w:rFonts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e</m:t>
            </m:r>
            <m:ctrlPr>
              <w:rPr>
                <w:rFonts w:ascii="Cambria Math" w:hAnsi="Cambria Math" w:eastAsia="宋体" w:cs="Times New Roman"/>
                <w:i/>
              </w:rPr>
            </m:ctrlPr>
          </m:e>
          <m:sub>
            <m:r>
              <m:rPr/>
              <w:rPr>
                <w:rFonts w:ascii="Cambria Math" w:hAnsi="Cambria Math" w:eastAsia="宋体" w:cs="Times New Roman"/>
              </w:rPr>
              <m:t>i</m:t>
            </m:r>
            <m:ctrlPr>
              <w:rPr>
                <w:rFonts w:ascii="Cambria Math" w:hAnsi="Cambria Math" w:eastAsia="宋体" w:cs="Times New Roman"/>
                <w:i/>
              </w:rPr>
            </m:ctrlPr>
          </m:sub>
        </m:sSub>
      </m:oMath>
      <w:r>
        <w:rPr>
          <w:rFonts w:eastAsia="宋体" w:cs="Times New Roman"/>
        </w:rPr>
        <w:t>——第</w:t>
      </w:r>
      <m:oMath>
        <m:r>
          <m:rPr/>
          <w:rPr>
            <w:rFonts w:ascii="Cambria Math" w:hAnsi="Cambria Math" w:eastAsia="宋体" w:cs="Times New Roman"/>
          </w:rPr>
          <m:t>i</m:t>
        </m:r>
      </m:oMath>
      <w:r>
        <w:rPr>
          <w:rFonts w:eastAsia="宋体" w:cs="Times New Roman"/>
        </w:rPr>
        <w:t>项失效后果风险评估权重</w:t>
      </w:r>
      <w:r>
        <w:rPr>
          <w:rFonts w:hint="eastAsia" w:eastAsia="宋体" w:cs="Times New Roman"/>
        </w:rPr>
        <w:t>，按表10.5.1-2取值</w:t>
      </w:r>
      <w:r>
        <w:rPr>
          <w:rFonts w:eastAsia="宋体" w:cs="Times New Roman"/>
        </w:rPr>
        <w:t>；</w:t>
      </w:r>
    </w:p>
    <w:p w14:paraId="4519FAA8">
      <w:pPr>
        <w:widowControl/>
        <w:ind w:firstLine="720" w:firstLineChars="300"/>
      </w:pPr>
      <w:r>
        <w:rPr>
          <w:rFonts w:cs="Times New Roman"/>
          <w:i/>
          <w:iCs/>
        </w:rPr>
        <w:t>m</w:t>
      </w:r>
      <w:r>
        <w:rPr>
          <w:rFonts w:cs="Times New Roman"/>
        </w:rPr>
        <w:t>——</w:t>
      </w:r>
      <w:r>
        <w:rPr>
          <w:rFonts w:hint="eastAsia"/>
        </w:rPr>
        <w:t>失效后果评价总数。</w:t>
      </w:r>
    </w:p>
    <w:p w14:paraId="20398790">
      <w:pPr>
        <w:widowControl/>
        <w:snapToGrid w:val="0"/>
        <w:jc w:val="center"/>
        <w:rPr>
          <w:rFonts w:eastAsia="宋体" w:cs="Times New Roman"/>
          <w:b/>
          <w:sz w:val="21"/>
          <w:szCs w:val="21"/>
        </w:rPr>
      </w:pPr>
      <w:r>
        <w:rPr>
          <w:rFonts w:eastAsia="宋体" w:cs="Times New Roman"/>
          <w:b/>
          <w:sz w:val="21"/>
          <w:szCs w:val="21"/>
        </w:rPr>
        <w:t>表</w:t>
      </w:r>
      <w:r>
        <w:rPr>
          <w:rFonts w:hint="eastAsia" w:eastAsia="宋体" w:cs="Times New Roman"/>
          <w:b/>
          <w:sz w:val="21"/>
          <w:szCs w:val="21"/>
        </w:rPr>
        <w:t>10.5.</w:t>
      </w:r>
      <w:r>
        <w:rPr>
          <w:rFonts w:eastAsia="宋体" w:cs="Times New Roman"/>
          <w:b/>
          <w:sz w:val="21"/>
          <w:szCs w:val="21"/>
        </w:rPr>
        <w:t>1</w:t>
      </w:r>
      <w:r>
        <w:rPr>
          <w:rFonts w:hint="eastAsia" w:eastAsia="宋体" w:cs="Times New Roman"/>
          <w:b/>
          <w:sz w:val="21"/>
          <w:szCs w:val="21"/>
        </w:rPr>
        <w:t>-1　</w:t>
      </w:r>
      <w:r>
        <w:rPr>
          <w:rFonts w:eastAsia="宋体" w:cs="Times New Roman"/>
          <w:b/>
          <w:sz w:val="21"/>
          <w:szCs w:val="21"/>
        </w:rPr>
        <w:t>失效后果风险评分系数</w:t>
      </w:r>
    </w:p>
    <w:tbl>
      <w:tblPr>
        <w:tblStyle w:val="30"/>
        <w:tblW w:w="83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363"/>
        <w:gridCol w:w="826"/>
        <w:gridCol w:w="1072"/>
        <w:gridCol w:w="1308"/>
        <w:gridCol w:w="609"/>
        <w:gridCol w:w="1774"/>
      </w:tblGrid>
      <w:tr w14:paraId="2D24A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7" w:type="dxa"/>
            <w:tcBorders>
              <w:tl2br w:val="nil"/>
              <w:tr2bl w:val="nil"/>
            </w:tcBorders>
            <w:vAlign w:val="center"/>
          </w:tcPr>
          <w:p w14:paraId="6897537C">
            <w:pPr>
              <w:widowControl/>
              <w:jc w:val="center"/>
              <w:rPr>
                <w:rFonts w:eastAsia="宋体" w:cs="Times New Roman"/>
                <w:b/>
                <w:sz w:val="21"/>
                <w:szCs w:val="21"/>
              </w:rPr>
            </w:pPr>
            <w:r>
              <w:rPr>
                <w:rFonts w:hint="eastAsia" w:eastAsia="宋体" w:cs="Times New Roman"/>
                <w:b/>
                <w:sz w:val="21"/>
                <w:szCs w:val="21"/>
              </w:rPr>
              <w:t>项目</w:t>
            </w:r>
          </w:p>
        </w:tc>
        <w:tc>
          <w:tcPr>
            <w:tcW w:w="6952" w:type="dxa"/>
            <w:gridSpan w:val="6"/>
            <w:tcBorders>
              <w:tl2br w:val="nil"/>
              <w:tr2bl w:val="nil"/>
            </w:tcBorders>
            <w:vAlign w:val="center"/>
          </w:tcPr>
          <w:p w14:paraId="67D22B83">
            <w:pPr>
              <w:widowControl/>
              <w:jc w:val="center"/>
              <w:rPr>
                <w:rFonts w:eastAsia="宋体" w:cs="Times New Roman"/>
                <w:sz w:val="21"/>
                <w:szCs w:val="21"/>
              </w:rPr>
            </w:pPr>
            <w:r>
              <w:rPr>
                <w:rFonts w:eastAsia="宋体" w:cs="Times New Roman"/>
                <w:b/>
                <w:sz w:val="21"/>
                <w:szCs w:val="21"/>
              </w:rPr>
              <w:t>评分</w:t>
            </w:r>
            <w:r>
              <w:rPr>
                <w:rFonts w:hint="eastAsia" w:eastAsia="宋体" w:cs="Times New Roman"/>
                <w:b/>
                <w:sz w:val="21"/>
                <w:szCs w:val="21"/>
              </w:rPr>
              <w:t>系</w:t>
            </w:r>
            <w:r>
              <w:rPr>
                <w:rFonts w:eastAsia="宋体" w:cs="Times New Roman"/>
                <w:b/>
                <w:sz w:val="21"/>
                <w:szCs w:val="21"/>
              </w:rPr>
              <w:t>数</w:t>
            </w:r>
          </w:p>
        </w:tc>
      </w:tr>
      <w:tr w14:paraId="515D2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7" w:type="dxa"/>
            <w:vMerge w:val="restart"/>
            <w:tcBorders>
              <w:tl2br w:val="nil"/>
              <w:tr2bl w:val="nil"/>
            </w:tcBorders>
            <w:vAlign w:val="center"/>
          </w:tcPr>
          <w:p w14:paraId="6281D3B8">
            <w:pPr>
              <w:widowControl/>
              <w:jc w:val="center"/>
              <w:rPr>
                <w:rFonts w:eastAsia="宋体" w:cs="Times New Roman"/>
                <w:sz w:val="21"/>
                <w:szCs w:val="21"/>
              </w:rPr>
            </w:pPr>
            <w:r>
              <w:rPr>
                <w:rFonts w:eastAsia="宋体" w:cs="Times New Roman"/>
                <w:sz w:val="21"/>
                <w:szCs w:val="21"/>
              </w:rPr>
              <w:t>影响用户量</w:t>
            </w:r>
          </w:p>
        </w:tc>
        <w:tc>
          <w:tcPr>
            <w:tcW w:w="1363" w:type="dxa"/>
            <w:tcBorders>
              <w:tl2br w:val="nil"/>
              <w:tr2bl w:val="nil"/>
            </w:tcBorders>
            <w:vAlign w:val="center"/>
          </w:tcPr>
          <w:p w14:paraId="56F159F0">
            <w:pPr>
              <w:widowControl/>
              <w:jc w:val="center"/>
              <w:rPr>
                <w:rFonts w:eastAsia="宋体" w:cs="Times New Roman"/>
                <w:sz w:val="21"/>
                <w:szCs w:val="21"/>
              </w:rPr>
            </w:pPr>
            <w:r>
              <w:rPr>
                <w:rFonts w:eastAsia="宋体" w:cs="Times New Roman"/>
                <w:sz w:val="21"/>
                <w:szCs w:val="21"/>
              </w:rPr>
              <w:t>0</w:t>
            </w:r>
            <w:r>
              <w:rPr>
                <w:rFonts w:hint="eastAsia" w:eastAsia="宋体" w:cs="Times New Roman"/>
                <w:sz w:val="21"/>
                <w:szCs w:val="21"/>
              </w:rPr>
              <w:t>～</w:t>
            </w:r>
            <w:r>
              <w:rPr>
                <w:rFonts w:eastAsia="宋体" w:cs="Times New Roman"/>
                <w:sz w:val="21"/>
                <w:szCs w:val="21"/>
              </w:rPr>
              <w:t>500</w:t>
            </w:r>
          </w:p>
        </w:tc>
        <w:tc>
          <w:tcPr>
            <w:tcW w:w="1898" w:type="dxa"/>
            <w:gridSpan w:val="2"/>
            <w:tcBorders>
              <w:tl2br w:val="nil"/>
              <w:tr2bl w:val="nil"/>
            </w:tcBorders>
            <w:vAlign w:val="center"/>
          </w:tcPr>
          <w:p w14:paraId="5F58F8B9">
            <w:pPr>
              <w:widowControl/>
              <w:jc w:val="center"/>
              <w:rPr>
                <w:rFonts w:eastAsia="宋体" w:cs="Times New Roman"/>
                <w:sz w:val="21"/>
                <w:szCs w:val="21"/>
              </w:rPr>
            </w:pPr>
            <w:r>
              <w:rPr>
                <w:rFonts w:eastAsia="宋体" w:cs="Times New Roman"/>
                <w:sz w:val="21"/>
                <w:szCs w:val="21"/>
              </w:rPr>
              <w:t>500</w:t>
            </w:r>
            <w:r>
              <w:rPr>
                <w:rFonts w:hint="eastAsia" w:eastAsia="宋体" w:cs="Times New Roman"/>
                <w:sz w:val="21"/>
                <w:szCs w:val="21"/>
              </w:rPr>
              <w:t>～</w:t>
            </w:r>
            <w:r>
              <w:rPr>
                <w:rFonts w:eastAsia="宋体" w:cs="Times New Roman"/>
                <w:sz w:val="21"/>
                <w:szCs w:val="21"/>
              </w:rPr>
              <w:t>1000</w:t>
            </w:r>
          </w:p>
        </w:tc>
        <w:tc>
          <w:tcPr>
            <w:tcW w:w="1917" w:type="dxa"/>
            <w:gridSpan w:val="2"/>
            <w:tcBorders>
              <w:tl2br w:val="nil"/>
              <w:tr2bl w:val="nil"/>
            </w:tcBorders>
            <w:vAlign w:val="center"/>
          </w:tcPr>
          <w:p w14:paraId="1DA6FA71">
            <w:pPr>
              <w:widowControl/>
              <w:jc w:val="center"/>
              <w:rPr>
                <w:rFonts w:eastAsia="宋体" w:cs="Times New Roman"/>
                <w:sz w:val="21"/>
                <w:szCs w:val="21"/>
              </w:rPr>
            </w:pPr>
            <w:r>
              <w:rPr>
                <w:rFonts w:eastAsia="宋体" w:cs="Times New Roman"/>
                <w:sz w:val="21"/>
                <w:szCs w:val="21"/>
              </w:rPr>
              <w:t>1000</w:t>
            </w:r>
            <w:r>
              <w:rPr>
                <w:rFonts w:hint="eastAsia" w:eastAsia="宋体" w:cs="Times New Roman"/>
                <w:sz w:val="21"/>
                <w:szCs w:val="21"/>
              </w:rPr>
              <w:t>～</w:t>
            </w:r>
            <w:r>
              <w:rPr>
                <w:rFonts w:eastAsia="宋体" w:cs="Times New Roman"/>
                <w:sz w:val="21"/>
                <w:szCs w:val="21"/>
              </w:rPr>
              <w:t>2000</w:t>
            </w:r>
          </w:p>
        </w:tc>
        <w:tc>
          <w:tcPr>
            <w:tcW w:w="1774" w:type="dxa"/>
            <w:tcBorders>
              <w:tl2br w:val="nil"/>
              <w:tr2bl w:val="nil"/>
            </w:tcBorders>
            <w:vAlign w:val="center"/>
          </w:tcPr>
          <w:p w14:paraId="1B97F771">
            <w:pPr>
              <w:widowControl/>
              <w:jc w:val="center"/>
              <w:rPr>
                <w:rFonts w:eastAsia="宋体" w:cs="Times New Roman"/>
                <w:sz w:val="21"/>
                <w:szCs w:val="21"/>
              </w:rPr>
            </w:pPr>
            <w:r>
              <w:rPr>
                <w:rFonts w:eastAsia="宋体" w:cs="Times New Roman"/>
                <w:sz w:val="21"/>
                <w:szCs w:val="21"/>
              </w:rPr>
              <w:t>&gt;2000</w:t>
            </w:r>
          </w:p>
        </w:tc>
      </w:tr>
      <w:tr w14:paraId="77DC4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7" w:type="dxa"/>
            <w:vMerge w:val="continue"/>
            <w:tcBorders>
              <w:tl2br w:val="nil"/>
              <w:tr2bl w:val="nil"/>
            </w:tcBorders>
            <w:vAlign w:val="center"/>
          </w:tcPr>
          <w:p w14:paraId="2971A25C">
            <w:pPr>
              <w:widowControl/>
              <w:jc w:val="center"/>
              <w:rPr>
                <w:rFonts w:eastAsia="宋体" w:cs="Times New Roman"/>
                <w:sz w:val="21"/>
                <w:szCs w:val="21"/>
              </w:rPr>
            </w:pPr>
          </w:p>
        </w:tc>
        <w:tc>
          <w:tcPr>
            <w:tcW w:w="1363" w:type="dxa"/>
            <w:tcBorders>
              <w:tl2br w:val="nil"/>
              <w:tr2bl w:val="nil"/>
            </w:tcBorders>
            <w:vAlign w:val="center"/>
          </w:tcPr>
          <w:p w14:paraId="31ACA087">
            <w:pPr>
              <w:widowControl/>
              <w:jc w:val="center"/>
              <w:rPr>
                <w:rFonts w:eastAsia="宋体" w:cs="Times New Roman"/>
                <w:sz w:val="21"/>
                <w:szCs w:val="21"/>
              </w:rPr>
            </w:pPr>
            <w:r>
              <w:rPr>
                <w:rFonts w:eastAsia="宋体" w:cs="Times New Roman"/>
                <w:sz w:val="21"/>
                <w:szCs w:val="21"/>
              </w:rPr>
              <w:t>1</w:t>
            </w:r>
          </w:p>
        </w:tc>
        <w:tc>
          <w:tcPr>
            <w:tcW w:w="1898" w:type="dxa"/>
            <w:gridSpan w:val="2"/>
            <w:tcBorders>
              <w:tl2br w:val="nil"/>
              <w:tr2bl w:val="nil"/>
            </w:tcBorders>
            <w:vAlign w:val="center"/>
          </w:tcPr>
          <w:p w14:paraId="24DE08CD">
            <w:pPr>
              <w:widowControl/>
              <w:jc w:val="center"/>
              <w:rPr>
                <w:rFonts w:eastAsia="宋体" w:cs="Times New Roman"/>
                <w:sz w:val="21"/>
                <w:szCs w:val="21"/>
              </w:rPr>
            </w:pPr>
            <w:r>
              <w:rPr>
                <w:rFonts w:eastAsia="宋体" w:cs="Times New Roman"/>
                <w:sz w:val="21"/>
                <w:szCs w:val="21"/>
              </w:rPr>
              <w:t>4</w:t>
            </w:r>
          </w:p>
        </w:tc>
        <w:tc>
          <w:tcPr>
            <w:tcW w:w="1917" w:type="dxa"/>
            <w:gridSpan w:val="2"/>
            <w:tcBorders>
              <w:tl2br w:val="nil"/>
              <w:tr2bl w:val="nil"/>
            </w:tcBorders>
            <w:vAlign w:val="center"/>
          </w:tcPr>
          <w:p w14:paraId="6828B9A3">
            <w:pPr>
              <w:widowControl/>
              <w:jc w:val="center"/>
              <w:rPr>
                <w:rFonts w:eastAsia="宋体" w:cs="Times New Roman"/>
                <w:sz w:val="21"/>
                <w:szCs w:val="21"/>
              </w:rPr>
            </w:pPr>
            <w:r>
              <w:rPr>
                <w:rFonts w:eastAsia="宋体" w:cs="Times New Roman"/>
                <w:sz w:val="21"/>
                <w:szCs w:val="21"/>
              </w:rPr>
              <w:t>7</w:t>
            </w:r>
          </w:p>
        </w:tc>
        <w:tc>
          <w:tcPr>
            <w:tcW w:w="1774" w:type="dxa"/>
            <w:tcBorders>
              <w:tl2br w:val="nil"/>
              <w:tr2bl w:val="nil"/>
            </w:tcBorders>
            <w:vAlign w:val="center"/>
          </w:tcPr>
          <w:p w14:paraId="59AE39EB">
            <w:pPr>
              <w:widowControl/>
              <w:jc w:val="center"/>
              <w:rPr>
                <w:rFonts w:eastAsia="宋体" w:cs="Times New Roman"/>
                <w:sz w:val="21"/>
                <w:szCs w:val="21"/>
              </w:rPr>
            </w:pPr>
            <w:r>
              <w:rPr>
                <w:rFonts w:eastAsia="宋体" w:cs="Times New Roman"/>
                <w:sz w:val="21"/>
                <w:szCs w:val="21"/>
              </w:rPr>
              <w:t>10</w:t>
            </w:r>
          </w:p>
        </w:tc>
      </w:tr>
      <w:tr w14:paraId="06F3D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7" w:type="dxa"/>
            <w:vMerge w:val="restart"/>
            <w:tcBorders>
              <w:tl2br w:val="nil"/>
              <w:tr2bl w:val="nil"/>
            </w:tcBorders>
            <w:vAlign w:val="center"/>
          </w:tcPr>
          <w:p w14:paraId="52FD6D68">
            <w:pPr>
              <w:widowControl/>
              <w:jc w:val="center"/>
              <w:rPr>
                <w:rFonts w:eastAsia="宋体" w:cs="Times New Roman"/>
                <w:sz w:val="21"/>
                <w:szCs w:val="21"/>
              </w:rPr>
            </w:pPr>
            <w:r>
              <w:rPr>
                <w:rFonts w:eastAsia="宋体" w:cs="Times New Roman"/>
                <w:sz w:val="21"/>
                <w:szCs w:val="21"/>
              </w:rPr>
              <w:t>敷设</w:t>
            </w:r>
            <w:r>
              <w:rPr>
                <w:rFonts w:hint="eastAsia" w:eastAsia="宋体" w:cs="Times New Roman"/>
                <w:sz w:val="21"/>
                <w:szCs w:val="21"/>
              </w:rPr>
              <w:t>区域</w:t>
            </w:r>
          </w:p>
        </w:tc>
        <w:tc>
          <w:tcPr>
            <w:tcW w:w="2189" w:type="dxa"/>
            <w:gridSpan w:val="2"/>
            <w:tcBorders>
              <w:tl2br w:val="nil"/>
              <w:tr2bl w:val="nil"/>
            </w:tcBorders>
            <w:vAlign w:val="center"/>
          </w:tcPr>
          <w:p w14:paraId="2B4BC5D2">
            <w:pPr>
              <w:widowControl/>
              <w:jc w:val="center"/>
              <w:rPr>
                <w:rFonts w:eastAsia="宋体" w:cs="Times New Roman"/>
                <w:sz w:val="21"/>
                <w:szCs w:val="21"/>
              </w:rPr>
            </w:pPr>
            <w:r>
              <w:rPr>
                <w:rFonts w:eastAsia="宋体" w:cs="Times New Roman"/>
                <w:sz w:val="21"/>
                <w:szCs w:val="21"/>
              </w:rPr>
              <w:t>一般区域</w:t>
            </w:r>
          </w:p>
        </w:tc>
        <w:tc>
          <w:tcPr>
            <w:tcW w:w="2380" w:type="dxa"/>
            <w:gridSpan w:val="2"/>
            <w:tcBorders>
              <w:tl2br w:val="nil"/>
              <w:tr2bl w:val="nil"/>
            </w:tcBorders>
            <w:vAlign w:val="center"/>
          </w:tcPr>
          <w:p w14:paraId="098BFCF6">
            <w:pPr>
              <w:widowControl/>
              <w:jc w:val="center"/>
              <w:rPr>
                <w:rFonts w:eastAsia="宋体" w:cs="Times New Roman"/>
                <w:sz w:val="21"/>
                <w:szCs w:val="21"/>
              </w:rPr>
            </w:pPr>
            <w:r>
              <w:rPr>
                <w:rFonts w:eastAsia="宋体" w:cs="Times New Roman"/>
                <w:sz w:val="21"/>
                <w:szCs w:val="21"/>
              </w:rPr>
              <w:t>重点区域临近区</w:t>
            </w:r>
          </w:p>
        </w:tc>
        <w:tc>
          <w:tcPr>
            <w:tcW w:w="2383" w:type="dxa"/>
            <w:gridSpan w:val="2"/>
            <w:tcBorders>
              <w:tl2br w:val="nil"/>
              <w:tr2bl w:val="nil"/>
            </w:tcBorders>
            <w:vAlign w:val="center"/>
          </w:tcPr>
          <w:p w14:paraId="5D231FAF">
            <w:pPr>
              <w:widowControl/>
              <w:jc w:val="center"/>
              <w:rPr>
                <w:rFonts w:eastAsia="宋体" w:cs="Times New Roman"/>
                <w:sz w:val="21"/>
                <w:szCs w:val="21"/>
              </w:rPr>
            </w:pPr>
            <w:r>
              <w:rPr>
                <w:rFonts w:eastAsia="宋体" w:cs="Times New Roman"/>
                <w:sz w:val="21"/>
                <w:szCs w:val="21"/>
              </w:rPr>
              <w:t>重点区域</w:t>
            </w:r>
          </w:p>
        </w:tc>
      </w:tr>
      <w:tr w14:paraId="25D5E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7" w:type="dxa"/>
            <w:vMerge w:val="continue"/>
            <w:tcBorders>
              <w:tl2br w:val="nil"/>
              <w:tr2bl w:val="nil"/>
            </w:tcBorders>
            <w:vAlign w:val="center"/>
          </w:tcPr>
          <w:p w14:paraId="7BCA4EE0">
            <w:pPr>
              <w:widowControl/>
              <w:jc w:val="center"/>
              <w:rPr>
                <w:rFonts w:eastAsia="宋体" w:cs="Times New Roman"/>
                <w:sz w:val="21"/>
                <w:szCs w:val="21"/>
              </w:rPr>
            </w:pPr>
          </w:p>
        </w:tc>
        <w:tc>
          <w:tcPr>
            <w:tcW w:w="2189" w:type="dxa"/>
            <w:gridSpan w:val="2"/>
            <w:tcBorders>
              <w:tl2br w:val="nil"/>
              <w:tr2bl w:val="nil"/>
            </w:tcBorders>
            <w:vAlign w:val="center"/>
          </w:tcPr>
          <w:p w14:paraId="7DF15B7C">
            <w:pPr>
              <w:widowControl/>
              <w:jc w:val="center"/>
              <w:rPr>
                <w:rFonts w:eastAsia="宋体" w:cs="Times New Roman"/>
                <w:sz w:val="21"/>
                <w:szCs w:val="21"/>
              </w:rPr>
            </w:pPr>
            <w:r>
              <w:rPr>
                <w:rFonts w:eastAsia="宋体" w:cs="Times New Roman"/>
                <w:sz w:val="21"/>
                <w:szCs w:val="21"/>
              </w:rPr>
              <w:t>4</w:t>
            </w:r>
          </w:p>
        </w:tc>
        <w:tc>
          <w:tcPr>
            <w:tcW w:w="2380" w:type="dxa"/>
            <w:gridSpan w:val="2"/>
            <w:tcBorders>
              <w:tl2br w:val="nil"/>
              <w:tr2bl w:val="nil"/>
            </w:tcBorders>
            <w:vAlign w:val="center"/>
          </w:tcPr>
          <w:p w14:paraId="7A7FDF08">
            <w:pPr>
              <w:widowControl/>
              <w:jc w:val="center"/>
              <w:rPr>
                <w:rFonts w:eastAsia="宋体" w:cs="Times New Roman"/>
                <w:sz w:val="21"/>
                <w:szCs w:val="21"/>
              </w:rPr>
            </w:pPr>
            <w:r>
              <w:rPr>
                <w:rFonts w:eastAsia="宋体" w:cs="Times New Roman"/>
                <w:sz w:val="21"/>
                <w:szCs w:val="21"/>
              </w:rPr>
              <w:t>6</w:t>
            </w:r>
          </w:p>
        </w:tc>
        <w:tc>
          <w:tcPr>
            <w:tcW w:w="2383" w:type="dxa"/>
            <w:gridSpan w:val="2"/>
            <w:tcBorders>
              <w:tl2br w:val="nil"/>
              <w:tr2bl w:val="nil"/>
            </w:tcBorders>
            <w:vAlign w:val="center"/>
          </w:tcPr>
          <w:p w14:paraId="0CF14B1C">
            <w:pPr>
              <w:widowControl/>
              <w:jc w:val="center"/>
              <w:rPr>
                <w:rFonts w:eastAsia="宋体" w:cs="Times New Roman"/>
                <w:sz w:val="21"/>
                <w:szCs w:val="21"/>
              </w:rPr>
            </w:pPr>
            <w:r>
              <w:rPr>
                <w:rFonts w:eastAsia="宋体" w:cs="Times New Roman"/>
                <w:sz w:val="21"/>
                <w:szCs w:val="21"/>
              </w:rPr>
              <w:t>9</w:t>
            </w:r>
          </w:p>
        </w:tc>
      </w:tr>
      <w:tr w14:paraId="0B6F3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7" w:type="dxa"/>
            <w:vMerge w:val="restart"/>
            <w:tcBorders>
              <w:tl2br w:val="nil"/>
              <w:tr2bl w:val="nil"/>
            </w:tcBorders>
            <w:vAlign w:val="center"/>
          </w:tcPr>
          <w:p w14:paraId="01B837B1">
            <w:pPr>
              <w:widowControl/>
              <w:jc w:val="center"/>
              <w:rPr>
                <w:rFonts w:eastAsia="宋体" w:cs="Times New Roman"/>
                <w:sz w:val="21"/>
                <w:szCs w:val="21"/>
              </w:rPr>
            </w:pPr>
            <w:r>
              <w:rPr>
                <w:rFonts w:eastAsia="宋体" w:cs="Times New Roman"/>
                <w:sz w:val="21"/>
                <w:szCs w:val="21"/>
              </w:rPr>
              <w:t>道路等级</w:t>
            </w:r>
          </w:p>
        </w:tc>
        <w:tc>
          <w:tcPr>
            <w:tcW w:w="2189" w:type="dxa"/>
            <w:gridSpan w:val="2"/>
            <w:tcBorders>
              <w:tl2br w:val="nil"/>
              <w:tr2bl w:val="nil"/>
            </w:tcBorders>
            <w:vAlign w:val="center"/>
          </w:tcPr>
          <w:p w14:paraId="3D6CEC90">
            <w:pPr>
              <w:widowControl/>
              <w:jc w:val="center"/>
              <w:rPr>
                <w:rFonts w:eastAsia="宋体" w:cs="Times New Roman"/>
                <w:sz w:val="21"/>
                <w:szCs w:val="21"/>
              </w:rPr>
            </w:pPr>
            <w:r>
              <w:rPr>
                <w:rFonts w:eastAsia="宋体" w:cs="Times New Roman"/>
                <w:sz w:val="21"/>
                <w:szCs w:val="21"/>
              </w:rPr>
              <w:t>支路</w:t>
            </w:r>
          </w:p>
        </w:tc>
        <w:tc>
          <w:tcPr>
            <w:tcW w:w="2380" w:type="dxa"/>
            <w:gridSpan w:val="2"/>
            <w:tcBorders>
              <w:tl2br w:val="nil"/>
              <w:tr2bl w:val="nil"/>
            </w:tcBorders>
            <w:vAlign w:val="center"/>
          </w:tcPr>
          <w:p w14:paraId="7CAEB3E9">
            <w:pPr>
              <w:widowControl/>
              <w:jc w:val="center"/>
              <w:rPr>
                <w:rFonts w:eastAsia="宋体" w:cs="Times New Roman"/>
                <w:sz w:val="21"/>
                <w:szCs w:val="21"/>
              </w:rPr>
            </w:pPr>
            <w:r>
              <w:rPr>
                <w:rFonts w:eastAsia="宋体" w:cs="Times New Roman"/>
                <w:sz w:val="21"/>
                <w:szCs w:val="21"/>
              </w:rPr>
              <w:t>次干路</w:t>
            </w:r>
          </w:p>
        </w:tc>
        <w:tc>
          <w:tcPr>
            <w:tcW w:w="2383" w:type="dxa"/>
            <w:gridSpan w:val="2"/>
            <w:tcBorders>
              <w:tl2br w:val="nil"/>
              <w:tr2bl w:val="nil"/>
            </w:tcBorders>
            <w:vAlign w:val="center"/>
          </w:tcPr>
          <w:p w14:paraId="0BF1708B">
            <w:pPr>
              <w:widowControl/>
              <w:jc w:val="center"/>
              <w:rPr>
                <w:rFonts w:eastAsia="宋体" w:cs="Times New Roman"/>
                <w:sz w:val="21"/>
                <w:szCs w:val="21"/>
              </w:rPr>
            </w:pPr>
            <w:r>
              <w:rPr>
                <w:rFonts w:eastAsia="宋体" w:cs="Times New Roman"/>
                <w:sz w:val="21"/>
                <w:szCs w:val="21"/>
              </w:rPr>
              <w:t>交通干道</w:t>
            </w:r>
          </w:p>
        </w:tc>
      </w:tr>
      <w:tr w14:paraId="243180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27" w:type="dxa"/>
            <w:vMerge w:val="continue"/>
            <w:tcBorders>
              <w:tl2br w:val="nil"/>
              <w:tr2bl w:val="nil"/>
            </w:tcBorders>
            <w:vAlign w:val="center"/>
          </w:tcPr>
          <w:p w14:paraId="2056B026">
            <w:pPr>
              <w:widowControl/>
              <w:jc w:val="center"/>
              <w:rPr>
                <w:rFonts w:eastAsia="宋体" w:cs="Times New Roman"/>
                <w:sz w:val="21"/>
                <w:szCs w:val="21"/>
              </w:rPr>
            </w:pPr>
          </w:p>
        </w:tc>
        <w:tc>
          <w:tcPr>
            <w:tcW w:w="2189" w:type="dxa"/>
            <w:gridSpan w:val="2"/>
            <w:tcBorders>
              <w:tl2br w:val="nil"/>
              <w:tr2bl w:val="nil"/>
            </w:tcBorders>
            <w:vAlign w:val="center"/>
          </w:tcPr>
          <w:p w14:paraId="2EE1F0B5">
            <w:pPr>
              <w:widowControl/>
              <w:jc w:val="center"/>
              <w:rPr>
                <w:rFonts w:eastAsia="宋体" w:cs="Times New Roman"/>
                <w:sz w:val="21"/>
                <w:szCs w:val="21"/>
              </w:rPr>
            </w:pPr>
            <w:r>
              <w:rPr>
                <w:rFonts w:eastAsia="宋体" w:cs="Times New Roman"/>
                <w:sz w:val="21"/>
                <w:szCs w:val="21"/>
              </w:rPr>
              <w:t>3</w:t>
            </w:r>
          </w:p>
        </w:tc>
        <w:tc>
          <w:tcPr>
            <w:tcW w:w="2380" w:type="dxa"/>
            <w:gridSpan w:val="2"/>
            <w:tcBorders>
              <w:tl2br w:val="nil"/>
              <w:tr2bl w:val="nil"/>
            </w:tcBorders>
            <w:vAlign w:val="center"/>
          </w:tcPr>
          <w:p w14:paraId="5174CBD6">
            <w:pPr>
              <w:widowControl/>
              <w:jc w:val="center"/>
              <w:rPr>
                <w:rFonts w:eastAsia="宋体" w:cs="Times New Roman"/>
                <w:sz w:val="21"/>
                <w:szCs w:val="21"/>
              </w:rPr>
            </w:pPr>
            <w:r>
              <w:rPr>
                <w:rFonts w:eastAsia="宋体" w:cs="Times New Roman"/>
                <w:sz w:val="21"/>
                <w:szCs w:val="21"/>
              </w:rPr>
              <w:t>5</w:t>
            </w:r>
          </w:p>
        </w:tc>
        <w:tc>
          <w:tcPr>
            <w:tcW w:w="2383" w:type="dxa"/>
            <w:gridSpan w:val="2"/>
            <w:tcBorders>
              <w:tl2br w:val="nil"/>
              <w:tr2bl w:val="nil"/>
            </w:tcBorders>
            <w:vAlign w:val="center"/>
          </w:tcPr>
          <w:p w14:paraId="79445635">
            <w:pPr>
              <w:widowControl/>
              <w:jc w:val="center"/>
              <w:rPr>
                <w:rFonts w:eastAsia="宋体" w:cs="Times New Roman"/>
                <w:sz w:val="21"/>
                <w:szCs w:val="21"/>
              </w:rPr>
            </w:pPr>
            <w:r>
              <w:rPr>
                <w:rFonts w:eastAsia="宋体" w:cs="Times New Roman"/>
                <w:sz w:val="21"/>
                <w:szCs w:val="21"/>
              </w:rPr>
              <w:t>8</w:t>
            </w:r>
          </w:p>
        </w:tc>
      </w:tr>
    </w:tbl>
    <w:p w14:paraId="7D972007">
      <w:pPr>
        <w:keepNext/>
        <w:keepLines w:val="0"/>
        <w:pageBreakBefore w:val="0"/>
        <w:widowControl/>
        <w:kinsoku/>
        <w:wordWrap/>
        <w:overflowPunct/>
        <w:topLinePunct w:val="0"/>
        <w:autoSpaceDE/>
        <w:autoSpaceDN/>
        <w:bidi w:val="0"/>
        <w:adjustRightInd/>
        <w:snapToGrid/>
        <w:spacing w:before="156" w:beforeLines="50"/>
        <w:jc w:val="center"/>
        <w:textAlignment w:val="auto"/>
        <w:rPr>
          <w:rFonts w:eastAsia="宋体" w:cs="Times New Roman"/>
          <w:b/>
          <w:sz w:val="21"/>
          <w:szCs w:val="21"/>
        </w:rPr>
      </w:pPr>
      <w:r>
        <w:rPr>
          <w:rFonts w:eastAsia="宋体" w:cs="Times New Roman"/>
          <w:b/>
          <w:sz w:val="21"/>
          <w:szCs w:val="21"/>
        </w:rPr>
        <w:t>表</w:t>
      </w:r>
      <w:r>
        <w:rPr>
          <w:rFonts w:hint="eastAsia" w:eastAsia="宋体" w:cs="Times New Roman"/>
          <w:b/>
          <w:sz w:val="21"/>
          <w:szCs w:val="21"/>
        </w:rPr>
        <w:t>10.5.</w:t>
      </w:r>
      <w:r>
        <w:rPr>
          <w:rFonts w:eastAsia="宋体" w:cs="Times New Roman"/>
          <w:b/>
          <w:sz w:val="21"/>
          <w:szCs w:val="21"/>
        </w:rPr>
        <w:t>1-2　失效后果风险评估权重</w:t>
      </w:r>
    </w:p>
    <w:tbl>
      <w:tblPr>
        <w:tblStyle w:val="30"/>
        <w:tblW w:w="84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2110"/>
        <w:gridCol w:w="2110"/>
        <w:gridCol w:w="2110"/>
      </w:tblGrid>
      <w:tr w14:paraId="6165F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0" w:type="dxa"/>
            <w:tcBorders>
              <w:tl2br w:val="nil"/>
              <w:tr2bl w:val="nil"/>
            </w:tcBorders>
            <w:vAlign w:val="center"/>
          </w:tcPr>
          <w:p w14:paraId="74AB2522">
            <w:pPr>
              <w:widowControl/>
              <w:spacing w:line="240" w:lineRule="auto"/>
              <w:jc w:val="center"/>
              <w:rPr>
                <w:rFonts w:eastAsia="宋体" w:cs="Times New Roman"/>
                <w:sz w:val="21"/>
                <w:szCs w:val="21"/>
              </w:rPr>
            </w:pPr>
            <w:r>
              <w:rPr>
                <w:rFonts w:eastAsia="宋体" w:cs="Times New Roman"/>
                <w:sz w:val="21"/>
                <w:szCs w:val="21"/>
              </w:rPr>
              <w:t>评估指标</w:t>
            </w:r>
          </w:p>
        </w:tc>
        <w:tc>
          <w:tcPr>
            <w:tcW w:w="2110" w:type="dxa"/>
            <w:tcBorders>
              <w:tl2br w:val="nil"/>
              <w:tr2bl w:val="nil"/>
            </w:tcBorders>
            <w:vAlign w:val="center"/>
          </w:tcPr>
          <w:p w14:paraId="3BE8E634">
            <w:pPr>
              <w:widowControl/>
              <w:spacing w:line="240" w:lineRule="auto"/>
              <w:jc w:val="center"/>
              <w:rPr>
                <w:rFonts w:eastAsia="宋体" w:cs="Times New Roman"/>
                <w:sz w:val="21"/>
                <w:szCs w:val="21"/>
              </w:rPr>
            </w:pPr>
            <w:r>
              <w:rPr>
                <w:rFonts w:eastAsia="宋体" w:cs="Times New Roman"/>
                <w:sz w:val="21"/>
                <w:szCs w:val="21"/>
              </w:rPr>
              <w:t>影响用户量</w:t>
            </w:r>
          </w:p>
        </w:tc>
        <w:tc>
          <w:tcPr>
            <w:tcW w:w="2110" w:type="dxa"/>
            <w:tcBorders>
              <w:tl2br w:val="nil"/>
              <w:tr2bl w:val="nil"/>
            </w:tcBorders>
            <w:vAlign w:val="center"/>
          </w:tcPr>
          <w:p w14:paraId="686A0603">
            <w:pPr>
              <w:widowControl/>
              <w:spacing w:line="240" w:lineRule="auto"/>
              <w:jc w:val="center"/>
              <w:rPr>
                <w:rFonts w:eastAsia="宋体" w:cs="Times New Roman"/>
                <w:sz w:val="21"/>
                <w:szCs w:val="21"/>
              </w:rPr>
            </w:pPr>
            <w:r>
              <w:rPr>
                <w:rFonts w:eastAsia="宋体" w:cs="Times New Roman"/>
                <w:sz w:val="21"/>
                <w:szCs w:val="21"/>
              </w:rPr>
              <w:t>敷设</w:t>
            </w:r>
            <w:r>
              <w:rPr>
                <w:rFonts w:hint="eastAsia" w:eastAsia="宋体" w:cs="Times New Roman"/>
                <w:sz w:val="21"/>
                <w:szCs w:val="21"/>
              </w:rPr>
              <w:t>区域</w:t>
            </w:r>
          </w:p>
        </w:tc>
        <w:tc>
          <w:tcPr>
            <w:tcW w:w="2110" w:type="dxa"/>
            <w:tcBorders>
              <w:tl2br w:val="nil"/>
              <w:tr2bl w:val="nil"/>
            </w:tcBorders>
            <w:vAlign w:val="center"/>
          </w:tcPr>
          <w:p w14:paraId="4E75C48E">
            <w:pPr>
              <w:widowControl/>
              <w:spacing w:line="240" w:lineRule="auto"/>
              <w:jc w:val="center"/>
              <w:rPr>
                <w:rFonts w:eastAsia="宋体" w:cs="Times New Roman"/>
                <w:sz w:val="21"/>
                <w:szCs w:val="21"/>
              </w:rPr>
            </w:pPr>
            <w:r>
              <w:rPr>
                <w:rFonts w:eastAsia="宋体" w:cs="Times New Roman"/>
                <w:sz w:val="21"/>
                <w:szCs w:val="21"/>
              </w:rPr>
              <w:t>道路等级</w:t>
            </w:r>
          </w:p>
        </w:tc>
      </w:tr>
      <w:tr w14:paraId="39445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0" w:type="dxa"/>
            <w:tcBorders>
              <w:tl2br w:val="nil"/>
              <w:tr2bl w:val="nil"/>
            </w:tcBorders>
            <w:vAlign w:val="center"/>
          </w:tcPr>
          <w:p w14:paraId="3573DF51">
            <w:pPr>
              <w:widowControl/>
              <w:spacing w:line="240" w:lineRule="auto"/>
              <w:jc w:val="center"/>
              <w:rPr>
                <w:rFonts w:eastAsia="宋体" w:cs="Times New Roman"/>
                <w:sz w:val="21"/>
                <w:szCs w:val="21"/>
              </w:rPr>
            </w:pPr>
            <w:r>
              <w:rPr>
                <w:rFonts w:eastAsia="宋体" w:cs="Times New Roman"/>
                <w:sz w:val="21"/>
                <w:szCs w:val="21"/>
              </w:rPr>
              <w:t>权重</w:t>
            </w:r>
          </w:p>
        </w:tc>
        <w:tc>
          <w:tcPr>
            <w:tcW w:w="2110" w:type="dxa"/>
            <w:tcBorders>
              <w:tl2br w:val="nil"/>
              <w:tr2bl w:val="nil"/>
            </w:tcBorders>
            <w:vAlign w:val="center"/>
          </w:tcPr>
          <w:p w14:paraId="2639EE94">
            <w:pPr>
              <w:widowControl/>
              <w:spacing w:line="240" w:lineRule="auto"/>
              <w:jc w:val="center"/>
              <w:rPr>
                <w:rFonts w:eastAsia="宋体" w:cs="Times New Roman"/>
                <w:sz w:val="21"/>
                <w:szCs w:val="21"/>
              </w:rPr>
            </w:pPr>
            <w:r>
              <w:rPr>
                <w:rFonts w:eastAsia="宋体" w:cs="Times New Roman"/>
                <w:sz w:val="21"/>
                <w:szCs w:val="21"/>
              </w:rPr>
              <w:t>0.5</w:t>
            </w:r>
          </w:p>
        </w:tc>
        <w:tc>
          <w:tcPr>
            <w:tcW w:w="2110" w:type="dxa"/>
            <w:tcBorders>
              <w:tl2br w:val="nil"/>
              <w:tr2bl w:val="nil"/>
            </w:tcBorders>
            <w:vAlign w:val="center"/>
          </w:tcPr>
          <w:p w14:paraId="5B2AFE39">
            <w:pPr>
              <w:widowControl/>
              <w:spacing w:line="240" w:lineRule="auto"/>
              <w:jc w:val="center"/>
              <w:rPr>
                <w:rFonts w:eastAsia="宋体" w:cs="Times New Roman"/>
                <w:sz w:val="21"/>
                <w:szCs w:val="21"/>
              </w:rPr>
            </w:pPr>
            <w:r>
              <w:rPr>
                <w:rFonts w:eastAsia="宋体" w:cs="Times New Roman"/>
                <w:sz w:val="21"/>
                <w:szCs w:val="21"/>
              </w:rPr>
              <w:t>0.3</w:t>
            </w:r>
          </w:p>
        </w:tc>
        <w:tc>
          <w:tcPr>
            <w:tcW w:w="2110" w:type="dxa"/>
            <w:tcBorders>
              <w:tl2br w:val="nil"/>
              <w:tr2bl w:val="nil"/>
            </w:tcBorders>
            <w:vAlign w:val="center"/>
          </w:tcPr>
          <w:p w14:paraId="3C678146">
            <w:pPr>
              <w:widowControl/>
              <w:spacing w:line="240" w:lineRule="auto"/>
              <w:jc w:val="center"/>
              <w:rPr>
                <w:rFonts w:eastAsia="宋体" w:cs="Times New Roman"/>
                <w:sz w:val="21"/>
                <w:szCs w:val="21"/>
              </w:rPr>
            </w:pPr>
            <w:r>
              <w:rPr>
                <w:rFonts w:eastAsia="宋体" w:cs="Times New Roman"/>
                <w:sz w:val="21"/>
                <w:szCs w:val="21"/>
              </w:rPr>
              <w:t>0.2</w:t>
            </w:r>
          </w:p>
        </w:tc>
      </w:tr>
    </w:tbl>
    <w:p w14:paraId="6395A993">
      <w:r>
        <w:rPr>
          <w:rFonts w:hint="eastAsia"/>
          <w:b/>
          <w:bCs/>
        </w:rPr>
        <w:t>10.5.2　</w:t>
      </w:r>
      <w:r>
        <w:rPr>
          <w:rFonts w:hint="eastAsia"/>
        </w:rPr>
        <w:t>管段失效后果等级评估应符合表10.5.2的规定。</w:t>
      </w:r>
    </w:p>
    <w:p w14:paraId="6355FCB4">
      <w:pPr>
        <w:ind w:firstLine="422" w:firstLineChars="200"/>
        <w:jc w:val="center"/>
        <w:rPr>
          <w:rFonts w:cs="Times New Roman"/>
          <w:b/>
          <w:bCs/>
          <w:sz w:val="21"/>
          <w:szCs w:val="21"/>
        </w:rPr>
      </w:pPr>
      <w:r>
        <w:rPr>
          <w:rFonts w:cs="Times New Roman"/>
          <w:b/>
          <w:bCs/>
          <w:sz w:val="21"/>
          <w:szCs w:val="21"/>
        </w:rPr>
        <w:t>表</w:t>
      </w:r>
      <w:r>
        <w:rPr>
          <w:rFonts w:hint="eastAsia" w:cs="Times New Roman"/>
          <w:b/>
          <w:bCs/>
          <w:sz w:val="21"/>
          <w:szCs w:val="21"/>
        </w:rPr>
        <w:t>10.5.2　管段</w:t>
      </w:r>
      <w:r>
        <w:rPr>
          <w:rFonts w:cs="Times New Roman"/>
          <w:b/>
          <w:bCs/>
          <w:sz w:val="21"/>
          <w:szCs w:val="21"/>
        </w:rPr>
        <w:t>失效后果</w:t>
      </w:r>
      <w:r>
        <w:rPr>
          <w:rFonts w:hint="eastAsia" w:cs="Times New Roman"/>
          <w:b/>
          <w:bCs/>
          <w:sz w:val="21"/>
          <w:szCs w:val="21"/>
        </w:rPr>
        <w:t>风险</w:t>
      </w:r>
      <w:r>
        <w:rPr>
          <w:rFonts w:cs="Times New Roman"/>
          <w:b/>
          <w:bCs/>
          <w:sz w:val="21"/>
          <w:szCs w:val="21"/>
        </w:rPr>
        <w:t>等级评估表</w:t>
      </w:r>
    </w:p>
    <w:tbl>
      <w:tblPr>
        <w:tblStyle w:val="30"/>
        <w:tblW w:w="63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3451"/>
      </w:tblGrid>
      <w:tr w14:paraId="7F9809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0" w:type="dxa"/>
            <w:tcBorders>
              <w:tl2br w:val="nil"/>
              <w:tr2bl w:val="nil"/>
            </w:tcBorders>
            <w:vAlign w:val="center"/>
          </w:tcPr>
          <w:p w14:paraId="0151FB8A">
            <w:pPr>
              <w:jc w:val="center"/>
              <w:rPr>
                <w:rFonts w:eastAsia="宋体" w:cs="Times New Roman"/>
                <w:sz w:val="21"/>
                <w:szCs w:val="21"/>
              </w:rPr>
            </w:pPr>
            <w:r>
              <w:rPr>
                <w:rFonts w:eastAsia="宋体" w:cs="Times New Roman"/>
                <w:sz w:val="21"/>
                <w:szCs w:val="21"/>
              </w:rPr>
              <w:t>失效后果风险等级</w:t>
            </w:r>
          </w:p>
        </w:tc>
        <w:tc>
          <w:tcPr>
            <w:tcW w:w="3451" w:type="dxa"/>
            <w:tcBorders>
              <w:tl2br w:val="nil"/>
              <w:tr2bl w:val="nil"/>
            </w:tcBorders>
            <w:vAlign w:val="center"/>
          </w:tcPr>
          <w:p w14:paraId="50FC38CB">
            <w:pPr>
              <w:jc w:val="center"/>
              <w:rPr>
                <w:rFonts w:eastAsia="宋体" w:cs="Times New Roman"/>
                <w:sz w:val="21"/>
                <w:szCs w:val="21"/>
              </w:rPr>
            </w:pPr>
            <w:r>
              <w:rPr>
                <w:rFonts w:eastAsia="宋体" w:cs="Times New Roman"/>
                <w:sz w:val="21"/>
                <w:szCs w:val="21"/>
              </w:rPr>
              <w:t>失效后果风险评</w:t>
            </w:r>
            <w:r>
              <w:rPr>
                <w:rFonts w:hint="eastAsia" w:eastAsia="宋体" w:cs="Times New Roman"/>
                <w:sz w:val="21"/>
                <w:szCs w:val="21"/>
              </w:rPr>
              <w:t>估</w:t>
            </w:r>
            <w:r>
              <w:rPr>
                <w:rFonts w:eastAsia="宋体" w:cs="Times New Roman"/>
                <w:sz w:val="21"/>
                <w:szCs w:val="21"/>
              </w:rPr>
              <w:t>分值</w:t>
            </w:r>
            <w:r>
              <w:rPr>
                <w:rFonts w:eastAsia="宋体" w:cs="Times New Roman"/>
                <w:i/>
                <w:iCs/>
                <w:sz w:val="21"/>
                <w:szCs w:val="21"/>
              </w:rPr>
              <w:t>R</w:t>
            </w:r>
          </w:p>
        </w:tc>
      </w:tr>
      <w:tr w14:paraId="0A0E0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0" w:type="dxa"/>
            <w:tcBorders>
              <w:tl2br w:val="nil"/>
              <w:tr2bl w:val="nil"/>
            </w:tcBorders>
            <w:vAlign w:val="center"/>
          </w:tcPr>
          <w:p w14:paraId="2F1CAC87">
            <w:pPr>
              <w:jc w:val="center"/>
              <w:rPr>
                <w:rFonts w:eastAsia="宋体" w:cs="Times New Roman"/>
                <w:sz w:val="21"/>
                <w:szCs w:val="21"/>
              </w:rPr>
            </w:pPr>
            <w:r>
              <w:rPr>
                <w:rFonts w:hint="eastAsia" w:eastAsia="宋体" w:cs="Times New Roman"/>
                <w:sz w:val="21"/>
                <w:szCs w:val="21"/>
              </w:rPr>
              <w:t>一</w:t>
            </w:r>
          </w:p>
        </w:tc>
        <w:tc>
          <w:tcPr>
            <w:tcW w:w="3451" w:type="dxa"/>
            <w:tcBorders>
              <w:tl2br w:val="nil"/>
              <w:tr2bl w:val="nil"/>
            </w:tcBorders>
            <w:vAlign w:val="center"/>
          </w:tcPr>
          <w:p w14:paraId="321E962C">
            <w:pPr>
              <w:jc w:val="center"/>
              <w:rPr>
                <w:rFonts w:eastAsia="宋体" w:cs="Times New Roman"/>
                <w:sz w:val="21"/>
                <w:szCs w:val="21"/>
              </w:rPr>
            </w:pPr>
            <w:r>
              <w:rPr>
                <w:rFonts w:eastAsia="宋体" w:cs="Times New Roman"/>
                <w:i/>
                <w:iCs/>
                <w:sz w:val="21"/>
                <w:szCs w:val="21"/>
              </w:rPr>
              <w:t>R</w:t>
            </w:r>
            <w:r>
              <w:rPr>
                <w:rFonts w:hint="eastAsia" w:eastAsia="宋体" w:cs="Times New Roman"/>
                <w:sz w:val="21"/>
                <w:szCs w:val="21"/>
              </w:rPr>
              <w:t>＜</w:t>
            </w:r>
            <w:r>
              <w:rPr>
                <w:rFonts w:eastAsia="宋体" w:cs="Times New Roman"/>
                <w:sz w:val="21"/>
                <w:szCs w:val="21"/>
              </w:rPr>
              <w:t>4</w:t>
            </w:r>
          </w:p>
        </w:tc>
      </w:tr>
      <w:tr w14:paraId="51E72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0" w:type="dxa"/>
            <w:tcBorders>
              <w:tl2br w:val="nil"/>
              <w:tr2bl w:val="nil"/>
            </w:tcBorders>
            <w:vAlign w:val="center"/>
          </w:tcPr>
          <w:p w14:paraId="622345FE">
            <w:pPr>
              <w:jc w:val="center"/>
              <w:rPr>
                <w:rFonts w:eastAsia="宋体" w:cs="Times New Roman"/>
                <w:sz w:val="21"/>
                <w:szCs w:val="21"/>
              </w:rPr>
            </w:pPr>
            <w:r>
              <w:rPr>
                <w:rFonts w:hint="eastAsia" w:eastAsia="宋体" w:cs="Times New Roman"/>
                <w:sz w:val="21"/>
                <w:szCs w:val="21"/>
              </w:rPr>
              <w:t>二</w:t>
            </w:r>
          </w:p>
        </w:tc>
        <w:tc>
          <w:tcPr>
            <w:tcW w:w="3451" w:type="dxa"/>
            <w:tcBorders>
              <w:tl2br w:val="nil"/>
              <w:tr2bl w:val="nil"/>
            </w:tcBorders>
            <w:vAlign w:val="center"/>
          </w:tcPr>
          <w:p w14:paraId="121E2E4D">
            <w:pPr>
              <w:jc w:val="center"/>
              <w:rPr>
                <w:rFonts w:eastAsia="宋体" w:cs="Times New Roman"/>
                <w:sz w:val="21"/>
                <w:szCs w:val="21"/>
              </w:rPr>
            </w:pPr>
            <w:r>
              <w:rPr>
                <w:rFonts w:eastAsia="宋体" w:cs="Times New Roman"/>
                <w:sz w:val="21"/>
                <w:szCs w:val="21"/>
              </w:rPr>
              <w:t>4</w:t>
            </w:r>
            <w:r>
              <w:rPr>
                <w:rFonts w:hint="eastAsia" w:eastAsia="宋体" w:cs="Times New Roman"/>
                <w:sz w:val="21"/>
                <w:szCs w:val="21"/>
              </w:rPr>
              <w:t>≤</w:t>
            </w:r>
            <w:r>
              <w:rPr>
                <w:rFonts w:eastAsia="宋体" w:cs="Times New Roman"/>
                <w:i/>
                <w:iCs/>
                <w:sz w:val="21"/>
                <w:szCs w:val="21"/>
              </w:rPr>
              <w:t>R</w:t>
            </w:r>
            <w:r>
              <w:rPr>
                <w:rFonts w:hint="eastAsia" w:eastAsia="宋体" w:cs="Times New Roman"/>
                <w:sz w:val="21"/>
                <w:szCs w:val="21"/>
              </w:rPr>
              <w:t>＜</w:t>
            </w:r>
            <w:r>
              <w:rPr>
                <w:rFonts w:eastAsia="宋体" w:cs="Times New Roman"/>
                <w:sz w:val="21"/>
                <w:szCs w:val="21"/>
              </w:rPr>
              <w:t>7</w:t>
            </w:r>
          </w:p>
        </w:tc>
      </w:tr>
      <w:tr w14:paraId="3ADF2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0" w:type="dxa"/>
            <w:tcBorders>
              <w:tl2br w:val="nil"/>
              <w:tr2bl w:val="nil"/>
            </w:tcBorders>
            <w:vAlign w:val="center"/>
          </w:tcPr>
          <w:p w14:paraId="35CB22FD">
            <w:pPr>
              <w:tabs>
                <w:tab w:val="left" w:pos="735"/>
              </w:tabs>
              <w:jc w:val="center"/>
              <w:rPr>
                <w:rFonts w:eastAsia="宋体" w:cs="Times New Roman"/>
                <w:sz w:val="21"/>
                <w:szCs w:val="21"/>
              </w:rPr>
            </w:pPr>
            <w:r>
              <w:rPr>
                <w:rFonts w:hint="eastAsia" w:eastAsia="宋体" w:cs="Times New Roman"/>
                <w:sz w:val="21"/>
                <w:szCs w:val="21"/>
              </w:rPr>
              <w:t>三</w:t>
            </w:r>
          </w:p>
        </w:tc>
        <w:tc>
          <w:tcPr>
            <w:tcW w:w="3451" w:type="dxa"/>
            <w:tcBorders>
              <w:tl2br w:val="nil"/>
              <w:tr2bl w:val="nil"/>
            </w:tcBorders>
            <w:vAlign w:val="center"/>
          </w:tcPr>
          <w:p w14:paraId="073EF413">
            <w:pPr>
              <w:jc w:val="center"/>
              <w:rPr>
                <w:rFonts w:eastAsia="宋体" w:cs="Times New Roman"/>
                <w:sz w:val="21"/>
                <w:szCs w:val="21"/>
              </w:rPr>
            </w:pPr>
            <w:r>
              <w:rPr>
                <w:rFonts w:eastAsia="宋体" w:cs="Times New Roman"/>
                <w:i/>
                <w:iCs/>
                <w:sz w:val="21"/>
                <w:szCs w:val="21"/>
              </w:rPr>
              <w:t>R</w:t>
            </w:r>
            <w:r>
              <w:rPr>
                <w:rFonts w:hint="eastAsia" w:eastAsia="宋体" w:cs="Times New Roman"/>
                <w:sz w:val="21"/>
                <w:szCs w:val="21"/>
              </w:rPr>
              <w:t>≥</w:t>
            </w:r>
            <w:r>
              <w:rPr>
                <w:rFonts w:eastAsia="宋体" w:cs="Times New Roman"/>
                <w:sz w:val="21"/>
                <w:szCs w:val="21"/>
              </w:rPr>
              <w:t>7</w:t>
            </w:r>
          </w:p>
        </w:tc>
      </w:tr>
    </w:tbl>
    <w:p w14:paraId="7E7CF5E1">
      <w:r>
        <w:rPr>
          <w:rFonts w:hint="eastAsia"/>
          <w:b/>
          <w:bCs/>
        </w:rPr>
        <w:t>10.5.3　</w:t>
      </w:r>
      <w:r>
        <w:rPr>
          <w:rFonts w:hint="eastAsia"/>
        </w:rPr>
        <w:t>管段运行风险等级评估应根据管段缺陷等级与失效后果风险等级的组合确定，宜按表10.5.3执行。</w:t>
      </w:r>
    </w:p>
    <w:p w14:paraId="30B26788">
      <w:pPr>
        <w:jc w:val="center"/>
        <w:rPr>
          <w:b/>
          <w:bCs/>
          <w:sz w:val="21"/>
          <w:szCs w:val="20"/>
        </w:rPr>
      </w:pPr>
      <w:r>
        <w:rPr>
          <w:rFonts w:hint="eastAsia"/>
          <w:b/>
          <w:bCs/>
          <w:sz w:val="21"/>
          <w:szCs w:val="20"/>
        </w:rPr>
        <w:t>表10.5.3　管段运行风险等级评估表</w:t>
      </w:r>
    </w:p>
    <w:tbl>
      <w:tblPr>
        <w:tblStyle w:val="30"/>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479"/>
        <w:gridCol w:w="1337"/>
        <w:gridCol w:w="1200"/>
        <w:gridCol w:w="1410"/>
        <w:gridCol w:w="1200"/>
      </w:tblGrid>
      <w:tr w14:paraId="08634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8" w:type="dxa"/>
            <w:gridSpan w:val="2"/>
            <w:vMerge w:val="restart"/>
            <w:tcBorders>
              <w:tl2br w:val="nil"/>
              <w:tr2bl w:val="nil"/>
            </w:tcBorders>
            <w:vAlign w:val="center"/>
          </w:tcPr>
          <w:p w14:paraId="076C99C2">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管段</w:t>
            </w:r>
            <w:r>
              <w:rPr>
                <w:rFonts w:eastAsia="宋体" w:cs="Times New Roman"/>
                <w:bCs/>
                <w:kern w:val="44"/>
                <w:sz w:val="21"/>
                <w:szCs w:val="21"/>
              </w:rPr>
              <w:t>运行风险等级</w:t>
            </w:r>
          </w:p>
          <w:p w14:paraId="4B7DC8EC">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（结构性/功能性）</w:t>
            </w:r>
          </w:p>
        </w:tc>
        <w:tc>
          <w:tcPr>
            <w:tcW w:w="5147" w:type="dxa"/>
            <w:gridSpan w:val="4"/>
            <w:tcBorders>
              <w:tl2br w:val="nil"/>
              <w:tr2bl w:val="nil"/>
            </w:tcBorders>
            <w:vAlign w:val="center"/>
          </w:tcPr>
          <w:p w14:paraId="64C7A605">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管段缺陷状况等级（结构性/功能性）</w:t>
            </w:r>
          </w:p>
        </w:tc>
      </w:tr>
      <w:tr w14:paraId="3DDB6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8" w:type="dxa"/>
            <w:gridSpan w:val="2"/>
            <w:vMerge w:val="continue"/>
            <w:tcBorders>
              <w:tl2br w:val="nil"/>
              <w:tr2bl w:val="nil"/>
            </w:tcBorders>
            <w:vAlign w:val="center"/>
          </w:tcPr>
          <w:p w14:paraId="07DFF6A1">
            <w:pPr>
              <w:tabs>
                <w:tab w:val="left" w:pos="1568"/>
              </w:tabs>
              <w:spacing w:line="240" w:lineRule="auto"/>
              <w:jc w:val="center"/>
              <w:rPr>
                <w:rFonts w:eastAsia="宋体" w:cs="Times New Roman"/>
                <w:bCs/>
                <w:kern w:val="44"/>
                <w:sz w:val="21"/>
                <w:szCs w:val="21"/>
              </w:rPr>
            </w:pPr>
          </w:p>
        </w:tc>
        <w:tc>
          <w:tcPr>
            <w:tcW w:w="1337" w:type="dxa"/>
            <w:tcBorders>
              <w:tl2br w:val="nil"/>
              <w:tr2bl w:val="nil"/>
            </w:tcBorders>
            <w:vAlign w:val="center"/>
          </w:tcPr>
          <w:p w14:paraId="4AB7AB6B">
            <w:pPr>
              <w:tabs>
                <w:tab w:val="left" w:pos="1568"/>
              </w:tabs>
              <w:spacing w:line="240" w:lineRule="auto"/>
              <w:jc w:val="center"/>
              <w:rPr>
                <w:rFonts w:eastAsia="宋体" w:cs="Times New Roman"/>
                <w:bCs/>
                <w:kern w:val="44"/>
                <w:sz w:val="21"/>
                <w:szCs w:val="21"/>
              </w:rPr>
            </w:pPr>
            <w:r>
              <w:rPr>
                <w:rFonts w:eastAsia="宋体" w:cs="Times New Roman"/>
                <w:sz w:val="21"/>
                <w:szCs w:val="21"/>
              </w:rPr>
              <w:t>Ⅰ</w:t>
            </w:r>
          </w:p>
        </w:tc>
        <w:tc>
          <w:tcPr>
            <w:tcW w:w="1200" w:type="dxa"/>
            <w:tcBorders>
              <w:tl2br w:val="nil"/>
              <w:tr2bl w:val="nil"/>
            </w:tcBorders>
            <w:vAlign w:val="center"/>
          </w:tcPr>
          <w:p w14:paraId="748DE919">
            <w:pPr>
              <w:tabs>
                <w:tab w:val="left" w:pos="1568"/>
              </w:tabs>
              <w:spacing w:line="240" w:lineRule="auto"/>
              <w:jc w:val="center"/>
              <w:rPr>
                <w:rFonts w:eastAsia="宋体" w:cs="Times New Roman"/>
                <w:bCs/>
                <w:kern w:val="44"/>
                <w:sz w:val="21"/>
                <w:szCs w:val="21"/>
              </w:rPr>
            </w:pPr>
            <w:r>
              <w:rPr>
                <w:rFonts w:eastAsia="宋体" w:cs="Times New Roman"/>
                <w:sz w:val="21"/>
                <w:szCs w:val="21"/>
              </w:rPr>
              <w:t>Ⅱ</w:t>
            </w:r>
          </w:p>
        </w:tc>
        <w:tc>
          <w:tcPr>
            <w:tcW w:w="1410" w:type="dxa"/>
            <w:tcBorders>
              <w:tl2br w:val="nil"/>
              <w:tr2bl w:val="nil"/>
            </w:tcBorders>
            <w:vAlign w:val="center"/>
          </w:tcPr>
          <w:p w14:paraId="7409C924">
            <w:pPr>
              <w:tabs>
                <w:tab w:val="left" w:pos="1568"/>
              </w:tabs>
              <w:spacing w:line="240" w:lineRule="auto"/>
              <w:jc w:val="center"/>
              <w:rPr>
                <w:rFonts w:eastAsia="宋体" w:cs="Times New Roman"/>
                <w:bCs/>
                <w:kern w:val="44"/>
                <w:sz w:val="21"/>
                <w:szCs w:val="21"/>
              </w:rPr>
            </w:pPr>
            <w:r>
              <w:rPr>
                <w:rFonts w:eastAsia="宋体" w:cs="Times New Roman"/>
                <w:sz w:val="21"/>
                <w:szCs w:val="21"/>
              </w:rPr>
              <w:t>Ⅲ</w:t>
            </w:r>
          </w:p>
        </w:tc>
        <w:tc>
          <w:tcPr>
            <w:tcW w:w="1200" w:type="dxa"/>
            <w:tcBorders>
              <w:tl2br w:val="nil"/>
              <w:tr2bl w:val="nil"/>
            </w:tcBorders>
            <w:vAlign w:val="center"/>
          </w:tcPr>
          <w:p w14:paraId="48A0EBE0">
            <w:pPr>
              <w:tabs>
                <w:tab w:val="left" w:pos="1568"/>
              </w:tabs>
              <w:spacing w:line="240" w:lineRule="auto"/>
              <w:jc w:val="center"/>
              <w:rPr>
                <w:rFonts w:eastAsia="宋体" w:cs="Times New Roman"/>
                <w:sz w:val="21"/>
                <w:szCs w:val="21"/>
              </w:rPr>
            </w:pPr>
            <w:r>
              <w:rPr>
                <w:rFonts w:hint="eastAsia" w:eastAsia="宋体" w:cs="Times New Roman"/>
                <w:sz w:val="21"/>
                <w:szCs w:val="21"/>
              </w:rPr>
              <w:t>Ⅳ</w:t>
            </w:r>
          </w:p>
        </w:tc>
      </w:tr>
      <w:tr w14:paraId="69682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9" w:type="dxa"/>
            <w:vMerge w:val="restart"/>
            <w:tcBorders>
              <w:tl2br w:val="nil"/>
              <w:tr2bl w:val="nil"/>
            </w:tcBorders>
            <w:vAlign w:val="center"/>
          </w:tcPr>
          <w:p w14:paraId="3E6398D3">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管段</w:t>
            </w:r>
            <w:r>
              <w:rPr>
                <w:rFonts w:eastAsia="宋体" w:cs="Times New Roman"/>
                <w:bCs/>
                <w:kern w:val="44"/>
                <w:sz w:val="21"/>
                <w:szCs w:val="21"/>
              </w:rPr>
              <w:t>失效后果风险等级</w:t>
            </w:r>
          </w:p>
        </w:tc>
        <w:tc>
          <w:tcPr>
            <w:tcW w:w="1479" w:type="dxa"/>
            <w:tcBorders>
              <w:tl2br w:val="nil"/>
              <w:tr2bl w:val="nil"/>
            </w:tcBorders>
            <w:vAlign w:val="center"/>
          </w:tcPr>
          <w:p w14:paraId="3CA0EAF1">
            <w:pPr>
              <w:jc w:val="center"/>
              <w:rPr>
                <w:rFonts w:eastAsia="宋体" w:cs="Times New Roman"/>
                <w:bCs/>
                <w:kern w:val="44"/>
                <w:sz w:val="21"/>
                <w:szCs w:val="21"/>
              </w:rPr>
            </w:pPr>
            <w:r>
              <w:rPr>
                <w:rFonts w:hint="eastAsia" w:eastAsia="宋体" w:cs="Times New Roman"/>
                <w:sz w:val="21"/>
                <w:szCs w:val="21"/>
              </w:rPr>
              <w:t>一</w:t>
            </w:r>
          </w:p>
        </w:tc>
        <w:tc>
          <w:tcPr>
            <w:tcW w:w="1337" w:type="dxa"/>
            <w:tcBorders>
              <w:tl2br w:val="nil"/>
              <w:tr2bl w:val="nil"/>
            </w:tcBorders>
            <w:vAlign w:val="center"/>
          </w:tcPr>
          <w:p w14:paraId="14442208">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低</w:t>
            </w:r>
          </w:p>
        </w:tc>
        <w:tc>
          <w:tcPr>
            <w:tcW w:w="1200" w:type="dxa"/>
            <w:tcBorders>
              <w:tl2br w:val="nil"/>
              <w:tr2bl w:val="nil"/>
            </w:tcBorders>
            <w:vAlign w:val="center"/>
          </w:tcPr>
          <w:p w14:paraId="4FD2FA18">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低</w:t>
            </w:r>
          </w:p>
        </w:tc>
        <w:tc>
          <w:tcPr>
            <w:tcW w:w="1410" w:type="dxa"/>
            <w:tcBorders>
              <w:tl2br w:val="nil"/>
              <w:tr2bl w:val="nil"/>
            </w:tcBorders>
            <w:vAlign w:val="center"/>
          </w:tcPr>
          <w:p w14:paraId="2B03F590">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中</w:t>
            </w:r>
          </w:p>
        </w:tc>
        <w:tc>
          <w:tcPr>
            <w:tcW w:w="1200" w:type="dxa"/>
            <w:tcBorders>
              <w:tl2br w:val="nil"/>
              <w:tr2bl w:val="nil"/>
            </w:tcBorders>
            <w:vAlign w:val="center"/>
          </w:tcPr>
          <w:p w14:paraId="1872371D">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高</w:t>
            </w:r>
          </w:p>
        </w:tc>
      </w:tr>
      <w:tr w14:paraId="101A3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9" w:type="dxa"/>
            <w:vMerge w:val="continue"/>
            <w:tcBorders>
              <w:tl2br w:val="nil"/>
              <w:tr2bl w:val="nil"/>
            </w:tcBorders>
            <w:vAlign w:val="center"/>
          </w:tcPr>
          <w:p w14:paraId="769881FB">
            <w:pPr>
              <w:tabs>
                <w:tab w:val="left" w:pos="1568"/>
              </w:tabs>
              <w:spacing w:line="240" w:lineRule="auto"/>
              <w:rPr>
                <w:rFonts w:eastAsia="宋体" w:cs="Times New Roman"/>
                <w:bCs/>
                <w:kern w:val="44"/>
                <w:sz w:val="21"/>
                <w:szCs w:val="21"/>
              </w:rPr>
            </w:pPr>
          </w:p>
        </w:tc>
        <w:tc>
          <w:tcPr>
            <w:tcW w:w="1479" w:type="dxa"/>
            <w:tcBorders>
              <w:tl2br w:val="nil"/>
              <w:tr2bl w:val="nil"/>
            </w:tcBorders>
            <w:vAlign w:val="center"/>
          </w:tcPr>
          <w:p w14:paraId="3AF73048">
            <w:pPr>
              <w:jc w:val="center"/>
              <w:rPr>
                <w:rFonts w:eastAsia="宋体" w:cs="Times New Roman"/>
                <w:bCs/>
                <w:kern w:val="44"/>
                <w:sz w:val="21"/>
                <w:szCs w:val="21"/>
              </w:rPr>
            </w:pPr>
            <w:r>
              <w:rPr>
                <w:rFonts w:hint="eastAsia" w:eastAsia="宋体" w:cs="Times New Roman"/>
                <w:sz w:val="21"/>
                <w:szCs w:val="21"/>
              </w:rPr>
              <w:t>二</w:t>
            </w:r>
          </w:p>
        </w:tc>
        <w:tc>
          <w:tcPr>
            <w:tcW w:w="1337" w:type="dxa"/>
            <w:tcBorders>
              <w:tl2br w:val="nil"/>
              <w:tr2bl w:val="nil"/>
            </w:tcBorders>
            <w:vAlign w:val="center"/>
          </w:tcPr>
          <w:p w14:paraId="65815BAD">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低</w:t>
            </w:r>
          </w:p>
        </w:tc>
        <w:tc>
          <w:tcPr>
            <w:tcW w:w="1200" w:type="dxa"/>
            <w:tcBorders>
              <w:tl2br w:val="nil"/>
              <w:tr2bl w:val="nil"/>
            </w:tcBorders>
            <w:vAlign w:val="center"/>
          </w:tcPr>
          <w:p w14:paraId="40E86D08">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中</w:t>
            </w:r>
          </w:p>
        </w:tc>
        <w:tc>
          <w:tcPr>
            <w:tcW w:w="1410" w:type="dxa"/>
            <w:tcBorders>
              <w:tl2br w:val="nil"/>
              <w:tr2bl w:val="nil"/>
            </w:tcBorders>
            <w:vAlign w:val="center"/>
          </w:tcPr>
          <w:p w14:paraId="7F1645B2">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高</w:t>
            </w:r>
          </w:p>
        </w:tc>
        <w:tc>
          <w:tcPr>
            <w:tcW w:w="1200" w:type="dxa"/>
            <w:tcBorders>
              <w:tl2br w:val="nil"/>
              <w:tr2bl w:val="nil"/>
            </w:tcBorders>
            <w:vAlign w:val="center"/>
          </w:tcPr>
          <w:p w14:paraId="56E0D324">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高</w:t>
            </w:r>
          </w:p>
        </w:tc>
      </w:tr>
      <w:tr w14:paraId="0AA10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9" w:type="dxa"/>
            <w:vMerge w:val="continue"/>
            <w:tcBorders>
              <w:tl2br w:val="nil"/>
              <w:tr2bl w:val="nil"/>
            </w:tcBorders>
            <w:vAlign w:val="center"/>
          </w:tcPr>
          <w:p w14:paraId="2BE90D79">
            <w:pPr>
              <w:tabs>
                <w:tab w:val="left" w:pos="1568"/>
              </w:tabs>
              <w:spacing w:line="240" w:lineRule="auto"/>
              <w:rPr>
                <w:rFonts w:eastAsia="宋体" w:cs="Times New Roman"/>
                <w:bCs/>
                <w:kern w:val="44"/>
                <w:sz w:val="21"/>
                <w:szCs w:val="21"/>
              </w:rPr>
            </w:pPr>
          </w:p>
        </w:tc>
        <w:tc>
          <w:tcPr>
            <w:tcW w:w="1479" w:type="dxa"/>
            <w:tcBorders>
              <w:tl2br w:val="nil"/>
              <w:tr2bl w:val="nil"/>
            </w:tcBorders>
            <w:vAlign w:val="center"/>
          </w:tcPr>
          <w:p w14:paraId="07BC42BC">
            <w:pPr>
              <w:tabs>
                <w:tab w:val="left" w:pos="735"/>
              </w:tabs>
              <w:jc w:val="center"/>
              <w:rPr>
                <w:rFonts w:eastAsia="宋体" w:cs="Times New Roman"/>
                <w:bCs/>
                <w:kern w:val="44"/>
                <w:sz w:val="21"/>
                <w:szCs w:val="21"/>
              </w:rPr>
            </w:pPr>
            <w:r>
              <w:rPr>
                <w:rFonts w:hint="eastAsia" w:eastAsia="宋体" w:cs="Times New Roman"/>
                <w:sz w:val="21"/>
                <w:szCs w:val="21"/>
              </w:rPr>
              <w:t>三</w:t>
            </w:r>
          </w:p>
        </w:tc>
        <w:tc>
          <w:tcPr>
            <w:tcW w:w="1337" w:type="dxa"/>
            <w:tcBorders>
              <w:tl2br w:val="nil"/>
              <w:tr2bl w:val="nil"/>
            </w:tcBorders>
            <w:vAlign w:val="center"/>
          </w:tcPr>
          <w:p w14:paraId="0860BD2D">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中</w:t>
            </w:r>
          </w:p>
        </w:tc>
        <w:tc>
          <w:tcPr>
            <w:tcW w:w="1200" w:type="dxa"/>
            <w:tcBorders>
              <w:tl2br w:val="nil"/>
              <w:tr2bl w:val="nil"/>
            </w:tcBorders>
            <w:vAlign w:val="center"/>
          </w:tcPr>
          <w:p w14:paraId="761C1F32">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中</w:t>
            </w:r>
          </w:p>
        </w:tc>
        <w:tc>
          <w:tcPr>
            <w:tcW w:w="1410" w:type="dxa"/>
            <w:tcBorders>
              <w:tl2br w:val="nil"/>
              <w:tr2bl w:val="nil"/>
            </w:tcBorders>
            <w:vAlign w:val="center"/>
          </w:tcPr>
          <w:p w14:paraId="5C0EF445">
            <w:pPr>
              <w:tabs>
                <w:tab w:val="left" w:pos="1568"/>
              </w:tabs>
              <w:spacing w:line="240" w:lineRule="auto"/>
              <w:jc w:val="center"/>
              <w:rPr>
                <w:rFonts w:eastAsia="宋体" w:cs="Times New Roman"/>
                <w:bCs/>
                <w:kern w:val="44"/>
                <w:sz w:val="21"/>
                <w:szCs w:val="21"/>
              </w:rPr>
            </w:pPr>
            <w:r>
              <w:rPr>
                <w:rFonts w:eastAsia="宋体" w:cs="Times New Roman"/>
                <w:bCs/>
                <w:kern w:val="44"/>
                <w:sz w:val="21"/>
                <w:szCs w:val="21"/>
              </w:rPr>
              <w:t>高</w:t>
            </w:r>
          </w:p>
        </w:tc>
        <w:tc>
          <w:tcPr>
            <w:tcW w:w="1200" w:type="dxa"/>
            <w:tcBorders>
              <w:tl2br w:val="nil"/>
              <w:tr2bl w:val="nil"/>
            </w:tcBorders>
            <w:vAlign w:val="center"/>
          </w:tcPr>
          <w:p w14:paraId="4D618BE7">
            <w:pPr>
              <w:tabs>
                <w:tab w:val="left" w:pos="1568"/>
              </w:tabs>
              <w:spacing w:line="240" w:lineRule="auto"/>
              <w:jc w:val="center"/>
              <w:rPr>
                <w:rFonts w:eastAsia="宋体" w:cs="Times New Roman"/>
                <w:bCs/>
                <w:kern w:val="44"/>
                <w:sz w:val="21"/>
                <w:szCs w:val="21"/>
              </w:rPr>
            </w:pPr>
            <w:r>
              <w:rPr>
                <w:rFonts w:hint="eastAsia" w:eastAsia="宋体" w:cs="Times New Roman"/>
                <w:bCs/>
                <w:kern w:val="44"/>
                <w:sz w:val="21"/>
                <w:szCs w:val="21"/>
              </w:rPr>
              <w:t>高</w:t>
            </w:r>
          </w:p>
        </w:tc>
      </w:tr>
    </w:tbl>
    <w:p w14:paraId="3792D0D9">
      <w:r>
        <w:rPr>
          <w:rFonts w:hint="eastAsia"/>
          <w:b/>
          <w:bCs/>
        </w:rPr>
        <w:t>10.5.</w:t>
      </w:r>
      <w:r>
        <w:rPr>
          <w:b/>
          <w:bCs/>
        </w:rPr>
        <w:t>4　</w:t>
      </w:r>
      <w:r>
        <w:rPr>
          <w:rFonts w:hint="eastAsia"/>
        </w:rPr>
        <w:t>管段养护措施及修复工程的实施宜按表10.5.</w:t>
      </w:r>
      <w:r>
        <w:t>4</w:t>
      </w:r>
      <w:r>
        <w:rPr>
          <w:rFonts w:hint="eastAsia"/>
        </w:rPr>
        <w:t>执行。</w:t>
      </w:r>
    </w:p>
    <w:p w14:paraId="4A3D6FCD">
      <w:pPr>
        <w:jc w:val="center"/>
        <w:rPr>
          <w:b/>
          <w:bCs/>
          <w:sz w:val="21"/>
          <w:szCs w:val="20"/>
        </w:rPr>
      </w:pPr>
      <w:r>
        <w:rPr>
          <w:rFonts w:hint="eastAsia"/>
          <w:b/>
          <w:bCs/>
          <w:sz w:val="21"/>
          <w:szCs w:val="20"/>
        </w:rPr>
        <w:t>表10.5.4　管段养护及修复意见表</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2754"/>
        <w:gridCol w:w="2921"/>
      </w:tblGrid>
      <w:tr w14:paraId="5F7EE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112" w:type="dxa"/>
            <w:tcBorders>
              <w:tl2br w:val="nil"/>
              <w:tr2bl w:val="nil"/>
            </w:tcBorders>
            <w:vAlign w:val="center"/>
          </w:tcPr>
          <w:p w14:paraId="64534BDC">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管段运行风险等级</w:t>
            </w:r>
            <w:r>
              <w:rPr>
                <w:rFonts w:hint="eastAsia" w:eastAsia="宋体" w:cs="Times New Roman"/>
                <w:kern w:val="44"/>
                <w:sz w:val="21"/>
                <w:szCs w:val="21"/>
              </w:rPr>
              <w:t>（结构性/功能性）</w:t>
            </w:r>
          </w:p>
        </w:tc>
        <w:tc>
          <w:tcPr>
            <w:tcW w:w="2754" w:type="dxa"/>
            <w:tcBorders>
              <w:tl2br w:val="nil"/>
              <w:tr2bl w:val="nil"/>
            </w:tcBorders>
            <w:vAlign w:val="center"/>
          </w:tcPr>
          <w:p w14:paraId="1CC01775">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养护措施</w:t>
            </w:r>
          </w:p>
        </w:tc>
        <w:tc>
          <w:tcPr>
            <w:tcW w:w="2921" w:type="dxa"/>
            <w:tcBorders>
              <w:tl2br w:val="nil"/>
              <w:tr2bl w:val="nil"/>
            </w:tcBorders>
            <w:vAlign w:val="center"/>
          </w:tcPr>
          <w:p w14:paraId="5CA7F8A2">
            <w:pPr>
              <w:snapToGrid w:val="0"/>
              <w:spacing w:line="240" w:lineRule="auto"/>
              <w:jc w:val="center"/>
              <w:rPr>
                <w:rFonts w:ascii="宋体" w:hAnsi="宋体" w:eastAsia="宋体" w:cs="宋体"/>
                <w:sz w:val="21"/>
                <w:szCs w:val="21"/>
              </w:rPr>
            </w:pPr>
            <w:r>
              <w:rPr>
                <w:rFonts w:ascii="宋体" w:hAnsi="宋体" w:eastAsia="宋体" w:cs="宋体"/>
                <w:sz w:val="21"/>
                <w:szCs w:val="21"/>
              </w:rPr>
              <w:t>修复</w:t>
            </w:r>
            <w:r>
              <w:rPr>
                <w:rFonts w:hint="eastAsia" w:ascii="宋体" w:hAnsi="宋体" w:eastAsia="宋体" w:cs="宋体"/>
                <w:sz w:val="21"/>
                <w:szCs w:val="21"/>
              </w:rPr>
              <w:t>工程</w:t>
            </w:r>
          </w:p>
        </w:tc>
      </w:tr>
      <w:tr w14:paraId="543E9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2" w:type="dxa"/>
            <w:tcBorders>
              <w:tl2br w:val="nil"/>
              <w:tr2bl w:val="nil"/>
            </w:tcBorders>
            <w:vAlign w:val="center"/>
          </w:tcPr>
          <w:p w14:paraId="256191D2">
            <w:pPr>
              <w:tabs>
                <w:tab w:val="left" w:pos="1568"/>
              </w:tabs>
              <w:spacing w:line="240" w:lineRule="auto"/>
              <w:jc w:val="center"/>
              <w:rPr>
                <w:rFonts w:eastAsia="宋体" w:cs="Times New Roman"/>
                <w:sz w:val="21"/>
                <w:szCs w:val="21"/>
              </w:rPr>
            </w:pPr>
            <w:r>
              <w:rPr>
                <w:rFonts w:hint="eastAsia" w:eastAsia="宋体" w:cs="Times New Roman"/>
                <w:sz w:val="21"/>
                <w:szCs w:val="21"/>
              </w:rPr>
              <w:t>低</w:t>
            </w:r>
          </w:p>
        </w:tc>
        <w:tc>
          <w:tcPr>
            <w:tcW w:w="2754" w:type="dxa"/>
            <w:tcBorders>
              <w:tl2br w:val="nil"/>
              <w:tr2bl w:val="nil"/>
            </w:tcBorders>
            <w:vAlign w:val="center"/>
          </w:tcPr>
          <w:p w14:paraId="4D3BAA1C">
            <w:pPr>
              <w:tabs>
                <w:tab w:val="left" w:pos="1568"/>
              </w:tabs>
              <w:spacing w:line="240" w:lineRule="auto"/>
              <w:jc w:val="center"/>
              <w:rPr>
                <w:rFonts w:eastAsia="宋体" w:cs="Times New Roman"/>
                <w:sz w:val="21"/>
                <w:szCs w:val="21"/>
              </w:rPr>
            </w:pPr>
            <w:r>
              <w:rPr>
                <w:rFonts w:hint="eastAsia" w:eastAsia="宋体" w:cs="Times New Roman"/>
                <w:sz w:val="21"/>
                <w:szCs w:val="21"/>
              </w:rPr>
              <w:t>日常养护</w:t>
            </w:r>
          </w:p>
        </w:tc>
        <w:tc>
          <w:tcPr>
            <w:tcW w:w="2921" w:type="dxa"/>
            <w:tcBorders>
              <w:tl2br w:val="nil"/>
              <w:tr2bl w:val="nil"/>
            </w:tcBorders>
            <w:vAlign w:val="center"/>
          </w:tcPr>
          <w:p w14:paraId="1E416684">
            <w:pPr>
              <w:tabs>
                <w:tab w:val="left" w:pos="1568"/>
              </w:tabs>
              <w:spacing w:line="240" w:lineRule="auto"/>
              <w:jc w:val="center"/>
              <w:rPr>
                <w:rFonts w:eastAsia="宋体" w:cs="Times New Roman"/>
                <w:sz w:val="21"/>
                <w:szCs w:val="21"/>
              </w:rPr>
            </w:pPr>
            <w:r>
              <w:rPr>
                <w:rFonts w:hint="eastAsia" w:eastAsia="宋体" w:cs="Times New Roman"/>
                <w:sz w:val="21"/>
                <w:szCs w:val="21"/>
              </w:rPr>
              <w:t>可不实施修复工程</w:t>
            </w:r>
          </w:p>
        </w:tc>
      </w:tr>
      <w:tr w14:paraId="2F797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2" w:type="dxa"/>
            <w:tcBorders>
              <w:tl2br w:val="nil"/>
              <w:tr2bl w:val="nil"/>
            </w:tcBorders>
            <w:vAlign w:val="center"/>
          </w:tcPr>
          <w:p w14:paraId="71584B0A">
            <w:pPr>
              <w:tabs>
                <w:tab w:val="left" w:pos="1568"/>
              </w:tabs>
              <w:spacing w:line="240" w:lineRule="auto"/>
              <w:jc w:val="center"/>
              <w:rPr>
                <w:rFonts w:eastAsia="宋体" w:cs="Times New Roman"/>
                <w:sz w:val="21"/>
                <w:szCs w:val="21"/>
              </w:rPr>
            </w:pPr>
            <w:r>
              <w:rPr>
                <w:rFonts w:hint="eastAsia" w:eastAsia="宋体" w:cs="Times New Roman"/>
                <w:sz w:val="21"/>
                <w:szCs w:val="21"/>
              </w:rPr>
              <w:t>中</w:t>
            </w:r>
          </w:p>
        </w:tc>
        <w:tc>
          <w:tcPr>
            <w:tcW w:w="2754" w:type="dxa"/>
            <w:tcBorders>
              <w:tl2br w:val="nil"/>
              <w:tr2bl w:val="nil"/>
            </w:tcBorders>
            <w:vAlign w:val="center"/>
          </w:tcPr>
          <w:p w14:paraId="407F42BB">
            <w:pPr>
              <w:tabs>
                <w:tab w:val="left" w:pos="1568"/>
              </w:tabs>
              <w:spacing w:line="240" w:lineRule="auto"/>
              <w:jc w:val="center"/>
              <w:rPr>
                <w:rFonts w:eastAsia="宋体" w:cs="Times New Roman"/>
                <w:sz w:val="21"/>
                <w:szCs w:val="21"/>
              </w:rPr>
            </w:pPr>
            <w:r>
              <w:rPr>
                <w:rFonts w:hint="eastAsia" w:eastAsia="宋体" w:cs="Times New Roman"/>
                <w:sz w:val="21"/>
                <w:szCs w:val="21"/>
              </w:rPr>
              <w:t>检测周期应缩短一半</w:t>
            </w:r>
          </w:p>
        </w:tc>
        <w:tc>
          <w:tcPr>
            <w:tcW w:w="2921" w:type="dxa"/>
            <w:tcBorders>
              <w:tl2br w:val="nil"/>
              <w:tr2bl w:val="nil"/>
            </w:tcBorders>
            <w:vAlign w:val="center"/>
          </w:tcPr>
          <w:p w14:paraId="18EF846E">
            <w:pPr>
              <w:tabs>
                <w:tab w:val="left" w:pos="1568"/>
              </w:tabs>
              <w:spacing w:line="240" w:lineRule="auto"/>
              <w:jc w:val="center"/>
              <w:rPr>
                <w:rFonts w:eastAsia="宋体" w:cs="Times New Roman"/>
                <w:sz w:val="21"/>
                <w:szCs w:val="21"/>
              </w:rPr>
            </w:pPr>
            <w:r>
              <w:rPr>
                <w:rFonts w:hint="eastAsia" w:eastAsia="宋体" w:cs="Times New Roman"/>
                <w:sz w:val="21"/>
                <w:szCs w:val="21"/>
              </w:rPr>
              <w:t>1年内应实施修复工程</w:t>
            </w:r>
          </w:p>
        </w:tc>
      </w:tr>
      <w:tr w14:paraId="788E5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2" w:type="dxa"/>
            <w:tcBorders>
              <w:tl2br w:val="nil"/>
              <w:tr2bl w:val="nil"/>
            </w:tcBorders>
            <w:vAlign w:val="center"/>
          </w:tcPr>
          <w:p w14:paraId="364EEC83">
            <w:pPr>
              <w:tabs>
                <w:tab w:val="left" w:pos="1568"/>
              </w:tabs>
              <w:spacing w:line="240" w:lineRule="auto"/>
              <w:jc w:val="center"/>
              <w:rPr>
                <w:rFonts w:eastAsia="宋体" w:cs="Times New Roman"/>
                <w:sz w:val="21"/>
                <w:szCs w:val="21"/>
              </w:rPr>
            </w:pPr>
            <w:r>
              <w:rPr>
                <w:rFonts w:hint="eastAsia" w:eastAsia="宋体" w:cs="Times New Roman"/>
                <w:sz w:val="21"/>
                <w:szCs w:val="21"/>
              </w:rPr>
              <w:t>高</w:t>
            </w:r>
          </w:p>
        </w:tc>
        <w:tc>
          <w:tcPr>
            <w:tcW w:w="2754" w:type="dxa"/>
            <w:tcBorders>
              <w:tl2br w:val="nil"/>
              <w:tr2bl w:val="nil"/>
            </w:tcBorders>
            <w:vAlign w:val="center"/>
          </w:tcPr>
          <w:p w14:paraId="321B8482">
            <w:pPr>
              <w:tabs>
                <w:tab w:val="left" w:pos="1568"/>
              </w:tabs>
              <w:spacing w:line="240" w:lineRule="auto"/>
              <w:jc w:val="center"/>
              <w:rPr>
                <w:rFonts w:eastAsia="宋体" w:cs="Times New Roman"/>
                <w:sz w:val="21"/>
                <w:szCs w:val="21"/>
              </w:rPr>
            </w:pPr>
            <w:r>
              <w:rPr>
                <w:rFonts w:hint="eastAsia" w:eastAsia="宋体" w:cs="Times New Roman"/>
                <w:sz w:val="21"/>
                <w:szCs w:val="21"/>
              </w:rPr>
              <w:t>加密巡检频率，宜安排专人现场值守</w:t>
            </w:r>
          </w:p>
        </w:tc>
        <w:tc>
          <w:tcPr>
            <w:tcW w:w="2921" w:type="dxa"/>
            <w:tcBorders>
              <w:tl2br w:val="nil"/>
              <w:tr2bl w:val="nil"/>
            </w:tcBorders>
            <w:vAlign w:val="center"/>
          </w:tcPr>
          <w:p w14:paraId="7B2C7682">
            <w:pPr>
              <w:tabs>
                <w:tab w:val="left" w:pos="1568"/>
              </w:tabs>
              <w:spacing w:line="240" w:lineRule="auto"/>
              <w:jc w:val="center"/>
              <w:rPr>
                <w:rFonts w:eastAsia="宋体" w:cs="Times New Roman"/>
                <w:sz w:val="21"/>
                <w:szCs w:val="21"/>
              </w:rPr>
            </w:pPr>
            <w:r>
              <w:rPr>
                <w:rFonts w:hint="eastAsia" w:eastAsia="宋体" w:cs="Times New Roman"/>
                <w:sz w:val="21"/>
                <w:szCs w:val="21"/>
              </w:rPr>
              <w:t>宜在24h内进行修复</w:t>
            </w:r>
          </w:p>
        </w:tc>
      </w:tr>
    </w:tbl>
    <w:p w14:paraId="738AC8B9">
      <w:r>
        <w:br w:type="page"/>
      </w:r>
    </w:p>
    <w:p w14:paraId="621B138B">
      <w:pPr>
        <w:pStyle w:val="4"/>
      </w:pPr>
      <w:bookmarkStart w:id="357" w:name="_Toc9017"/>
      <w:bookmarkStart w:id="358" w:name="_Toc4604"/>
      <w:bookmarkStart w:id="359" w:name="_Toc8153"/>
      <w:bookmarkStart w:id="360" w:name="_Toc181825583"/>
      <w:r>
        <w:rPr>
          <w:rFonts w:hint="eastAsia"/>
        </w:rPr>
        <w:t>11　附属设施检查与评估</w:t>
      </w:r>
      <w:bookmarkEnd w:id="356"/>
      <w:bookmarkEnd w:id="357"/>
      <w:bookmarkEnd w:id="358"/>
      <w:bookmarkEnd w:id="359"/>
      <w:bookmarkEnd w:id="360"/>
    </w:p>
    <w:p w14:paraId="4D74A927">
      <w:pPr>
        <w:pStyle w:val="5"/>
      </w:pPr>
      <w:bookmarkStart w:id="361" w:name="_Toc5426"/>
      <w:bookmarkStart w:id="362" w:name="_Toc4867"/>
      <w:bookmarkStart w:id="363" w:name="_Toc29589"/>
      <w:bookmarkStart w:id="364" w:name="_Toc26689"/>
      <w:bookmarkStart w:id="365" w:name="_Toc1868"/>
      <w:bookmarkStart w:id="366" w:name="_Toc181825584"/>
      <w:bookmarkStart w:id="367" w:name="_Toc17257"/>
      <w:r>
        <w:rPr>
          <w:rFonts w:hint="eastAsia"/>
        </w:rPr>
        <w:t>11.1　一般规定</w:t>
      </w:r>
      <w:bookmarkEnd w:id="361"/>
      <w:bookmarkEnd w:id="362"/>
      <w:bookmarkEnd w:id="363"/>
      <w:bookmarkEnd w:id="364"/>
      <w:bookmarkEnd w:id="365"/>
      <w:bookmarkEnd w:id="366"/>
      <w:bookmarkEnd w:id="367"/>
    </w:p>
    <w:p w14:paraId="3A436F34">
      <w:r>
        <w:rPr>
          <w:rFonts w:hint="eastAsia"/>
          <w:b/>
          <w:bCs/>
        </w:rPr>
        <w:t>11.1.1　</w:t>
      </w:r>
      <w:r>
        <w:rPr>
          <w:rFonts w:hint="eastAsia"/>
        </w:rPr>
        <w:t>管段内附属设施的检查与评估应在管道检测前实施</w:t>
      </w:r>
      <w:r>
        <w:rPr>
          <w:rFonts w:hint="eastAsia"/>
          <w:lang w:eastAsia="zh-CN"/>
        </w:rPr>
        <w:t>并应符合下列规定</w:t>
      </w:r>
      <w:r>
        <w:rPr>
          <w:rFonts w:hint="eastAsia"/>
        </w:rPr>
        <w:t>。</w:t>
      </w:r>
    </w:p>
    <w:p w14:paraId="196F33E5">
      <w:pPr>
        <w:ind w:firstLine="482" w:firstLineChars="200"/>
      </w:pPr>
      <w:r>
        <w:rPr>
          <w:b/>
          <w:bCs/>
        </w:rPr>
        <w:t>1　</w:t>
      </w:r>
      <w:r>
        <w:rPr>
          <w:rFonts w:hint="eastAsia"/>
        </w:rPr>
        <w:t>管道检测时应满足各类阀件功能要求，可控制管道流量或关闭阀门；</w:t>
      </w:r>
    </w:p>
    <w:p w14:paraId="196217F7">
      <w:pPr>
        <w:ind w:firstLine="482" w:firstLineChars="200"/>
      </w:pPr>
      <w:r>
        <w:rPr>
          <w:b/>
          <w:bCs/>
        </w:rPr>
        <w:t>2　</w:t>
      </w:r>
      <w:r>
        <w:rPr>
          <w:rFonts w:hint="eastAsia"/>
        </w:rPr>
        <w:t>检查阀类开关操作的灵活性、仪表类反馈数字的准确性、附属设施的安全性。</w:t>
      </w:r>
    </w:p>
    <w:p w14:paraId="4FDC4F25">
      <w:r>
        <w:rPr>
          <w:rFonts w:hint="eastAsia"/>
          <w:b/>
          <w:bCs/>
        </w:rPr>
        <w:t>11.1.2　</w:t>
      </w:r>
      <w:r>
        <w:rPr>
          <w:rFonts w:hint="eastAsia"/>
        </w:rPr>
        <w:t>井类检查作业区域存在下列情形之一时，应停止作业：</w:t>
      </w:r>
    </w:p>
    <w:p w14:paraId="019F93F0">
      <w:pPr>
        <w:ind w:left="480" w:leftChars="200"/>
      </w:pPr>
      <w:r>
        <w:rPr>
          <w:rFonts w:hint="eastAsia"/>
          <w:b/>
          <w:bCs/>
        </w:rPr>
        <w:t>1　</w:t>
      </w:r>
      <w:r>
        <w:rPr>
          <w:rFonts w:hint="eastAsia"/>
        </w:rPr>
        <w:t>作业空间内有毒有害气体检测报警时；</w:t>
      </w:r>
    </w:p>
    <w:p w14:paraId="360C6362">
      <w:pPr>
        <w:ind w:left="480" w:leftChars="200"/>
      </w:pPr>
      <w:r>
        <w:rPr>
          <w:rFonts w:hint="eastAsia"/>
          <w:b/>
          <w:bCs/>
        </w:rPr>
        <w:t>2　</w:t>
      </w:r>
      <w:r>
        <w:rPr>
          <w:rFonts w:hint="eastAsia"/>
        </w:rPr>
        <w:t>通风过程中通风设备异常时；</w:t>
      </w:r>
    </w:p>
    <w:p w14:paraId="5C22C7CB">
      <w:pPr>
        <w:ind w:left="480" w:leftChars="200"/>
      </w:pPr>
      <w:r>
        <w:rPr>
          <w:rFonts w:hint="eastAsia"/>
          <w:b/>
          <w:bCs/>
        </w:rPr>
        <w:t>3　</w:t>
      </w:r>
      <w:r>
        <w:rPr>
          <w:rFonts w:hint="eastAsia"/>
        </w:rPr>
        <w:t>其他原因无法正常检查，检测时。</w:t>
      </w:r>
    </w:p>
    <w:p w14:paraId="4804A6F6">
      <w:pPr>
        <w:pStyle w:val="5"/>
      </w:pPr>
      <w:bookmarkStart w:id="368" w:name="_Toc5275"/>
      <w:bookmarkStart w:id="369" w:name="_Toc552"/>
      <w:bookmarkStart w:id="370" w:name="_Toc21349"/>
      <w:bookmarkStart w:id="371" w:name="_Toc181825585"/>
      <w:bookmarkStart w:id="372" w:name="_Toc6880"/>
      <w:bookmarkStart w:id="373" w:name="_Toc23422"/>
      <w:bookmarkStart w:id="374" w:name="_Toc3289"/>
      <w:r>
        <w:rPr>
          <w:rFonts w:hint="eastAsia"/>
        </w:rPr>
        <w:t>11.2　检查</w:t>
      </w:r>
      <w:bookmarkEnd w:id="368"/>
      <w:bookmarkEnd w:id="369"/>
      <w:bookmarkEnd w:id="370"/>
      <w:bookmarkEnd w:id="371"/>
      <w:bookmarkEnd w:id="372"/>
      <w:bookmarkEnd w:id="373"/>
      <w:bookmarkEnd w:id="374"/>
    </w:p>
    <w:p w14:paraId="01C4A0CC">
      <w:r>
        <w:rPr>
          <w:rFonts w:hint="eastAsia"/>
          <w:b/>
          <w:bCs/>
        </w:rPr>
        <w:t>11.2.1　</w:t>
      </w:r>
      <w:r>
        <w:rPr>
          <w:rFonts w:hint="eastAsia"/>
        </w:rPr>
        <w:t>井类检查项目应符合表11.2.1的规定，检查时应按</w:t>
      </w:r>
      <w:r>
        <w:rPr>
          <w:rFonts w:hint="eastAsia"/>
          <w:lang w:eastAsia="zh-CN"/>
        </w:rPr>
        <w:t>本标准</w:t>
      </w:r>
      <w:r>
        <w:rPr>
          <w:rFonts w:hint="eastAsia"/>
        </w:rPr>
        <w:t>附录C现场填写记录。</w:t>
      </w:r>
    </w:p>
    <w:p w14:paraId="736C303C">
      <w:pPr>
        <w:pStyle w:val="105"/>
      </w:pPr>
      <w:r>
        <w:t>表11.2.1　</w:t>
      </w:r>
      <w:r>
        <w:rPr>
          <w:rFonts w:hint="eastAsia"/>
        </w:rPr>
        <w:t>井类</w:t>
      </w:r>
      <w:r>
        <w:t>检查</w:t>
      </w:r>
      <w:r>
        <w:rPr>
          <w:rFonts w:hint="eastAsia"/>
        </w:rPr>
        <w:t>项目</w:t>
      </w:r>
    </w:p>
    <w:tbl>
      <w:tblPr>
        <w:tblStyle w:val="29"/>
        <w:tblW w:w="60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4011"/>
      </w:tblGrid>
      <w:tr w14:paraId="3573A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restart"/>
            <w:tcBorders>
              <w:tl2br w:val="nil"/>
              <w:tr2bl w:val="nil"/>
            </w:tcBorders>
            <w:vAlign w:val="center"/>
          </w:tcPr>
          <w:p w14:paraId="628CF0D9">
            <w:pPr>
              <w:spacing w:line="240" w:lineRule="auto"/>
              <w:jc w:val="center"/>
              <w:rPr>
                <w:sz w:val="21"/>
                <w:szCs w:val="21"/>
              </w:rPr>
            </w:pPr>
            <w:r>
              <w:rPr>
                <w:rFonts w:hint="eastAsia"/>
                <w:sz w:val="21"/>
                <w:szCs w:val="21"/>
              </w:rPr>
              <w:t>井类外部检查项目</w:t>
            </w:r>
          </w:p>
        </w:tc>
        <w:tc>
          <w:tcPr>
            <w:tcW w:w="4011" w:type="dxa"/>
            <w:tcBorders>
              <w:tl2br w:val="nil"/>
              <w:tr2bl w:val="nil"/>
            </w:tcBorders>
            <w:vAlign w:val="center"/>
          </w:tcPr>
          <w:p w14:paraId="7A6B80FF">
            <w:pPr>
              <w:spacing w:line="240" w:lineRule="auto"/>
              <w:jc w:val="center"/>
              <w:rPr>
                <w:sz w:val="21"/>
                <w:szCs w:val="21"/>
              </w:rPr>
            </w:pPr>
            <w:r>
              <w:rPr>
                <w:rFonts w:hint="eastAsia"/>
                <w:sz w:val="21"/>
                <w:szCs w:val="21"/>
              </w:rPr>
              <w:t>井盖埋没</w:t>
            </w:r>
          </w:p>
        </w:tc>
      </w:tr>
      <w:tr w14:paraId="53DAB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14:paraId="7CF1A0B5">
            <w:pPr>
              <w:spacing w:line="240" w:lineRule="auto"/>
              <w:jc w:val="center"/>
              <w:rPr>
                <w:sz w:val="21"/>
                <w:szCs w:val="21"/>
              </w:rPr>
            </w:pPr>
          </w:p>
        </w:tc>
        <w:tc>
          <w:tcPr>
            <w:tcW w:w="4011" w:type="dxa"/>
            <w:tcBorders>
              <w:tl2br w:val="nil"/>
              <w:tr2bl w:val="nil"/>
            </w:tcBorders>
            <w:vAlign w:val="center"/>
          </w:tcPr>
          <w:p w14:paraId="600E18E0">
            <w:pPr>
              <w:spacing w:line="240" w:lineRule="auto"/>
              <w:jc w:val="center"/>
              <w:rPr>
                <w:sz w:val="21"/>
                <w:szCs w:val="21"/>
              </w:rPr>
            </w:pPr>
            <w:r>
              <w:rPr>
                <w:rFonts w:hint="eastAsia"/>
                <w:sz w:val="21"/>
                <w:szCs w:val="21"/>
              </w:rPr>
              <w:t>井盖缺失</w:t>
            </w:r>
          </w:p>
        </w:tc>
      </w:tr>
      <w:tr w14:paraId="373A4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14:paraId="3A1B065D">
            <w:pPr>
              <w:spacing w:line="240" w:lineRule="auto"/>
              <w:jc w:val="center"/>
              <w:rPr>
                <w:sz w:val="21"/>
                <w:szCs w:val="21"/>
              </w:rPr>
            </w:pPr>
          </w:p>
        </w:tc>
        <w:tc>
          <w:tcPr>
            <w:tcW w:w="4011" w:type="dxa"/>
            <w:tcBorders>
              <w:tl2br w:val="nil"/>
              <w:tr2bl w:val="nil"/>
            </w:tcBorders>
            <w:vAlign w:val="center"/>
          </w:tcPr>
          <w:p w14:paraId="1A9F493C">
            <w:pPr>
              <w:spacing w:line="240" w:lineRule="auto"/>
              <w:jc w:val="center"/>
              <w:rPr>
                <w:sz w:val="21"/>
                <w:szCs w:val="21"/>
              </w:rPr>
            </w:pPr>
            <w:r>
              <w:rPr>
                <w:rFonts w:hint="eastAsia"/>
                <w:sz w:val="21"/>
                <w:szCs w:val="21"/>
              </w:rPr>
              <w:t>井盖破损</w:t>
            </w:r>
          </w:p>
        </w:tc>
      </w:tr>
      <w:tr w14:paraId="3B141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14:paraId="61BF9561">
            <w:pPr>
              <w:spacing w:line="240" w:lineRule="auto"/>
              <w:jc w:val="center"/>
              <w:rPr>
                <w:sz w:val="21"/>
                <w:szCs w:val="21"/>
              </w:rPr>
            </w:pPr>
          </w:p>
        </w:tc>
        <w:tc>
          <w:tcPr>
            <w:tcW w:w="4011" w:type="dxa"/>
            <w:tcBorders>
              <w:tl2br w:val="nil"/>
              <w:tr2bl w:val="nil"/>
            </w:tcBorders>
            <w:vAlign w:val="center"/>
          </w:tcPr>
          <w:p w14:paraId="1506C7CA">
            <w:pPr>
              <w:spacing w:line="240" w:lineRule="auto"/>
              <w:jc w:val="center"/>
              <w:rPr>
                <w:sz w:val="21"/>
                <w:szCs w:val="21"/>
              </w:rPr>
            </w:pPr>
            <w:r>
              <w:rPr>
                <w:rFonts w:hint="eastAsia"/>
                <w:sz w:val="21"/>
                <w:szCs w:val="21"/>
              </w:rPr>
              <w:t>井框破损</w:t>
            </w:r>
          </w:p>
        </w:tc>
      </w:tr>
      <w:tr w14:paraId="1DA41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14:paraId="68DFF6FF">
            <w:pPr>
              <w:spacing w:line="240" w:lineRule="auto"/>
              <w:jc w:val="center"/>
              <w:rPr>
                <w:sz w:val="21"/>
                <w:szCs w:val="21"/>
              </w:rPr>
            </w:pPr>
          </w:p>
        </w:tc>
        <w:tc>
          <w:tcPr>
            <w:tcW w:w="4011" w:type="dxa"/>
            <w:tcBorders>
              <w:tl2br w:val="nil"/>
              <w:tr2bl w:val="nil"/>
            </w:tcBorders>
            <w:vAlign w:val="center"/>
          </w:tcPr>
          <w:p w14:paraId="6D8946B3">
            <w:pPr>
              <w:spacing w:line="240" w:lineRule="auto"/>
              <w:jc w:val="center"/>
              <w:rPr>
                <w:sz w:val="21"/>
                <w:szCs w:val="21"/>
              </w:rPr>
            </w:pPr>
            <w:r>
              <w:rPr>
                <w:rFonts w:hint="eastAsia"/>
                <w:sz w:val="21"/>
                <w:szCs w:val="21"/>
              </w:rPr>
              <w:t>盖框间隙</w:t>
            </w:r>
          </w:p>
        </w:tc>
      </w:tr>
      <w:tr w14:paraId="526CE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14:paraId="5A4589FA">
            <w:pPr>
              <w:spacing w:line="240" w:lineRule="auto"/>
              <w:jc w:val="center"/>
              <w:rPr>
                <w:sz w:val="21"/>
                <w:szCs w:val="21"/>
              </w:rPr>
            </w:pPr>
          </w:p>
        </w:tc>
        <w:tc>
          <w:tcPr>
            <w:tcW w:w="4011" w:type="dxa"/>
            <w:tcBorders>
              <w:tl2br w:val="nil"/>
              <w:tr2bl w:val="nil"/>
            </w:tcBorders>
            <w:vAlign w:val="center"/>
          </w:tcPr>
          <w:p w14:paraId="7A610F38">
            <w:pPr>
              <w:spacing w:line="240" w:lineRule="auto"/>
              <w:jc w:val="center"/>
              <w:rPr>
                <w:sz w:val="21"/>
                <w:szCs w:val="21"/>
              </w:rPr>
            </w:pPr>
            <w:r>
              <w:rPr>
                <w:rFonts w:hint="eastAsia"/>
                <w:sz w:val="21"/>
                <w:szCs w:val="21"/>
              </w:rPr>
              <w:t>盖框高差</w:t>
            </w:r>
          </w:p>
        </w:tc>
      </w:tr>
      <w:tr w14:paraId="36790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14:paraId="686B94B9">
            <w:pPr>
              <w:spacing w:line="240" w:lineRule="auto"/>
              <w:jc w:val="center"/>
              <w:rPr>
                <w:sz w:val="21"/>
                <w:szCs w:val="21"/>
              </w:rPr>
            </w:pPr>
          </w:p>
        </w:tc>
        <w:tc>
          <w:tcPr>
            <w:tcW w:w="4011" w:type="dxa"/>
            <w:tcBorders>
              <w:tl2br w:val="nil"/>
              <w:tr2bl w:val="nil"/>
            </w:tcBorders>
            <w:vAlign w:val="center"/>
          </w:tcPr>
          <w:p w14:paraId="71187F40">
            <w:pPr>
              <w:spacing w:line="240" w:lineRule="auto"/>
              <w:jc w:val="center"/>
              <w:rPr>
                <w:sz w:val="21"/>
                <w:szCs w:val="21"/>
              </w:rPr>
            </w:pPr>
            <w:r>
              <w:rPr>
                <w:rFonts w:hint="eastAsia"/>
                <w:sz w:val="21"/>
                <w:szCs w:val="21"/>
              </w:rPr>
              <w:t>盖框突出或凹陷</w:t>
            </w:r>
          </w:p>
        </w:tc>
      </w:tr>
      <w:tr w14:paraId="4A8C5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14:paraId="45CA834B">
            <w:pPr>
              <w:spacing w:line="240" w:lineRule="auto"/>
              <w:jc w:val="center"/>
              <w:rPr>
                <w:sz w:val="21"/>
                <w:szCs w:val="21"/>
              </w:rPr>
            </w:pPr>
          </w:p>
        </w:tc>
        <w:tc>
          <w:tcPr>
            <w:tcW w:w="4011" w:type="dxa"/>
            <w:tcBorders>
              <w:tl2br w:val="nil"/>
              <w:tr2bl w:val="nil"/>
            </w:tcBorders>
            <w:vAlign w:val="center"/>
          </w:tcPr>
          <w:p w14:paraId="09017E0E">
            <w:pPr>
              <w:spacing w:line="240" w:lineRule="auto"/>
              <w:jc w:val="center"/>
              <w:rPr>
                <w:sz w:val="21"/>
                <w:szCs w:val="21"/>
              </w:rPr>
            </w:pPr>
            <w:r>
              <w:rPr>
                <w:rFonts w:hint="eastAsia"/>
                <w:sz w:val="21"/>
                <w:szCs w:val="21"/>
              </w:rPr>
              <w:t>跳动和声响</w:t>
            </w:r>
          </w:p>
        </w:tc>
      </w:tr>
      <w:tr w14:paraId="12C499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14:paraId="0512062D">
            <w:pPr>
              <w:spacing w:line="240" w:lineRule="auto"/>
              <w:jc w:val="center"/>
              <w:rPr>
                <w:sz w:val="21"/>
                <w:szCs w:val="21"/>
              </w:rPr>
            </w:pPr>
          </w:p>
        </w:tc>
        <w:tc>
          <w:tcPr>
            <w:tcW w:w="4011" w:type="dxa"/>
            <w:tcBorders>
              <w:tl2br w:val="nil"/>
              <w:tr2bl w:val="nil"/>
            </w:tcBorders>
            <w:vAlign w:val="center"/>
          </w:tcPr>
          <w:p w14:paraId="1F483CD3">
            <w:pPr>
              <w:spacing w:line="240" w:lineRule="auto"/>
              <w:jc w:val="center"/>
              <w:rPr>
                <w:sz w:val="21"/>
                <w:szCs w:val="21"/>
              </w:rPr>
            </w:pPr>
            <w:r>
              <w:rPr>
                <w:rFonts w:hint="eastAsia"/>
                <w:sz w:val="21"/>
                <w:szCs w:val="21"/>
              </w:rPr>
              <w:t>周边路面破损、沉降</w:t>
            </w:r>
          </w:p>
        </w:tc>
      </w:tr>
      <w:tr w14:paraId="57CEB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14:paraId="133CCE4A">
            <w:pPr>
              <w:spacing w:line="240" w:lineRule="auto"/>
              <w:jc w:val="center"/>
              <w:rPr>
                <w:sz w:val="21"/>
                <w:szCs w:val="21"/>
              </w:rPr>
            </w:pPr>
          </w:p>
        </w:tc>
        <w:tc>
          <w:tcPr>
            <w:tcW w:w="4011" w:type="dxa"/>
            <w:tcBorders>
              <w:tl2br w:val="nil"/>
              <w:tr2bl w:val="nil"/>
            </w:tcBorders>
            <w:vAlign w:val="center"/>
          </w:tcPr>
          <w:p w14:paraId="6DE94491">
            <w:pPr>
              <w:spacing w:line="240" w:lineRule="auto"/>
              <w:jc w:val="center"/>
              <w:rPr>
                <w:sz w:val="21"/>
                <w:szCs w:val="21"/>
              </w:rPr>
            </w:pPr>
            <w:r>
              <w:rPr>
                <w:rFonts w:hint="eastAsia"/>
                <w:sz w:val="21"/>
                <w:szCs w:val="21"/>
              </w:rPr>
              <w:t>井盖标</w:t>
            </w:r>
            <w:r>
              <w:rPr>
                <w:rFonts w:hint="eastAsia"/>
                <w:sz w:val="21"/>
                <w:szCs w:val="21"/>
                <w:lang w:eastAsia="zh-CN"/>
              </w:rPr>
              <w:t>识</w:t>
            </w:r>
            <w:r>
              <w:rPr>
                <w:rFonts w:hint="eastAsia"/>
                <w:sz w:val="21"/>
                <w:szCs w:val="21"/>
              </w:rPr>
              <w:t>错误</w:t>
            </w:r>
          </w:p>
        </w:tc>
      </w:tr>
      <w:tr w14:paraId="5ACB6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14:paraId="75BA66DA">
            <w:pPr>
              <w:spacing w:line="240" w:lineRule="auto"/>
              <w:jc w:val="center"/>
              <w:rPr>
                <w:rFonts w:cs="Arial"/>
                <w:sz w:val="21"/>
                <w:szCs w:val="21"/>
              </w:rPr>
            </w:pPr>
          </w:p>
        </w:tc>
        <w:tc>
          <w:tcPr>
            <w:tcW w:w="4011" w:type="dxa"/>
            <w:tcBorders>
              <w:tl2br w:val="nil"/>
              <w:tr2bl w:val="nil"/>
            </w:tcBorders>
            <w:vAlign w:val="center"/>
          </w:tcPr>
          <w:p w14:paraId="77E48F77">
            <w:pPr>
              <w:spacing w:line="240" w:lineRule="auto"/>
              <w:jc w:val="center"/>
              <w:rPr>
                <w:sz w:val="21"/>
                <w:szCs w:val="21"/>
              </w:rPr>
            </w:pPr>
            <w:r>
              <w:rPr>
                <w:rFonts w:hint="eastAsia" w:cs="Arial"/>
                <w:sz w:val="21"/>
                <w:szCs w:val="21"/>
              </w:rPr>
              <w:t>道路上的井室盖是否为重型井盖</w:t>
            </w:r>
          </w:p>
        </w:tc>
      </w:tr>
      <w:tr w14:paraId="399DB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tcBorders>
              <w:tl2br w:val="nil"/>
              <w:tr2bl w:val="nil"/>
            </w:tcBorders>
            <w:vAlign w:val="center"/>
          </w:tcPr>
          <w:p w14:paraId="3205A44B">
            <w:pPr>
              <w:spacing w:line="240" w:lineRule="auto"/>
              <w:jc w:val="center"/>
              <w:rPr>
                <w:sz w:val="21"/>
                <w:szCs w:val="21"/>
              </w:rPr>
            </w:pPr>
          </w:p>
        </w:tc>
        <w:tc>
          <w:tcPr>
            <w:tcW w:w="4011" w:type="dxa"/>
            <w:tcBorders>
              <w:tl2br w:val="nil"/>
              <w:tr2bl w:val="nil"/>
            </w:tcBorders>
            <w:vAlign w:val="center"/>
          </w:tcPr>
          <w:p w14:paraId="3EFA9DDC">
            <w:pPr>
              <w:spacing w:line="240" w:lineRule="auto"/>
              <w:jc w:val="center"/>
              <w:rPr>
                <w:sz w:val="21"/>
                <w:szCs w:val="21"/>
              </w:rPr>
            </w:pPr>
            <w:r>
              <w:rPr>
                <w:rFonts w:hint="eastAsia"/>
                <w:sz w:val="21"/>
                <w:szCs w:val="21"/>
              </w:rPr>
              <w:t>其他</w:t>
            </w:r>
          </w:p>
        </w:tc>
      </w:tr>
    </w:tbl>
    <w:p w14:paraId="19183F1C">
      <w:pPr>
        <w:pStyle w:val="105"/>
      </w:pPr>
      <w:r>
        <w:rPr>
          <w:rFonts w:hint="eastAsia"/>
          <w:lang w:val="en-US" w:eastAsia="zh-CN"/>
        </w:rPr>
        <w:t>续</w:t>
      </w:r>
      <w:r>
        <w:t>表11.2.1</w:t>
      </w:r>
    </w:p>
    <w:tbl>
      <w:tblPr>
        <w:tblStyle w:val="29"/>
        <w:tblW w:w="60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4011"/>
      </w:tblGrid>
      <w:tr w14:paraId="03A31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restart"/>
            <w:vAlign w:val="center"/>
          </w:tcPr>
          <w:p w14:paraId="4CD89A19">
            <w:pPr>
              <w:spacing w:line="240" w:lineRule="auto"/>
              <w:jc w:val="center"/>
              <w:rPr>
                <w:sz w:val="21"/>
                <w:szCs w:val="21"/>
              </w:rPr>
            </w:pPr>
            <w:r>
              <w:rPr>
                <w:rFonts w:hint="eastAsia"/>
                <w:sz w:val="21"/>
                <w:szCs w:val="21"/>
              </w:rPr>
              <w:t>井类内部检查项目</w:t>
            </w:r>
          </w:p>
        </w:tc>
        <w:tc>
          <w:tcPr>
            <w:tcW w:w="4011" w:type="dxa"/>
            <w:vAlign w:val="center"/>
          </w:tcPr>
          <w:p w14:paraId="2528BAD8">
            <w:pPr>
              <w:spacing w:line="240" w:lineRule="auto"/>
              <w:jc w:val="center"/>
              <w:rPr>
                <w:sz w:val="21"/>
                <w:szCs w:val="21"/>
              </w:rPr>
            </w:pPr>
            <w:r>
              <w:rPr>
                <w:rFonts w:hint="eastAsia"/>
                <w:sz w:val="21"/>
                <w:szCs w:val="21"/>
              </w:rPr>
              <w:t>链条或锁具</w:t>
            </w:r>
          </w:p>
        </w:tc>
      </w:tr>
      <w:tr w14:paraId="4063F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14:paraId="74320E64">
            <w:pPr>
              <w:spacing w:line="240" w:lineRule="auto"/>
              <w:jc w:val="center"/>
              <w:rPr>
                <w:sz w:val="21"/>
                <w:szCs w:val="21"/>
              </w:rPr>
            </w:pPr>
          </w:p>
        </w:tc>
        <w:tc>
          <w:tcPr>
            <w:tcW w:w="4011" w:type="dxa"/>
            <w:vAlign w:val="center"/>
          </w:tcPr>
          <w:p w14:paraId="0894586F">
            <w:pPr>
              <w:spacing w:line="240" w:lineRule="auto"/>
              <w:jc w:val="center"/>
              <w:rPr>
                <w:sz w:val="21"/>
                <w:szCs w:val="21"/>
              </w:rPr>
            </w:pPr>
            <w:r>
              <w:rPr>
                <w:rFonts w:hint="eastAsia"/>
                <w:sz w:val="21"/>
                <w:szCs w:val="21"/>
              </w:rPr>
              <w:t>爬梯松动、锈蚀或缺损</w:t>
            </w:r>
          </w:p>
        </w:tc>
      </w:tr>
      <w:tr w14:paraId="6AC37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14:paraId="7DEE63D8">
            <w:pPr>
              <w:spacing w:line="240" w:lineRule="auto"/>
              <w:jc w:val="center"/>
              <w:rPr>
                <w:sz w:val="21"/>
                <w:szCs w:val="21"/>
              </w:rPr>
            </w:pPr>
          </w:p>
        </w:tc>
        <w:tc>
          <w:tcPr>
            <w:tcW w:w="4011" w:type="dxa"/>
            <w:vAlign w:val="center"/>
          </w:tcPr>
          <w:p w14:paraId="16699E49">
            <w:pPr>
              <w:spacing w:line="240" w:lineRule="auto"/>
              <w:jc w:val="center"/>
              <w:rPr>
                <w:sz w:val="21"/>
                <w:szCs w:val="21"/>
              </w:rPr>
            </w:pPr>
            <w:r>
              <w:rPr>
                <w:rFonts w:hint="eastAsia"/>
                <w:sz w:val="21"/>
                <w:szCs w:val="21"/>
              </w:rPr>
              <w:t>井壁泥垢</w:t>
            </w:r>
          </w:p>
        </w:tc>
      </w:tr>
      <w:tr w14:paraId="57900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14:paraId="58A5206E">
            <w:pPr>
              <w:spacing w:line="240" w:lineRule="auto"/>
              <w:jc w:val="center"/>
              <w:rPr>
                <w:sz w:val="21"/>
                <w:szCs w:val="21"/>
              </w:rPr>
            </w:pPr>
          </w:p>
        </w:tc>
        <w:tc>
          <w:tcPr>
            <w:tcW w:w="4011" w:type="dxa"/>
            <w:vAlign w:val="center"/>
          </w:tcPr>
          <w:p w14:paraId="66FA191D">
            <w:pPr>
              <w:spacing w:line="240" w:lineRule="auto"/>
              <w:jc w:val="center"/>
              <w:rPr>
                <w:sz w:val="21"/>
                <w:szCs w:val="21"/>
              </w:rPr>
            </w:pPr>
            <w:r>
              <w:rPr>
                <w:rFonts w:hint="eastAsia"/>
                <w:sz w:val="21"/>
                <w:szCs w:val="21"/>
              </w:rPr>
              <w:t>井壁裂缝</w:t>
            </w:r>
          </w:p>
        </w:tc>
      </w:tr>
      <w:tr w14:paraId="6222B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14:paraId="6746525C">
            <w:pPr>
              <w:spacing w:line="240" w:lineRule="auto"/>
              <w:jc w:val="center"/>
              <w:rPr>
                <w:sz w:val="21"/>
                <w:szCs w:val="21"/>
              </w:rPr>
            </w:pPr>
          </w:p>
        </w:tc>
        <w:tc>
          <w:tcPr>
            <w:tcW w:w="4011" w:type="dxa"/>
            <w:vAlign w:val="center"/>
          </w:tcPr>
          <w:p w14:paraId="64E6964F">
            <w:pPr>
              <w:spacing w:line="240" w:lineRule="auto"/>
              <w:jc w:val="center"/>
              <w:rPr>
                <w:sz w:val="21"/>
                <w:szCs w:val="21"/>
              </w:rPr>
            </w:pPr>
            <w:r>
              <w:rPr>
                <w:rFonts w:hint="eastAsia"/>
                <w:sz w:val="21"/>
                <w:szCs w:val="21"/>
              </w:rPr>
              <w:t>井壁渗漏</w:t>
            </w:r>
          </w:p>
        </w:tc>
      </w:tr>
      <w:tr w14:paraId="33969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14:paraId="7F7D7B7C">
            <w:pPr>
              <w:spacing w:line="240" w:lineRule="auto"/>
              <w:jc w:val="center"/>
              <w:rPr>
                <w:sz w:val="21"/>
                <w:szCs w:val="21"/>
              </w:rPr>
            </w:pPr>
          </w:p>
        </w:tc>
        <w:tc>
          <w:tcPr>
            <w:tcW w:w="4011" w:type="dxa"/>
            <w:vAlign w:val="center"/>
          </w:tcPr>
          <w:p w14:paraId="14735152">
            <w:pPr>
              <w:spacing w:line="240" w:lineRule="auto"/>
              <w:jc w:val="center"/>
              <w:rPr>
                <w:sz w:val="21"/>
                <w:szCs w:val="21"/>
              </w:rPr>
            </w:pPr>
            <w:r>
              <w:rPr>
                <w:rFonts w:hint="eastAsia"/>
                <w:sz w:val="21"/>
                <w:szCs w:val="21"/>
              </w:rPr>
              <w:t>抹面脱落</w:t>
            </w:r>
          </w:p>
        </w:tc>
      </w:tr>
      <w:tr w14:paraId="73716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14:paraId="5BE05EDB">
            <w:pPr>
              <w:spacing w:line="240" w:lineRule="auto"/>
              <w:jc w:val="center"/>
              <w:rPr>
                <w:sz w:val="21"/>
                <w:szCs w:val="21"/>
              </w:rPr>
            </w:pPr>
          </w:p>
        </w:tc>
        <w:tc>
          <w:tcPr>
            <w:tcW w:w="4011" w:type="dxa"/>
            <w:vAlign w:val="center"/>
          </w:tcPr>
          <w:p w14:paraId="34723037">
            <w:pPr>
              <w:spacing w:line="240" w:lineRule="auto"/>
              <w:jc w:val="center"/>
              <w:rPr>
                <w:sz w:val="21"/>
                <w:szCs w:val="21"/>
              </w:rPr>
            </w:pPr>
            <w:r>
              <w:rPr>
                <w:rFonts w:hint="eastAsia"/>
                <w:sz w:val="21"/>
                <w:szCs w:val="21"/>
              </w:rPr>
              <w:t>管口孔洞</w:t>
            </w:r>
          </w:p>
        </w:tc>
      </w:tr>
      <w:tr w14:paraId="6A609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14:paraId="1882BE0A">
            <w:pPr>
              <w:spacing w:line="240" w:lineRule="auto"/>
              <w:jc w:val="center"/>
              <w:rPr>
                <w:sz w:val="21"/>
                <w:szCs w:val="21"/>
              </w:rPr>
            </w:pPr>
          </w:p>
        </w:tc>
        <w:tc>
          <w:tcPr>
            <w:tcW w:w="4011" w:type="dxa"/>
            <w:vAlign w:val="center"/>
          </w:tcPr>
          <w:p w14:paraId="6EF244EF">
            <w:pPr>
              <w:spacing w:line="240" w:lineRule="auto"/>
              <w:jc w:val="center"/>
              <w:rPr>
                <w:sz w:val="21"/>
                <w:szCs w:val="21"/>
              </w:rPr>
            </w:pPr>
            <w:r>
              <w:rPr>
                <w:rFonts w:hint="eastAsia"/>
                <w:sz w:val="21"/>
                <w:szCs w:val="21"/>
              </w:rPr>
              <w:t>结构变形</w:t>
            </w:r>
          </w:p>
        </w:tc>
      </w:tr>
      <w:tr w14:paraId="22C4D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14:paraId="2CE761EF">
            <w:pPr>
              <w:spacing w:line="240" w:lineRule="auto"/>
              <w:jc w:val="center"/>
              <w:rPr>
                <w:sz w:val="21"/>
                <w:szCs w:val="21"/>
              </w:rPr>
            </w:pPr>
          </w:p>
        </w:tc>
        <w:tc>
          <w:tcPr>
            <w:tcW w:w="4011" w:type="dxa"/>
            <w:vAlign w:val="center"/>
          </w:tcPr>
          <w:p w14:paraId="07F4BF65">
            <w:pPr>
              <w:spacing w:line="240" w:lineRule="auto"/>
              <w:jc w:val="center"/>
              <w:rPr>
                <w:sz w:val="21"/>
                <w:szCs w:val="21"/>
              </w:rPr>
            </w:pPr>
            <w:r>
              <w:rPr>
                <w:rFonts w:hint="eastAsia"/>
                <w:sz w:val="21"/>
                <w:szCs w:val="21"/>
              </w:rPr>
              <w:t>井底积泥、杂物</w:t>
            </w:r>
          </w:p>
        </w:tc>
      </w:tr>
      <w:tr w14:paraId="29357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14:paraId="4C419494">
            <w:pPr>
              <w:spacing w:line="240" w:lineRule="auto"/>
              <w:jc w:val="center"/>
              <w:rPr>
                <w:sz w:val="21"/>
                <w:szCs w:val="21"/>
              </w:rPr>
            </w:pPr>
          </w:p>
        </w:tc>
        <w:tc>
          <w:tcPr>
            <w:tcW w:w="4011" w:type="dxa"/>
            <w:vAlign w:val="center"/>
          </w:tcPr>
          <w:p w14:paraId="5D124DD3">
            <w:pPr>
              <w:spacing w:line="240" w:lineRule="auto"/>
              <w:jc w:val="center"/>
              <w:rPr>
                <w:rFonts w:hint="eastAsia" w:eastAsiaTheme="minorEastAsia"/>
                <w:sz w:val="21"/>
                <w:szCs w:val="21"/>
                <w:lang w:eastAsia="zh-CN"/>
              </w:rPr>
            </w:pPr>
            <w:r>
              <w:rPr>
                <w:rFonts w:hint="eastAsia"/>
                <w:sz w:val="21"/>
                <w:szCs w:val="21"/>
              </w:rPr>
              <w:t>阀井内壁钢筋裸</w:t>
            </w:r>
            <w:r>
              <w:rPr>
                <w:rFonts w:hint="eastAsia"/>
                <w:sz w:val="21"/>
                <w:szCs w:val="21"/>
                <w:lang w:eastAsia="zh-CN"/>
              </w:rPr>
              <w:t>露</w:t>
            </w:r>
          </w:p>
        </w:tc>
      </w:tr>
      <w:tr w14:paraId="3DBF5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14:paraId="0C0D61D9">
            <w:pPr>
              <w:spacing w:line="240" w:lineRule="auto"/>
              <w:jc w:val="center"/>
              <w:rPr>
                <w:sz w:val="21"/>
                <w:szCs w:val="21"/>
              </w:rPr>
            </w:pPr>
          </w:p>
        </w:tc>
        <w:tc>
          <w:tcPr>
            <w:tcW w:w="4011" w:type="dxa"/>
            <w:vAlign w:val="center"/>
          </w:tcPr>
          <w:p w14:paraId="065D661F">
            <w:pPr>
              <w:spacing w:line="240" w:lineRule="auto"/>
              <w:jc w:val="center"/>
              <w:rPr>
                <w:sz w:val="21"/>
                <w:szCs w:val="21"/>
              </w:rPr>
            </w:pPr>
            <w:r>
              <w:rPr>
                <w:rFonts w:hint="eastAsia"/>
                <w:sz w:val="21"/>
                <w:szCs w:val="21"/>
              </w:rPr>
              <w:t>阀井顶盖裂缝</w:t>
            </w:r>
          </w:p>
        </w:tc>
      </w:tr>
      <w:tr w14:paraId="7EB93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4" w:type="dxa"/>
            <w:vMerge w:val="continue"/>
            <w:vAlign w:val="center"/>
          </w:tcPr>
          <w:p w14:paraId="418EF9D9">
            <w:pPr>
              <w:spacing w:line="240" w:lineRule="auto"/>
              <w:jc w:val="center"/>
              <w:rPr>
                <w:sz w:val="21"/>
                <w:szCs w:val="21"/>
              </w:rPr>
            </w:pPr>
          </w:p>
        </w:tc>
        <w:tc>
          <w:tcPr>
            <w:tcW w:w="4011" w:type="dxa"/>
            <w:vAlign w:val="center"/>
          </w:tcPr>
          <w:p w14:paraId="19D206EB">
            <w:pPr>
              <w:spacing w:line="240" w:lineRule="auto"/>
              <w:jc w:val="center"/>
              <w:rPr>
                <w:sz w:val="21"/>
                <w:szCs w:val="21"/>
              </w:rPr>
            </w:pPr>
            <w:r>
              <w:rPr>
                <w:rFonts w:hint="eastAsia"/>
                <w:sz w:val="21"/>
                <w:szCs w:val="21"/>
              </w:rPr>
              <w:t>其他</w:t>
            </w:r>
          </w:p>
        </w:tc>
      </w:tr>
    </w:tbl>
    <w:p w14:paraId="554E6B6F">
      <w:pPr>
        <w:rPr>
          <w:rFonts w:hint="eastAsia"/>
          <w:b/>
          <w:bCs/>
        </w:rPr>
      </w:pPr>
    </w:p>
    <w:p w14:paraId="14442C22">
      <w:r>
        <w:rPr>
          <w:rFonts w:hint="eastAsia"/>
          <w:b/>
          <w:bCs/>
        </w:rPr>
        <w:t>11.2.2　</w:t>
      </w:r>
      <w:r>
        <w:rPr>
          <w:rFonts w:hint="eastAsia"/>
        </w:rPr>
        <w:t>阀类检查内容应符合表11.2.2的规定，检查时应按</w:t>
      </w:r>
      <w:r>
        <w:rPr>
          <w:rFonts w:hint="eastAsia"/>
          <w:lang w:eastAsia="zh-CN"/>
        </w:rPr>
        <w:t>本标准</w:t>
      </w:r>
      <w:r>
        <w:rPr>
          <w:rFonts w:hint="eastAsia"/>
        </w:rPr>
        <w:t>附录C现场填写记录。</w:t>
      </w:r>
    </w:p>
    <w:p w14:paraId="43960E2E">
      <w:pPr>
        <w:pStyle w:val="105"/>
      </w:pPr>
      <w:r>
        <w:t>表11.2.2　阀类检查</w:t>
      </w:r>
      <w:r>
        <w:rPr>
          <w:rFonts w:hint="eastAsia"/>
        </w:rPr>
        <w:t>内容</w:t>
      </w:r>
    </w:p>
    <w:tbl>
      <w:tblPr>
        <w:tblStyle w:val="29"/>
        <w:tblW w:w="8379" w:type="dxa"/>
        <w:tblInd w:w="0" w:type="dxa"/>
        <w:tblLayout w:type="autofit"/>
        <w:tblCellMar>
          <w:top w:w="0" w:type="dxa"/>
          <w:left w:w="108" w:type="dxa"/>
          <w:bottom w:w="0" w:type="dxa"/>
          <w:right w:w="108" w:type="dxa"/>
        </w:tblCellMar>
      </w:tblPr>
      <w:tblGrid>
        <w:gridCol w:w="2297"/>
        <w:gridCol w:w="6082"/>
      </w:tblGrid>
      <w:tr w14:paraId="712D0FA0">
        <w:tblPrEx>
          <w:tblCellMar>
            <w:top w:w="0" w:type="dxa"/>
            <w:left w:w="108" w:type="dxa"/>
            <w:bottom w:w="0" w:type="dxa"/>
            <w:right w:w="108" w:type="dxa"/>
          </w:tblCellMar>
        </w:tblPrEx>
        <w:trPr>
          <w:trHeight w:val="510" w:hRule="atLeast"/>
        </w:trPr>
        <w:tc>
          <w:tcPr>
            <w:tcW w:w="2297"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14:paraId="234DFC00">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检查项目</w:t>
            </w:r>
          </w:p>
        </w:tc>
        <w:tc>
          <w:tcPr>
            <w:tcW w:w="6082" w:type="dxa"/>
            <w:tcBorders>
              <w:top w:val="single" w:color="auto" w:sz="12" w:space="0"/>
              <w:left w:val="single" w:color="auto" w:sz="4" w:space="0"/>
              <w:bottom w:val="single" w:color="auto" w:sz="4" w:space="0"/>
              <w:right w:val="single" w:color="auto" w:sz="12" w:space="0"/>
            </w:tcBorders>
            <w:shd w:val="clear" w:color="auto" w:fill="auto"/>
            <w:vAlign w:val="center"/>
          </w:tcPr>
          <w:p w14:paraId="3EF313ED">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安装位置偏斜</w:t>
            </w:r>
          </w:p>
        </w:tc>
      </w:tr>
      <w:tr w14:paraId="191367BF">
        <w:tblPrEx>
          <w:tblCellMar>
            <w:top w:w="0" w:type="dxa"/>
            <w:left w:w="108" w:type="dxa"/>
            <w:bottom w:w="0" w:type="dxa"/>
            <w:right w:w="108" w:type="dxa"/>
          </w:tblCellMar>
        </w:tblPrEx>
        <w:trPr>
          <w:trHeight w:val="510" w:hRule="atLeast"/>
        </w:trPr>
        <w:tc>
          <w:tcPr>
            <w:tcW w:w="2297" w:type="dxa"/>
            <w:vMerge w:val="continue"/>
            <w:tcBorders>
              <w:top w:val="single" w:color="auto" w:sz="4" w:space="0"/>
              <w:left w:val="single" w:color="auto" w:sz="12" w:space="0"/>
              <w:bottom w:val="single" w:color="auto" w:sz="4" w:space="0"/>
              <w:right w:val="single" w:color="auto" w:sz="4" w:space="0"/>
            </w:tcBorders>
            <w:vAlign w:val="center"/>
          </w:tcPr>
          <w:p w14:paraId="10A4C700">
            <w:pPr>
              <w:widowControl/>
              <w:snapToGrid w:val="0"/>
              <w:spacing w:line="240" w:lineRule="auto"/>
              <w:jc w:val="left"/>
              <w:rPr>
                <w:rFonts w:ascii="宋体" w:hAnsi="宋体" w:eastAsia="宋体" w:cs="宋体"/>
                <w:kern w:val="0"/>
                <w:sz w:val="21"/>
                <w:szCs w:val="21"/>
              </w:rPr>
            </w:pPr>
          </w:p>
        </w:tc>
        <w:tc>
          <w:tcPr>
            <w:tcW w:w="6082" w:type="dxa"/>
            <w:tcBorders>
              <w:top w:val="single" w:color="auto" w:sz="4" w:space="0"/>
              <w:left w:val="single" w:color="auto" w:sz="4" w:space="0"/>
              <w:bottom w:val="single" w:color="auto" w:sz="4" w:space="0"/>
              <w:right w:val="single" w:color="auto" w:sz="12" w:space="0"/>
            </w:tcBorders>
            <w:shd w:val="clear" w:color="auto" w:fill="auto"/>
            <w:vAlign w:val="center"/>
          </w:tcPr>
          <w:p w14:paraId="2179023C">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外壳裂缝</w:t>
            </w:r>
          </w:p>
        </w:tc>
      </w:tr>
      <w:tr w14:paraId="03FC8322">
        <w:tblPrEx>
          <w:tblCellMar>
            <w:top w:w="0" w:type="dxa"/>
            <w:left w:w="108" w:type="dxa"/>
            <w:bottom w:w="0" w:type="dxa"/>
            <w:right w:w="108" w:type="dxa"/>
          </w:tblCellMar>
        </w:tblPrEx>
        <w:trPr>
          <w:trHeight w:val="510" w:hRule="atLeast"/>
        </w:trPr>
        <w:tc>
          <w:tcPr>
            <w:tcW w:w="2297" w:type="dxa"/>
            <w:vMerge w:val="continue"/>
            <w:tcBorders>
              <w:top w:val="single" w:color="auto" w:sz="4" w:space="0"/>
              <w:left w:val="single" w:color="auto" w:sz="12" w:space="0"/>
              <w:bottom w:val="single" w:color="auto" w:sz="4" w:space="0"/>
              <w:right w:val="single" w:color="auto" w:sz="4" w:space="0"/>
            </w:tcBorders>
            <w:vAlign w:val="center"/>
          </w:tcPr>
          <w:p w14:paraId="57006D0C">
            <w:pPr>
              <w:widowControl/>
              <w:snapToGrid w:val="0"/>
              <w:spacing w:line="240" w:lineRule="auto"/>
              <w:jc w:val="left"/>
              <w:rPr>
                <w:rFonts w:ascii="宋体" w:hAnsi="宋体" w:eastAsia="宋体" w:cs="宋体"/>
                <w:kern w:val="0"/>
                <w:sz w:val="21"/>
                <w:szCs w:val="21"/>
              </w:rPr>
            </w:pPr>
          </w:p>
        </w:tc>
        <w:tc>
          <w:tcPr>
            <w:tcW w:w="6082" w:type="dxa"/>
            <w:tcBorders>
              <w:top w:val="single" w:color="auto" w:sz="4" w:space="0"/>
              <w:left w:val="single" w:color="auto" w:sz="4" w:space="0"/>
              <w:bottom w:val="single" w:color="auto" w:sz="4" w:space="0"/>
              <w:right w:val="single" w:color="auto" w:sz="12" w:space="0"/>
            </w:tcBorders>
            <w:shd w:val="clear" w:color="auto" w:fill="auto"/>
            <w:vAlign w:val="center"/>
          </w:tcPr>
          <w:p w14:paraId="1942E41E">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接口漏水</w:t>
            </w:r>
          </w:p>
        </w:tc>
      </w:tr>
      <w:tr w14:paraId="7D02EEC3">
        <w:tblPrEx>
          <w:tblCellMar>
            <w:top w:w="0" w:type="dxa"/>
            <w:left w:w="108" w:type="dxa"/>
            <w:bottom w:w="0" w:type="dxa"/>
            <w:right w:w="108" w:type="dxa"/>
          </w:tblCellMar>
        </w:tblPrEx>
        <w:trPr>
          <w:trHeight w:val="510" w:hRule="atLeast"/>
        </w:trPr>
        <w:tc>
          <w:tcPr>
            <w:tcW w:w="2297" w:type="dxa"/>
            <w:vMerge w:val="continue"/>
            <w:tcBorders>
              <w:top w:val="single" w:color="auto" w:sz="4" w:space="0"/>
              <w:left w:val="single" w:color="auto" w:sz="12" w:space="0"/>
              <w:bottom w:val="single" w:color="auto" w:sz="4" w:space="0"/>
              <w:right w:val="single" w:color="auto" w:sz="4" w:space="0"/>
            </w:tcBorders>
            <w:vAlign w:val="center"/>
          </w:tcPr>
          <w:p w14:paraId="435FB29D">
            <w:pPr>
              <w:widowControl/>
              <w:snapToGrid w:val="0"/>
              <w:spacing w:line="240" w:lineRule="auto"/>
              <w:jc w:val="left"/>
              <w:rPr>
                <w:rFonts w:ascii="宋体" w:hAnsi="宋体" w:eastAsia="宋体" w:cs="宋体"/>
                <w:kern w:val="0"/>
                <w:sz w:val="21"/>
                <w:szCs w:val="21"/>
              </w:rPr>
            </w:pPr>
          </w:p>
        </w:tc>
        <w:tc>
          <w:tcPr>
            <w:tcW w:w="6082" w:type="dxa"/>
            <w:tcBorders>
              <w:top w:val="single" w:color="auto" w:sz="4" w:space="0"/>
              <w:left w:val="single" w:color="auto" w:sz="4" w:space="0"/>
              <w:bottom w:val="single" w:color="auto" w:sz="4" w:space="0"/>
              <w:right w:val="single" w:color="auto" w:sz="12" w:space="0"/>
            </w:tcBorders>
            <w:shd w:val="clear" w:color="auto" w:fill="auto"/>
            <w:vAlign w:val="center"/>
          </w:tcPr>
          <w:p w14:paraId="3B4C5E3C">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固定螺栓松动</w:t>
            </w:r>
          </w:p>
        </w:tc>
      </w:tr>
      <w:tr w14:paraId="6590452D">
        <w:tblPrEx>
          <w:tblCellMar>
            <w:top w:w="0" w:type="dxa"/>
            <w:left w:w="108" w:type="dxa"/>
            <w:bottom w:w="0" w:type="dxa"/>
            <w:right w:w="108" w:type="dxa"/>
          </w:tblCellMar>
        </w:tblPrEx>
        <w:trPr>
          <w:trHeight w:val="510" w:hRule="atLeast"/>
        </w:trPr>
        <w:tc>
          <w:tcPr>
            <w:tcW w:w="2297" w:type="dxa"/>
            <w:vMerge w:val="continue"/>
            <w:tcBorders>
              <w:top w:val="single" w:color="auto" w:sz="4" w:space="0"/>
              <w:left w:val="single" w:color="auto" w:sz="12" w:space="0"/>
              <w:bottom w:val="single" w:color="auto" w:sz="4" w:space="0"/>
              <w:right w:val="single" w:color="auto" w:sz="4" w:space="0"/>
            </w:tcBorders>
            <w:vAlign w:val="center"/>
          </w:tcPr>
          <w:p w14:paraId="2718E6D7">
            <w:pPr>
              <w:widowControl/>
              <w:snapToGrid w:val="0"/>
              <w:spacing w:line="240" w:lineRule="auto"/>
              <w:jc w:val="left"/>
              <w:rPr>
                <w:rFonts w:ascii="宋体" w:hAnsi="宋体" w:eastAsia="宋体" w:cs="宋体"/>
                <w:kern w:val="0"/>
                <w:sz w:val="21"/>
                <w:szCs w:val="21"/>
              </w:rPr>
            </w:pPr>
          </w:p>
        </w:tc>
        <w:tc>
          <w:tcPr>
            <w:tcW w:w="6082" w:type="dxa"/>
            <w:tcBorders>
              <w:top w:val="single" w:color="auto" w:sz="4" w:space="0"/>
              <w:left w:val="single" w:color="auto" w:sz="4" w:space="0"/>
              <w:bottom w:val="single" w:color="auto" w:sz="4" w:space="0"/>
              <w:right w:val="single" w:color="auto" w:sz="12" w:space="0"/>
            </w:tcBorders>
            <w:shd w:val="clear" w:color="auto" w:fill="auto"/>
            <w:vAlign w:val="center"/>
          </w:tcPr>
          <w:p w14:paraId="73EECAB1">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开闭受阻</w:t>
            </w:r>
          </w:p>
        </w:tc>
      </w:tr>
      <w:tr w14:paraId="2163BF28">
        <w:tblPrEx>
          <w:tblCellMar>
            <w:top w:w="0" w:type="dxa"/>
            <w:left w:w="108" w:type="dxa"/>
            <w:bottom w:w="0" w:type="dxa"/>
            <w:right w:w="108" w:type="dxa"/>
          </w:tblCellMar>
        </w:tblPrEx>
        <w:trPr>
          <w:trHeight w:val="510" w:hRule="atLeast"/>
        </w:trPr>
        <w:tc>
          <w:tcPr>
            <w:tcW w:w="2297" w:type="dxa"/>
            <w:vMerge w:val="continue"/>
            <w:tcBorders>
              <w:top w:val="single" w:color="auto" w:sz="4" w:space="0"/>
              <w:left w:val="single" w:color="auto" w:sz="12" w:space="0"/>
              <w:bottom w:val="single" w:color="auto" w:sz="4" w:space="0"/>
              <w:right w:val="single" w:color="auto" w:sz="4" w:space="0"/>
            </w:tcBorders>
            <w:vAlign w:val="center"/>
          </w:tcPr>
          <w:p w14:paraId="5560A77D">
            <w:pPr>
              <w:widowControl/>
              <w:snapToGrid w:val="0"/>
              <w:spacing w:line="240" w:lineRule="auto"/>
              <w:jc w:val="left"/>
              <w:rPr>
                <w:rFonts w:ascii="宋体" w:hAnsi="宋体" w:eastAsia="宋体" w:cs="宋体"/>
                <w:kern w:val="0"/>
                <w:sz w:val="21"/>
                <w:szCs w:val="21"/>
              </w:rPr>
            </w:pPr>
          </w:p>
        </w:tc>
        <w:tc>
          <w:tcPr>
            <w:tcW w:w="6082" w:type="dxa"/>
            <w:tcBorders>
              <w:top w:val="single" w:color="auto" w:sz="4" w:space="0"/>
              <w:left w:val="single" w:color="auto" w:sz="4" w:space="0"/>
              <w:bottom w:val="single" w:color="auto" w:sz="4" w:space="0"/>
              <w:right w:val="single" w:color="auto" w:sz="12" w:space="0"/>
            </w:tcBorders>
            <w:shd w:val="clear" w:color="auto" w:fill="auto"/>
            <w:vAlign w:val="center"/>
          </w:tcPr>
          <w:p w14:paraId="07A94255">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铭牌标志</w:t>
            </w:r>
          </w:p>
        </w:tc>
      </w:tr>
      <w:tr w14:paraId="075E7640">
        <w:tblPrEx>
          <w:tblCellMar>
            <w:top w:w="0" w:type="dxa"/>
            <w:left w:w="108" w:type="dxa"/>
            <w:bottom w:w="0" w:type="dxa"/>
            <w:right w:w="108" w:type="dxa"/>
          </w:tblCellMar>
        </w:tblPrEx>
        <w:trPr>
          <w:trHeight w:val="510" w:hRule="atLeast"/>
        </w:trPr>
        <w:tc>
          <w:tcPr>
            <w:tcW w:w="2297" w:type="dxa"/>
            <w:vMerge w:val="continue"/>
            <w:tcBorders>
              <w:top w:val="single" w:color="auto" w:sz="4" w:space="0"/>
              <w:left w:val="single" w:color="auto" w:sz="12" w:space="0"/>
              <w:bottom w:val="single" w:color="auto" w:sz="4" w:space="0"/>
              <w:right w:val="single" w:color="auto" w:sz="4" w:space="0"/>
            </w:tcBorders>
            <w:vAlign w:val="center"/>
          </w:tcPr>
          <w:p w14:paraId="0E2DB605">
            <w:pPr>
              <w:widowControl/>
              <w:snapToGrid w:val="0"/>
              <w:spacing w:line="240" w:lineRule="auto"/>
              <w:jc w:val="left"/>
              <w:rPr>
                <w:rFonts w:ascii="宋体" w:hAnsi="宋体" w:eastAsia="宋体" w:cs="宋体"/>
                <w:kern w:val="0"/>
                <w:sz w:val="21"/>
                <w:szCs w:val="21"/>
              </w:rPr>
            </w:pPr>
          </w:p>
        </w:tc>
        <w:tc>
          <w:tcPr>
            <w:tcW w:w="6082" w:type="dxa"/>
            <w:tcBorders>
              <w:top w:val="single" w:color="auto" w:sz="4" w:space="0"/>
              <w:left w:val="single" w:color="auto" w:sz="4" w:space="0"/>
              <w:bottom w:val="single" w:color="auto" w:sz="4" w:space="0"/>
              <w:right w:val="single" w:color="auto" w:sz="12" w:space="0"/>
            </w:tcBorders>
            <w:shd w:val="clear" w:color="auto" w:fill="auto"/>
            <w:vAlign w:val="center"/>
          </w:tcPr>
          <w:p w14:paraId="70517C71">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外壳锈蚀</w:t>
            </w:r>
          </w:p>
        </w:tc>
      </w:tr>
      <w:tr w14:paraId="38B2D6FE">
        <w:tblPrEx>
          <w:tblCellMar>
            <w:top w:w="0" w:type="dxa"/>
            <w:left w:w="108" w:type="dxa"/>
            <w:bottom w:w="0" w:type="dxa"/>
            <w:right w:w="108" w:type="dxa"/>
          </w:tblCellMar>
        </w:tblPrEx>
        <w:trPr>
          <w:trHeight w:val="510" w:hRule="atLeast"/>
        </w:trPr>
        <w:tc>
          <w:tcPr>
            <w:tcW w:w="2297" w:type="dxa"/>
            <w:vMerge w:val="continue"/>
            <w:tcBorders>
              <w:top w:val="single" w:color="auto" w:sz="4" w:space="0"/>
              <w:left w:val="single" w:color="auto" w:sz="12" w:space="0"/>
              <w:bottom w:val="single" w:color="auto" w:sz="4" w:space="0"/>
              <w:right w:val="single" w:color="auto" w:sz="4" w:space="0"/>
            </w:tcBorders>
            <w:vAlign w:val="center"/>
          </w:tcPr>
          <w:p w14:paraId="05E72061">
            <w:pPr>
              <w:widowControl/>
              <w:snapToGrid w:val="0"/>
              <w:spacing w:line="240" w:lineRule="auto"/>
              <w:jc w:val="left"/>
              <w:rPr>
                <w:rFonts w:ascii="宋体" w:hAnsi="宋体" w:eastAsia="宋体" w:cs="宋体"/>
                <w:kern w:val="0"/>
                <w:sz w:val="21"/>
                <w:szCs w:val="21"/>
              </w:rPr>
            </w:pPr>
          </w:p>
        </w:tc>
        <w:tc>
          <w:tcPr>
            <w:tcW w:w="6082" w:type="dxa"/>
            <w:tcBorders>
              <w:top w:val="single" w:color="auto" w:sz="4" w:space="0"/>
              <w:left w:val="single" w:color="auto" w:sz="4" w:space="0"/>
              <w:bottom w:val="single" w:color="auto" w:sz="4" w:space="0"/>
              <w:right w:val="single" w:color="auto" w:sz="12" w:space="0"/>
            </w:tcBorders>
            <w:shd w:val="clear" w:color="auto" w:fill="auto"/>
            <w:vAlign w:val="center"/>
          </w:tcPr>
          <w:p w14:paraId="22083371">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填料及阀瓣密封无渗漏</w:t>
            </w:r>
          </w:p>
        </w:tc>
      </w:tr>
      <w:tr w14:paraId="625336E9">
        <w:tblPrEx>
          <w:tblCellMar>
            <w:top w:w="0" w:type="dxa"/>
            <w:left w:w="108" w:type="dxa"/>
            <w:bottom w:w="0" w:type="dxa"/>
            <w:right w:w="108" w:type="dxa"/>
          </w:tblCellMar>
        </w:tblPrEx>
        <w:trPr>
          <w:trHeight w:val="510" w:hRule="atLeast"/>
        </w:trPr>
        <w:tc>
          <w:tcPr>
            <w:tcW w:w="2297" w:type="dxa"/>
            <w:vMerge w:val="continue"/>
            <w:tcBorders>
              <w:top w:val="single" w:color="auto" w:sz="4" w:space="0"/>
              <w:left w:val="single" w:color="auto" w:sz="12" w:space="0"/>
              <w:bottom w:val="single" w:color="auto" w:sz="12" w:space="0"/>
              <w:right w:val="single" w:color="auto" w:sz="4" w:space="0"/>
            </w:tcBorders>
            <w:vAlign w:val="center"/>
          </w:tcPr>
          <w:p w14:paraId="4FBC33CB">
            <w:pPr>
              <w:widowControl/>
              <w:snapToGrid w:val="0"/>
              <w:spacing w:line="240" w:lineRule="auto"/>
              <w:jc w:val="left"/>
              <w:rPr>
                <w:rFonts w:ascii="宋体" w:hAnsi="宋体" w:eastAsia="宋体" w:cs="宋体"/>
                <w:kern w:val="0"/>
                <w:sz w:val="21"/>
                <w:szCs w:val="21"/>
              </w:rPr>
            </w:pPr>
          </w:p>
        </w:tc>
        <w:tc>
          <w:tcPr>
            <w:tcW w:w="6082" w:type="dxa"/>
            <w:tcBorders>
              <w:top w:val="single" w:color="auto" w:sz="4" w:space="0"/>
              <w:left w:val="single" w:color="auto" w:sz="4" w:space="0"/>
              <w:bottom w:val="single" w:color="auto" w:sz="12" w:space="0"/>
              <w:right w:val="single" w:color="auto" w:sz="12" w:space="0"/>
            </w:tcBorders>
            <w:shd w:val="clear" w:color="auto" w:fill="auto"/>
            <w:vAlign w:val="center"/>
          </w:tcPr>
          <w:p w14:paraId="2468A35A">
            <w:pPr>
              <w:widowControl/>
              <w:snapToGrid w:val="0"/>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其他</w:t>
            </w:r>
          </w:p>
        </w:tc>
      </w:tr>
    </w:tbl>
    <w:p w14:paraId="067353BA">
      <w:pPr>
        <w:rPr>
          <w:rFonts w:hint="eastAsia"/>
          <w:b/>
          <w:bCs/>
        </w:rPr>
      </w:pPr>
    </w:p>
    <w:p w14:paraId="06E8031B">
      <w:r>
        <w:rPr>
          <w:rFonts w:hint="eastAsia"/>
          <w:b/>
          <w:bCs/>
        </w:rPr>
        <w:t>11.2.3　</w:t>
      </w:r>
      <w:r>
        <w:rPr>
          <w:rFonts w:hint="eastAsia"/>
        </w:rPr>
        <w:t>仪器仪表检查内容应符合表11.2.3的规定，检查时应现场按</w:t>
      </w:r>
      <w:r>
        <w:rPr>
          <w:rFonts w:hint="eastAsia"/>
          <w:lang w:eastAsia="zh-CN"/>
        </w:rPr>
        <w:t>本标准</w:t>
      </w:r>
      <w:r>
        <w:rPr>
          <w:rFonts w:hint="eastAsia"/>
        </w:rPr>
        <w:t>附录B填写记录。</w:t>
      </w:r>
    </w:p>
    <w:p w14:paraId="0E5D76F9">
      <w:pPr>
        <w:pStyle w:val="105"/>
        <w:keepNext/>
        <w:keepLines w:val="0"/>
        <w:pageBreakBefore w:val="0"/>
        <w:widowControl w:val="0"/>
        <w:kinsoku/>
        <w:wordWrap/>
        <w:overflowPunct/>
        <w:topLinePunct w:val="0"/>
        <w:autoSpaceDE/>
        <w:autoSpaceDN/>
        <w:bidi w:val="0"/>
        <w:adjustRightInd/>
        <w:snapToGrid/>
        <w:textAlignment w:val="auto"/>
      </w:pPr>
      <w:r>
        <w:t>表11.2.3　仪器仪表检查</w:t>
      </w:r>
      <w:r>
        <w:rPr>
          <w:rFonts w:hint="eastAsia"/>
        </w:rPr>
        <w:t>内容</w:t>
      </w:r>
    </w:p>
    <w:tbl>
      <w:tblPr>
        <w:tblStyle w:val="29"/>
        <w:tblW w:w="7420" w:type="dxa"/>
        <w:tblInd w:w="0" w:type="dxa"/>
        <w:tblLayout w:type="autofit"/>
        <w:tblCellMar>
          <w:top w:w="0" w:type="dxa"/>
          <w:left w:w="108" w:type="dxa"/>
          <w:bottom w:w="0" w:type="dxa"/>
          <w:right w:w="108" w:type="dxa"/>
        </w:tblCellMar>
      </w:tblPr>
      <w:tblGrid>
        <w:gridCol w:w="1671"/>
        <w:gridCol w:w="5749"/>
      </w:tblGrid>
      <w:tr w14:paraId="68257E46">
        <w:trPr>
          <w:trHeight w:val="510" w:hRule="atLeast"/>
        </w:trPr>
        <w:tc>
          <w:tcPr>
            <w:tcW w:w="1671" w:type="dxa"/>
            <w:vMerge w:val="restart"/>
            <w:tcBorders>
              <w:top w:val="single" w:color="auto" w:sz="12" w:space="0"/>
              <w:left w:val="single" w:color="auto" w:sz="12" w:space="0"/>
              <w:bottom w:val="single" w:color="auto" w:sz="4" w:space="0"/>
              <w:right w:val="single" w:color="auto" w:sz="4" w:space="0"/>
            </w:tcBorders>
            <w:shd w:val="clear" w:color="auto" w:fill="auto"/>
            <w:noWrap/>
            <w:vAlign w:val="center"/>
          </w:tcPr>
          <w:p w14:paraId="1E9F7817">
            <w:pPr>
              <w:widowControl/>
              <w:jc w:val="center"/>
              <w:rPr>
                <w:rFonts w:ascii="宋体" w:hAnsi="宋体" w:eastAsia="宋体" w:cs="宋体"/>
                <w:kern w:val="0"/>
                <w:sz w:val="21"/>
                <w:szCs w:val="21"/>
              </w:rPr>
            </w:pPr>
            <w:r>
              <w:rPr>
                <w:rFonts w:hint="eastAsia" w:ascii="宋体" w:hAnsi="宋体" w:eastAsia="宋体" w:cs="宋体"/>
                <w:kern w:val="0"/>
                <w:sz w:val="21"/>
                <w:szCs w:val="21"/>
              </w:rPr>
              <w:t>检查项目</w:t>
            </w:r>
          </w:p>
        </w:tc>
        <w:tc>
          <w:tcPr>
            <w:tcW w:w="5749" w:type="dxa"/>
            <w:tcBorders>
              <w:top w:val="single" w:color="auto" w:sz="12" w:space="0"/>
              <w:left w:val="single" w:color="auto" w:sz="4" w:space="0"/>
              <w:bottom w:val="single" w:color="auto" w:sz="4" w:space="0"/>
              <w:right w:val="single" w:color="auto" w:sz="12" w:space="0"/>
            </w:tcBorders>
            <w:shd w:val="clear" w:color="auto" w:fill="auto"/>
            <w:vAlign w:val="center"/>
          </w:tcPr>
          <w:p w14:paraId="4AEB8C50">
            <w:pPr>
              <w:widowControl/>
              <w:jc w:val="center"/>
              <w:rPr>
                <w:rFonts w:ascii="宋体" w:hAnsi="宋体" w:eastAsia="宋体" w:cs="宋体"/>
                <w:kern w:val="0"/>
                <w:sz w:val="21"/>
                <w:szCs w:val="21"/>
              </w:rPr>
            </w:pPr>
            <w:r>
              <w:rPr>
                <w:rFonts w:hint="eastAsia" w:ascii="宋体" w:hAnsi="宋体" w:eastAsia="宋体" w:cs="宋体"/>
                <w:kern w:val="0"/>
                <w:sz w:val="21"/>
                <w:szCs w:val="21"/>
              </w:rPr>
              <w:t>仪表校准、检定报告</w:t>
            </w:r>
          </w:p>
        </w:tc>
      </w:tr>
      <w:tr w14:paraId="4E9F8FCB">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14:paraId="715B4287">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14:paraId="716FA707">
            <w:pPr>
              <w:widowControl/>
              <w:jc w:val="center"/>
              <w:rPr>
                <w:rFonts w:ascii="宋体" w:hAnsi="宋体" w:eastAsia="宋体" w:cs="宋体"/>
                <w:kern w:val="0"/>
                <w:sz w:val="21"/>
                <w:szCs w:val="21"/>
              </w:rPr>
            </w:pPr>
            <w:r>
              <w:rPr>
                <w:rFonts w:hint="eastAsia" w:ascii="宋体" w:hAnsi="宋体" w:eastAsia="宋体" w:cs="宋体"/>
                <w:kern w:val="0"/>
                <w:sz w:val="21"/>
                <w:szCs w:val="21"/>
              </w:rPr>
              <w:t>安装方向是否符合流体方向</w:t>
            </w:r>
          </w:p>
        </w:tc>
      </w:tr>
      <w:tr w14:paraId="7C9F8426">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14:paraId="5F041026">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14:paraId="75863AC8">
            <w:pPr>
              <w:widowControl/>
              <w:jc w:val="center"/>
              <w:rPr>
                <w:rFonts w:ascii="宋体" w:hAnsi="宋体" w:eastAsia="宋体" w:cs="宋体"/>
                <w:kern w:val="0"/>
                <w:sz w:val="21"/>
                <w:szCs w:val="21"/>
              </w:rPr>
            </w:pPr>
            <w:r>
              <w:rPr>
                <w:rFonts w:hint="eastAsia" w:ascii="宋体" w:hAnsi="宋体" w:eastAsia="宋体" w:cs="宋体"/>
                <w:kern w:val="0"/>
                <w:sz w:val="21"/>
                <w:szCs w:val="21"/>
              </w:rPr>
              <w:t>接口漏水</w:t>
            </w:r>
          </w:p>
        </w:tc>
      </w:tr>
      <w:tr w14:paraId="032B40FD">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14:paraId="7A23D475">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14:paraId="73F00D52">
            <w:pPr>
              <w:widowControl/>
              <w:jc w:val="center"/>
              <w:rPr>
                <w:rFonts w:ascii="宋体" w:hAnsi="宋体" w:eastAsia="宋体" w:cs="宋体"/>
                <w:kern w:val="0"/>
                <w:sz w:val="21"/>
                <w:szCs w:val="21"/>
              </w:rPr>
            </w:pPr>
            <w:r>
              <w:rPr>
                <w:rFonts w:hint="eastAsia" w:ascii="宋体" w:hAnsi="宋体" w:eastAsia="宋体" w:cs="宋体"/>
                <w:kern w:val="0"/>
                <w:sz w:val="21"/>
                <w:szCs w:val="21"/>
              </w:rPr>
              <w:t>固定螺栓</w:t>
            </w:r>
          </w:p>
        </w:tc>
      </w:tr>
      <w:tr w14:paraId="13BC7054">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14:paraId="53CB28BE">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14:paraId="5637C385">
            <w:pPr>
              <w:widowControl/>
              <w:jc w:val="center"/>
              <w:rPr>
                <w:rFonts w:ascii="宋体" w:hAnsi="宋体" w:eastAsia="宋体" w:cs="宋体"/>
                <w:kern w:val="0"/>
                <w:sz w:val="21"/>
                <w:szCs w:val="21"/>
              </w:rPr>
            </w:pPr>
            <w:r>
              <w:rPr>
                <w:rFonts w:hint="eastAsia" w:ascii="宋体" w:hAnsi="宋体" w:eastAsia="宋体" w:cs="宋体"/>
                <w:kern w:val="0"/>
                <w:sz w:val="21"/>
                <w:szCs w:val="21"/>
              </w:rPr>
              <w:t>数值读数</w:t>
            </w:r>
          </w:p>
        </w:tc>
      </w:tr>
      <w:tr w14:paraId="254AD21E">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14:paraId="41CEC696">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14:paraId="3AFDDA6F">
            <w:pPr>
              <w:widowControl/>
              <w:jc w:val="center"/>
              <w:rPr>
                <w:rFonts w:ascii="宋体" w:hAnsi="宋体" w:eastAsia="宋体" w:cs="宋体"/>
                <w:kern w:val="0"/>
                <w:sz w:val="21"/>
                <w:szCs w:val="21"/>
              </w:rPr>
            </w:pPr>
            <w:r>
              <w:rPr>
                <w:rFonts w:hint="eastAsia" w:ascii="宋体" w:hAnsi="宋体" w:eastAsia="宋体" w:cs="宋体"/>
                <w:kern w:val="0"/>
                <w:sz w:val="21"/>
                <w:szCs w:val="21"/>
              </w:rPr>
              <w:t>铭牌标志</w:t>
            </w:r>
          </w:p>
        </w:tc>
      </w:tr>
      <w:tr w14:paraId="70598027">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14:paraId="19EBC48B">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14:paraId="4F73CB54">
            <w:pPr>
              <w:widowControl/>
              <w:jc w:val="center"/>
              <w:rPr>
                <w:rFonts w:ascii="宋体" w:hAnsi="宋体" w:eastAsia="宋体" w:cs="宋体"/>
                <w:kern w:val="0"/>
                <w:sz w:val="21"/>
                <w:szCs w:val="21"/>
              </w:rPr>
            </w:pPr>
            <w:r>
              <w:rPr>
                <w:rFonts w:hint="eastAsia" w:ascii="宋体" w:hAnsi="宋体" w:eastAsia="宋体" w:cs="宋体"/>
                <w:kern w:val="0"/>
                <w:sz w:val="21"/>
                <w:szCs w:val="21"/>
              </w:rPr>
              <w:t>外壳锈蚀</w:t>
            </w:r>
          </w:p>
        </w:tc>
      </w:tr>
      <w:tr w14:paraId="0AC2053E">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14:paraId="2EF68CC1">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14:paraId="7FE015A0">
            <w:pPr>
              <w:widowControl/>
              <w:jc w:val="center"/>
              <w:rPr>
                <w:rFonts w:ascii="宋体" w:hAnsi="宋体" w:eastAsia="宋体" w:cs="宋体"/>
                <w:kern w:val="0"/>
                <w:sz w:val="21"/>
                <w:szCs w:val="21"/>
              </w:rPr>
            </w:pPr>
            <w:r>
              <w:rPr>
                <w:rFonts w:hint="eastAsia" w:ascii="宋体" w:hAnsi="宋体" w:eastAsia="宋体" w:cs="宋体"/>
                <w:kern w:val="0"/>
                <w:sz w:val="21"/>
                <w:szCs w:val="21"/>
              </w:rPr>
              <w:t>电源接地</w:t>
            </w:r>
          </w:p>
        </w:tc>
      </w:tr>
      <w:tr w14:paraId="025EDF42">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14:paraId="78AA8148">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14:paraId="34DE379D">
            <w:pPr>
              <w:widowControl/>
              <w:jc w:val="center"/>
              <w:rPr>
                <w:rFonts w:ascii="宋体" w:hAnsi="宋体" w:eastAsia="宋体" w:cs="宋体"/>
                <w:kern w:val="0"/>
                <w:sz w:val="21"/>
                <w:szCs w:val="21"/>
              </w:rPr>
            </w:pPr>
            <w:r>
              <w:rPr>
                <w:rFonts w:hint="eastAsia" w:ascii="宋体" w:hAnsi="宋体" w:eastAsia="宋体" w:cs="宋体"/>
                <w:kern w:val="0"/>
                <w:sz w:val="21"/>
                <w:szCs w:val="21"/>
              </w:rPr>
              <w:t>电源电压</w:t>
            </w:r>
          </w:p>
        </w:tc>
      </w:tr>
      <w:tr w14:paraId="1F81FBCE">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4" w:space="0"/>
              <w:right w:val="single" w:color="auto" w:sz="4" w:space="0"/>
            </w:tcBorders>
            <w:vAlign w:val="center"/>
          </w:tcPr>
          <w:p w14:paraId="236B17E2">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4" w:space="0"/>
              <w:right w:val="single" w:color="auto" w:sz="12" w:space="0"/>
            </w:tcBorders>
            <w:shd w:val="clear" w:color="auto" w:fill="auto"/>
            <w:vAlign w:val="center"/>
          </w:tcPr>
          <w:p w14:paraId="7013CC9A">
            <w:pPr>
              <w:widowControl/>
              <w:jc w:val="center"/>
              <w:rPr>
                <w:rFonts w:ascii="宋体" w:hAnsi="宋体" w:eastAsia="宋体" w:cs="宋体"/>
                <w:kern w:val="0"/>
                <w:sz w:val="21"/>
                <w:szCs w:val="21"/>
              </w:rPr>
            </w:pPr>
            <w:r>
              <w:rPr>
                <w:rFonts w:hint="eastAsia" w:ascii="宋体" w:hAnsi="宋体" w:eastAsia="宋体" w:cs="宋体"/>
                <w:kern w:val="0"/>
                <w:sz w:val="21"/>
                <w:szCs w:val="21"/>
              </w:rPr>
              <w:t>数显模块</w:t>
            </w:r>
          </w:p>
        </w:tc>
      </w:tr>
      <w:tr w14:paraId="72B43E5E">
        <w:tblPrEx>
          <w:tblCellMar>
            <w:top w:w="0" w:type="dxa"/>
            <w:left w:w="108" w:type="dxa"/>
            <w:bottom w:w="0" w:type="dxa"/>
            <w:right w:w="108" w:type="dxa"/>
          </w:tblCellMar>
        </w:tblPrEx>
        <w:trPr>
          <w:trHeight w:val="510" w:hRule="atLeast"/>
        </w:trPr>
        <w:tc>
          <w:tcPr>
            <w:tcW w:w="1671" w:type="dxa"/>
            <w:vMerge w:val="continue"/>
            <w:tcBorders>
              <w:top w:val="single" w:color="auto" w:sz="4" w:space="0"/>
              <w:left w:val="single" w:color="auto" w:sz="12" w:space="0"/>
              <w:bottom w:val="single" w:color="auto" w:sz="12" w:space="0"/>
              <w:right w:val="single" w:color="auto" w:sz="4" w:space="0"/>
            </w:tcBorders>
            <w:vAlign w:val="center"/>
          </w:tcPr>
          <w:p w14:paraId="6A1216B4">
            <w:pPr>
              <w:widowControl/>
              <w:jc w:val="center"/>
              <w:rPr>
                <w:rFonts w:ascii="宋体" w:hAnsi="宋体" w:eastAsia="宋体" w:cs="宋体"/>
                <w:kern w:val="0"/>
                <w:sz w:val="21"/>
                <w:szCs w:val="21"/>
              </w:rPr>
            </w:pPr>
          </w:p>
        </w:tc>
        <w:tc>
          <w:tcPr>
            <w:tcW w:w="5749" w:type="dxa"/>
            <w:tcBorders>
              <w:top w:val="single" w:color="auto" w:sz="4" w:space="0"/>
              <w:left w:val="single" w:color="auto" w:sz="4" w:space="0"/>
              <w:bottom w:val="single" w:color="auto" w:sz="12" w:space="0"/>
              <w:right w:val="single" w:color="auto" w:sz="12" w:space="0"/>
            </w:tcBorders>
            <w:shd w:val="clear" w:color="auto" w:fill="auto"/>
            <w:vAlign w:val="center"/>
          </w:tcPr>
          <w:p w14:paraId="78B812BB">
            <w:pPr>
              <w:widowControl/>
              <w:jc w:val="center"/>
              <w:rPr>
                <w:rFonts w:ascii="宋体" w:hAnsi="宋体" w:eastAsia="宋体" w:cs="宋体"/>
                <w:kern w:val="0"/>
                <w:sz w:val="21"/>
                <w:szCs w:val="21"/>
              </w:rPr>
            </w:pPr>
            <w:r>
              <w:rPr>
                <w:rFonts w:hint="eastAsia" w:ascii="宋体" w:hAnsi="宋体" w:eastAsia="宋体" w:cs="宋体"/>
                <w:kern w:val="0"/>
                <w:sz w:val="21"/>
                <w:szCs w:val="21"/>
              </w:rPr>
              <w:t>其他</w:t>
            </w:r>
          </w:p>
        </w:tc>
      </w:tr>
    </w:tbl>
    <w:p w14:paraId="0EEB5587">
      <w:pPr>
        <w:pStyle w:val="2"/>
      </w:pPr>
    </w:p>
    <w:p w14:paraId="5FEC0817">
      <w:pPr>
        <w:pStyle w:val="2"/>
      </w:pPr>
    </w:p>
    <w:p w14:paraId="540360DE">
      <w:pPr>
        <w:pStyle w:val="2"/>
      </w:pPr>
    </w:p>
    <w:p w14:paraId="23EFDD9B">
      <w:pPr>
        <w:pStyle w:val="5"/>
      </w:pPr>
      <w:bookmarkStart w:id="375" w:name="_Toc4423"/>
      <w:bookmarkStart w:id="376" w:name="_Toc22259"/>
      <w:bookmarkStart w:id="377" w:name="_Toc1323"/>
      <w:bookmarkStart w:id="378" w:name="_Toc13577"/>
      <w:bookmarkStart w:id="379" w:name="_Toc181825586"/>
      <w:r>
        <w:rPr>
          <w:rFonts w:hint="eastAsia"/>
        </w:rPr>
        <w:t>11.3　评估</w:t>
      </w:r>
      <w:bookmarkEnd w:id="375"/>
      <w:bookmarkEnd w:id="376"/>
      <w:bookmarkEnd w:id="377"/>
      <w:bookmarkEnd w:id="378"/>
      <w:bookmarkEnd w:id="379"/>
    </w:p>
    <w:p w14:paraId="2C6384E2">
      <w:r>
        <w:rPr>
          <w:rFonts w:hint="eastAsia"/>
          <w:b/>
          <w:bCs/>
        </w:rPr>
        <w:t>11.3.1　</w:t>
      </w:r>
      <w:r>
        <w:rPr>
          <w:rFonts w:hint="eastAsia"/>
        </w:rPr>
        <w:t>附属设施缺陷状况评估分值应按下式计算：</w:t>
      </w:r>
    </w:p>
    <w:p w14:paraId="078E7538">
      <w:pPr>
        <w:jc w:val="right"/>
      </w:pPr>
      <w:r>
        <w:rPr>
          <w:rFonts w:hint="eastAsia"/>
          <w:i/>
          <w:iCs/>
        </w:rPr>
        <w:t>P</w:t>
      </w:r>
      <w:r>
        <w:rPr>
          <w:rFonts w:hint="eastAsia"/>
          <w:vertAlign w:val="subscript"/>
        </w:rPr>
        <w:t>f</w:t>
      </w:r>
      <w:r>
        <w:rPr>
          <w:rFonts w:hint="eastAsia"/>
        </w:rPr>
        <w:t>=</w:t>
      </w:r>
      <w:r>
        <w:rPr>
          <w:rFonts w:hint="eastAsia"/>
          <w:i/>
          <w:iCs/>
        </w:rPr>
        <w:t>P</w:t>
      </w:r>
      <w:r>
        <w:rPr>
          <w:rFonts w:hint="eastAsia"/>
          <w:vertAlign w:val="subscript"/>
        </w:rPr>
        <w:t>a</w:t>
      </w:r>
      <w:r>
        <w:rPr>
          <w:rFonts w:hint="eastAsia"/>
        </w:rPr>
        <w:t>×</w:t>
      </w:r>
      <w:r>
        <w:rPr>
          <w:rFonts w:hint="eastAsia" w:cs="Times New Roman"/>
        </w:rPr>
        <w:t>2</w:t>
      </w:r>
      <w:r>
        <w:rPr>
          <w:rFonts w:cs="Times New Roman"/>
        </w:rPr>
        <w:t>0%</w:t>
      </w:r>
      <w:r>
        <w:rPr>
          <w:rFonts w:hint="eastAsia"/>
        </w:rPr>
        <w:t>+</w:t>
      </w:r>
      <w:r>
        <w:rPr>
          <w:rFonts w:hint="eastAsia"/>
          <w:i/>
          <w:iCs/>
        </w:rPr>
        <w:t>P</w:t>
      </w:r>
      <w:r>
        <w:rPr>
          <w:rFonts w:hint="eastAsia"/>
          <w:vertAlign w:val="subscript"/>
        </w:rPr>
        <w:t>b</w:t>
      </w:r>
      <w:r>
        <w:rPr>
          <w:rFonts w:hint="eastAsia"/>
        </w:rPr>
        <w:t>×</w:t>
      </w:r>
      <w:r>
        <w:rPr>
          <w:rFonts w:hint="eastAsia" w:cs="Times New Roman"/>
        </w:rPr>
        <w:t>4</w:t>
      </w:r>
      <w:r>
        <w:rPr>
          <w:rFonts w:cs="Times New Roman"/>
        </w:rPr>
        <w:t>0%</w:t>
      </w:r>
      <w:r>
        <w:rPr>
          <w:rFonts w:hint="eastAsia"/>
        </w:rPr>
        <w:t>+</w:t>
      </w:r>
      <w:r>
        <w:rPr>
          <w:rFonts w:hint="eastAsia"/>
          <w:i/>
          <w:iCs/>
        </w:rPr>
        <w:t>P</w:t>
      </w:r>
      <w:r>
        <w:rPr>
          <w:rFonts w:hint="eastAsia"/>
          <w:vertAlign w:val="subscript"/>
        </w:rPr>
        <w:t>c</w:t>
      </w:r>
      <w:r>
        <w:rPr>
          <w:rFonts w:hint="eastAsia"/>
        </w:rPr>
        <w:t>×</w:t>
      </w:r>
      <w:r>
        <w:rPr>
          <w:rFonts w:hint="eastAsia" w:cs="Times New Roman"/>
        </w:rPr>
        <w:t>4</w:t>
      </w:r>
      <w:r>
        <w:rPr>
          <w:rFonts w:cs="Times New Roman"/>
        </w:rPr>
        <w:t>0%</w:t>
      </w:r>
      <w:r>
        <w:rPr>
          <w:rFonts w:hint="eastAsia"/>
          <w:vertAlign w:val="subscript"/>
        </w:rPr>
        <w:t xml:space="preserve">                           </w:t>
      </w:r>
      <w:r>
        <w:rPr>
          <w:rFonts w:hint="eastAsia"/>
        </w:rPr>
        <w:t>（11.3.1）</w:t>
      </w:r>
    </w:p>
    <w:p w14:paraId="04673F5C">
      <w:pPr>
        <w:pStyle w:val="2"/>
        <w:ind w:left="0" w:firstLine="0" w:firstLineChars="0"/>
      </w:pPr>
      <w:r>
        <w:rPr>
          <w:rFonts w:hint="eastAsia" w:ascii="Times New Roman" w:hAnsi="Times New Roman" w:cs="Times New Roman"/>
        </w:rPr>
        <w:t>式中：</w:t>
      </w:r>
      <w:r>
        <w:rPr>
          <w:rFonts w:ascii="Times New Roman" w:hAnsi="Times New Roman" w:cs="Times New Roman"/>
          <w:i/>
          <w:iCs/>
        </w:rPr>
        <w:t>P</w:t>
      </w:r>
      <w:r>
        <w:rPr>
          <w:rFonts w:hint="eastAsia" w:ascii="Times New Roman" w:hAnsi="Times New Roman" w:cs="Times New Roman"/>
          <w:vertAlign w:val="subscript"/>
        </w:rPr>
        <w:t>f</w:t>
      </w:r>
      <w:r>
        <w:rPr>
          <w:rFonts w:hint="eastAsia" w:ascii="Times New Roman" w:hAnsi="Times New Roman" w:cs="Times New Roman"/>
        </w:rPr>
        <w:t xml:space="preserve"> </w:t>
      </w:r>
      <w:r>
        <w:rPr>
          <w:rFonts w:ascii="Times New Roman" w:hAnsi="Times New Roman" w:cs="Times New Roman"/>
        </w:rPr>
        <w:t>——附属设施检查评分的总分值</w:t>
      </w:r>
      <w:r>
        <w:rPr>
          <w:rFonts w:hint="eastAsia"/>
        </w:rPr>
        <w:t>；</w:t>
      </w:r>
    </w:p>
    <w:p w14:paraId="7D3A168F">
      <w:pPr>
        <w:pStyle w:val="2"/>
        <w:ind w:left="480" w:leftChars="200" w:firstLine="240"/>
        <w:rPr>
          <w:rFonts w:ascii="Times New Roman" w:hAnsi="Times New Roman" w:cs="Times New Roman"/>
        </w:rPr>
      </w:pPr>
      <w:r>
        <w:rPr>
          <w:rFonts w:ascii="Times New Roman" w:hAnsi="Times New Roman" w:cs="Times New Roman"/>
          <w:i/>
          <w:iCs/>
        </w:rPr>
        <w:t>P</w:t>
      </w:r>
      <w:r>
        <w:rPr>
          <w:rFonts w:ascii="Times New Roman" w:hAnsi="Times New Roman" w:cs="Times New Roman"/>
          <w:vertAlign w:val="subscript"/>
        </w:rPr>
        <w:t>a</w:t>
      </w:r>
      <w:r>
        <w:rPr>
          <w:rFonts w:ascii="Times New Roman" w:hAnsi="Times New Roman" w:cs="Times New Roman"/>
        </w:rPr>
        <w:t xml:space="preserve"> ——</w:t>
      </w:r>
      <w:r>
        <w:rPr>
          <w:rFonts w:hint="eastAsia" w:ascii="Times New Roman" w:hAnsi="Times New Roman" w:cs="Times New Roman"/>
        </w:rPr>
        <w:t>井类</w:t>
      </w:r>
      <w:r>
        <w:rPr>
          <w:rFonts w:ascii="Times New Roman" w:hAnsi="Times New Roman" w:cs="Times New Roman"/>
        </w:rPr>
        <w:t>单项</w:t>
      </w:r>
      <w:r>
        <w:rPr>
          <w:rFonts w:hint="eastAsia" w:ascii="Times New Roman" w:hAnsi="Times New Roman" w:cs="Times New Roman"/>
        </w:rPr>
        <w:t>检查的</w:t>
      </w:r>
      <w:r>
        <w:rPr>
          <w:rFonts w:ascii="Times New Roman" w:hAnsi="Times New Roman" w:cs="Times New Roman"/>
        </w:rPr>
        <w:t>分</w:t>
      </w:r>
      <w:r>
        <w:rPr>
          <w:rFonts w:hint="eastAsia" w:ascii="Times New Roman" w:hAnsi="Times New Roman" w:cs="Times New Roman"/>
        </w:rPr>
        <w:t>值，</w:t>
      </w:r>
      <w:r>
        <w:rPr>
          <w:rFonts w:ascii="Times New Roman" w:hAnsi="Times New Roman" w:cs="Times New Roman"/>
        </w:rPr>
        <w:t>井类分值计算权重为</w:t>
      </w:r>
      <w:r>
        <w:rPr>
          <w:rFonts w:hint="eastAsia" w:ascii="Times New Roman" w:hAnsi="Times New Roman" w:cs="Times New Roman"/>
        </w:rPr>
        <w:t>2</w:t>
      </w:r>
      <w:r>
        <w:rPr>
          <w:rFonts w:ascii="Times New Roman" w:hAnsi="Times New Roman" w:cs="Times New Roman"/>
        </w:rPr>
        <w:t>0%</w:t>
      </w:r>
      <w:r>
        <w:rPr>
          <w:rFonts w:hint="eastAsia"/>
        </w:rPr>
        <w:t>；</w:t>
      </w:r>
    </w:p>
    <w:p w14:paraId="1687DDA5">
      <w:pPr>
        <w:pStyle w:val="2"/>
        <w:ind w:left="480" w:leftChars="200" w:firstLine="240"/>
        <w:rPr>
          <w:rFonts w:ascii="Times New Roman" w:hAnsi="Times New Roman" w:cs="Times New Roman"/>
          <w:vertAlign w:val="subscript"/>
        </w:rPr>
      </w:pPr>
      <w:r>
        <w:rPr>
          <w:rFonts w:ascii="Times New Roman" w:hAnsi="Times New Roman" w:cs="Times New Roman"/>
          <w:i/>
          <w:iCs/>
        </w:rPr>
        <w:t>P</w:t>
      </w:r>
      <w:r>
        <w:rPr>
          <w:rFonts w:ascii="Times New Roman" w:hAnsi="Times New Roman" w:cs="Times New Roman"/>
          <w:vertAlign w:val="subscript"/>
        </w:rPr>
        <w:t>b</w:t>
      </w:r>
      <w:r>
        <w:rPr>
          <w:rFonts w:ascii="Times New Roman" w:hAnsi="Times New Roman" w:cs="Times New Roman"/>
        </w:rPr>
        <w:t xml:space="preserve"> ——阀类单项</w:t>
      </w:r>
      <w:r>
        <w:rPr>
          <w:rFonts w:hint="eastAsia" w:ascii="Times New Roman" w:hAnsi="Times New Roman" w:cs="Times New Roman"/>
        </w:rPr>
        <w:t>检查的</w:t>
      </w:r>
      <w:r>
        <w:rPr>
          <w:rFonts w:ascii="Times New Roman" w:hAnsi="Times New Roman" w:cs="Times New Roman"/>
        </w:rPr>
        <w:t>分</w:t>
      </w:r>
      <w:r>
        <w:rPr>
          <w:rFonts w:hint="eastAsia" w:ascii="Times New Roman" w:hAnsi="Times New Roman" w:cs="Times New Roman"/>
        </w:rPr>
        <w:t>值，</w:t>
      </w:r>
      <w:r>
        <w:rPr>
          <w:rFonts w:ascii="Times New Roman" w:hAnsi="Times New Roman" w:cs="Times New Roman"/>
        </w:rPr>
        <w:t>阀类分值计算权重为</w:t>
      </w:r>
      <w:r>
        <w:rPr>
          <w:rFonts w:hint="eastAsia" w:ascii="Times New Roman" w:hAnsi="Times New Roman" w:cs="Times New Roman"/>
        </w:rPr>
        <w:t>4</w:t>
      </w:r>
      <w:r>
        <w:rPr>
          <w:rFonts w:ascii="Times New Roman" w:hAnsi="Times New Roman" w:cs="Times New Roman"/>
        </w:rPr>
        <w:t>0%；</w:t>
      </w:r>
    </w:p>
    <w:p w14:paraId="56795740">
      <w:pPr>
        <w:pStyle w:val="2"/>
        <w:ind w:left="480" w:leftChars="200" w:firstLine="240"/>
        <w:rPr>
          <w:rFonts w:ascii="Times New Roman" w:hAnsi="Times New Roman" w:cs="Times New Roman"/>
        </w:rPr>
      </w:pPr>
      <w:r>
        <w:rPr>
          <w:rFonts w:ascii="Times New Roman" w:hAnsi="Times New Roman" w:cs="Times New Roman"/>
          <w:i/>
          <w:iCs/>
        </w:rPr>
        <w:t>P</w:t>
      </w:r>
      <w:r>
        <w:rPr>
          <w:rFonts w:ascii="Times New Roman" w:hAnsi="Times New Roman" w:cs="Times New Roman"/>
          <w:vertAlign w:val="subscript"/>
        </w:rPr>
        <w:t>c</w:t>
      </w:r>
      <w:r>
        <w:rPr>
          <w:rFonts w:ascii="Times New Roman" w:hAnsi="Times New Roman" w:cs="Times New Roman"/>
        </w:rPr>
        <w:t xml:space="preserve"> ——仪器仪表单项</w:t>
      </w:r>
      <w:r>
        <w:rPr>
          <w:rFonts w:hint="eastAsia" w:ascii="Times New Roman" w:hAnsi="Times New Roman" w:cs="Times New Roman"/>
        </w:rPr>
        <w:t>检查的</w:t>
      </w:r>
      <w:r>
        <w:rPr>
          <w:rFonts w:ascii="Times New Roman" w:hAnsi="Times New Roman" w:cs="Times New Roman"/>
        </w:rPr>
        <w:t>分</w:t>
      </w:r>
      <w:r>
        <w:rPr>
          <w:rFonts w:hint="eastAsia" w:ascii="Times New Roman" w:hAnsi="Times New Roman" w:cs="Times New Roman"/>
        </w:rPr>
        <w:t>值，</w:t>
      </w:r>
      <w:r>
        <w:rPr>
          <w:rFonts w:ascii="Times New Roman" w:hAnsi="Times New Roman" w:cs="Times New Roman"/>
        </w:rPr>
        <w:t>仪器仪表分值计算权重为</w:t>
      </w:r>
      <w:r>
        <w:rPr>
          <w:rFonts w:hint="eastAsia" w:ascii="Times New Roman" w:hAnsi="Times New Roman" w:cs="Times New Roman"/>
        </w:rPr>
        <w:t>4</w:t>
      </w:r>
      <w:r>
        <w:rPr>
          <w:rFonts w:ascii="Times New Roman" w:hAnsi="Times New Roman" w:cs="Times New Roman"/>
        </w:rPr>
        <w:t>0%</w:t>
      </w:r>
      <w:r>
        <w:rPr>
          <w:rFonts w:hint="eastAsia" w:ascii="Times New Roman" w:hAnsi="Times New Roman" w:cs="Times New Roman"/>
        </w:rPr>
        <w:t>。</w:t>
      </w:r>
    </w:p>
    <w:p w14:paraId="2C19C630">
      <w:r>
        <w:rPr>
          <w:rFonts w:hint="eastAsia"/>
          <w:b/>
          <w:bCs/>
        </w:rPr>
        <w:t>11.3.2　</w:t>
      </w:r>
      <w:r>
        <w:rPr>
          <w:rFonts w:hint="eastAsia"/>
        </w:rPr>
        <w:t>附属设施单项检查评分准则、维修级别和保养检查周期应按表11.3.2-1～表11.3.2-3确定。</w:t>
      </w:r>
    </w:p>
    <w:p w14:paraId="43805372">
      <w:pPr>
        <w:pStyle w:val="105"/>
        <w:keepNext/>
        <w:keepLines w:val="0"/>
        <w:pageBreakBefore w:val="0"/>
        <w:widowControl w:val="0"/>
        <w:kinsoku/>
        <w:wordWrap/>
        <w:overflowPunct/>
        <w:topLinePunct w:val="0"/>
        <w:autoSpaceDE/>
        <w:autoSpaceDN/>
        <w:bidi w:val="0"/>
        <w:adjustRightInd/>
        <w:snapToGrid/>
        <w:textAlignment w:val="auto"/>
      </w:pPr>
      <w:r>
        <w:rPr>
          <w:rFonts w:hint="eastAsia"/>
        </w:rPr>
        <w:t>表11.3.2-1　井类检查评分准则</w:t>
      </w:r>
    </w:p>
    <w:tbl>
      <w:tblPr>
        <w:tblStyle w:val="29"/>
        <w:tblW w:w="859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078"/>
        <w:gridCol w:w="2238"/>
        <w:gridCol w:w="826"/>
        <w:gridCol w:w="723"/>
        <w:gridCol w:w="1867"/>
        <w:gridCol w:w="1174"/>
      </w:tblGrid>
      <w:tr w14:paraId="31E6A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85" w:type="dxa"/>
            <w:vMerge w:val="restart"/>
            <w:tcBorders>
              <w:tl2br w:val="nil"/>
              <w:tr2bl w:val="nil"/>
            </w:tcBorders>
            <w:shd w:val="clear" w:color="auto" w:fill="auto"/>
            <w:vAlign w:val="center"/>
          </w:tcPr>
          <w:p w14:paraId="0F1C9FF4">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名称</w:t>
            </w:r>
          </w:p>
        </w:tc>
        <w:tc>
          <w:tcPr>
            <w:tcW w:w="1078" w:type="dxa"/>
            <w:tcBorders>
              <w:tl2br w:val="nil"/>
              <w:tr2bl w:val="nil"/>
            </w:tcBorders>
            <w:shd w:val="clear" w:color="auto" w:fill="auto"/>
            <w:vAlign w:val="center"/>
          </w:tcPr>
          <w:p w14:paraId="329D459E">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评分类别</w:t>
            </w:r>
          </w:p>
        </w:tc>
        <w:tc>
          <w:tcPr>
            <w:tcW w:w="2238" w:type="dxa"/>
            <w:tcBorders>
              <w:tl2br w:val="nil"/>
              <w:tr2bl w:val="nil"/>
            </w:tcBorders>
            <w:shd w:val="clear" w:color="auto" w:fill="auto"/>
            <w:vAlign w:val="center"/>
          </w:tcPr>
          <w:p w14:paraId="535708EF">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缺陷（故障</w:t>
            </w:r>
            <w:r>
              <w:rPr>
                <w:rFonts w:hint="eastAsia" w:eastAsia="宋体" w:cs="Times New Roman"/>
                <w:color w:val="000000"/>
                <w:kern w:val="0"/>
                <w:sz w:val="21"/>
                <w:szCs w:val="21"/>
              </w:rPr>
              <w:t>）描述</w:t>
            </w:r>
          </w:p>
        </w:tc>
        <w:tc>
          <w:tcPr>
            <w:tcW w:w="826" w:type="dxa"/>
            <w:tcBorders>
              <w:tl2br w:val="nil"/>
              <w:tr2bl w:val="nil"/>
            </w:tcBorders>
            <w:shd w:val="clear" w:color="auto" w:fill="auto"/>
            <w:noWrap/>
            <w:vAlign w:val="center"/>
          </w:tcPr>
          <w:p w14:paraId="689690CF">
            <w:pPr>
              <w:widowControl/>
              <w:spacing w:line="240" w:lineRule="auto"/>
              <w:jc w:val="center"/>
              <w:rPr>
                <w:rFonts w:eastAsia="宋体" w:cs="Times New Roman"/>
                <w:kern w:val="0"/>
                <w:sz w:val="21"/>
                <w:szCs w:val="21"/>
              </w:rPr>
            </w:pPr>
            <w:r>
              <w:rPr>
                <w:rFonts w:eastAsia="宋体" w:cs="Times New Roman"/>
                <w:kern w:val="0"/>
                <w:sz w:val="21"/>
                <w:szCs w:val="21"/>
              </w:rPr>
              <w:t>维修级别</w:t>
            </w:r>
          </w:p>
        </w:tc>
        <w:tc>
          <w:tcPr>
            <w:tcW w:w="2590" w:type="dxa"/>
            <w:gridSpan w:val="2"/>
            <w:tcBorders>
              <w:tl2br w:val="nil"/>
              <w:tr2bl w:val="nil"/>
            </w:tcBorders>
            <w:shd w:val="clear" w:color="auto" w:fill="auto"/>
            <w:noWrap/>
            <w:vAlign w:val="center"/>
          </w:tcPr>
          <w:p w14:paraId="28DDD736">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分值</w:t>
            </w:r>
            <w:r>
              <w:rPr>
                <w:rFonts w:hint="eastAsia" w:eastAsia="宋体" w:cs="Times New Roman"/>
                <w:color w:val="000000"/>
                <w:kern w:val="0"/>
                <w:sz w:val="21"/>
                <w:szCs w:val="21"/>
              </w:rPr>
              <w:t>（</w:t>
            </w:r>
            <w:r>
              <w:rPr>
                <w:rFonts w:cs="Times New Roman"/>
                <w:i/>
                <w:iCs/>
              </w:rPr>
              <w:t>P</w:t>
            </w:r>
            <w:r>
              <w:rPr>
                <w:rFonts w:cs="Times New Roman"/>
                <w:vertAlign w:val="subscript"/>
              </w:rPr>
              <w:t>a</w:t>
            </w:r>
            <w:r>
              <w:rPr>
                <w:rFonts w:hint="eastAsia" w:eastAsia="宋体" w:cs="Times New Roman"/>
                <w:color w:val="000000"/>
                <w:kern w:val="0"/>
                <w:sz w:val="21"/>
                <w:szCs w:val="21"/>
              </w:rPr>
              <w:t>）</w:t>
            </w:r>
          </w:p>
        </w:tc>
        <w:tc>
          <w:tcPr>
            <w:tcW w:w="1174" w:type="dxa"/>
            <w:tcBorders>
              <w:tl2br w:val="nil"/>
              <w:tr2bl w:val="nil"/>
            </w:tcBorders>
            <w:shd w:val="clear" w:color="auto" w:fill="auto"/>
            <w:vAlign w:val="center"/>
          </w:tcPr>
          <w:p w14:paraId="5D4EA374">
            <w:pPr>
              <w:widowControl/>
              <w:spacing w:line="240" w:lineRule="auto"/>
              <w:jc w:val="center"/>
              <w:rPr>
                <w:rFonts w:eastAsia="宋体" w:cs="Times New Roman"/>
                <w:kern w:val="0"/>
                <w:sz w:val="21"/>
                <w:szCs w:val="21"/>
              </w:rPr>
            </w:pPr>
            <w:r>
              <w:rPr>
                <w:rFonts w:eastAsia="宋体" w:cs="Times New Roman"/>
                <w:kern w:val="0"/>
                <w:sz w:val="21"/>
                <w:szCs w:val="21"/>
              </w:rPr>
              <w:t>保养检查周期</w:t>
            </w:r>
          </w:p>
        </w:tc>
      </w:tr>
      <w:tr w14:paraId="0BC87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5" w:type="dxa"/>
            <w:vMerge w:val="restart"/>
            <w:tcBorders>
              <w:tl2br w:val="nil"/>
              <w:tr2bl w:val="nil"/>
            </w:tcBorders>
            <w:shd w:val="clear" w:color="auto" w:fill="auto"/>
            <w:vAlign w:val="center"/>
          </w:tcPr>
          <w:p w14:paraId="31ACD58D">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井类</w:t>
            </w:r>
          </w:p>
        </w:tc>
        <w:tc>
          <w:tcPr>
            <w:tcW w:w="7906" w:type="dxa"/>
            <w:gridSpan w:val="6"/>
            <w:tcBorders>
              <w:tl2br w:val="nil"/>
              <w:tr2bl w:val="nil"/>
            </w:tcBorders>
            <w:shd w:val="clear" w:color="auto" w:fill="auto"/>
            <w:vAlign w:val="center"/>
          </w:tcPr>
          <w:p w14:paraId="58E05BE1">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井类</w:t>
            </w:r>
          </w:p>
        </w:tc>
      </w:tr>
      <w:tr w14:paraId="56BD3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14:paraId="319E7400">
            <w:pPr>
              <w:widowControl/>
              <w:spacing w:line="240" w:lineRule="auto"/>
              <w:jc w:val="left"/>
              <w:rPr>
                <w:rFonts w:eastAsia="宋体" w:cs="Times New Roman"/>
                <w:color w:val="000000"/>
                <w:kern w:val="0"/>
                <w:sz w:val="21"/>
                <w:szCs w:val="21"/>
              </w:rPr>
            </w:pPr>
          </w:p>
        </w:tc>
        <w:tc>
          <w:tcPr>
            <w:tcW w:w="1078" w:type="dxa"/>
            <w:vMerge w:val="restart"/>
            <w:tcBorders>
              <w:tl2br w:val="nil"/>
              <w:tr2bl w:val="nil"/>
            </w:tcBorders>
            <w:shd w:val="clear" w:color="auto" w:fill="auto"/>
            <w:vAlign w:val="center"/>
          </w:tcPr>
          <w:p w14:paraId="6EACA482">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1类缺陷</w:t>
            </w:r>
          </w:p>
        </w:tc>
        <w:tc>
          <w:tcPr>
            <w:tcW w:w="2238" w:type="dxa"/>
            <w:tcBorders>
              <w:tl2br w:val="nil"/>
              <w:tr2bl w:val="nil"/>
            </w:tcBorders>
            <w:shd w:val="clear" w:color="auto" w:fill="auto"/>
            <w:vAlign w:val="center"/>
          </w:tcPr>
          <w:p w14:paraId="264D676B">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井盖丢失</w:t>
            </w:r>
          </w:p>
        </w:tc>
        <w:tc>
          <w:tcPr>
            <w:tcW w:w="826" w:type="dxa"/>
            <w:vMerge w:val="restart"/>
            <w:tcBorders>
              <w:tl2br w:val="nil"/>
              <w:tr2bl w:val="nil"/>
            </w:tcBorders>
            <w:shd w:val="clear" w:color="auto" w:fill="auto"/>
            <w:vAlign w:val="center"/>
          </w:tcPr>
          <w:p w14:paraId="222902A1">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立即维修</w:t>
            </w:r>
          </w:p>
        </w:tc>
        <w:tc>
          <w:tcPr>
            <w:tcW w:w="723" w:type="dxa"/>
            <w:tcBorders>
              <w:tl2br w:val="nil"/>
              <w:tr2bl w:val="nil"/>
            </w:tcBorders>
            <w:shd w:val="clear" w:color="auto" w:fill="auto"/>
            <w:noWrap/>
            <w:vAlign w:val="center"/>
          </w:tcPr>
          <w:p w14:paraId="393D39E6">
            <w:pPr>
              <w:widowControl/>
              <w:spacing w:line="240" w:lineRule="auto"/>
              <w:jc w:val="center"/>
              <w:rPr>
                <w:rFonts w:eastAsia="宋体" w:cs="Times New Roman"/>
                <w:kern w:val="0"/>
                <w:sz w:val="21"/>
                <w:szCs w:val="21"/>
              </w:rPr>
            </w:pPr>
            <w:r>
              <w:rPr>
                <w:rFonts w:eastAsia="宋体" w:cs="Times New Roman"/>
                <w:kern w:val="0"/>
                <w:sz w:val="21"/>
                <w:szCs w:val="21"/>
              </w:rPr>
              <w:t>10</w:t>
            </w:r>
          </w:p>
        </w:tc>
        <w:tc>
          <w:tcPr>
            <w:tcW w:w="1867" w:type="dxa"/>
            <w:tcBorders>
              <w:tl2br w:val="nil"/>
              <w:tr2bl w:val="nil"/>
            </w:tcBorders>
            <w:shd w:val="clear" w:color="auto" w:fill="auto"/>
            <w:vAlign w:val="center"/>
          </w:tcPr>
          <w:p w14:paraId="08267C6C">
            <w:pPr>
              <w:widowControl/>
              <w:spacing w:line="240" w:lineRule="auto"/>
              <w:jc w:val="center"/>
              <w:rPr>
                <w:rFonts w:eastAsia="宋体" w:cs="Times New Roman"/>
                <w:kern w:val="0"/>
                <w:sz w:val="21"/>
                <w:szCs w:val="21"/>
              </w:rPr>
            </w:pPr>
            <w:r>
              <w:rPr>
                <w:rFonts w:eastAsia="宋体" w:cs="Times New Roman"/>
                <w:kern w:val="0"/>
                <w:sz w:val="21"/>
                <w:szCs w:val="21"/>
              </w:rPr>
              <w:t>10</w:t>
            </w:r>
          </w:p>
        </w:tc>
        <w:tc>
          <w:tcPr>
            <w:tcW w:w="1174" w:type="dxa"/>
            <w:tcBorders>
              <w:tl2br w:val="nil"/>
              <w:tr2bl w:val="nil"/>
            </w:tcBorders>
            <w:shd w:val="clear" w:color="auto" w:fill="auto"/>
            <w:vAlign w:val="center"/>
          </w:tcPr>
          <w:p w14:paraId="723F3313">
            <w:pPr>
              <w:widowControl/>
              <w:spacing w:line="240" w:lineRule="auto"/>
              <w:jc w:val="center"/>
              <w:rPr>
                <w:rFonts w:eastAsia="宋体" w:cs="Times New Roman"/>
                <w:kern w:val="0"/>
                <w:sz w:val="21"/>
                <w:szCs w:val="21"/>
              </w:rPr>
            </w:pPr>
            <w:r>
              <w:rPr>
                <w:rFonts w:eastAsia="宋体" w:cs="Times New Roman"/>
                <w:kern w:val="0"/>
                <w:sz w:val="21"/>
                <w:szCs w:val="21"/>
              </w:rPr>
              <w:t>每周巡查</w:t>
            </w:r>
          </w:p>
        </w:tc>
      </w:tr>
      <w:tr w14:paraId="6BA6C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14:paraId="3693FFF4">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14:paraId="5003C7DF">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14:paraId="670E5B72">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井盖破损、井框破损</w:t>
            </w:r>
          </w:p>
        </w:tc>
        <w:tc>
          <w:tcPr>
            <w:tcW w:w="826" w:type="dxa"/>
            <w:vMerge w:val="continue"/>
            <w:tcBorders>
              <w:tl2br w:val="nil"/>
              <w:tr2bl w:val="nil"/>
            </w:tcBorders>
            <w:vAlign w:val="center"/>
          </w:tcPr>
          <w:p w14:paraId="2958B04A">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14:paraId="3F7D2826">
            <w:pPr>
              <w:widowControl/>
              <w:spacing w:line="240" w:lineRule="auto"/>
              <w:jc w:val="center"/>
              <w:rPr>
                <w:rFonts w:eastAsia="宋体" w:cs="Times New Roman"/>
                <w:kern w:val="0"/>
                <w:sz w:val="21"/>
                <w:szCs w:val="21"/>
              </w:rPr>
            </w:pPr>
            <w:r>
              <w:rPr>
                <w:rFonts w:eastAsia="宋体" w:cs="Times New Roman"/>
                <w:kern w:val="0"/>
                <w:sz w:val="21"/>
                <w:szCs w:val="21"/>
              </w:rPr>
              <w:t>10</w:t>
            </w:r>
          </w:p>
        </w:tc>
        <w:tc>
          <w:tcPr>
            <w:tcW w:w="1867" w:type="dxa"/>
            <w:tcBorders>
              <w:tl2br w:val="nil"/>
              <w:tr2bl w:val="nil"/>
            </w:tcBorders>
            <w:shd w:val="clear" w:color="auto" w:fill="auto"/>
            <w:vAlign w:val="center"/>
          </w:tcPr>
          <w:p w14:paraId="45EE7CF6">
            <w:pPr>
              <w:widowControl/>
              <w:spacing w:line="240" w:lineRule="auto"/>
              <w:jc w:val="center"/>
              <w:rPr>
                <w:rFonts w:eastAsia="宋体" w:cs="Times New Roman"/>
                <w:kern w:val="0"/>
                <w:sz w:val="21"/>
                <w:szCs w:val="21"/>
              </w:rPr>
            </w:pPr>
            <w:r>
              <w:rPr>
                <w:rFonts w:eastAsia="宋体" w:cs="Times New Roman"/>
                <w:kern w:val="0"/>
                <w:sz w:val="21"/>
                <w:szCs w:val="21"/>
              </w:rPr>
              <w:t>1</w:t>
            </w:r>
            <w:r>
              <w:rPr>
                <w:rFonts w:hint="eastAsia" w:eastAsia="宋体" w:cs="Times New Roman"/>
                <w:kern w:val="0"/>
                <w:sz w:val="21"/>
                <w:szCs w:val="21"/>
              </w:rPr>
              <w:t>～</w:t>
            </w:r>
            <w:r>
              <w:rPr>
                <w:rFonts w:eastAsia="宋体" w:cs="Times New Roman"/>
                <w:kern w:val="0"/>
                <w:sz w:val="21"/>
                <w:szCs w:val="21"/>
              </w:rPr>
              <w:t>10</w:t>
            </w:r>
          </w:p>
        </w:tc>
        <w:tc>
          <w:tcPr>
            <w:tcW w:w="1174" w:type="dxa"/>
            <w:tcBorders>
              <w:tl2br w:val="nil"/>
              <w:tr2bl w:val="nil"/>
            </w:tcBorders>
            <w:shd w:val="clear" w:color="auto" w:fill="auto"/>
            <w:vAlign w:val="center"/>
          </w:tcPr>
          <w:p w14:paraId="3CE2D529">
            <w:pPr>
              <w:widowControl/>
              <w:spacing w:line="240" w:lineRule="auto"/>
              <w:jc w:val="center"/>
              <w:rPr>
                <w:rFonts w:eastAsia="宋体" w:cs="Times New Roman"/>
                <w:kern w:val="0"/>
                <w:sz w:val="21"/>
                <w:szCs w:val="21"/>
              </w:rPr>
            </w:pPr>
            <w:r>
              <w:rPr>
                <w:rFonts w:eastAsia="宋体" w:cs="Times New Roman"/>
                <w:kern w:val="0"/>
                <w:sz w:val="21"/>
                <w:szCs w:val="21"/>
              </w:rPr>
              <w:t>每周巡查</w:t>
            </w:r>
          </w:p>
        </w:tc>
      </w:tr>
      <w:tr w14:paraId="173E2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14:paraId="6702004A">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14:paraId="116575A4">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14:paraId="02292AB4">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周边路面破损、沉降</w:t>
            </w:r>
          </w:p>
        </w:tc>
        <w:tc>
          <w:tcPr>
            <w:tcW w:w="826" w:type="dxa"/>
            <w:vMerge w:val="continue"/>
            <w:tcBorders>
              <w:tl2br w:val="nil"/>
              <w:tr2bl w:val="nil"/>
            </w:tcBorders>
            <w:vAlign w:val="center"/>
          </w:tcPr>
          <w:p w14:paraId="1B3B0458">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14:paraId="58A28388">
            <w:pPr>
              <w:widowControl/>
              <w:spacing w:line="240" w:lineRule="auto"/>
              <w:jc w:val="center"/>
              <w:rPr>
                <w:rFonts w:eastAsia="宋体" w:cs="Times New Roman"/>
                <w:kern w:val="0"/>
                <w:sz w:val="21"/>
                <w:szCs w:val="21"/>
              </w:rPr>
            </w:pPr>
            <w:r>
              <w:rPr>
                <w:rFonts w:eastAsia="宋体" w:cs="Times New Roman"/>
                <w:kern w:val="0"/>
                <w:sz w:val="21"/>
                <w:szCs w:val="21"/>
              </w:rPr>
              <w:t>10</w:t>
            </w:r>
          </w:p>
        </w:tc>
        <w:tc>
          <w:tcPr>
            <w:tcW w:w="1867" w:type="dxa"/>
            <w:tcBorders>
              <w:tl2br w:val="nil"/>
              <w:tr2bl w:val="nil"/>
            </w:tcBorders>
            <w:shd w:val="clear" w:color="auto" w:fill="auto"/>
            <w:vAlign w:val="center"/>
          </w:tcPr>
          <w:p w14:paraId="22C5CB92">
            <w:pPr>
              <w:widowControl/>
              <w:spacing w:line="240" w:lineRule="auto"/>
              <w:jc w:val="center"/>
              <w:rPr>
                <w:rFonts w:eastAsia="宋体" w:cs="Times New Roman"/>
                <w:kern w:val="0"/>
                <w:sz w:val="21"/>
                <w:szCs w:val="21"/>
              </w:rPr>
            </w:pPr>
            <w:r>
              <w:rPr>
                <w:rFonts w:eastAsia="宋体" w:cs="Times New Roman"/>
                <w:kern w:val="0"/>
                <w:sz w:val="21"/>
                <w:szCs w:val="21"/>
              </w:rPr>
              <w:t>1</w:t>
            </w:r>
            <w:r>
              <w:rPr>
                <w:rFonts w:hint="eastAsia" w:eastAsia="宋体" w:cs="Times New Roman"/>
                <w:kern w:val="0"/>
                <w:sz w:val="21"/>
                <w:szCs w:val="21"/>
              </w:rPr>
              <w:t>～</w:t>
            </w:r>
            <w:r>
              <w:rPr>
                <w:rFonts w:eastAsia="宋体" w:cs="Times New Roman"/>
                <w:kern w:val="0"/>
                <w:sz w:val="21"/>
                <w:szCs w:val="21"/>
              </w:rPr>
              <w:t>10</w:t>
            </w:r>
          </w:p>
        </w:tc>
        <w:tc>
          <w:tcPr>
            <w:tcW w:w="1174" w:type="dxa"/>
            <w:tcBorders>
              <w:tl2br w:val="nil"/>
              <w:tr2bl w:val="nil"/>
            </w:tcBorders>
            <w:shd w:val="clear" w:color="auto" w:fill="auto"/>
            <w:vAlign w:val="center"/>
          </w:tcPr>
          <w:p w14:paraId="0B9A7B51">
            <w:pPr>
              <w:widowControl/>
              <w:spacing w:line="240" w:lineRule="auto"/>
              <w:jc w:val="center"/>
              <w:rPr>
                <w:rFonts w:eastAsia="宋体" w:cs="Times New Roman"/>
                <w:kern w:val="0"/>
                <w:sz w:val="21"/>
                <w:szCs w:val="21"/>
              </w:rPr>
            </w:pPr>
            <w:r>
              <w:rPr>
                <w:rFonts w:eastAsia="宋体" w:cs="Times New Roman"/>
                <w:kern w:val="0"/>
                <w:sz w:val="21"/>
                <w:szCs w:val="21"/>
              </w:rPr>
              <w:t>每周巡查</w:t>
            </w:r>
          </w:p>
        </w:tc>
      </w:tr>
      <w:tr w14:paraId="6EBA8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14:paraId="13ED349C">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14:paraId="07F1EA89">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14:paraId="74596FF3">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道路井盖</w:t>
            </w:r>
            <w:r>
              <w:rPr>
                <w:rFonts w:hint="eastAsia" w:eastAsia="宋体" w:cs="Times New Roman"/>
                <w:color w:val="000000"/>
                <w:kern w:val="0"/>
                <w:sz w:val="21"/>
                <w:szCs w:val="21"/>
              </w:rPr>
              <w:t>不</w:t>
            </w:r>
            <w:r>
              <w:rPr>
                <w:rFonts w:eastAsia="宋体" w:cs="Times New Roman"/>
                <w:color w:val="000000"/>
                <w:kern w:val="0"/>
                <w:sz w:val="21"/>
                <w:szCs w:val="21"/>
              </w:rPr>
              <w:t>符合要求</w:t>
            </w:r>
          </w:p>
        </w:tc>
        <w:tc>
          <w:tcPr>
            <w:tcW w:w="826" w:type="dxa"/>
            <w:vMerge w:val="continue"/>
            <w:tcBorders>
              <w:tl2br w:val="nil"/>
              <w:tr2bl w:val="nil"/>
            </w:tcBorders>
            <w:vAlign w:val="center"/>
          </w:tcPr>
          <w:p w14:paraId="3C7E696F">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14:paraId="6E93933B">
            <w:pPr>
              <w:widowControl/>
              <w:spacing w:line="240" w:lineRule="auto"/>
              <w:jc w:val="center"/>
              <w:rPr>
                <w:rFonts w:eastAsia="宋体" w:cs="Times New Roman"/>
                <w:kern w:val="0"/>
                <w:sz w:val="21"/>
                <w:szCs w:val="21"/>
              </w:rPr>
            </w:pPr>
            <w:r>
              <w:rPr>
                <w:rFonts w:eastAsia="宋体" w:cs="Times New Roman"/>
                <w:kern w:val="0"/>
                <w:sz w:val="21"/>
                <w:szCs w:val="21"/>
              </w:rPr>
              <w:t>10</w:t>
            </w:r>
          </w:p>
        </w:tc>
        <w:tc>
          <w:tcPr>
            <w:tcW w:w="1867" w:type="dxa"/>
            <w:tcBorders>
              <w:tl2br w:val="nil"/>
              <w:tr2bl w:val="nil"/>
            </w:tcBorders>
            <w:shd w:val="clear" w:color="auto" w:fill="auto"/>
            <w:vAlign w:val="center"/>
          </w:tcPr>
          <w:p w14:paraId="0B783DFE">
            <w:pPr>
              <w:widowControl/>
              <w:spacing w:line="240" w:lineRule="auto"/>
              <w:jc w:val="center"/>
              <w:rPr>
                <w:rFonts w:eastAsia="宋体" w:cs="Times New Roman"/>
                <w:kern w:val="0"/>
                <w:sz w:val="21"/>
                <w:szCs w:val="21"/>
              </w:rPr>
            </w:pPr>
            <w:r>
              <w:rPr>
                <w:rFonts w:eastAsia="宋体" w:cs="Times New Roman"/>
                <w:kern w:val="0"/>
                <w:sz w:val="21"/>
                <w:szCs w:val="21"/>
              </w:rPr>
              <w:t>1</w:t>
            </w:r>
            <w:r>
              <w:rPr>
                <w:rFonts w:hint="eastAsia" w:eastAsia="宋体" w:cs="Times New Roman"/>
                <w:kern w:val="0"/>
                <w:sz w:val="21"/>
                <w:szCs w:val="21"/>
              </w:rPr>
              <w:t>～</w:t>
            </w:r>
            <w:r>
              <w:rPr>
                <w:rFonts w:eastAsia="宋体" w:cs="Times New Roman"/>
                <w:kern w:val="0"/>
                <w:sz w:val="21"/>
                <w:szCs w:val="21"/>
              </w:rPr>
              <w:t>10</w:t>
            </w:r>
          </w:p>
        </w:tc>
        <w:tc>
          <w:tcPr>
            <w:tcW w:w="1174" w:type="dxa"/>
            <w:tcBorders>
              <w:tl2br w:val="nil"/>
              <w:tr2bl w:val="nil"/>
            </w:tcBorders>
            <w:shd w:val="clear" w:color="auto" w:fill="auto"/>
            <w:vAlign w:val="center"/>
          </w:tcPr>
          <w:p w14:paraId="592D4E1B">
            <w:pPr>
              <w:widowControl/>
              <w:spacing w:line="240" w:lineRule="auto"/>
              <w:jc w:val="center"/>
              <w:rPr>
                <w:rFonts w:eastAsia="宋体" w:cs="Times New Roman"/>
                <w:kern w:val="0"/>
                <w:sz w:val="21"/>
                <w:szCs w:val="21"/>
              </w:rPr>
            </w:pPr>
            <w:r>
              <w:rPr>
                <w:rFonts w:eastAsia="宋体" w:cs="Times New Roman"/>
                <w:kern w:val="0"/>
                <w:sz w:val="21"/>
                <w:szCs w:val="21"/>
              </w:rPr>
              <w:t>每周巡查</w:t>
            </w:r>
          </w:p>
        </w:tc>
      </w:tr>
      <w:tr w14:paraId="7C19E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14:paraId="08DF72B3">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14:paraId="5CAEE412">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14:paraId="4008C226">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井壁渗漏、井壁裂缝。</w:t>
            </w:r>
          </w:p>
        </w:tc>
        <w:tc>
          <w:tcPr>
            <w:tcW w:w="826" w:type="dxa"/>
            <w:vMerge w:val="continue"/>
            <w:tcBorders>
              <w:tl2br w:val="nil"/>
              <w:tr2bl w:val="nil"/>
            </w:tcBorders>
            <w:vAlign w:val="center"/>
          </w:tcPr>
          <w:p w14:paraId="1F9DB7A8">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14:paraId="302F3DC5">
            <w:pPr>
              <w:widowControl/>
              <w:spacing w:line="240" w:lineRule="auto"/>
              <w:jc w:val="center"/>
              <w:rPr>
                <w:rFonts w:eastAsia="宋体" w:cs="Times New Roman"/>
                <w:kern w:val="0"/>
                <w:sz w:val="21"/>
                <w:szCs w:val="21"/>
              </w:rPr>
            </w:pPr>
            <w:r>
              <w:rPr>
                <w:rFonts w:eastAsia="宋体" w:cs="Times New Roman"/>
                <w:kern w:val="0"/>
                <w:sz w:val="21"/>
                <w:szCs w:val="21"/>
              </w:rPr>
              <w:t>10</w:t>
            </w:r>
          </w:p>
        </w:tc>
        <w:tc>
          <w:tcPr>
            <w:tcW w:w="1867" w:type="dxa"/>
            <w:tcBorders>
              <w:tl2br w:val="nil"/>
              <w:tr2bl w:val="nil"/>
            </w:tcBorders>
            <w:shd w:val="clear" w:color="auto" w:fill="auto"/>
            <w:vAlign w:val="center"/>
          </w:tcPr>
          <w:p w14:paraId="3E861449">
            <w:pPr>
              <w:widowControl/>
              <w:spacing w:line="240" w:lineRule="auto"/>
              <w:jc w:val="center"/>
              <w:rPr>
                <w:rFonts w:eastAsia="宋体" w:cs="Times New Roman"/>
                <w:kern w:val="0"/>
                <w:sz w:val="21"/>
                <w:szCs w:val="21"/>
              </w:rPr>
            </w:pPr>
            <w:r>
              <w:rPr>
                <w:rFonts w:eastAsia="宋体" w:cs="Times New Roman"/>
                <w:kern w:val="0"/>
                <w:sz w:val="21"/>
                <w:szCs w:val="21"/>
              </w:rPr>
              <w:t>1</w:t>
            </w:r>
            <w:r>
              <w:rPr>
                <w:rFonts w:hint="eastAsia" w:eastAsia="宋体" w:cs="Times New Roman"/>
                <w:kern w:val="0"/>
                <w:sz w:val="21"/>
                <w:szCs w:val="21"/>
              </w:rPr>
              <w:t>～</w:t>
            </w:r>
            <w:r>
              <w:rPr>
                <w:rFonts w:eastAsia="宋体" w:cs="Times New Roman"/>
                <w:kern w:val="0"/>
                <w:sz w:val="21"/>
                <w:szCs w:val="21"/>
              </w:rPr>
              <w:t>10</w:t>
            </w:r>
          </w:p>
        </w:tc>
        <w:tc>
          <w:tcPr>
            <w:tcW w:w="1174" w:type="dxa"/>
            <w:tcBorders>
              <w:tl2br w:val="nil"/>
              <w:tr2bl w:val="nil"/>
            </w:tcBorders>
            <w:shd w:val="clear" w:color="auto" w:fill="auto"/>
            <w:vAlign w:val="center"/>
          </w:tcPr>
          <w:p w14:paraId="25BAFF7F">
            <w:pPr>
              <w:widowControl/>
              <w:spacing w:line="240" w:lineRule="auto"/>
              <w:jc w:val="center"/>
              <w:rPr>
                <w:rFonts w:eastAsia="宋体" w:cs="Times New Roman"/>
                <w:kern w:val="0"/>
                <w:sz w:val="21"/>
                <w:szCs w:val="21"/>
              </w:rPr>
            </w:pPr>
            <w:r>
              <w:rPr>
                <w:rFonts w:eastAsia="宋体" w:cs="Times New Roman"/>
                <w:kern w:val="0"/>
                <w:sz w:val="21"/>
                <w:szCs w:val="21"/>
              </w:rPr>
              <w:t>每周巡查</w:t>
            </w:r>
          </w:p>
        </w:tc>
      </w:tr>
      <w:tr w14:paraId="48453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14:paraId="52A6313D">
            <w:pPr>
              <w:widowControl/>
              <w:spacing w:line="240" w:lineRule="auto"/>
              <w:jc w:val="left"/>
              <w:rPr>
                <w:rFonts w:eastAsia="宋体" w:cs="Times New Roman"/>
                <w:color w:val="000000"/>
                <w:kern w:val="0"/>
                <w:sz w:val="21"/>
                <w:szCs w:val="21"/>
              </w:rPr>
            </w:pPr>
          </w:p>
        </w:tc>
        <w:tc>
          <w:tcPr>
            <w:tcW w:w="1078" w:type="dxa"/>
            <w:vMerge w:val="restart"/>
            <w:tcBorders>
              <w:tl2br w:val="nil"/>
              <w:tr2bl w:val="nil"/>
            </w:tcBorders>
            <w:shd w:val="clear" w:color="auto" w:fill="auto"/>
            <w:vAlign w:val="center"/>
          </w:tcPr>
          <w:p w14:paraId="363915CC">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2类缺陷</w:t>
            </w:r>
          </w:p>
        </w:tc>
        <w:tc>
          <w:tcPr>
            <w:tcW w:w="2238" w:type="dxa"/>
            <w:tcBorders>
              <w:tl2br w:val="nil"/>
              <w:tr2bl w:val="nil"/>
            </w:tcBorders>
            <w:shd w:val="clear" w:color="auto" w:fill="auto"/>
            <w:vAlign w:val="center"/>
          </w:tcPr>
          <w:p w14:paraId="745FCF95">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井盖埋没</w:t>
            </w:r>
          </w:p>
        </w:tc>
        <w:tc>
          <w:tcPr>
            <w:tcW w:w="826" w:type="dxa"/>
            <w:vMerge w:val="restart"/>
            <w:tcBorders>
              <w:tl2br w:val="nil"/>
              <w:tr2bl w:val="nil"/>
            </w:tcBorders>
            <w:shd w:val="clear" w:color="auto" w:fill="auto"/>
            <w:noWrap/>
            <w:vAlign w:val="center"/>
          </w:tcPr>
          <w:p w14:paraId="620846A1">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维修</w:t>
            </w:r>
          </w:p>
        </w:tc>
        <w:tc>
          <w:tcPr>
            <w:tcW w:w="723" w:type="dxa"/>
            <w:tcBorders>
              <w:tl2br w:val="nil"/>
              <w:tr2bl w:val="nil"/>
            </w:tcBorders>
            <w:shd w:val="clear" w:color="auto" w:fill="auto"/>
            <w:noWrap/>
            <w:vAlign w:val="center"/>
          </w:tcPr>
          <w:p w14:paraId="4134E910">
            <w:pPr>
              <w:widowControl/>
              <w:spacing w:line="240" w:lineRule="auto"/>
              <w:jc w:val="center"/>
              <w:rPr>
                <w:rFonts w:eastAsia="宋体" w:cs="Times New Roman"/>
                <w:kern w:val="0"/>
                <w:sz w:val="21"/>
                <w:szCs w:val="21"/>
              </w:rPr>
            </w:pPr>
            <w:r>
              <w:rPr>
                <w:rFonts w:eastAsia="宋体" w:cs="Times New Roman"/>
                <w:kern w:val="0"/>
                <w:sz w:val="21"/>
                <w:szCs w:val="21"/>
              </w:rPr>
              <w:t>7</w:t>
            </w:r>
          </w:p>
        </w:tc>
        <w:tc>
          <w:tcPr>
            <w:tcW w:w="1867" w:type="dxa"/>
            <w:tcBorders>
              <w:tl2br w:val="nil"/>
              <w:tr2bl w:val="nil"/>
            </w:tcBorders>
            <w:shd w:val="clear" w:color="auto" w:fill="auto"/>
            <w:vAlign w:val="center"/>
          </w:tcPr>
          <w:p w14:paraId="1953C4EB">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～7</w:t>
            </w:r>
          </w:p>
        </w:tc>
        <w:tc>
          <w:tcPr>
            <w:tcW w:w="1174" w:type="dxa"/>
            <w:tcBorders>
              <w:tl2br w:val="nil"/>
              <w:tr2bl w:val="nil"/>
            </w:tcBorders>
            <w:shd w:val="clear" w:color="auto" w:fill="auto"/>
            <w:vAlign w:val="center"/>
          </w:tcPr>
          <w:p w14:paraId="176D085C">
            <w:pPr>
              <w:widowControl/>
              <w:spacing w:line="240" w:lineRule="auto"/>
              <w:jc w:val="center"/>
              <w:rPr>
                <w:rFonts w:eastAsia="宋体" w:cs="Times New Roman"/>
                <w:kern w:val="0"/>
                <w:sz w:val="21"/>
                <w:szCs w:val="21"/>
              </w:rPr>
            </w:pPr>
            <w:r>
              <w:rPr>
                <w:rFonts w:eastAsia="宋体" w:cs="Times New Roman"/>
                <w:kern w:val="0"/>
                <w:sz w:val="21"/>
                <w:szCs w:val="21"/>
              </w:rPr>
              <w:t>每月巡查</w:t>
            </w:r>
          </w:p>
        </w:tc>
      </w:tr>
      <w:tr w14:paraId="53B5C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14:paraId="6FCE3BFB">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14:paraId="168D227C">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14:paraId="6C290E4F">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盖框间隙、盖框高差、盖框突出或凹陷</w:t>
            </w:r>
          </w:p>
        </w:tc>
        <w:tc>
          <w:tcPr>
            <w:tcW w:w="826" w:type="dxa"/>
            <w:vMerge w:val="continue"/>
            <w:tcBorders>
              <w:tl2br w:val="nil"/>
              <w:tr2bl w:val="nil"/>
            </w:tcBorders>
            <w:vAlign w:val="center"/>
          </w:tcPr>
          <w:p w14:paraId="5CB09AEE">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14:paraId="392C434D">
            <w:pPr>
              <w:widowControl/>
              <w:spacing w:line="240" w:lineRule="auto"/>
              <w:jc w:val="center"/>
              <w:rPr>
                <w:rFonts w:eastAsia="宋体" w:cs="Times New Roman"/>
                <w:kern w:val="0"/>
                <w:sz w:val="21"/>
                <w:szCs w:val="21"/>
              </w:rPr>
            </w:pPr>
            <w:r>
              <w:rPr>
                <w:rFonts w:eastAsia="宋体" w:cs="Times New Roman"/>
                <w:kern w:val="0"/>
                <w:sz w:val="21"/>
                <w:szCs w:val="21"/>
              </w:rPr>
              <w:t>7</w:t>
            </w:r>
          </w:p>
        </w:tc>
        <w:tc>
          <w:tcPr>
            <w:tcW w:w="1867" w:type="dxa"/>
            <w:tcBorders>
              <w:tl2br w:val="nil"/>
              <w:tr2bl w:val="nil"/>
            </w:tcBorders>
            <w:shd w:val="clear" w:color="auto" w:fill="auto"/>
            <w:vAlign w:val="center"/>
          </w:tcPr>
          <w:p w14:paraId="6CCFD55D">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～7</w:t>
            </w:r>
          </w:p>
        </w:tc>
        <w:tc>
          <w:tcPr>
            <w:tcW w:w="1174" w:type="dxa"/>
            <w:tcBorders>
              <w:tl2br w:val="nil"/>
              <w:tr2bl w:val="nil"/>
            </w:tcBorders>
            <w:shd w:val="clear" w:color="auto" w:fill="auto"/>
            <w:vAlign w:val="center"/>
          </w:tcPr>
          <w:p w14:paraId="27F311A2">
            <w:pPr>
              <w:widowControl/>
              <w:spacing w:line="240" w:lineRule="auto"/>
              <w:jc w:val="center"/>
              <w:rPr>
                <w:rFonts w:eastAsia="宋体" w:cs="Times New Roman"/>
                <w:kern w:val="0"/>
                <w:sz w:val="21"/>
                <w:szCs w:val="21"/>
              </w:rPr>
            </w:pPr>
            <w:r>
              <w:rPr>
                <w:rFonts w:eastAsia="宋体" w:cs="Times New Roman"/>
                <w:kern w:val="0"/>
                <w:sz w:val="21"/>
                <w:szCs w:val="21"/>
              </w:rPr>
              <w:t>每月巡查</w:t>
            </w:r>
          </w:p>
        </w:tc>
      </w:tr>
      <w:tr w14:paraId="42002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14:paraId="531FFE64">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14:paraId="2D85E3FA">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14:paraId="52809506">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链条或锁具损坏</w:t>
            </w:r>
          </w:p>
        </w:tc>
        <w:tc>
          <w:tcPr>
            <w:tcW w:w="826" w:type="dxa"/>
            <w:vMerge w:val="continue"/>
            <w:tcBorders>
              <w:tl2br w:val="nil"/>
              <w:tr2bl w:val="nil"/>
            </w:tcBorders>
            <w:vAlign w:val="center"/>
          </w:tcPr>
          <w:p w14:paraId="383C3964">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14:paraId="2843852B">
            <w:pPr>
              <w:widowControl/>
              <w:spacing w:line="240" w:lineRule="auto"/>
              <w:jc w:val="center"/>
              <w:rPr>
                <w:rFonts w:eastAsia="宋体" w:cs="Times New Roman"/>
                <w:kern w:val="0"/>
                <w:sz w:val="21"/>
                <w:szCs w:val="21"/>
              </w:rPr>
            </w:pPr>
            <w:r>
              <w:rPr>
                <w:rFonts w:eastAsia="宋体" w:cs="Times New Roman"/>
                <w:kern w:val="0"/>
                <w:sz w:val="21"/>
                <w:szCs w:val="21"/>
              </w:rPr>
              <w:t>7</w:t>
            </w:r>
          </w:p>
        </w:tc>
        <w:tc>
          <w:tcPr>
            <w:tcW w:w="1867" w:type="dxa"/>
            <w:tcBorders>
              <w:tl2br w:val="nil"/>
              <w:tr2bl w:val="nil"/>
            </w:tcBorders>
            <w:shd w:val="clear" w:color="auto" w:fill="auto"/>
            <w:vAlign w:val="center"/>
          </w:tcPr>
          <w:p w14:paraId="05288047">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～7</w:t>
            </w:r>
          </w:p>
        </w:tc>
        <w:tc>
          <w:tcPr>
            <w:tcW w:w="1174" w:type="dxa"/>
            <w:tcBorders>
              <w:tl2br w:val="nil"/>
              <w:tr2bl w:val="nil"/>
            </w:tcBorders>
            <w:shd w:val="clear" w:color="auto" w:fill="auto"/>
            <w:vAlign w:val="center"/>
          </w:tcPr>
          <w:p w14:paraId="7349CA62">
            <w:pPr>
              <w:widowControl/>
              <w:spacing w:line="240" w:lineRule="auto"/>
              <w:jc w:val="center"/>
              <w:rPr>
                <w:rFonts w:eastAsia="宋体" w:cs="Times New Roman"/>
                <w:kern w:val="0"/>
                <w:sz w:val="21"/>
                <w:szCs w:val="21"/>
              </w:rPr>
            </w:pPr>
            <w:r>
              <w:rPr>
                <w:rFonts w:eastAsia="宋体" w:cs="Times New Roman"/>
                <w:kern w:val="0"/>
                <w:sz w:val="21"/>
                <w:szCs w:val="21"/>
              </w:rPr>
              <w:t>每月巡查</w:t>
            </w:r>
          </w:p>
        </w:tc>
      </w:tr>
      <w:tr w14:paraId="2D395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14:paraId="12757245">
            <w:pPr>
              <w:widowControl/>
              <w:spacing w:line="240" w:lineRule="auto"/>
              <w:jc w:val="left"/>
              <w:rPr>
                <w:rFonts w:eastAsia="宋体" w:cs="Times New Roman"/>
                <w:color w:val="000000"/>
                <w:kern w:val="0"/>
                <w:sz w:val="21"/>
                <w:szCs w:val="21"/>
              </w:rPr>
            </w:pPr>
          </w:p>
        </w:tc>
        <w:tc>
          <w:tcPr>
            <w:tcW w:w="1078" w:type="dxa"/>
            <w:vMerge w:val="restart"/>
            <w:tcBorders>
              <w:tl2br w:val="nil"/>
              <w:tr2bl w:val="nil"/>
            </w:tcBorders>
            <w:shd w:val="clear" w:color="auto" w:fill="auto"/>
            <w:vAlign w:val="center"/>
          </w:tcPr>
          <w:p w14:paraId="7DD802DC">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3类缺陷</w:t>
            </w:r>
          </w:p>
        </w:tc>
        <w:tc>
          <w:tcPr>
            <w:tcW w:w="2238" w:type="dxa"/>
            <w:tcBorders>
              <w:tl2br w:val="nil"/>
              <w:tr2bl w:val="nil"/>
            </w:tcBorders>
            <w:shd w:val="clear" w:color="auto" w:fill="auto"/>
            <w:vAlign w:val="center"/>
          </w:tcPr>
          <w:p w14:paraId="63E4AFDA">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井盖标识错误</w:t>
            </w:r>
          </w:p>
        </w:tc>
        <w:tc>
          <w:tcPr>
            <w:tcW w:w="826" w:type="dxa"/>
            <w:vMerge w:val="restart"/>
            <w:tcBorders>
              <w:tl2br w:val="nil"/>
              <w:tr2bl w:val="nil"/>
            </w:tcBorders>
            <w:shd w:val="clear" w:color="auto" w:fill="auto"/>
            <w:noWrap/>
            <w:vAlign w:val="center"/>
          </w:tcPr>
          <w:p w14:paraId="0D1C64CA">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计划维修</w:t>
            </w:r>
          </w:p>
        </w:tc>
        <w:tc>
          <w:tcPr>
            <w:tcW w:w="723" w:type="dxa"/>
            <w:tcBorders>
              <w:tl2br w:val="nil"/>
              <w:tr2bl w:val="nil"/>
            </w:tcBorders>
            <w:shd w:val="clear" w:color="auto" w:fill="auto"/>
            <w:noWrap/>
            <w:vAlign w:val="center"/>
          </w:tcPr>
          <w:p w14:paraId="60DB705E">
            <w:pPr>
              <w:widowControl/>
              <w:spacing w:line="240" w:lineRule="auto"/>
              <w:jc w:val="center"/>
              <w:rPr>
                <w:rFonts w:eastAsia="宋体" w:cs="Times New Roman"/>
                <w:kern w:val="0"/>
                <w:sz w:val="21"/>
                <w:szCs w:val="21"/>
              </w:rPr>
            </w:pPr>
            <w:r>
              <w:rPr>
                <w:rFonts w:eastAsia="宋体" w:cs="Times New Roman"/>
                <w:kern w:val="0"/>
                <w:sz w:val="21"/>
                <w:szCs w:val="21"/>
              </w:rPr>
              <w:t>5</w:t>
            </w:r>
          </w:p>
        </w:tc>
        <w:tc>
          <w:tcPr>
            <w:tcW w:w="1867" w:type="dxa"/>
            <w:tcBorders>
              <w:tl2br w:val="nil"/>
              <w:tr2bl w:val="nil"/>
            </w:tcBorders>
            <w:shd w:val="clear" w:color="auto" w:fill="auto"/>
            <w:vAlign w:val="center"/>
          </w:tcPr>
          <w:p w14:paraId="1F675591">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～5</w:t>
            </w:r>
          </w:p>
        </w:tc>
        <w:tc>
          <w:tcPr>
            <w:tcW w:w="1174" w:type="dxa"/>
            <w:tcBorders>
              <w:tl2br w:val="nil"/>
              <w:tr2bl w:val="nil"/>
            </w:tcBorders>
            <w:shd w:val="clear" w:color="auto" w:fill="auto"/>
            <w:vAlign w:val="center"/>
          </w:tcPr>
          <w:p w14:paraId="3725685D">
            <w:pPr>
              <w:widowControl/>
              <w:spacing w:line="240" w:lineRule="auto"/>
              <w:jc w:val="center"/>
              <w:rPr>
                <w:rFonts w:eastAsia="宋体" w:cs="Times New Roman"/>
                <w:kern w:val="0"/>
                <w:sz w:val="21"/>
                <w:szCs w:val="21"/>
              </w:rPr>
            </w:pPr>
            <w:r>
              <w:rPr>
                <w:rFonts w:eastAsia="宋体" w:cs="Times New Roman"/>
                <w:kern w:val="0"/>
                <w:sz w:val="21"/>
                <w:szCs w:val="21"/>
              </w:rPr>
              <w:t>季度检查</w:t>
            </w:r>
          </w:p>
        </w:tc>
      </w:tr>
      <w:tr w14:paraId="4D679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14:paraId="78FBED9C">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14:paraId="2DC45C49">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14:paraId="34B8BB13">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跳动和声响</w:t>
            </w:r>
          </w:p>
        </w:tc>
        <w:tc>
          <w:tcPr>
            <w:tcW w:w="826" w:type="dxa"/>
            <w:vMerge w:val="continue"/>
            <w:tcBorders>
              <w:tl2br w:val="nil"/>
              <w:tr2bl w:val="nil"/>
            </w:tcBorders>
            <w:vAlign w:val="center"/>
          </w:tcPr>
          <w:p w14:paraId="38C631A4">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14:paraId="38777886">
            <w:pPr>
              <w:widowControl/>
              <w:spacing w:line="240" w:lineRule="auto"/>
              <w:jc w:val="center"/>
              <w:rPr>
                <w:rFonts w:eastAsia="宋体" w:cs="Times New Roman"/>
                <w:kern w:val="0"/>
                <w:sz w:val="21"/>
                <w:szCs w:val="21"/>
              </w:rPr>
            </w:pPr>
            <w:r>
              <w:rPr>
                <w:rFonts w:eastAsia="宋体" w:cs="Times New Roman"/>
                <w:kern w:val="0"/>
                <w:sz w:val="21"/>
                <w:szCs w:val="21"/>
              </w:rPr>
              <w:t>5</w:t>
            </w:r>
          </w:p>
        </w:tc>
        <w:tc>
          <w:tcPr>
            <w:tcW w:w="1867" w:type="dxa"/>
            <w:tcBorders>
              <w:tl2br w:val="nil"/>
              <w:tr2bl w:val="nil"/>
            </w:tcBorders>
            <w:shd w:val="clear" w:color="auto" w:fill="auto"/>
            <w:vAlign w:val="center"/>
          </w:tcPr>
          <w:p w14:paraId="7703FBE3">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～5</w:t>
            </w:r>
          </w:p>
        </w:tc>
        <w:tc>
          <w:tcPr>
            <w:tcW w:w="1174" w:type="dxa"/>
            <w:tcBorders>
              <w:tl2br w:val="nil"/>
              <w:tr2bl w:val="nil"/>
            </w:tcBorders>
            <w:shd w:val="clear" w:color="auto" w:fill="auto"/>
            <w:vAlign w:val="center"/>
          </w:tcPr>
          <w:p w14:paraId="1C8E685A">
            <w:pPr>
              <w:widowControl/>
              <w:spacing w:line="240" w:lineRule="auto"/>
              <w:jc w:val="center"/>
              <w:rPr>
                <w:rFonts w:eastAsia="宋体" w:cs="Times New Roman"/>
                <w:kern w:val="0"/>
                <w:sz w:val="21"/>
                <w:szCs w:val="21"/>
              </w:rPr>
            </w:pPr>
            <w:r>
              <w:rPr>
                <w:rFonts w:eastAsia="宋体" w:cs="Times New Roman"/>
                <w:kern w:val="0"/>
                <w:sz w:val="21"/>
                <w:szCs w:val="21"/>
              </w:rPr>
              <w:t>季度检查</w:t>
            </w:r>
          </w:p>
        </w:tc>
      </w:tr>
      <w:tr w14:paraId="17489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14:paraId="2B6FAAA1">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14:paraId="3BB20A16">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14:paraId="32170E97">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爬梯松动、锈蚀或缺损</w:t>
            </w:r>
          </w:p>
        </w:tc>
        <w:tc>
          <w:tcPr>
            <w:tcW w:w="826" w:type="dxa"/>
            <w:vMerge w:val="continue"/>
            <w:tcBorders>
              <w:tl2br w:val="nil"/>
              <w:tr2bl w:val="nil"/>
            </w:tcBorders>
            <w:vAlign w:val="center"/>
          </w:tcPr>
          <w:p w14:paraId="03A0B057">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14:paraId="6E5B421E">
            <w:pPr>
              <w:widowControl/>
              <w:spacing w:line="240" w:lineRule="auto"/>
              <w:jc w:val="center"/>
              <w:rPr>
                <w:rFonts w:eastAsia="宋体" w:cs="Times New Roman"/>
                <w:kern w:val="0"/>
                <w:sz w:val="21"/>
                <w:szCs w:val="21"/>
              </w:rPr>
            </w:pPr>
            <w:r>
              <w:rPr>
                <w:rFonts w:eastAsia="宋体" w:cs="Times New Roman"/>
                <w:kern w:val="0"/>
                <w:sz w:val="21"/>
                <w:szCs w:val="21"/>
              </w:rPr>
              <w:t>5</w:t>
            </w:r>
          </w:p>
        </w:tc>
        <w:tc>
          <w:tcPr>
            <w:tcW w:w="1867" w:type="dxa"/>
            <w:tcBorders>
              <w:tl2br w:val="nil"/>
              <w:tr2bl w:val="nil"/>
            </w:tcBorders>
            <w:shd w:val="clear" w:color="auto" w:fill="auto"/>
            <w:vAlign w:val="center"/>
          </w:tcPr>
          <w:p w14:paraId="45E172B7">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～5</w:t>
            </w:r>
          </w:p>
        </w:tc>
        <w:tc>
          <w:tcPr>
            <w:tcW w:w="1174" w:type="dxa"/>
            <w:tcBorders>
              <w:tl2br w:val="nil"/>
              <w:tr2bl w:val="nil"/>
            </w:tcBorders>
            <w:shd w:val="clear" w:color="auto" w:fill="auto"/>
            <w:vAlign w:val="center"/>
          </w:tcPr>
          <w:p w14:paraId="04DC8259">
            <w:pPr>
              <w:widowControl/>
              <w:spacing w:line="240" w:lineRule="auto"/>
              <w:jc w:val="center"/>
              <w:rPr>
                <w:rFonts w:eastAsia="宋体" w:cs="Times New Roman"/>
                <w:kern w:val="0"/>
                <w:sz w:val="21"/>
                <w:szCs w:val="21"/>
              </w:rPr>
            </w:pPr>
            <w:r>
              <w:rPr>
                <w:rFonts w:eastAsia="宋体" w:cs="Times New Roman"/>
                <w:kern w:val="0"/>
                <w:sz w:val="21"/>
                <w:szCs w:val="21"/>
              </w:rPr>
              <w:t>季度检查</w:t>
            </w:r>
          </w:p>
        </w:tc>
      </w:tr>
      <w:tr w14:paraId="0B282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14:paraId="12CE0213">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14:paraId="60D2D4BA">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14:paraId="34E4BA59">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井壁泥垢</w:t>
            </w:r>
          </w:p>
        </w:tc>
        <w:tc>
          <w:tcPr>
            <w:tcW w:w="826" w:type="dxa"/>
            <w:vMerge w:val="continue"/>
            <w:tcBorders>
              <w:tl2br w:val="nil"/>
              <w:tr2bl w:val="nil"/>
            </w:tcBorders>
            <w:vAlign w:val="center"/>
          </w:tcPr>
          <w:p w14:paraId="770E8BB4">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14:paraId="0CE86035">
            <w:pPr>
              <w:widowControl/>
              <w:spacing w:line="240" w:lineRule="auto"/>
              <w:jc w:val="center"/>
              <w:rPr>
                <w:rFonts w:eastAsia="宋体" w:cs="Times New Roman"/>
                <w:kern w:val="0"/>
                <w:sz w:val="21"/>
                <w:szCs w:val="21"/>
              </w:rPr>
            </w:pPr>
            <w:r>
              <w:rPr>
                <w:rFonts w:eastAsia="宋体" w:cs="Times New Roman"/>
                <w:kern w:val="0"/>
                <w:sz w:val="21"/>
                <w:szCs w:val="21"/>
              </w:rPr>
              <w:t>5</w:t>
            </w:r>
          </w:p>
        </w:tc>
        <w:tc>
          <w:tcPr>
            <w:tcW w:w="1867" w:type="dxa"/>
            <w:tcBorders>
              <w:tl2br w:val="nil"/>
              <w:tr2bl w:val="nil"/>
            </w:tcBorders>
            <w:shd w:val="clear" w:color="auto" w:fill="auto"/>
            <w:vAlign w:val="center"/>
          </w:tcPr>
          <w:p w14:paraId="1599E4E8">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～5</w:t>
            </w:r>
          </w:p>
        </w:tc>
        <w:tc>
          <w:tcPr>
            <w:tcW w:w="1174" w:type="dxa"/>
            <w:tcBorders>
              <w:tl2br w:val="nil"/>
              <w:tr2bl w:val="nil"/>
            </w:tcBorders>
            <w:shd w:val="clear" w:color="auto" w:fill="auto"/>
            <w:vAlign w:val="center"/>
          </w:tcPr>
          <w:p w14:paraId="7DD4B161">
            <w:pPr>
              <w:widowControl/>
              <w:spacing w:line="240" w:lineRule="auto"/>
              <w:jc w:val="center"/>
              <w:rPr>
                <w:rFonts w:eastAsia="宋体" w:cs="Times New Roman"/>
                <w:kern w:val="0"/>
                <w:sz w:val="21"/>
                <w:szCs w:val="21"/>
              </w:rPr>
            </w:pPr>
            <w:r>
              <w:rPr>
                <w:rFonts w:eastAsia="宋体" w:cs="Times New Roman"/>
                <w:kern w:val="0"/>
                <w:sz w:val="21"/>
                <w:szCs w:val="21"/>
              </w:rPr>
              <w:t>季度检查</w:t>
            </w:r>
          </w:p>
        </w:tc>
      </w:tr>
      <w:tr w14:paraId="26E03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14:paraId="3A1FA558">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14:paraId="148D2423">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14:paraId="075B6E64">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抹面脱落</w:t>
            </w:r>
          </w:p>
        </w:tc>
        <w:tc>
          <w:tcPr>
            <w:tcW w:w="826" w:type="dxa"/>
            <w:vMerge w:val="continue"/>
            <w:tcBorders>
              <w:tl2br w:val="nil"/>
              <w:tr2bl w:val="nil"/>
            </w:tcBorders>
            <w:vAlign w:val="center"/>
          </w:tcPr>
          <w:p w14:paraId="2E558660">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14:paraId="5C86B3E6">
            <w:pPr>
              <w:widowControl/>
              <w:spacing w:line="240" w:lineRule="auto"/>
              <w:jc w:val="center"/>
              <w:rPr>
                <w:rFonts w:eastAsia="宋体" w:cs="Times New Roman"/>
                <w:kern w:val="0"/>
                <w:sz w:val="21"/>
                <w:szCs w:val="21"/>
              </w:rPr>
            </w:pPr>
            <w:r>
              <w:rPr>
                <w:rFonts w:eastAsia="宋体" w:cs="Times New Roman"/>
                <w:kern w:val="0"/>
                <w:sz w:val="21"/>
                <w:szCs w:val="21"/>
              </w:rPr>
              <w:t>5</w:t>
            </w:r>
          </w:p>
        </w:tc>
        <w:tc>
          <w:tcPr>
            <w:tcW w:w="1867" w:type="dxa"/>
            <w:tcBorders>
              <w:tl2br w:val="nil"/>
              <w:tr2bl w:val="nil"/>
            </w:tcBorders>
            <w:shd w:val="clear" w:color="auto" w:fill="auto"/>
            <w:vAlign w:val="center"/>
          </w:tcPr>
          <w:p w14:paraId="08560497">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～5</w:t>
            </w:r>
          </w:p>
        </w:tc>
        <w:tc>
          <w:tcPr>
            <w:tcW w:w="1174" w:type="dxa"/>
            <w:tcBorders>
              <w:tl2br w:val="nil"/>
              <w:tr2bl w:val="nil"/>
            </w:tcBorders>
            <w:shd w:val="clear" w:color="auto" w:fill="auto"/>
            <w:vAlign w:val="center"/>
          </w:tcPr>
          <w:p w14:paraId="2ABB938D">
            <w:pPr>
              <w:widowControl/>
              <w:spacing w:line="240" w:lineRule="auto"/>
              <w:jc w:val="center"/>
              <w:rPr>
                <w:rFonts w:eastAsia="宋体" w:cs="Times New Roman"/>
                <w:kern w:val="0"/>
                <w:sz w:val="21"/>
                <w:szCs w:val="21"/>
              </w:rPr>
            </w:pPr>
            <w:r>
              <w:rPr>
                <w:rFonts w:eastAsia="宋体" w:cs="Times New Roman"/>
                <w:kern w:val="0"/>
                <w:sz w:val="21"/>
                <w:szCs w:val="21"/>
              </w:rPr>
              <w:t>季度检查</w:t>
            </w:r>
          </w:p>
        </w:tc>
      </w:tr>
      <w:tr w14:paraId="18EB7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5" w:type="dxa"/>
            <w:vMerge w:val="continue"/>
            <w:tcBorders>
              <w:tl2br w:val="nil"/>
              <w:tr2bl w:val="nil"/>
            </w:tcBorders>
            <w:vAlign w:val="center"/>
          </w:tcPr>
          <w:p w14:paraId="613AE725">
            <w:pPr>
              <w:widowControl/>
              <w:spacing w:line="240" w:lineRule="auto"/>
              <w:jc w:val="left"/>
              <w:rPr>
                <w:rFonts w:eastAsia="宋体" w:cs="Times New Roman"/>
                <w:color w:val="000000"/>
                <w:kern w:val="0"/>
                <w:sz w:val="21"/>
                <w:szCs w:val="21"/>
              </w:rPr>
            </w:pPr>
          </w:p>
        </w:tc>
        <w:tc>
          <w:tcPr>
            <w:tcW w:w="1078" w:type="dxa"/>
            <w:vMerge w:val="continue"/>
            <w:tcBorders>
              <w:tl2br w:val="nil"/>
              <w:tr2bl w:val="nil"/>
            </w:tcBorders>
            <w:vAlign w:val="center"/>
          </w:tcPr>
          <w:p w14:paraId="5E1B5DBF">
            <w:pPr>
              <w:widowControl/>
              <w:spacing w:line="240" w:lineRule="auto"/>
              <w:jc w:val="left"/>
              <w:rPr>
                <w:rFonts w:eastAsia="宋体" w:cs="Times New Roman"/>
                <w:color w:val="000000"/>
                <w:kern w:val="0"/>
                <w:sz w:val="21"/>
                <w:szCs w:val="21"/>
              </w:rPr>
            </w:pPr>
          </w:p>
        </w:tc>
        <w:tc>
          <w:tcPr>
            <w:tcW w:w="2238" w:type="dxa"/>
            <w:tcBorders>
              <w:tl2br w:val="nil"/>
              <w:tr2bl w:val="nil"/>
            </w:tcBorders>
            <w:shd w:val="clear" w:color="auto" w:fill="auto"/>
            <w:vAlign w:val="center"/>
          </w:tcPr>
          <w:p w14:paraId="54D21129">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井底淤泥、杂物、浮渣</w:t>
            </w:r>
          </w:p>
        </w:tc>
        <w:tc>
          <w:tcPr>
            <w:tcW w:w="826" w:type="dxa"/>
            <w:vMerge w:val="continue"/>
            <w:tcBorders>
              <w:tl2br w:val="nil"/>
              <w:tr2bl w:val="nil"/>
            </w:tcBorders>
            <w:vAlign w:val="center"/>
          </w:tcPr>
          <w:p w14:paraId="3B362468">
            <w:pPr>
              <w:widowControl/>
              <w:spacing w:line="240" w:lineRule="auto"/>
              <w:jc w:val="left"/>
              <w:rPr>
                <w:rFonts w:eastAsia="宋体" w:cs="Times New Roman"/>
                <w:color w:val="000000"/>
                <w:kern w:val="0"/>
                <w:sz w:val="21"/>
                <w:szCs w:val="21"/>
              </w:rPr>
            </w:pPr>
          </w:p>
        </w:tc>
        <w:tc>
          <w:tcPr>
            <w:tcW w:w="723" w:type="dxa"/>
            <w:tcBorders>
              <w:tl2br w:val="nil"/>
              <w:tr2bl w:val="nil"/>
            </w:tcBorders>
            <w:shd w:val="clear" w:color="auto" w:fill="auto"/>
            <w:noWrap/>
            <w:vAlign w:val="center"/>
          </w:tcPr>
          <w:p w14:paraId="5C963DBB">
            <w:pPr>
              <w:widowControl/>
              <w:spacing w:line="240" w:lineRule="auto"/>
              <w:jc w:val="center"/>
              <w:rPr>
                <w:rFonts w:eastAsia="宋体" w:cs="Times New Roman"/>
                <w:kern w:val="0"/>
                <w:sz w:val="21"/>
                <w:szCs w:val="21"/>
              </w:rPr>
            </w:pPr>
            <w:r>
              <w:rPr>
                <w:rFonts w:eastAsia="宋体" w:cs="Times New Roman"/>
                <w:kern w:val="0"/>
                <w:sz w:val="21"/>
                <w:szCs w:val="21"/>
              </w:rPr>
              <w:t>4</w:t>
            </w:r>
          </w:p>
        </w:tc>
        <w:tc>
          <w:tcPr>
            <w:tcW w:w="1867" w:type="dxa"/>
            <w:tcBorders>
              <w:tl2br w:val="nil"/>
              <w:tr2bl w:val="nil"/>
            </w:tcBorders>
            <w:shd w:val="clear" w:color="auto" w:fill="auto"/>
            <w:vAlign w:val="center"/>
          </w:tcPr>
          <w:p w14:paraId="623000C1">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～4</w:t>
            </w:r>
          </w:p>
        </w:tc>
        <w:tc>
          <w:tcPr>
            <w:tcW w:w="1174" w:type="dxa"/>
            <w:tcBorders>
              <w:tl2br w:val="nil"/>
              <w:tr2bl w:val="nil"/>
            </w:tcBorders>
            <w:shd w:val="clear" w:color="auto" w:fill="auto"/>
            <w:vAlign w:val="center"/>
          </w:tcPr>
          <w:p w14:paraId="18DD049B">
            <w:pPr>
              <w:widowControl/>
              <w:spacing w:line="240" w:lineRule="auto"/>
              <w:jc w:val="center"/>
              <w:rPr>
                <w:rFonts w:eastAsia="宋体" w:cs="Times New Roman"/>
                <w:kern w:val="0"/>
                <w:sz w:val="21"/>
                <w:szCs w:val="21"/>
              </w:rPr>
            </w:pPr>
            <w:r>
              <w:rPr>
                <w:rFonts w:eastAsia="宋体" w:cs="Times New Roman"/>
                <w:kern w:val="0"/>
                <w:sz w:val="21"/>
                <w:szCs w:val="21"/>
              </w:rPr>
              <w:t>季度检查</w:t>
            </w:r>
          </w:p>
        </w:tc>
      </w:tr>
    </w:tbl>
    <w:p w14:paraId="098E8B0B">
      <w:pPr>
        <w:pStyle w:val="108"/>
        <w:numPr>
          <w:ilvl w:val="0"/>
          <w:numId w:val="0"/>
        </w:numPr>
      </w:pPr>
    </w:p>
    <w:p w14:paraId="04116577">
      <w:pPr>
        <w:pStyle w:val="105"/>
      </w:pPr>
      <w:r>
        <w:t>表</w:t>
      </w:r>
      <w:r>
        <w:rPr>
          <w:rFonts w:hint="eastAsia"/>
        </w:rPr>
        <w:t>11.3.2-</w:t>
      </w:r>
      <w:r>
        <w:t>2　阀类检查评分准则</w:t>
      </w:r>
    </w:p>
    <w:tbl>
      <w:tblPr>
        <w:tblStyle w:val="29"/>
        <w:tblW w:w="861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73"/>
        <w:gridCol w:w="2013"/>
        <w:gridCol w:w="777"/>
        <w:gridCol w:w="805"/>
        <w:gridCol w:w="1609"/>
        <w:gridCol w:w="1506"/>
      </w:tblGrid>
      <w:tr w14:paraId="5B211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8" w:type="dxa"/>
            <w:tcBorders>
              <w:tl2br w:val="nil"/>
              <w:tr2bl w:val="nil"/>
            </w:tcBorders>
            <w:shd w:val="clear" w:color="auto" w:fill="auto"/>
            <w:vAlign w:val="center"/>
          </w:tcPr>
          <w:p w14:paraId="6E19B769">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名称</w:t>
            </w:r>
          </w:p>
        </w:tc>
        <w:tc>
          <w:tcPr>
            <w:tcW w:w="1073" w:type="dxa"/>
            <w:tcBorders>
              <w:tl2br w:val="nil"/>
              <w:tr2bl w:val="nil"/>
            </w:tcBorders>
            <w:shd w:val="clear" w:color="auto" w:fill="auto"/>
            <w:vAlign w:val="center"/>
          </w:tcPr>
          <w:p w14:paraId="5B35799B">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评分类别</w:t>
            </w:r>
          </w:p>
        </w:tc>
        <w:tc>
          <w:tcPr>
            <w:tcW w:w="2013" w:type="dxa"/>
            <w:tcBorders>
              <w:tl2br w:val="nil"/>
              <w:tr2bl w:val="nil"/>
            </w:tcBorders>
            <w:shd w:val="clear" w:color="auto" w:fill="auto"/>
            <w:vAlign w:val="center"/>
          </w:tcPr>
          <w:p w14:paraId="0C995D3F">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缺陷（故障</w:t>
            </w:r>
            <w:r>
              <w:rPr>
                <w:rFonts w:hint="eastAsia" w:eastAsia="宋体" w:cs="Times New Roman"/>
                <w:color w:val="000000"/>
                <w:kern w:val="0"/>
                <w:sz w:val="21"/>
                <w:szCs w:val="21"/>
              </w:rPr>
              <w:t>）描述</w:t>
            </w:r>
          </w:p>
        </w:tc>
        <w:tc>
          <w:tcPr>
            <w:tcW w:w="777" w:type="dxa"/>
            <w:tcBorders>
              <w:tl2br w:val="nil"/>
              <w:tr2bl w:val="nil"/>
            </w:tcBorders>
            <w:shd w:val="clear" w:color="auto" w:fill="auto"/>
            <w:noWrap/>
            <w:vAlign w:val="center"/>
          </w:tcPr>
          <w:p w14:paraId="1F21102E">
            <w:pPr>
              <w:widowControl/>
              <w:spacing w:line="240" w:lineRule="auto"/>
              <w:jc w:val="center"/>
              <w:rPr>
                <w:rFonts w:eastAsia="宋体" w:cs="Times New Roman"/>
                <w:kern w:val="0"/>
                <w:sz w:val="21"/>
                <w:szCs w:val="21"/>
              </w:rPr>
            </w:pPr>
            <w:r>
              <w:rPr>
                <w:rFonts w:eastAsia="宋体" w:cs="Times New Roman"/>
                <w:kern w:val="0"/>
                <w:sz w:val="21"/>
                <w:szCs w:val="21"/>
              </w:rPr>
              <w:t>维修级别</w:t>
            </w:r>
          </w:p>
        </w:tc>
        <w:tc>
          <w:tcPr>
            <w:tcW w:w="2414" w:type="dxa"/>
            <w:gridSpan w:val="2"/>
            <w:tcBorders>
              <w:tl2br w:val="nil"/>
              <w:tr2bl w:val="nil"/>
            </w:tcBorders>
            <w:shd w:val="clear" w:color="auto" w:fill="auto"/>
            <w:noWrap/>
            <w:vAlign w:val="center"/>
          </w:tcPr>
          <w:p w14:paraId="6560B035">
            <w:pPr>
              <w:widowControl/>
              <w:spacing w:line="240" w:lineRule="auto"/>
              <w:jc w:val="center"/>
              <w:rPr>
                <w:rFonts w:cs="Times New Roman"/>
                <w:color w:val="000000"/>
                <w:kern w:val="0"/>
                <w:sz w:val="21"/>
                <w:szCs w:val="21"/>
              </w:rPr>
            </w:pPr>
            <w:r>
              <w:rPr>
                <w:rFonts w:eastAsia="宋体" w:cs="Times New Roman"/>
                <w:color w:val="000000"/>
                <w:kern w:val="0"/>
                <w:sz w:val="21"/>
                <w:szCs w:val="21"/>
              </w:rPr>
              <w:t>分值</w:t>
            </w:r>
            <w:r>
              <w:rPr>
                <w:rFonts w:hint="eastAsia" w:eastAsia="宋体" w:cs="Times New Roman"/>
                <w:color w:val="000000"/>
                <w:kern w:val="0"/>
                <w:sz w:val="21"/>
                <w:szCs w:val="21"/>
              </w:rPr>
              <w:t>（</w:t>
            </w:r>
            <w:r>
              <w:rPr>
                <w:rFonts w:cs="Times New Roman"/>
                <w:i/>
                <w:iCs/>
              </w:rPr>
              <w:t>P</w:t>
            </w:r>
            <w:r>
              <w:rPr>
                <w:rFonts w:cs="Times New Roman"/>
                <w:vertAlign w:val="subscript"/>
              </w:rPr>
              <w:t>b</w:t>
            </w:r>
            <w:r>
              <w:rPr>
                <w:rFonts w:hint="eastAsia" w:cs="Times New Roman"/>
              </w:rPr>
              <w:t>）</w:t>
            </w:r>
          </w:p>
        </w:tc>
        <w:tc>
          <w:tcPr>
            <w:tcW w:w="1506" w:type="dxa"/>
            <w:tcBorders>
              <w:tl2br w:val="nil"/>
              <w:tr2bl w:val="nil"/>
            </w:tcBorders>
            <w:shd w:val="clear" w:color="auto" w:fill="auto"/>
            <w:vAlign w:val="center"/>
          </w:tcPr>
          <w:p w14:paraId="2C4FE76A">
            <w:pPr>
              <w:widowControl/>
              <w:spacing w:line="240" w:lineRule="auto"/>
              <w:jc w:val="center"/>
              <w:rPr>
                <w:rFonts w:eastAsia="宋体" w:cs="Times New Roman"/>
                <w:kern w:val="0"/>
                <w:sz w:val="21"/>
                <w:szCs w:val="21"/>
              </w:rPr>
            </w:pPr>
            <w:r>
              <w:rPr>
                <w:rFonts w:eastAsia="宋体" w:cs="Times New Roman"/>
                <w:kern w:val="0"/>
                <w:sz w:val="21"/>
                <w:szCs w:val="21"/>
              </w:rPr>
              <w:t>保养检查周期</w:t>
            </w:r>
          </w:p>
        </w:tc>
      </w:tr>
      <w:tr w14:paraId="77CEF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restart"/>
            <w:tcBorders>
              <w:tl2br w:val="nil"/>
              <w:tr2bl w:val="nil"/>
            </w:tcBorders>
            <w:shd w:val="clear" w:color="auto" w:fill="auto"/>
            <w:vAlign w:val="center"/>
          </w:tcPr>
          <w:p w14:paraId="2BC3E373">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阀类</w:t>
            </w:r>
          </w:p>
        </w:tc>
        <w:tc>
          <w:tcPr>
            <w:tcW w:w="1073" w:type="dxa"/>
            <w:vMerge w:val="restart"/>
            <w:tcBorders>
              <w:tl2br w:val="nil"/>
              <w:tr2bl w:val="nil"/>
            </w:tcBorders>
            <w:shd w:val="clear" w:color="auto" w:fill="auto"/>
            <w:vAlign w:val="center"/>
          </w:tcPr>
          <w:p w14:paraId="0F740F11">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1类故障</w:t>
            </w:r>
          </w:p>
        </w:tc>
        <w:tc>
          <w:tcPr>
            <w:tcW w:w="2013" w:type="dxa"/>
            <w:tcBorders>
              <w:tl2br w:val="nil"/>
              <w:tr2bl w:val="nil"/>
            </w:tcBorders>
            <w:shd w:val="clear" w:color="auto" w:fill="auto"/>
            <w:vAlign w:val="center"/>
          </w:tcPr>
          <w:p w14:paraId="533FAA60">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运行卡顿，开闭不灵活</w:t>
            </w:r>
          </w:p>
        </w:tc>
        <w:tc>
          <w:tcPr>
            <w:tcW w:w="777" w:type="dxa"/>
            <w:vMerge w:val="restart"/>
            <w:tcBorders>
              <w:tl2br w:val="nil"/>
              <w:tr2bl w:val="nil"/>
            </w:tcBorders>
            <w:shd w:val="clear" w:color="auto" w:fill="auto"/>
            <w:vAlign w:val="center"/>
          </w:tcPr>
          <w:p w14:paraId="0CE57BF1">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立即维修</w:t>
            </w:r>
          </w:p>
        </w:tc>
        <w:tc>
          <w:tcPr>
            <w:tcW w:w="805" w:type="dxa"/>
            <w:tcBorders>
              <w:tl2br w:val="nil"/>
              <w:tr2bl w:val="nil"/>
            </w:tcBorders>
            <w:shd w:val="clear" w:color="auto" w:fill="auto"/>
            <w:noWrap/>
            <w:vAlign w:val="center"/>
          </w:tcPr>
          <w:p w14:paraId="3DC9CB98">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15</w:t>
            </w:r>
          </w:p>
        </w:tc>
        <w:tc>
          <w:tcPr>
            <w:tcW w:w="1609" w:type="dxa"/>
            <w:tcBorders>
              <w:tl2br w:val="nil"/>
              <w:tr2bl w:val="nil"/>
            </w:tcBorders>
            <w:shd w:val="clear" w:color="auto" w:fill="auto"/>
            <w:vAlign w:val="center"/>
          </w:tcPr>
          <w:p w14:paraId="399CE903">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w:t>
            </w:r>
            <w:r>
              <w:rPr>
                <w:rFonts w:hint="eastAsia" w:eastAsia="宋体" w:cs="Times New Roman"/>
                <w:color w:val="000000"/>
                <w:kern w:val="0"/>
                <w:sz w:val="21"/>
                <w:szCs w:val="21"/>
              </w:rPr>
              <w:t>～</w:t>
            </w:r>
            <w:r>
              <w:rPr>
                <w:rFonts w:eastAsia="宋体" w:cs="Times New Roman"/>
                <w:color w:val="000000"/>
                <w:kern w:val="0"/>
                <w:sz w:val="21"/>
                <w:szCs w:val="21"/>
              </w:rPr>
              <w:t>15</w:t>
            </w:r>
          </w:p>
        </w:tc>
        <w:tc>
          <w:tcPr>
            <w:tcW w:w="1506" w:type="dxa"/>
            <w:tcBorders>
              <w:tl2br w:val="nil"/>
              <w:tr2bl w:val="nil"/>
            </w:tcBorders>
            <w:shd w:val="clear" w:color="auto" w:fill="auto"/>
            <w:vAlign w:val="center"/>
          </w:tcPr>
          <w:p w14:paraId="149E30AC">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每月查看，设备运行情况</w:t>
            </w:r>
          </w:p>
        </w:tc>
      </w:tr>
      <w:tr w14:paraId="3184B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14:paraId="090C03BB">
            <w:pPr>
              <w:widowControl/>
              <w:spacing w:line="240" w:lineRule="auto"/>
              <w:jc w:val="left"/>
              <w:rPr>
                <w:rFonts w:eastAsia="宋体" w:cs="Times New Roman"/>
                <w:color w:val="000000"/>
                <w:kern w:val="0"/>
                <w:sz w:val="21"/>
                <w:szCs w:val="21"/>
              </w:rPr>
            </w:pPr>
          </w:p>
        </w:tc>
        <w:tc>
          <w:tcPr>
            <w:tcW w:w="1073" w:type="dxa"/>
            <w:vMerge w:val="continue"/>
            <w:tcBorders>
              <w:tl2br w:val="nil"/>
              <w:tr2bl w:val="nil"/>
            </w:tcBorders>
            <w:vAlign w:val="center"/>
          </w:tcPr>
          <w:p w14:paraId="6E844BAD">
            <w:pPr>
              <w:widowControl/>
              <w:spacing w:line="240" w:lineRule="auto"/>
              <w:jc w:val="left"/>
              <w:rPr>
                <w:rFonts w:eastAsia="宋体" w:cs="Times New Roman"/>
                <w:color w:val="000000"/>
                <w:kern w:val="0"/>
                <w:sz w:val="21"/>
                <w:szCs w:val="21"/>
              </w:rPr>
            </w:pPr>
          </w:p>
        </w:tc>
        <w:tc>
          <w:tcPr>
            <w:tcW w:w="2013" w:type="dxa"/>
            <w:tcBorders>
              <w:tl2br w:val="nil"/>
              <w:tr2bl w:val="nil"/>
            </w:tcBorders>
            <w:shd w:val="clear" w:color="auto" w:fill="auto"/>
            <w:vAlign w:val="center"/>
          </w:tcPr>
          <w:p w14:paraId="3EA9E647">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阀门内部泄漏</w:t>
            </w:r>
          </w:p>
        </w:tc>
        <w:tc>
          <w:tcPr>
            <w:tcW w:w="777" w:type="dxa"/>
            <w:vMerge w:val="continue"/>
            <w:tcBorders>
              <w:tl2br w:val="nil"/>
              <w:tr2bl w:val="nil"/>
            </w:tcBorders>
            <w:vAlign w:val="center"/>
          </w:tcPr>
          <w:p w14:paraId="21223D8B">
            <w:pPr>
              <w:widowControl/>
              <w:spacing w:line="240" w:lineRule="auto"/>
              <w:jc w:val="left"/>
              <w:rPr>
                <w:rFonts w:eastAsia="宋体" w:cs="Times New Roman"/>
                <w:color w:val="000000"/>
                <w:kern w:val="0"/>
                <w:sz w:val="21"/>
                <w:szCs w:val="21"/>
              </w:rPr>
            </w:pPr>
          </w:p>
        </w:tc>
        <w:tc>
          <w:tcPr>
            <w:tcW w:w="805" w:type="dxa"/>
            <w:tcBorders>
              <w:tl2br w:val="nil"/>
              <w:tr2bl w:val="nil"/>
            </w:tcBorders>
            <w:shd w:val="clear" w:color="auto" w:fill="auto"/>
            <w:noWrap/>
            <w:vAlign w:val="center"/>
          </w:tcPr>
          <w:p w14:paraId="77BFE2BD">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15</w:t>
            </w:r>
          </w:p>
        </w:tc>
        <w:tc>
          <w:tcPr>
            <w:tcW w:w="1609" w:type="dxa"/>
            <w:tcBorders>
              <w:tl2br w:val="nil"/>
              <w:tr2bl w:val="nil"/>
            </w:tcBorders>
            <w:shd w:val="clear" w:color="auto" w:fill="auto"/>
            <w:vAlign w:val="center"/>
          </w:tcPr>
          <w:p w14:paraId="3A64583F">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10</w:t>
            </w:r>
            <w:r>
              <w:rPr>
                <w:rFonts w:hint="eastAsia" w:eastAsia="宋体" w:cs="Times New Roman"/>
                <w:color w:val="000000"/>
                <w:kern w:val="0"/>
                <w:sz w:val="21"/>
                <w:szCs w:val="21"/>
              </w:rPr>
              <w:t>～</w:t>
            </w:r>
            <w:r>
              <w:rPr>
                <w:rFonts w:eastAsia="宋体" w:cs="Times New Roman"/>
                <w:color w:val="000000"/>
                <w:kern w:val="0"/>
                <w:sz w:val="21"/>
                <w:szCs w:val="21"/>
              </w:rPr>
              <w:t>15</w:t>
            </w:r>
          </w:p>
        </w:tc>
        <w:tc>
          <w:tcPr>
            <w:tcW w:w="1506" w:type="dxa"/>
            <w:tcBorders>
              <w:tl2br w:val="nil"/>
              <w:tr2bl w:val="nil"/>
            </w:tcBorders>
            <w:shd w:val="clear" w:color="auto" w:fill="auto"/>
            <w:vAlign w:val="center"/>
          </w:tcPr>
          <w:p w14:paraId="2FF56A4B">
            <w:pPr>
              <w:widowControl/>
              <w:spacing w:line="240" w:lineRule="auto"/>
              <w:jc w:val="center"/>
              <w:rPr>
                <w:rFonts w:hint="eastAsia" w:eastAsia="宋体" w:cs="Times New Roman"/>
                <w:color w:val="000000"/>
                <w:kern w:val="0"/>
                <w:sz w:val="21"/>
                <w:szCs w:val="21"/>
                <w:lang w:eastAsia="zh-CN"/>
              </w:rPr>
            </w:pPr>
            <w:r>
              <w:rPr>
                <w:rFonts w:eastAsia="宋体" w:cs="Times New Roman"/>
                <w:color w:val="000000"/>
                <w:kern w:val="0"/>
                <w:sz w:val="21"/>
                <w:szCs w:val="21"/>
              </w:rPr>
              <w:t>每季度查看，有无泄</w:t>
            </w:r>
            <w:r>
              <w:rPr>
                <w:rFonts w:hint="eastAsia" w:eastAsia="宋体" w:cs="Times New Roman"/>
                <w:color w:val="000000"/>
                <w:kern w:val="0"/>
                <w:sz w:val="21"/>
                <w:szCs w:val="21"/>
                <w:lang w:eastAsia="zh-CN"/>
              </w:rPr>
              <w:t>漏</w:t>
            </w:r>
          </w:p>
        </w:tc>
      </w:tr>
      <w:tr w14:paraId="16E47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14:paraId="7C043272">
            <w:pPr>
              <w:widowControl/>
              <w:spacing w:line="240" w:lineRule="auto"/>
              <w:jc w:val="left"/>
              <w:rPr>
                <w:rFonts w:eastAsia="宋体" w:cs="Times New Roman"/>
                <w:color w:val="000000"/>
                <w:kern w:val="0"/>
                <w:sz w:val="21"/>
                <w:szCs w:val="21"/>
              </w:rPr>
            </w:pPr>
          </w:p>
        </w:tc>
        <w:tc>
          <w:tcPr>
            <w:tcW w:w="1073" w:type="dxa"/>
            <w:vMerge w:val="continue"/>
            <w:tcBorders>
              <w:tl2br w:val="nil"/>
              <w:tr2bl w:val="nil"/>
            </w:tcBorders>
            <w:vAlign w:val="center"/>
          </w:tcPr>
          <w:p w14:paraId="179248D7">
            <w:pPr>
              <w:widowControl/>
              <w:spacing w:line="240" w:lineRule="auto"/>
              <w:jc w:val="left"/>
              <w:rPr>
                <w:rFonts w:eastAsia="宋体" w:cs="Times New Roman"/>
                <w:color w:val="000000"/>
                <w:kern w:val="0"/>
                <w:sz w:val="21"/>
                <w:szCs w:val="21"/>
              </w:rPr>
            </w:pPr>
          </w:p>
        </w:tc>
        <w:tc>
          <w:tcPr>
            <w:tcW w:w="2013" w:type="dxa"/>
            <w:tcBorders>
              <w:tl2br w:val="nil"/>
              <w:tr2bl w:val="nil"/>
            </w:tcBorders>
            <w:shd w:val="clear" w:color="auto" w:fill="auto"/>
            <w:vAlign w:val="center"/>
          </w:tcPr>
          <w:p w14:paraId="4B1EFBB7">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限位控制失效</w:t>
            </w:r>
          </w:p>
        </w:tc>
        <w:tc>
          <w:tcPr>
            <w:tcW w:w="777" w:type="dxa"/>
            <w:vMerge w:val="continue"/>
            <w:tcBorders>
              <w:tl2br w:val="nil"/>
              <w:tr2bl w:val="nil"/>
            </w:tcBorders>
            <w:vAlign w:val="center"/>
          </w:tcPr>
          <w:p w14:paraId="59B0BB8F">
            <w:pPr>
              <w:widowControl/>
              <w:spacing w:line="240" w:lineRule="auto"/>
              <w:jc w:val="left"/>
              <w:rPr>
                <w:rFonts w:eastAsia="宋体" w:cs="Times New Roman"/>
                <w:color w:val="000000"/>
                <w:kern w:val="0"/>
                <w:sz w:val="21"/>
                <w:szCs w:val="21"/>
              </w:rPr>
            </w:pPr>
          </w:p>
        </w:tc>
        <w:tc>
          <w:tcPr>
            <w:tcW w:w="805" w:type="dxa"/>
            <w:tcBorders>
              <w:tl2br w:val="nil"/>
              <w:tr2bl w:val="nil"/>
            </w:tcBorders>
            <w:shd w:val="clear" w:color="auto" w:fill="auto"/>
            <w:noWrap/>
            <w:vAlign w:val="center"/>
          </w:tcPr>
          <w:p w14:paraId="59D13C60">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15</w:t>
            </w:r>
          </w:p>
        </w:tc>
        <w:tc>
          <w:tcPr>
            <w:tcW w:w="1609" w:type="dxa"/>
            <w:tcBorders>
              <w:tl2br w:val="nil"/>
              <w:tr2bl w:val="nil"/>
            </w:tcBorders>
            <w:shd w:val="clear" w:color="auto" w:fill="auto"/>
            <w:vAlign w:val="center"/>
          </w:tcPr>
          <w:p w14:paraId="7B5448F1">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10</w:t>
            </w:r>
            <w:r>
              <w:rPr>
                <w:rFonts w:hint="eastAsia" w:eastAsia="宋体" w:cs="Times New Roman"/>
                <w:color w:val="000000"/>
                <w:kern w:val="0"/>
                <w:sz w:val="21"/>
                <w:szCs w:val="21"/>
              </w:rPr>
              <w:t>～</w:t>
            </w:r>
            <w:r>
              <w:rPr>
                <w:rFonts w:eastAsia="宋体" w:cs="Times New Roman"/>
                <w:color w:val="000000"/>
                <w:kern w:val="0"/>
                <w:sz w:val="21"/>
                <w:szCs w:val="21"/>
              </w:rPr>
              <w:t>15</w:t>
            </w:r>
          </w:p>
        </w:tc>
        <w:tc>
          <w:tcPr>
            <w:tcW w:w="1506" w:type="dxa"/>
            <w:tcBorders>
              <w:tl2br w:val="nil"/>
              <w:tr2bl w:val="nil"/>
            </w:tcBorders>
            <w:shd w:val="clear" w:color="auto" w:fill="auto"/>
            <w:vAlign w:val="center"/>
          </w:tcPr>
          <w:p w14:paraId="1988240A">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每季度查看，限位状态</w:t>
            </w:r>
          </w:p>
        </w:tc>
      </w:tr>
      <w:tr w14:paraId="38F10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14:paraId="028EE7E6">
            <w:pPr>
              <w:widowControl/>
              <w:spacing w:line="240" w:lineRule="auto"/>
              <w:jc w:val="left"/>
              <w:rPr>
                <w:rFonts w:eastAsia="宋体" w:cs="Times New Roman"/>
                <w:color w:val="000000"/>
                <w:kern w:val="0"/>
                <w:sz w:val="21"/>
                <w:szCs w:val="21"/>
              </w:rPr>
            </w:pPr>
          </w:p>
        </w:tc>
        <w:tc>
          <w:tcPr>
            <w:tcW w:w="1073" w:type="dxa"/>
            <w:vMerge w:val="continue"/>
            <w:tcBorders>
              <w:tl2br w:val="nil"/>
              <w:tr2bl w:val="nil"/>
            </w:tcBorders>
            <w:vAlign w:val="center"/>
          </w:tcPr>
          <w:p w14:paraId="4B193581">
            <w:pPr>
              <w:widowControl/>
              <w:spacing w:line="240" w:lineRule="auto"/>
              <w:jc w:val="left"/>
              <w:rPr>
                <w:rFonts w:eastAsia="宋体" w:cs="Times New Roman"/>
                <w:color w:val="000000"/>
                <w:kern w:val="0"/>
                <w:sz w:val="21"/>
                <w:szCs w:val="21"/>
              </w:rPr>
            </w:pPr>
          </w:p>
        </w:tc>
        <w:tc>
          <w:tcPr>
            <w:tcW w:w="2013" w:type="dxa"/>
            <w:tcBorders>
              <w:tl2br w:val="nil"/>
              <w:tr2bl w:val="nil"/>
            </w:tcBorders>
            <w:shd w:val="clear" w:color="auto" w:fill="auto"/>
            <w:vAlign w:val="center"/>
          </w:tcPr>
          <w:p w14:paraId="5F21E085">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阀门无法完全打开或完全关闭</w:t>
            </w:r>
          </w:p>
        </w:tc>
        <w:tc>
          <w:tcPr>
            <w:tcW w:w="777" w:type="dxa"/>
            <w:vMerge w:val="continue"/>
            <w:tcBorders>
              <w:tl2br w:val="nil"/>
              <w:tr2bl w:val="nil"/>
            </w:tcBorders>
            <w:vAlign w:val="center"/>
          </w:tcPr>
          <w:p w14:paraId="1612C739">
            <w:pPr>
              <w:widowControl/>
              <w:spacing w:line="240" w:lineRule="auto"/>
              <w:jc w:val="left"/>
              <w:rPr>
                <w:rFonts w:eastAsia="宋体" w:cs="Times New Roman"/>
                <w:color w:val="000000"/>
                <w:kern w:val="0"/>
                <w:sz w:val="21"/>
                <w:szCs w:val="21"/>
              </w:rPr>
            </w:pPr>
          </w:p>
        </w:tc>
        <w:tc>
          <w:tcPr>
            <w:tcW w:w="805" w:type="dxa"/>
            <w:tcBorders>
              <w:tl2br w:val="nil"/>
              <w:tr2bl w:val="nil"/>
            </w:tcBorders>
            <w:shd w:val="clear" w:color="auto" w:fill="auto"/>
            <w:noWrap/>
            <w:vAlign w:val="center"/>
          </w:tcPr>
          <w:p w14:paraId="270778A1">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10</w:t>
            </w:r>
          </w:p>
        </w:tc>
        <w:tc>
          <w:tcPr>
            <w:tcW w:w="1609" w:type="dxa"/>
            <w:tcBorders>
              <w:tl2br w:val="nil"/>
              <w:tr2bl w:val="nil"/>
            </w:tcBorders>
            <w:shd w:val="clear" w:color="auto" w:fill="auto"/>
          </w:tcPr>
          <w:p w14:paraId="528C54A6">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10</w:t>
            </w:r>
          </w:p>
        </w:tc>
        <w:tc>
          <w:tcPr>
            <w:tcW w:w="1506" w:type="dxa"/>
            <w:tcBorders>
              <w:tl2br w:val="nil"/>
              <w:tr2bl w:val="nil"/>
            </w:tcBorders>
            <w:shd w:val="clear" w:color="auto" w:fill="auto"/>
            <w:vAlign w:val="center"/>
          </w:tcPr>
          <w:p w14:paraId="5C1F47FD">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每月查看，设备运行情况</w:t>
            </w:r>
          </w:p>
        </w:tc>
      </w:tr>
      <w:tr w14:paraId="578A8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14:paraId="4DD90BD1">
            <w:pPr>
              <w:widowControl/>
              <w:spacing w:line="240" w:lineRule="auto"/>
              <w:jc w:val="left"/>
              <w:rPr>
                <w:rFonts w:eastAsia="宋体" w:cs="Times New Roman"/>
                <w:color w:val="000000"/>
                <w:kern w:val="0"/>
                <w:sz w:val="21"/>
                <w:szCs w:val="21"/>
              </w:rPr>
            </w:pPr>
          </w:p>
        </w:tc>
        <w:tc>
          <w:tcPr>
            <w:tcW w:w="1073" w:type="dxa"/>
            <w:vMerge w:val="restart"/>
            <w:tcBorders>
              <w:tl2br w:val="nil"/>
              <w:tr2bl w:val="nil"/>
            </w:tcBorders>
            <w:shd w:val="clear" w:color="auto" w:fill="auto"/>
            <w:vAlign w:val="center"/>
          </w:tcPr>
          <w:p w14:paraId="0830B3A7">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2类故障</w:t>
            </w:r>
          </w:p>
        </w:tc>
        <w:tc>
          <w:tcPr>
            <w:tcW w:w="2013" w:type="dxa"/>
            <w:tcBorders>
              <w:tl2br w:val="nil"/>
              <w:tr2bl w:val="nil"/>
            </w:tcBorders>
            <w:shd w:val="clear" w:color="auto" w:fill="auto"/>
            <w:vAlign w:val="center"/>
          </w:tcPr>
          <w:p w14:paraId="10E63BB5">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阀门手动装置失效</w:t>
            </w:r>
          </w:p>
        </w:tc>
        <w:tc>
          <w:tcPr>
            <w:tcW w:w="777" w:type="dxa"/>
            <w:vMerge w:val="restart"/>
            <w:tcBorders>
              <w:tl2br w:val="nil"/>
              <w:tr2bl w:val="nil"/>
            </w:tcBorders>
            <w:shd w:val="clear" w:color="auto" w:fill="auto"/>
            <w:vAlign w:val="center"/>
          </w:tcPr>
          <w:p w14:paraId="164AE794">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维修</w:t>
            </w:r>
          </w:p>
        </w:tc>
        <w:tc>
          <w:tcPr>
            <w:tcW w:w="805" w:type="dxa"/>
            <w:tcBorders>
              <w:tl2br w:val="nil"/>
              <w:tr2bl w:val="nil"/>
            </w:tcBorders>
            <w:shd w:val="clear" w:color="auto" w:fill="auto"/>
            <w:noWrap/>
            <w:vAlign w:val="center"/>
          </w:tcPr>
          <w:p w14:paraId="701C379F">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10</w:t>
            </w:r>
          </w:p>
        </w:tc>
        <w:tc>
          <w:tcPr>
            <w:tcW w:w="1609" w:type="dxa"/>
            <w:tcBorders>
              <w:tl2br w:val="nil"/>
              <w:tr2bl w:val="nil"/>
            </w:tcBorders>
            <w:shd w:val="clear" w:color="auto" w:fill="auto"/>
            <w:vAlign w:val="center"/>
          </w:tcPr>
          <w:p w14:paraId="2BC95B79">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w:t>
            </w:r>
            <w:r>
              <w:rPr>
                <w:rFonts w:hint="eastAsia" w:eastAsia="宋体" w:cs="Times New Roman"/>
                <w:color w:val="000000"/>
                <w:kern w:val="0"/>
                <w:sz w:val="21"/>
                <w:szCs w:val="21"/>
              </w:rPr>
              <w:t>～</w:t>
            </w:r>
            <w:r>
              <w:rPr>
                <w:rFonts w:eastAsia="宋体" w:cs="Times New Roman"/>
                <w:color w:val="000000"/>
                <w:kern w:val="0"/>
                <w:sz w:val="21"/>
                <w:szCs w:val="21"/>
              </w:rPr>
              <w:t>10</w:t>
            </w:r>
          </w:p>
        </w:tc>
        <w:tc>
          <w:tcPr>
            <w:tcW w:w="1506" w:type="dxa"/>
            <w:tcBorders>
              <w:tl2br w:val="nil"/>
              <w:tr2bl w:val="nil"/>
            </w:tcBorders>
            <w:shd w:val="clear" w:color="auto" w:fill="auto"/>
            <w:vAlign w:val="center"/>
          </w:tcPr>
          <w:p w14:paraId="5C26B7C9">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每周查看，设备运行情况</w:t>
            </w:r>
          </w:p>
        </w:tc>
      </w:tr>
      <w:tr w14:paraId="20F60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14:paraId="6AD3359F">
            <w:pPr>
              <w:widowControl/>
              <w:spacing w:line="240" w:lineRule="auto"/>
              <w:jc w:val="left"/>
              <w:rPr>
                <w:rFonts w:eastAsia="宋体" w:cs="Times New Roman"/>
                <w:color w:val="000000"/>
                <w:kern w:val="0"/>
                <w:sz w:val="21"/>
                <w:szCs w:val="21"/>
              </w:rPr>
            </w:pPr>
          </w:p>
        </w:tc>
        <w:tc>
          <w:tcPr>
            <w:tcW w:w="1073" w:type="dxa"/>
            <w:vMerge w:val="continue"/>
            <w:tcBorders>
              <w:tl2br w:val="nil"/>
              <w:tr2bl w:val="nil"/>
            </w:tcBorders>
            <w:vAlign w:val="center"/>
          </w:tcPr>
          <w:p w14:paraId="752F52F7">
            <w:pPr>
              <w:widowControl/>
              <w:spacing w:line="240" w:lineRule="auto"/>
              <w:jc w:val="left"/>
              <w:rPr>
                <w:rFonts w:eastAsia="宋体" w:cs="Times New Roman"/>
                <w:color w:val="000000"/>
                <w:kern w:val="0"/>
                <w:sz w:val="21"/>
                <w:szCs w:val="21"/>
              </w:rPr>
            </w:pPr>
          </w:p>
        </w:tc>
        <w:tc>
          <w:tcPr>
            <w:tcW w:w="2013" w:type="dxa"/>
            <w:tcBorders>
              <w:tl2br w:val="nil"/>
              <w:tr2bl w:val="nil"/>
            </w:tcBorders>
            <w:shd w:val="clear" w:color="auto" w:fill="auto"/>
            <w:vAlign w:val="center"/>
          </w:tcPr>
          <w:p w14:paraId="0F547DB0">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法兰连接处漏水</w:t>
            </w:r>
          </w:p>
        </w:tc>
        <w:tc>
          <w:tcPr>
            <w:tcW w:w="777" w:type="dxa"/>
            <w:vMerge w:val="continue"/>
            <w:tcBorders>
              <w:tl2br w:val="nil"/>
              <w:tr2bl w:val="nil"/>
            </w:tcBorders>
            <w:vAlign w:val="center"/>
          </w:tcPr>
          <w:p w14:paraId="4EEB22BD">
            <w:pPr>
              <w:widowControl/>
              <w:spacing w:line="240" w:lineRule="auto"/>
              <w:jc w:val="left"/>
              <w:rPr>
                <w:rFonts w:eastAsia="宋体" w:cs="Times New Roman"/>
                <w:color w:val="000000"/>
                <w:kern w:val="0"/>
                <w:sz w:val="21"/>
                <w:szCs w:val="21"/>
              </w:rPr>
            </w:pPr>
          </w:p>
        </w:tc>
        <w:tc>
          <w:tcPr>
            <w:tcW w:w="805" w:type="dxa"/>
            <w:tcBorders>
              <w:tl2br w:val="nil"/>
              <w:tr2bl w:val="nil"/>
            </w:tcBorders>
            <w:shd w:val="clear" w:color="auto" w:fill="auto"/>
            <w:noWrap/>
            <w:vAlign w:val="center"/>
          </w:tcPr>
          <w:p w14:paraId="544DEF27">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10</w:t>
            </w:r>
          </w:p>
        </w:tc>
        <w:tc>
          <w:tcPr>
            <w:tcW w:w="1609" w:type="dxa"/>
            <w:tcBorders>
              <w:tl2br w:val="nil"/>
              <w:tr2bl w:val="nil"/>
            </w:tcBorders>
            <w:shd w:val="clear" w:color="auto" w:fill="auto"/>
            <w:vAlign w:val="center"/>
          </w:tcPr>
          <w:p w14:paraId="479F180A">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w:t>
            </w:r>
            <w:r>
              <w:rPr>
                <w:rFonts w:hint="eastAsia" w:eastAsia="宋体" w:cs="Times New Roman"/>
                <w:color w:val="000000"/>
                <w:kern w:val="0"/>
                <w:sz w:val="21"/>
                <w:szCs w:val="21"/>
              </w:rPr>
              <w:t>～</w:t>
            </w:r>
            <w:r>
              <w:rPr>
                <w:rFonts w:eastAsia="宋体" w:cs="Times New Roman"/>
                <w:color w:val="000000"/>
                <w:kern w:val="0"/>
                <w:sz w:val="21"/>
                <w:szCs w:val="21"/>
              </w:rPr>
              <w:t>10</w:t>
            </w:r>
          </w:p>
        </w:tc>
        <w:tc>
          <w:tcPr>
            <w:tcW w:w="1506" w:type="dxa"/>
            <w:tcBorders>
              <w:tl2br w:val="nil"/>
              <w:tr2bl w:val="nil"/>
            </w:tcBorders>
            <w:shd w:val="clear" w:color="auto" w:fill="auto"/>
            <w:vAlign w:val="center"/>
          </w:tcPr>
          <w:p w14:paraId="2261E3F8">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每日查看，有无漏水</w:t>
            </w:r>
          </w:p>
        </w:tc>
      </w:tr>
    </w:tbl>
    <w:p w14:paraId="2385D79E">
      <w:pPr>
        <w:pStyle w:val="105"/>
      </w:pPr>
      <w:r>
        <w:rPr>
          <w:rFonts w:hint="eastAsia"/>
          <w:lang w:val="en-US" w:eastAsia="zh-CN"/>
        </w:rPr>
        <w:t>续</w:t>
      </w:r>
      <w:r>
        <w:t>表</w:t>
      </w:r>
      <w:r>
        <w:rPr>
          <w:rFonts w:hint="eastAsia"/>
        </w:rPr>
        <w:t>11.3.2-</w:t>
      </w:r>
      <w:r>
        <w:t>2</w:t>
      </w:r>
    </w:p>
    <w:tbl>
      <w:tblPr>
        <w:tblStyle w:val="29"/>
        <w:tblW w:w="861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73"/>
        <w:gridCol w:w="2013"/>
        <w:gridCol w:w="777"/>
        <w:gridCol w:w="805"/>
        <w:gridCol w:w="1609"/>
        <w:gridCol w:w="1506"/>
      </w:tblGrid>
      <w:tr w14:paraId="1D250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8" w:type="dxa"/>
            <w:tcBorders>
              <w:tl2br w:val="nil"/>
              <w:tr2bl w:val="nil"/>
            </w:tcBorders>
            <w:shd w:val="clear" w:color="auto" w:fill="auto"/>
            <w:vAlign w:val="center"/>
          </w:tcPr>
          <w:p w14:paraId="67873F5B">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名称</w:t>
            </w:r>
          </w:p>
        </w:tc>
        <w:tc>
          <w:tcPr>
            <w:tcW w:w="1073" w:type="dxa"/>
            <w:tcBorders>
              <w:tl2br w:val="nil"/>
              <w:tr2bl w:val="nil"/>
            </w:tcBorders>
            <w:shd w:val="clear" w:color="auto" w:fill="auto"/>
            <w:vAlign w:val="center"/>
          </w:tcPr>
          <w:p w14:paraId="2A91E341">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评分类别</w:t>
            </w:r>
          </w:p>
        </w:tc>
        <w:tc>
          <w:tcPr>
            <w:tcW w:w="2013" w:type="dxa"/>
            <w:tcBorders>
              <w:tl2br w:val="nil"/>
              <w:tr2bl w:val="nil"/>
            </w:tcBorders>
            <w:shd w:val="clear" w:color="auto" w:fill="auto"/>
            <w:vAlign w:val="center"/>
          </w:tcPr>
          <w:p w14:paraId="11F574A2">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缺陷（故障</w:t>
            </w:r>
            <w:r>
              <w:rPr>
                <w:rFonts w:hint="eastAsia" w:eastAsia="宋体" w:cs="Times New Roman"/>
                <w:color w:val="000000"/>
                <w:kern w:val="0"/>
                <w:sz w:val="21"/>
                <w:szCs w:val="21"/>
              </w:rPr>
              <w:t>）描述</w:t>
            </w:r>
          </w:p>
        </w:tc>
        <w:tc>
          <w:tcPr>
            <w:tcW w:w="777" w:type="dxa"/>
            <w:tcBorders>
              <w:tl2br w:val="nil"/>
              <w:tr2bl w:val="nil"/>
            </w:tcBorders>
            <w:shd w:val="clear" w:color="auto" w:fill="auto"/>
            <w:noWrap/>
            <w:vAlign w:val="center"/>
          </w:tcPr>
          <w:p w14:paraId="4DD32B44">
            <w:pPr>
              <w:widowControl/>
              <w:spacing w:line="240" w:lineRule="auto"/>
              <w:jc w:val="center"/>
              <w:rPr>
                <w:rFonts w:eastAsia="宋体" w:cs="Times New Roman"/>
                <w:kern w:val="0"/>
                <w:sz w:val="21"/>
                <w:szCs w:val="21"/>
              </w:rPr>
            </w:pPr>
            <w:r>
              <w:rPr>
                <w:rFonts w:eastAsia="宋体" w:cs="Times New Roman"/>
                <w:kern w:val="0"/>
                <w:sz w:val="21"/>
                <w:szCs w:val="21"/>
              </w:rPr>
              <w:t>维修级别</w:t>
            </w:r>
          </w:p>
        </w:tc>
        <w:tc>
          <w:tcPr>
            <w:tcW w:w="2414" w:type="dxa"/>
            <w:gridSpan w:val="2"/>
            <w:tcBorders>
              <w:tl2br w:val="nil"/>
              <w:tr2bl w:val="nil"/>
            </w:tcBorders>
            <w:shd w:val="clear" w:color="auto" w:fill="auto"/>
            <w:noWrap/>
            <w:vAlign w:val="center"/>
          </w:tcPr>
          <w:p w14:paraId="3CCA0CF4">
            <w:pPr>
              <w:widowControl/>
              <w:spacing w:line="240" w:lineRule="auto"/>
              <w:jc w:val="center"/>
              <w:rPr>
                <w:rFonts w:cs="Times New Roman"/>
                <w:color w:val="000000"/>
                <w:kern w:val="0"/>
                <w:sz w:val="21"/>
                <w:szCs w:val="21"/>
              </w:rPr>
            </w:pPr>
            <w:r>
              <w:rPr>
                <w:rFonts w:eastAsia="宋体" w:cs="Times New Roman"/>
                <w:color w:val="000000"/>
                <w:kern w:val="0"/>
                <w:sz w:val="21"/>
                <w:szCs w:val="21"/>
              </w:rPr>
              <w:t>分值</w:t>
            </w:r>
            <w:r>
              <w:rPr>
                <w:rFonts w:hint="eastAsia" w:eastAsia="宋体" w:cs="Times New Roman"/>
                <w:color w:val="000000"/>
                <w:kern w:val="0"/>
                <w:sz w:val="21"/>
                <w:szCs w:val="21"/>
              </w:rPr>
              <w:t>（</w:t>
            </w:r>
            <w:r>
              <w:rPr>
                <w:rFonts w:cs="Times New Roman"/>
                <w:i/>
                <w:iCs/>
              </w:rPr>
              <w:t>P</w:t>
            </w:r>
            <w:r>
              <w:rPr>
                <w:rFonts w:cs="Times New Roman"/>
                <w:vertAlign w:val="subscript"/>
              </w:rPr>
              <w:t>b</w:t>
            </w:r>
            <w:r>
              <w:rPr>
                <w:rFonts w:hint="eastAsia" w:cs="Times New Roman"/>
              </w:rPr>
              <w:t>）</w:t>
            </w:r>
          </w:p>
        </w:tc>
        <w:tc>
          <w:tcPr>
            <w:tcW w:w="1506" w:type="dxa"/>
            <w:tcBorders>
              <w:tl2br w:val="nil"/>
              <w:tr2bl w:val="nil"/>
            </w:tcBorders>
            <w:shd w:val="clear" w:color="auto" w:fill="auto"/>
            <w:vAlign w:val="center"/>
          </w:tcPr>
          <w:p w14:paraId="31C2BB53">
            <w:pPr>
              <w:widowControl/>
              <w:spacing w:line="240" w:lineRule="auto"/>
              <w:jc w:val="center"/>
              <w:rPr>
                <w:rFonts w:eastAsia="宋体" w:cs="Times New Roman"/>
                <w:kern w:val="0"/>
                <w:sz w:val="21"/>
                <w:szCs w:val="21"/>
              </w:rPr>
            </w:pPr>
            <w:r>
              <w:rPr>
                <w:rFonts w:eastAsia="宋体" w:cs="Times New Roman"/>
                <w:kern w:val="0"/>
                <w:sz w:val="21"/>
                <w:szCs w:val="21"/>
              </w:rPr>
              <w:t>保养检查周期</w:t>
            </w:r>
          </w:p>
        </w:tc>
      </w:tr>
      <w:tr w14:paraId="05E77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restart"/>
            <w:tcBorders>
              <w:tl2br w:val="nil"/>
              <w:tr2bl w:val="nil"/>
            </w:tcBorders>
            <w:vAlign w:val="center"/>
          </w:tcPr>
          <w:p w14:paraId="70052F47">
            <w:pPr>
              <w:widowControl/>
              <w:spacing w:line="240" w:lineRule="auto"/>
              <w:jc w:val="left"/>
              <w:rPr>
                <w:rFonts w:eastAsia="宋体" w:cs="Times New Roman"/>
                <w:color w:val="000000"/>
                <w:kern w:val="0"/>
                <w:sz w:val="21"/>
                <w:szCs w:val="21"/>
              </w:rPr>
            </w:pPr>
          </w:p>
        </w:tc>
        <w:tc>
          <w:tcPr>
            <w:tcW w:w="1073" w:type="dxa"/>
            <w:vMerge w:val="restart"/>
            <w:tcBorders>
              <w:tl2br w:val="nil"/>
              <w:tr2bl w:val="nil"/>
            </w:tcBorders>
            <w:shd w:val="clear" w:color="auto" w:fill="auto"/>
            <w:vAlign w:val="center"/>
          </w:tcPr>
          <w:p w14:paraId="26AB15E1">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3类故障</w:t>
            </w:r>
          </w:p>
        </w:tc>
        <w:tc>
          <w:tcPr>
            <w:tcW w:w="2013" w:type="dxa"/>
            <w:tcBorders>
              <w:tl2br w:val="nil"/>
              <w:tr2bl w:val="nil"/>
            </w:tcBorders>
            <w:shd w:val="clear" w:color="auto" w:fill="auto"/>
            <w:vAlign w:val="center"/>
          </w:tcPr>
          <w:p w14:paraId="3D408627">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壳体锈蚀，油漆脱落</w:t>
            </w:r>
          </w:p>
        </w:tc>
        <w:tc>
          <w:tcPr>
            <w:tcW w:w="777" w:type="dxa"/>
            <w:vMerge w:val="restart"/>
            <w:tcBorders>
              <w:tl2br w:val="nil"/>
              <w:tr2bl w:val="nil"/>
            </w:tcBorders>
            <w:shd w:val="clear" w:color="auto" w:fill="auto"/>
            <w:vAlign w:val="center"/>
          </w:tcPr>
          <w:p w14:paraId="27292544">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计划维修</w:t>
            </w:r>
          </w:p>
        </w:tc>
        <w:tc>
          <w:tcPr>
            <w:tcW w:w="805" w:type="dxa"/>
            <w:tcBorders>
              <w:tl2br w:val="nil"/>
              <w:tr2bl w:val="nil"/>
            </w:tcBorders>
            <w:shd w:val="clear" w:color="auto" w:fill="auto"/>
            <w:noWrap/>
            <w:vAlign w:val="center"/>
          </w:tcPr>
          <w:p w14:paraId="33360C4D">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5</w:t>
            </w:r>
          </w:p>
        </w:tc>
        <w:tc>
          <w:tcPr>
            <w:tcW w:w="1609" w:type="dxa"/>
            <w:tcBorders>
              <w:tl2br w:val="nil"/>
              <w:tr2bl w:val="nil"/>
            </w:tcBorders>
            <w:shd w:val="clear" w:color="auto" w:fill="auto"/>
            <w:vAlign w:val="center"/>
          </w:tcPr>
          <w:p w14:paraId="73BF0D99">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w:t>
            </w:r>
            <w:r>
              <w:rPr>
                <w:rFonts w:hint="eastAsia" w:eastAsia="宋体" w:cs="Times New Roman"/>
                <w:color w:val="000000"/>
                <w:kern w:val="0"/>
                <w:sz w:val="21"/>
                <w:szCs w:val="21"/>
              </w:rPr>
              <w:t>～</w:t>
            </w:r>
            <w:r>
              <w:rPr>
                <w:rFonts w:eastAsia="宋体" w:cs="Times New Roman"/>
                <w:color w:val="000000"/>
                <w:kern w:val="0"/>
                <w:sz w:val="21"/>
                <w:szCs w:val="21"/>
              </w:rPr>
              <w:t>5</w:t>
            </w:r>
          </w:p>
        </w:tc>
        <w:tc>
          <w:tcPr>
            <w:tcW w:w="1506" w:type="dxa"/>
            <w:tcBorders>
              <w:tl2br w:val="nil"/>
              <w:tr2bl w:val="nil"/>
            </w:tcBorders>
            <w:shd w:val="clear" w:color="auto" w:fill="auto"/>
            <w:vAlign w:val="center"/>
          </w:tcPr>
          <w:p w14:paraId="6B574862">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季度检查，外壳防腐情况</w:t>
            </w:r>
          </w:p>
        </w:tc>
      </w:tr>
      <w:tr w14:paraId="0E71F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14:paraId="4047EBF4">
            <w:pPr>
              <w:widowControl/>
              <w:spacing w:line="240" w:lineRule="auto"/>
              <w:jc w:val="left"/>
              <w:rPr>
                <w:rFonts w:eastAsia="宋体" w:cs="Times New Roman"/>
                <w:color w:val="000000"/>
                <w:kern w:val="0"/>
                <w:sz w:val="21"/>
                <w:szCs w:val="21"/>
              </w:rPr>
            </w:pPr>
          </w:p>
        </w:tc>
        <w:tc>
          <w:tcPr>
            <w:tcW w:w="1073" w:type="dxa"/>
            <w:vMerge w:val="continue"/>
            <w:tcBorders>
              <w:tl2br w:val="nil"/>
              <w:tr2bl w:val="nil"/>
            </w:tcBorders>
            <w:vAlign w:val="center"/>
          </w:tcPr>
          <w:p w14:paraId="7DD31EA8">
            <w:pPr>
              <w:widowControl/>
              <w:spacing w:line="240" w:lineRule="auto"/>
              <w:jc w:val="left"/>
              <w:rPr>
                <w:rFonts w:eastAsia="宋体" w:cs="Times New Roman"/>
                <w:color w:val="000000"/>
                <w:kern w:val="0"/>
                <w:sz w:val="21"/>
                <w:szCs w:val="21"/>
              </w:rPr>
            </w:pPr>
          </w:p>
        </w:tc>
        <w:tc>
          <w:tcPr>
            <w:tcW w:w="2013" w:type="dxa"/>
            <w:tcBorders>
              <w:tl2br w:val="nil"/>
              <w:tr2bl w:val="nil"/>
            </w:tcBorders>
            <w:shd w:val="clear" w:color="auto" w:fill="auto"/>
            <w:vAlign w:val="center"/>
          </w:tcPr>
          <w:p w14:paraId="44C9A619">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指示牌不清晰</w:t>
            </w:r>
          </w:p>
        </w:tc>
        <w:tc>
          <w:tcPr>
            <w:tcW w:w="777" w:type="dxa"/>
            <w:vMerge w:val="continue"/>
            <w:tcBorders>
              <w:tl2br w:val="nil"/>
              <w:tr2bl w:val="nil"/>
            </w:tcBorders>
            <w:vAlign w:val="center"/>
          </w:tcPr>
          <w:p w14:paraId="006A4BCA">
            <w:pPr>
              <w:widowControl/>
              <w:spacing w:line="240" w:lineRule="auto"/>
              <w:jc w:val="left"/>
              <w:rPr>
                <w:rFonts w:eastAsia="宋体" w:cs="Times New Roman"/>
                <w:color w:val="000000"/>
                <w:kern w:val="0"/>
                <w:sz w:val="21"/>
                <w:szCs w:val="21"/>
              </w:rPr>
            </w:pPr>
          </w:p>
        </w:tc>
        <w:tc>
          <w:tcPr>
            <w:tcW w:w="805" w:type="dxa"/>
            <w:tcBorders>
              <w:tl2br w:val="nil"/>
              <w:tr2bl w:val="nil"/>
            </w:tcBorders>
            <w:shd w:val="clear" w:color="auto" w:fill="auto"/>
            <w:noWrap/>
            <w:vAlign w:val="center"/>
          </w:tcPr>
          <w:p w14:paraId="2BA2C203">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5</w:t>
            </w:r>
          </w:p>
        </w:tc>
        <w:tc>
          <w:tcPr>
            <w:tcW w:w="1609" w:type="dxa"/>
            <w:tcBorders>
              <w:tl2br w:val="nil"/>
              <w:tr2bl w:val="nil"/>
            </w:tcBorders>
            <w:shd w:val="clear" w:color="auto" w:fill="auto"/>
            <w:vAlign w:val="center"/>
          </w:tcPr>
          <w:p w14:paraId="725902C6">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w:t>
            </w:r>
            <w:r>
              <w:rPr>
                <w:rFonts w:eastAsia="宋体" w:cs="Times New Roman"/>
                <w:color w:val="000000"/>
                <w:kern w:val="0"/>
                <w:sz w:val="21"/>
                <w:szCs w:val="21"/>
              </w:rPr>
              <w:t>5</w:t>
            </w:r>
          </w:p>
        </w:tc>
        <w:tc>
          <w:tcPr>
            <w:tcW w:w="1506" w:type="dxa"/>
            <w:tcBorders>
              <w:tl2br w:val="nil"/>
              <w:tr2bl w:val="nil"/>
            </w:tcBorders>
            <w:shd w:val="clear" w:color="auto" w:fill="auto"/>
            <w:vAlign w:val="center"/>
          </w:tcPr>
          <w:p w14:paraId="6545B6FD">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季度检查，标识情况</w:t>
            </w:r>
          </w:p>
        </w:tc>
      </w:tr>
      <w:tr w14:paraId="38659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14:paraId="247C2D40">
            <w:pPr>
              <w:widowControl/>
              <w:spacing w:line="240" w:lineRule="auto"/>
              <w:jc w:val="left"/>
              <w:rPr>
                <w:rFonts w:eastAsia="宋体" w:cs="Times New Roman"/>
                <w:color w:val="000000"/>
                <w:kern w:val="0"/>
                <w:sz w:val="21"/>
                <w:szCs w:val="21"/>
              </w:rPr>
            </w:pPr>
          </w:p>
        </w:tc>
        <w:tc>
          <w:tcPr>
            <w:tcW w:w="1073" w:type="dxa"/>
            <w:vMerge w:val="restart"/>
            <w:tcBorders>
              <w:tl2br w:val="nil"/>
              <w:tr2bl w:val="nil"/>
            </w:tcBorders>
            <w:shd w:val="clear" w:color="auto" w:fill="auto"/>
            <w:vAlign w:val="center"/>
          </w:tcPr>
          <w:p w14:paraId="318A0E08">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工作</w:t>
            </w:r>
            <w:r>
              <w:rPr>
                <w:rFonts w:eastAsia="宋体" w:cs="Times New Roman"/>
                <w:color w:val="000000"/>
                <w:kern w:val="0"/>
                <w:sz w:val="21"/>
                <w:szCs w:val="21"/>
              </w:rPr>
              <w:t>年限</w:t>
            </w:r>
          </w:p>
        </w:tc>
        <w:tc>
          <w:tcPr>
            <w:tcW w:w="2013" w:type="dxa"/>
            <w:tcBorders>
              <w:tl2br w:val="nil"/>
              <w:tr2bl w:val="nil"/>
            </w:tcBorders>
            <w:shd w:val="clear" w:color="auto" w:fill="auto"/>
            <w:vAlign w:val="center"/>
          </w:tcPr>
          <w:p w14:paraId="54C1AC4A">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lang w:eastAsia="zh-CN"/>
              </w:rPr>
              <w:t>年</w:t>
            </w:r>
            <w:r>
              <w:rPr>
                <w:rFonts w:hint="eastAsia" w:eastAsia="宋体" w:cs="Times New Roman"/>
                <w:color w:val="000000"/>
                <w:kern w:val="0"/>
                <w:sz w:val="21"/>
                <w:szCs w:val="21"/>
              </w:rPr>
              <w:t>～</w:t>
            </w:r>
            <w:r>
              <w:rPr>
                <w:rFonts w:eastAsia="宋体" w:cs="Times New Roman"/>
                <w:color w:val="000000"/>
                <w:kern w:val="0"/>
                <w:sz w:val="21"/>
                <w:szCs w:val="21"/>
              </w:rPr>
              <w:t>3年</w:t>
            </w:r>
          </w:p>
        </w:tc>
        <w:tc>
          <w:tcPr>
            <w:tcW w:w="777" w:type="dxa"/>
            <w:vMerge w:val="restart"/>
            <w:tcBorders>
              <w:tl2br w:val="nil"/>
              <w:tr2bl w:val="nil"/>
            </w:tcBorders>
            <w:shd w:val="clear" w:color="auto" w:fill="auto"/>
            <w:vAlign w:val="center"/>
          </w:tcPr>
          <w:p w14:paraId="65CE56D6">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lang w:val="en-US" w:eastAsia="zh-CN"/>
              </w:rPr>
              <w:t>—</w:t>
            </w:r>
          </w:p>
        </w:tc>
        <w:tc>
          <w:tcPr>
            <w:tcW w:w="805" w:type="dxa"/>
            <w:vMerge w:val="restart"/>
            <w:tcBorders>
              <w:tl2br w:val="nil"/>
              <w:tr2bl w:val="nil"/>
            </w:tcBorders>
            <w:shd w:val="clear" w:color="auto" w:fill="auto"/>
            <w:noWrap/>
            <w:vAlign w:val="center"/>
          </w:tcPr>
          <w:p w14:paraId="5F654397">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15</w:t>
            </w:r>
          </w:p>
        </w:tc>
        <w:tc>
          <w:tcPr>
            <w:tcW w:w="1609" w:type="dxa"/>
            <w:tcBorders>
              <w:tl2br w:val="nil"/>
              <w:tr2bl w:val="nil"/>
            </w:tcBorders>
            <w:shd w:val="clear" w:color="auto" w:fill="auto"/>
            <w:vAlign w:val="center"/>
          </w:tcPr>
          <w:p w14:paraId="1CC271B7">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0～2</w:t>
            </w:r>
          </w:p>
        </w:tc>
        <w:tc>
          <w:tcPr>
            <w:tcW w:w="1506" w:type="dxa"/>
            <w:vMerge w:val="restart"/>
            <w:tcBorders>
              <w:tl2br w:val="nil"/>
              <w:tr2bl w:val="nil"/>
            </w:tcBorders>
            <w:shd w:val="clear" w:color="auto" w:fill="auto"/>
            <w:vAlign w:val="center"/>
          </w:tcPr>
          <w:p w14:paraId="20EE6926">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lang w:val="en-US" w:eastAsia="zh-CN"/>
              </w:rPr>
              <w:t>—</w:t>
            </w:r>
          </w:p>
        </w:tc>
      </w:tr>
      <w:tr w14:paraId="3209A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14:paraId="3DC31FDA">
            <w:pPr>
              <w:widowControl/>
              <w:spacing w:line="240" w:lineRule="auto"/>
              <w:jc w:val="left"/>
              <w:rPr>
                <w:rFonts w:eastAsia="宋体" w:cs="Times New Roman"/>
                <w:color w:val="000000"/>
                <w:kern w:val="0"/>
                <w:sz w:val="21"/>
                <w:szCs w:val="21"/>
              </w:rPr>
            </w:pPr>
          </w:p>
        </w:tc>
        <w:tc>
          <w:tcPr>
            <w:tcW w:w="1073" w:type="dxa"/>
            <w:vMerge w:val="continue"/>
            <w:tcBorders>
              <w:tl2br w:val="nil"/>
              <w:tr2bl w:val="nil"/>
            </w:tcBorders>
            <w:vAlign w:val="center"/>
          </w:tcPr>
          <w:p w14:paraId="7217AAA1">
            <w:pPr>
              <w:widowControl/>
              <w:spacing w:line="240" w:lineRule="auto"/>
              <w:jc w:val="left"/>
              <w:rPr>
                <w:rFonts w:eastAsia="宋体" w:cs="Times New Roman"/>
                <w:color w:val="000000"/>
                <w:kern w:val="0"/>
                <w:sz w:val="21"/>
                <w:szCs w:val="21"/>
              </w:rPr>
            </w:pPr>
          </w:p>
        </w:tc>
        <w:tc>
          <w:tcPr>
            <w:tcW w:w="2013" w:type="dxa"/>
            <w:tcBorders>
              <w:tl2br w:val="nil"/>
              <w:tr2bl w:val="nil"/>
            </w:tcBorders>
            <w:shd w:val="clear" w:color="auto" w:fill="auto"/>
            <w:vAlign w:val="center"/>
          </w:tcPr>
          <w:p w14:paraId="0D3A4C6A">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4</w:t>
            </w:r>
            <w:r>
              <w:rPr>
                <w:rFonts w:hint="eastAsia" w:eastAsia="宋体" w:cs="Times New Roman"/>
                <w:color w:val="000000"/>
                <w:kern w:val="0"/>
                <w:sz w:val="21"/>
                <w:szCs w:val="21"/>
                <w:lang w:eastAsia="zh-CN"/>
              </w:rPr>
              <w:t>年</w:t>
            </w:r>
            <w:r>
              <w:rPr>
                <w:rFonts w:hint="eastAsia" w:eastAsia="宋体" w:cs="Times New Roman"/>
                <w:color w:val="000000"/>
                <w:kern w:val="0"/>
                <w:sz w:val="21"/>
                <w:szCs w:val="21"/>
              </w:rPr>
              <w:t>～</w:t>
            </w:r>
            <w:r>
              <w:rPr>
                <w:rFonts w:eastAsia="宋体" w:cs="Times New Roman"/>
                <w:color w:val="000000"/>
                <w:kern w:val="0"/>
                <w:sz w:val="21"/>
                <w:szCs w:val="21"/>
              </w:rPr>
              <w:t>6年</w:t>
            </w:r>
          </w:p>
        </w:tc>
        <w:tc>
          <w:tcPr>
            <w:tcW w:w="777" w:type="dxa"/>
            <w:vMerge w:val="continue"/>
            <w:tcBorders>
              <w:tl2br w:val="nil"/>
              <w:tr2bl w:val="nil"/>
            </w:tcBorders>
            <w:vAlign w:val="center"/>
          </w:tcPr>
          <w:p w14:paraId="52C053DC">
            <w:pPr>
              <w:widowControl/>
              <w:spacing w:line="240" w:lineRule="auto"/>
              <w:jc w:val="left"/>
              <w:rPr>
                <w:rFonts w:eastAsia="宋体" w:cs="Times New Roman"/>
                <w:color w:val="000000"/>
                <w:kern w:val="0"/>
                <w:sz w:val="21"/>
                <w:szCs w:val="21"/>
              </w:rPr>
            </w:pPr>
          </w:p>
        </w:tc>
        <w:tc>
          <w:tcPr>
            <w:tcW w:w="805" w:type="dxa"/>
            <w:vMerge w:val="continue"/>
            <w:tcBorders>
              <w:tl2br w:val="nil"/>
              <w:tr2bl w:val="nil"/>
            </w:tcBorders>
            <w:shd w:val="clear" w:color="auto" w:fill="auto"/>
            <w:noWrap/>
            <w:vAlign w:val="center"/>
          </w:tcPr>
          <w:p w14:paraId="548943A4">
            <w:pPr>
              <w:widowControl/>
              <w:spacing w:line="240" w:lineRule="auto"/>
              <w:jc w:val="left"/>
              <w:rPr>
                <w:rFonts w:eastAsia="宋体" w:cs="Times New Roman"/>
                <w:color w:val="000000"/>
                <w:kern w:val="0"/>
                <w:sz w:val="21"/>
                <w:szCs w:val="21"/>
              </w:rPr>
            </w:pPr>
          </w:p>
        </w:tc>
        <w:tc>
          <w:tcPr>
            <w:tcW w:w="1609" w:type="dxa"/>
            <w:tcBorders>
              <w:tl2br w:val="nil"/>
              <w:tr2bl w:val="nil"/>
            </w:tcBorders>
            <w:vAlign w:val="center"/>
          </w:tcPr>
          <w:p w14:paraId="520A4036">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4～8</w:t>
            </w:r>
          </w:p>
        </w:tc>
        <w:tc>
          <w:tcPr>
            <w:tcW w:w="1506" w:type="dxa"/>
            <w:vMerge w:val="continue"/>
            <w:tcBorders>
              <w:tl2br w:val="nil"/>
              <w:tr2bl w:val="nil"/>
            </w:tcBorders>
            <w:vAlign w:val="center"/>
          </w:tcPr>
          <w:p w14:paraId="74D51CAF">
            <w:pPr>
              <w:widowControl/>
              <w:spacing w:line="240" w:lineRule="auto"/>
              <w:jc w:val="left"/>
              <w:rPr>
                <w:rFonts w:eastAsia="宋体" w:cs="Times New Roman"/>
                <w:color w:val="000000"/>
                <w:kern w:val="0"/>
                <w:sz w:val="21"/>
                <w:szCs w:val="21"/>
              </w:rPr>
            </w:pPr>
          </w:p>
        </w:tc>
      </w:tr>
      <w:tr w14:paraId="577A6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14:paraId="6F260922">
            <w:pPr>
              <w:widowControl/>
              <w:spacing w:line="240" w:lineRule="auto"/>
              <w:jc w:val="left"/>
              <w:rPr>
                <w:rFonts w:eastAsia="宋体" w:cs="Times New Roman"/>
                <w:color w:val="000000"/>
                <w:kern w:val="0"/>
                <w:sz w:val="21"/>
                <w:szCs w:val="21"/>
              </w:rPr>
            </w:pPr>
          </w:p>
        </w:tc>
        <w:tc>
          <w:tcPr>
            <w:tcW w:w="1073" w:type="dxa"/>
            <w:vMerge w:val="continue"/>
            <w:tcBorders>
              <w:tl2br w:val="nil"/>
              <w:tr2bl w:val="nil"/>
            </w:tcBorders>
            <w:vAlign w:val="center"/>
          </w:tcPr>
          <w:p w14:paraId="3CB10E52">
            <w:pPr>
              <w:widowControl/>
              <w:spacing w:line="240" w:lineRule="auto"/>
              <w:jc w:val="left"/>
              <w:rPr>
                <w:rFonts w:eastAsia="宋体" w:cs="Times New Roman"/>
                <w:color w:val="000000"/>
                <w:kern w:val="0"/>
                <w:sz w:val="21"/>
                <w:szCs w:val="21"/>
              </w:rPr>
            </w:pPr>
          </w:p>
        </w:tc>
        <w:tc>
          <w:tcPr>
            <w:tcW w:w="2013" w:type="dxa"/>
            <w:tcBorders>
              <w:tl2br w:val="nil"/>
              <w:tr2bl w:val="nil"/>
            </w:tcBorders>
            <w:shd w:val="clear" w:color="auto" w:fill="auto"/>
            <w:vAlign w:val="center"/>
          </w:tcPr>
          <w:p w14:paraId="5CC120D1">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7</w:t>
            </w:r>
            <w:r>
              <w:rPr>
                <w:rFonts w:hint="eastAsia" w:eastAsia="宋体" w:cs="Times New Roman"/>
                <w:color w:val="000000"/>
                <w:kern w:val="0"/>
                <w:sz w:val="21"/>
                <w:szCs w:val="21"/>
                <w:lang w:eastAsia="zh-CN"/>
              </w:rPr>
              <w:t>年</w:t>
            </w:r>
            <w:r>
              <w:rPr>
                <w:rFonts w:hint="eastAsia" w:eastAsia="宋体" w:cs="Times New Roman"/>
                <w:color w:val="000000"/>
                <w:kern w:val="0"/>
                <w:sz w:val="21"/>
                <w:szCs w:val="21"/>
              </w:rPr>
              <w:t>～</w:t>
            </w:r>
            <w:r>
              <w:rPr>
                <w:rFonts w:eastAsia="宋体" w:cs="Times New Roman"/>
                <w:color w:val="000000"/>
                <w:kern w:val="0"/>
                <w:sz w:val="21"/>
                <w:szCs w:val="21"/>
              </w:rPr>
              <w:t>9年</w:t>
            </w:r>
          </w:p>
        </w:tc>
        <w:tc>
          <w:tcPr>
            <w:tcW w:w="777" w:type="dxa"/>
            <w:vMerge w:val="continue"/>
            <w:tcBorders>
              <w:tl2br w:val="nil"/>
              <w:tr2bl w:val="nil"/>
            </w:tcBorders>
            <w:vAlign w:val="center"/>
          </w:tcPr>
          <w:p w14:paraId="5D2932BF">
            <w:pPr>
              <w:widowControl/>
              <w:spacing w:line="240" w:lineRule="auto"/>
              <w:jc w:val="left"/>
              <w:rPr>
                <w:rFonts w:eastAsia="宋体" w:cs="Times New Roman"/>
                <w:color w:val="000000"/>
                <w:kern w:val="0"/>
                <w:sz w:val="21"/>
                <w:szCs w:val="21"/>
              </w:rPr>
            </w:pPr>
          </w:p>
        </w:tc>
        <w:tc>
          <w:tcPr>
            <w:tcW w:w="805" w:type="dxa"/>
            <w:vMerge w:val="continue"/>
            <w:tcBorders>
              <w:tl2br w:val="nil"/>
              <w:tr2bl w:val="nil"/>
            </w:tcBorders>
            <w:shd w:val="clear" w:color="auto" w:fill="auto"/>
            <w:noWrap/>
            <w:vAlign w:val="center"/>
          </w:tcPr>
          <w:p w14:paraId="6306C8FF">
            <w:pPr>
              <w:widowControl/>
              <w:spacing w:line="240" w:lineRule="auto"/>
              <w:jc w:val="left"/>
              <w:rPr>
                <w:rFonts w:eastAsia="宋体" w:cs="Times New Roman"/>
                <w:color w:val="000000"/>
                <w:kern w:val="0"/>
                <w:sz w:val="21"/>
                <w:szCs w:val="21"/>
              </w:rPr>
            </w:pPr>
          </w:p>
        </w:tc>
        <w:tc>
          <w:tcPr>
            <w:tcW w:w="1609" w:type="dxa"/>
            <w:tcBorders>
              <w:tl2br w:val="nil"/>
              <w:tr2bl w:val="nil"/>
            </w:tcBorders>
            <w:vAlign w:val="center"/>
          </w:tcPr>
          <w:p w14:paraId="0336BA86">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10～12</w:t>
            </w:r>
          </w:p>
        </w:tc>
        <w:tc>
          <w:tcPr>
            <w:tcW w:w="1506" w:type="dxa"/>
            <w:vMerge w:val="continue"/>
            <w:tcBorders>
              <w:tl2br w:val="nil"/>
              <w:tr2bl w:val="nil"/>
            </w:tcBorders>
            <w:vAlign w:val="center"/>
          </w:tcPr>
          <w:p w14:paraId="5FB9B32A">
            <w:pPr>
              <w:widowControl/>
              <w:spacing w:line="240" w:lineRule="auto"/>
              <w:jc w:val="left"/>
              <w:rPr>
                <w:rFonts w:eastAsia="宋体" w:cs="Times New Roman"/>
                <w:color w:val="000000"/>
                <w:kern w:val="0"/>
                <w:sz w:val="21"/>
                <w:szCs w:val="21"/>
              </w:rPr>
            </w:pPr>
          </w:p>
        </w:tc>
      </w:tr>
      <w:tr w14:paraId="0A36E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tcBorders>
              <w:tl2br w:val="nil"/>
              <w:tr2bl w:val="nil"/>
            </w:tcBorders>
            <w:vAlign w:val="center"/>
          </w:tcPr>
          <w:p w14:paraId="4B2055BA">
            <w:pPr>
              <w:widowControl/>
              <w:spacing w:line="240" w:lineRule="auto"/>
              <w:jc w:val="left"/>
              <w:rPr>
                <w:rFonts w:eastAsia="宋体" w:cs="Times New Roman"/>
                <w:color w:val="000000"/>
                <w:kern w:val="0"/>
                <w:sz w:val="21"/>
                <w:szCs w:val="21"/>
              </w:rPr>
            </w:pPr>
          </w:p>
        </w:tc>
        <w:tc>
          <w:tcPr>
            <w:tcW w:w="1073" w:type="dxa"/>
            <w:vMerge w:val="continue"/>
            <w:tcBorders>
              <w:tl2br w:val="nil"/>
              <w:tr2bl w:val="nil"/>
            </w:tcBorders>
            <w:vAlign w:val="center"/>
          </w:tcPr>
          <w:p w14:paraId="5F4316B1">
            <w:pPr>
              <w:widowControl/>
              <w:spacing w:line="240" w:lineRule="auto"/>
              <w:jc w:val="left"/>
              <w:rPr>
                <w:rFonts w:eastAsia="宋体" w:cs="Times New Roman"/>
                <w:color w:val="000000"/>
                <w:kern w:val="0"/>
                <w:sz w:val="21"/>
                <w:szCs w:val="21"/>
              </w:rPr>
            </w:pPr>
          </w:p>
        </w:tc>
        <w:tc>
          <w:tcPr>
            <w:tcW w:w="2013" w:type="dxa"/>
            <w:tcBorders>
              <w:tl2br w:val="nil"/>
              <w:tr2bl w:val="nil"/>
            </w:tcBorders>
            <w:shd w:val="clear" w:color="auto" w:fill="auto"/>
            <w:vAlign w:val="center"/>
          </w:tcPr>
          <w:p w14:paraId="0761FFD7">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10</w:t>
            </w:r>
            <w:r>
              <w:rPr>
                <w:rFonts w:hint="eastAsia" w:eastAsia="宋体" w:cs="Times New Roman"/>
                <w:color w:val="000000"/>
                <w:kern w:val="0"/>
                <w:sz w:val="21"/>
                <w:szCs w:val="21"/>
                <w:lang w:eastAsia="zh-CN"/>
              </w:rPr>
              <w:t>年</w:t>
            </w:r>
            <w:r>
              <w:rPr>
                <w:rFonts w:hint="eastAsia" w:eastAsia="宋体" w:cs="Times New Roman"/>
                <w:color w:val="000000"/>
                <w:kern w:val="0"/>
                <w:sz w:val="21"/>
                <w:szCs w:val="21"/>
              </w:rPr>
              <w:t>～</w:t>
            </w:r>
            <w:r>
              <w:rPr>
                <w:rFonts w:eastAsia="宋体" w:cs="Times New Roman"/>
                <w:color w:val="000000"/>
                <w:kern w:val="0"/>
                <w:sz w:val="21"/>
                <w:szCs w:val="21"/>
              </w:rPr>
              <w:t>12年</w:t>
            </w:r>
          </w:p>
        </w:tc>
        <w:tc>
          <w:tcPr>
            <w:tcW w:w="777" w:type="dxa"/>
            <w:vMerge w:val="continue"/>
            <w:tcBorders>
              <w:tl2br w:val="nil"/>
              <w:tr2bl w:val="nil"/>
            </w:tcBorders>
            <w:vAlign w:val="center"/>
          </w:tcPr>
          <w:p w14:paraId="3D4CBC87">
            <w:pPr>
              <w:widowControl/>
              <w:spacing w:line="240" w:lineRule="auto"/>
              <w:jc w:val="left"/>
              <w:rPr>
                <w:rFonts w:eastAsia="宋体" w:cs="Times New Roman"/>
                <w:color w:val="000000"/>
                <w:kern w:val="0"/>
                <w:sz w:val="21"/>
                <w:szCs w:val="21"/>
              </w:rPr>
            </w:pPr>
          </w:p>
        </w:tc>
        <w:tc>
          <w:tcPr>
            <w:tcW w:w="805" w:type="dxa"/>
            <w:vMerge w:val="continue"/>
            <w:tcBorders>
              <w:tl2br w:val="nil"/>
              <w:tr2bl w:val="nil"/>
            </w:tcBorders>
            <w:shd w:val="clear" w:color="auto" w:fill="auto"/>
            <w:noWrap/>
            <w:vAlign w:val="center"/>
          </w:tcPr>
          <w:p w14:paraId="38B14DDD">
            <w:pPr>
              <w:widowControl/>
              <w:spacing w:line="240" w:lineRule="auto"/>
              <w:jc w:val="left"/>
              <w:rPr>
                <w:rFonts w:eastAsia="宋体" w:cs="Times New Roman"/>
                <w:color w:val="000000"/>
                <w:kern w:val="0"/>
                <w:sz w:val="21"/>
                <w:szCs w:val="21"/>
              </w:rPr>
            </w:pPr>
          </w:p>
        </w:tc>
        <w:tc>
          <w:tcPr>
            <w:tcW w:w="1609" w:type="dxa"/>
            <w:tcBorders>
              <w:tl2br w:val="nil"/>
              <w:tr2bl w:val="nil"/>
            </w:tcBorders>
            <w:vAlign w:val="center"/>
          </w:tcPr>
          <w:p w14:paraId="28E03520">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13～15</w:t>
            </w:r>
          </w:p>
        </w:tc>
        <w:tc>
          <w:tcPr>
            <w:tcW w:w="1506" w:type="dxa"/>
            <w:vMerge w:val="continue"/>
            <w:tcBorders>
              <w:tl2br w:val="nil"/>
              <w:tr2bl w:val="nil"/>
            </w:tcBorders>
            <w:vAlign w:val="center"/>
          </w:tcPr>
          <w:p w14:paraId="5486C97B">
            <w:pPr>
              <w:widowControl/>
              <w:spacing w:line="240" w:lineRule="auto"/>
              <w:jc w:val="left"/>
              <w:rPr>
                <w:rFonts w:eastAsia="宋体" w:cs="Times New Roman"/>
                <w:color w:val="000000"/>
                <w:kern w:val="0"/>
                <w:sz w:val="21"/>
                <w:szCs w:val="21"/>
              </w:rPr>
            </w:pPr>
          </w:p>
        </w:tc>
      </w:tr>
    </w:tbl>
    <w:p w14:paraId="6EF59D3C">
      <w:pPr>
        <w:pStyle w:val="108"/>
        <w:numPr>
          <w:ilvl w:val="0"/>
          <w:numId w:val="0"/>
        </w:numPr>
        <w:rPr>
          <w:rFonts w:eastAsia="宋体"/>
        </w:rPr>
      </w:pPr>
      <w:r>
        <w:rPr>
          <w:rFonts w:hint="eastAsia" w:eastAsia="宋体" w:cs="Times New Roman"/>
          <w:color w:val="000000"/>
          <w:kern w:val="0"/>
          <w:szCs w:val="21"/>
        </w:rPr>
        <w:t>注：</w:t>
      </w:r>
      <w:r>
        <w:rPr>
          <w:rFonts w:eastAsia="宋体" w:cs="Times New Roman"/>
          <w:color w:val="000000"/>
          <w:kern w:val="0"/>
          <w:szCs w:val="21"/>
        </w:rPr>
        <w:t>设备使用年限越长，设备寿命，性能</w:t>
      </w:r>
      <w:r>
        <w:rPr>
          <w:rFonts w:hint="eastAsia" w:eastAsia="宋体" w:cs="Times New Roman"/>
          <w:color w:val="000000"/>
          <w:kern w:val="0"/>
          <w:szCs w:val="21"/>
        </w:rPr>
        <w:t>越低。</w:t>
      </w:r>
      <w:r>
        <w:rPr>
          <w:rFonts w:hint="eastAsia" w:eastAsia="宋体" w:cs="Times New Roman"/>
          <w:color w:val="000000"/>
          <w:kern w:val="0"/>
          <w:szCs w:val="21"/>
          <w:lang w:eastAsia="zh-CN"/>
        </w:rPr>
        <w:t>当阀类无故障时，可按工作年限评分。</w:t>
      </w:r>
    </w:p>
    <w:p w14:paraId="58D5B32A">
      <w:pPr>
        <w:pStyle w:val="105"/>
        <w:rPr>
          <w:rFonts w:cs="Times New Roman"/>
          <w:szCs w:val="21"/>
        </w:rPr>
      </w:pPr>
      <w:r>
        <w:t>表</w:t>
      </w:r>
      <w:r>
        <w:rPr>
          <w:rFonts w:hint="eastAsia"/>
        </w:rPr>
        <w:t>11.3.2-3　</w:t>
      </w:r>
      <w:r>
        <w:t>仪器仪表检查评分准则</w:t>
      </w:r>
    </w:p>
    <w:tbl>
      <w:tblPr>
        <w:tblStyle w:val="29"/>
        <w:tblW w:w="83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076"/>
        <w:gridCol w:w="1765"/>
        <w:gridCol w:w="709"/>
        <w:gridCol w:w="1118"/>
        <w:gridCol w:w="1718"/>
        <w:gridCol w:w="1200"/>
      </w:tblGrid>
      <w:tr w14:paraId="711E4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18" w:type="dxa"/>
            <w:vMerge w:val="restart"/>
            <w:tcBorders>
              <w:tl2br w:val="nil"/>
              <w:tr2bl w:val="nil"/>
            </w:tcBorders>
            <w:shd w:val="clear" w:color="auto" w:fill="auto"/>
            <w:vAlign w:val="center"/>
          </w:tcPr>
          <w:p w14:paraId="4EB84D44">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名称</w:t>
            </w:r>
          </w:p>
        </w:tc>
        <w:tc>
          <w:tcPr>
            <w:tcW w:w="1076" w:type="dxa"/>
            <w:tcBorders>
              <w:tl2br w:val="nil"/>
              <w:tr2bl w:val="nil"/>
            </w:tcBorders>
            <w:shd w:val="clear" w:color="auto" w:fill="auto"/>
            <w:vAlign w:val="center"/>
          </w:tcPr>
          <w:p w14:paraId="7A45B5C9">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评分类别</w:t>
            </w:r>
          </w:p>
        </w:tc>
        <w:tc>
          <w:tcPr>
            <w:tcW w:w="1765" w:type="dxa"/>
            <w:tcBorders>
              <w:tl2br w:val="nil"/>
              <w:tr2bl w:val="nil"/>
            </w:tcBorders>
            <w:shd w:val="clear" w:color="auto" w:fill="auto"/>
            <w:vAlign w:val="center"/>
          </w:tcPr>
          <w:p w14:paraId="2A9875E9">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缺陷（故障</w:t>
            </w:r>
            <w:r>
              <w:rPr>
                <w:rFonts w:hint="eastAsia" w:eastAsia="宋体" w:cs="Times New Roman"/>
                <w:color w:val="000000"/>
                <w:kern w:val="0"/>
                <w:sz w:val="21"/>
                <w:szCs w:val="21"/>
              </w:rPr>
              <w:t>）描述</w:t>
            </w:r>
          </w:p>
        </w:tc>
        <w:tc>
          <w:tcPr>
            <w:tcW w:w="709" w:type="dxa"/>
            <w:tcBorders>
              <w:tl2br w:val="nil"/>
              <w:tr2bl w:val="nil"/>
            </w:tcBorders>
            <w:shd w:val="clear" w:color="auto" w:fill="auto"/>
            <w:noWrap/>
            <w:vAlign w:val="center"/>
          </w:tcPr>
          <w:p w14:paraId="6645D210">
            <w:pPr>
              <w:widowControl/>
              <w:spacing w:line="240" w:lineRule="auto"/>
              <w:jc w:val="center"/>
              <w:rPr>
                <w:rFonts w:eastAsia="宋体" w:cs="Times New Roman"/>
                <w:kern w:val="0"/>
                <w:sz w:val="21"/>
                <w:szCs w:val="21"/>
              </w:rPr>
            </w:pPr>
            <w:r>
              <w:rPr>
                <w:rFonts w:eastAsia="宋体" w:cs="Times New Roman"/>
                <w:kern w:val="0"/>
                <w:sz w:val="21"/>
                <w:szCs w:val="21"/>
              </w:rPr>
              <w:t>维修级别</w:t>
            </w:r>
          </w:p>
        </w:tc>
        <w:tc>
          <w:tcPr>
            <w:tcW w:w="2836" w:type="dxa"/>
            <w:gridSpan w:val="2"/>
            <w:tcBorders>
              <w:tl2br w:val="nil"/>
              <w:tr2bl w:val="nil"/>
            </w:tcBorders>
            <w:shd w:val="clear" w:color="auto" w:fill="auto"/>
            <w:noWrap/>
            <w:vAlign w:val="center"/>
          </w:tcPr>
          <w:p w14:paraId="7B2200C4">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分值</w:t>
            </w:r>
            <w:r>
              <w:rPr>
                <w:rFonts w:hint="eastAsia" w:eastAsia="宋体" w:cs="Times New Roman"/>
                <w:color w:val="000000"/>
                <w:kern w:val="0"/>
                <w:sz w:val="21"/>
                <w:szCs w:val="21"/>
              </w:rPr>
              <w:t>（</w:t>
            </w:r>
            <w:r>
              <w:rPr>
                <w:rFonts w:cs="Times New Roman"/>
                <w:i/>
                <w:iCs/>
              </w:rPr>
              <w:t>P</w:t>
            </w:r>
            <w:r>
              <w:rPr>
                <w:rFonts w:cs="Times New Roman"/>
                <w:vertAlign w:val="subscript"/>
              </w:rPr>
              <w:t>c</w:t>
            </w:r>
            <w:r>
              <w:rPr>
                <w:rFonts w:hint="eastAsia" w:eastAsia="宋体" w:cs="Times New Roman"/>
                <w:color w:val="000000"/>
                <w:kern w:val="0"/>
                <w:sz w:val="21"/>
                <w:szCs w:val="21"/>
              </w:rPr>
              <w:t>）</w:t>
            </w:r>
          </w:p>
        </w:tc>
        <w:tc>
          <w:tcPr>
            <w:tcW w:w="1200" w:type="dxa"/>
            <w:tcBorders>
              <w:tl2br w:val="nil"/>
              <w:tr2bl w:val="nil"/>
            </w:tcBorders>
            <w:shd w:val="clear" w:color="auto" w:fill="auto"/>
            <w:vAlign w:val="center"/>
          </w:tcPr>
          <w:p w14:paraId="70518318">
            <w:pPr>
              <w:widowControl/>
              <w:spacing w:line="240" w:lineRule="auto"/>
              <w:jc w:val="center"/>
              <w:rPr>
                <w:rFonts w:eastAsia="宋体" w:cs="Times New Roman"/>
                <w:kern w:val="0"/>
                <w:sz w:val="21"/>
                <w:szCs w:val="21"/>
              </w:rPr>
            </w:pPr>
            <w:r>
              <w:rPr>
                <w:rFonts w:eastAsia="宋体" w:cs="Times New Roman"/>
                <w:kern w:val="0"/>
                <w:sz w:val="21"/>
                <w:szCs w:val="21"/>
              </w:rPr>
              <w:t>保养检查周期</w:t>
            </w:r>
          </w:p>
        </w:tc>
      </w:tr>
      <w:tr w14:paraId="3C3E7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8" w:type="dxa"/>
            <w:vMerge w:val="restart"/>
            <w:tcBorders>
              <w:tl2br w:val="nil"/>
              <w:tr2bl w:val="nil"/>
            </w:tcBorders>
            <w:shd w:val="clear" w:color="auto" w:fill="auto"/>
            <w:noWrap/>
            <w:vAlign w:val="center"/>
          </w:tcPr>
          <w:p w14:paraId="0BD6ED4B">
            <w:pPr>
              <w:widowControl/>
              <w:spacing w:line="240" w:lineRule="auto"/>
              <w:jc w:val="center"/>
              <w:rPr>
                <w:rFonts w:eastAsia="宋体" w:cs="Times New Roman"/>
                <w:kern w:val="0"/>
                <w:sz w:val="21"/>
                <w:szCs w:val="21"/>
              </w:rPr>
            </w:pPr>
            <w:r>
              <w:rPr>
                <w:rFonts w:eastAsia="宋体" w:cs="Times New Roman"/>
                <w:kern w:val="0"/>
                <w:sz w:val="21"/>
                <w:szCs w:val="21"/>
              </w:rPr>
              <w:t>仪器仪表</w:t>
            </w:r>
          </w:p>
        </w:tc>
        <w:tc>
          <w:tcPr>
            <w:tcW w:w="7586" w:type="dxa"/>
            <w:gridSpan w:val="6"/>
            <w:tcBorders>
              <w:tl2br w:val="nil"/>
              <w:tr2bl w:val="nil"/>
            </w:tcBorders>
            <w:shd w:val="clear" w:color="auto" w:fill="auto"/>
            <w:vAlign w:val="center"/>
          </w:tcPr>
          <w:p w14:paraId="57474E60">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仪器仪表</w:t>
            </w:r>
          </w:p>
        </w:tc>
      </w:tr>
      <w:tr w14:paraId="25CC4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8" w:type="dxa"/>
            <w:vMerge w:val="continue"/>
            <w:tcBorders>
              <w:tl2br w:val="nil"/>
              <w:tr2bl w:val="nil"/>
            </w:tcBorders>
            <w:vAlign w:val="center"/>
          </w:tcPr>
          <w:p w14:paraId="079F097D">
            <w:pPr>
              <w:widowControl/>
              <w:spacing w:line="240" w:lineRule="auto"/>
              <w:jc w:val="left"/>
              <w:rPr>
                <w:rFonts w:eastAsia="宋体" w:cs="Times New Roman"/>
                <w:kern w:val="0"/>
                <w:sz w:val="21"/>
                <w:szCs w:val="21"/>
              </w:rPr>
            </w:pPr>
          </w:p>
        </w:tc>
        <w:tc>
          <w:tcPr>
            <w:tcW w:w="1076" w:type="dxa"/>
            <w:vMerge w:val="restart"/>
            <w:tcBorders>
              <w:tl2br w:val="nil"/>
              <w:tr2bl w:val="nil"/>
            </w:tcBorders>
            <w:shd w:val="clear" w:color="auto" w:fill="auto"/>
            <w:vAlign w:val="center"/>
          </w:tcPr>
          <w:p w14:paraId="53258A02">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1类故障</w:t>
            </w:r>
          </w:p>
        </w:tc>
        <w:tc>
          <w:tcPr>
            <w:tcW w:w="1765" w:type="dxa"/>
            <w:tcBorders>
              <w:tl2br w:val="nil"/>
              <w:tr2bl w:val="nil"/>
            </w:tcBorders>
            <w:shd w:val="clear" w:color="auto" w:fill="auto"/>
            <w:vAlign w:val="center"/>
          </w:tcPr>
          <w:p w14:paraId="70EFB53C">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各仪表检测不准确</w:t>
            </w:r>
            <w:r>
              <w:rPr>
                <w:rFonts w:hint="eastAsia" w:eastAsia="宋体" w:cs="Times New Roman"/>
                <w:color w:val="000000"/>
                <w:kern w:val="0"/>
                <w:sz w:val="21"/>
                <w:szCs w:val="21"/>
              </w:rPr>
              <w:t>；</w:t>
            </w:r>
            <w:r>
              <w:rPr>
                <w:rFonts w:eastAsia="宋体" w:cs="Times New Roman"/>
                <w:color w:val="000000"/>
                <w:kern w:val="0"/>
                <w:sz w:val="21"/>
                <w:szCs w:val="21"/>
              </w:rPr>
              <w:t>数据传输异常</w:t>
            </w:r>
          </w:p>
        </w:tc>
        <w:tc>
          <w:tcPr>
            <w:tcW w:w="709" w:type="dxa"/>
            <w:vMerge w:val="restart"/>
            <w:tcBorders>
              <w:tl2br w:val="nil"/>
              <w:tr2bl w:val="nil"/>
            </w:tcBorders>
            <w:shd w:val="clear" w:color="auto" w:fill="auto"/>
            <w:vAlign w:val="center"/>
          </w:tcPr>
          <w:p w14:paraId="263463DF">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立即维修</w:t>
            </w:r>
          </w:p>
        </w:tc>
        <w:tc>
          <w:tcPr>
            <w:tcW w:w="1118" w:type="dxa"/>
            <w:tcBorders>
              <w:tl2br w:val="nil"/>
              <w:tr2bl w:val="nil"/>
            </w:tcBorders>
            <w:shd w:val="clear" w:color="auto" w:fill="auto"/>
            <w:noWrap/>
            <w:vAlign w:val="center"/>
          </w:tcPr>
          <w:p w14:paraId="3F602447">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25</w:t>
            </w:r>
          </w:p>
        </w:tc>
        <w:tc>
          <w:tcPr>
            <w:tcW w:w="1718" w:type="dxa"/>
            <w:tcBorders>
              <w:tl2br w:val="nil"/>
              <w:tr2bl w:val="nil"/>
            </w:tcBorders>
            <w:shd w:val="clear" w:color="auto" w:fill="auto"/>
            <w:vAlign w:val="center"/>
          </w:tcPr>
          <w:p w14:paraId="558D9487">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5</w:t>
            </w:r>
            <w:r>
              <w:rPr>
                <w:rFonts w:hint="eastAsia" w:eastAsia="宋体" w:cs="Times New Roman"/>
                <w:color w:val="000000"/>
                <w:kern w:val="0"/>
                <w:sz w:val="21"/>
                <w:szCs w:val="21"/>
              </w:rPr>
              <w:t>～</w:t>
            </w:r>
            <w:r>
              <w:rPr>
                <w:rFonts w:eastAsia="宋体" w:cs="Times New Roman"/>
                <w:color w:val="000000"/>
                <w:kern w:val="0"/>
                <w:sz w:val="21"/>
                <w:szCs w:val="21"/>
              </w:rPr>
              <w:t>25</w:t>
            </w:r>
          </w:p>
        </w:tc>
        <w:tc>
          <w:tcPr>
            <w:tcW w:w="1200" w:type="dxa"/>
            <w:tcBorders>
              <w:tl2br w:val="nil"/>
              <w:tr2bl w:val="nil"/>
            </w:tcBorders>
            <w:shd w:val="clear" w:color="auto" w:fill="auto"/>
            <w:vAlign w:val="center"/>
          </w:tcPr>
          <w:p w14:paraId="034AC606">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每日检查，数据显示，传输情况</w:t>
            </w:r>
          </w:p>
        </w:tc>
      </w:tr>
      <w:tr w14:paraId="28765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8" w:type="dxa"/>
            <w:vMerge w:val="continue"/>
            <w:tcBorders>
              <w:tl2br w:val="nil"/>
              <w:tr2bl w:val="nil"/>
            </w:tcBorders>
            <w:vAlign w:val="center"/>
          </w:tcPr>
          <w:p w14:paraId="707D7568">
            <w:pPr>
              <w:widowControl/>
              <w:spacing w:line="240" w:lineRule="auto"/>
              <w:jc w:val="left"/>
              <w:rPr>
                <w:rFonts w:eastAsia="宋体" w:cs="Times New Roman"/>
                <w:kern w:val="0"/>
                <w:sz w:val="21"/>
                <w:szCs w:val="21"/>
              </w:rPr>
            </w:pPr>
          </w:p>
        </w:tc>
        <w:tc>
          <w:tcPr>
            <w:tcW w:w="1076" w:type="dxa"/>
            <w:vMerge w:val="continue"/>
            <w:tcBorders>
              <w:tl2br w:val="nil"/>
              <w:tr2bl w:val="nil"/>
            </w:tcBorders>
            <w:vAlign w:val="center"/>
          </w:tcPr>
          <w:p w14:paraId="07A43695">
            <w:pPr>
              <w:widowControl/>
              <w:spacing w:line="240" w:lineRule="auto"/>
              <w:jc w:val="left"/>
              <w:rPr>
                <w:rFonts w:eastAsia="宋体" w:cs="Times New Roman"/>
                <w:color w:val="000000"/>
                <w:kern w:val="0"/>
                <w:sz w:val="21"/>
                <w:szCs w:val="21"/>
              </w:rPr>
            </w:pPr>
          </w:p>
        </w:tc>
        <w:tc>
          <w:tcPr>
            <w:tcW w:w="1765" w:type="dxa"/>
            <w:tcBorders>
              <w:tl2br w:val="nil"/>
              <w:tr2bl w:val="nil"/>
            </w:tcBorders>
            <w:shd w:val="clear" w:color="auto" w:fill="auto"/>
            <w:vAlign w:val="center"/>
          </w:tcPr>
          <w:p w14:paraId="3F2CE86E">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信号控制</w:t>
            </w:r>
            <w:r>
              <w:rPr>
                <w:rFonts w:hint="eastAsia" w:eastAsia="宋体" w:cs="Times New Roman"/>
                <w:color w:val="000000"/>
                <w:kern w:val="0"/>
                <w:sz w:val="21"/>
                <w:szCs w:val="21"/>
              </w:rPr>
              <w:t>不</w:t>
            </w:r>
            <w:r>
              <w:rPr>
                <w:rFonts w:eastAsia="宋体" w:cs="Times New Roman"/>
                <w:color w:val="000000"/>
                <w:kern w:val="0"/>
                <w:sz w:val="21"/>
                <w:szCs w:val="21"/>
              </w:rPr>
              <w:t>准确</w:t>
            </w:r>
            <w:r>
              <w:rPr>
                <w:rFonts w:hint="eastAsia" w:eastAsia="宋体" w:cs="Times New Roman"/>
                <w:color w:val="000000"/>
                <w:kern w:val="0"/>
                <w:sz w:val="21"/>
                <w:szCs w:val="21"/>
              </w:rPr>
              <w:t>，</w:t>
            </w:r>
            <w:r>
              <w:rPr>
                <w:rFonts w:eastAsia="宋体" w:cs="Times New Roman"/>
                <w:color w:val="000000"/>
                <w:kern w:val="0"/>
                <w:sz w:val="21"/>
                <w:szCs w:val="21"/>
              </w:rPr>
              <w:t>无法通讯控制</w:t>
            </w:r>
            <w:r>
              <w:rPr>
                <w:rFonts w:hint="eastAsia" w:eastAsia="宋体" w:cs="Times New Roman"/>
                <w:color w:val="000000"/>
                <w:kern w:val="0"/>
                <w:sz w:val="21"/>
                <w:szCs w:val="21"/>
              </w:rPr>
              <w:t>、</w:t>
            </w:r>
            <w:r>
              <w:rPr>
                <w:rFonts w:eastAsia="宋体" w:cs="Times New Roman"/>
                <w:color w:val="000000"/>
                <w:kern w:val="0"/>
                <w:sz w:val="21"/>
                <w:szCs w:val="21"/>
              </w:rPr>
              <w:t>数据交换</w:t>
            </w:r>
            <w:r>
              <w:rPr>
                <w:rFonts w:hint="eastAsia" w:eastAsia="宋体" w:cs="Times New Roman"/>
                <w:color w:val="000000"/>
                <w:kern w:val="0"/>
                <w:sz w:val="21"/>
                <w:szCs w:val="21"/>
              </w:rPr>
              <w:t>；</w:t>
            </w:r>
            <w:r>
              <w:rPr>
                <w:rFonts w:eastAsia="宋体" w:cs="Times New Roman"/>
                <w:color w:val="000000"/>
                <w:kern w:val="0"/>
                <w:sz w:val="21"/>
                <w:szCs w:val="21"/>
              </w:rPr>
              <w:t>电缆连接松动</w:t>
            </w:r>
          </w:p>
        </w:tc>
        <w:tc>
          <w:tcPr>
            <w:tcW w:w="709" w:type="dxa"/>
            <w:vMerge w:val="continue"/>
            <w:tcBorders>
              <w:tl2br w:val="nil"/>
              <w:tr2bl w:val="nil"/>
            </w:tcBorders>
            <w:vAlign w:val="center"/>
          </w:tcPr>
          <w:p w14:paraId="2621C813">
            <w:pPr>
              <w:widowControl/>
              <w:spacing w:line="240" w:lineRule="auto"/>
              <w:jc w:val="left"/>
              <w:rPr>
                <w:rFonts w:eastAsia="宋体" w:cs="Times New Roman"/>
                <w:color w:val="000000"/>
                <w:kern w:val="0"/>
                <w:sz w:val="21"/>
                <w:szCs w:val="21"/>
              </w:rPr>
            </w:pPr>
          </w:p>
        </w:tc>
        <w:tc>
          <w:tcPr>
            <w:tcW w:w="1118" w:type="dxa"/>
            <w:tcBorders>
              <w:tl2br w:val="nil"/>
              <w:tr2bl w:val="nil"/>
            </w:tcBorders>
            <w:shd w:val="clear" w:color="auto" w:fill="auto"/>
            <w:noWrap/>
            <w:vAlign w:val="center"/>
          </w:tcPr>
          <w:p w14:paraId="7E6A4117">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25</w:t>
            </w:r>
          </w:p>
        </w:tc>
        <w:tc>
          <w:tcPr>
            <w:tcW w:w="1718" w:type="dxa"/>
            <w:tcBorders>
              <w:tl2br w:val="nil"/>
              <w:tr2bl w:val="nil"/>
            </w:tcBorders>
            <w:shd w:val="clear" w:color="auto" w:fill="auto"/>
            <w:vAlign w:val="center"/>
          </w:tcPr>
          <w:p w14:paraId="7412CCB0">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rPr>
              <w:t>～</w:t>
            </w:r>
            <w:r>
              <w:rPr>
                <w:rFonts w:eastAsia="宋体" w:cs="Times New Roman"/>
                <w:color w:val="000000"/>
                <w:kern w:val="0"/>
                <w:sz w:val="21"/>
                <w:szCs w:val="21"/>
              </w:rPr>
              <w:t>25</w:t>
            </w:r>
          </w:p>
        </w:tc>
        <w:tc>
          <w:tcPr>
            <w:tcW w:w="1200" w:type="dxa"/>
            <w:tcBorders>
              <w:tl2br w:val="nil"/>
              <w:tr2bl w:val="nil"/>
            </w:tcBorders>
            <w:shd w:val="clear" w:color="auto" w:fill="auto"/>
            <w:vAlign w:val="center"/>
          </w:tcPr>
          <w:p w14:paraId="414BA24F">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每日检查，信号控制是否准确</w:t>
            </w:r>
          </w:p>
        </w:tc>
      </w:tr>
      <w:tr w14:paraId="035F8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8" w:type="dxa"/>
            <w:vMerge w:val="continue"/>
            <w:tcBorders>
              <w:tl2br w:val="nil"/>
              <w:tr2bl w:val="nil"/>
            </w:tcBorders>
            <w:vAlign w:val="center"/>
          </w:tcPr>
          <w:p w14:paraId="573A591F">
            <w:pPr>
              <w:widowControl/>
              <w:spacing w:line="240" w:lineRule="auto"/>
              <w:jc w:val="left"/>
              <w:rPr>
                <w:rFonts w:eastAsia="宋体" w:cs="Times New Roman"/>
                <w:kern w:val="0"/>
                <w:sz w:val="21"/>
                <w:szCs w:val="21"/>
              </w:rPr>
            </w:pPr>
          </w:p>
        </w:tc>
        <w:tc>
          <w:tcPr>
            <w:tcW w:w="1076" w:type="dxa"/>
            <w:tcBorders>
              <w:tl2br w:val="nil"/>
              <w:tr2bl w:val="nil"/>
            </w:tcBorders>
            <w:shd w:val="clear" w:color="auto" w:fill="auto"/>
            <w:vAlign w:val="center"/>
          </w:tcPr>
          <w:p w14:paraId="35E3C339">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2类故障</w:t>
            </w:r>
          </w:p>
        </w:tc>
        <w:tc>
          <w:tcPr>
            <w:tcW w:w="1765" w:type="dxa"/>
            <w:tcBorders>
              <w:tl2br w:val="nil"/>
              <w:tr2bl w:val="nil"/>
            </w:tcBorders>
            <w:shd w:val="clear" w:color="auto" w:fill="auto"/>
            <w:vAlign w:val="center"/>
          </w:tcPr>
          <w:p w14:paraId="5B59940D">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传感器是有异物遮挡、氧化现象</w:t>
            </w:r>
          </w:p>
        </w:tc>
        <w:tc>
          <w:tcPr>
            <w:tcW w:w="709" w:type="dxa"/>
            <w:vMerge w:val="restart"/>
            <w:tcBorders>
              <w:tl2br w:val="nil"/>
              <w:tr2bl w:val="nil"/>
            </w:tcBorders>
            <w:shd w:val="clear" w:color="auto" w:fill="auto"/>
            <w:vAlign w:val="center"/>
          </w:tcPr>
          <w:p w14:paraId="7F1E6805">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维修</w:t>
            </w:r>
          </w:p>
        </w:tc>
        <w:tc>
          <w:tcPr>
            <w:tcW w:w="1118" w:type="dxa"/>
            <w:tcBorders>
              <w:tl2br w:val="nil"/>
              <w:tr2bl w:val="nil"/>
            </w:tcBorders>
            <w:shd w:val="clear" w:color="auto" w:fill="auto"/>
            <w:noWrap/>
            <w:vAlign w:val="center"/>
          </w:tcPr>
          <w:p w14:paraId="7FF917CB">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15</w:t>
            </w:r>
          </w:p>
        </w:tc>
        <w:tc>
          <w:tcPr>
            <w:tcW w:w="1718" w:type="dxa"/>
            <w:tcBorders>
              <w:tl2br w:val="nil"/>
              <w:tr2bl w:val="nil"/>
            </w:tcBorders>
            <w:shd w:val="clear" w:color="auto" w:fill="auto"/>
            <w:vAlign w:val="center"/>
          </w:tcPr>
          <w:p w14:paraId="5C296216">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5</w:t>
            </w:r>
            <w:r>
              <w:rPr>
                <w:rFonts w:hint="eastAsia" w:eastAsia="宋体" w:cs="Times New Roman"/>
                <w:color w:val="000000"/>
                <w:kern w:val="0"/>
                <w:sz w:val="21"/>
                <w:szCs w:val="21"/>
              </w:rPr>
              <w:t>～</w:t>
            </w:r>
            <w:r>
              <w:rPr>
                <w:rFonts w:eastAsia="宋体" w:cs="Times New Roman"/>
                <w:color w:val="000000"/>
                <w:kern w:val="0"/>
                <w:sz w:val="21"/>
                <w:szCs w:val="21"/>
              </w:rPr>
              <w:t>15</w:t>
            </w:r>
          </w:p>
        </w:tc>
        <w:tc>
          <w:tcPr>
            <w:tcW w:w="1200" w:type="dxa"/>
            <w:tcBorders>
              <w:tl2br w:val="nil"/>
              <w:tr2bl w:val="nil"/>
            </w:tcBorders>
            <w:shd w:val="clear" w:color="auto" w:fill="auto"/>
            <w:vAlign w:val="center"/>
          </w:tcPr>
          <w:p w14:paraId="44EB03C7">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月度检查，清理异物，氧化处理</w:t>
            </w:r>
          </w:p>
        </w:tc>
      </w:tr>
      <w:tr w14:paraId="1E29D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8" w:type="dxa"/>
            <w:vMerge w:val="continue"/>
            <w:tcBorders>
              <w:tl2br w:val="nil"/>
              <w:tr2bl w:val="nil"/>
            </w:tcBorders>
            <w:vAlign w:val="center"/>
          </w:tcPr>
          <w:p w14:paraId="08DD96BB">
            <w:pPr>
              <w:widowControl/>
              <w:spacing w:line="240" w:lineRule="auto"/>
              <w:jc w:val="left"/>
              <w:rPr>
                <w:rFonts w:eastAsia="宋体" w:cs="Times New Roman"/>
                <w:kern w:val="0"/>
                <w:sz w:val="21"/>
                <w:szCs w:val="21"/>
              </w:rPr>
            </w:pPr>
          </w:p>
        </w:tc>
        <w:tc>
          <w:tcPr>
            <w:tcW w:w="1076" w:type="dxa"/>
            <w:tcBorders>
              <w:tl2br w:val="nil"/>
              <w:tr2bl w:val="nil"/>
            </w:tcBorders>
            <w:shd w:val="clear" w:color="auto" w:fill="auto"/>
            <w:vAlign w:val="center"/>
          </w:tcPr>
          <w:p w14:paraId="797BEA91">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3类故障</w:t>
            </w:r>
          </w:p>
        </w:tc>
        <w:tc>
          <w:tcPr>
            <w:tcW w:w="1765" w:type="dxa"/>
            <w:tcBorders>
              <w:tl2br w:val="nil"/>
              <w:tr2bl w:val="nil"/>
            </w:tcBorders>
            <w:shd w:val="clear" w:color="auto" w:fill="auto"/>
            <w:vAlign w:val="center"/>
          </w:tcPr>
          <w:p w14:paraId="4167A12D">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设备外壳有破损，污渍</w:t>
            </w:r>
            <w:r>
              <w:rPr>
                <w:rFonts w:hint="eastAsia" w:eastAsia="宋体" w:cs="Times New Roman"/>
                <w:color w:val="000000"/>
                <w:kern w:val="0"/>
                <w:sz w:val="21"/>
                <w:szCs w:val="21"/>
              </w:rPr>
              <w:t>未</w:t>
            </w:r>
            <w:r>
              <w:rPr>
                <w:rFonts w:eastAsia="宋体" w:cs="Times New Roman"/>
                <w:color w:val="000000"/>
                <w:kern w:val="0"/>
                <w:sz w:val="21"/>
                <w:szCs w:val="21"/>
              </w:rPr>
              <w:t>清洁</w:t>
            </w:r>
          </w:p>
        </w:tc>
        <w:tc>
          <w:tcPr>
            <w:tcW w:w="709" w:type="dxa"/>
            <w:vMerge w:val="continue"/>
            <w:tcBorders>
              <w:tl2br w:val="nil"/>
              <w:tr2bl w:val="nil"/>
            </w:tcBorders>
            <w:vAlign w:val="center"/>
          </w:tcPr>
          <w:p w14:paraId="7BD52A42">
            <w:pPr>
              <w:widowControl/>
              <w:spacing w:line="240" w:lineRule="auto"/>
              <w:jc w:val="left"/>
              <w:rPr>
                <w:rFonts w:eastAsia="宋体" w:cs="Times New Roman"/>
                <w:color w:val="000000"/>
                <w:kern w:val="0"/>
                <w:sz w:val="21"/>
                <w:szCs w:val="21"/>
              </w:rPr>
            </w:pPr>
          </w:p>
        </w:tc>
        <w:tc>
          <w:tcPr>
            <w:tcW w:w="1118" w:type="dxa"/>
            <w:tcBorders>
              <w:tl2br w:val="nil"/>
              <w:tr2bl w:val="nil"/>
            </w:tcBorders>
            <w:shd w:val="clear" w:color="auto" w:fill="auto"/>
            <w:noWrap/>
            <w:vAlign w:val="center"/>
          </w:tcPr>
          <w:p w14:paraId="11910E7A">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15</w:t>
            </w:r>
          </w:p>
        </w:tc>
        <w:tc>
          <w:tcPr>
            <w:tcW w:w="1718" w:type="dxa"/>
            <w:tcBorders>
              <w:tl2br w:val="nil"/>
              <w:tr2bl w:val="nil"/>
            </w:tcBorders>
            <w:shd w:val="clear" w:color="auto" w:fill="auto"/>
            <w:vAlign w:val="center"/>
          </w:tcPr>
          <w:p w14:paraId="2956E61D">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p>
        </w:tc>
        <w:tc>
          <w:tcPr>
            <w:tcW w:w="1200" w:type="dxa"/>
            <w:tcBorders>
              <w:tl2br w:val="nil"/>
              <w:tr2bl w:val="nil"/>
            </w:tcBorders>
            <w:shd w:val="clear" w:color="auto" w:fill="auto"/>
            <w:vAlign w:val="center"/>
          </w:tcPr>
          <w:p w14:paraId="407BD112">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季度检查，有无破损</w:t>
            </w:r>
          </w:p>
        </w:tc>
      </w:tr>
      <w:tr w14:paraId="204BD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8" w:type="dxa"/>
            <w:vMerge w:val="continue"/>
            <w:tcBorders>
              <w:tl2br w:val="nil"/>
              <w:tr2bl w:val="nil"/>
            </w:tcBorders>
            <w:vAlign w:val="center"/>
          </w:tcPr>
          <w:p w14:paraId="546B3D54">
            <w:pPr>
              <w:widowControl/>
              <w:spacing w:line="240" w:lineRule="auto"/>
              <w:jc w:val="left"/>
              <w:rPr>
                <w:rFonts w:eastAsia="宋体" w:cs="Times New Roman"/>
                <w:kern w:val="0"/>
                <w:sz w:val="21"/>
                <w:szCs w:val="21"/>
              </w:rPr>
            </w:pPr>
          </w:p>
        </w:tc>
        <w:tc>
          <w:tcPr>
            <w:tcW w:w="1076" w:type="dxa"/>
            <w:vMerge w:val="restart"/>
            <w:tcBorders>
              <w:tl2br w:val="nil"/>
              <w:tr2bl w:val="nil"/>
            </w:tcBorders>
            <w:shd w:val="clear" w:color="auto" w:fill="auto"/>
            <w:vAlign w:val="center"/>
          </w:tcPr>
          <w:p w14:paraId="4A114447">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工作</w:t>
            </w:r>
            <w:r>
              <w:rPr>
                <w:rFonts w:eastAsia="宋体" w:cs="Times New Roman"/>
                <w:color w:val="000000"/>
                <w:kern w:val="0"/>
                <w:sz w:val="21"/>
                <w:szCs w:val="21"/>
              </w:rPr>
              <w:t>年限</w:t>
            </w:r>
          </w:p>
        </w:tc>
        <w:tc>
          <w:tcPr>
            <w:tcW w:w="1765" w:type="dxa"/>
            <w:tcBorders>
              <w:tl2br w:val="nil"/>
              <w:tr2bl w:val="nil"/>
            </w:tcBorders>
            <w:shd w:val="clear" w:color="auto" w:fill="auto"/>
            <w:vAlign w:val="center"/>
          </w:tcPr>
          <w:p w14:paraId="24B2AB19">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1</w:t>
            </w:r>
            <w:r>
              <w:rPr>
                <w:rFonts w:hint="eastAsia" w:eastAsia="宋体" w:cs="Times New Roman"/>
                <w:color w:val="000000"/>
                <w:kern w:val="0"/>
                <w:sz w:val="21"/>
                <w:szCs w:val="21"/>
                <w:lang w:eastAsia="zh-CN"/>
              </w:rPr>
              <w:t>年</w:t>
            </w:r>
            <w:r>
              <w:rPr>
                <w:rFonts w:hint="eastAsia" w:eastAsia="宋体" w:cs="Times New Roman"/>
                <w:color w:val="000000"/>
                <w:kern w:val="0"/>
                <w:sz w:val="21"/>
                <w:szCs w:val="21"/>
              </w:rPr>
              <w:t>～</w:t>
            </w:r>
            <w:r>
              <w:rPr>
                <w:rFonts w:eastAsia="宋体" w:cs="Times New Roman"/>
                <w:color w:val="000000"/>
                <w:kern w:val="0"/>
                <w:sz w:val="21"/>
                <w:szCs w:val="21"/>
              </w:rPr>
              <w:t>3年</w:t>
            </w:r>
          </w:p>
        </w:tc>
        <w:tc>
          <w:tcPr>
            <w:tcW w:w="709" w:type="dxa"/>
            <w:vMerge w:val="restart"/>
            <w:tcBorders>
              <w:tl2br w:val="nil"/>
              <w:tr2bl w:val="nil"/>
            </w:tcBorders>
            <w:shd w:val="clear" w:color="auto" w:fill="auto"/>
            <w:vAlign w:val="center"/>
          </w:tcPr>
          <w:p w14:paraId="12B7237C">
            <w:pPr>
              <w:widowControl/>
              <w:spacing w:line="240" w:lineRule="auto"/>
              <w:jc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118" w:type="dxa"/>
            <w:vMerge w:val="restart"/>
            <w:tcBorders>
              <w:tl2br w:val="nil"/>
              <w:tr2bl w:val="nil"/>
            </w:tcBorders>
            <w:shd w:val="clear" w:color="auto" w:fill="auto"/>
            <w:noWrap/>
            <w:vAlign w:val="center"/>
          </w:tcPr>
          <w:p w14:paraId="654A37F3">
            <w:pPr>
              <w:widowControl/>
              <w:spacing w:line="240" w:lineRule="auto"/>
              <w:jc w:val="center"/>
              <w:rPr>
                <w:rFonts w:eastAsia="宋体" w:cs="Times New Roman"/>
                <w:color w:val="000000"/>
                <w:kern w:val="0"/>
                <w:sz w:val="21"/>
                <w:szCs w:val="21"/>
              </w:rPr>
            </w:pPr>
            <w:r>
              <w:rPr>
                <w:rFonts w:eastAsia="宋体" w:cs="Times New Roman"/>
                <w:color w:val="000000"/>
                <w:kern w:val="0"/>
                <w:sz w:val="21"/>
                <w:szCs w:val="21"/>
              </w:rPr>
              <w:t>20</w:t>
            </w:r>
          </w:p>
        </w:tc>
        <w:tc>
          <w:tcPr>
            <w:tcW w:w="1718" w:type="dxa"/>
            <w:tcBorders>
              <w:tl2br w:val="nil"/>
              <w:tr2bl w:val="nil"/>
            </w:tcBorders>
            <w:shd w:val="clear" w:color="auto" w:fill="auto"/>
            <w:vAlign w:val="center"/>
          </w:tcPr>
          <w:p w14:paraId="2CF5AFD3">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0～2</w:t>
            </w:r>
          </w:p>
        </w:tc>
        <w:tc>
          <w:tcPr>
            <w:tcW w:w="1200" w:type="dxa"/>
            <w:vMerge w:val="restart"/>
            <w:tcBorders>
              <w:tl2br w:val="nil"/>
              <w:tr2bl w:val="nil"/>
            </w:tcBorders>
            <w:shd w:val="clear" w:color="auto" w:fill="auto"/>
            <w:vAlign w:val="center"/>
          </w:tcPr>
          <w:p w14:paraId="2DFCD2A3">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lang w:val="en-US" w:eastAsia="zh-CN"/>
              </w:rPr>
              <w:t>—</w:t>
            </w:r>
          </w:p>
        </w:tc>
      </w:tr>
      <w:tr w14:paraId="57973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8" w:type="dxa"/>
            <w:vMerge w:val="continue"/>
            <w:tcBorders>
              <w:tl2br w:val="nil"/>
              <w:tr2bl w:val="nil"/>
            </w:tcBorders>
            <w:vAlign w:val="center"/>
          </w:tcPr>
          <w:p w14:paraId="5B4AAF8F">
            <w:pPr>
              <w:widowControl/>
              <w:spacing w:line="240" w:lineRule="auto"/>
              <w:jc w:val="left"/>
              <w:rPr>
                <w:rFonts w:eastAsia="宋体" w:cs="Times New Roman"/>
                <w:kern w:val="0"/>
                <w:sz w:val="21"/>
                <w:szCs w:val="21"/>
              </w:rPr>
            </w:pPr>
          </w:p>
        </w:tc>
        <w:tc>
          <w:tcPr>
            <w:tcW w:w="1076" w:type="dxa"/>
            <w:vMerge w:val="continue"/>
            <w:tcBorders>
              <w:tl2br w:val="nil"/>
              <w:tr2bl w:val="nil"/>
            </w:tcBorders>
            <w:vAlign w:val="center"/>
          </w:tcPr>
          <w:p w14:paraId="4F1F5BF1">
            <w:pPr>
              <w:widowControl/>
              <w:spacing w:line="240" w:lineRule="auto"/>
              <w:jc w:val="left"/>
              <w:rPr>
                <w:rFonts w:eastAsia="宋体" w:cs="Times New Roman"/>
                <w:color w:val="000000"/>
                <w:kern w:val="0"/>
                <w:sz w:val="21"/>
                <w:szCs w:val="21"/>
              </w:rPr>
            </w:pPr>
          </w:p>
        </w:tc>
        <w:tc>
          <w:tcPr>
            <w:tcW w:w="1765" w:type="dxa"/>
            <w:tcBorders>
              <w:tl2br w:val="nil"/>
              <w:tr2bl w:val="nil"/>
            </w:tcBorders>
            <w:shd w:val="clear" w:color="auto" w:fill="auto"/>
            <w:vAlign w:val="center"/>
          </w:tcPr>
          <w:p w14:paraId="39E95ACC">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4</w:t>
            </w:r>
            <w:r>
              <w:rPr>
                <w:rFonts w:hint="eastAsia" w:eastAsia="宋体" w:cs="Times New Roman"/>
                <w:color w:val="000000"/>
                <w:kern w:val="0"/>
                <w:sz w:val="21"/>
                <w:szCs w:val="21"/>
                <w:lang w:eastAsia="zh-CN"/>
              </w:rPr>
              <w:t>年</w:t>
            </w:r>
            <w:r>
              <w:rPr>
                <w:rFonts w:hint="eastAsia" w:eastAsia="宋体" w:cs="Times New Roman"/>
                <w:color w:val="000000"/>
                <w:kern w:val="0"/>
                <w:sz w:val="21"/>
                <w:szCs w:val="21"/>
              </w:rPr>
              <w:t>～</w:t>
            </w:r>
            <w:r>
              <w:rPr>
                <w:rFonts w:eastAsia="宋体" w:cs="Times New Roman"/>
                <w:color w:val="000000"/>
                <w:kern w:val="0"/>
                <w:sz w:val="21"/>
                <w:szCs w:val="21"/>
              </w:rPr>
              <w:t>6年</w:t>
            </w:r>
          </w:p>
        </w:tc>
        <w:tc>
          <w:tcPr>
            <w:tcW w:w="709" w:type="dxa"/>
            <w:vMerge w:val="continue"/>
            <w:tcBorders>
              <w:tl2br w:val="nil"/>
              <w:tr2bl w:val="nil"/>
            </w:tcBorders>
            <w:vAlign w:val="center"/>
          </w:tcPr>
          <w:p w14:paraId="41CE55AF">
            <w:pPr>
              <w:widowControl/>
              <w:spacing w:line="240" w:lineRule="auto"/>
              <w:jc w:val="left"/>
              <w:rPr>
                <w:rFonts w:eastAsia="宋体" w:cs="Times New Roman"/>
                <w:color w:val="000000"/>
                <w:kern w:val="0"/>
                <w:sz w:val="21"/>
                <w:szCs w:val="21"/>
              </w:rPr>
            </w:pPr>
          </w:p>
        </w:tc>
        <w:tc>
          <w:tcPr>
            <w:tcW w:w="1118" w:type="dxa"/>
            <w:vMerge w:val="continue"/>
            <w:tcBorders>
              <w:tl2br w:val="nil"/>
              <w:tr2bl w:val="nil"/>
            </w:tcBorders>
            <w:shd w:val="clear" w:color="auto" w:fill="auto"/>
            <w:noWrap/>
            <w:vAlign w:val="center"/>
          </w:tcPr>
          <w:p w14:paraId="2B93B83B">
            <w:pPr>
              <w:widowControl/>
              <w:spacing w:line="240" w:lineRule="auto"/>
              <w:jc w:val="left"/>
              <w:rPr>
                <w:rFonts w:eastAsia="宋体" w:cs="Times New Roman"/>
                <w:color w:val="000000"/>
                <w:kern w:val="0"/>
                <w:sz w:val="21"/>
                <w:szCs w:val="21"/>
              </w:rPr>
            </w:pPr>
          </w:p>
        </w:tc>
        <w:tc>
          <w:tcPr>
            <w:tcW w:w="1718" w:type="dxa"/>
            <w:tcBorders>
              <w:tl2br w:val="nil"/>
              <w:tr2bl w:val="nil"/>
            </w:tcBorders>
            <w:vAlign w:val="center"/>
          </w:tcPr>
          <w:p w14:paraId="409873B6">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4～8</w:t>
            </w:r>
          </w:p>
        </w:tc>
        <w:tc>
          <w:tcPr>
            <w:tcW w:w="1200" w:type="dxa"/>
            <w:vMerge w:val="continue"/>
            <w:tcBorders>
              <w:tl2br w:val="nil"/>
              <w:tr2bl w:val="nil"/>
            </w:tcBorders>
            <w:vAlign w:val="center"/>
          </w:tcPr>
          <w:p w14:paraId="73FECF6E">
            <w:pPr>
              <w:widowControl/>
              <w:spacing w:line="240" w:lineRule="auto"/>
              <w:jc w:val="left"/>
              <w:rPr>
                <w:rFonts w:eastAsia="宋体" w:cs="Times New Roman"/>
                <w:color w:val="000000"/>
                <w:kern w:val="0"/>
                <w:sz w:val="21"/>
                <w:szCs w:val="21"/>
              </w:rPr>
            </w:pPr>
          </w:p>
        </w:tc>
      </w:tr>
      <w:tr w14:paraId="19BF8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8" w:type="dxa"/>
            <w:vMerge w:val="continue"/>
            <w:tcBorders>
              <w:tl2br w:val="nil"/>
              <w:tr2bl w:val="nil"/>
            </w:tcBorders>
            <w:vAlign w:val="center"/>
          </w:tcPr>
          <w:p w14:paraId="60C5816B">
            <w:pPr>
              <w:widowControl/>
              <w:spacing w:line="240" w:lineRule="auto"/>
              <w:jc w:val="left"/>
              <w:rPr>
                <w:rFonts w:eastAsia="宋体" w:cs="Times New Roman"/>
                <w:kern w:val="0"/>
                <w:sz w:val="21"/>
                <w:szCs w:val="21"/>
              </w:rPr>
            </w:pPr>
          </w:p>
        </w:tc>
        <w:tc>
          <w:tcPr>
            <w:tcW w:w="1076" w:type="dxa"/>
            <w:vMerge w:val="continue"/>
            <w:tcBorders>
              <w:tl2br w:val="nil"/>
              <w:tr2bl w:val="nil"/>
            </w:tcBorders>
            <w:vAlign w:val="center"/>
          </w:tcPr>
          <w:p w14:paraId="662F2394">
            <w:pPr>
              <w:widowControl/>
              <w:spacing w:line="240" w:lineRule="auto"/>
              <w:jc w:val="left"/>
              <w:rPr>
                <w:rFonts w:eastAsia="宋体" w:cs="Times New Roman"/>
                <w:color w:val="000000"/>
                <w:kern w:val="0"/>
                <w:sz w:val="21"/>
                <w:szCs w:val="21"/>
              </w:rPr>
            </w:pPr>
          </w:p>
        </w:tc>
        <w:tc>
          <w:tcPr>
            <w:tcW w:w="1765" w:type="dxa"/>
            <w:tcBorders>
              <w:tl2br w:val="nil"/>
              <w:tr2bl w:val="nil"/>
            </w:tcBorders>
            <w:shd w:val="clear" w:color="auto" w:fill="auto"/>
            <w:vAlign w:val="center"/>
          </w:tcPr>
          <w:p w14:paraId="3A52C474">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7</w:t>
            </w:r>
            <w:r>
              <w:rPr>
                <w:rFonts w:hint="eastAsia" w:eastAsia="宋体" w:cs="Times New Roman"/>
                <w:color w:val="000000"/>
                <w:kern w:val="0"/>
                <w:sz w:val="21"/>
                <w:szCs w:val="21"/>
                <w:lang w:eastAsia="zh-CN"/>
              </w:rPr>
              <w:t>年</w:t>
            </w:r>
            <w:r>
              <w:rPr>
                <w:rFonts w:hint="eastAsia" w:eastAsia="宋体" w:cs="Times New Roman"/>
                <w:color w:val="000000"/>
                <w:kern w:val="0"/>
                <w:sz w:val="21"/>
                <w:szCs w:val="21"/>
              </w:rPr>
              <w:t>～</w:t>
            </w:r>
            <w:r>
              <w:rPr>
                <w:rFonts w:eastAsia="宋体" w:cs="Times New Roman"/>
                <w:color w:val="000000"/>
                <w:kern w:val="0"/>
                <w:sz w:val="21"/>
                <w:szCs w:val="21"/>
              </w:rPr>
              <w:t>9年</w:t>
            </w:r>
          </w:p>
        </w:tc>
        <w:tc>
          <w:tcPr>
            <w:tcW w:w="709" w:type="dxa"/>
            <w:vMerge w:val="continue"/>
            <w:tcBorders>
              <w:tl2br w:val="nil"/>
              <w:tr2bl w:val="nil"/>
            </w:tcBorders>
            <w:vAlign w:val="center"/>
          </w:tcPr>
          <w:p w14:paraId="7AFD6CAB">
            <w:pPr>
              <w:widowControl/>
              <w:spacing w:line="240" w:lineRule="auto"/>
              <w:jc w:val="left"/>
              <w:rPr>
                <w:rFonts w:eastAsia="宋体" w:cs="Times New Roman"/>
                <w:color w:val="000000"/>
                <w:kern w:val="0"/>
                <w:sz w:val="21"/>
                <w:szCs w:val="21"/>
              </w:rPr>
            </w:pPr>
          </w:p>
        </w:tc>
        <w:tc>
          <w:tcPr>
            <w:tcW w:w="1118" w:type="dxa"/>
            <w:vMerge w:val="continue"/>
            <w:tcBorders>
              <w:tl2br w:val="nil"/>
              <w:tr2bl w:val="nil"/>
            </w:tcBorders>
            <w:shd w:val="clear" w:color="auto" w:fill="auto"/>
            <w:noWrap/>
            <w:vAlign w:val="center"/>
          </w:tcPr>
          <w:p w14:paraId="6AE90033">
            <w:pPr>
              <w:widowControl/>
              <w:spacing w:line="240" w:lineRule="auto"/>
              <w:jc w:val="left"/>
              <w:rPr>
                <w:rFonts w:eastAsia="宋体" w:cs="Times New Roman"/>
                <w:color w:val="000000"/>
                <w:kern w:val="0"/>
                <w:sz w:val="21"/>
                <w:szCs w:val="21"/>
              </w:rPr>
            </w:pPr>
          </w:p>
        </w:tc>
        <w:tc>
          <w:tcPr>
            <w:tcW w:w="1718" w:type="dxa"/>
            <w:tcBorders>
              <w:tl2br w:val="nil"/>
              <w:tr2bl w:val="nil"/>
            </w:tcBorders>
            <w:vAlign w:val="center"/>
          </w:tcPr>
          <w:p w14:paraId="559520A7">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10～14</w:t>
            </w:r>
          </w:p>
        </w:tc>
        <w:tc>
          <w:tcPr>
            <w:tcW w:w="1200" w:type="dxa"/>
            <w:vMerge w:val="continue"/>
            <w:tcBorders>
              <w:tl2br w:val="nil"/>
              <w:tr2bl w:val="nil"/>
            </w:tcBorders>
            <w:vAlign w:val="center"/>
          </w:tcPr>
          <w:p w14:paraId="1B6A6D3D">
            <w:pPr>
              <w:widowControl/>
              <w:spacing w:line="240" w:lineRule="auto"/>
              <w:jc w:val="left"/>
              <w:rPr>
                <w:rFonts w:eastAsia="宋体" w:cs="Times New Roman"/>
                <w:color w:val="000000"/>
                <w:kern w:val="0"/>
                <w:sz w:val="21"/>
                <w:szCs w:val="21"/>
              </w:rPr>
            </w:pPr>
          </w:p>
        </w:tc>
      </w:tr>
      <w:tr w14:paraId="55AA3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8" w:type="dxa"/>
            <w:vMerge w:val="continue"/>
            <w:tcBorders>
              <w:tl2br w:val="nil"/>
              <w:tr2bl w:val="nil"/>
            </w:tcBorders>
            <w:vAlign w:val="center"/>
          </w:tcPr>
          <w:p w14:paraId="6897F804">
            <w:pPr>
              <w:widowControl/>
              <w:spacing w:line="240" w:lineRule="auto"/>
              <w:jc w:val="left"/>
              <w:rPr>
                <w:rFonts w:eastAsia="宋体" w:cs="Times New Roman"/>
                <w:kern w:val="0"/>
                <w:sz w:val="21"/>
                <w:szCs w:val="21"/>
              </w:rPr>
            </w:pPr>
          </w:p>
        </w:tc>
        <w:tc>
          <w:tcPr>
            <w:tcW w:w="1076" w:type="dxa"/>
            <w:vMerge w:val="continue"/>
            <w:tcBorders>
              <w:tl2br w:val="nil"/>
              <w:tr2bl w:val="nil"/>
            </w:tcBorders>
            <w:vAlign w:val="center"/>
          </w:tcPr>
          <w:p w14:paraId="36532046">
            <w:pPr>
              <w:widowControl/>
              <w:spacing w:line="240" w:lineRule="auto"/>
              <w:jc w:val="left"/>
              <w:rPr>
                <w:rFonts w:eastAsia="宋体" w:cs="Times New Roman"/>
                <w:color w:val="000000"/>
                <w:kern w:val="0"/>
                <w:sz w:val="21"/>
                <w:szCs w:val="21"/>
              </w:rPr>
            </w:pPr>
          </w:p>
        </w:tc>
        <w:tc>
          <w:tcPr>
            <w:tcW w:w="1765" w:type="dxa"/>
            <w:tcBorders>
              <w:tl2br w:val="nil"/>
              <w:tr2bl w:val="nil"/>
            </w:tcBorders>
            <w:shd w:val="clear" w:color="auto" w:fill="auto"/>
            <w:vAlign w:val="center"/>
          </w:tcPr>
          <w:p w14:paraId="383D4A3C">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10</w:t>
            </w:r>
            <w:r>
              <w:rPr>
                <w:rFonts w:hint="eastAsia" w:eastAsia="宋体" w:cs="Times New Roman"/>
                <w:color w:val="000000"/>
                <w:kern w:val="0"/>
                <w:sz w:val="21"/>
                <w:szCs w:val="21"/>
                <w:lang w:eastAsia="zh-CN"/>
              </w:rPr>
              <w:t>年</w:t>
            </w:r>
            <w:r>
              <w:rPr>
                <w:rFonts w:hint="eastAsia" w:eastAsia="宋体" w:cs="Times New Roman"/>
                <w:color w:val="000000"/>
                <w:kern w:val="0"/>
                <w:sz w:val="21"/>
                <w:szCs w:val="21"/>
              </w:rPr>
              <w:t>～</w:t>
            </w:r>
            <w:r>
              <w:rPr>
                <w:rFonts w:eastAsia="宋体" w:cs="Times New Roman"/>
                <w:color w:val="000000"/>
                <w:kern w:val="0"/>
                <w:sz w:val="21"/>
                <w:szCs w:val="21"/>
              </w:rPr>
              <w:t>12年</w:t>
            </w:r>
          </w:p>
        </w:tc>
        <w:tc>
          <w:tcPr>
            <w:tcW w:w="709" w:type="dxa"/>
            <w:vMerge w:val="continue"/>
            <w:tcBorders>
              <w:tl2br w:val="nil"/>
              <w:tr2bl w:val="nil"/>
            </w:tcBorders>
            <w:vAlign w:val="center"/>
          </w:tcPr>
          <w:p w14:paraId="00D35C83">
            <w:pPr>
              <w:widowControl/>
              <w:spacing w:line="240" w:lineRule="auto"/>
              <w:jc w:val="left"/>
              <w:rPr>
                <w:rFonts w:eastAsia="宋体" w:cs="Times New Roman"/>
                <w:color w:val="000000"/>
                <w:kern w:val="0"/>
                <w:sz w:val="21"/>
                <w:szCs w:val="21"/>
              </w:rPr>
            </w:pPr>
          </w:p>
        </w:tc>
        <w:tc>
          <w:tcPr>
            <w:tcW w:w="1118" w:type="dxa"/>
            <w:vMerge w:val="continue"/>
            <w:tcBorders>
              <w:tl2br w:val="nil"/>
              <w:tr2bl w:val="nil"/>
            </w:tcBorders>
            <w:shd w:val="clear" w:color="auto" w:fill="auto"/>
            <w:noWrap/>
            <w:vAlign w:val="center"/>
          </w:tcPr>
          <w:p w14:paraId="359BDED7">
            <w:pPr>
              <w:widowControl/>
              <w:spacing w:line="240" w:lineRule="auto"/>
              <w:jc w:val="left"/>
              <w:rPr>
                <w:rFonts w:eastAsia="宋体" w:cs="Times New Roman"/>
                <w:color w:val="000000"/>
                <w:kern w:val="0"/>
                <w:sz w:val="21"/>
                <w:szCs w:val="21"/>
              </w:rPr>
            </w:pPr>
          </w:p>
        </w:tc>
        <w:tc>
          <w:tcPr>
            <w:tcW w:w="1718" w:type="dxa"/>
            <w:tcBorders>
              <w:tl2br w:val="nil"/>
              <w:tr2bl w:val="nil"/>
            </w:tcBorders>
            <w:vAlign w:val="center"/>
          </w:tcPr>
          <w:p w14:paraId="41917104">
            <w:pPr>
              <w:widowControl/>
              <w:spacing w:line="240" w:lineRule="auto"/>
              <w:jc w:val="center"/>
              <w:rPr>
                <w:rFonts w:eastAsia="宋体" w:cs="Times New Roman"/>
                <w:color w:val="000000"/>
                <w:kern w:val="0"/>
                <w:sz w:val="21"/>
                <w:szCs w:val="21"/>
              </w:rPr>
            </w:pPr>
            <w:r>
              <w:rPr>
                <w:rFonts w:hint="eastAsia" w:eastAsia="宋体" w:cs="Times New Roman"/>
                <w:color w:val="000000"/>
                <w:kern w:val="0"/>
                <w:sz w:val="21"/>
                <w:szCs w:val="21"/>
              </w:rPr>
              <w:t>16～20</w:t>
            </w:r>
          </w:p>
        </w:tc>
        <w:tc>
          <w:tcPr>
            <w:tcW w:w="1200" w:type="dxa"/>
            <w:vMerge w:val="continue"/>
            <w:tcBorders>
              <w:tl2br w:val="nil"/>
              <w:tr2bl w:val="nil"/>
            </w:tcBorders>
            <w:vAlign w:val="center"/>
          </w:tcPr>
          <w:p w14:paraId="72AC60F7">
            <w:pPr>
              <w:widowControl/>
              <w:spacing w:line="240" w:lineRule="auto"/>
              <w:jc w:val="left"/>
              <w:rPr>
                <w:rFonts w:eastAsia="宋体" w:cs="Times New Roman"/>
                <w:color w:val="000000"/>
                <w:kern w:val="0"/>
                <w:sz w:val="21"/>
                <w:szCs w:val="21"/>
              </w:rPr>
            </w:pPr>
          </w:p>
        </w:tc>
      </w:tr>
    </w:tbl>
    <w:p w14:paraId="428142A4">
      <w:pPr>
        <w:pStyle w:val="108"/>
        <w:numPr>
          <w:ilvl w:val="0"/>
          <w:numId w:val="0"/>
        </w:numPr>
        <w:ind w:left="420" w:hanging="420" w:hangingChars="200"/>
        <w:rPr>
          <w:rFonts w:hint="eastAsia" w:eastAsia="宋体" w:cs="Times New Roman"/>
          <w:color w:val="000000"/>
          <w:kern w:val="0"/>
          <w:szCs w:val="21"/>
          <w:lang w:eastAsia="zh-CN"/>
        </w:rPr>
      </w:pPr>
      <w:r>
        <w:rPr>
          <w:rFonts w:hint="eastAsia" w:eastAsia="宋体" w:cs="Times New Roman"/>
          <w:color w:val="000000"/>
          <w:kern w:val="0"/>
          <w:szCs w:val="21"/>
        </w:rPr>
        <w:t>注：</w:t>
      </w:r>
      <w:r>
        <w:rPr>
          <w:rFonts w:eastAsia="宋体" w:cs="Times New Roman"/>
          <w:color w:val="000000"/>
          <w:kern w:val="0"/>
          <w:szCs w:val="21"/>
        </w:rPr>
        <w:t>设备使用年限越长，设备寿命</w:t>
      </w:r>
      <w:r>
        <w:rPr>
          <w:rFonts w:hint="eastAsia" w:eastAsia="宋体" w:cs="Times New Roman"/>
          <w:color w:val="000000"/>
          <w:kern w:val="0"/>
          <w:szCs w:val="21"/>
          <w:lang w:eastAsia="zh-CN"/>
        </w:rPr>
        <w:t>、</w:t>
      </w:r>
      <w:r>
        <w:rPr>
          <w:rFonts w:eastAsia="宋体" w:cs="Times New Roman"/>
          <w:color w:val="000000"/>
          <w:kern w:val="0"/>
          <w:szCs w:val="21"/>
        </w:rPr>
        <w:t>性能等下降越严重</w:t>
      </w:r>
      <w:r>
        <w:rPr>
          <w:rFonts w:hint="eastAsia" w:eastAsia="宋体" w:cs="Times New Roman"/>
          <w:color w:val="000000"/>
          <w:kern w:val="0"/>
          <w:szCs w:val="21"/>
          <w:lang w:eastAsia="zh-CN"/>
        </w:rPr>
        <w:t>。当仪器仪表无故障时，可按工作年限评分。</w:t>
      </w:r>
    </w:p>
    <w:p w14:paraId="45147C19">
      <w:pPr>
        <w:pStyle w:val="108"/>
        <w:numPr>
          <w:ilvl w:val="0"/>
          <w:numId w:val="0"/>
        </w:numPr>
        <w:ind w:left="420" w:hanging="420" w:hangingChars="200"/>
        <w:rPr>
          <w:rFonts w:hint="eastAsia" w:eastAsia="宋体" w:cs="Times New Roman"/>
          <w:color w:val="000000"/>
          <w:kern w:val="0"/>
          <w:szCs w:val="21"/>
          <w:lang w:eastAsia="zh-CN"/>
        </w:rPr>
      </w:pPr>
    </w:p>
    <w:p w14:paraId="3E5653ED">
      <w:r>
        <w:rPr>
          <w:rFonts w:hint="eastAsia"/>
          <w:b/>
          <w:bCs/>
        </w:rPr>
        <w:t>11.3.3　</w:t>
      </w:r>
      <w:r>
        <w:rPr>
          <w:rFonts w:hint="eastAsia"/>
        </w:rPr>
        <w:t>附属设施检查评估等级应按表11.3.3进行划分。</w:t>
      </w:r>
    </w:p>
    <w:p w14:paraId="25A14815">
      <w:pPr>
        <w:pStyle w:val="57"/>
        <w:keepNext/>
        <w:keepLines w:val="0"/>
        <w:pageBreakBefore w:val="0"/>
        <w:widowControl/>
        <w:kinsoku/>
        <w:wordWrap/>
        <w:overflowPunct/>
        <w:topLinePunct w:val="0"/>
        <w:autoSpaceDE/>
        <w:autoSpaceDN/>
        <w:bidi w:val="0"/>
        <w:adjustRightInd/>
        <w:snapToGrid/>
        <w:textAlignment w:val="auto"/>
      </w:pPr>
      <w:r>
        <w:rPr>
          <w:rFonts w:hint="eastAsia"/>
        </w:rPr>
        <w:t>表11.3.3　附属设施检查评估等级划分</w:t>
      </w:r>
    </w:p>
    <w:tbl>
      <w:tblPr>
        <w:tblStyle w:val="30"/>
        <w:tblW w:w="75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040"/>
        <w:gridCol w:w="3359"/>
      </w:tblGrid>
      <w:tr w14:paraId="1888B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l2br w:val="nil"/>
              <w:tr2bl w:val="nil"/>
            </w:tcBorders>
            <w:vAlign w:val="center"/>
          </w:tcPr>
          <w:p w14:paraId="42428AAB">
            <w:pPr>
              <w:spacing w:line="240" w:lineRule="auto"/>
              <w:jc w:val="center"/>
              <w:rPr>
                <w:sz w:val="21"/>
                <w:szCs w:val="21"/>
              </w:rPr>
            </w:pPr>
            <w:r>
              <w:rPr>
                <w:rFonts w:cs="Times New Roman"/>
                <w:sz w:val="21"/>
                <w:szCs w:val="21"/>
              </w:rPr>
              <w:t>总分值</w:t>
            </w:r>
            <w:r>
              <w:rPr>
                <w:rFonts w:hint="eastAsia" w:cs="Times New Roman"/>
                <w:sz w:val="21"/>
                <w:szCs w:val="21"/>
              </w:rPr>
              <w:t>（</w:t>
            </w:r>
            <w:r>
              <w:rPr>
                <w:rFonts w:cs="Times New Roman"/>
                <w:i/>
                <w:iCs/>
              </w:rPr>
              <w:t>P</w:t>
            </w:r>
            <w:r>
              <w:rPr>
                <w:rFonts w:hint="eastAsia" w:cs="Times New Roman"/>
                <w:vertAlign w:val="subscript"/>
              </w:rPr>
              <w:t>f</w:t>
            </w:r>
            <w:r>
              <w:rPr>
                <w:rFonts w:hint="eastAsia" w:cs="Times New Roman"/>
                <w:sz w:val="21"/>
                <w:szCs w:val="21"/>
              </w:rPr>
              <w:t>）</w:t>
            </w:r>
          </w:p>
        </w:tc>
        <w:tc>
          <w:tcPr>
            <w:tcW w:w="2040" w:type="dxa"/>
            <w:tcBorders>
              <w:tl2br w:val="nil"/>
              <w:tr2bl w:val="nil"/>
            </w:tcBorders>
            <w:vAlign w:val="center"/>
          </w:tcPr>
          <w:p w14:paraId="7C460D75">
            <w:pPr>
              <w:spacing w:line="240" w:lineRule="auto"/>
              <w:jc w:val="center"/>
              <w:rPr>
                <w:sz w:val="21"/>
                <w:szCs w:val="21"/>
              </w:rPr>
            </w:pPr>
            <w:r>
              <w:rPr>
                <w:rFonts w:hint="eastAsia"/>
                <w:sz w:val="21"/>
                <w:szCs w:val="21"/>
              </w:rPr>
              <w:t>等级</w:t>
            </w:r>
          </w:p>
        </w:tc>
        <w:tc>
          <w:tcPr>
            <w:tcW w:w="3359" w:type="dxa"/>
            <w:tcBorders>
              <w:tl2br w:val="nil"/>
              <w:tr2bl w:val="nil"/>
            </w:tcBorders>
            <w:vAlign w:val="center"/>
          </w:tcPr>
          <w:p w14:paraId="18ED5EA7">
            <w:pPr>
              <w:spacing w:line="240" w:lineRule="auto"/>
              <w:jc w:val="center"/>
              <w:rPr>
                <w:sz w:val="21"/>
                <w:szCs w:val="21"/>
              </w:rPr>
            </w:pPr>
            <w:r>
              <w:rPr>
                <w:rFonts w:hint="eastAsia"/>
                <w:sz w:val="21"/>
                <w:szCs w:val="21"/>
              </w:rPr>
              <w:t>备注</w:t>
            </w:r>
          </w:p>
        </w:tc>
      </w:tr>
      <w:tr w14:paraId="6B104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l2br w:val="nil"/>
              <w:tr2bl w:val="nil"/>
            </w:tcBorders>
            <w:vAlign w:val="center"/>
          </w:tcPr>
          <w:p w14:paraId="2E7D6422">
            <w:pPr>
              <w:spacing w:line="240" w:lineRule="auto"/>
              <w:jc w:val="center"/>
              <w:rPr>
                <w:sz w:val="21"/>
                <w:szCs w:val="21"/>
              </w:rPr>
            </w:pPr>
            <w:r>
              <w:rPr>
                <w:rFonts w:hint="eastAsia"/>
                <w:sz w:val="21"/>
                <w:szCs w:val="21"/>
              </w:rPr>
              <w:t>0</w:t>
            </w:r>
            <w:r>
              <w:rPr>
                <w:rFonts w:hint="eastAsia"/>
                <w:sz w:val="21"/>
                <w:szCs w:val="21"/>
                <w:lang w:eastAsia="zh-CN"/>
              </w:rPr>
              <w:t>分</w:t>
            </w:r>
            <w:r>
              <w:rPr>
                <w:rFonts w:hint="eastAsia"/>
                <w:sz w:val="21"/>
                <w:szCs w:val="21"/>
              </w:rPr>
              <w:t>～59分</w:t>
            </w:r>
          </w:p>
        </w:tc>
        <w:tc>
          <w:tcPr>
            <w:tcW w:w="2040" w:type="dxa"/>
            <w:tcBorders>
              <w:tl2br w:val="nil"/>
              <w:tr2bl w:val="nil"/>
            </w:tcBorders>
            <w:vAlign w:val="center"/>
          </w:tcPr>
          <w:p w14:paraId="6EC62B7E">
            <w:pPr>
              <w:spacing w:line="240" w:lineRule="auto"/>
              <w:jc w:val="center"/>
              <w:rPr>
                <w:sz w:val="21"/>
                <w:szCs w:val="21"/>
              </w:rPr>
            </w:pPr>
            <w:r>
              <w:rPr>
                <w:rFonts w:hint="eastAsia"/>
                <w:sz w:val="21"/>
                <w:szCs w:val="21"/>
              </w:rPr>
              <w:t>Ⅰ</w:t>
            </w:r>
          </w:p>
        </w:tc>
        <w:tc>
          <w:tcPr>
            <w:tcW w:w="3359" w:type="dxa"/>
            <w:tcBorders>
              <w:tl2br w:val="nil"/>
              <w:tr2bl w:val="nil"/>
            </w:tcBorders>
            <w:vAlign w:val="center"/>
          </w:tcPr>
          <w:p w14:paraId="54B67D7C">
            <w:pPr>
              <w:spacing w:line="240" w:lineRule="auto"/>
              <w:jc w:val="center"/>
              <w:rPr>
                <w:sz w:val="21"/>
                <w:szCs w:val="21"/>
              </w:rPr>
            </w:pPr>
            <w:r>
              <w:rPr>
                <w:rFonts w:hint="eastAsia"/>
                <w:sz w:val="21"/>
                <w:szCs w:val="21"/>
              </w:rPr>
              <w:t>若单项最高分值大于75分，则评估等级取低一级</w:t>
            </w:r>
          </w:p>
        </w:tc>
      </w:tr>
      <w:tr w14:paraId="54057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l2br w:val="nil"/>
              <w:tr2bl w:val="nil"/>
            </w:tcBorders>
            <w:vAlign w:val="center"/>
          </w:tcPr>
          <w:p w14:paraId="03F6726B">
            <w:pPr>
              <w:spacing w:line="240" w:lineRule="auto"/>
              <w:jc w:val="center"/>
              <w:rPr>
                <w:sz w:val="21"/>
                <w:szCs w:val="21"/>
              </w:rPr>
            </w:pPr>
            <w:r>
              <w:rPr>
                <w:rFonts w:hint="eastAsia"/>
                <w:sz w:val="21"/>
                <w:szCs w:val="21"/>
              </w:rPr>
              <w:t>6</w:t>
            </w:r>
            <w:r>
              <w:rPr>
                <w:sz w:val="21"/>
                <w:szCs w:val="21"/>
              </w:rPr>
              <w:t>0</w:t>
            </w:r>
            <w:r>
              <w:rPr>
                <w:rFonts w:hint="eastAsia"/>
                <w:sz w:val="21"/>
                <w:szCs w:val="21"/>
                <w:lang w:eastAsia="zh-CN"/>
              </w:rPr>
              <w:t>分</w:t>
            </w:r>
            <w:r>
              <w:rPr>
                <w:rFonts w:hint="eastAsia"/>
                <w:sz w:val="21"/>
                <w:szCs w:val="21"/>
              </w:rPr>
              <w:t>～</w:t>
            </w:r>
            <w:r>
              <w:rPr>
                <w:sz w:val="21"/>
                <w:szCs w:val="21"/>
              </w:rPr>
              <w:t>74</w:t>
            </w:r>
            <w:r>
              <w:rPr>
                <w:rFonts w:hint="eastAsia"/>
                <w:sz w:val="21"/>
                <w:szCs w:val="21"/>
              </w:rPr>
              <w:t>分</w:t>
            </w:r>
          </w:p>
        </w:tc>
        <w:tc>
          <w:tcPr>
            <w:tcW w:w="2040" w:type="dxa"/>
            <w:tcBorders>
              <w:tl2br w:val="nil"/>
              <w:tr2bl w:val="nil"/>
            </w:tcBorders>
            <w:vAlign w:val="center"/>
          </w:tcPr>
          <w:p w14:paraId="0A40D95A">
            <w:pPr>
              <w:spacing w:line="240" w:lineRule="auto"/>
              <w:jc w:val="center"/>
              <w:rPr>
                <w:sz w:val="21"/>
                <w:szCs w:val="21"/>
              </w:rPr>
            </w:pPr>
            <w:r>
              <w:rPr>
                <w:rFonts w:hint="eastAsia"/>
                <w:sz w:val="21"/>
                <w:szCs w:val="21"/>
              </w:rPr>
              <w:t>Ⅱ</w:t>
            </w:r>
          </w:p>
        </w:tc>
        <w:tc>
          <w:tcPr>
            <w:tcW w:w="3359" w:type="dxa"/>
            <w:tcBorders>
              <w:tl2br w:val="nil"/>
              <w:tr2bl w:val="nil"/>
            </w:tcBorders>
            <w:vAlign w:val="center"/>
          </w:tcPr>
          <w:p w14:paraId="40BD48C8">
            <w:pPr>
              <w:spacing w:line="240" w:lineRule="auto"/>
              <w:jc w:val="center"/>
              <w:rPr>
                <w:sz w:val="21"/>
                <w:szCs w:val="21"/>
              </w:rPr>
            </w:pPr>
            <w:r>
              <w:rPr>
                <w:rFonts w:hint="eastAsia"/>
                <w:sz w:val="21"/>
                <w:szCs w:val="21"/>
              </w:rPr>
              <w:t>若单项最高分值大于85分，则评估等级取低一级</w:t>
            </w:r>
          </w:p>
        </w:tc>
      </w:tr>
      <w:tr w14:paraId="03D8D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l2br w:val="nil"/>
              <w:tr2bl w:val="nil"/>
            </w:tcBorders>
            <w:vAlign w:val="center"/>
          </w:tcPr>
          <w:p w14:paraId="0BF1D292">
            <w:pPr>
              <w:spacing w:line="240" w:lineRule="auto"/>
              <w:jc w:val="center"/>
              <w:rPr>
                <w:sz w:val="21"/>
                <w:szCs w:val="21"/>
              </w:rPr>
            </w:pPr>
            <w:r>
              <w:rPr>
                <w:sz w:val="21"/>
                <w:szCs w:val="21"/>
              </w:rPr>
              <w:t>75</w:t>
            </w:r>
            <w:r>
              <w:rPr>
                <w:rFonts w:hint="eastAsia"/>
                <w:sz w:val="21"/>
                <w:szCs w:val="21"/>
                <w:lang w:eastAsia="zh-CN"/>
              </w:rPr>
              <w:t>分</w:t>
            </w:r>
            <w:r>
              <w:rPr>
                <w:rFonts w:hint="eastAsia"/>
                <w:sz w:val="21"/>
                <w:szCs w:val="21"/>
              </w:rPr>
              <w:t>～</w:t>
            </w:r>
            <w:r>
              <w:rPr>
                <w:sz w:val="21"/>
                <w:szCs w:val="21"/>
              </w:rPr>
              <w:t>84</w:t>
            </w:r>
            <w:r>
              <w:rPr>
                <w:rFonts w:hint="eastAsia"/>
                <w:sz w:val="21"/>
                <w:szCs w:val="21"/>
              </w:rPr>
              <w:t>分</w:t>
            </w:r>
          </w:p>
        </w:tc>
        <w:tc>
          <w:tcPr>
            <w:tcW w:w="2040" w:type="dxa"/>
            <w:tcBorders>
              <w:tl2br w:val="nil"/>
              <w:tr2bl w:val="nil"/>
            </w:tcBorders>
            <w:vAlign w:val="center"/>
          </w:tcPr>
          <w:p w14:paraId="4A91E59B">
            <w:pPr>
              <w:pStyle w:val="2"/>
              <w:spacing w:line="240" w:lineRule="auto"/>
              <w:ind w:left="0" w:firstLine="0" w:firstLineChars="0"/>
              <w:jc w:val="center"/>
              <w:rPr>
                <w:sz w:val="21"/>
              </w:rPr>
            </w:pPr>
            <w:r>
              <w:rPr>
                <w:rFonts w:hint="eastAsia"/>
                <w:sz w:val="21"/>
              </w:rPr>
              <w:t>Ⅲ</w:t>
            </w:r>
          </w:p>
        </w:tc>
        <w:tc>
          <w:tcPr>
            <w:tcW w:w="3359" w:type="dxa"/>
            <w:tcBorders>
              <w:tl2br w:val="nil"/>
              <w:tr2bl w:val="nil"/>
            </w:tcBorders>
            <w:vAlign w:val="center"/>
          </w:tcPr>
          <w:p w14:paraId="238F71E3">
            <w:pPr>
              <w:spacing w:line="240" w:lineRule="auto"/>
              <w:jc w:val="center"/>
              <w:rPr>
                <w:sz w:val="21"/>
                <w:szCs w:val="21"/>
              </w:rPr>
            </w:pPr>
            <w:r>
              <w:rPr>
                <w:rFonts w:hint="eastAsia"/>
                <w:sz w:val="21"/>
                <w:szCs w:val="21"/>
              </w:rPr>
              <w:t>若单项最高分值大于95分，则评估等级取低一级</w:t>
            </w:r>
          </w:p>
        </w:tc>
      </w:tr>
      <w:tr w14:paraId="465DA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tcBorders>
              <w:tl2br w:val="nil"/>
              <w:tr2bl w:val="nil"/>
            </w:tcBorders>
            <w:vAlign w:val="center"/>
          </w:tcPr>
          <w:p w14:paraId="0888FEC9">
            <w:pPr>
              <w:spacing w:line="240" w:lineRule="auto"/>
              <w:jc w:val="center"/>
              <w:rPr>
                <w:sz w:val="21"/>
                <w:szCs w:val="21"/>
              </w:rPr>
            </w:pPr>
            <w:r>
              <w:rPr>
                <w:rFonts w:hint="eastAsia"/>
                <w:sz w:val="21"/>
                <w:szCs w:val="21"/>
              </w:rPr>
              <w:t>8</w:t>
            </w:r>
            <w:r>
              <w:rPr>
                <w:sz w:val="21"/>
                <w:szCs w:val="21"/>
              </w:rPr>
              <w:t>5</w:t>
            </w:r>
            <w:r>
              <w:rPr>
                <w:rFonts w:hint="eastAsia"/>
                <w:sz w:val="21"/>
                <w:szCs w:val="21"/>
                <w:lang w:eastAsia="zh-CN"/>
              </w:rPr>
              <w:t>分</w:t>
            </w:r>
            <w:r>
              <w:rPr>
                <w:rFonts w:hint="eastAsia"/>
                <w:sz w:val="21"/>
                <w:szCs w:val="21"/>
              </w:rPr>
              <w:t>～</w:t>
            </w:r>
            <w:r>
              <w:rPr>
                <w:sz w:val="21"/>
                <w:szCs w:val="21"/>
              </w:rPr>
              <w:t>100</w:t>
            </w:r>
            <w:r>
              <w:rPr>
                <w:rFonts w:hint="eastAsia"/>
                <w:sz w:val="21"/>
                <w:szCs w:val="21"/>
              </w:rPr>
              <w:t>分</w:t>
            </w:r>
          </w:p>
        </w:tc>
        <w:tc>
          <w:tcPr>
            <w:tcW w:w="2040" w:type="dxa"/>
            <w:tcBorders>
              <w:tl2br w:val="nil"/>
              <w:tr2bl w:val="nil"/>
            </w:tcBorders>
            <w:vAlign w:val="center"/>
          </w:tcPr>
          <w:p w14:paraId="5DE331AD">
            <w:pPr>
              <w:pStyle w:val="2"/>
              <w:spacing w:line="240" w:lineRule="auto"/>
              <w:ind w:left="0" w:firstLine="0" w:firstLineChars="0"/>
              <w:jc w:val="center"/>
              <w:rPr>
                <w:sz w:val="21"/>
              </w:rPr>
            </w:pPr>
            <w:r>
              <w:rPr>
                <w:rFonts w:hint="eastAsia"/>
                <w:sz w:val="21"/>
              </w:rPr>
              <w:t>Ⅳ</w:t>
            </w:r>
          </w:p>
        </w:tc>
        <w:tc>
          <w:tcPr>
            <w:tcW w:w="3359" w:type="dxa"/>
            <w:tcBorders>
              <w:tl2br w:val="nil"/>
              <w:tr2bl w:val="nil"/>
            </w:tcBorders>
            <w:vAlign w:val="center"/>
          </w:tcPr>
          <w:p w14:paraId="078F08E3">
            <w:pPr>
              <w:pStyle w:val="2"/>
              <w:spacing w:line="240" w:lineRule="auto"/>
              <w:ind w:left="0" w:firstLine="0" w:firstLineChars="0"/>
              <w:jc w:val="center"/>
              <w:rPr>
                <w:sz w:val="21"/>
              </w:rPr>
            </w:pPr>
            <w:r>
              <w:rPr>
                <w:rFonts w:hint="eastAsia"/>
                <w:sz w:val="21"/>
              </w:rPr>
              <w:t>——</w:t>
            </w:r>
          </w:p>
        </w:tc>
      </w:tr>
    </w:tbl>
    <w:p w14:paraId="414516F0">
      <w:pPr>
        <w:pStyle w:val="2"/>
        <w:ind w:firstLine="240"/>
      </w:pPr>
    </w:p>
    <w:p w14:paraId="418E0BBD">
      <w:pPr>
        <w:sectPr>
          <w:pgSz w:w="11906" w:h="16838"/>
          <w:pgMar w:top="1440" w:right="1800" w:bottom="1440" w:left="1800" w:header="851" w:footer="992" w:gutter="0"/>
          <w:cols w:space="425" w:num="1"/>
          <w:docGrid w:type="lines" w:linePitch="312" w:charSpace="0"/>
        </w:sectPr>
      </w:pPr>
    </w:p>
    <w:bookmarkEnd w:id="319"/>
    <w:bookmarkEnd w:id="320"/>
    <w:p w14:paraId="733B087D">
      <w:pPr>
        <w:pStyle w:val="4"/>
      </w:pPr>
      <w:bookmarkStart w:id="380" w:name="_Toc240"/>
      <w:bookmarkStart w:id="381" w:name="_Toc8547"/>
      <w:bookmarkStart w:id="382" w:name="_Toc21350"/>
      <w:bookmarkStart w:id="383" w:name="_Toc23233"/>
      <w:bookmarkStart w:id="384" w:name="_Toc30548"/>
      <w:bookmarkStart w:id="385" w:name="_Toc1834"/>
      <w:bookmarkStart w:id="386" w:name="_Toc181825587"/>
      <w:r>
        <w:rPr>
          <w:rFonts w:hint="eastAsia"/>
        </w:rPr>
        <w:t>12　成果</w:t>
      </w:r>
      <w:bookmarkEnd w:id="380"/>
      <w:bookmarkEnd w:id="381"/>
      <w:bookmarkEnd w:id="382"/>
      <w:bookmarkEnd w:id="383"/>
      <w:bookmarkEnd w:id="384"/>
      <w:bookmarkEnd w:id="385"/>
      <w:r>
        <w:rPr>
          <w:rFonts w:hint="eastAsia"/>
        </w:rPr>
        <w:t>资料</w:t>
      </w:r>
      <w:bookmarkEnd w:id="386"/>
    </w:p>
    <w:p w14:paraId="0F87DC5D">
      <w:pPr>
        <w:widowControl/>
        <w:jc w:val="left"/>
        <w:rPr>
          <w:b/>
          <w:szCs w:val="24"/>
        </w:rPr>
      </w:pPr>
      <w:r>
        <w:rPr>
          <w:rFonts w:hint="eastAsia"/>
          <w:b/>
          <w:szCs w:val="24"/>
        </w:rPr>
        <w:t>12.0.1　</w:t>
      </w:r>
      <w:r>
        <w:rPr>
          <w:rFonts w:hint="eastAsia"/>
          <w:bCs/>
          <w:szCs w:val="24"/>
        </w:rPr>
        <w:t>检测与评估成果应包括</w:t>
      </w:r>
      <w:r>
        <w:rPr>
          <w:rFonts w:hint="eastAsia"/>
          <w:szCs w:val="24"/>
        </w:rPr>
        <w:t>任务书、检测与评估报告。</w:t>
      </w:r>
    </w:p>
    <w:p w14:paraId="359C4906">
      <w:pPr>
        <w:rPr>
          <w:szCs w:val="24"/>
        </w:rPr>
      </w:pPr>
      <w:r>
        <w:rPr>
          <w:rFonts w:hint="eastAsia"/>
          <w:b/>
          <w:szCs w:val="24"/>
        </w:rPr>
        <w:t>12.0.2　</w:t>
      </w:r>
      <w:r>
        <w:rPr>
          <w:rFonts w:hint="eastAsia" w:ascii="宋体" w:hAnsi="宋体" w:cs="宋体"/>
          <w:kern w:val="0"/>
          <w:szCs w:val="24"/>
        </w:rPr>
        <w:t>检测与评估</w:t>
      </w:r>
      <w:r>
        <w:rPr>
          <w:rFonts w:hint="eastAsia"/>
          <w:szCs w:val="24"/>
        </w:rPr>
        <w:t>资料应包括下列内容：</w:t>
      </w:r>
    </w:p>
    <w:p w14:paraId="1CF7482C">
      <w:pPr>
        <w:ind w:firstLine="482" w:firstLineChars="200"/>
        <w:rPr>
          <w:szCs w:val="24"/>
        </w:rPr>
      </w:pPr>
      <w:r>
        <w:rPr>
          <w:rFonts w:hint="eastAsia"/>
          <w:b/>
          <w:szCs w:val="24"/>
        </w:rPr>
        <w:t>1　</w:t>
      </w:r>
      <w:r>
        <w:rPr>
          <w:rFonts w:hint="eastAsia"/>
          <w:szCs w:val="24"/>
        </w:rPr>
        <w:t>任务书、技术设计书；</w:t>
      </w:r>
    </w:p>
    <w:p w14:paraId="084276BA">
      <w:pPr>
        <w:ind w:firstLine="482" w:firstLineChars="200"/>
        <w:rPr>
          <w:szCs w:val="24"/>
        </w:rPr>
      </w:pPr>
      <w:r>
        <w:rPr>
          <w:rFonts w:hint="eastAsia"/>
          <w:b/>
          <w:szCs w:val="24"/>
        </w:rPr>
        <w:t>2　</w:t>
      </w:r>
      <w:r>
        <w:rPr>
          <w:rFonts w:hint="eastAsia"/>
          <w:szCs w:val="24"/>
        </w:rPr>
        <w:t>利用的已有成果资料；</w:t>
      </w:r>
    </w:p>
    <w:p w14:paraId="1B840B98">
      <w:pPr>
        <w:ind w:firstLine="482" w:firstLineChars="200"/>
        <w:rPr>
          <w:rFonts w:ascii="宋体" w:hAnsi="宋体"/>
          <w:szCs w:val="24"/>
        </w:rPr>
      </w:pPr>
      <w:r>
        <w:rPr>
          <w:rFonts w:hint="eastAsia"/>
          <w:b/>
          <w:szCs w:val="24"/>
        </w:rPr>
        <w:t>3　</w:t>
      </w:r>
      <w:r>
        <w:rPr>
          <w:rFonts w:hint="eastAsia" w:ascii="宋体" w:hAnsi="宋体"/>
          <w:szCs w:val="24"/>
        </w:rPr>
        <w:t>现场工作记录资料，应包括下列内容：</w:t>
      </w:r>
    </w:p>
    <w:p w14:paraId="6264E41D">
      <w:pPr>
        <w:ind w:left="1201" w:leftChars="350" w:hanging="361" w:hangingChars="150"/>
        <w:jc w:val="left"/>
        <w:rPr>
          <w:rFonts w:cs="Times New Roman"/>
          <w:szCs w:val="24"/>
        </w:rPr>
      </w:pPr>
      <w:r>
        <w:rPr>
          <w:rFonts w:cs="Times New Roman"/>
          <w:b/>
          <w:szCs w:val="24"/>
        </w:rPr>
        <w:t>1）</w:t>
      </w:r>
      <w:r>
        <w:rPr>
          <w:rFonts w:cs="Times New Roman"/>
          <w:szCs w:val="24"/>
        </w:rPr>
        <w:t>检测单位、监督单位等代表签字的证明资料；</w:t>
      </w:r>
    </w:p>
    <w:p w14:paraId="64C74DB3">
      <w:pPr>
        <w:ind w:left="1201" w:leftChars="350" w:hanging="361" w:hangingChars="150"/>
        <w:jc w:val="left"/>
        <w:rPr>
          <w:szCs w:val="24"/>
        </w:rPr>
      </w:pPr>
      <w:r>
        <w:rPr>
          <w:rFonts w:cs="Times New Roman"/>
          <w:b/>
          <w:szCs w:val="24"/>
        </w:rPr>
        <w:t>2）</w:t>
      </w:r>
      <w:r>
        <w:rPr>
          <w:rFonts w:hint="eastAsia" w:ascii="宋体" w:hAnsi="宋体"/>
          <w:szCs w:val="24"/>
        </w:rPr>
        <w:t>现场踏勘记录、检测现场记录表、井类检查记录表、阀类检查记录表、仪器仪表检查表、工作地点示意图、</w:t>
      </w:r>
      <w:r>
        <w:rPr>
          <w:rFonts w:ascii="宋体" w:hAnsi="宋体" w:cs="宋体"/>
          <w:kern w:val="0"/>
          <w:szCs w:val="24"/>
        </w:rPr>
        <w:t>现场照片</w:t>
      </w:r>
      <w:r>
        <w:rPr>
          <w:rFonts w:hint="eastAsia" w:ascii="宋体" w:hAnsi="宋体" w:cs="宋体"/>
          <w:kern w:val="0"/>
          <w:szCs w:val="24"/>
        </w:rPr>
        <w:t>；</w:t>
      </w:r>
    </w:p>
    <w:p w14:paraId="1F8D0F61">
      <w:pPr>
        <w:ind w:firstLine="482" w:firstLineChars="200"/>
        <w:rPr>
          <w:szCs w:val="24"/>
        </w:rPr>
      </w:pPr>
      <w:r>
        <w:rPr>
          <w:rFonts w:hint="eastAsia"/>
          <w:b/>
          <w:szCs w:val="24"/>
        </w:rPr>
        <w:t>4　</w:t>
      </w:r>
      <w:r>
        <w:rPr>
          <w:rFonts w:hint="eastAsia"/>
          <w:szCs w:val="24"/>
        </w:rPr>
        <w:t>检测与评估报告；</w:t>
      </w:r>
    </w:p>
    <w:p w14:paraId="7EED3866">
      <w:pPr>
        <w:ind w:firstLine="482" w:firstLineChars="200"/>
        <w:rPr>
          <w:szCs w:val="24"/>
        </w:rPr>
      </w:pPr>
      <w:r>
        <w:rPr>
          <w:rFonts w:hint="eastAsia"/>
          <w:b/>
          <w:szCs w:val="24"/>
        </w:rPr>
        <w:t>5　</w:t>
      </w:r>
      <w:r>
        <w:rPr>
          <w:rFonts w:hint="eastAsia"/>
          <w:szCs w:val="24"/>
        </w:rPr>
        <w:t>影像资料。</w:t>
      </w:r>
    </w:p>
    <w:p w14:paraId="327D9C4F">
      <w:pPr>
        <w:widowControl/>
        <w:rPr>
          <w:szCs w:val="24"/>
        </w:rPr>
      </w:pPr>
      <w:r>
        <w:rPr>
          <w:rFonts w:hint="eastAsia"/>
          <w:b/>
          <w:bCs/>
          <w:szCs w:val="24"/>
        </w:rPr>
        <w:t>12.0.3　</w:t>
      </w:r>
      <w:r>
        <w:rPr>
          <w:rFonts w:hint="eastAsia"/>
          <w:szCs w:val="24"/>
        </w:rPr>
        <w:t>检测与评估报告应包括下列内容：</w:t>
      </w:r>
    </w:p>
    <w:p w14:paraId="1D1A9772">
      <w:pPr>
        <w:ind w:firstLine="482" w:firstLineChars="200"/>
        <w:rPr>
          <w:szCs w:val="24"/>
        </w:rPr>
      </w:pPr>
      <w:r>
        <w:rPr>
          <w:rFonts w:hint="eastAsia"/>
          <w:b/>
          <w:szCs w:val="24"/>
        </w:rPr>
        <w:t>1　</w:t>
      </w:r>
      <w:r>
        <w:rPr>
          <w:rFonts w:hint="eastAsia"/>
          <w:szCs w:val="24"/>
        </w:rPr>
        <w:t>任务及管道概况，包括任务来源、检测与评估目的和要求、被检管段平面位置图、被检管段地理位置、地质条件、检测时的天气和环境、检测日期、主要参与人员情况、实际完成的工作量等；</w:t>
      </w:r>
    </w:p>
    <w:p w14:paraId="71572DA7">
      <w:pPr>
        <w:ind w:firstLine="482" w:firstLineChars="200"/>
        <w:rPr>
          <w:szCs w:val="24"/>
        </w:rPr>
      </w:pPr>
      <w:r>
        <w:rPr>
          <w:rFonts w:hint="eastAsia"/>
          <w:b/>
          <w:szCs w:val="24"/>
        </w:rPr>
        <w:t>2　</w:t>
      </w:r>
      <w:r>
        <w:rPr>
          <w:rFonts w:hint="eastAsia"/>
          <w:szCs w:val="24"/>
        </w:rPr>
        <w:t>现场踏勘成果，给水管道检测记录表、给水管段缺陷统计表、管段状况评估表和附属设施检查情况汇总表；</w:t>
      </w:r>
    </w:p>
    <w:p w14:paraId="6A712E03">
      <w:pPr>
        <w:ind w:firstLine="482" w:firstLineChars="200"/>
        <w:rPr>
          <w:szCs w:val="24"/>
        </w:rPr>
      </w:pPr>
      <w:r>
        <w:rPr>
          <w:rFonts w:hint="eastAsia"/>
          <w:b/>
          <w:szCs w:val="24"/>
        </w:rPr>
        <w:t>3　</w:t>
      </w:r>
      <w:r>
        <w:rPr>
          <w:rFonts w:hint="eastAsia"/>
          <w:szCs w:val="24"/>
        </w:rPr>
        <w:t>现场作业和管道评估的标准依据、采用的仪器和技术方法，以及其他应说明的问题及处理措施；</w:t>
      </w:r>
    </w:p>
    <w:p w14:paraId="10D70B01">
      <w:pPr>
        <w:ind w:firstLine="482" w:firstLineChars="200"/>
        <w:rPr>
          <w:szCs w:val="24"/>
        </w:rPr>
      </w:pPr>
      <w:r>
        <w:rPr>
          <w:rFonts w:hint="eastAsia"/>
          <w:b/>
          <w:bCs/>
          <w:szCs w:val="24"/>
        </w:rPr>
        <w:t>4　</w:t>
      </w:r>
      <w:r>
        <w:rPr>
          <w:rFonts w:hint="eastAsia"/>
          <w:szCs w:val="24"/>
        </w:rPr>
        <w:t>检测与评估的结论与建议；</w:t>
      </w:r>
    </w:p>
    <w:p w14:paraId="68B4903A">
      <w:pPr>
        <w:ind w:firstLine="482" w:firstLineChars="200"/>
        <w:rPr>
          <w:szCs w:val="24"/>
        </w:rPr>
      </w:pPr>
      <w:r>
        <w:rPr>
          <w:rFonts w:hint="eastAsia"/>
          <w:b/>
          <w:bCs/>
          <w:szCs w:val="24"/>
        </w:rPr>
        <w:t>5　</w:t>
      </w:r>
      <w:r>
        <w:rPr>
          <w:rFonts w:hint="eastAsia"/>
          <w:szCs w:val="24"/>
        </w:rPr>
        <w:t>其他影像资料。</w:t>
      </w:r>
    </w:p>
    <w:p w14:paraId="4841FF66">
      <w:pPr>
        <w:ind w:firstLine="480" w:firstLineChars="200"/>
        <w:rPr>
          <w:szCs w:val="24"/>
        </w:rPr>
      </w:pPr>
    </w:p>
    <w:p w14:paraId="5CB0CDFF">
      <w:pPr>
        <w:pStyle w:val="18"/>
        <w:ind w:left="480"/>
        <w:sectPr>
          <w:pgSz w:w="11906" w:h="16838"/>
          <w:pgMar w:top="1440" w:right="1800" w:bottom="1440" w:left="1800" w:header="851" w:footer="992" w:gutter="0"/>
          <w:cols w:space="425" w:num="1"/>
          <w:docGrid w:type="lines" w:linePitch="312" w:charSpace="0"/>
        </w:sectPr>
      </w:pPr>
    </w:p>
    <w:p w14:paraId="2E5BE3B6">
      <w:pPr>
        <w:pStyle w:val="4"/>
      </w:pPr>
      <w:bookmarkStart w:id="387" w:name="_Toc1824"/>
      <w:bookmarkStart w:id="388" w:name="_Toc16237"/>
      <w:bookmarkStart w:id="389" w:name="_Toc181825588"/>
      <w:bookmarkStart w:id="390" w:name="_Toc29680"/>
      <w:bookmarkStart w:id="391" w:name="_Toc31631"/>
      <w:bookmarkStart w:id="392" w:name="_Toc7665"/>
      <w:r>
        <w:rPr>
          <w:rFonts w:hint="eastAsia"/>
        </w:rPr>
        <w:t>附录A　</w:t>
      </w:r>
      <w:bookmarkStart w:id="393" w:name="OLE_LINK4"/>
      <w:r>
        <w:rPr>
          <w:rFonts w:hint="eastAsia"/>
        </w:rPr>
        <w:t>给水管道检测记录表</w:t>
      </w:r>
      <w:bookmarkEnd w:id="387"/>
      <w:bookmarkEnd w:id="388"/>
      <w:bookmarkEnd w:id="389"/>
      <w:bookmarkEnd w:id="390"/>
      <w:bookmarkEnd w:id="393"/>
    </w:p>
    <w:p w14:paraId="098BA5D5">
      <w:pPr>
        <w:rPr>
          <w:rFonts w:eastAsia="宋体" w:cs="Times New Roman"/>
          <w:color w:val="000000"/>
          <w:szCs w:val="24"/>
        </w:rPr>
      </w:pPr>
      <w:r>
        <w:rPr>
          <w:rFonts w:hint="eastAsia" w:eastAsia="宋体" w:cs="Times New Roman"/>
          <w:b/>
          <w:color w:val="000000"/>
          <w:szCs w:val="24"/>
        </w:rPr>
        <w:t>A.0.1　</w:t>
      </w:r>
      <w:r>
        <w:rPr>
          <w:rFonts w:hint="eastAsia" w:eastAsia="宋体" w:cs="Times New Roman"/>
          <w:color w:val="000000"/>
          <w:szCs w:val="24"/>
        </w:rPr>
        <w:t>给水管道电视检测记录应按表A.0.1填写。</w:t>
      </w:r>
    </w:p>
    <w:tbl>
      <w:tblPr>
        <w:tblStyle w:val="29"/>
        <w:tblW w:w="85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5"/>
        <w:gridCol w:w="1283"/>
        <w:gridCol w:w="525"/>
        <w:gridCol w:w="495"/>
        <w:gridCol w:w="765"/>
        <w:gridCol w:w="405"/>
        <w:gridCol w:w="165"/>
        <w:gridCol w:w="420"/>
        <w:gridCol w:w="585"/>
        <w:gridCol w:w="615"/>
        <w:gridCol w:w="450"/>
        <w:gridCol w:w="630"/>
        <w:gridCol w:w="1039"/>
      </w:tblGrid>
      <w:tr w14:paraId="6D90D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8532" w:type="dxa"/>
            <w:gridSpan w:val="13"/>
            <w:tcBorders>
              <w:top w:val="nil"/>
              <w:left w:val="nil"/>
              <w:bottom w:val="single" w:color="auto" w:sz="12" w:space="0"/>
              <w:right w:val="nil"/>
            </w:tcBorders>
            <w:vAlign w:val="bottom"/>
          </w:tcPr>
          <w:p w14:paraId="31A1E3B3">
            <w:pPr>
              <w:pStyle w:val="105"/>
            </w:pPr>
            <w:r>
              <w:rPr>
                <w:rFonts w:hint="eastAsia"/>
              </w:rPr>
              <w:t>表A.0.1　给水管道电视检测记录表</w:t>
            </w:r>
          </w:p>
          <w:p w14:paraId="33DA1C3F">
            <w:pPr>
              <w:spacing w:line="240" w:lineRule="auto"/>
              <w:rPr>
                <w:rFonts w:eastAsia="宋体" w:cs="Times New Roman"/>
                <w:color w:val="000000"/>
                <w:sz w:val="21"/>
                <w:szCs w:val="21"/>
              </w:rPr>
            </w:pPr>
            <w:r>
              <w:rPr>
                <w:rFonts w:hint="eastAsia" w:eastAsia="宋体" w:cs="Times New Roman"/>
                <w:color w:val="000000"/>
                <w:sz w:val="21"/>
                <w:szCs w:val="21"/>
              </w:rPr>
              <w:t xml:space="preserve">任务名称：                                                      </w:t>
            </w:r>
            <w:r>
              <w:rPr>
                <w:rFonts w:hint="eastAsia"/>
                <w:color w:val="000000"/>
                <w:sz w:val="21"/>
                <w:szCs w:val="21"/>
              </w:rPr>
              <w:t xml:space="preserve"> 第   页 共   页</w:t>
            </w:r>
          </w:p>
        </w:tc>
      </w:tr>
      <w:tr w14:paraId="0C828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5" w:type="dxa"/>
            <w:tcBorders>
              <w:top w:val="single" w:color="auto" w:sz="12" w:space="0"/>
              <w:left w:val="single" w:color="auto" w:sz="12" w:space="0"/>
              <w:bottom w:val="single" w:color="auto" w:sz="4" w:space="0"/>
              <w:right w:val="single" w:color="auto" w:sz="4" w:space="0"/>
            </w:tcBorders>
            <w:vAlign w:val="center"/>
          </w:tcPr>
          <w:p w14:paraId="14C556C1">
            <w:pPr>
              <w:snapToGrid w:val="0"/>
              <w:spacing w:line="240" w:lineRule="auto"/>
              <w:jc w:val="center"/>
              <w:rPr>
                <w:rFonts w:eastAsia="宋体" w:cs="Times New Roman"/>
                <w:color w:val="000000"/>
                <w:sz w:val="21"/>
                <w:szCs w:val="21"/>
              </w:rPr>
            </w:pPr>
            <w:r>
              <w:rPr>
                <w:rFonts w:hint="eastAsia"/>
                <w:color w:val="000000"/>
                <w:sz w:val="21"/>
                <w:szCs w:val="21"/>
              </w:rPr>
              <w:t>录像文件</w:t>
            </w:r>
          </w:p>
        </w:tc>
        <w:tc>
          <w:tcPr>
            <w:tcW w:w="1808" w:type="dxa"/>
            <w:gridSpan w:val="2"/>
            <w:tcBorders>
              <w:top w:val="single" w:color="auto" w:sz="12" w:space="0"/>
              <w:left w:val="single" w:color="auto" w:sz="4" w:space="0"/>
              <w:bottom w:val="single" w:color="auto" w:sz="4" w:space="0"/>
              <w:right w:val="single" w:color="auto" w:sz="4" w:space="0"/>
            </w:tcBorders>
            <w:vAlign w:val="center"/>
          </w:tcPr>
          <w:p w14:paraId="30924152">
            <w:pPr>
              <w:snapToGrid w:val="0"/>
              <w:spacing w:line="240" w:lineRule="auto"/>
              <w:jc w:val="center"/>
              <w:rPr>
                <w:rFonts w:eastAsia="宋体" w:cs="Times New Roman"/>
                <w:color w:val="000000"/>
                <w:sz w:val="21"/>
                <w:szCs w:val="21"/>
              </w:rPr>
            </w:pPr>
          </w:p>
        </w:tc>
        <w:tc>
          <w:tcPr>
            <w:tcW w:w="1260" w:type="dxa"/>
            <w:gridSpan w:val="2"/>
            <w:tcBorders>
              <w:top w:val="single" w:color="auto" w:sz="12" w:space="0"/>
              <w:left w:val="single" w:color="auto" w:sz="4" w:space="0"/>
              <w:bottom w:val="single" w:color="auto" w:sz="4" w:space="0"/>
              <w:right w:val="single" w:color="auto" w:sz="4" w:space="0"/>
            </w:tcBorders>
            <w:vAlign w:val="center"/>
          </w:tcPr>
          <w:p w14:paraId="7C53C0CA">
            <w:pPr>
              <w:snapToGrid w:val="0"/>
              <w:spacing w:line="240" w:lineRule="auto"/>
              <w:jc w:val="center"/>
              <w:rPr>
                <w:rFonts w:eastAsia="宋体" w:cs="Times New Roman"/>
                <w:color w:val="000000"/>
                <w:sz w:val="21"/>
                <w:szCs w:val="21"/>
              </w:rPr>
            </w:pPr>
            <w:r>
              <w:rPr>
                <w:rFonts w:hint="eastAsia"/>
                <w:color w:val="000000"/>
                <w:sz w:val="21"/>
                <w:szCs w:val="21"/>
              </w:rPr>
              <w:t>管段编号</w:t>
            </w:r>
          </w:p>
        </w:tc>
        <w:tc>
          <w:tcPr>
            <w:tcW w:w="570" w:type="dxa"/>
            <w:gridSpan w:val="2"/>
            <w:tcBorders>
              <w:top w:val="single" w:color="auto" w:sz="12" w:space="0"/>
              <w:left w:val="single" w:color="auto" w:sz="4" w:space="0"/>
              <w:bottom w:val="single" w:color="auto" w:sz="4" w:space="0"/>
              <w:right w:val="single" w:color="auto" w:sz="4" w:space="0"/>
            </w:tcBorders>
            <w:vAlign w:val="center"/>
          </w:tcPr>
          <w:p w14:paraId="4E4F64D1">
            <w:pPr>
              <w:snapToGrid w:val="0"/>
              <w:spacing w:line="240" w:lineRule="auto"/>
              <w:jc w:val="center"/>
              <w:rPr>
                <w:rFonts w:eastAsia="宋体" w:cs="Times New Roman"/>
                <w:color w:val="000000"/>
                <w:sz w:val="21"/>
                <w:szCs w:val="21"/>
              </w:rPr>
            </w:pPr>
          </w:p>
        </w:tc>
        <w:tc>
          <w:tcPr>
            <w:tcW w:w="420" w:type="dxa"/>
            <w:tcBorders>
              <w:top w:val="single" w:color="auto" w:sz="12" w:space="0"/>
              <w:left w:val="single" w:color="auto" w:sz="4" w:space="0"/>
              <w:bottom w:val="single" w:color="auto" w:sz="4" w:space="0"/>
              <w:right w:val="single" w:color="auto" w:sz="4" w:space="0"/>
            </w:tcBorders>
            <w:vAlign w:val="center"/>
          </w:tcPr>
          <w:p w14:paraId="4C796B6A">
            <w:pPr>
              <w:snapToGrid w:val="0"/>
              <w:spacing w:line="240" w:lineRule="auto"/>
              <w:jc w:val="center"/>
              <w:rPr>
                <w:rFonts w:eastAsia="宋体" w:cs="Times New Roman"/>
                <w:color w:val="000000"/>
                <w:sz w:val="21"/>
                <w:szCs w:val="21"/>
              </w:rPr>
            </w:pPr>
            <w:r>
              <w:rPr>
                <w:rFonts w:hint="eastAsia"/>
                <w:color w:val="000000"/>
                <w:sz w:val="21"/>
                <w:szCs w:val="21"/>
              </w:rPr>
              <w:t>→</w:t>
            </w:r>
          </w:p>
        </w:tc>
        <w:tc>
          <w:tcPr>
            <w:tcW w:w="585" w:type="dxa"/>
            <w:tcBorders>
              <w:top w:val="single" w:color="auto" w:sz="12" w:space="0"/>
              <w:left w:val="single" w:color="auto" w:sz="4" w:space="0"/>
              <w:bottom w:val="single" w:color="auto" w:sz="4" w:space="0"/>
              <w:right w:val="single" w:color="auto" w:sz="4" w:space="0"/>
            </w:tcBorders>
            <w:vAlign w:val="center"/>
          </w:tcPr>
          <w:p w14:paraId="6EA546B8">
            <w:pPr>
              <w:snapToGrid w:val="0"/>
              <w:spacing w:line="240" w:lineRule="auto"/>
              <w:jc w:val="center"/>
              <w:rPr>
                <w:rFonts w:eastAsia="宋体" w:cs="Times New Roman"/>
                <w:color w:val="000000"/>
                <w:sz w:val="21"/>
                <w:szCs w:val="21"/>
              </w:rPr>
            </w:pPr>
          </w:p>
        </w:tc>
        <w:tc>
          <w:tcPr>
            <w:tcW w:w="1065" w:type="dxa"/>
            <w:gridSpan w:val="2"/>
            <w:tcBorders>
              <w:top w:val="single" w:color="auto" w:sz="12" w:space="0"/>
              <w:left w:val="single" w:color="auto" w:sz="4" w:space="0"/>
              <w:bottom w:val="single" w:color="auto" w:sz="4" w:space="0"/>
              <w:right w:val="single" w:color="auto" w:sz="4" w:space="0"/>
            </w:tcBorders>
            <w:vAlign w:val="center"/>
          </w:tcPr>
          <w:p w14:paraId="20FCD724">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检测设备</w:t>
            </w:r>
          </w:p>
        </w:tc>
        <w:tc>
          <w:tcPr>
            <w:tcW w:w="1669" w:type="dxa"/>
            <w:gridSpan w:val="2"/>
            <w:tcBorders>
              <w:top w:val="single" w:color="auto" w:sz="12" w:space="0"/>
              <w:left w:val="single" w:color="auto" w:sz="4" w:space="0"/>
              <w:bottom w:val="single" w:color="auto" w:sz="4" w:space="0"/>
              <w:right w:val="single" w:color="auto" w:sz="12" w:space="0"/>
            </w:tcBorders>
            <w:vAlign w:val="center"/>
          </w:tcPr>
          <w:p w14:paraId="72017448">
            <w:pPr>
              <w:snapToGrid w:val="0"/>
              <w:spacing w:line="240" w:lineRule="auto"/>
              <w:jc w:val="center"/>
              <w:rPr>
                <w:rFonts w:eastAsia="宋体" w:cs="Times New Roman"/>
                <w:color w:val="000000"/>
                <w:sz w:val="21"/>
                <w:szCs w:val="21"/>
              </w:rPr>
            </w:pPr>
          </w:p>
        </w:tc>
      </w:tr>
      <w:tr w14:paraId="50D3D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5" w:type="dxa"/>
            <w:tcBorders>
              <w:top w:val="single" w:color="auto" w:sz="4" w:space="0"/>
              <w:left w:val="single" w:color="auto" w:sz="12" w:space="0"/>
              <w:bottom w:val="single" w:color="auto" w:sz="4" w:space="0"/>
              <w:right w:val="single" w:color="auto" w:sz="4" w:space="0"/>
            </w:tcBorders>
            <w:vAlign w:val="center"/>
          </w:tcPr>
          <w:p w14:paraId="49A89FDB">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敷设年代</w:t>
            </w:r>
          </w:p>
        </w:tc>
        <w:tc>
          <w:tcPr>
            <w:tcW w:w="1808" w:type="dxa"/>
            <w:gridSpan w:val="2"/>
            <w:tcBorders>
              <w:top w:val="single" w:color="auto" w:sz="4" w:space="0"/>
              <w:left w:val="single" w:color="auto" w:sz="4" w:space="0"/>
              <w:bottom w:val="single" w:color="auto" w:sz="4" w:space="0"/>
              <w:right w:val="single" w:color="auto" w:sz="4" w:space="0"/>
            </w:tcBorders>
            <w:vAlign w:val="center"/>
          </w:tcPr>
          <w:p w14:paraId="1BE6F79D">
            <w:pPr>
              <w:snapToGrid w:val="0"/>
              <w:spacing w:line="240" w:lineRule="auto"/>
              <w:jc w:val="center"/>
              <w:rPr>
                <w:rFonts w:eastAsia="宋体" w:cs="Times New Roman"/>
                <w:color w:val="000000"/>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2F224F4">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检测方向</w:t>
            </w:r>
          </w:p>
        </w:tc>
        <w:tc>
          <w:tcPr>
            <w:tcW w:w="1575" w:type="dxa"/>
            <w:gridSpan w:val="4"/>
            <w:tcBorders>
              <w:top w:val="single" w:color="auto" w:sz="4" w:space="0"/>
              <w:left w:val="single" w:color="auto" w:sz="4" w:space="0"/>
              <w:bottom w:val="single" w:color="auto" w:sz="4" w:space="0"/>
              <w:right w:val="single" w:color="auto" w:sz="4" w:space="0"/>
            </w:tcBorders>
            <w:vAlign w:val="center"/>
          </w:tcPr>
          <w:p w14:paraId="55398466">
            <w:pPr>
              <w:snapToGrid w:val="0"/>
              <w:spacing w:line="240" w:lineRule="auto"/>
              <w:jc w:val="center"/>
              <w:rPr>
                <w:rFonts w:eastAsia="宋体" w:cs="Times New Roman"/>
                <w:color w:val="000000"/>
                <w:sz w:val="21"/>
                <w:szCs w:val="21"/>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2986301F">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设备编号</w:t>
            </w:r>
          </w:p>
        </w:tc>
        <w:tc>
          <w:tcPr>
            <w:tcW w:w="1669" w:type="dxa"/>
            <w:gridSpan w:val="2"/>
            <w:tcBorders>
              <w:top w:val="single" w:color="auto" w:sz="4" w:space="0"/>
              <w:left w:val="single" w:color="auto" w:sz="4" w:space="0"/>
              <w:bottom w:val="single" w:color="auto" w:sz="4" w:space="0"/>
              <w:right w:val="single" w:color="auto" w:sz="12" w:space="0"/>
            </w:tcBorders>
            <w:vAlign w:val="center"/>
          </w:tcPr>
          <w:p w14:paraId="6EDDE241">
            <w:pPr>
              <w:snapToGrid w:val="0"/>
              <w:spacing w:line="240" w:lineRule="auto"/>
              <w:jc w:val="center"/>
              <w:rPr>
                <w:rFonts w:eastAsia="宋体" w:cs="Times New Roman"/>
                <w:color w:val="000000"/>
                <w:sz w:val="21"/>
                <w:szCs w:val="21"/>
              </w:rPr>
            </w:pPr>
          </w:p>
        </w:tc>
      </w:tr>
      <w:tr w14:paraId="28968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5" w:type="dxa"/>
            <w:tcBorders>
              <w:top w:val="single" w:color="auto" w:sz="4" w:space="0"/>
              <w:left w:val="single" w:color="auto" w:sz="12" w:space="0"/>
              <w:bottom w:val="single" w:color="auto" w:sz="4" w:space="0"/>
              <w:right w:val="single" w:color="auto" w:sz="4" w:space="0"/>
            </w:tcBorders>
            <w:vAlign w:val="center"/>
          </w:tcPr>
          <w:p w14:paraId="52A6279F">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管段类型</w:t>
            </w:r>
          </w:p>
        </w:tc>
        <w:tc>
          <w:tcPr>
            <w:tcW w:w="1808" w:type="dxa"/>
            <w:gridSpan w:val="2"/>
            <w:tcBorders>
              <w:top w:val="single" w:color="auto" w:sz="4" w:space="0"/>
              <w:left w:val="single" w:color="auto" w:sz="4" w:space="0"/>
              <w:bottom w:val="single" w:color="auto" w:sz="4" w:space="0"/>
              <w:right w:val="single" w:color="auto" w:sz="4" w:space="0"/>
            </w:tcBorders>
            <w:vAlign w:val="center"/>
          </w:tcPr>
          <w:p w14:paraId="60F12456">
            <w:pPr>
              <w:snapToGrid w:val="0"/>
              <w:spacing w:line="240" w:lineRule="auto"/>
              <w:jc w:val="center"/>
              <w:rPr>
                <w:rFonts w:eastAsia="宋体" w:cs="Times New Roman"/>
                <w:color w:val="000000"/>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CE9CB58">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管段材质</w:t>
            </w:r>
          </w:p>
        </w:tc>
        <w:tc>
          <w:tcPr>
            <w:tcW w:w="1575" w:type="dxa"/>
            <w:gridSpan w:val="4"/>
            <w:tcBorders>
              <w:top w:val="single" w:color="auto" w:sz="4" w:space="0"/>
              <w:left w:val="single" w:color="auto" w:sz="4" w:space="0"/>
              <w:bottom w:val="single" w:color="auto" w:sz="4" w:space="0"/>
              <w:right w:val="single" w:color="auto" w:sz="4" w:space="0"/>
            </w:tcBorders>
            <w:vAlign w:val="center"/>
          </w:tcPr>
          <w:p w14:paraId="16AE6ACF">
            <w:pPr>
              <w:snapToGrid w:val="0"/>
              <w:spacing w:line="240" w:lineRule="auto"/>
              <w:jc w:val="center"/>
              <w:rPr>
                <w:rFonts w:eastAsia="宋体" w:cs="Times New Roman"/>
                <w:color w:val="000000"/>
                <w:sz w:val="21"/>
                <w:szCs w:val="21"/>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62AE5B9C">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管段直径</w:t>
            </w:r>
          </w:p>
        </w:tc>
        <w:tc>
          <w:tcPr>
            <w:tcW w:w="1669" w:type="dxa"/>
            <w:gridSpan w:val="2"/>
            <w:tcBorders>
              <w:top w:val="single" w:color="auto" w:sz="4" w:space="0"/>
              <w:left w:val="single" w:color="auto" w:sz="4" w:space="0"/>
              <w:bottom w:val="single" w:color="auto" w:sz="4" w:space="0"/>
              <w:right w:val="single" w:color="auto" w:sz="12" w:space="0"/>
            </w:tcBorders>
            <w:vAlign w:val="center"/>
          </w:tcPr>
          <w:p w14:paraId="1537D213">
            <w:pPr>
              <w:snapToGrid w:val="0"/>
              <w:spacing w:line="240" w:lineRule="auto"/>
              <w:jc w:val="center"/>
              <w:rPr>
                <w:rFonts w:eastAsia="宋体" w:cs="Times New Roman"/>
                <w:color w:val="000000"/>
                <w:sz w:val="21"/>
                <w:szCs w:val="21"/>
              </w:rPr>
            </w:pPr>
          </w:p>
        </w:tc>
      </w:tr>
      <w:tr w14:paraId="3D7F1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55" w:type="dxa"/>
            <w:tcBorders>
              <w:top w:val="single" w:color="auto" w:sz="4" w:space="0"/>
              <w:left w:val="single" w:color="auto" w:sz="12" w:space="0"/>
              <w:bottom w:val="single" w:color="auto" w:sz="4" w:space="0"/>
              <w:right w:val="single" w:color="auto" w:sz="4" w:space="0"/>
            </w:tcBorders>
            <w:vAlign w:val="center"/>
          </w:tcPr>
          <w:p w14:paraId="61674E73">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检测地点</w:t>
            </w:r>
          </w:p>
        </w:tc>
        <w:tc>
          <w:tcPr>
            <w:tcW w:w="1808" w:type="dxa"/>
            <w:gridSpan w:val="2"/>
            <w:tcBorders>
              <w:top w:val="single" w:color="auto" w:sz="4" w:space="0"/>
              <w:left w:val="single" w:color="auto" w:sz="4" w:space="0"/>
              <w:bottom w:val="single" w:color="auto" w:sz="4" w:space="0"/>
              <w:right w:val="single" w:color="auto" w:sz="4" w:space="0"/>
            </w:tcBorders>
            <w:vAlign w:val="center"/>
          </w:tcPr>
          <w:p w14:paraId="2112A381">
            <w:pPr>
              <w:snapToGrid w:val="0"/>
              <w:spacing w:line="240" w:lineRule="auto"/>
              <w:jc w:val="center"/>
              <w:rPr>
                <w:rFonts w:eastAsia="宋体" w:cs="Times New Roman"/>
                <w:color w:val="000000"/>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E59393B">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管段长度</w:t>
            </w:r>
          </w:p>
        </w:tc>
        <w:tc>
          <w:tcPr>
            <w:tcW w:w="1575" w:type="dxa"/>
            <w:gridSpan w:val="4"/>
            <w:tcBorders>
              <w:top w:val="single" w:color="auto" w:sz="4" w:space="0"/>
              <w:left w:val="single" w:color="auto" w:sz="4" w:space="0"/>
              <w:bottom w:val="single" w:color="auto" w:sz="4" w:space="0"/>
              <w:right w:val="single" w:color="auto" w:sz="4" w:space="0"/>
            </w:tcBorders>
            <w:vAlign w:val="center"/>
          </w:tcPr>
          <w:p w14:paraId="4C2652CE">
            <w:pPr>
              <w:snapToGrid w:val="0"/>
              <w:spacing w:line="240" w:lineRule="auto"/>
              <w:jc w:val="center"/>
              <w:rPr>
                <w:rFonts w:eastAsia="宋体" w:cs="Times New Roman"/>
                <w:color w:val="000000"/>
                <w:sz w:val="21"/>
                <w:szCs w:val="21"/>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68C5E896">
            <w:pPr>
              <w:snapToGrid w:val="0"/>
              <w:spacing w:line="240" w:lineRule="auto"/>
              <w:jc w:val="center"/>
              <w:rPr>
                <w:rFonts w:eastAsia="宋体" w:cs="Times New Roman"/>
                <w:color w:val="000000"/>
                <w:sz w:val="21"/>
                <w:szCs w:val="21"/>
              </w:rPr>
            </w:pPr>
            <w:r>
              <w:rPr>
                <w:rFonts w:hint="eastAsia" w:eastAsia="宋体" w:cs="Times New Roman"/>
                <w:color w:val="000000"/>
                <w:sz w:val="21"/>
                <w:szCs w:val="21"/>
              </w:rPr>
              <w:t>检测长度</w:t>
            </w:r>
          </w:p>
        </w:tc>
        <w:tc>
          <w:tcPr>
            <w:tcW w:w="1669" w:type="dxa"/>
            <w:gridSpan w:val="2"/>
            <w:tcBorders>
              <w:top w:val="single" w:color="auto" w:sz="4" w:space="0"/>
              <w:left w:val="single" w:color="auto" w:sz="4" w:space="0"/>
              <w:bottom w:val="single" w:color="auto" w:sz="4" w:space="0"/>
              <w:right w:val="single" w:color="auto" w:sz="12" w:space="0"/>
            </w:tcBorders>
            <w:vAlign w:val="center"/>
          </w:tcPr>
          <w:p w14:paraId="33CC1E67">
            <w:pPr>
              <w:snapToGrid w:val="0"/>
              <w:spacing w:line="240" w:lineRule="auto"/>
              <w:jc w:val="center"/>
              <w:rPr>
                <w:rFonts w:eastAsia="宋体" w:cs="Times New Roman"/>
                <w:color w:val="000000"/>
                <w:sz w:val="21"/>
                <w:szCs w:val="21"/>
              </w:rPr>
            </w:pPr>
          </w:p>
        </w:tc>
      </w:tr>
      <w:tr w14:paraId="7D9DE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8" w:hRule="atLeast"/>
          <w:jc w:val="center"/>
        </w:trPr>
        <w:tc>
          <w:tcPr>
            <w:tcW w:w="1155" w:type="dxa"/>
            <w:tcBorders>
              <w:top w:val="single" w:color="auto" w:sz="4" w:space="0"/>
              <w:left w:val="single" w:color="auto" w:sz="12" w:space="0"/>
              <w:bottom w:val="single" w:color="auto" w:sz="4" w:space="0"/>
              <w:right w:val="single" w:color="auto" w:sz="4" w:space="0"/>
            </w:tcBorders>
            <w:vAlign w:val="center"/>
          </w:tcPr>
          <w:p w14:paraId="1A38CDBB">
            <w:pPr>
              <w:snapToGrid w:val="0"/>
              <w:spacing w:line="240" w:lineRule="auto"/>
              <w:jc w:val="center"/>
              <w:rPr>
                <w:rFonts w:ascii="宋体" w:hAnsi="宋体" w:eastAsia="宋体" w:cs="Times New Roman"/>
                <w:color w:val="000000"/>
                <w:sz w:val="21"/>
                <w:szCs w:val="21"/>
              </w:rPr>
            </w:pPr>
            <w:r>
              <w:rPr>
                <w:rFonts w:hint="eastAsia" w:ascii="宋体" w:hAnsi="宋体"/>
                <w:color w:val="000000"/>
                <w:sz w:val="21"/>
                <w:szCs w:val="21"/>
              </w:rPr>
              <w:t>距离（m）</w:t>
            </w:r>
          </w:p>
        </w:tc>
        <w:tc>
          <w:tcPr>
            <w:tcW w:w="1283" w:type="dxa"/>
            <w:tcBorders>
              <w:top w:val="single" w:color="auto" w:sz="4" w:space="0"/>
              <w:left w:val="single" w:color="auto" w:sz="4" w:space="0"/>
              <w:bottom w:val="single" w:color="auto" w:sz="4" w:space="0"/>
              <w:right w:val="single" w:color="auto" w:sz="4" w:space="0"/>
            </w:tcBorders>
            <w:vAlign w:val="center"/>
          </w:tcPr>
          <w:p w14:paraId="41A6D135">
            <w:pPr>
              <w:snapToGrid w:val="0"/>
              <w:spacing w:line="240" w:lineRule="auto"/>
              <w:jc w:val="center"/>
              <w:rPr>
                <w:rFonts w:ascii="宋体" w:hAnsi="宋体" w:eastAsia="宋体" w:cs="Times New Roman"/>
                <w:color w:val="000000"/>
                <w:sz w:val="21"/>
                <w:szCs w:val="21"/>
              </w:rPr>
            </w:pPr>
            <w:r>
              <w:rPr>
                <w:rFonts w:hint="eastAsia" w:ascii="宋体" w:hAnsi="宋体"/>
                <w:color w:val="000000"/>
                <w:sz w:val="21"/>
                <w:szCs w:val="21"/>
              </w:rPr>
              <w:t>缺陷名称或代码</w:t>
            </w: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32CE0C02">
            <w:pPr>
              <w:snapToGrid w:val="0"/>
              <w:spacing w:line="240" w:lineRule="auto"/>
              <w:jc w:val="center"/>
              <w:rPr>
                <w:rFonts w:ascii="宋体" w:hAnsi="宋体" w:eastAsia="宋体" w:cs="Times New Roman"/>
                <w:color w:val="000000"/>
                <w:sz w:val="21"/>
                <w:szCs w:val="21"/>
              </w:rPr>
            </w:pPr>
            <w:r>
              <w:rPr>
                <w:rFonts w:hint="eastAsia" w:ascii="宋体" w:hAnsi="宋体"/>
                <w:color w:val="000000"/>
                <w:sz w:val="21"/>
                <w:szCs w:val="21"/>
                <w:lang w:eastAsia="zh-CN"/>
              </w:rPr>
              <w:t>缺陷类型</w:t>
            </w:r>
          </w:p>
        </w:tc>
        <w:tc>
          <w:tcPr>
            <w:tcW w:w="1170" w:type="dxa"/>
            <w:gridSpan w:val="2"/>
            <w:tcBorders>
              <w:top w:val="single" w:color="auto" w:sz="4" w:space="0"/>
              <w:left w:val="single" w:color="auto" w:sz="4" w:space="0"/>
              <w:bottom w:val="single" w:color="auto" w:sz="4" w:space="0"/>
              <w:right w:val="single" w:color="auto" w:sz="4" w:space="0"/>
            </w:tcBorders>
            <w:vAlign w:val="center"/>
          </w:tcPr>
          <w:p w14:paraId="3F228256">
            <w:pPr>
              <w:snapToGrid w:val="0"/>
              <w:spacing w:line="240" w:lineRule="auto"/>
              <w:jc w:val="center"/>
              <w:rPr>
                <w:rFonts w:ascii="宋体" w:hAnsi="宋体" w:eastAsia="宋体" w:cs="Times New Roman"/>
                <w:color w:val="000000"/>
                <w:sz w:val="21"/>
                <w:szCs w:val="21"/>
              </w:rPr>
            </w:pPr>
            <w:r>
              <w:rPr>
                <w:rFonts w:hint="eastAsia" w:ascii="宋体" w:hAnsi="宋体"/>
                <w:color w:val="000000"/>
                <w:sz w:val="21"/>
                <w:szCs w:val="21"/>
              </w:rPr>
              <w:t>等级</w:t>
            </w:r>
          </w:p>
        </w:tc>
        <w:tc>
          <w:tcPr>
            <w:tcW w:w="1785" w:type="dxa"/>
            <w:gridSpan w:val="4"/>
            <w:tcBorders>
              <w:top w:val="single" w:color="auto" w:sz="4" w:space="0"/>
              <w:left w:val="single" w:color="auto" w:sz="4" w:space="0"/>
              <w:bottom w:val="single" w:color="auto" w:sz="4" w:space="0"/>
              <w:right w:val="single" w:color="auto" w:sz="4" w:space="0"/>
            </w:tcBorders>
            <w:vAlign w:val="center"/>
          </w:tcPr>
          <w:p w14:paraId="65BD0663">
            <w:pPr>
              <w:snapToGrid w:val="0"/>
              <w:spacing w:line="240" w:lineRule="auto"/>
              <w:jc w:val="center"/>
              <w:rPr>
                <w:rFonts w:hint="eastAsia" w:ascii="宋体" w:hAnsi="宋体"/>
                <w:color w:val="000000"/>
                <w:sz w:val="21"/>
                <w:szCs w:val="21"/>
              </w:rPr>
            </w:pPr>
            <w:r>
              <w:rPr>
                <w:rFonts w:hint="eastAsia" w:ascii="宋体" w:hAnsi="宋体"/>
                <w:color w:val="000000"/>
                <w:sz w:val="21"/>
                <w:szCs w:val="21"/>
              </w:rPr>
              <w:t>位置</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6FE5A64">
            <w:pPr>
              <w:snapToGrid w:val="0"/>
              <w:spacing w:line="240" w:lineRule="auto"/>
              <w:jc w:val="center"/>
              <w:rPr>
                <w:rFonts w:ascii="宋体" w:hAnsi="宋体" w:eastAsia="宋体" w:cs="Times New Roman"/>
                <w:color w:val="000000"/>
                <w:sz w:val="21"/>
                <w:szCs w:val="21"/>
              </w:rPr>
            </w:pPr>
            <w:r>
              <w:rPr>
                <w:rFonts w:hint="eastAsia" w:ascii="宋体" w:hAnsi="宋体"/>
                <w:color w:val="000000"/>
                <w:sz w:val="21"/>
                <w:szCs w:val="21"/>
              </w:rPr>
              <w:t>照片序号</w:t>
            </w:r>
          </w:p>
        </w:tc>
        <w:tc>
          <w:tcPr>
            <w:tcW w:w="1039" w:type="dxa"/>
            <w:tcBorders>
              <w:top w:val="single" w:color="auto" w:sz="4" w:space="0"/>
              <w:left w:val="single" w:color="auto" w:sz="4" w:space="0"/>
              <w:bottom w:val="single" w:color="auto" w:sz="4" w:space="0"/>
              <w:right w:val="single" w:color="auto" w:sz="12" w:space="0"/>
            </w:tcBorders>
            <w:vAlign w:val="center"/>
          </w:tcPr>
          <w:p w14:paraId="2E5078F2">
            <w:pPr>
              <w:snapToGrid w:val="0"/>
              <w:spacing w:line="240" w:lineRule="auto"/>
              <w:jc w:val="center"/>
              <w:rPr>
                <w:rFonts w:ascii="宋体" w:hAnsi="宋体" w:eastAsia="宋体" w:cs="Times New Roman"/>
                <w:color w:val="000000"/>
                <w:sz w:val="21"/>
                <w:szCs w:val="21"/>
              </w:rPr>
            </w:pPr>
            <w:r>
              <w:rPr>
                <w:rFonts w:hint="eastAsia" w:ascii="宋体" w:hAnsi="宋体"/>
                <w:color w:val="000000"/>
                <w:sz w:val="21"/>
                <w:szCs w:val="21"/>
              </w:rPr>
              <w:t>备注</w:t>
            </w:r>
          </w:p>
        </w:tc>
      </w:tr>
      <w:tr w14:paraId="33345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14:paraId="49DCFA5F">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14:paraId="2BBE8B88">
            <w:pPr>
              <w:ind w:firstLine="210" w:firstLineChars="100"/>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14:paraId="4E47B33B">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14:paraId="69B7ADDB">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14:paraId="002E2CC6">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14:paraId="6C7F919A">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14:paraId="4648AC19">
            <w:pPr>
              <w:jc w:val="center"/>
              <w:rPr>
                <w:rFonts w:ascii="宋体" w:hAnsi="宋体" w:eastAsia="宋体" w:cs="Times New Roman"/>
                <w:color w:val="000000"/>
                <w:sz w:val="21"/>
                <w:szCs w:val="21"/>
              </w:rPr>
            </w:pPr>
          </w:p>
        </w:tc>
      </w:tr>
      <w:tr w14:paraId="2E153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14:paraId="59B0A23D">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14:paraId="4D5D739A">
            <w:pPr>
              <w:ind w:firstLine="210" w:firstLineChars="100"/>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14:paraId="54C2DB4E">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14:paraId="4EDC9737">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14:paraId="4690D051">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14:paraId="3679A8FA">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14:paraId="64BE48DF">
            <w:pPr>
              <w:jc w:val="center"/>
              <w:rPr>
                <w:rFonts w:ascii="宋体" w:hAnsi="宋体" w:eastAsia="宋体" w:cs="Times New Roman"/>
                <w:color w:val="000000"/>
                <w:sz w:val="21"/>
                <w:szCs w:val="21"/>
              </w:rPr>
            </w:pPr>
          </w:p>
        </w:tc>
      </w:tr>
      <w:tr w14:paraId="33B94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14:paraId="273B12F7">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14:paraId="18A9ACFD">
            <w:pPr>
              <w:ind w:firstLine="210" w:firstLineChars="100"/>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14:paraId="3C6A37AA">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14:paraId="3108B55A">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14:paraId="4A2CC421">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14:paraId="2926B25E">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14:paraId="5CA393DB">
            <w:pPr>
              <w:jc w:val="center"/>
              <w:rPr>
                <w:rFonts w:ascii="宋体" w:hAnsi="宋体" w:eastAsia="宋体" w:cs="Times New Roman"/>
                <w:color w:val="000000"/>
                <w:sz w:val="21"/>
                <w:szCs w:val="21"/>
              </w:rPr>
            </w:pPr>
          </w:p>
        </w:tc>
      </w:tr>
      <w:tr w14:paraId="6C456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14:paraId="03BB7926">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14:paraId="3336EB18">
            <w:pPr>
              <w:ind w:firstLine="210" w:firstLineChars="100"/>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14:paraId="70B2B274">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14:paraId="67641093">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14:paraId="63232E03">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14:paraId="30B763D5">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14:paraId="4C16E169">
            <w:pPr>
              <w:jc w:val="center"/>
              <w:rPr>
                <w:rFonts w:ascii="宋体" w:hAnsi="宋体" w:eastAsia="宋体" w:cs="Times New Roman"/>
                <w:color w:val="000000"/>
                <w:sz w:val="21"/>
                <w:szCs w:val="21"/>
              </w:rPr>
            </w:pPr>
          </w:p>
        </w:tc>
      </w:tr>
      <w:tr w14:paraId="6305A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14:paraId="46519BFE">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14:paraId="0A3E6143">
            <w:pPr>
              <w:ind w:firstLine="210" w:firstLineChars="100"/>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14:paraId="19197E51">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14:paraId="5903ECF8">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14:paraId="43BCA631">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14:paraId="743D99A4">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14:paraId="76031F3F">
            <w:pPr>
              <w:jc w:val="center"/>
              <w:rPr>
                <w:rFonts w:ascii="宋体" w:hAnsi="宋体" w:eastAsia="宋体" w:cs="Times New Roman"/>
                <w:color w:val="000000"/>
                <w:sz w:val="21"/>
                <w:szCs w:val="21"/>
              </w:rPr>
            </w:pPr>
          </w:p>
        </w:tc>
      </w:tr>
      <w:tr w14:paraId="75EEF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14:paraId="4AA9506A">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14:paraId="6956AEB8">
            <w:pPr>
              <w:ind w:firstLine="210" w:firstLineChars="100"/>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14:paraId="3D720860">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14:paraId="65FD3878">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14:paraId="09ADF6C7">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14:paraId="1415E1A8">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14:paraId="7D1E29CF">
            <w:pPr>
              <w:jc w:val="center"/>
              <w:rPr>
                <w:rFonts w:ascii="宋体" w:hAnsi="宋体" w:eastAsia="宋体" w:cs="Times New Roman"/>
                <w:color w:val="000000"/>
                <w:sz w:val="21"/>
                <w:szCs w:val="21"/>
              </w:rPr>
            </w:pPr>
          </w:p>
        </w:tc>
      </w:tr>
      <w:tr w14:paraId="377D7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14:paraId="0997B308">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14:paraId="56C05449">
            <w:pPr>
              <w:ind w:firstLine="210" w:firstLineChars="100"/>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14:paraId="158CB360">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14:paraId="00FF1945">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14:paraId="51C910AF">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14:paraId="4FF9E26B">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14:paraId="2D91825E">
            <w:pPr>
              <w:jc w:val="center"/>
              <w:rPr>
                <w:rFonts w:ascii="宋体" w:hAnsi="宋体" w:eastAsia="宋体" w:cs="Times New Roman"/>
                <w:color w:val="000000"/>
                <w:sz w:val="21"/>
                <w:szCs w:val="21"/>
              </w:rPr>
            </w:pPr>
          </w:p>
        </w:tc>
      </w:tr>
      <w:tr w14:paraId="6AAE9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1155" w:type="dxa"/>
            <w:tcBorders>
              <w:top w:val="single" w:color="auto" w:sz="4" w:space="0"/>
              <w:left w:val="single" w:color="auto" w:sz="12" w:space="0"/>
              <w:bottom w:val="single" w:color="auto" w:sz="4" w:space="0"/>
              <w:right w:val="single" w:color="auto" w:sz="4" w:space="0"/>
            </w:tcBorders>
          </w:tcPr>
          <w:p w14:paraId="1B375E1D">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14:paraId="736CBBA6">
            <w:pPr>
              <w:jc w:val="center"/>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14:paraId="5210F91B">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14:paraId="4A493DE4">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14:paraId="0004304F">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14:paraId="7E6D1052">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14:paraId="1BE1C0DF">
            <w:pPr>
              <w:jc w:val="center"/>
              <w:rPr>
                <w:rFonts w:ascii="宋体" w:hAnsi="宋体" w:eastAsia="宋体" w:cs="Times New Roman"/>
                <w:color w:val="000000"/>
                <w:sz w:val="21"/>
                <w:szCs w:val="21"/>
              </w:rPr>
            </w:pPr>
          </w:p>
        </w:tc>
      </w:tr>
      <w:tr w14:paraId="4716D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1155" w:type="dxa"/>
            <w:tcBorders>
              <w:top w:val="single" w:color="auto" w:sz="4" w:space="0"/>
              <w:left w:val="single" w:color="auto" w:sz="12" w:space="0"/>
              <w:bottom w:val="single" w:color="auto" w:sz="4" w:space="0"/>
              <w:right w:val="single" w:color="auto" w:sz="4" w:space="0"/>
            </w:tcBorders>
          </w:tcPr>
          <w:p w14:paraId="553C70FC">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14:paraId="1DE274D8">
            <w:pPr>
              <w:jc w:val="center"/>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14:paraId="0CD4AEC6">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14:paraId="0BE87C0A">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14:paraId="301FD1F3">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14:paraId="7E1F92BE">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14:paraId="5D5A82B9">
            <w:pPr>
              <w:jc w:val="center"/>
              <w:rPr>
                <w:rFonts w:ascii="宋体" w:hAnsi="宋体" w:eastAsia="宋体" w:cs="Times New Roman"/>
                <w:color w:val="000000"/>
                <w:sz w:val="21"/>
                <w:szCs w:val="21"/>
              </w:rPr>
            </w:pPr>
          </w:p>
        </w:tc>
      </w:tr>
      <w:tr w14:paraId="740C9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14:paraId="05BED504">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14:paraId="07274558">
            <w:pPr>
              <w:jc w:val="center"/>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14:paraId="790C1D16">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14:paraId="28FE7689">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14:paraId="31ED2EF6">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14:paraId="6E432B35">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14:paraId="714A139F">
            <w:pPr>
              <w:jc w:val="center"/>
              <w:rPr>
                <w:rFonts w:ascii="宋体" w:hAnsi="宋体" w:eastAsia="宋体" w:cs="Times New Roman"/>
                <w:color w:val="000000"/>
                <w:sz w:val="21"/>
                <w:szCs w:val="21"/>
              </w:rPr>
            </w:pPr>
          </w:p>
        </w:tc>
      </w:tr>
      <w:tr w14:paraId="28578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14:paraId="5D74994A">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14:paraId="6FA53728">
            <w:pPr>
              <w:jc w:val="center"/>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14:paraId="4A963483">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14:paraId="0114569C">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14:paraId="466BFF7F">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14:paraId="4B44B4BC">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14:paraId="39F2908D">
            <w:pPr>
              <w:jc w:val="center"/>
              <w:rPr>
                <w:rFonts w:ascii="宋体" w:hAnsi="宋体" w:eastAsia="宋体" w:cs="Times New Roman"/>
                <w:color w:val="000000"/>
                <w:sz w:val="21"/>
                <w:szCs w:val="21"/>
              </w:rPr>
            </w:pPr>
          </w:p>
        </w:tc>
      </w:tr>
      <w:tr w14:paraId="06417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14:paraId="0B5C461A">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14:paraId="323D885B">
            <w:pPr>
              <w:jc w:val="center"/>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14:paraId="30ACE957">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14:paraId="4FDE9633">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14:paraId="4458B66E">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14:paraId="5AF36315">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14:paraId="0F27E5D1">
            <w:pPr>
              <w:jc w:val="center"/>
              <w:rPr>
                <w:rFonts w:ascii="宋体" w:hAnsi="宋体" w:eastAsia="宋体" w:cs="Times New Roman"/>
                <w:color w:val="000000"/>
                <w:sz w:val="21"/>
                <w:szCs w:val="21"/>
              </w:rPr>
            </w:pPr>
          </w:p>
        </w:tc>
      </w:tr>
      <w:tr w14:paraId="3CB0A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14:paraId="2EE71626">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14:paraId="4F788CC3">
            <w:pPr>
              <w:jc w:val="center"/>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14:paraId="2E91B392">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14:paraId="24584A94">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14:paraId="499D0DE6">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14:paraId="2C5D168E">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14:paraId="3AD82EBF">
            <w:pPr>
              <w:jc w:val="center"/>
              <w:rPr>
                <w:rFonts w:ascii="宋体" w:hAnsi="宋体" w:eastAsia="宋体" w:cs="Times New Roman"/>
                <w:color w:val="000000"/>
                <w:sz w:val="21"/>
                <w:szCs w:val="21"/>
              </w:rPr>
            </w:pPr>
          </w:p>
        </w:tc>
      </w:tr>
      <w:tr w14:paraId="393E3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55" w:type="dxa"/>
            <w:tcBorders>
              <w:top w:val="single" w:color="auto" w:sz="4" w:space="0"/>
              <w:left w:val="single" w:color="auto" w:sz="12" w:space="0"/>
              <w:bottom w:val="single" w:color="auto" w:sz="4" w:space="0"/>
              <w:right w:val="single" w:color="auto" w:sz="4" w:space="0"/>
            </w:tcBorders>
          </w:tcPr>
          <w:p w14:paraId="7B5B2AE9">
            <w:pPr>
              <w:jc w:val="right"/>
              <w:rPr>
                <w:rFonts w:ascii="宋体" w:hAnsi="宋体" w:eastAsia="宋体" w:cs="Times New Roman"/>
                <w:color w:val="000000"/>
                <w:sz w:val="21"/>
                <w:szCs w:val="21"/>
              </w:rPr>
            </w:pPr>
          </w:p>
        </w:tc>
        <w:tc>
          <w:tcPr>
            <w:tcW w:w="1283" w:type="dxa"/>
            <w:tcBorders>
              <w:top w:val="single" w:color="auto" w:sz="4" w:space="0"/>
              <w:left w:val="single" w:color="auto" w:sz="4" w:space="0"/>
              <w:bottom w:val="single" w:color="auto" w:sz="4" w:space="0"/>
              <w:right w:val="single" w:color="auto" w:sz="4" w:space="0"/>
            </w:tcBorders>
          </w:tcPr>
          <w:p w14:paraId="0A6A23E6">
            <w:pPr>
              <w:jc w:val="center"/>
              <w:rPr>
                <w:rFonts w:ascii="宋体" w:hAnsi="宋体" w:eastAsia="宋体" w:cs="Times New Roman"/>
                <w:color w:val="000000"/>
                <w:sz w:val="21"/>
                <w:szCs w:val="21"/>
              </w:rPr>
            </w:pPr>
          </w:p>
        </w:tc>
        <w:tc>
          <w:tcPr>
            <w:tcW w:w="1020" w:type="dxa"/>
            <w:gridSpan w:val="2"/>
            <w:tcBorders>
              <w:top w:val="single" w:color="auto" w:sz="4" w:space="0"/>
              <w:left w:val="single" w:color="auto" w:sz="4" w:space="0"/>
              <w:bottom w:val="single" w:color="auto" w:sz="4" w:space="0"/>
              <w:right w:val="single" w:color="auto" w:sz="4" w:space="0"/>
            </w:tcBorders>
          </w:tcPr>
          <w:p w14:paraId="67B9EF92">
            <w:pPr>
              <w:jc w:val="center"/>
              <w:rPr>
                <w:rFonts w:ascii="宋体" w:hAnsi="宋体" w:eastAsia="宋体" w:cs="Times New Roman"/>
                <w:color w:val="000000"/>
                <w:sz w:val="21"/>
                <w:szCs w:val="21"/>
              </w:rPr>
            </w:pPr>
          </w:p>
        </w:tc>
        <w:tc>
          <w:tcPr>
            <w:tcW w:w="1170" w:type="dxa"/>
            <w:gridSpan w:val="2"/>
            <w:tcBorders>
              <w:top w:val="single" w:color="auto" w:sz="4" w:space="0"/>
              <w:left w:val="single" w:color="auto" w:sz="4" w:space="0"/>
              <w:bottom w:val="single" w:color="auto" w:sz="4" w:space="0"/>
              <w:right w:val="single" w:color="auto" w:sz="4" w:space="0"/>
            </w:tcBorders>
          </w:tcPr>
          <w:p w14:paraId="6CC833D3">
            <w:pPr>
              <w:jc w:val="center"/>
              <w:rPr>
                <w:rFonts w:ascii="宋体" w:hAnsi="宋体" w:eastAsia="宋体" w:cs="Times New Roman"/>
                <w:color w:val="000000"/>
                <w:sz w:val="21"/>
                <w:szCs w:val="21"/>
              </w:rPr>
            </w:pPr>
          </w:p>
        </w:tc>
        <w:tc>
          <w:tcPr>
            <w:tcW w:w="1785" w:type="dxa"/>
            <w:gridSpan w:val="4"/>
            <w:tcBorders>
              <w:top w:val="single" w:color="auto" w:sz="4" w:space="0"/>
              <w:left w:val="single" w:color="auto" w:sz="4" w:space="0"/>
              <w:bottom w:val="single" w:color="auto" w:sz="4" w:space="0"/>
              <w:right w:val="single" w:color="auto" w:sz="4" w:space="0"/>
            </w:tcBorders>
          </w:tcPr>
          <w:p w14:paraId="262D0C0D">
            <w:pPr>
              <w:jc w:val="center"/>
              <w:rPr>
                <w:rFonts w:ascii="宋体" w:hAnsi="宋体" w:eastAsia="宋体" w:cs="Times New Roman"/>
                <w:color w:val="000000"/>
                <w:sz w:val="21"/>
                <w:szCs w:val="21"/>
              </w:rPr>
            </w:pPr>
          </w:p>
        </w:tc>
        <w:tc>
          <w:tcPr>
            <w:tcW w:w="1080" w:type="dxa"/>
            <w:gridSpan w:val="2"/>
            <w:tcBorders>
              <w:top w:val="single" w:color="auto" w:sz="4" w:space="0"/>
              <w:left w:val="single" w:color="auto" w:sz="4" w:space="0"/>
              <w:bottom w:val="single" w:color="auto" w:sz="4" w:space="0"/>
              <w:right w:val="single" w:color="auto" w:sz="4" w:space="0"/>
            </w:tcBorders>
          </w:tcPr>
          <w:p w14:paraId="6DBC53CB">
            <w:pPr>
              <w:rPr>
                <w:rFonts w:ascii="宋体" w:hAnsi="宋体" w:eastAsia="宋体" w:cs="Times New Roman"/>
                <w:color w:val="000000"/>
                <w:sz w:val="21"/>
                <w:szCs w:val="21"/>
              </w:rPr>
            </w:pPr>
          </w:p>
        </w:tc>
        <w:tc>
          <w:tcPr>
            <w:tcW w:w="1039" w:type="dxa"/>
            <w:tcBorders>
              <w:top w:val="single" w:color="auto" w:sz="4" w:space="0"/>
              <w:left w:val="single" w:color="auto" w:sz="4" w:space="0"/>
              <w:bottom w:val="single" w:color="auto" w:sz="4" w:space="0"/>
              <w:right w:val="single" w:color="auto" w:sz="12" w:space="0"/>
            </w:tcBorders>
          </w:tcPr>
          <w:p w14:paraId="510DE780">
            <w:pPr>
              <w:jc w:val="center"/>
              <w:rPr>
                <w:rFonts w:ascii="宋体" w:hAnsi="宋体" w:eastAsia="宋体" w:cs="Times New Roman"/>
                <w:color w:val="000000"/>
                <w:sz w:val="21"/>
                <w:szCs w:val="21"/>
              </w:rPr>
            </w:pPr>
          </w:p>
        </w:tc>
      </w:tr>
      <w:tr w14:paraId="7ACE6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155" w:type="dxa"/>
            <w:tcBorders>
              <w:top w:val="single" w:color="auto" w:sz="4" w:space="0"/>
              <w:left w:val="single" w:color="auto" w:sz="12" w:space="0"/>
              <w:bottom w:val="single" w:color="auto" w:sz="12" w:space="0"/>
              <w:right w:val="single" w:color="auto" w:sz="4" w:space="0"/>
            </w:tcBorders>
            <w:vAlign w:val="center"/>
          </w:tcPr>
          <w:p w14:paraId="38DF293A">
            <w:pPr>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其他</w:t>
            </w:r>
          </w:p>
        </w:tc>
        <w:tc>
          <w:tcPr>
            <w:tcW w:w="7377" w:type="dxa"/>
            <w:gridSpan w:val="12"/>
            <w:tcBorders>
              <w:top w:val="single" w:color="auto" w:sz="4" w:space="0"/>
              <w:left w:val="single" w:color="auto" w:sz="4" w:space="0"/>
              <w:bottom w:val="single" w:color="auto" w:sz="12" w:space="0"/>
              <w:right w:val="single" w:color="auto" w:sz="12" w:space="0"/>
            </w:tcBorders>
          </w:tcPr>
          <w:p w14:paraId="4EF79809">
            <w:pPr>
              <w:rPr>
                <w:rFonts w:ascii="宋体" w:hAnsi="宋体" w:eastAsia="宋体" w:cs="Times New Roman"/>
                <w:color w:val="000000"/>
                <w:sz w:val="21"/>
                <w:szCs w:val="21"/>
              </w:rPr>
            </w:pPr>
          </w:p>
        </w:tc>
      </w:tr>
    </w:tbl>
    <w:p w14:paraId="35CD91F4">
      <w:pPr>
        <w:wordWrap w:val="0"/>
        <w:spacing w:before="100" w:beforeAutospacing="1" w:after="100" w:afterAutospacing="1" w:line="253" w:lineRule="atLeast"/>
        <w:jc w:val="left"/>
        <w:rPr>
          <w:rFonts w:eastAsia="宋体" w:cs="Times New Roman"/>
          <w:bCs/>
          <w:color w:val="000000"/>
          <w:sz w:val="21"/>
          <w:szCs w:val="21"/>
        </w:rPr>
      </w:pPr>
      <w:r>
        <w:rPr>
          <w:rFonts w:hint="eastAsia" w:ascii="宋体" w:hAnsi="宋体" w:eastAsia="宋体" w:cs="宋体"/>
          <w:sz w:val="21"/>
          <w:szCs w:val="21"/>
        </w:rPr>
        <w:t>检测员：</w:t>
      </w:r>
      <w:r>
        <w:rPr>
          <w:rFonts w:hint="eastAsia" w:ascii="宋体" w:hAnsi="宋体" w:eastAsia="宋体" w:cs="宋体"/>
          <w:sz w:val="21"/>
          <w:szCs w:val="21"/>
          <w:u w:val="single"/>
        </w:rPr>
        <w:t xml:space="preserve">       </w:t>
      </w:r>
      <w:r>
        <w:rPr>
          <w:rFonts w:ascii="宋体" w:hAnsi="宋体" w:eastAsia="宋体" w:cs="宋体"/>
          <w:sz w:val="21"/>
          <w:szCs w:val="21"/>
        </w:rPr>
        <w:t xml:space="preserve">  </w:t>
      </w:r>
      <w:r>
        <w:rPr>
          <w:rFonts w:hint="eastAsia" w:ascii="宋体" w:hAnsi="宋体" w:eastAsia="宋体" w:cs="宋体"/>
          <w:sz w:val="21"/>
          <w:szCs w:val="21"/>
          <w:lang w:eastAsia="zh-CN"/>
        </w:rPr>
        <w:t>记录员</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ascii="宋体" w:hAnsi="宋体" w:eastAsia="宋体" w:cs="宋体"/>
          <w:sz w:val="21"/>
          <w:szCs w:val="21"/>
        </w:rPr>
        <w:t xml:space="preserve"> </w:t>
      </w:r>
      <w:r>
        <w:rPr>
          <w:rFonts w:hint="eastAsia" w:ascii="宋体" w:hAnsi="宋体" w:eastAsia="宋体" w:cs="宋体"/>
          <w:sz w:val="21"/>
          <w:szCs w:val="21"/>
        </w:rPr>
        <w:t>校核员：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58E8CA21">
      <w:pPr>
        <w:rPr>
          <w:rFonts w:eastAsia="宋体"/>
          <w:szCs w:val="24"/>
        </w:rPr>
      </w:pPr>
      <w:r>
        <w:rPr>
          <w:rFonts w:hint="eastAsia" w:eastAsia="宋体" w:cs="Times New Roman"/>
          <w:b/>
          <w:color w:val="000000"/>
          <w:szCs w:val="24"/>
        </w:rPr>
        <w:t>A.0.2　</w:t>
      </w:r>
      <w:r>
        <w:rPr>
          <w:rFonts w:hint="eastAsia" w:eastAsia="宋体" w:cs="Times New Roman"/>
          <w:color w:val="000000"/>
          <w:szCs w:val="24"/>
        </w:rPr>
        <w:t>给水管道声呐检测记录应按表</w:t>
      </w:r>
      <w:r>
        <w:rPr>
          <w:rFonts w:hint="eastAsia" w:eastAsia="宋体" w:cs="Times New Roman"/>
          <w:bCs/>
          <w:color w:val="000000"/>
          <w:szCs w:val="24"/>
        </w:rPr>
        <w:t>A.0.2填写。</w:t>
      </w:r>
    </w:p>
    <w:p w14:paraId="6512BED1">
      <w:pPr>
        <w:pStyle w:val="105"/>
      </w:pPr>
      <w:r>
        <w:rPr>
          <w:rFonts w:hint="eastAsia"/>
        </w:rPr>
        <w:t>表A.0.2　给水管道声呐检测记录表</w:t>
      </w:r>
    </w:p>
    <w:p w14:paraId="3E6AF3B0">
      <w:pPr>
        <w:wordWrap w:val="0"/>
        <w:spacing w:line="240" w:lineRule="exact"/>
        <w:jc w:val="right"/>
        <w:rPr>
          <w:rFonts w:eastAsia="宋体" w:cs="Times New Roman"/>
          <w:sz w:val="21"/>
          <w:szCs w:val="21"/>
        </w:rPr>
      </w:pPr>
      <w:r>
        <w:rPr>
          <w:rFonts w:hint="eastAsia" w:eastAsia="宋体" w:cs="Times New Roman"/>
          <w:sz w:val="21"/>
          <w:szCs w:val="21"/>
        </w:rPr>
        <w:t xml:space="preserve">编号：       </w:t>
      </w:r>
    </w:p>
    <w:p w14:paraId="6CEE510A">
      <w:pPr>
        <w:spacing w:before="156" w:beforeLines="50" w:line="240" w:lineRule="auto"/>
        <w:rPr>
          <w:rFonts w:ascii="宋体" w:hAnsi="宋体" w:eastAsia="宋体" w:cs="宋体"/>
          <w:sz w:val="21"/>
          <w:szCs w:val="21"/>
          <w:u w:val="single"/>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地点：</w:t>
      </w:r>
      <w:r>
        <w:rPr>
          <w:rFonts w:hint="eastAsia" w:ascii="宋体" w:hAnsi="宋体" w:eastAsia="宋体" w:cs="宋体"/>
          <w:sz w:val="21"/>
          <w:szCs w:val="21"/>
          <w:u w:val="single"/>
        </w:rPr>
        <w:t xml:space="preserve">             </w:t>
      </w:r>
    </w:p>
    <w:p w14:paraId="233102C1">
      <w:pPr>
        <w:spacing w:before="156" w:beforeLines="50" w:line="240" w:lineRule="auto"/>
        <w:rPr>
          <w:rFonts w:ascii="宋体" w:hAnsi="宋体" w:eastAsia="宋体" w:cs="宋体"/>
          <w:sz w:val="21"/>
          <w:szCs w:val="21"/>
        </w:rPr>
      </w:pPr>
      <w:r>
        <w:rPr>
          <w:rFonts w:hint="eastAsia" w:ascii="宋体" w:hAnsi="宋体" w:eastAsia="宋体" w:cs="宋体"/>
          <w:sz w:val="21"/>
          <w:szCs w:val="21"/>
        </w:rPr>
        <w:t>仪器型号：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ascii="宋体" w:hAnsi="宋体" w:eastAsia="宋体" w:cs="宋体"/>
          <w:sz w:val="21"/>
          <w:szCs w:val="21"/>
        </w:rPr>
        <w:t xml:space="preserve"> </w:t>
      </w:r>
      <w:r>
        <w:rPr>
          <w:rFonts w:hint="eastAsia" w:ascii="宋体" w:hAnsi="宋体" w:eastAsia="宋体" w:cs="宋体"/>
          <w:sz w:val="21"/>
          <w:szCs w:val="21"/>
        </w:rPr>
        <w:t xml:space="preserve">        仪器编号：</w:t>
      </w:r>
      <w:r>
        <w:rPr>
          <w:rFonts w:hint="eastAsia" w:ascii="宋体" w:hAnsi="宋体" w:eastAsia="宋体" w:cs="宋体"/>
          <w:sz w:val="21"/>
          <w:szCs w:val="21"/>
          <w:u w:val="single"/>
        </w:rPr>
        <w:t xml:space="preserve">          </w:t>
      </w:r>
      <w:r>
        <w:rPr>
          <w:rFonts w:ascii="宋体" w:hAnsi="宋体" w:eastAsia="宋体" w:cs="宋体"/>
          <w:sz w:val="21"/>
          <w:szCs w:val="21"/>
        </w:rPr>
        <w:t xml:space="preserve"> </w:t>
      </w:r>
      <w:r>
        <w:rPr>
          <w:rFonts w:hint="eastAsia" w:ascii="宋体" w:hAnsi="宋体" w:eastAsia="宋体" w:cs="宋体"/>
          <w:sz w:val="21"/>
          <w:szCs w:val="21"/>
        </w:rPr>
        <w:t xml:space="preserve">     </w:t>
      </w:r>
      <w:r>
        <w:rPr>
          <w:rFonts w:ascii="宋体" w:hAnsi="宋体" w:eastAsia="宋体" w:cs="宋体"/>
          <w:sz w:val="21"/>
          <w:szCs w:val="21"/>
        </w:rPr>
        <w:t xml:space="preserve"> </w:t>
      </w:r>
      <w:r>
        <w:rPr>
          <w:rFonts w:hint="eastAsia" w:ascii="宋体" w:hAnsi="宋体" w:eastAsia="宋体" w:cs="宋体"/>
          <w:sz w:val="21"/>
          <w:szCs w:val="21"/>
        </w:rPr>
        <w:t>第</w:t>
      </w:r>
      <w:r>
        <w:rPr>
          <w:rFonts w:hint="eastAsia" w:ascii="宋体" w:hAnsi="宋体" w:eastAsia="宋体" w:cs="宋体"/>
          <w:sz w:val="21"/>
          <w:szCs w:val="21"/>
          <w:u w:val="single"/>
        </w:rPr>
        <w:t xml:space="preserve">   </w:t>
      </w:r>
      <w:r>
        <w:rPr>
          <w:rFonts w:hint="eastAsia" w:ascii="宋体" w:hAnsi="宋体" w:eastAsia="宋体" w:cs="宋体"/>
          <w:sz w:val="21"/>
          <w:szCs w:val="21"/>
        </w:rPr>
        <w:t>页  共</w:t>
      </w:r>
      <w:r>
        <w:rPr>
          <w:rFonts w:hint="eastAsia" w:ascii="宋体" w:hAnsi="宋体" w:eastAsia="宋体" w:cs="宋体"/>
          <w:sz w:val="21"/>
          <w:szCs w:val="21"/>
          <w:u w:val="single"/>
        </w:rPr>
        <w:t xml:space="preserve">   </w:t>
      </w:r>
      <w:r>
        <w:rPr>
          <w:rFonts w:hint="eastAsia" w:ascii="宋体" w:hAnsi="宋体" w:eastAsia="宋体" w:cs="宋体"/>
          <w:sz w:val="21"/>
          <w:szCs w:val="21"/>
        </w:rPr>
        <w:t>页</w:t>
      </w:r>
    </w:p>
    <w:tbl>
      <w:tblPr>
        <w:tblStyle w:val="29"/>
        <w:tblW w:w="8281" w:type="dxa"/>
        <w:tblInd w:w="13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12"/>
        <w:gridCol w:w="785"/>
        <w:gridCol w:w="694"/>
        <w:gridCol w:w="657"/>
        <w:gridCol w:w="705"/>
        <w:gridCol w:w="900"/>
        <w:gridCol w:w="675"/>
        <w:gridCol w:w="780"/>
        <w:gridCol w:w="720"/>
        <w:gridCol w:w="660"/>
      </w:tblGrid>
      <w:tr w14:paraId="3510C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vAlign w:val="center"/>
          </w:tcPr>
          <w:p w14:paraId="0CB30B0E">
            <w:pPr>
              <w:spacing w:line="240" w:lineRule="auto"/>
              <w:jc w:val="center"/>
              <w:rPr>
                <w:rFonts w:eastAsia="宋体" w:cs="Times New Roman"/>
                <w:sz w:val="21"/>
                <w:szCs w:val="21"/>
              </w:rPr>
            </w:pPr>
            <w:r>
              <w:rPr>
                <w:rFonts w:eastAsia="宋体" w:cs="Times New Roman"/>
                <w:sz w:val="21"/>
                <w:szCs w:val="21"/>
              </w:rPr>
              <w:t>序号</w:t>
            </w:r>
          </w:p>
        </w:tc>
        <w:tc>
          <w:tcPr>
            <w:tcW w:w="1112" w:type="dxa"/>
            <w:tcBorders>
              <w:tl2br w:val="nil"/>
              <w:tr2bl w:val="nil"/>
            </w:tcBorders>
            <w:vAlign w:val="center"/>
          </w:tcPr>
          <w:p w14:paraId="42D30054">
            <w:pPr>
              <w:spacing w:line="240" w:lineRule="auto"/>
              <w:jc w:val="center"/>
              <w:rPr>
                <w:rFonts w:eastAsia="宋体" w:cs="Times New Roman"/>
                <w:sz w:val="21"/>
                <w:szCs w:val="21"/>
              </w:rPr>
            </w:pPr>
            <w:r>
              <w:rPr>
                <w:rFonts w:eastAsia="宋体" w:cs="Times New Roman"/>
                <w:sz w:val="21"/>
                <w:szCs w:val="21"/>
              </w:rPr>
              <w:t>录像文件</w:t>
            </w:r>
          </w:p>
        </w:tc>
        <w:tc>
          <w:tcPr>
            <w:tcW w:w="785" w:type="dxa"/>
            <w:tcBorders>
              <w:tl2br w:val="nil"/>
              <w:tr2bl w:val="nil"/>
            </w:tcBorders>
            <w:vAlign w:val="center"/>
          </w:tcPr>
          <w:p w14:paraId="3EEE8B6F">
            <w:pPr>
              <w:spacing w:line="240" w:lineRule="auto"/>
              <w:jc w:val="center"/>
              <w:rPr>
                <w:rFonts w:eastAsia="宋体" w:cs="Times New Roman"/>
                <w:sz w:val="21"/>
                <w:szCs w:val="21"/>
              </w:rPr>
            </w:pPr>
            <w:r>
              <w:rPr>
                <w:rFonts w:eastAsia="宋体" w:cs="Times New Roman"/>
                <w:sz w:val="21"/>
                <w:szCs w:val="21"/>
              </w:rPr>
              <w:t>起始点号</w:t>
            </w:r>
          </w:p>
        </w:tc>
        <w:tc>
          <w:tcPr>
            <w:tcW w:w="694" w:type="dxa"/>
            <w:tcBorders>
              <w:tl2br w:val="nil"/>
              <w:tr2bl w:val="nil"/>
            </w:tcBorders>
            <w:vAlign w:val="center"/>
          </w:tcPr>
          <w:p w14:paraId="4E31AB5D">
            <w:pPr>
              <w:spacing w:line="240" w:lineRule="auto"/>
              <w:jc w:val="center"/>
              <w:rPr>
                <w:rFonts w:eastAsia="宋体" w:cs="Times New Roman"/>
                <w:sz w:val="21"/>
                <w:szCs w:val="21"/>
              </w:rPr>
            </w:pPr>
            <w:r>
              <w:rPr>
                <w:rFonts w:eastAsia="宋体" w:cs="Times New Roman"/>
                <w:sz w:val="21"/>
                <w:szCs w:val="21"/>
              </w:rPr>
              <w:t>终止点号</w:t>
            </w:r>
          </w:p>
        </w:tc>
        <w:tc>
          <w:tcPr>
            <w:tcW w:w="657" w:type="dxa"/>
            <w:tcBorders>
              <w:tl2br w:val="nil"/>
              <w:tr2bl w:val="nil"/>
            </w:tcBorders>
            <w:vAlign w:val="center"/>
          </w:tcPr>
          <w:p w14:paraId="199F5097">
            <w:pPr>
              <w:spacing w:line="240" w:lineRule="auto"/>
              <w:jc w:val="center"/>
              <w:rPr>
                <w:rFonts w:eastAsia="宋体" w:cs="Times New Roman"/>
                <w:sz w:val="21"/>
                <w:szCs w:val="21"/>
              </w:rPr>
            </w:pPr>
            <w:r>
              <w:rPr>
                <w:rFonts w:eastAsia="宋体" w:cs="Times New Roman"/>
                <w:sz w:val="21"/>
                <w:szCs w:val="21"/>
              </w:rPr>
              <w:t>管段</w:t>
            </w:r>
          </w:p>
          <w:p w14:paraId="2A4A3E0C">
            <w:pPr>
              <w:spacing w:line="240" w:lineRule="auto"/>
              <w:jc w:val="center"/>
              <w:rPr>
                <w:rFonts w:eastAsia="宋体" w:cs="Times New Roman"/>
                <w:sz w:val="21"/>
                <w:szCs w:val="21"/>
              </w:rPr>
            </w:pPr>
            <w:r>
              <w:rPr>
                <w:rFonts w:eastAsia="宋体" w:cs="Times New Roman"/>
                <w:sz w:val="21"/>
                <w:szCs w:val="21"/>
              </w:rPr>
              <w:t>类型</w:t>
            </w:r>
          </w:p>
        </w:tc>
        <w:tc>
          <w:tcPr>
            <w:tcW w:w="705" w:type="dxa"/>
            <w:tcBorders>
              <w:tl2br w:val="nil"/>
              <w:tr2bl w:val="nil"/>
            </w:tcBorders>
            <w:vAlign w:val="center"/>
          </w:tcPr>
          <w:p w14:paraId="5E472844">
            <w:pPr>
              <w:spacing w:line="240" w:lineRule="auto"/>
              <w:jc w:val="center"/>
              <w:rPr>
                <w:rFonts w:eastAsia="宋体" w:cs="Times New Roman"/>
                <w:sz w:val="21"/>
                <w:szCs w:val="21"/>
              </w:rPr>
            </w:pPr>
            <w:r>
              <w:rPr>
                <w:rFonts w:eastAsia="宋体" w:cs="Times New Roman"/>
                <w:sz w:val="21"/>
                <w:szCs w:val="21"/>
              </w:rPr>
              <w:t>管道材质</w:t>
            </w:r>
          </w:p>
        </w:tc>
        <w:tc>
          <w:tcPr>
            <w:tcW w:w="900" w:type="dxa"/>
            <w:tcBorders>
              <w:tl2br w:val="nil"/>
              <w:tr2bl w:val="nil"/>
            </w:tcBorders>
            <w:vAlign w:val="center"/>
          </w:tcPr>
          <w:p w14:paraId="3E218EE6">
            <w:pPr>
              <w:spacing w:line="240" w:lineRule="auto"/>
              <w:jc w:val="center"/>
              <w:rPr>
                <w:rFonts w:eastAsia="宋体" w:cs="Times New Roman"/>
                <w:sz w:val="21"/>
                <w:szCs w:val="21"/>
              </w:rPr>
            </w:pPr>
            <w:r>
              <w:rPr>
                <w:rFonts w:eastAsia="宋体" w:cs="Times New Roman"/>
                <w:sz w:val="21"/>
                <w:szCs w:val="21"/>
              </w:rPr>
              <w:t>管道</w:t>
            </w:r>
          </w:p>
          <w:p w14:paraId="5AE2D9A2">
            <w:pPr>
              <w:spacing w:line="240" w:lineRule="auto"/>
              <w:jc w:val="center"/>
              <w:rPr>
                <w:rFonts w:eastAsia="宋体" w:cs="Times New Roman"/>
                <w:sz w:val="21"/>
                <w:szCs w:val="21"/>
              </w:rPr>
            </w:pPr>
            <w:r>
              <w:rPr>
                <w:rFonts w:eastAsia="宋体" w:cs="Times New Roman"/>
                <w:sz w:val="21"/>
                <w:szCs w:val="21"/>
              </w:rPr>
              <w:t>直径</w:t>
            </w:r>
          </w:p>
          <w:p w14:paraId="2FE8564E">
            <w:pPr>
              <w:spacing w:line="240" w:lineRule="auto"/>
              <w:jc w:val="center"/>
              <w:rPr>
                <w:rFonts w:hint="eastAsia" w:eastAsia="宋体" w:cs="Times New Roman"/>
                <w:sz w:val="21"/>
                <w:szCs w:val="21"/>
                <w:lang w:eastAsia="zh-CN"/>
              </w:rPr>
            </w:pPr>
            <w:r>
              <w:rPr>
                <w:rFonts w:hint="eastAsia" w:eastAsia="宋体" w:cs="Times New Roman"/>
                <w:sz w:val="21"/>
                <w:szCs w:val="21"/>
                <w:lang w:val="en-US" w:eastAsia="zh-CN"/>
              </w:rPr>
              <w:t>(</w:t>
            </w:r>
            <w:r>
              <w:rPr>
                <w:rFonts w:eastAsia="宋体" w:cs="Times New Roman"/>
                <w:sz w:val="21"/>
                <w:szCs w:val="21"/>
              </w:rPr>
              <w:t>mm</w:t>
            </w:r>
            <w:r>
              <w:rPr>
                <w:rFonts w:hint="eastAsia" w:eastAsia="宋体" w:cs="Times New Roman"/>
                <w:sz w:val="21"/>
                <w:szCs w:val="21"/>
                <w:lang w:val="en-US" w:eastAsia="zh-CN"/>
              </w:rPr>
              <w:t>)</w:t>
            </w:r>
          </w:p>
        </w:tc>
        <w:tc>
          <w:tcPr>
            <w:tcW w:w="675" w:type="dxa"/>
            <w:tcBorders>
              <w:tl2br w:val="nil"/>
              <w:tr2bl w:val="nil"/>
            </w:tcBorders>
            <w:vAlign w:val="center"/>
          </w:tcPr>
          <w:p w14:paraId="6D8C6229">
            <w:pPr>
              <w:spacing w:line="240" w:lineRule="auto"/>
              <w:jc w:val="center"/>
              <w:rPr>
                <w:rFonts w:eastAsia="宋体" w:cs="Times New Roman"/>
                <w:sz w:val="21"/>
                <w:szCs w:val="21"/>
              </w:rPr>
            </w:pPr>
            <w:r>
              <w:rPr>
                <w:rFonts w:eastAsia="宋体" w:cs="Times New Roman"/>
                <w:sz w:val="21"/>
                <w:szCs w:val="21"/>
              </w:rPr>
              <w:t>检测</w:t>
            </w:r>
          </w:p>
          <w:p w14:paraId="4E03DCAA">
            <w:pPr>
              <w:spacing w:line="240" w:lineRule="auto"/>
              <w:jc w:val="center"/>
              <w:rPr>
                <w:rFonts w:eastAsia="宋体" w:cs="Times New Roman"/>
                <w:sz w:val="21"/>
                <w:szCs w:val="21"/>
              </w:rPr>
            </w:pPr>
            <w:r>
              <w:rPr>
                <w:rFonts w:eastAsia="宋体" w:cs="Times New Roman"/>
                <w:sz w:val="21"/>
                <w:szCs w:val="21"/>
              </w:rPr>
              <w:t>方向</w:t>
            </w:r>
          </w:p>
        </w:tc>
        <w:tc>
          <w:tcPr>
            <w:tcW w:w="780" w:type="dxa"/>
            <w:tcBorders>
              <w:tl2br w:val="nil"/>
              <w:tr2bl w:val="nil"/>
            </w:tcBorders>
            <w:vAlign w:val="center"/>
          </w:tcPr>
          <w:p w14:paraId="6227FF4F">
            <w:pPr>
              <w:spacing w:line="240" w:lineRule="auto"/>
              <w:jc w:val="center"/>
              <w:rPr>
                <w:rFonts w:eastAsia="宋体" w:cs="Times New Roman"/>
                <w:sz w:val="21"/>
                <w:szCs w:val="21"/>
              </w:rPr>
            </w:pPr>
            <w:r>
              <w:rPr>
                <w:rFonts w:eastAsia="宋体" w:cs="Times New Roman"/>
                <w:sz w:val="21"/>
                <w:szCs w:val="21"/>
              </w:rPr>
              <w:t>管段长度</w:t>
            </w:r>
          </w:p>
          <w:p w14:paraId="5B09662A">
            <w:pPr>
              <w:spacing w:line="240" w:lineRule="auto"/>
              <w:jc w:val="center"/>
              <w:rPr>
                <w:rFonts w:hint="eastAsia" w:eastAsia="宋体" w:cs="Times New Roman"/>
                <w:sz w:val="21"/>
                <w:szCs w:val="21"/>
                <w:lang w:eastAsia="zh-CN"/>
              </w:rPr>
            </w:pPr>
            <w:r>
              <w:rPr>
                <w:rFonts w:hint="eastAsia" w:eastAsia="宋体" w:cs="Times New Roman"/>
                <w:sz w:val="21"/>
                <w:szCs w:val="21"/>
                <w:lang w:val="en-US" w:eastAsia="zh-CN"/>
              </w:rPr>
              <w:t>(</w:t>
            </w:r>
            <w:r>
              <w:rPr>
                <w:rFonts w:eastAsia="宋体" w:cs="Times New Roman"/>
                <w:sz w:val="21"/>
                <w:szCs w:val="21"/>
              </w:rPr>
              <w:t>m</w:t>
            </w:r>
            <w:r>
              <w:rPr>
                <w:rFonts w:hint="eastAsia" w:eastAsia="宋体" w:cs="Times New Roman"/>
                <w:sz w:val="21"/>
                <w:szCs w:val="21"/>
                <w:lang w:val="en-US" w:eastAsia="zh-CN"/>
              </w:rPr>
              <w:t>)</w:t>
            </w:r>
          </w:p>
        </w:tc>
        <w:tc>
          <w:tcPr>
            <w:tcW w:w="720" w:type="dxa"/>
            <w:tcBorders>
              <w:tl2br w:val="nil"/>
              <w:tr2bl w:val="nil"/>
            </w:tcBorders>
            <w:vAlign w:val="center"/>
          </w:tcPr>
          <w:p w14:paraId="53158CE9">
            <w:pPr>
              <w:spacing w:line="240" w:lineRule="auto"/>
              <w:jc w:val="center"/>
              <w:rPr>
                <w:rFonts w:eastAsia="宋体" w:cs="Times New Roman"/>
                <w:sz w:val="21"/>
                <w:szCs w:val="21"/>
              </w:rPr>
            </w:pPr>
            <w:r>
              <w:rPr>
                <w:rFonts w:eastAsia="宋体" w:cs="Times New Roman"/>
                <w:sz w:val="21"/>
                <w:szCs w:val="21"/>
              </w:rPr>
              <w:t>检测长度</w:t>
            </w:r>
          </w:p>
          <w:p w14:paraId="35316ECB">
            <w:pPr>
              <w:spacing w:line="240" w:lineRule="auto"/>
              <w:jc w:val="center"/>
              <w:rPr>
                <w:rFonts w:eastAsia="宋体" w:cs="Times New Roman"/>
                <w:sz w:val="21"/>
                <w:szCs w:val="21"/>
              </w:rPr>
            </w:pPr>
            <w:r>
              <w:rPr>
                <w:rFonts w:hint="eastAsia" w:eastAsia="宋体" w:cs="Times New Roman"/>
                <w:sz w:val="21"/>
                <w:szCs w:val="21"/>
                <w:lang w:val="en-US" w:eastAsia="zh-CN"/>
              </w:rPr>
              <w:t>(</w:t>
            </w:r>
            <w:r>
              <w:rPr>
                <w:rFonts w:eastAsia="宋体" w:cs="Times New Roman"/>
                <w:sz w:val="21"/>
                <w:szCs w:val="21"/>
              </w:rPr>
              <w:t>m</w:t>
            </w:r>
            <w:r>
              <w:rPr>
                <w:rFonts w:hint="eastAsia" w:eastAsia="宋体" w:cs="Times New Roman"/>
                <w:sz w:val="21"/>
                <w:szCs w:val="21"/>
                <w:lang w:val="en-US" w:eastAsia="zh-CN"/>
              </w:rPr>
              <w:t>)</w:t>
            </w:r>
          </w:p>
        </w:tc>
        <w:tc>
          <w:tcPr>
            <w:tcW w:w="660" w:type="dxa"/>
            <w:tcBorders>
              <w:tl2br w:val="nil"/>
              <w:tr2bl w:val="nil"/>
            </w:tcBorders>
            <w:vAlign w:val="center"/>
          </w:tcPr>
          <w:p w14:paraId="6B62BE75">
            <w:pPr>
              <w:spacing w:line="240" w:lineRule="auto"/>
              <w:jc w:val="center"/>
              <w:rPr>
                <w:rFonts w:eastAsia="宋体" w:cs="Times New Roman"/>
                <w:sz w:val="21"/>
                <w:szCs w:val="21"/>
              </w:rPr>
            </w:pPr>
            <w:r>
              <w:rPr>
                <w:rFonts w:eastAsia="宋体" w:cs="Times New Roman"/>
                <w:sz w:val="21"/>
                <w:szCs w:val="21"/>
              </w:rPr>
              <w:t>缺陷描述</w:t>
            </w:r>
          </w:p>
        </w:tc>
      </w:tr>
      <w:tr w14:paraId="698F8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14:paraId="7CD89117">
            <w:pPr>
              <w:spacing w:line="420" w:lineRule="auto"/>
              <w:jc w:val="center"/>
              <w:rPr>
                <w:rFonts w:eastAsia="宋体" w:cs="Times New Roman"/>
                <w:sz w:val="21"/>
                <w:szCs w:val="21"/>
              </w:rPr>
            </w:pPr>
            <w:r>
              <w:rPr>
                <w:rFonts w:eastAsia="宋体" w:cs="Times New Roman"/>
                <w:sz w:val="21"/>
                <w:szCs w:val="21"/>
              </w:rPr>
              <w:t>1</w:t>
            </w:r>
          </w:p>
        </w:tc>
        <w:tc>
          <w:tcPr>
            <w:tcW w:w="1112" w:type="dxa"/>
            <w:tcBorders>
              <w:tl2br w:val="nil"/>
              <w:tr2bl w:val="nil"/>
            </w:tcBorders>
          </w:tcPr>
          <w:p w14:paraId="293CAB55">
            <w:pPr>
              <w:spacing w:line="420" w:lineRule="auto"/>
              <w:jc w:val="center"/>
              <w:rPr>
                <w:rFonts w:eastAsia="宋体" w:cs="Times New Roman"/>
                <w:sz w:val="21"/>
                <w:szCs w:val="21"/>
              </w:rPr>
            </w:pPr>
          </w:p>
        </w:tc>
        <w:tc>
          <w:tcPr>
            <w:tcW w:w="785" w:type="dxa"/>
            <w:tcBorders>
              <w:tl2br w:val="nil"/>
              <w:tr2bl w:val="nil"/>
            </w:tcBorders>
          </w:tcPr>
          <w:p w14:paraId="65CECA86">
            <w:pPr>
              <w:spacing w:line="420" w:lineRule="auto"/>
              <w:jc w:val="center"/>
              <w:rPr>
                <w:rFonts w:eastAsia="宋体" w:cs="Times New Roman"/>
                <w:sz w:val="21"/>
                <w:szCs w:val="21"/>
              </w:rPr>
            </w:pPr>
          </w:p>
        </w:tc>
        <w:tc>
          <w:tcPr>
            <w:tcW w:w="694" w:type="dxa"/>
            <w:tcBorders>
              <w:tl2br w:val="nil"/>
              <w:tr2bl w:val="nil"/>
            </w:tcBorders>
          </w:tcPr>
          <w:p w14:paraId="3C02ECE9">
            <w:pPr>
              <w:spacing w:line="420" w:lineRule="auto"/>
              <w:jc w:val="center"/>
              <w:rPr>
                <w:rFonts w:eastAsia="宋体" w:cs="Times New Roman"/>
                <w:sz w:val="21"/>
                <w:szCs w:val="21"/>
              </w:rPr>
            </w:pPr>
          </w:p>
        </w:tc>
        <w:tc>
          <w:tcPr>
            <w:tcW w:w="657" w:type="dxa"/>
            <w:tcBorders>
              <w:tl2br w:val="nil"/>
              <w:tr2bl w:val="nil"/>
            </w:tcBorders>
          </w:tcPr>
          <w:p w14:paraId="70050E6A">
            <w:pPr>
              <w:spacing w:line="420" w:lineRule="auto"/>
              <w:jc w:val="center"/>
              <w:rPr>
                <w:rFonts w:eastAsia="宋体" w:cs="Times New Roman"/>
                <w:sz w:val="21"/>
                <w:szCs w:val="21"/>
              </w:rPr>
            </w:pPr>
          </w:p>
        </w:tc>
        <w:tc>
          <w:tcPr>
            <w:tcW w:w="705" w:type="dxa"/>
            <w:tcBorders>
              <w:tl2br w:val="nil"/>
              <w:tr2bl w:val="nil"/>
            </w:tcBorders>
          </w:tcPr>
          <w:p w14:paraId="553A2FD2">
            <w:pPr>
              <w:spacing w:line="420" w:lineRule="auto"/>
              <w:jc w:val="center"/>
              <w:rPr>
                <w:rFonts w:eastAsia="宋体" w:cs="Times New Roman"/>
                <w:sz w:val="21"/>
                <w:szCs w:val="21"/>
              </w:rPr>
            </w:pPr>
          </w:p>
        </w:tc>
        <w:tc>
          <w:tcPr>
            <w:tcW w:w="900" w:type="dxa"/>
            <w:tcBorders>
              <w:tl2br w:val="nil"/>
              <w:tr2bl w:val="nil"/>
            </w:tcBorders>
          </w:tcPr>
          <w:p w14:paraId="110A2F01">
            <w:pPr>
              <w:spacing w:line="420" w:lineRule="auto"/>
              <w:jc w:val="center"/>
              <w:rPr>
                <w:rFonts w:eastAsia="宋体" w:cs="Times New Roman"/>
                <w:sz w:val="21"/>
                <w:szCs w:val="21"/>
              </w:rPr>
            </w:pPr>
          </w:p>
        </w:tc>
        <w:tc>
          <w:tcPr>
            <w:tcW w:w="675" w:type="dxa"/>
            <w:tcBorders>
              <w:tl2br w:val="nil"/>
              <w:tr2bl w:val="nil"/>
            </w:tcBorders>
          </w:tcPr>
          <w:p w14:paraId="4E0EE32C">
            <w:pPr>
              <w:spacing w:line="420" w:lineRule="auto"/>
              <w:jc w:val="center"/>
              <w:rPr>
                <w:rFonts w:eastAsia="宋体" w:cs="Times New Roman"/>
                <w:sz w:val="21"/>
                <w:szCs w:val="21"/>
              </w:rPr>
            </w:pPr>
          </w:p>
        </w:tc>
        <w:tc>
          <w:tcPr>
            <w:tcW w:w="780" w:type="dxa"/>
            <w:tcBorders>
              <w:tl2br w:val="nil"/>
              <w:tr2bl w:val="nil"/>
            </w:tcBorders>
          </w:tcPr>
          <w:p w14:paraId="100E0CB3">
            <w:pPr>
              <w:spacing w:line="420" w:lineRule="auto"/>
              <w:jc w:val="center"/>
              <w:rPr>
                <w:rFonts w:eastAsia="宋体" w:cs="Times New Roman"/>
                <w:sz w:val="21"/>
                <w:szCs w:val="21"/>
              </w:rPr>
            </w:pPr>
          </w:p>
        </w:tc>
        <w:tc>
          <w:tcPr>
            <w:tcW w:w="720" w:type="dxa"/>
            <w:tcBorders>
              <w:tl2br w:val="nil"/>
              <w:tr2bl w:val="nil"/>
            </w:tcBorders>
          </w:tcPr>
          <w:p w14:paraId="01E790BC">
            <w:pPr>
              <w:spacing w:line="420" w:lineRule="auto"/>
              <w:jc w:val="center"/>
              <w:rPr>
                <w:rFonts w:eastAsia="宋体" w:cs="Times New Roman"/>
                <w:sz w:val="21"/>
                <w:szCs w:val="21"/>
              </w:rPr>
            </w:pPr>
          </w:p>
        </w:tc>
        <w:tc>
          <w:tcPr>
            <w:tcW w:w="660" w:type="dxa"/>
            <w:tcBorders>
              <w:tl2br w:val="nil"/>
              <w:tr2bl w:val="nil"/>
            </w:tcBorders>
          </w:tcPr>
          <w:p w14:paraId="5B470229">
            <w:pPr>
              <w:spacing w:line="420" w:lineRule="auto"/>
              <w:rPr>
                <w:rFonts w:eastAsia="宋体" w:cs="Times New Roman"/>
                <w:sz w:val="21"/>
                <w:szCs w:val="21"/>
              </w:rPr>
            </w:pPr>
          </w:p>
        </w:tc>
      </w:tr>
      <w:tr w14:paraId="413C8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14:paraId="49CDE54B">
            <w:pPr>
              <w:spacing w:line="420" w:lineRule="auto"/>
              <w:jc w:val="center"/>
              <w:rPr>
                <w:rFonts w:eastAsia="宋体" w:cs="Times New Roman"/>
                <w:sz w:val="21"/>
                <w:szCs w:val="21"/>
              </w:rPr>
            </w:pPr>
            <w:r>
              <w:rPr>
                <w:rFonts w:eastAsia="宋体" w:cs="Times New Roman"/>
                <w:sz w:val="21"/>
                <w:szCs w:val="21"/>
              </w:rPr>
              <w:t>2</w:t>
            </w:r>
          </w:p>
        </w:tc>
        <w:tc>
          <w:tcPr>
            <w:tcW w:w="1112" w:type="dxa"/>
            <w:tcBorders>
              <w:tl2br w:val="nil"/>
              <w:tr2bl w:val="nil"/>
            </w:tcBorders>
          </w:tcPr>
          <w:p w14:paraId="1A653D1D">
            <w:pPr>
              <w:spacing w:line="420" w:lineRule="auto"/>
              <w:jc w:val="center"/>
              <w:rPr>
                <w:rFonts w:eastAsia="宋体" w:cs="Times New Roman"/>
                <w:sz w:val="21"/>
                <w:szCs w:val="21"/>
              </w:rPr>
            </w:pPr>
          </w:p>
        </w:tc>
        <w:tc>
          <w:tcPr>
            <w:tcW w:w="785" w:type="dxa"/>
            <w:tcBorders>
              <w:tl2br w:val="nil"/>
              <w:tr2bl w:val="nil"/>
            </w:tcBorders>
          </w:tcPr>
          <w:p w14:paraId="46AF3E45">
            <w:pPr>
              <w:spacing w:line="420" w:lineRule="auto"/>
              <w:jc w:val="center"/>
              <w:rPr>
                <w:rFonts w:eastAsia="宋体" w:cs="Times New Roman"/>
                <w:sz w:val="21"/>
                <w:szCs w:val="21"/>
              </w:rPr>
            </w:pPr>
          </w:p>
        </w:tc>
        <w:tc>
          <w:tcPr>
            <w:tcW w:w="694" w:type="dxa"/>
            <w:tcBorders>
              <w:tl2br w:val="nil"/>
              <w:tr2bl w:val="nil"/>
            </w:tcBorders>
          </w:tcPr>
          <w:p w14:paraId="38EB6CD1">
            <w:pPr>
              <w:spacing w:line="420" w:lineRule="auto"/>
              <w:jc w:val="center"/>
              <w:rPr>
                <w:rFonts w:eastAsia="宋体" w:cs="Times New Roman"/>
                <w:sz w:val="21"/>
                <w:szCs w:val="21"/>
              </w:rPr>
            </w:pPr>
          </w:p>
        </w:tc>
        <w:tc>
          <w:tcPr>
            <w:tcW w:w="657" w:type="dxa"/>
            <w:tcBorders>
              <w:tl2br w:val="nil"/>
              <w:tr2bl w:val="nil"/>
            </w:tcBorders>
          </w:tcPr>
          <w:p w14:paraId="665360F6">
            <w:pPr>
              <w:spacing w:line="420" w:lineRule="auto"/>
              <w:jc w:val="center"/>
              <w:rPr>
                <w:rFonts w:eastAsia="宋体" w:cs="Times New Roman"/>
                <w:sz w:val="21"/>
                <w:szCs w:val="21"/>
              </w:rPr>
            </w:pPr>
          </w:p>
        </w:tc>
        <w:tc>
          <w:tcPr>
            <w:tcW w:w="705" w:type="dxa"/>
            <w:tcBorders>
              <w:tl2br w:val="nil"/>
              <w:tr2bl w:val="nil"/>
            </w:tcBorders>
          </w:tcPr>
          <w:p w14:paraId="6DC86801">
            <w:pPr>
              <w:spacing w:line="420" w:lineRule="auto"/>
              <w:jc w:val="center"/>
              <w:rPr>
                <w:rFonts w:eastAsia="宋体" w:cs="Times New Roman"/>
                <w:sz w:val="21"/>
                <w:szCs w:val="21"/>
              </w:rPr>
            </w:pPr>
          </w:p>
        </w:tc>
        <w:tc>
          <w:tcPr>
            <w:tcW w:w="900" w:type="dxa"/>
            <w:tcBorders>
              <w:tl2br w:val="nil"/>
              <w:tr2bl w:val="nil"/>
            </w:tcBorders>
          </w:tcPr>
          <w:p w14:paraId="7F8CA1D2">
            <w:pPr>
              <w:spacing w:line="420" w:lineRule="auto"/>
              <w:jc w:val="center"/>
              <w:rPr>
                <w:rFonts w:eastAsia="宋体" w:cs="Times New Roman"/>
                <w:sz w:val="21"/>
                <w:szCs w:val="21"/>
              </w:rPr>
            </w:pPr>
          </w:p>
        </w:tc>
        <w:tc>
          <w:tcPr>
            <w:tcW w:w="675" w:type="dxa"/>
            <w:tcBorders>
              <w:tl2br w:val="nil"/>
              <w:tr2bl w:val="nil"/>
            </w:tcBorders>
          </w:tcPr>
          <w:p w14:paraId="094C1A76">
            <w:pPr>
              <w:spacing w:line="420" w:lineRule="auto"/>
              <w:jc w:val="center"/>
              <w:rPr>
                <w:rFonts w:eastAsia="宋体" w:cs="Times New Roman"/>
                <w:sz w:val="21"/>
                <w:szCs w:val="21"/>
              </w:rPr>
            </w:pPr>
          </w:p>
        </w:tc>
        <w:tc>
          <w:tcPr>
            <w:tcW w:w="780" w:type="dxa"/>
            <w:tcBorders>
              <w:tl2br w:val="nil"/>
              <w:tr2bl w:val="nil"/>
            </w:tcBorders>
          </w:tcPr>
          <w:p w14:paraId="4F7210A4">
            <w:pPr>
              <w:spacing w:line="420" w:lineRule="auto"/>
              <w:jc w:val="center"/>
              <w:rPr>
                <w:rFonts w:eastAsia="宋体" w:cs="Times New Roman"/>
                <w:sz w:val="21"/>
                <w:szCs w:val="21"/>
              </w:rPr>
            </w:pPr>
          </w:p>
        </w:tc>
        <w:tc>
          <w:tcPr>
            <w:tcW w:w="720" w:type="dxa"/>
            <w:tcBorders>
              <w:tl2br w:val="nil"/>
              <w:tr2bl w:val="nil"/>
            </w:tcBorders>
          </w:tcPr>
          <w:p w14:paraId="191D612D">
            <w:pPr>
              <w:spacing w:line="420" w:lineRule="auto"/>
              <w:jc w:val="center"/>
              <w:rPr>
                <w:rFonts w:eastAsia="宋体" w:cs="Times New Roman"/>
                <w:sz w:val="21"/>
                <w:szCs w:val="21"/>
              </w:rPr>
            </w:pPr>
          </w:p>
        </w:tc>
        <w:tc>
          <w:tcPr>
            <w:tcW w:w="660" w:type="dxa"/>
            <w:tcBorders>
              <w:tl2br w:val="nil"/>
              <w:tr2bl w:val="nil"/>
            </w:tcBorders>
          </w:tcPr>
          <w:p w14:paraId="57F76ADA">
            <w:pPr>
              <w:spacing w:line="420" w:lineRule="auto"/>
              <w:rPr>
                <w:rFonts w:eastAsia="宋体" w:cs="Times New Roman"/>
                <w:sz w:val="21"/>
                <w:szCs w:val="21"/>
              </w:rPr>
            </w:pPr>
          </w:p>
        </w:tc>
      </w:tr>
      <w:tr w14:paraId="33463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14:paraId="1E978122">
            <w:pPr>
              <w:spacing w:line="420" w:lineRule="auto"/>
              <w:jc w:val="center"/>
              <w:rPr>
                <w:rFonts w:eastAsia="宋体" w:cs="Times New Roman"/>
                <w:sz w:val="21"/>
                <w:szCs w:val="21"/>
              </w:rPr>
            </w:pPr>
            <w:r>
              <w:rPr>
                <w:rFonts w:eastAsia="宋体" w:cs="Times New Roman"/>
                <w:sz w:val="21"/>
                <w:szCs w:val="21"/>
              </w:rPr>
              <w:t>3</w:t>
            </w:r>
          </w:p>
        </w:tc>
        <w:tc>
          <w:tcPr>
            <w:tcW w:w="1112" w:type="dxa"/>
            <w:tcBorders>
              <w:tl2br w:val="nil"/>
              <w:tr2bl w:val="nil"/>
            </w:tcBorders>
          </w:tcPr>
          <w:p w14:paraId="39F8D59D">
            <w:pPr>
              <w:spacing w:line="420" w:lineRule="auto"/>
              <w:jc w:val="center"/>
              <w:rPr>
                <w:rFonts w:eastAsia="宋体" w:cs="Times New Roman"/>
                <w:sz w:val="21"/>
                <w:szCs w:val="21"/>
              </w:rPr>
            </w:pPr>
          </w:p>
        </w:tc>
        <w:tc>
          <w:tcPr>
            <w:tcW w:w="785" w:type="dxa"/>
            <w:tcBorders>
              <w:tl2br w:val="nil"/>
              <w:tr2bl w:val="nil"/>
            </w:tcBorders>
          </w:tcPr>
          <w:p w14:paraId="56B34A0A">
            <w:pPr>
              <w:spacing w:line="420" w:lineRule="auto"/>
              <w:jc w:val="center"/>
              <w:rPr>
                <w:rFonts w:eastAsia="宋体" w:cs="Times New Roman"/>
                <w:sz w:val="21"/>
                <w:szCs w:val="21"/>
              </w:rPr>
            </w:pPr>
          </w:p>
        </w:tc>
        <w:tc>
          <w:tcPr>
            <w:tcW w:w="694" w:type="dxa"/>
            <w:tcBorders>
              <w:tl2br w:val="nil"/>
              <w:tr2bl w:val="nil"/>
            </w:tcBorders>
          </w:tcPr>
          <w:p w14:paraId="755A5D92">
            <w:pPr>
              <w:spacing w:line="420" w:lineRule="auto"/>
              <w:jc w:val="center"/>
              <w:rPr>
                <w:rFonts w:eastAsia="宋体" w:cs="Times New Roman"/>
                <w:sz w:val="21"/>
                <w:szCs w:val="21"/>
              </w:rPr>
            </w:pPr>
          </w:p>
        </w:tc>
        <w:tc>
          <w:tcPr>
            <w:tcW w:w="657" w:type="dxa"/>
            <w:tcBorders>
              <w:tl2br w:val="nil"/>
              <w:tr2bl w:val="nil"/>
            </w:tcBorders>
          </w:tcPr>
          <w:p w14:paraId="186C84B2">
            <w:pPr>
              <w:spacing w:line="420" w:lineRule="auto"/>
              <w:jc w:val="center"/>
              <w:rPr>
                <w:rFonts w:eastAsia="宋体" w:cs="Times New Roman"/>
                <w:sz w:val="21"/>
                <w:szCs w:val="21"/>
              </w:rPr>
            </w:pPr>
          </w:p>
        </w:tc>
        <w:tc>
          <w:tcPr>
            <w:tcW w:w="705" w:type="dxa"/>
            <w:tcBorders>
              <w:tl2br w:val="nil"/>
              <w:tr2bl w:val="nil"/>
            </w:tcBorders>
          </w:tcPr>
          <w:p w14:paraId="3FB38919">
            <w:pPr>
              <w:spacing w:line="420" w:lineRule="auto"/>
              <w:jc w:val="center"/>
              <w:rPr>
                <w:rFonts w:eastAsia="宋体" w:cs="Times New Roman"/>
                <w:sz w:val="21"/>
                <w:szCs w:val="21"/>
              </w:rPr>
            </w:pPr>
          </w:p>
        </w:tc>
        <w:tc>
          <w:tcPr>
            <w:tcW w:w="900" w:type="dxa"/>
            <w:tcBorders>
              <w:tl2br w:val="nil"/>
              <w:tr2bl w:val="nil"/>
            </w:tcBorders>
          </w:tcPr>
          <w:p w14:paraId="164C0C15">
            <w:pPr>
              <w:spacing w:line="420" w:lineRule="auto"/>
              <w:jc w:val="center"/>
              <w:rPr>
                <w:rFonts w:eastAsia="宋体" w:cs="Times New Roman"/>
                <w:sz w:val="21"/>
                <w:szCs w:val="21"/>
              </w:rPr>
            </w:pPr>
          </w:p>
        </w:tc>
        <w:tc>
          <w:tcPr>
            <w:tcW w:w="675" w:type="dxa"/>
            <w:tcBorders>
              <w:tl2br w:val="nil"/>
              <w:tr2bl w:val="nil"/>
            </w:tcBorders>
          </w:tcPr>
          <w:p w14:paraId="7A849642">
            <w:pPr>
              <w:spacing w:line="420" w:lineRule="auto"/>
              <w:jc w:val="center"/>
              <w:rPr>
                <w:rFonts w:eastAsia="宋体" w:cs="Times New Roman"/>
                <w:sz w:val="21"/>
                <w:szCs w:val="21"/>
              </w:rPr>
            </w:pPr>
          </w:p>
        </w:tc>
        <w:tc>
          <w:tcPr>
            <w:tcW w:w="780" w:type="dxa"/>
            <w:tcBorders>
              <w:tl2br w:val="nil"/>
              <w:tr2bl w:val="nil"/>
            </w:tcBorders>
          </w:tcPr>
          <w:p w14:paraId="7B58C160">
            <w:pPr>
              <w:spacing w:line="420" w:lineRule="auto"/>
              <w:jc w:val="center"/>
              <w:rPr>
                <w:rFonts w:eastAsia="宋体" w:cs="Times New Roman"/>
                <w:sz w:val="21"/>
                <w:szCs w:val="21"/>
              </w:rPr>
            </w:pPr>
          </w:p>
        </w:tc>
        <w:tc>
          <w:tcPr>
            <w:tcW w:w="720" w:type="dxa"/>
            <w:tcBorders>
              <w:tl2br w:val="nil"/>
              <w:tr2bl w:val="nil"/>
            </w:tcBorders>
          </w:tcPr>
          <w:p w14:paraId="4732221C">
            <w:pPr>
              <w:spacing w:line="420" w:lineRule="auto"/>
              <w:jc w:val="center"/>
              <w:rPr>
                <w:rFonts w:eastAsia="宋体" w:cs="Times New Roman"/>
                <w:sz w:val="21"/>
                <w:szCs w:val="21"/>
              </w:rPr>
            </w:pPr>
          </w:p>
        </w:tc>
        <w:tc>
          <w:tcPr>
            <w:tcW w:w="660" w:type="dxa"/>
            <w:tcBorders>
              <w:tl2br w:val="nil"/>
              <w:tr2bl w:val="nil"/>
            </w:tcBorders>
          </w:tcPr>
          <w:p w14:paraId="40F1CA4E">
            <w:pPr>
              <w:spacing w:line="420" w:lineRule="auto"/>
              <w:rPr>
                <w:rFonts w:eastAsia="宋体" w:cs="Times New Roman"/>
                <w:sz w:val="21"/>
                <w:szCs w:val="21"/>
              </w:rPr>
            </w:pPr>
          </w:p>
        </w:tc>
      </w:tr>
      <w:tr w14:paraId="3E91E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14:paraId="00C168A6">
            <w:pPr>
              <w:spacing w:line="420" w:lineRule="auto"/>
              <w:jc w:val="center"/>
              <w:rPr>
                <w:rFonts w:eastAsia="宋体" w:cs="Times New Roman"/>
                <w:sz w:val="21"/>
                <w:szCs w:val="21"/>
              </w:rPr>
            </w:pPr>
            <w:r>
              <w:rPr>
                <w:rFonts w:eastAsia="宋体" w:cs="Times New Roman"/>
                <w:sz w:val="21"/>
                <w:szCs w:val="21"/>
              </w:rPr>
              <w:t>4</w:t>
            </w:r>
          </w:p>
        </w:tc>
        <w:tc>
          <w:tcPr>
            <w:tcW w:w="1112" w:type="dxa"/>
            <w:tcBorders>
              <w:tl2br w:val="nil"/>
              <w:tr2bl w:val="nil"/>
            </w:tcBorders>
          </w:tcPr>
          <w:p w14:paraId="53AFE8EE">
            <w:pPr>
              <w:spacing w:line="420" w:lineRule="auto"/>
              <w:jc w:val="center"/>
              <w:rPr>
                <w:rFonts w:eastAsia="宋体" w:cs="Times New Roman"/>
                <w:sz w:val="21"/>
                <w:szCs w:val="21"/>
              </w:rPr>
            </w:pPr>
          </w:p>
        </w:tc>
        <w:tc>
          <w:tcPr>
            <w:tcW w:w="785" w:type="dxa"/>
            <w:tcBorders>
              <w:tl2br w:val="nil"/>
              <w:tr2bl w:val="nil"/>
            </w:tcBorders>
          </w:tcPr>
          <w:p w14:paraId="3D664B7F">
            <w:pPr>
              <w:spacing w:line="420" w:lineRule="auto"/>
              <w:jc w:val="center"/>
              <w:rPr>
                <w:rFonts w:eastAsia="宋体" w:cs="Times New Roman"/>
                <w:sz w:val="21"/>
                <w:szCs w:val="21"/>
              </w:rPr>
            </w:pPr>
          </w:p>
        </w:tc>
        <w:tc>
          <w:tcPr>
            <w:tcW w:w="694" w:type="dxa"/>
            <w:tcBorders>
              <w:tl2br w:val="nil"/>
              <w:tr2bl w:val="nil"/>
            </w:tcBorders>
          </w:tcPr>
          <w:p w14:paraId="7393BE97">
            <w:pPr>
              <w:spacing w:line="420" w:lineRule="auto"/>
              <w:jc w:val="center"/>
              <w:rPr>
                <w:rFonts w:eastAsia="宋体" w:cs="Times New Roman"/>
                <w:sz w:val="21"/>
                <w:szCs w:val="21"/>
              </w:rPr>
            </w:pPr>
          </w:p>
        </w:tc>
        <w:tc>
          <w:tcPr>
            <w:tcW w:w="657" w:type="dxa"/>
            <w:tcBorders>
              <w:tl2br w:val="nil"/>
              <w:tr2bl w:val="nil"/>
            </w:tcBorders>
          </w:tcPr>
          <w:p w14:paraId="7CC7159E">
            <w:pPr>
              <w:spacing w:line="420" w:lineRule="auto"/>
              <w:jc w:val="center"/>
              <w:rPr>
                <w:rFonts w:eastAsia="宋体" w:cs="Times New Roman"/>
                <w:sz w:val="21"/>
                <w:szCs w:val="21"/>
              </w:rPr>
            </w:pPr>
          </w:p>
        </w:tc>
        <w:tc>
          <w:tcPr>
            <w:tcW w:w="705" w:type="dxa"/>
            <w:tcBorders>
              <w:tl2br w:val="nil"/>
              <w:tr2bl w:val="nil"/>
            </w:tcBorders>
          </w:tcPr>
          <w:p w14:paraId="13694956">
            <w:pPr>
              <w:spacing w:line="420" w:lineRule="auto"/>
              <w:jc w:val="center"/>
              <w:rPr>
                <w:rFonts w:eastAsia="宋体" w:cs="Times New Roman"/>
                <w:sz w:val="21"/>
                <w:szCs w:val="21"/>
              </w:rPr>
            </w:pPr>
          </w:p>
        </w:tc>
        <w:tc>
          <w:tcPr>
            <w:tcW w:w="900" w:type="dxa"/>
            <w:tcBorders>
              <w:tl2br w:val="nil"/>
              <w:tr2bl w:val="nil"/>
            </w:tcBorders>
          </w:tcPr>
          <w:p w14:paraId="0379B79E">
            <w:pPr>
              <w:spacing w:line="420" w:lineRule="auto"/>
              <w:jc w:val="center"/>
              <w:rPr>
                <w:rFonts w:eastAsia="宋体" w:cs="Times New Roman"/>
                <w:sz w:val="21"/>
                <w:szCs w:val="21"/>
              </w:rPr>
            </w:pPr>
          </w:p>
        </w:tc>
        <w:tc>
          <w:tcPr>
            <w:tcW w:w="675" w:type="dxa"/>
            <w:tcBorders>
              <w:tl2br w:val="nil"/>
              <w:tr2bl w:val="nil"/>
            </w:tcBorders>
          </w:tcPr>
          <w:p w14:paraId="3C5D9CF1">
            <w:pPr>
              <w:spacing w:line="420" w:lineRule="auto"/>
              <w:jc w:val="center"/>
              <w:rPr>
                <w:rFonts w:eastAsia="宋体" w:cs="Times New Roman"/>
                <w:sz w:val="21"/>
                <w:szCs w:val="21"/>
              </w:rPr>
            </w:pPr>
          </w:p>
        </w:tc>
        <w:tc>
          <w:tcPr>
            <w:tcW w:w="780" w:type="dxa"/>
            <w:tcBorders>
              <w:tl2br w:val="nil"/>
              <w:tr2bl w:val="nil"/>
            </w:tcBorders>
          </w:tcPr>
          <w:p w14:paraId="28952AB2">
            <w:pPr>
              <w:spacing w:line="420" w:lineRule="auto"/>
              <w:jc w:val="center"/>
              <w:rPr>
                <w:rFonts w:eastAsia="宋体" w:cs="Times New Roman"/>
                <w:sz w:val="21"/>
                <w:szCs w:val="21"/>
              </w:rPr>
            </w:pPr>
          </w:p>
        </w:tc>
        <w:tc>
          <w:tcPr>
            <w:tcW w:w="720" w:type="dxa"/>
            <w:tcBorders>
              <w:tl2br w:val="nil"/>
              <w:tr2bl w:val="nil"/>
            </w:tcBorders>
          </w:tcPr>
          <w:p w14:paraId="144BE265">
            <w:pPr>
              <w:spacing w:line="420" w:lineRule="auto"/>
              <w:jc w:val="center"/>
              <w:rPr>
                <w:rFonts w:eastAsia="宋体" w:cs="Times New Roman"/>
                <w:sz w:val="21"/>
                <w:szCs w:val="21"/>
              </w:rPr>
            </w:pPr>
          </w:p>
        </w:tc>
        <w:tc>
          <w:tcPr>
            <w:tcW w:w="660" w:type="dxa"/>
            <w:tcBorders>
              <w:tl2br w:val="nil"/>
              <w:tr2bl w:val="nil"/>
            </w:tcBorders>
          </w:tcPr>
          <w:p w14:paraId="6E45C531">
            <w:pPr>
              <w:spacing w:line="420" w:lineRule="auto"/>
              <w:rPr>
                <w:rFonts w:eastAsia="宋体" w:cs="Times New Roman"/>
                <w:sz w:val="21"/>
                <w:szCs w:val="21"/>
              </w:rPr>
            </w:pPr>
          </w:p>
        </w:tc>
      </w:tr>
      <w:tr w14:paraId="63A75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14:paraId="53315188">
            <w:pPr>
              <w:spacing w:line="420" w:lineRule="auto"/>
              <w:jc w:val="center"/>
              <w:rPr>
                <w:rFonts w:eastAsia="宋体" w:cs="Times New Roman"/>
                <w:sz w:val="21"/>
                <w:szCs w:val="21"/>
              </w:rPr>
            </w:pPr>
            <w:r>
              <w:rPr>
                <w:rFonts w:eastAsia="宋体" w:cs="Times New Roman"/>
                <w:sz w:val="21"/>
                <w:szCs w:val="21"/>
              </w:rPr>
              <w:t>5</w:t>
            </w:r>
          </w:p>
        </w:tc>
        <w:tc>
          <w:tcPr>
            <w:tcW w:w="1112" w:type="dxa"/>
            <w:tcBorders>
              <w:tl2br w:val="nil"/>
              <w:tr2bl w:val="nil"/>
            </w:tcBorders>
          </w:tcPr>
          <w:p w14:paraId="7BB0187A">
            <w:pPr>
              <w:spacing w:line="420" w:lineRule="auto"/>
              <w:jc w:val="center"/>
              <w:rPr>
                <w:rFonts w:eastAsia="宋体" w:cs="Times New Roman"/>
                <w:sz w:val="21"/>
                <w:szCs w:val="21"/>
              </w:rPr>
            </w:pPr>
          </w:p>
        </w:tc>
        <w:tc>
          <w:tcPr>
            <w:tcW w:w="785" w:type="dxa"/>
            <w:tcBorders>
              <w:tl2br w:val="nil"/>
              <w:tr2bl w:val="nil"/>
            </w:tcBorders>
          </w:tcPr>
          <w:p w14:paraId="097FB690">
            <w:pPr>
              <w:spacing w:line="420" w:lineRule="auto"/>
              <w:jc w:val="center"/>
              <w:rPr>
                <w:rFonts w:eastAsia="宋体" w:cs="Times New Roman"/>
                <w:sz w:val="21"/>
                <w:szCs w:val="21"/>
              </w:rPr>
            </w:pPr>
          </w:p>
        </w:tc>
        <w:tc>
          <w:tcPr>
            <w:tcW w:w="694" w:type="dxa"/>
            <w:tcBorders>
              <w:tl2br w:val="nil"/>
              <w:tr2bl w:val="nil"/>
            </w:tcBorders>
          </w:tcPr>
          <w:p w14:paraId="54778764">
            <w:pPr>
              <w:spacing w:line="420" w:lineRule="auto"/>
              <w:jc w:val="center"/>
              <w:rPr>
                <w:rFonts w:eastAsia="宋体" w:cs="Times New Roman"/>
                <w:sz w:val="21"/>
                <w:szCs w:val="21"/>
              </w:rPr>
            </w:pPr>
          </w:p>
        </w:tc>
        <w:tc>
          <w:tcPr>
            <w:tcW w:w="657" w:type="dxa"/>
            <w:tcBorders>
              <w:tl2br w:val="nil"/>
              <w:tr2bl w:val="nil"/>
            </w:tcBorders>
          </w:tcPr>
          <w:p w14:paraId="31C53223">
            <w:pPr>
              <w:spacing w:line="420" w:lineRule="auto"/>
              <w:jc w:val="center"/>
              <w:rPr>
                <w:rFonts w:eastAsia="宋体" w:cs="Times New Roman"/>
                <w:sz w:val="21"/>
                <w:szCs w:val="21"/>
              </w:rPr>
            </w:pPr>
          </w:p>
        </w:tc>
        <w:tc>
          <w:tcPr>
            <w:tcW w:w="705" w:type="dxa"/>
            <w:tcBorders>
              <w:tl2br w:val="nil"/>
              <w:tr2bl w:val="nil"/>
            </w:tcBorders>
          </w:tcPr>
          <w:p w14:paraId="1486F92A">
            <w:pPr>
              <w:spacing w:line="420" w:lineRule="auto"/>
              <w:jc w:val="center"/>
              <w:rPr>
                <w:rFonts w:eastAsia="宋体" w:cs="Times New Roman"/>
                <w:sz w:val="21"/>
                <w:szCs w:val="21"/>
              </w:rPr>
            </w:pPr>
          </w:p>
        </w:tc>
        <w:tc>
          <w:tcPr>
            <w:tcW w:w="900" w:type="dxa"/>
            <w:tcBorders>
              <w:tl2br w:val="nil"/>
              <w:tr2bl w:val="nil"/>
            </w:tcBorders>
          </w:tcPr>
          <w:p w14:paraId="342B06BE">
            <w:pPr>
              <w:spacing w:line="420" w:lineRule="auto"/>
              <w:jc w:val="center"/>
              <w:rPr>
                <w:rFonts w:eastAsia="宋体" w:cs="Times New Roman"/>
                <w:sz w:val="21"/>
                <w:szCs w:val="21"/>
              </w:rPr>
            </w:pPr>
          </w:p>
        </w:tc>
        <w:tc>
          <w:tcPr>
            <w:tcW w:w="675" w:type="dxa"/>
            <w:tcBorders>
              <w:tl2br w:val="nil"/>
              <w:tr2bl w:val="nil"/>
            </w:tcBorders>
          </w:tcPr>
          <w:p w14:paraId="0521F7D2">
            <w:pPr>
              <w:spacing w:line="420" w:lineRule="auto"/>
              <w:jc w:val="center"/>
              <w:rPr>
                <w:rFonts w:eastAsia="宋体" w:cs="Times New Roman"/>
                <w:sz w:val="21"/>
                <w:szCs w:val="21"/>
              </w:rPr>
            </w:pPr>
          </w:p>
        </w:tc>
        <w:tc>
          <w:tcPr>
            <w:tcW w:w="780" w:type="dxa"/>
            <w:tcBorders>
              <w:tl2br w:val="nil"/>
              <w:tr2bl w:val="nil"/>
            </w:tcBorders>
          </w:tcPr>
          <w:p w14:paraId="60FA6848">
            <w:pPr>
              <w:spacing w:line="420" w:lineRule="auto"/>
              <w:jc w:val="center"/>
              <w:rPr>
                <w:rFonts w:eastAsia="宋体" w:cs="Times New Roman"/>
                <w:sz w:val="21"/>
                <w:szCs w:val="21"/>
              </w:rPr>
            </w:pPr>
          </w:p>
        </w:tc>
        <w:tc>
          <w:tcPr>
            <w:tcW w:w="720" w:type="dxa"/>
            <w:tcBorders>
              <w:tl2br w:val="nil"/>
              <w:tr2bl w:val="nil"/>
            </w:tcBorders>
          </w:tcPr>
          <w:p w14:paraId="00D92A2D">
            <w:pPr>
              <w:spacing w:line="420" w:lineRule="auto"/>
              <w:jc w:val="center"/>
              <w:rPr>
                <w:rFonts w:eastAsia="宋体" w:cs="Times New Roman"/>
                <w:sz w:val="21"/>
                <w:szCs w:val="21"/>
              </w:rPr>
            </w:pPr>
          </w:p>
        </w:tc>
        <w:tc>
          <w:tcPr>
            <w:tcW w:w="660" w:type="dxa"/>
            <w:tcBorders>
              <w:tl2br w:val="nil"/>
              <w:tr2bl w:val="nil"/>
            </w:tcBorders>
          </w:tcPr>
          <w:p w14:paraId="1A0B0054">
            <w:pPr>
              <w:spacing w:line="420" w:lineRule="auto"/>
              <w:rPr>
                <w:rFonts w:eastAsia="宋体" w:cs="Times New Roman"/>
                <w:sz w:val="21"/>
                <w:szCs w:val="21"/>
              </w:rPr>
            </w:pPr>
          </w:p>
        </w:tc>
      </w:tr>
      <w:tr w14:paraId="39460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14:paraId="0228DA69">
            <w:pPr>
              <w:spacing w:line="420" w:lineRule="auto"/>
              <w:jc w:val="center"/>
              <w:rPr>
                <w:rFonts w:eastAsia="宋体" w:cs="Times New Roman"/>
                <w:sz w:val="21"/>
                <w:szCs w:val="21"/>
              </w:rPr>
            </w:pPr>
            <w:r>
              <w:rPr>
                <w:rFonts w:eastAsia="宋体" w:cs="Times New Roman"/>
                <w:sz w:val="21"/>
                <w:szCs w:val="21"/>
              </w:rPr>
              <w:t>6</w:t>
            </w:r>
          </w:p>
        </w:tc>
        <w:tc>
          <w:tcPr>
            <w:tcW w:w="1112" w:type="dxa"/>
            <w:tcBorders>
              <w:tl2br w:val="nil"/>
              <w:tr2bl w:val="nil"/>
            </w:tcBorders>
          </w:tcPr>
          <w:p w14:paraId="330DF670">
            <w:pPr>
              <w:spacing w:line="420" w:lineRule="auto"/>
              <w:jc w:val="center"/>
              <w:rPr>
                <w:rFonts w:eastAsia="宋体" w:cs="Times New Roman"/>
                <w:sz w:val="21"/>
                <w:szCs w:val="21"/>
              </w:rPr>
            </w:pPr>
          </w:p>
        </w:tc>
        <w:tc>
          <w:tcPr>
            <w:tcW w:w="785" w:type="dxa"/>
            <w:tcBorders>
              <w:tl2br w:val="nil"/>
              <w:tr2bl w:val="nil"/>
            </w:tcBorders>
          </w:tcPr>
          <w:p w14:paraId="735D7B08">
            <w:pPr>
              <w:spacing w:line="420" w:lineRule="auto"/>
              <w:jc w:val="center"/>
              <w:rPr>
                <w:rFonts w:eastAsia="宋体" w:cs="Times New Roman"/>
                <w:sz w:val="21"/>
                <w:szCs w:val="21"/>
              </w:rPr>
            </w:pPr>
          </w:p>
        </w:tc>
        <w:tc>
          <w:tcPr>
            <w:tcW w:w="694" w:type="dxa"/>
            <w:tcBorders>
              <w:tl2br w:val="nil"/>
              <w:tr2bl w:val="nil"/>
            </w:tcBorders>
          </w:tcPr>
          <w:p w14:paraId="74650B73">
            <w:pPr>
              <w:spacing w:line="420" w:lineRule="auto"/>
              <w:jc w:val="center"/>
              <w:rPr>
                <w:rFonts w:eastAsia="宋体" w:cs="Times New Roman"/>
                <w:sz w:val="21"/>
                <w:szCs w:val="21"/>
              </w:rPr>
            </w:pPr>
          </w:p>
        </w:tc>
        <w:tc>
          <w:tcPr>
            <w:tcW w:w="657" w:type="dxa"/>
            <w:tcBorders>
              <w:tl2br w:val="nil"/>
              <w:tr2bl w:val="nil"/>
            </w:tcBorders>
          </w:tcPr>
          <w:p w14:paraId="1E2B65EE">
            <w:pPr>
              <w:spacing w:line="420" w:lineRule="auto"/>
              <w:jc w:val="center"/>
              <w:rPr>
                <w:rFonts w:eastAsia="宋体" w:cs="Times New Roman"/>
                <w:sz w:val="21"/>
                <w:szCs w:val="21"/>
              </w:rPr>
            </w:pPr>
          </w:p>
        </w:tc>
        <w:tc>
          <w:tcPr>
            <w:tcW w:w="705" w:type="dxa"/>
            <w:tcBorders>
              <w:tl2br w:val="nil"/>
              <w:tr2bl w:val="nil"/>
            </w:tcBorders>
          </w:tcPr>
          <w:p w14:paraId="5ACD7460">
            <w:pPr>
              <w:spacing w:line="420" w:lineRule="auto"/>
              <w:jc w:val="center"/>
              <w:rPr>
                <w:rFonts w:eastAsia="宋体" w:cs="Times New Roman"/>
                <w:sz w:val="21"/>
                <w:szCs w:val="21"/>
              </w:rPr>
            </w:pPr>
          </w:p>
        </w:tc>
        <w:tc>
          <w:tcPr>
            <w:tcW w:w="900" w:type="dxa"/>
            <w:tcBorders>
              <w:tl2br w:val="nil"/>
              <w:tr2bl w:val="nil"/>
            </w:tcBorders>
          </w:tcPr>
          <w:p w14:paraId="3CBE36AE">
            <w:pPr>
              <w:spacing w:line="420" w:lineRule="auto"/>
              <w:jc w:val="center"/>
              <w:rPr>
                <w:rFonts w:eastAsia="宋体" w:cs="Times New Roman"/>
                <w:sz w:val="21"/>
                <w:szCs w:val="21"/>
              </w:rPr>
            </w:pPr>
          </w:p>
        </w:tc>
        <w:tc>
          <w:tcPr>
            <w:tcW w:w="675" w:type="dxa"/>
            <w:tcBorders>
              <w:tl2br w:val="nil"/>
              <w:tr2bl w:val="nil"/>
            </w:tcBorders>
          </w:tcPr>
          <w:p w14:paraId="7B025F34">
            <w:pPr>
              <w:spacing w:line="420" w:lineRule="auto"/>
              <w:jc w:val="center"/>
              <w:rPr>
                <w:rFonts w:eastAsia="宋体" w:cs="Times New Roman"/>
                <w:sz w:val="21"/>
                <w:szCs w:val="21"/>
              </w:rPr>
            </w:pPr>
          </w:p>
        </w:tc>
        <w:tc>
          <w:tcPr>
            <w:tcW w:w="780" w:type="dxa"/>
            <w:tcBorders>
              <w:tl2br w:val="nil"/>
              <w:tr2bl w:val="nil"/>
            </w:tcBorders>
          </w:tcPr>
          <w:p w14:paraId="6DB6BE50">
            <w:pPr>
              <w:spacing w:line="420" w:lineRule="auto"/>
              <w:jc w:val="center"/>
              <w:rPr>
                <w:rFonts w:eastAsia="宋体" w:cs="Times New Roman"/>
                <w:sz w:val="21"/>
                <w:szCs w:val="21"/>
              </w:rPr>
            </w:pPr>
          </w:p>
        </w:tc>
        <w:tc>
          <w:tcPr>
            <w:tcW w:w="720" w:type="dxa"/>
            <w:tcBorders>
              <w:tl2br w:val="nil"/>
              <w:tr2bl w:val="nil"/>
            </w:tcBorders>
          </w:tcPr>
          <w:p w14:paraId="37348959">
            <w:pPr>
              <w:spacing w:line="420" w:lineRule="auto"/>
              <w:jc w:val="center"/>
              <w:rPr>
                <w:rFonts w:eastAsia="宋体" w:cs="Times New Roman"/>
                <w:sz w:val="21"/>
                <w:szCs w:val="21"/>
              </w:rPr>
            </w:pPr>
          </w:p>
        </w:tc>
        <w:tc>
          <w:tcPr>
            <w:tcW w:w="660" w:type="dxa"/>
            <w:tcBorders>
              <w:tl2br w:val="nil"/>
              <w:tr2bl w:val="nil"/>
            </w:tcBorders>
          </w:tcPr>
          <w:p w14:paraId="61E2AC5D">
            <w:pPr>
              <w:spacing w:line="420" w:lineRule="auto"/>
              <w:jc w:val="center"/>
              <w:rPr>
                <w:rFonts w:eastAsia="宋体" w:cs="Times New Roman"/>
                <w:sz w:val="21"/>
                <w:szCs w:val="21"/>
              </w:rPr>
            </w:pPr>
          </w:p>
        </w:tc>
      </w:tr>
      <w:tr w14:paraId="7C761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14:paraId="16C449AC">
            <w:pPr>
              <w:spacing w:line="420" w:lineRule="auto"/>
              <w:jc w:val="center"/>
              <w:rPr>
                <w:rFonts w:eastAsia="宋体" w:cs="Times New Roman"/>
                <w:sz w:val="21"/>
                <w:szCs w:val="21"/>
              </w:rPr>
            </w:pPr>
            <w:r>
              <w:rPr>
                <w:rFonts w:eastAsia="宋体" w:cs="Times New Roman"/>
                <w:sz w:val="21"/>
                <w:szCs w:val="21"/>
              </w:rPr>
              <w:t>7</w:t>
            </w:r>
          </w:p>
        </w:tc>
        <w:tc>
          <w:tcPr>
            <w:tcW w:w="1112" w:type="dxa"/>
            <w:tcBorders>
              <w:tl2br w:val="nil"/>
              <w:tr2bl w:val="nil"/>
            </w:tcBorders>
          </w:tcPr>
          <w:p w14:paraId="531E8E6D">
            <w:pPr>
              <w:spacing w:line="420" w:lineRule="auto"/>
              <w:jc w:val="center"/>
              <w:rPr>
                <w:rFonts w:eastAsia="宋体" w:cs="Times New Roman"/>
                <w:sz w:val="21"/>
                <w:szCs w:val="21"/>
              </w:rPr>
            </w:pPr>
          </w:p>
        </w:tc>
        <w:tc>
          <w:tcPr>
            <w:tcW w:w="785" w:type="dxa"/>
            <w:tcBorders>
              <w:tl2br w:val="nil"/>
              <w:tr2bl w:val="nil"/>
            </w:tcBorders>
          </w:tcPr>
          <w:p w14:paraId="0C672B61">
            <w:pPr>
              <w:spacing w:line="420" w:lineRule="auto"/>
              <w:jc w:val="center"/>
              <w:rPr>
                <w:rFonts w:eastAsia="宋体" w:cs="Times New Roman"/>
                <w:sz w:val="21"/>
                <w:szCs w:val="21"/>
              </w:rPr>
            </w:pPr>
          </w:p>
        </w:tc>
        <w:tc>
          <w:tcPr>
            <w:tcW w:w="694" w:type="dxa"/>
            <w:tcBorders>
              <w:tl2br w:val="nil"/>
              <w:tr2bl w:val="nil"/>
            </w:tcBorders>
          </w:tcPr>
          <w:p w14:paraId="1C105B57">
            <w:pPr>
              <w:spacing w:line="420" w:lineRule="auto"/>
              <w:jc w:val="center"/>
              <w:rPr>
                <w:rFonts w:eastAsia="宋体" w:cs="Times New Roman"/>
                <w:sz w:val="21"/>
                <w:szCs w:val="21"/>
              </w:rPr>
            </w:pPr>
          </w:p>
        </w:tc>
        <w:tc>
          <w:tcPr>
            <w:tcW w:w="657" w:type="dxa"/>
            <w:tcBorders>
              <w:tl2br w:val="nil"/>
              <w:tr2bl w:val="nil"/>
            </w:tcBorders>
          </w:tcPr>
          <w:p w14:paraId="15451F4E">
            <w:pPr>
              <w:spacing w:line="420" w:lineRule="auto"/>
              <w:jc w:val="center"/>
              <w:rPr>
                <w:rFonts w:eastAsia="宋体" w:cs="Times New Roman"/>
                <w:sz w:val="21"/>
                <w:szCs w:val="21"/>
              </w:rPr>
            </w:pPr>
          </w:p>
        </w:tc>
        <w:tc>
          <w:tcPr>
            <w:tcW w:w="705" w:type="dxa"/>
            <w:tcBorders>
              <w:tl2br w:val="nil"/>
              <w:tr2bl w:val="nil"/>
            </w:tcBorders>
          </w:tcPr>
          <w:p w14:paraId="4FDCB29A">
            <w:pPr>
              <w:spacing w:line="420" w:lineRule="auto"/>
              <w:jc w:val="center"/>
              <w:rPr>
                <w:rFonts w:eastAsia="宋体" w:cs="Times New Roman"/>
                <w:sz w:val="21"/>
                <w:szCs w:val="21"/>
              </w:rPr>
            </w:pPr>
          </w:p>
        </w:tc>
        <w:tc>
          <w:tcPr>
            <w:tcW w:w="900" w:type="dxa"/>
            <w:tcBorders>
              <w:tl2br w:val="nil"/>
              <w:tr2bl w:val="nil"/>
            </w:tcBorders>
          </w:tcPr>
          <w:p w14:paraId="10FFED5A">
            <w:pPr>
              <w:spacing w:line="420" w:lineRule="auto"/>
              <w:jc w:val="center"/>
              <w:rPr>
                <w:rFonts w:eastAsia="宋体" w:cs="Times New Roman"/>
                <w:sz w:val="21"/>
                <w:szCs w:val="21"/>
              </w:rPr>
            </w:pPr>
          </w:p>
        </w:tc>
        <w:tc>
          <w:tcPr>
            <w:tcW w:w="675" w:type="dxa"/>
            <w:tcBorders>
              <w:tl2br w:val="nil"/>
              <w:tr2bl w:val="nil"/>
            </w:tcBorders>
          </w:tcPr>
          <w:p w14:paraId="48ECECBF">
            <w:pPr>
              <w:spacing w:line="420" w:lineRule="auto"/>
              <w:jc w:val="center"/>
              <w:rPr>
                <w:rFonts w:eastAsia="宋体" w:cs="Times New Roman"/>
                <w:sz w:val="21"/>
                <w:szCs w:val="21"/>
              </w:rPr>
            </w:pPr>
          </w:p>
        </w:tc>
        <w:tc>
          <w:tcPr>
            <w:tcW w:w="780" w:type="dxa"/>
            <w:tcBorders>
              <w:tl2br w:val="nil"/>
              <w:tr2bl w:val="nil"/>
            </w:tcBorders>
          </w:tcPr>
          <w:p w14:paraId="36BBD960">
            <w:pPr>
              <w:spacing w:line="420" w:lineRule="auto"/>
              <w:jc w:val="center"/>
              <w:rPr>
                <w:rFonts w:eastAsia="宋体" w:cs="Times New Roman"/>
                <w:sz w:val="21"/>
                <w:szCs w:val="21"/>
              </w:rPr>
            </w:pPr>
          </w:p>
        </w:tc>
        <w:tc>
          <w:tcPr>
            <w:tcW w:w="720" w:type="dxa"/>
            <w:tcBorders>
              <w:tl2br w:val="nil"/>
              <w:tr2bl w:val="nil"/>
            </w:tcBorders>
          </w:tcPr>
          <w:p w14:paraId="5CD47A00">
            <w:pPr>
              <w:spacing w:line="420" w:lineRule="auto"/>
              <w:jc w:val="center"/>
              <w:rPr>
                <w:rFonts w:eastAsia="宋体" w:cs="Times New Roman"/>
                <w:sz w:val="21"/>
                <w:szCs w:val="21"/>
              </w:rPr>
            </w:pPr>
          </w:p>
        </w:tc>
        <w:tc>
          <w:tcPr>
            <w:tcW w:w="660" w:type="dxa"/>
            <w:tcBorders>
              <w:tl2br w:val="nil"/>
              <w:tr2bl w:val="nil"/>
            </w:tcBorders>
          </w:tcPr>
          <w:p w14:paraId="52B75E5B">
            <w:pPr>
              <w:spacing w:line="420" w:lineRule="auto"/>
              <w:jc w:val="center"/>
              <w:rPr>
                <w:rFonts w:eastAsia="宋体" w:cs="Times New Roman"/>
                <w:sz w:val="21"/>
                <w:szCs w:val="21"/>
              </w:rPr>
            </w:pPr>
          </w:p>
        </w:tc>
      </w:tr>
      <w:tr w14:paraId="62BDE4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14:paraId="21AAB372">
            <w:pPr>
              <w:spacing w:line="420" w:lineRule="auto"/>
              <w:jc w:val="center"/>
              <w:rPr>
                <w:rFonts w:eastAsia="宋体" w:cs="Times New Roman"/>
                <w:sz w:val="21"/>
                <w:szCs w:val="21"/>
              </w:rPr>
            </w:pPr>
            <w:r>
              <w:rPr>
                <w:rFonts w:eastAsia="宋体" w:cs="Times New Roman"/>
                <w:sz w:val="21"/>
                <w:szCs w:val="21"/>
              </w:rPr>
              <w:t>8</w:t>
            </w:r>
          </w:p>
        </w:tc>
        <w:tc>
          <w:tcPr>
            <w:tcW w:w="1112" w:type="dxa"/>
            <w:tcBorders>
              <w:tl2br w:val="nil"/>
              <w:tr2bl w:val="nil"/>
            </w:tcBorders>
          </w:tcPr>
          <w:p w14:paraId="6E589A95">
            <w:pPr>
              <w:spacing w:line="420" w:lineRule="auto"/>
              <w:jc w:val="center"/>
              <w:rPr>
                <w:rFonts w:eastAsia="宋体" w:cs="Times New Roman"/>
                <w:sz w:val="21"/>
                <w:szCs w:val="21"/>
              </w:rPr>
            </w:pPr>
          </w:p>
        </w:tc>
        <w:tc>
          <w:tcPr>
            <w:tcW w:w="785" w:type="dxa"/>
            <w:tcBorders>
              <w:tl2br w:val="nil"/>
              <w:tr2bl w:val="nil"/>
            </w:tcBorders>
          </w:tcPr>
          <w:p w14:paraId="6D7EB3B0">
            <w:pPr>
              <w:spacing w:line="420" w:lineRule="auto"/>
              <w:jc w:val="center"/>
              <w:rPr>
                <w:rFonts w:eastAsia="宋体" w:cs="Times New Roman"/>
                <w:sz w:val="21"/>
                <w:szCs w:val="21"/>
              </w:rPr>
            </w:pPr>
          </w:p>
        </w:tc>
        <w:tc>
          <w:tcPr>
            <w:tcW w:w="694" w:type="dxa"/>
            <w:tcBorders>
              <w:tl2br w:val="nil"/>
              <w:tr2bl w:val="nil"/>
            </w:tcBorders>
          </w:tcPr>
          <w:p w14:paraId="43F3C28B">
            <w:pPr>
              <w:spacing w:line="420" w:lineRule="auto"/>
              <w:jc w:val="center"/>
              <w:rPr>
                <w:rFonts w:eastAsia="宋体" w:cs="Times New Roman"/>
                <w:sz w:val="21"/>
                <w:szCs w:val="21"/>
              </w:rPr>
            </w:pPr>
          </w:p>
        </w:tc>
        <w:tc>
          <w:tcPr>
            <w:tcW w:w="657" w:type="dxa"/>
            <w:tcBorders>
              <w:tl2br w:val="nil"/>
              <w:tr2bl w:val="nil"/>
            </w:tcBorders>
          </w:tcPr>
          <w:p w14:paraId="701B2397">
            <w:pPr>
              <w:spacing w:line="420" w:lineRule="auto"/>
              <w:jc w:val="center"/>
              <w:rPr>
                <w:rFonts w:eastAsia="宋体" w:cs="Times New Roman"/>
                <w:sz w:val="21"/>
                <w:szCs w:val="21"/>
              </w:rPr>
            </w:pPr>
          </w:p>
        </w:tc>
        <w:tc>
          <w:tcPr>
            <w:tcW w:w="705" w:type="dxa"/>
            <w:tcBorders>
              <w:tl2br w:val="nil"/>
              <w:tr2bl w:val="nil"/>
            </w:tcBorders>
          </w:tcPr>
          <w:p w14:paraId="66533E2B">
            <w:pPr>
              <w:spacing w:line="420" w:lineRule="auto"/>
              <w:jc w:val="center"/>
              <w:rPr>
                <w:rFonts w:eastAsia="宋体" w:cs="Times New Roman"/>
                <w:sz w:val="21"/>
                <w:szCs w:val="21"/>
              </w:rPr>
            </w:pPr>
          </w:p>
        </w:tc>
        <w:tc>
          <w:tcPr>
            <w:tcW w:w="900" w:type="dxa"/>
            <w:tcBorders>
              <w:tl2br w:val="nil"/>
              <w:tr2bl w:val="nil"/>
            </w:tcBorders>
          </w:tcPr>
          <w:p w14:paraId="232707B0">
            <w:pPr>
              <w:spacing w:line="420" w:lineRule="auto"/>
              <w:jc w:val="center"/>
              <w:rPr>
                <w:rFonts w:eastAsia="宋体" w:cs="Times New Roman"/>
                <w:sz w:val="21"/>
                <w:szCs w:val="21"/>
              </w:rPr>
            </w:pPr>
          </w:p>
        </w:tc>
        <w:tc>
          <w:tcPr>
            <w:tcW w:w="675" w:type="dxa"/>
            <w:tcBorders>
              <w:tl2br w:val="nil"/>
              <w:tr2bl w:val="nil"/>
            </w:tcBorders>
          </w:tcPr>
          <w:p w14:paraId="5E7587C0">
            <w:pPr>
              <w:spacing w:line="420" w:lineRule="auto"/>
              <w:jc w:val="center"/>
              <w:rPr>
                <w:rFonts w:eastAsia="宋体" w:cs="Times New Roman"/>
                <w:sz w:val="21"/>
                <w:szCs w:val="21"/>
              </w:rPr>
            </w:pPr>
          </w:p>
        </w:tc>
        <w:tc>
          <w:tcPr>
            <w:tcW w:w="780" w:type="dxa"/>
            <w:tcBorders>
              <w:tl2br w:val="nil"/>
              <w:tr2bl w:val="nil"/>
            </w:tcBorders>
          </w:tcPr>
          <w:p w14:paraId="1DFFAD42">
            <w:pPr>
              <w:spacing w:line="420" w:lineRule="auto"/>
              <w:jc w:val="center"/>
              <w:rPr>
                <w:rFonts w:eastAsia="宋体" w:cs="Times New Roman"/>
                <w:sz w:val="21"/>
                <w:szCs w:val="21"/>
              </w:rPr>
            </w:pPr>
          </w:p>
        </w:tc>
        <w:tc>
          <w:tcPr>
            <w:tcW w:w="720" w:type="dxa"/>
            <w:tcBorders>
              <w:tl2br w:val="nil"/>
              <w:tr2bl w:val="nil"/>
            </w:tcBorders>
          </w:tcPr>
          <w:p w14:paraId="1E923399">
            <w:pPr>
              <w:spacing w:line="420" w:lineRule="auto"/>
              <w:jc w:val="center"/>
              <w:rPr>
                <w:rFonts w:eastAsia="宋体" w:cs="Times New Roman"/>
                <w:sz w:val="21"/>
                <w:szCs w:val="21"/>
              </w:rPr>
            </w:pPr>
          </w:p>
        </w:tc>
        <w:tc>
          <w:tcPr>
            <w:tcW w:w="660" w:type="dxa"/>
            <w:tcBorders>
              <w:tl2br w:val="nil"/>
              <w:tr2bl w:val="nil"/>
            </w:tcBorders>
          </w:tcPr>
          <w:p w14:paraId="09192062">
            <w:pPr>
              <w:spacing w:line="420" w:lineRule="auto"/>
              <w:jc w:val="center"/>
              <w:rPr>
                <w:rFonts w:eastAsia="宋体" w:cs="Times New Roman"/>
                <w:sz w:val="21"/>
                <w:szCs w:val="21"/>
              </w:rPr>
            </w:pPr>
          </w:p>
        </w:tc>
      </w:tr>
      <w:tr w14:paraId="03075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14:paraId="2E0D1CA7">
            <w:pPr>
              <w:spacing w:line="420" w:lineRule="auto"/>
              <w:jc w:val="center"/>
              <w:rPr>
                <w:rFonts w:eastAsia="宋体" w:cs="Times New Roman"/>
                <w:sz w:val="21"/>
                <w:szCs w:val="21"/>
              </w:rPr>
            </w:pPr>
            <w:r>
              <w:rPr>
                <w:rFonts w:eastAsia="宋体" w:cs="Times New Roman"/>
                <w:sz w:val="21"/>
                <w:szCs w:val="21"/>
              </w:rPr>
              <w:t>9</w:t>
            </w:r>
          </w:p>
        </w:tc>
        <w:tc>
          <w:tcPr>
            <w:tcW w:w="1112" w:type="dxa"/>
            <w:tcBorders>
              <w:tl2br w:val="nil"/>
              <w:tr2bl w:val="nil"/>
            </w:tcBorders>
          </w:tcPr>
          <w:p w14:paraId="1D599957">
            <w:pPr>
              <w:spacing w:line="420" w:lineRule="auto"/>
              <w:jc w:val="center"/>
              <w:rPr>
                <w:rFonts w:eastAsia="宋体" w:cs="Times New Roman"/>
                <w:sz w:val="21"/>
                <w:szCs w:val="21"/>
              </w:rPr>
            </w:pPr>
          </w:p>
        </w:tc>
        <w:tc>
          <w:tcPr>
            <w:tcW w:w="785" w:type="dxa"/>
            <w:tcBorders>
              <w:tl2br w:val="nil"/>
              <w:tr2bl w:val="nil"/>
            </w:tcBorders>
          </w:tcPr>
          <w:p w14:paraId="422177A2">
            <w:pPr>
              <w:spacing w:line="420" w:lineRule="auto"/>
              <w:jc w:val="center"/>
              <w:rPr>
                <w:rFonts w:eastAsia="宋体" w:cs="Times New Roman"/>
                <w:sz w:val="21"/>
                <w:szCs w:val="21"/>
              </w:rPr>
            </w:pPr>
          </w:p>
        </w:tc>
        <w:tc>
          <w:tcPr>
            <w:tcW w:w="694" w:type="dxa"/>
            <w:tcBorders>
              <w:tl2br w:val="nil"/>
              <w:tr2bl w:val="nil"/>
            </w:tcBorders>
          </w:tcPr>
          <w:p w14:paraId="21EEFD2D">
            <w:pPr>
              <w:spacing w:line="420" w:lineRule="auto"/>
              <w:jc w:val="center"/>
              <w:rPr>
                <w:rFonts w:eastAsia="宋体" w:cs="Times New Roman"/>
                <w:sz w:val="21"/>
                <w:szCs w:val="21"/>
              </w:rPr>
            </w:pPr>
          </w:p>
        </w:tc>
        <w:tc>
          <w:tcPr>
            <w:tcW w:w="657" w:type="dxa"/>
            <w:tcBorders>
              <w:tl2br w:val="nil"/>
              <w:tr2bl w:val="nil"/>
            </w:tcBorders>
          </w:tcPr>
          <w:p w14:paraId="6E2E9E41">
            <w:pPr>
              <w:spacing w:line="420" w:lineRule="auto"/>
              <w:jc w:val="center"/>
              <w:rPr>
                <w:rFonts w:eastAsia="宋体" w:cs="Times New Roman"/>
                <w:sz w:val="21"/>
                <w:szCs w:val="21"/>
              </w:rPr>
            </w:pPr>
          </w:p>
        </w:tc>
        <w:tc>
          <w:tcPr>
            <w:tcW w:w="705" w:type="dxa"/>
            <w:tcBorders>
              <w:tl2br w:val="nil"/>
              <w:tr2bl w:val="nil"/>
            </w:tcBorders>
          </w:tcPr>
          <w:p w14:paraId="6DBD4549">
            <w:pPr>
              <w:spacing w:line="420" w:lineRule="auto"/>
              <w:jc w:val="center"/>
              <w:rPr>
                <w:rFonts w:eastAsia="宋体" w:cs="Times New Roman"/>
                <w:sz w:val="21"/>
                <w:szCs w:val="21"/>
              </w:rPr>
            </w:pPr>
          </w:p>
        </w:tc>
        <w:tc>
          <w:tcPr>
            <w:tcW w:w="900" w:type="dxa"/>
            <w:tcBorders>
              <w:tl2br w:val="nil"/>
              <w:tr2bl w:val="nil"/>
            </w:tcBorders>
          </w:tcPr>
          <w:p w14:paraId="0C3F0BCB">
            <w:pPr>
              <w:spacing w:line="420" w:lineRule="auto"/>
              <w:jc w:val="center"/>
              <w:rPr>
                <w:rFonts w:eastAsia="宋体" w:cs="Times New Roman"/>
                <w:sz w:val="21"/>
                <w:szCs w:val="21"/>
              </w:rPr>
            </w:pPr>
          </w:p>
        </w:tc>
        <w:tc>
          <w:tcPr>
            <w:tcW w:w="675" w:type="dxa"/>
            <w:tcBorders>
              <w:tl2br w:val="nil"/>
              <w:tr2bl w:val="nil"/>
            </w:tcBorders>
          </w:tcPr>
          <w:p w14:paraId="68316F55">
            <w:pPr>
              <w:spacing w:line="420" w:lineRule="auto"/>
              <w:jc w:val="center"/>
              <w:rPr>
                <w:rFonts w:eastAsia="宋体" w:cs="Times New Roman"/>
                <w:sz w:val="21"/>
                <w:szCs w:val="21"/>
              </w:rPr>
            </w:pPr>
          </w:p>
        </w:tc>
        <w:tc>
          <w:tcPr>
            <w:tcW w:w="780" w:type="dxa"/>
            <w:tcBorders>
              <w:tl2br w:val="nil"/>
              <w:tr2bl w:val="nil"/>
            </w:tcBorders>
          </w:tcPr>
          <w:p w14:paraId="360E2DA0">
            <w:pPr>
              <w:spacing w:line="420" w:lineRule="auto"/>
              <w:jc w:val="center"/>
              <w:rPr>
                <w:rFonts w:eastAsia="宋体" w:cs="Times New Roman"/>
                <w:sz w:val="21"/>
                <w:szCs w:val="21"/>
              </w:rPr>
            </w:pPr>
          </w:p>
        </w:tc>
        <w:tc>
          <w:tcPr>
            <w:tcW w:w="720" w:type="dxa"/>
            <w:tcBorders>
              <w:tl2br w:val="nil"/>
              <w:tr2bl w:val="nil"/>
            </w:tcBorders>
          </w:tcPr>
          <w:p w14:paraId="058E2DB8">
            <w:pPr>
              <w:spacing w:line="420" w:lineRule="auto"/>
              <w:jc w:val="center"/>
              <w:rPr>
                <w:rFonts w:eastAsia="宋体" w:cs="Times New Roman"/>
                <w:sz w:val="21"/>
                <w:szCs w:val="21"/>
              </w:rPr>
            </w:pPr>
          </w:p>
        </w:tc>
        <w:tc>
          <w:tcPr>
            <w:tcW w:w="660" w:type="dxa"/>
            <w:tcBorders>
              <w:tl2br w:val="nil"/>
              <w:tr2bl w:val="nil"/>
            </w:tcBorders>
          </w:tcPr>
          <w:p w14:paraId="5A80469A">
            <w:pPr>
              <w:spacing w:line="420" w:lineRule="auto"/>
              <w:jc w:val="center"/>
              <w:rPr>
                <w:rFonts w:eastAsia="宋体" w:cs="Times New Roman"/>
                <w:sz w:val="21"/>
                <w:szCs w:val="21"/>
              </w:rPr>
            </w:pPr>
          </w:p>
        </w:tc>
      </w:tr>
      <w:tr w14:paraId="2778E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14:paraId="17EA7F3B">
            <w:pPr>
              <w:spacing w:line="420" w:lineRule="auto"/>
              <w:jc w:val="center"/>
              <w:rPr>
                <w:rFonts w:eastAsia="宋体" w:cs="Times New Roman"/>
                <w:sz w:val="21"/>
                <w:szCs w:val="21"/>
              </w:rPr>
            </w:pPr>
            <w:r>
              <w:rPr>
                <w:rFonts w:eastAsia="宋体" w:cs="Times New Roman"/>
                <w:sz w:val="21"/>
                <w:szCs w:val="21"/>
              </w:rPr>
              <w:t>10</w:t>
            </w:r>
          </w:p>
        </w:tc>
        <w:tc>
          <w:tcPr>
            <w:tcW w:w="1112" w:type="dxa"/>
            <w:tcBorders>
              <w:tl2br w:val="nil"/>
              <w:tr2bl w:val="nil"/>
            </w:tcBorders>
          </w:tcPr>
          <w:p w14:paraId="7AD11D95">
            <w:pPr>
              <w:spacing w:line="420" w:lineRule="auto"/>
              <w:jc w:val="center"/>
              <w:rPr>
                <w:rFonts w:eastAsia="宋体" w:cs="Times New Roman"/>
                <w:sz w:val="21"/>
                <w:szCs w:val="21"/>
              </w:rPr>
            </w:pPr>
          </w:p>
        </w:tc>
        <w:tc>
          <w:tcPr>
            <w:tcW w:w="785" w:type="dxa"/>
            <w:tcBorders>
              <w:tl2br w:val="nil"/>
              <w:tr2bl w:val="nil"/>
            </w:tcBorders>
          </w:tcPr>
          <w:p w14:paraId="0924AB12">
            <w:pPr>
              <w:spacing w:line="420" w:lineRule="auto"/>
              <w:jc w:val="center"/>
              <w:rPr>
                <w:rFonts w:eastAsia="宋体" w:cs="Times New Roman"/>
                <w:sz w:val="21"/>
                <w:szCs w:val="21"/>
              </w:rPr>
            </w:pPr>
          </w:p>
        </w:tc>
        <w:tc>
          <w:tcPr>
            <w:tcW w:w="694" w:type="dxa"/>
            <w:tcBorders>
              <w:tl2br w:val="nil"/>
              <w:tr2bl w:val="nil"/>
            </w:tcBorders>
          </w:tcPr>
          <w:p w14:paraId="61B5F44B">
            <w:pPr>
              <w:spacing w:line="420" w:lineRule="auto"/>
              <w:jc w:val="center"/>
              <w:rPr>
                <w:rFonts w:eastAsia="宋体" w:cs="Times New Roman"/>
                <w:sz w:val="21"/>
                <w:szCs w:val="21"/>
              </w:rPr>
            </w:pPr>
          </w:p>
        </w:tc>
        <w:tc>
          <w:tcPr>
            <w:tcW w:w="657" w:type="dxa"/>
            <w:tcBorders>
              <w:tl2br w:val="nil"/>
              <w:tr2bl w:val="nil"/>
            </w:tcBorders>
          </w:tcPr>
          <w:p w14:paraId="4510472D">
            <w:pPr>
              <w:spacing w:line="420" w:lineRule="auto"/>
              <w:jc w:val="center"/>
              <w:rPr>
                <w:rFonts w:eastAsia="宋体" w:cs="Times New Roman"/>
                <w:sz w:val="21"/>
                <w:szCs w:val="21"/>
              </w:rPr>
            </w:pPr>
          </w:p>
        </w:tc>
        <w:tc>
          <w:tcPr>
            <w:tcW w:w="705" w:type="dxa"/>
            <w:tcBorders>
              <w:tl2br w:val="nil"/>
              <w:tr2bl w:val="nil"/>
            </w:tcBorders>
          </w:tcPr>
          <w:p w14:paraId="6AB00A31">
            <w:pPr>
              <w:spacing w:line="420" w:lineRule="auto"/>
              <w:jc w:val="center"/>
              <w:rPr>
                <w:rFonts w:eastAsia="宋体" w:cs="Times New Roman"/>
                <w:sz w:val="21"/>
                <w:szCs w:val="21"/>
              </w:rPr>
            </w:pPr>
          </w:p>
        </w:tc>
        <w:tc>
          <w:tcPr>
            <w:tcW w:w="900" w:type="dxa"/>
            <w:tcBorders>
              <w:tl2br w:val="nil"/>
              <w:tr2bl w:val="nil"/>
            </w:tcBorders>
          </w:tcPr>
          <w:p w14:paraId="417045AC">
            <w:pPr>
              <w:spacing w:line="420" w:lineRule="auto"/>
              <w:jc w:val="center"/>
              <w:rPr>
                <w:rFonts w:eastAsia="宋体" w:cs="Times New Roman"/>
                <w:sz w:val="21"/>
                <w:szCs w:val="21"/>
              </w:rPr>
            </w:pPr>
          </w:p>
        </w:tc>
        <w:tc>
          <w:tcPr>
            <w:tcW w:w="675" w:type="dxa"/>
            <w:tcBorders>
              <w:tl2br w:val="nil"/>
              <w:tr2bl w:val="nil"/>
            </w:tcBorders>
          </w:tcPr>
          <w:p w14:paraId="1A8AB697">
            <w:pPr>
              <w:spacing w:line="420" w:lineRule="auto"/>
              <w:jc w:val="center"/>
              <w:rPr>
                <w:rFonts w:eastAsia="宋体" w:cs="Times New Roman"/>
                <w:sz w:val="21"/>
                <w:szCs w:val="21"/>
              </w:rPr>
            </w:pPr>
          </w:p>
        </w:tc>
        <w:tc>
          <w:tcPr>
            <w:tcW w:w="780" w:type="dxa"/>
            <w:tcBorders>
              <w:tl2br w:val="nil"/>
              <w:tr2bl w:val="nil"/>
            </w:tcBorders>
          </w:tcPr>
          <w:p w14:paraId="4FEADB70">
            <w:pPr>
              <w:spacing w:line="420" w:lineRule="auto"/>
              <w:jc w:val="center"/>
              <w:rPr>
                <w:rFonts w:eastAsia="宋体" w:cs="Times New Roman"/>
                <w:sz w:val="21"/>
                <w:szCs w:val="21"/>
              </w:rPr>
            </w:pPr>
          </w:p>
        </w:tc>
        <w:tc>
          <w:tcPr>
            <w:tcW w:w="720" w:type="dxa"/>
            <w:tcBorders>
              <w:tl2br w:val="nil"/>
              <w:tr2bl w:val="nil"/>
            </w:tcBorders>
          </w:tcPr>
          <w:p w14:paraId="53EB0BA7">
            <w:pPr>
              <w:spacing w:line="420" w:lineRule="auto"/>
              <w:jc w:val="center"/>
              <w:rPr>
                <w:rFonts w:eastAsia="宋体" w:cs="Times New Roman"/>
                <w:sz w:val="21"/>
                <w:szCs w:val="21"/>
              </w:rPr>
            </w:pPr>
          </w:p>
        </w:tc>
        <w:tc>
          <w:tcPr>
            <w:tcW w:w="660" w:type="dxa"/>
            <w:tcBorders>
              <w:tl2br w:val="nil"/>
              <w:tr2bl w:val="nil"/>
            </w:tcBorders>
          </w:tcPr>
          <w:p w14:paraId="0AF693DF">
            <w:pPr>
              <w:spacing w:line="420" w:lineRule="auto"/>
              <w:jc w:val="center"/>
              <w:rPr>
                <w:rFonts w:eastAsia="宋体" w:cs="Times New Roman"/>
                <w:sz w:val="21"/>
                <w:szCs w:val="21"/>
              </w:rPr>
            </w:pPr>
          </w:p>
        </w:tc>
      </w:tr>
      <w:tr w14:paraId="1D436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14:paraId="5EF698D5">
            <w:pPr>
              <w:spacing w:line="420" w:lineRule="auto"/>
              <w:jc w:val="center"/>
              <w:rPr>
                <w:rFonts w:eastAsia="宋体" w:cs="Times New Roman"/>
                <w:sz w:val="21"/>
                <w:szCs w:val="21"/>
              </w:rPr>
            </w:pPr>
            <w:r>
              <w:rPr>
                <w:rFonts w:eastAsia="宋体" w:cs="Times New Roman"/>
                <w:sz w:val="21"/>
                <w:szCs w:val="21"/>
              </w:rPr>
              <w:t>11</w:t>
            </w:r>
          </w:p>
        </w:tc>
        <w:tc>
          <w:tcPr>
            <w:tcW w:w="1112" w:type="dxa"/>
            <w:tcBorders>
              <w:tl2br w:val="nil"/>
              <w:tr2bl w:val="nil"/>
            </w:tcBorders>
          </w:tcPr>
          <w:p w14:paraId="343D22C8">
            <w:pPr>
              <w:spacing w:line="420" w:lineRule="auto"/>
              <w:jc w:val="center"/>
              <w:rPr>
                <w:rFonts w:eastAsia="宋体" w:cs="Times New Roman"/>
                <w:sz w:val="21"/>
                <w:szCs w:val="21"/>
              </w:rPr>
            </w:pPr>
          </w:p>
        </w:tc>
        <w:tc>
          <w:tcPr>
            <w:tcW w:w="785" w:type="dxa"/>
            <w:tcBorders>
              <w:tl2br w:val="nil"/>
              <w:tr2bl w:val="nil"/>
            </w:tcBorders>
          </w:tcPr>
          <w:p w14:paraId="69FD45F7">
            <w:pPr>
              <w:spacing w:line="420" w:lineRule="auto"/>
              <w:jc w:val="center"/>
              <w:rPr>
                <w:rFonts w:eastAsia="宋体" w:cs="Times New Roman"/>
                <w:sz w:val="21"/>
                <w:szCs w:val="21"/>
              </w:rPr>
            </w:pPr>
          </w:p>
        </w:tc>
        <w:tc>
          <w:tcPr>
            <w:tcW w:w="694" w:type="dxa"/>
            <w:tcBorders>
              <w:tl2br w:val="nil"/>
              <w:tr2bl w:val="nil"/>
            </w:tcBorders>
          </w:tcPr>
          <w:p w14:paraId="4E5E36D2">
            <w:pPr>
              <w:spacing w:line="420" w:lineRule="auto"/>
              <w:jc w:val="center"/>
              <w:rPr>
                <w:rFonts w:eastAsia="宋体" w:cs="Times New Roman"/>
                <w:sz w:val="21"/>
                <w:szCs w:val="21"/>
              </w:rPr>
            </w:pPr>
          </w:p>
        </w:tc>
        <w:tc>
          <w:tcPr>
            <w:tcW w:w="657" w:type="dxa"/>
            <w:tcBorders>
              <w:tl2br w:val="nil"/>
              <w:tr2bl w:val="nil"/>
            </w:tcBorders>
          </w:tcPr>
          <w:p w14:paraId="0DFDBBCC">
            <w:pPr>
              <w:spacing w:line="420" w:lineRule="auto"/>
              <w:jc w:val="center"/>
              <w:rPr>
                <w:rFonts w:eastAsia="宋体" w:cs="Times New Roman"/>
                <w:sz w:val="21"/>
                <w:szCs w:val="21"/>
              </w:rPr>
            </w:pPr>
          </w:p>
        </w:tc>
        <w:tc>
          <w:tcPr>
            <w:tcW w:w="705" w:type="dxa"/>
            <w:tcBorders>
              <w:tl2br w:val="nil"/>
              <w:tr2bl w:val="nil"/>
            </w:tcBorders>
          </w:tcPr>
          <w:p w14:paraId="1075C560">
            <w:pPr>
              <w:spacing w:line="420" w:lineRule="auto"/>
              <w:jc w:val="center"/>
              <w:rPr>
                <w:rFonts w:eastAsia="宋体" w:cs="Times New Roman"/>
                <w:sz w:val="21"/>
                <w:szCs w:val="21"/>
              </w:rPr>
            </w:pPr>
          </w:p>
        </w:tc>
        <w:tc>
          <w:tcPr>
            <w:tcW w:w="900" w:type="dxa"/>
            <w:tcBorders>
              <w:tl2br w:val="nil"/>
              <w:tr2bl w:val="nil"/>
            </w:tcBorders>
          </w:tcPr>
          <w:p w14:paraId="44F6CBC7">
            <w:pPr>
              <w:spacing w:line="420" w:lineRule="auto"/>
              <w:jc w:val="center"/>
              <w:rPr>
                <w:rFonts w:eastAsia="宋体" w:cs="Times New Roman"/>
                <w:sz w:val="21"/>
                <w:szCs w:val="21"/>
              </w:rPr>
            </w:pPr>
          </w:p>
        </w:tc>
        <w:tc>
          <w:tcPr>
            <w:tcW w:w="675" w:type="dxa"/>
            <w:tcBorders>
              <w:tl2br w:val="nil"/>
              <w:tr2bl w:val="nil"/>
            </w:tcBorders>
          </w:tcPr>
          <w:p w14:paraId="70A9B866">
            <w:pPr>
              <w:spacing w:line="420" w:lineRule="auto"/>
              <w:jc w:val="center"/>
              <w:rPr>
                <w:rFonts w:eastAsia="宋体" w:cs="Times New Roman"/>
                <w:sz w:val="21"/>
                <w:szCs w:val="21"/>
              </w:rPr>
            </w:pPr>
          </w:p>
        </w:tc>
        <w:tc>
          <w:tcPr>
            <w:tcW w:w="780" w:type="dxa"/>
            <w:tcBorders>
              <w:tl2br w:val="nil"/>
              <w:tr2bl w:val="nil"/>
            </w:tcBorders>
          </w:tcPr>
          <w:p w14:paraId="25531BD6">
            <w:pPr>
              <w:spacing w:line="420" w:lineRule="auto"/>
              <w:jc w:val="center"/>
              <w:rPr>
                <w:rFonts w:eastAsia="宋体" w:cs="Times New Roman"/>
                <w:sz w:val="21"/>
                <w:szCs w:val="21"/>
              </w:rPr>
            </w:pPr>
          </w:p>
        </w:tc>
        <w:tc>
          <w:tcPr>
            <w:tcW w:w="720" w:type="dxa"/>
            <w:tcBorders>
              <w:tl2br w:val="nil"/>
              <w:tr2bl w:val="nil"/>
            </w:tcBorders>
          </w:tcPr>
          <w:p w14:paraId="184182A0">
            <w:pPr>
              <w:spacing w:line="420" w:lineRule="auto"/>
              <w:jc w:val="center"/>
              <w:rPr>
                <w:rFonts w:eastAsia="宋体" w:cs="Times New Roman"/>
                <w:sz w:val="21"/>
                <w:szCs w:val="21"/>
              </w:rPr>
            </w:pPr>
          </w:p>
        </w:tc>
        <w:tc>
          <w:tcPr>
            <w:tcW w:w="660" w:type="dxa"/>
            <w:tcBorders>
              <w:tl2br w:val="nil"/>
              <w:tr2bl w:val="nil"/>
            </w:tcBorders>
          </w:tcPr>
          <w:p w14:paraId="567599B6">
            <w:pPr>
              <w:spacing w:line="420" w:lineRule="auto"/>
              <w:jc w:val="center"/>
              <w:rPr>
                <w:rFonts w:eastAsia="宋体" w:cs="Times New Roman"/>
                <w:sz w:val="21"/>
                <w:szCs w:val="21"/>
              </w:rPr>
            </w:pPr>
          </w:p>
        </w:tc>
      </w:tr>
      <w:tr w14:paraId="2D3C8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3" w:type="dxa"/>
            <w:tcBorders>
              <w:tl2br w:val="nil"/>
              <w:tr2bl w:val="nil"/>
            </w:tcBorders>
          </w:tcPr>
          <w:p w14:paraId="53C051E7">
            <w:pPr>
              <w:spacing w:line="420" w:lineRule="auto"/>
              <w:jc w:val="center"/>
              <w:rPr>
                <w:rFonts w:eastAsia="宋体" w:cs="Times New Roman"/>
                <w:sz w:val="21"/>
                <w:szCs w:val="21"/>
              </w:rPr>
            </w:pPr>
            <w:r>
              <w:rPr>
                <w:rFonts w:eastAsia="宋体" w:cs="Times New Roman"/>
                <w:sz w:val="21"/>
                <w:szCs w:val="21"/>
              </w:rPr>
              <w:t>12</w:t>
            </w:r>
          </w:p>
        </w:tc>
        <w:tc>
          <w:tcPr>
            <w:tcW w:w="1112" w:type="dxa"/>
            <w:tcBorders>
              <w:tl2br w:val="nil"/>
              <w:tr2bl w:val="nil"/>
            </w:tcBorders>
          </w:tcPr>
          <w:p w14:paraId="13DA7B6C">
            <w:pPr>
              <w:spacing w:line="420" w:lineRule="auto"/>
              <w:jc w:val="center"/>
              <w:rPr>
                <w:rFonts w:eastAsia="宋体" w:cs="Times New Roman"/>
                <w:sz w:val="21"/>
                <w:szCs w:val="21"/>
              </w:rPr>
            </w:pPr>
          </w:p>
        </w:tc>
        <w:tc>
          <w:tcPr>
            <w:tcW w:w="785" w:type="dxa"/>
            <w:tcBorders>
              <w:tl2br w:val="nil"/>
              <w:tr2bl w:val="nil"/>
            </w:tcBorders>
          </w:tcPr>
          <w:p w14:paraId="345BA2EA">
            <w:pPr>
              <w:spacing w:line="420" w:lineRule="auto"/>
              <w:jc w:val="center"/>
              <w:rPr>
                <w:rFonts w:eastAsia="宋体" w:cs="Times New Roman"/>
                <w:sz w:val="21"/>
                <w:szCs w:val="21"/>
              </w:rPr>
            </w:pPr>
          </w:p>
        </w:tc>
        <w:tc>
          <w:tcPr>
            <w:tcW w:w="694" w:type="dxa"/>
            <w:tcBorders>
              <w:tl2br w:val="nil"/>
              <w:tr2bl w:val="nil"/>
            </w:tcBorders>
          </w:tcPr>
          <w:p w14:paraId="47611E14">
            <w:pPr>
              <w:spacing w:line="420" w:lineRule="auto"/>
              <w:jc w:val="center"/>
              <w:rPr>
                <w:rFonts w:eastAsia="宋体" w:cs="Times New Roman"/>
                <w:sz w:val="21"/>
                <w:szCs w:val="21"/>
              </w:rPr>
            </w:pPr>
          </w:p>
        </w:tc>
        <w:tc>
          <w:tcPr>
            <w:tcW w:w="657" w:type="dxa"/>
            <w:tcBorders>
              <w:tl2br w:val="nil"/>
              <w:tr2bl w:val="nil"/>
            </w:tcBorders>
          </w:tcPr>
          <w:p w14:paraId="39BF2B92">
            <w:pPr>
              <w:spacing w:line="420" w:lineRule="auto"/>
              <w:jc w:val="center"/>
              <w:rPr>
                <w:rFonts w:eastAsia="宋体" w:cs="Times New Roman"/>
                <w:sz w:val="21"/>
                <w:szCs w:val="21"/>
              </w:rPr>
            </w:pPr>
          </w:p>
        </w:tc>
        <w:tc>
          <w:tcPr>
            <w:tcW w:w="705" w:type="dxa"/>
            <w:tcBorders>
              <w:tl2br w:val="nil"/>
              <w:tr2bl w:val="nil"/>
            </w:tcBorders>
          </w:tcPr>
          <w:p w14:paraId="78CAE8CC">
            <w:pPr>
              <w:spacing w:line="420" w:lineRule="auto"/>
              <w:jc w:val="center"/>
              <w:rPr>
                <w:rFonts w:eastAsia="宋体" w:cs="Times New Roman"/>
                <w:sz w:val="21"/>
                <w:szCs w:val="21"/>
              </w:rPr>
            </w:pPr>
          </w:p>
        </w:tc>
        <w:tc>
          <w:tcPr>
            <w:tcW w:w="900" w:type="dxa"/>
            <w:tcBorders>
              <w:tl2br w:val="nil"/>
              <w:tr2bl w:val="nil"/>
            </w:tcBorders>
          </w:tcPr>
          <w:p w14:paraId="52DF45D4">
            <w:pPr>
              <w:spacing w:line="420" w:lineRule="auto"/>
              <w:jc w:val="center"/>
              <w:rPr>
                <w:rFonts w:eastAsia="宋体" w:cs="Times New Roman"/>
                <w:sz w:val="21"/>
                <w:szCs w:val="21"/>
              </w:rPr>
            </w:pPr>
          </w:p>
        </w:tc>
        <w:tc>
          <w:tcPr>
            <w:tcW w:w="675" w:type="dxa"/>
            <w:tcBorders>
              <w:tl2br w:val="nil"/>
              <w:tr2bl w:val="nil"/>
            </w:tcBorders>
          </w:tcPr>
          <w:p w14:paraId="698BD166">
            <w:pPr>
              <w:spacing w:line="420" w:lineRule="auto"/>
              <w:jc w:val="center"/>
              <w:rPr>
                <w:rFonts w:eastAsia="宋体" w:cs="Times New Roman"/>
                <w:sz w:val="21"/>
                <w:szCs w:val="21"/>
              </w:rPr>
            </w:pPr>
          </w:p>
        </w:tc>
        <w:tc>
          <w:tcPr>
            <w:tcW w:w="780" w:type="dxa"/>
            <w:tcBorders>
              <w:tl2br w:val="nil"/>
              <w:tr2bl w:val="nil"/>
            </w:tcBorders>
          </w:tcPr>
          <w:p w14:paraId="637A9186">
            <w:pPr>
              <w:spacing w:line="420" w:lineRule="auto"/>
              <w:jc w:val="center"/>
              <w:rPr>
                <w:rFonts w:eastAsia="宋体" w:cs="Times New Roman"/>
                <w:sz w:val="21"/>
                <w:szCs w:val="21"/>
              </w:rPr>
            </w:pPr>
          </w:p>
        </w:tc>
        <w:tc>
          <w:tcPr>
            <w:tcW w:w="720" w:type="dxa"/>
            <w:tcBorders>
              <w:tl2br w:val="nil"/>
              <w:tr2bl w:val="nil"/>
            </w:tcBorders>
          </w:tcPr>
          <w:p w14:paraId="5C1508FD">
            <w:pPr>
              <w:spacing w:line="420" w:lineRule="auto"/>
              <w:jc w:val="center"/>
              <w:rPr>
                <w:rFonts w:eastAsia="宋体" w:cs="Times New Roman"/>
                <w:sz w:val="21"/>
                <w:szCs w:val="21"/>
              </w:rPr>
            </w:pPr>
          </w:p>
        </w:tc>
        <w:tc>
          <w:tcPr>
            <w:tcW w:w="660" w:type="dxa"/>
            <w:tcBorders>
              <w:tl2br w:val="nil"/>
              <w:tr2bl w:val="nil"/>
            </w:tcBorders>
          </w:tcPr>
          <w:p w14:paraId="6DE7D7F3">
            <w:pPr>
              <w:spacing w:line="420" w:lineRule="auto"/>
              <w:jc w:val="center"/>
              <w:rPr>
                <w:rFonts w:eastAsia="宋体" w:cs="Times New Roman"/>
                <w:sz w:val="21"/>
                <w:szCs w:val="21"/>
              </w:rPr>
            </w:pPr>
          </w:p>
        </w:tc>
      </w:tr>
      <w:tr w14:paraId="3A2084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21" w:type="dxa"/>
            <w:gridSpan w:val="8"/>
            <w:tcBorders>
              <w:tl2br w:val="nil"/>
              <w:tr2bl w:val="nil"/>
            </w:tcBorders>
          </w:tcPr>
          <w:p w14:paraId="41E79786">
            <w:pPr>
              <w:spacing w:line="420" w:lineRule="auto"/>
              <w:jc w:val="center"/>
              <w:rPr>
                <w:rFonts w:eastAsia="宋体" w:cs="Times New Roman"/>
                <w:sz w:val="21"/>
                <w:szCs w:val="21"/>
              </w:rPr>
            </w:pPr>
            <w:r>
              <w:rPr>
                <w:rFonts w:eastAsia="宋体" w:cs="Times New Roman"/>
                <w:sz w:val="21"/>
                <w:szCs w:val="21"/>
              </w:rPr>
              <w:t>给水管道声呐长度合计：</w:t>
            </w:r>
          </w:p>
        </w:tc>
        <w:tc>
          <w:tcPr>
            <w:tcW w:w="780" w:type="dxa"/>
            <w:tcBorders>
              <w:tl2br w:val="nil"/>
              <w:tr2bl w:val="nil"/>
            </w:tcBorders>
          </w:tcPr>
          <w:p w14:paraId="59795E65">
            <w:pPr>
              <w:spacing w:line="420" w:lineRule="auto"/>
              <w:jc w:val="center"/>
              <w:rPr>
                <w:rFonts w:eastAsia="宋体" w:cs="Times New Roman"/>
                <w:sz w:val="21"/>
                <w:szCs w:val="21"/>
              </w:rPr>
            </w:pPr>
          </w:p>
        </w:tc>
        <w:tc>
          <w:tcPr>
            <w:tcW w:w="720" w:type="dxa"/>
            <w:tcBorders>
              <w:tl2br w:val="nil"/>
              <w:tr2bl w:val="nil"/>
            </w:tcBorders>
          </w:tcPr>
          <w:p w14:paraId="5EB51A78">
            <w:pPr>
              <w:spacing w:line="420" w:lineRule="auto"/>
              <w:jc w:val="center"/>
              <w:rPr>
                <w:rFonts w:eastAsia="宋体" w:cs="Times New Roman"/>
                <w:sz w:val="21"/>
                <w:szCs w:val="21"/>
              </w:rPr>
            </w:pPr>
          </w:p>
        </w:tc>
        <w:tc>
          <w:tcPr>
            <w:tcW w:w="660" w:type="dxa"/>
            <w:tcBorders>
              <w:tl2br w:val="nil"/>
              <w:tr2bl w:val="nil"/>
            </w:tcBorders>
          </w:tcPr>
          <w:p w14:paraId="4608D730">
            <w:pPr>
              <w:spacing w:line="420" w:lineRule="auto"/>
              <w:jc w:val="center"/>
              <w:rPr>
                <w:rFonts w:eastAsia="宋体" w:cs="Times New Roman"/>
                <w:sz w:val="21"/>
                <w:szCs w:val="21"/>
              </w:rPr>
            </w:pPr>
          </w:p>
        </w:tc>
      </w:tr>
    </w:tbl>
    <w:p w14:paraId="3E7A1A40">
      <w:pPr>
        <w:spacing w:line="240" w:lineRule="exact"/>
        <w:rPr>
          <w:rFonts w:ascii="宋体" w:hAnsi="宋体" w:eastAsia="宋体" w:cs="宋体"/>
          <w:sz w:val="21"/>
          <w:szCs w:val="21"/>
        </w:rPr>
      </w:pPr>
    </w:p>
    <w:p w14:paraId="5634527E">
      <w:pPr>
        <w:spacing w:line="540" w:lineRule="auto"/>
        <w:rPr>
          <w:rFonts w:ascii="宋体" w:hAnsi="宋体" w:eastAsia="宋体" w:cs="宋体"/>
          <w:sz w:val="21"/>
          <w:szCs w:val="21"/>
        </w:rPr>
      </w:pPr>
      <w:r>
        <w:rPr>
          <w:rFonts w:hint="eastAsia" w:ascii="宋体" w:hAnsi="宋体" w:eastAsia="宋体" w:cs="宋体"/>
          <w:sz w:val="21"/>
          <w:szCs w:val="21"/>
        </w:rPr>
        <w:t>检测员：</w:t>
      </w:r>
      <w:r>
        <w:rPr>
          <w:rFonts w:hint="eastAsia" w:ascii="宋体" w:hAnsi="宋体" w:eastAsia="宋体" w:cs="宋体"/>
          <w:sz w:val="21"/>
          <w:szCs w:val="21"/>
          <w:u w:val="single"/>
        </w:rPr>
        <w:t xml:space="preserve">        </w:t>
      </w:r>
      <w:r>
        <w:rPr>
          <w:rFonts w:ascii="宋体" w:hAnsi="宋体" w:eastAsia="宋体" w:cs="宋体"/>
          <w:sz w:val="21"/>
          <w:szCs w:val="21"/>
        </w:rPr>
        <w:t xml:space="preserve">  </w:t>
      </w:r>
      <w:r>
        <w:rPr>
          <w:rFonts w:hint="eastAsia" w:ascii="宋体" w:hAnsi="宋体" w:eastAsia="宋体" w:cs="宋体"/>
          <w:sz w:val="21"/>
          <w:szCs w:val="21"/>
          <w:lang w:eastAsia="zh-CN"/>
        </w:rPr>
        <w:t>记录员</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ascii="宋体" w:hAnsi="宋体" w:eastAsia="宋体" w:cs="宋体"/>
          <w:sz w:val="21"/>
          <w:szCs w:val="21"/>
        </w:rPr>
        <w:t xml:space="preserve"> </w:t>
      </w:r>
      <w:r>
        <w:rPr>
          <w:rFonts w:hint="eastAsia" w:ascii="宋体" w:hAnsi="宋体" w:eastAsia="宋体" w:cs="宋体"/>
          <w:sz w:val="21"/>
          <w:szCs w:val="21"/>
        </w:rPr>
        <w:t>校核员：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ascii="宋体" w:hAnsi="宋体" w:eastAsia="宋体" w:cs="宋体"/>
          <w:sz w:val="21"/>
          <w:szCs w:val="21"/>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392E3569">
      <w:pPr>
        <w:rPr>
          <w:szCs w:val="24"/>
        </w:rPr>
      </w:pPr>
      <w:r>
        <w:rPr>
          <w:szCs w:val="24"/>
        </w:rPr>
        <w:br w:type="page"/>
      </w:r>
    </w:p>
    <w:p w14:paraId="28B850A8">
      <w:pPr>
        <w:rPr>
          <w:rFonts w:eastAsia="宋体"/>
          <w:szCs w:val="24"/>
        </w:rPr>
      </w:pPr>
      <w:r>
        <w:rPr>
          <w:rFonts w:hint="eastAsia" w:eastAsia="宋体" w:cs="Times New Roman"/>
          <w:b/>
          <w:color w:val="000000"/>
          <w:szCs w:val="24"/>
        </w:rPr>
        <w:t>A.0.3　</w:t>
      </w:r>
      <w:r>
        <w:rPr>
          <w:rFonts w:hint="eastAsia" w:eastAsia="宋体" w:cs="Times New Roman"/>
          <w:b w:val="0"/>
          <w:bCs/>
          <w:color w:val="000000"/>
          <w:szCs w:val="24"/>
        </w:rPr>
        <w:t>给水管道</w:t>
      </w:r>
      <w:r>
        <w:rPr>
          <w:rFonts w:hint="eastAsia" w:eastAsia="宋体" w:cs="Times New Roman"/>
          <w:color w:val="000000"/>
          <w:szCs w:val="24"/>
        </w:rPr>
        <w:t>超声波管壁厚度测量网格记录应按表A.0.3填写。</w:t>
      </w:r>
    </w:p>
    <w:p w14:paraId="0D224DD8">
      <w:pPr>
        <w:pStyle w:val="105"/>
      </w:pPr>
      <w:r>
        <w:rPr>
          <w:rFonts w:hint="eastAsia"/>
        </w:rPr>
        <w:t>表A.0.3　给水管道超声波管壁厚度测量网格记录表</w:t>
      </w:r>
    </w:p>
    <w:tbl>
      <w:tblPr>
        <w:tblStyle w:val="29"/>
        <w:tblW w:w="810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90"/>
        <w:gridCol w:w="737"/>
        <w:gridCol w:w="737"/>
        <w:gridCol w:w="737"/>
        <w:gridCol w:w="737"/>
        <w:gridCol w:w="737"/>
        <w:gridCol w:w="737"/>
        <w:gridCol w:w="737"/>
        <w:gridCol w:w="737"/>
        <w:gridCol w:w="737"/>
        <w:gridCol w:w="737"/>
      </w:tblGrid>
      <w:tr w14:paraId="2F8D4A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11" w:type="dxa"/>
            <w:gridSpan w:val="3"/>
            <w:tcBorders>
              <w:tl2br w:val="nil"/>
              <w:tr2bl w:val="nil"/>
            </w:tcBorders>
            <w:shd w:val="clear" w:color="auto" w:fill="auto"/>
            <w:noWrap/>
            <w:vAlign w:val="center"/>
          </w:tcPr>
          <w:p w14:paraId="4FA31811">
            <w:pPr>
              <w:spacing w:line="240" w:lineRule="auto"/>
              <w:jc w:val="center"/>
              <w:rPr>
                <w:rFonts w:eastAsia="宋体" w:cs="Times New Roman"/>
                <w:color w:val="000000"/>
                <w:sz w:val="21"/>
                <w:szCs w:val="21"/>
              </w:rPr>
            </w:pPr>
            <w:r>
              <w:rPr>
                <w:rFonts w:eastAsia="宋体" w:cs="Times New Roman"/>
                <w:color w:val="000000"/>
                <w:kern w:val="0"/>
                <w:sz w:val="21"/>
                <w:szCs w:val="21"/>
                <w:lang w:bidi="ar"/>
              </w:rPr>
              <w:t>网格横向间距</w:t>
            </w:r>
            <w:r>
              <w:rPr>
                <w:rFonts w:hint="eastAsia" w:eastAsia="宋体" w:cs="Times New Roman"/>
                <w:color w:val="000000"/>
                <w:kern w:val="0"/>
                <w:sz w:val="21"/>
                <w:szCs w:val="21"/>
                <w:lang w:bidi="ar"/>
              </w:rPr>
              <w:t>（</w:t>
            </w:r>
            <w:r>
              <w:rPr>
                <w:rFonts w:eastAsia="宋体" w:cs="Times New Roman"/>
                <w:color w:val="000000"/>
                <w:kern w:val="0"/>
                <w:sz w:val="21"/>
                <w:szCs w:val="21"/>
                <w:lang w:bidi="ar"/>
              </w:rPr>
              <w:t>mm</w:t>
            </w:r>
            <w:r>
              <w:rPr>
                <w:rFonts w:hint="eastAsia" w:eastAsia="宋体" w:cs="Times New Roman"/>
                <w:color w:val="000000"/>
                <w:kern w:val="0"/>
                <w:sz w:val="21"/>
                <w:szCs w:val="21"/>
                <w:lang w:bidi="ar"/>
              </w:rPr>
              <w:t>）</w:t>
            </w:r>
          </w:p>
        </w:tc>
        <w:tc>
          <w:tcPr>
            <w:tcW w:w="1474" w:type="dxa"/>
            <w:gridSpan w:val="2"/>
            <w:tcBorders>
              <w:tl2br w:val="nil"/>
              <w:tr2bl w:val="nil"/>
            </w:tcBorders>
            <w:shd w:val="clear" w:color="auto" w:fill="auto"/>
            <w:noWrap/>
            <w:vAlign w:val="center"/>
          </w:tcPr>
          <w:p w14:paraId="48C3BC34">
            <w:pPr>
              <w:spacing w:line="240" w:lineRule="auto"/>
              <w:jc w:val="center"/>
              <w:rPr>
                <w:rFonts w:eastAsia="宋体" w:cs="Times New Roman"/>
                <w:color w:val="000000"/>
                <w:sz w:val="21"/>
                <w:szCs w:val="21"/>
              </w:rPr>
            </w:pPr>
          </w:p>
        </w:tc>
        <w:tc>
          <w:tcPr>
            <w:tcW w:w="2948" w:type="dxa"/>
            <w:gridSpan w:val="4"/>
            <w:tcBorders>
              <w:tl2br w:val="nil"/>
              <w:tr2bl w:val="nil"/>
            </w:tcBorders>
            <w:shd w:val="clear" w:color="auto" w:fill="auto"/>
            <w:noWrap/>
            <w:vAlign w:val="center"/>
          </w:tcPr>
          <w:p w14:paraId="6E067727">
            <w:pPr>
              <w:spacing w:line="240" w:lineRule="auto"/>
              <w:jc w:val="center"/>
              <w:rPr>
                <w:rFonts w:eastAsia="宋体" w:cs="Times New Roman"/>
                <w:color w:val="000000"/>
                <w:sz w:val="21"/>
                <w:szCs w:val="21"/>
              </w:rPr>
            </w:pPr>
            <w:r>
              <w:rPr>
                <w:rFonts w:cs="Times New Roman"/>
                <w:color w:val="000000"/>
                <w:kern w:val="0"/>
                <w:sz w:val="21"/>
                <w:szCs w:val="21"/>
                <w:lang w:bidi="ar"/>
              </w:rPr>
              <w:t>管道原始壁厚</w:t>
            </w:r>
            <w:r>
              <w:rPr>
                <w:rFonts w:hint="eastAsia" w:eastAsia="宋体" w:cs="Times New Roman"/>
                <w:color w:val="000000"/>
                <w:kern w:val="0"/>
                <w:sz w:val="21"/>
                <w:szCs w:val="21"/>
                <w:lang w:bidi="ar"/>
              </w:rPr>
              <w:t>（</w:t>
            </w:r>
            <w:r>
              <w:rPr>
                <w:rFonts w:eastAsia="宋体" w:cs="Times New Roman"/>
                <w:color w:val="000000"/>
                <w:kern w:val="0"/>
                <w:sz w:val="21"/>
                <w:szCs w:val="21"/>
                <w:lang w:bidi="ar"/>
              </w:rPr>
              <w:t>mm</w:t>
            </w:r>
            <w:r>
              <w:rPr>
                <w:rFonts w:hint="eastAsia" w:eastAsia="宋体" w:cs="Times New Roman"/>
                <w:color w:val="000000"/>
                <w:kern w:val="0"/>
                <w:sz w:val="21"/>
                <w:szCs w:val="21"/>
                <w:lang w:bidi="ar"/>
              </w:rPr>
              <w:t>）</w:t>
            </w:r>
          </w:p>
        </w:tc>
        <w:tc>
          <w:tcPr>
            <w:tcW w:w="1474" w:type="dxa"/>
            <w:gridSpan w:val="2"/>
            <w:tcBorders>
              <w:tl2br w:val="nil"/>
              <w:tr2bl w:val="nil"/>
            </w:tcBorders>
            <w:shd w:val="clear" w:color="auto" w:fill="auto"/>
            <w:noWrap/>
            <w:vAlign w:val="center"/>
          </w:tcPr>
          <w:p w14:paraId="390A9159">
            <w:pPr>
              <w:spacing w:line="240" w:lineRule="auto"/>
              <w:jc w:val="center"/>
              <w:rPr>
                <w:rFonts w:eastAsia="宋体" w:cs="Times New Roman"/>
                <w:color w:val="000000"/>
                <w:sz w:val="21"/>
                <w:szCs w:val="21"/>
              </w:rPr>
            </w:pPr>
          </w:p>
        </w:tc>
      </w:tr>
      <w:tr w14:paraId="7C8EB4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11" w:type="dxa"/>
            <w:gridSpan w:val="3"/>
            <w:tcBorders>
              <w:tl2br w:val="nil"/>
              <w:tr2bl w:val="nil"/>
            </w:tcBorders>
            <w:shd w:val="clear" w:color="auto" w:fill="auto"/>
            <w:noWrap/>
            <w:vAlign w:val="center"/>
          </w:tcPr>
          <w:p w14:paraId="35A1EB81">
            <w:pPr>
              <w:spacing w:line="240" w:lineRule="auto"/>
              <w:jc w:val="center"/>
              <w:rPr>
                <w:rFonts w:eastAsia="宋体" w:cs="Times New Roman"/>
                <w:color w:val="000000"/>
                <w:sz w:val="21"/>
                <w:szCs w:val="21"/>
              </w:rPr>
            </w:pPr>
            <w:r>
              <w:rPr>
                <w:rFonts w:eastAsia="宋体" w:cs="Times New Roman"/>
                <w:color w:val="000000"/>
                <w:kern w:val="0"/>
                <w:sz w:val="21"/>
                <w:szCs w:val="21"/>
                <w:lang w:bidi="ar"/>
              </w:rPr>
              <w:t>网格</w:t>
            </w:r>
            <w:r>
              <w:rPr>
                <w:rFonts w:cs="Times New Roman"/>
                <w:color w:val="000000"/>
                <w:kern w:val="0"/>
                <w:sz w:val="21"/>
                <w:szCs w:val="21"/>
                <w:lang w:bidi="ar"/>
              </w:rPr>
              <w:t>纵</w:t>
            </w:r>
            <w:r>
              <w:rPr>
                <w:rFonts w:eastAsia="宋体" w:cs="Times New Roman"/>
                <w:color w:val="000000"/>
                <w:kern w:val="0"/>
                <w:sz w:val="21"/>
                <w:szCs w:val="21"/>
                <w:lang w:bidi="ar"/>
              </w:rPr>
              <w:t>向间距</w:t>
            </w:r>
            <w:r>
              <w:rPr>
                <w:rFonts w:hint="eastAsia" w:eastAsia="宋体" w:cs="Times New Roman"/>
                <w:color w:val="000000"/>
                <w:kern w:val="0"/>
                <w:sz w:val="21"/>
                <w:szCs w:val="21"/>
                <w:lang w:bidi="ar"/>
              </w:rPr>
              <w:t>（</w:t>
            </w:r>
            <w:r>
              <w:rPr>
                <w:rFonts w:eastAsia="宋体" w:cs="Times New Roman"/>
                <w:color w:val="000000"/>
                <w:kern w:val="0"/>
                <w:sz w:val="21"/>
                <w:szCs w:val="21"/>
                <w:lang w:bidi="ar"/>
              </w:rPr>
              <w:t>mm</w:t>
            </w:r>
            <w:r>
              <w:rPr>
                <w:rFonts w:hint="eastAsia" w:eastAsia="宋体" w:cs="Times New Roman"/>
                <w:color w:val="000000"/>
                <w:kern w:val="0"/>
                <w:sz w:val="21"/>
                <w:szCs w:val="21"/>
                <w:lang w:bidi="ar"/>
              </w:rPr>
              <w:t>）</w:t>
            </w:r>
          </w:p>
        </w:tc>
        <w:tc>
          <w:tcPr>
            <w:tcW w:w="1474" w:type="dxa"/>
            <w:gridSpan w:val="2"/>
            <w:tcBorders>
              <w:tl2br w:val="nil"/>
              <w:tr2bl w:val="nil"/>
            </w:tcBorders>
            <w:shd w:val="clear" w:color="auto" w:fill="auto"/>
            <w:noWrap/>
            <w:vAlign w:val="center"/>
          </w:tcPr>
          <w:p w14:paraId="263C7B77">
            <w:pPr>
              <w:spacing w:line="240" w:lineRule="auto"/>
              <w:jc w:val="center"/>
              <w:rPr>
                <w:rFonts w:eastAsia="宋体" w:cs="Times New Roman"/>
                <w:color w:val="000000"/>
                <w:sz w:val="21"/>
                <w:szCs w:val="21"/>
              </w:rPr>
            </w:pPr>
          </w:p>
        </w:tc>
        <w:tc>
          <w:tcPr>
            <w:tcW w:w="2948" w:type="dxa"/>
            <w:gridSpan w:val="4"/>
            <w:tcBorders>
              <w:tl2br w:val="nil"/>
              <w:tr2bl w:val="nil"/>
            </w:tcBorders>
            <w:shd w:val="clear" w:color="auto" w:fill="auto"/>
            <w:noWrap/>
            <w:vAlign w:val="center"/>
          </w:tcPr>
          <w:p w14:paraId="1CBBB385">
            <w:pPr>
              <w:spacing w:line="240" w:lineRule="auto"/>
              <w:jc w:val="center"/>
              <w:rPr>
                <w:rFonts w:eastAsia="宋体" w:cs="Times New Roman"/>
                <w:color w:val="000000"/>
                <w:sz w:val="21"/>
                <w:szCs w:val="21"/>
              </w:rPr>
            </w:pPr>
            <w:r>
              <w:rPr>
                <w:rFonts w:eastAsia="宋体" w:cs="Times New Roman"/>
                <w:color w:val="000000"/>
                <w:kern w:val="0"/>
                <w:sz w:val="21"/>
                <w:szCs w:val="21"/>
                <w:lang w:bidi="ar"/>
              </w:rPr>
              <w:t>测量起始位置经纬度坐标</w:t>
            </w:r>
          </w:p>
        </w:tc>
        <w:tc>
          <w:tcPr>
            <w:tcW w:w="1474" w:type="dxa"/>
            <w:gridSpan w:val="2"/>
            <w:tcBorders>
              <w:tl2br w:val="nil"/>
              <w:tr2bl w:val="nil"/>
            </w:tcBorders>
            <w:shd w:val="clear" w:color="auto" w:fill="auto"/>
            <w:noWrap/>
            <w:vAlign w:val="center"/>
          </w:tcPr>
          <w:p w14:paraId="52762245">
            <w:pPr>
              <w:spacing w:line="240" w:lineRule="auto"/>
              <w:jc w:val="center"/>
              <w:rPr>
                <w:rFonts w:eastAsia="宋体" w:cs="Times New Roman"/>
                <w:color w:val="000000"/>
                <w:sz w:val="21"/>
                <w:szCs w:val="21"/>
              </w:rPr>
            </w:pPr>
          </w:p>
        </w:tc>
      </w:tr>
      <w:tr w14:paraId="45520B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37" w:type="dxa"/>
            <w:tcBorders>
              <w:tl2br w:val="nil"/>
              <w:tr2bl w:val="nil"/>
            </w:tcBorders>
            <w:shd w:val="clear" w:color="auto" w:fill="auto"/>
            <w:noWrap/>
            <w:vAlign w:val="center"/>
          </w:tcPr>
          <w:p w14:paraId="54D43144">
            <w:pPr>
              <w:widowControl/>
              <w:spacing w:line="240" w:lineRule="auto"/>
              <w:ind w:left="-70" w:leftChars="-29" w:right="-103" w:rightChars="-43"/>
              <w:jc w:val="center"/>
              <w:textAlignment w:val="center"/>
              <w:rPr>
                <w:rFonts w:eastAsia="宋体" w:cs="Times New Roman"/>
                <w:color w:val="000000"/>
                <w:sz w:val="21"/>
                <w:szCs w:val="21"/>
              </w:rPr>
            </w:pPr>
            <w:r>
              <w:rPr>
                <w:rFonts w:eastAsia="宋体" w:cs="Times New Roman"/>
                <w:color w:val="000000"/>
                <w:kern w:val="0"/>
                <w:sz w:val="21"/>
                <w:szCs w:val="21"/>
                <w:lang w:bidi="ar"/>
              </w:rPr>
              <w:t>管壁厚度</w:t>
            </w:r>
            <w:r>
              <w:rPr>
                <w:rFonts w:hint="eastAsia" w:eastAsia="宋体" w:cs="Times New Roman"/>
                <w:color w:val="000000"/>
                <w:kern w:val="0"/>
                <w:sz w:val="21"/>
                <w:szCs w:val="21"/>
                <w:lang w:bidi="ar"/>
              </w:rPr>
              <w:t>（</w:t>
            </w:r>
            <w:r>
              <w:rPr>
                <w:rFonts w:eastAsia="宋体" w:cs="Times New Roman"/>
                <w:color w:val="000000"/>
                <w:kern w:val="0"/>
                <w:sz w:val="21"/>
                <w:szCs w:val="21"/>
                <w:lang w:bidi="ar"/>
              </w:rPr>
              <w:t>mm</w:t>
            </w:r>
            <w:r>
              <w:rPr>
                <w:rFonts w:hint="eastAsia" w:eastAsia="宋体" w:cs="Times New Roman"/>
                <w:color w:val="000000"/>
                <w:kern w:val="0"/>
                <w:sz w:val="21"/>
                <w:szCs w:val="21"/>
                <w:lang w:bidi="ar"/>
              </w:rPr>
              <w:t>）</w:t>
            </w:r>
          </w:p>
        </w:tc>
        <w:tc>
          <w:tcPr>
            <w:tcW w:w="737" w:type="dxa"/>
            <w:tcBorders>
              <w:tl2br w:val="nil"/>
              <w:tr2bl w:val="nil"/>
            </w:tcBorders>
            <w:shd w:val="clear" w:color="auto" w:fill="auto"/>
            <w:noWrap/>
            <w:vAlign w:val="center"/>
          </w:tcPr>
          <w:p w14:paraId="401777FC">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1</w:t>
            </w:r>
          </w:p>
        </w:tc>
        <w:tc>
          <w:tcPr>
            <w:tcW w:w="737" w:type="dxa"/>
            <w:tcBorders>
              <w:tl2br w:val="nil"/>
              <w:tr2bl w:val="nil"/>
            </w:tcBorders>
            <w:shd w:val="clear" w:color="auto" w:fill="auto"/>
            <w:noWrap/>
            <w:vAlign w:val="center"/>
          </w:tcPr>
          <w:p w14:paraId="434B15F9">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2</w:t>
            </w:r>
          </w:p>
        </w:tc>
        <w:tc>
          <w:tcPr>
            <w:tcW w:w="737" w:type="dxa"/>
            <w:tcBorders>
              <w:tl2br w:val="nil"/>
              <w:tr2bl w:val="nil"/>
            </w:tcBorders>
            <w:shd w:val="clear" w:color="auto" w:fill="auto"/>
            <w:noWrap/>
            <w:vAlign w:val="center"/>
          </w:tcPr>
          <w:p w14:paraId="271A4EAF">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3</w:t>
            </w:r>
          </w:p>
        </w:tc>
        <w:tc>
          <w:tcPr>
            <w:tcW w:w="737" w:type="dxa"/>
            <w:tcBorders>
              <w:tl2br w:val="nil"/>
              <w:tr2bl w:val="nil"/>
            </w:tcBorders>
            <w:shd w:val="clear" w:color="auto" w:fill="auto"/>
            <w:noWrap/>
            <w:vAlign w:val="center"/>
          </w:tcPr>
          <w:p w14:paraId="10194897">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4</w:t>
            </w:r>
          </w:p>
        </w:tc>
        <w:tc>
          <w:tcPr>
            <w:tcW w:w="737" w:type="dxa"/>
            <w:tcBorders>
              <w:tl2br w:val="nil"/>
              <w:tr2bl w:val="nil"/>
            </w:tcBorders>
            <w:shd w:val="clear" w:color="auto" w:fill="auto"/>
            <w:noWrap/>
            <w:vAlign w:val="center"/>
          </w:tcPr>
          <w:p w14:paraId="35E1DD82">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5</w:t>
            </w:r>
          </w:p>
        </w:tc>
        <w:tc>
          <w:tcPr>
            <w:tcW w:w="737" w:type="dxa"/>
            <w:tcBorders>
              <w:tl2br w:val="nil"/>
              <w:tr2bl w:val="nil"/>
            </w:tcBorders>
            <w:shd w:val="clear" w:color="auto" w:fill="auto"/>
            <w:noWrap/>
            <w:vAlign w:val="center"/>
          </w:tcPr>
          <w:p w14:paraId="0C07411C">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6</w:t>
            </w:r>
          </w:p>
        </w:tc>
        <w:tc>
          <w:tcPr>
            <w:tcW w:w="737" w:type="dxa"/>
            <w:tcBorders>
              <w:tl2br w:val="nil"/>
              <w:tr2bl w:val="nil"/>
            </w:tcBorders>
            <w:shd w:val="clear" w:color="auto" w:fill="auto"/>
            <w:noWrap/>
            <w:vAlign w:val="center"/>
          </w:tcPr>
          <w:p w14:paraId="7963AFB2">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7</w:t>
            </w:r>
          </w:p>
        </w:tc>
        <w:tc>
          <w:tcPr>
            <w:tcW w:w="737" w:type="dxa"/>
            <w:tcBorders>
              <w:tl2br w:val="nil"/>
              <w:tr2bl w:val="nil"/>
            </w:tcBorders>
            <w:shd w:val="clear" w:color="auto" w:fill="auto"/>
            <w:noWrap/>
            <w:vAlign w:val="center"/>
          </w:tcPr>
          <w:p w14:paraId="3C890E00">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8</w:t>
            </w:r>
          </w:p>
        </w:tc>
        <w:tc>
          <w:tcPr>
            <w:tcW w:w="737" w:type="dxa"/>
            <w:tcBorders>
              <w:tl2br w:val="nil"/>
              <w:tr2bl w:val="nil"/>
            </w:tcBorders>
            <w:shd w:val="clear" w:color="auto" w:fill="auto"/>
            <w:noWrap/>
            <w:vAlign w:val="center"/>
          </w:tcPr>
          <w:p w14:paraId="44989B44">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9</w:t>
            </w:r>
          </w:p>
        </w:tc>
        <w:tc>
          <w:tcPr>
            <w:tcW w:w="737" w:type="dxa"/>
            <w:tcBorders>
              <w:tl2br w:val="nil"/>
              <w:tr2bl w:val="nil"/>
            </w:tcBorders>
            <w:shd w:val="clear" w:color="auto" w:fill="auto"/>
            <w:noWrap/>
            <w:vAlign w:val="center"/>
          </w:tcPr>
          <w:p w14:paraId="7E5AF22E">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10</w:t>
            </w:r>
          </w:p>
        </w:tc>
      </w:tr>
      <w:tr w14:paraId="59325F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14:paraId="32824A37">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1</w:t>
            </w:r>
          </w:p>
        </w:tc>
        <w:tc>
          <w:tcPr>
            <w:tcW w:w="737" w:type="dxa"/>
            <w:tcBorders>
              <w:tl2br w:val="nil"/>
              <w:tr2bl w:val="nil"/>
            </w:tcBorders>
            <w:shd w:val="clear" w:color="auto" w:fill="auto"/>
            <w:noWrap/>
            <w:vAlign w:val="center"/>
          </w:tcPr>
          <w:p w14:paraId="47286C2A">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56779804">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67DAD7C8">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29B68779">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6D3C4CAA">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00D88521">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4E7C65BB">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05505581">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28B32622">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1CAE5A5F">
            <w:pPr>
              <w:spacing w:line="240" w:lineRule="auto"/>
              <w:rPr>
                <w:rFonts w:eastAsia="宋体" w:cs="Times New Roman"/>
                <w:color w:val="000000"/>
                <w:sz w:val="21"/>
                <w:szCs w:val="21"/>
              </w:rPr>
            </w:pPr>
          </w:p>
        </w:tc>
      </w:tr>
      <w:tr w14:paraId="7CE3F0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14:paraId="433DB347">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2</w:t>
            </w:r>
          </w:p>
        </w:tc>
        <w:tc>
          <w:tcPr>
            <w:tcW w:w="737" w:type="dxa"/>
            <w:tcBorders>
              <w:tl2br w:val="nil"/>
              <w:tr2bl w:val="nil"/>
            </w:tcBorders>
            <w:shd w:val="clear" w:color="auto" w:fill="auto"/>
            <w:noWrap/>
            <w:vAlign w:val="center"/>
          </w:tcPr>
          <w:p w14:paraId="602D3AB5">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399BE95D">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0C5C77A7">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46A85400">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1D9AC72A">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613CDC6F">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69985B59">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7681F562">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76485ABD">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1FC09950">
            <w:pPr>
              <w:spacing w:line="240" w:lineRule="auto"/>
              <w:rPr>
                <w:rFonts w:eastAsia="宋体" w:cs="Times New Roman"/>
                <w:color w:val="000000"/>
                <w:sz w:val="21"/>
                <w:szCs w:val="21"/>
              </w:rPr>
            </w:pPr>
          </w:p>
        </w:tc>
      </w:tr>
      <w:tr w14:paraId="565ABD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14:paraId="06DD417B">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3</w:t>
            </w:r>
          </w:p>
        </w:tc>
        <w:tc>
          <w:tcPr>
            <w:tcW w:w="737" w:type="dxa"/>
            <w:tcBorders>
              <w:tl2br w:val="nil"/>
              <w:tr2bl w:val="nil"/>
            </w:tcBorders>
            <w:shd w:val="clear" w:color="auto" w:fill="auto"/>
            <w:noWrap/>
            <w:vAlign w:val="center"/>
          </w:tcPr>
          <w:p w14:paraId="2EA3F4A9">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2115C240">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69CFB737">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6F109855">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005516AE">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54B3B04A">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533DC191">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5EC2DDD9">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42E9B5C6">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717CEE48">
            <w:pPr>
              <w:spacing w:line="240" w:lineRule="auto"/>
              <w:rPr>
                <w:rFonts w:eastAsia="宋体" w:cs="Times New Roman"/>
                <w:color w:val="000000"/>
                <w:sz w:val="21"/>
                <w:szCs w:val="21"/>
              </w:rPr>
            </w:pPr>
          </w:p>
        </w:tc>
      </w:tr>
      <w:tr w14:paraId="4B5664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14:paraId="383D341F">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4</w:t>
            </w:r>
          </w:p>
        </w:tc>
        <w:tc>
          <w:tcPr>
            <w:tcW w:w="737" w:type="dxa"/>
            <w:tcBorders>
              <w:tl2br w:val="nil"/>
              <w:tr2bl w:val="nil"/>
            </w:tcBorders>
            <w:shd w:val="clear" w:color="auto" w:fill="auto"/>
            <w:noWrap/>
            <w:vAlign w:val="center"/>
          </w:tcPr>
          <w:p w14:paraId="27BDE8B1">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4B9E229F">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7ABE0357">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080DDCFC">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458693E3">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67543D73">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24EB302D">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58A19BCE">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04FBFA03">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37D9A423">
            <w:pPr>
              <w:spacing w:line="240" w:lineRule="auto"/>
              <w:rPr>
                <w:rFonts w:eastAsia="宋体" w:cs="Times New Roman"/>
                <w:color w:val="000000"/>
                <w:sz w:val="21"/>
                <w:szCs w:val="21"/>
              </w:rPr>
            </w:pPr>
          </w:p>
        </w:tc>
      </w:tr>
      <w:tr w14:paraId="4CAFB1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14:paraId="4C336FF0">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5</w:t>
            </w:r>
          </w:p>
        </w:tc>
        <w:tc>
          <w:tcPr>
            <w:tcW w:w="737" w:type="dxa"/>
            <w:tcBorders>
              <w:tl2br w:val="nil"/>
              <w:tr2bl w:val="nil"/>
            </w:tcBorders>
            <w:shd w:val="clear" w:color="auto" w:fill="auto"/>
            <w:noWrap/>
            <w:vAlign w:val="center"/>
          </w:tcPr>
          <w:p w14:paraId="41F4E311">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0625CDF7">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07D6277F">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5AED2DB8">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094EFF9B">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69FA13D9">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4B992FB2">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66E69CE6">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21AE9877">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051F7E8F">
            <w:pPr>
              <w:spacing w:line="240" w:lineRule="auto"/>
              <w:rPr>
                <w:rFonts w:eastAsia="宋体" w:cs="Times New Roman"/>
                <w:color w:val="000000"/>
                <w:sz w:val="21"/>
                <w:szCs w:val="21"/>
              </w:rPr>
            </w:pPr>
          </w:p>
        </w:tc>
      </w:tr>
      <w:tr w14:paraId="0DAD71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14:paraId="0148BF58">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6</w:t>
            </w:r>
          </w:p>
        </w:tc>
        <w:tc>
          <w:tcPr>
            <w:tcW w:w="737" w:type="dxa"/>
            <w:tcBorders>
              <w:tl2br w:val="nil"/>
              <w:tr2bl w:val="nil"/>
            </w:tcBorders>
            <w:shd w:val="clear" w:color="auto" w:fill="auto"/>
            <w:noWrap/>
            <w:vAlign w:val="center"/>
          </w:tcPr>
          <w:p w14:paraId="4223C6E0">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53C00A12">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5CCFE755">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0179A311">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2147FD76">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1CB003AB">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30B280FD">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65B7C771">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64FB0FB2">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3A969A17">
            <w:pPr>
              <w:spacing w:line="240" w:lineRule="auto"/>
              <w:rPr>
                <w:rFonts w:eastAsia="宋体" w:cs="Times New Roman"/>
                <w:color w:val="000000"/>
                <w:sz w:val="21"/>
                <w:szCs w:val="21"/>
              </w:rPr>
            </w:pPr>
          </w:p>
        </w:tc>
      </w:tr>
      <w:tr w14:paraId="4F42CA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14:paraId="18F21B53">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7</w:t>
            </w:r>
          </w:p>
        </w:tc>
        <w:tc>
          <w:tcPr>
            <w:tcW w:w="737" w:type="dxa"/>
            <w:tcBorders>
              <w:tl2br w:val="nil"/>
              <w:tr2bl w:val="nil"/>
            </w:tcBorders>
            <w:shd w:val="clear" w:color="auto" w:fill="auto"/>
            <w:noWrap/>
            <w:vAlign w:val="center"/>
          </w:tcPr>
          <w:p w14:paraId="1EDA0936">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4F8E6560">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1D1C454B">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00EDFD5F">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7960EB7E">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73EC4F05">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14D63BCA">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782E193F">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7287777D">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5C5CCA84">
            <w:pPr>
              <w:spacing w:line="240" w:lineRule="auto"/>
              <w:rPr>
                <w:rFonts w:eastAsia="宋体" w:cs="Times New Roman"/>
                <w:color w:val="000000"/>
                <w:sz w:val="21"/>
                <w:szCs w:val="21"/>
              </w:rPr>
            </w:pPr>
          </w:p>
        </w:tc>
      </w:tr>
      <w:tr w14:paraId="125E1E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14:paraId="644A82E2">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8</w:t>
            </w:r>
          </w:p>
        </w:tc>
        <w:tc>
          <w:tcPr>
            <w:tcW w:w="737" w:type="dxa"/>
            <w:tcBorders>
              <w:tl2br w:val="nil"/>
              <w:tr2bl w:val="nil"/>
            </w:tcBorders>
            <w:shd w:val="clear" w:color="auto" w:fill="auto"/>
            <w:noWrap/>
            <w:vAlign w:val="center"/>
          </w:tcPr>
          <w:p w14:paraId="35F00104">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53172ABE">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02A7DC84">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27FF55EC">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0AE84ECB">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2B5609D4">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7369CBEE">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69F5423E">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4D6F43FF">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1EE39E95">
            <w:pPr>
              <w:spacing w:line="240" w:lineRule="auto"/>
              <w:rPr>
                <w:rFonts w:eastAsia="宋体" w:cs="Times New Roman"/>
                <w:color w:val="000000"/>
                <w:sz w:val="21"/>
                <w:szCs w:val="21"/>
              </w:rPr>
            </w:pPr>
          </w:p>
        </w:tc>
      </w:tr>
      <w:tr w14:paraId="617746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14:paraId="574F7A8D">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9</w:t>
            </w:r>
          </w:p>
        </w:tc>
        <w:tc>
          <w:tcPr>
            <w:tcW w:w="737" w:type="dxa"/>
            <w:tcBorders>
              <w:tl2br w:val="nil"/>
              <w:tr2bl w:val="nil"/>
            </w:tcBorders>
            <w:shd w:val="clear" w:color="auto" w:fill="auto"/>
            <w:noWrap/>
            <w:vAlign w:val="center"/>
          </w:tcPr>
          <w:p w14:paraId="5A583CFE">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22625E0E">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307B60DB">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75CF0044">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6FB3782D">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1E4BA75E">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58412C78">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2C0652FF">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6259A38C">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5AD8FA39">
            <w:pPr>
              <w:spacing w:line="240" w:lineRule="auto"/>
              <w:rPr>
                <w:rFonts w:eastAsia="宋体" w:cs="Times New Roman"/>
                <w:color w:val="000000"/>
                <w:sz w:val="21"/>
                <w:szCs w:val="21"/>
              </w:rPr>
            </w:pPr>
          </w:p>
        </w:tc>
      </w:tr>
      <w:tr w14:paraId="1DFA79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37" w:type="dxa"/>
            <w:tcBorders>
              <w:tl2br w:val="nil"/>
              <w:tr2bl w:val="nil"/>
            </w:tcBorders>
            <w:shd w:val="clear" w:color="auto" w:fill="auto"/>
            <w:noWrap/>
            <w:vAlign w:val="center"/>
          </w:tcPr>
          <w:p w14:paraId="25DDF265">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10</w:t>
            </w:r>
          </w:p>
        </w:tc>
        <w:tc>
          <w:tcPr>
            <w:tcW w:w="737" w:type="dxa"/>
            <w:tcBorders>
              <w:tl2br w:val="nil"/>
              <w:tr2bl w:val="nil"/>
            </w:tcBorders>
            <w:shd w:val="clear" w:color="auto" w:fill="auto"/>
            <w:noWrap/>
            <w:vAlign w:val="center"/>
          </w:tcPr>
          <w:p w14:paraId="28C358BC">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382DC41F">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3290FE24">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58AB10E0">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6FEC77C3">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3273FBEB">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38D5797E">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3E419D8C">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6696F13A">
            <w:pPr>
              <w:spacing w:line="240" w:lineRule="auto"/>
              <w:rPr>
                <w:rFonts w:eastAsia="宋体" w:cs="Times New Roman"/>
                <w:color w:val="000000"/>
                <w:sz w:val="21"/>
                <w:szCs w:val="21"/>
              </w:rPr>
            </w:pPr>
          </w:p>
        </w:tc>
        <w:tc>
          <w:tcPr>
            <w:tcW w:w="737" w:type="dxa"/>
            <w:tcBorders>
              <w:tl2br w:val="nil"/>
              <w:tr2bl w:val="nil"/>
            </w:tcBorders>
            <w:shd w:val="clear" w:color="auto" w:fill="auto"/>
            <w:noWrap/>
            <w:vAlign w:val="center"/>
          </w:tcPr>
          <w:p w14:paraId="13BD7158">
            <w:pPr>
              <w:spacing w:line="240" w:lineRule="auto"/>
              <w:rPr>
                <w:rFonts w:eastAsia="宋体" w:cs="Times New Roman"/>
                <w:color w:val="000000"/>
                <w:sz w:val="21"/>
                <w:szCs w:val="21"/>
              </w:rPr>
            </w:pPr>
          </w:p>
        </w:tc>
      </w:tr>
    </w:tbl>
    <w:p w14:paraId="645F77B8">
      <w:pPr>
        <w:pStyle w:val="2"/>
        <w:spacing w:line="240" w:lineRule="auto"/>
        <w:ind w:left="315" w:hanging="315" w:hangingChars="150"/>
        <w:rPr>
          <w:rFonts w:ascii="Times New Roman" w:hAnsi="Times New Roman"/>
          <w:sz w:val="21"/>
        </w:rPr>
      </w:pPr>
      <w:r>
        <w:rPr>
          <w:rFonts w:hint="eastAsia" w:cs="宋体"/>
          <w:color w:val="000000"/>
          <w:sz w:val="21"/>
          <w:lang w:bidi="ar"/>
        </w:rPr>
        <w:t>注：横轴数据为管道环向测量数据，以管道0点钟方位为起点；纵轴数据以检测管道测量走向起始位置为起点；表格可根据实际情况增加。</w:t>
      </w:r>
    </w:p>
    <w:p w14:paraId="7EAB3B3D">
      <w:pPr>
        <w:pStyle w:val="2"/>
        <w:ind w:left="0" w:firstLine="0" w:firstLineChars="0"/>
        <w:rPr>
          <w:rFonts w:cs="Times New Roman"/>
          <w:bCs/>
          <w:color w:val="000000"/>
          <w:sz w:val="21"/>
        </w:rPr>
      </w:pPr>
      <w:r>
        <w:rPr>
          <w:rFonts w:hint="eastAsia" w:cs="宋体"/>
          <w:sz w:val="21"/>
        </w:rPr>
        <w:t>检测员：</w:t>
      </w:r>
      <w:r>
        <w:rPr>
          <w:rFonts w:hint="eastAsia" w:cs="宋体"/>
          <w:sz w:val="21"/>
          <w:u w:val="single"/>
        </w:rPr>
        <w:t xml:space="preserve">       </w:t>
      </w:r>
      <w:r>
        <w:rPr>
          <w:rFonts w:cs="宋体"/>
          <w:sz w:val="21"/>
        </w:rPr>
        <w:t xml:space="preserve">  </w:t>
      </w:r>
      <w:r>
        <w:rPr>
          <w:rFonts w:hint="eastAsia" w:cs="宋体"/>
          <w:sz w:val="21"/>
          <w:lang w:eastAsia="zh-CN"/>
        </w:rPr>
        <w:t>记录员</w:t>
      </w:r>
      <w:r>
        <w:rPr>
          <w:rFonts w:hint="eastAsia" w:cs="宋体"/>
          <w:sz w:val="21"/>
        </w:rPr>
        <w:t>：</w:t>
      </w:r>
      <w:r>
        <w:rPr>
          <w:rFonts w:hint="eastAsia" w:cs="宋体"/>
          <w:sz w:val="21"/>
          <w:u w:val="single"/>
        </w:rPr>
        <w:t xml:space="preserve">         </w:t>
      </w:r>
      <w:r>
        <w:rPr>
          <w:rFonts w:hint="eastAsia" w:cs="宋体"/>
          <w:sz w:val="21"/>
        </w:rPr>
        <w:t xml:space="preserve"> </w:t>
      </w:r>
      <w:r>
        <w:rPr>
          <w:rFonts w:cs="宋体"/>
          <w:sz w:val="21"/>
        </w:rPr>
        <w:t xml:space="preserve"> </w:t>
      </w:r>
      <w:r>
        <w:rPr>
          <w:rFonts w:hint="eastAsia" w:cs="宋体"/>
          <w:sz w:val="21"/>
        </w:rPr>
        <w:t>校核员：</w:t>
      </w:r>
      <w:r>
        <w:rPr>
          <w:rFonts w:hint="eastAsia" w:cs="宋体"/>
          <w:sz w:val="21"/>
          <w:u w:val="single"/>
        </w:rPr>
        <w:t xml:space="preserve">          </w:t>
      </w:r>
      <w:r>
        <w:rPr>
          <w:rFonts w:hint="eastAsia" w:cs="宋体"/>
          <w:sz w:val="21"/>
        </w:rPr>
        <w:t xml:space="preserve">   </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14:paraId="1F7E5C00">
      <w:pPr>
        <w:rPr>
          <w:szCs w:val="24"/>
        </w:rPr>
      </w:pPr>
      <w:r>
        <w:rPr>
          <w:szCs w:val="24"/>
        </w:rPr>
        <w:br w:type="page"/>
      </w:r>
    </w:p>
    <w:p w14:paraId="7AC48B60">
      <w:pPr>
        <w:rPr>
          <w:szCs w:val="24"/>
        </w:rPr>
      </w:pPr>
      <w:r>
        <w:rPr>
          <w:rFonts w:hint="eastAsia" w:eastAsia="宋体" w:cs="Times New Roman"/>
          <w:b/>
          <w:color w:val="000000"/>
          <w:szCs w:val="24"/>
        </w:rPr>
        <w:t>A.0.4　</w:t>
      </w:r>
      <w:r>
        <w:rPr>
          <w:rFonts w:hint="eastAsia" w:eastAsia="宋体" w:cs="Times New Roman"/>
          <w:color w:val="000000"/>
          <w:szCs w:val="24"/>
          <w:lang w:eastAsia="zh-CN"/>
        </w:rPr>
        <w:t>给水管道</w:t>
      </w:r>
      <w:r>
        <w:rPr>
          <w:rFonts w:hint="eastAsia"/>
        </w:rPr>
        <w:t>电磁法检测记录应按表A.0.4填写。</w:t>
      </w:r>
    </w:p>
    <w:p w14:paraId="50118F0F">
      <w:pPr>
        <w:pStyle w:val="105"/>
      </w:pPr>
      <w:r>
        <w:rPr>
          <w:rFonts w:hint="eastAsia"/>
        </w:rPr>
        <w:t>表A.0.4　给水管道</w:t>
      </w:r>
      <w:r>
        <w:rPr>
          <w:rFonts w:hint="eastAsia"/>
          <w:highlight w:val="none"/>
        </w:rPr>
        <w:t>电</w:t>
      </w:r>
      <w:r>
        <w:rPr>
          <w:rFonts w:hint="eastAsia"/>
        </w:rPr>
        <w:t>磁法检测记录表</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345"/>
        <w:gridCol w:w="1288"/>
        <w:gridCol w:w="1181"/>
        <w:gridCol w:w="1244"/>
        <w:gridCol w:w="2226"/>
      </w:tblGrid>
      <w:tr w14:paraId="02910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8" w:type="dxa"/>
            <w:tcBorders>
              <w:tl2br w:val="nil"/>
              <w:tr2bl w:val="nil"/>
            </w:tcBorders>
            <w:vAlign w:val="center"/>
          </w:tcPr>
          <w:p w14:paraId="033E3F63">
            <w:pPr>
              <w:widowControl/>
              <w:spacing w:line="240" w:lineRule="auto"/>
              <w:jc w:val="center"/>
              <w:rPr>
                <w:sz w:val="21"/>
                <w:szCs w:val="21"/>
              </w:rPr>
            </w:pPr>
            <w:r>
              <w:rPr>
                <w:rFonts w:hint="eastAsia"/>
                <w:sz w:val="21"/>
                <w:szCs w:val="21"/>
              </w:rPr>
              <w:t>项目名称</w:t>
            </w:r>
          </w:p>
        </w:tc>
        <w:tc>
          <w:tcPr>
            <w:tcW w:w="3814" w:type="dxa"/>
            <w:gridSpan w:val="3"/>
            <w:tcBorders>
              <w:tl2br w:val="nil"/>
              <w:tr2bl w:val="nil"/>
            </w:tcBorders>
            <w:vAlign w:val="center"/>
          </w:tcPr>
          <w:p w14:paraId="3FE84761">
            <w:pPr>
              <w:widowControl/>
              <w:spacing w:line="240" w:lineRule="auto"/>
              <w:jc w:val="center"/>
              <w:rPr>
                <w:sz w:val="21"/>
                <w:szCs w:val="21"/>
              </w:rPr>
            </w:pPr>
          </w:p>
        </w:tc>
        <w:tc>
          <w:tcPr>
            <w:tcW w:w="1244" w:type="dxa"/>
            <w:tcBorders>
              <w:tl2br w:val="nil"/>
              <w:tr2bl w:val="nil"/>
            </w:tcBorders>
            <w:vAlign w:val="center"/>
          </w:tcPr>
          <w:p w14:paraId="325082C8">
            <w:pPr>
              <w:widowControl/>
              <w:spacing w:line="240" w:lineRule="auto"/>
              <w:jc w:val="center"/>
              <w:rPr>
                <w:sz w:val="21"/>
                <w:szCs w:val="21"/>
              </w:rPr>
            </w:pPr>
            <w:r>
              <w:rPr>
                <w:rFonts w:hint="eastAsia"/>
                <w:sz w:val="21"/>
                <w:szCs w:val="21"/>
              </w:rPr>
              <w:t>管线名称</w:t>
            </w:r>
          </w:p>
        </w:tc>
        <w:tc>
          <w:tcPr>
            <w:tcW w:w="2226" w:type="dxa"/>
            <w:tcBorders>
              <w:tl2br w:val="nil"/>
              <w:tr2bl w:val="nil"/>
            </w:tcBorders>
            <w:vAlign w:val="center"/>
          </w:tcPr>
          <w:p w14:paraId="2632A8E7">
            <w:pPr>
              <w:widowControl/>
              <w:spacing w:line="240" w:lineRule="auto"/>
              <w:jc w:val="center"/>
              <w:rPr>
                <w:sz w:val="21"/>
                <w:szCs w:val="21"/>
              </w:rPr>
            </w:pPr>
          </w:p>
        </w:tc>
      </w:tr>
      <w:tr w14:paraId="2C3BE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38" w:type="dxa"/>
            <w:tcBorders>
              <w:tl2br w:val="nil"/>
              <w:tr2bl w:val="nil"/>
            </w:tcBorders>
            <w:vAlign w:val="center"/>
          </w:tcPr>
          <w:p w14:paraId="54DDC9AE">
            <w:pPr>
              <w:widowControl/>
              <w:spacing w:line="240" w:lineRule="auto"/>
              <w:jc w:val="center"/>
              <w:rPr>
                <w:sz w:val="21"/>
                <w:szCs w:val="21"/>
              </w:rPr>
            </w:pPr>
            <w:r>
              <w:rPr>
                <w:rFonts w:hint="eastAsia"/>
                <w:sz w:val="21"/>
                <w:szCs w:val="21"/>
              </w:rPr>
              <w:t>检测段起点阀井</w:t>
            </w:r>
          </w:p>
        </w:tc>
        <w:tc>
          <w:tcPr>
            <w:tcW w:w="3814" w:type="dxa"/>
            <w:gridSpan w:val="3"/>
            <w:tcBorders>
              <w:tl2br w:val="nil"/>
              <w:tr2bl w:val="nil"/>
            </w:tcBorders>
            <w:vAlign w:val="center"/>
          </w:tcPr>
          <w:p w14:paraId="570409FC">
            <w:pPr>
              <w:widowControl/>
              <w:spacing w:line="240" w:lineRule="auto"/>
              <w:jc w:val="center"/>
              <w:rPr>
                <w:sz w:val="21"/>
                <w:szCs w:val="21"/>
              </w:rPr>
            </w:pPr>
          </w:p>
        </w:tc>
        <w:tc>
          <w:tcPr>
            <w:tcW w:w="1244" w:type="dxa"/>
            <w:tcBorders>
              <w:tl2br w:val="nil"/>
              <w:tr2bl w:val="nil"/>
            </w:tcBorders>
            <w:vAlign w:val="center"/>
          </w:tcPr>
          <w:p w14:paraId="020E4129">
            <w:pPr>
              <w:widowControl/>
              <w:spacing w:line="240" w:lineRule="auto"/>
              <w:jc w:val="center"/>
              <w:rPr>
                <w:sz w:val="21"/>
                <w:szCs w:val="21"/>
              </w:rPr>
            </w:pPr>
            <w:r>
              <w:rPr>
                <w:rFonts w:hint="eastAsia"/>
                <w:sz w:val="21"/>
                <w:szCs w:val="21"/>
              </w:rPr>
              <w:t>检测段终点阀井</w:t>
            </w:r>
          </w:p>
        </w:tc>
        <w:tc>
          <w:tcPr>
            <w:tcW w:w="2226" w:type="dxa"/>
            <w:tcBorders>
              <w:tl2br w:val="nil"/>
              <w:tr2bl w:val="nil"/>
            </w:tcBorders>
            <w:vAlign w:val="center"/>
          </w:tcPr>
          <w:p w14:paraId="3978AFCC">
            <w:pPr>
              <w:widowControl/>
              <w:spacing w:line="240" w:lineRule="auto"/>
              <w:jc w:val="center"/>
              <w:rPr>
                <w:sz w:val="21"/>
                <w:szCs w:val="21"/>
              </w:rPr>
            </w:pPr>
          </w:p>
        </w:tc>
      </w:tr>
      <w:tr w14:paraId="3B182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38" w:type="dxa"/>
            <w:tcBorders>
              <w:tl2br w:val="nil"/>
              <w:tr2bl w:val="nil"/>
            </w:tcBorders>
            <w:vAlign w:val="center"/>
          </w:tcPr>
          <w:p w14:paraId="71BD2E38">
            <w:pPr>
              <w:widowControl/>
              <w:spacing w:line="240" w:lineRule="auto"/>
              <w:jc w:val="center"/>
              <w:rPr>
                <w:sz w:val="21"/>
                <w:szCs w:val="21"/>
              </w:rPr>
            </w:pPr>
            <w:r>
              <w:rPr>
                <w:rFonts w:hint="eastAsia"/>
                <w:sz w:val="21"/>
                <w:szCs w:val="21"/>
              </w:rPr>
              <w:t>管道编号</w:t>
            </w:r>
          </w:p>
        </w:tc>
        <w:tc>
          <w:tcPr>
            <w:tcW w:w="1345" w:type="dxa"/>
            <w:tcBorders>
              <w:tl2br w:val="nil"/>
              <w:tr2bl w:val="nil"/>
            </w:tcBorders>
            <w:vAlign w:val="center"/>
          </w:tcPr>
          <w:p w14:paraId="4C35F161">
            <w:pPr>
              <w:widowControl/>
              <w:spacing w:line="240" w:lineRule="auto"/>
              <w:jc w:val="center"/>
              <w:rPr>
                <w:sz w:val="21"/>
                <w:szCs w:val="21"/>
              </w:rPr>
            </w:pPr>
            <w:r>
              <w:rPr>
                <w:rFonts w:hint="eastAsia"/>
                <w:sz w:val="21"/>
                <w:szCs w:val="21"/>
              </w:rPr>
              <w:t>管材</w:t>
            </w:r>
          </w:p>
        </w:tc>
        <w:tc>
          <w:tcPr>
            <w:tcW w:w="1288" w:type="dxa"/>
            <w:tcBorders>
              <w:tl2br w:val="nil"/>
              <w:tr2bl w:val="nil"/>
            </w:tcBorders>
            <w:vAlign w:val="center"/>
          </w:tcPr>
          <w:p w14:paraId="4A9AC017">
            <w:pPr>
              <w:widowControl/>
              <w:spacing w:line="240" w:lineRule="auto"/>
              <w:jc w:val="center"/>
              <w:rPr>
                <w:sz w:val="21"/>
                <w:szCs w:val="21"/>
              </w:rPr>
            </w:pPr>
            <w:r>
              <w:rPr>
                <w:rFonts w:hint="eastAsia"/>
                <w:sz w:val="21"/>
                <w:szCs w:val="21"/>
              </w:rPr>
              <w:t>里程计读数(m)</w:t>
            </w:r>
          </w:p>
        </w:tc>
        <w:tc>
          <w:tcPr>
            <w:tcW w:w="1181" w:type="dxa"/>
            <w:tcBorders>
              <w:tl2br w:val="nil"/>
              <w:tr2bl w:val="nil"/>
            </w:tcBorders>
            <w:vAlign w:val="center"/>
          </w:tcPr>
          <w:p w14:paraId="2B596D23">
            <w:pPr>
              <w:widowControl/>
              <w:spacing w:line="240" w:lineRule="auto"/>
              <w:jc w:val="center"/>
              <w:rPr>
                <w:sz w:val="21"/>
                <w:szCs w:val="21"/>
              </w:rPr>
            </w:pPr>
            <w:r>
              <w:rPr>
                <w:rFonts w:hint="eastAsia"/>
                <w:sz w:val="21"/>
                <w:szCs w:val="21"/>
              </w:rPr>
              <w:t>桩号</w:t>
            </w:r>
          </w:p>
        </w:tc>
        <w:tc>
          <w:tcPr>
            <w:tcW w:w="1244" w:type="dxa"/>
            <w:tcBorders>
              <w:tl2br w:val="nil"/>
              <w:tr2bl w:val="nil"/>
            </w:tcBorders>
            <w:vAlign w:val="center"/>
          </w:tcPr>
          <w:p w14:paraId="42DCA6AB">
            <w:pPr>
              <w:widowControl/>
              <w:spacing w:line="240" w:lineRule="auto"/>
              <w:jc w:val="center"/>
              <w:rPr>
                <w:sz w:val="21"/>
                <w:szCs w:val="21"/>
              </w:rPr>
            </w:pPr>
            <w:r>
              <w:rPr>
                <w:rFonts w:hint="eastAsia"/>
                <w:sz w:val="21"/>
                <w:szCs w:val="21"/>
              </w:rPr>
              <w:t>文件名</w:t>
            </w:r>
          </w:p>
        </w:tc>
        <w:tc>
          <w:tcPr>
            <w:tcW w:w="2226" w:type="dxa"/>
            <w:tcBorders>
              <w:tl2br w:val="nil"/>
              <w:tr2bl w:val="nil"/>
            </w:tcBorders>
            <w:vAlign w:val="center"/>
          </w:tcPr>
          <w:p w14:paraId="6914DB5F">
            <w:pPr>
              <w:widowControl/>
              <w:spacing w:line="240" w:lineRule="auto"/>
              <w:jc w:val="center"/>
              <w:rPr>
                <w:sz w:val="21"/>
                <w:szCs w:val="21"/>
              </w:rPr>
            </w:pPr>
            <w:r>
              <w:rPr>
                <w:rFonts w:hint="eastAsia"/>
                <w:sz w:val="21"/>
                <w:szCs w:val="21"/>
              </w:rPr>
              <w:t>备注</w:t>
            </w:r>
          </w:p>
        </w:tc>
      </w:tr>
      <w:tr w14:paraId="0C06A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vAlign w:val="center"/>
          </w:tcPr>
          <w:p w14:paraId="319A4D73">
            <w:pPr>
              <w:widowControl/>
              <w:spacing w:line="240" w:lineRule="auto"/>
              <w:jc w:val="center"/>
              <w:rPr>
                <w:sz w:val="21"/>
                <w:szCs w:val="21"/>
              </w:rPr>
            </w:pPr>
          </w:p>
        </w:tc>
        <w:tc>
          <w:tcPr>
            <w:tcW w:w="1345" w:type="dxa"/>
            <w:tcBorders>
              <w:tl2br w:val="nil"/>
              <w:tr2bl w:val="nil"/>
            </w:tcBorders>
            <w:vAlign w:val="center"/>
          </w:tcPr>
          <w:p w14:paraId="2952D5CB">
            <w:pPr>
              <w:widowControl/>
              <w:spacing w:line="240" w:lineRule="auto"/>
              <w:jc w:val="center"/>
              <w:rPr>
                <w:color w:val="A6A6A6" w:themeColor="background1" w:themeShade="A6"/>
                <w:sz w:val="21"/>
                <w:szCs w:val="21"/>
              </w:rPr>
            </w:pPr>
            <w:r>
              <w:rPr>
                <w:rFonts w:hint="eastAsia"/>
                <w:color w:val="A6A6A6" w:themeColor="background1" w:themeShade="A6"/>
                <w:sz w:val="21"/>
                <w:szCs w:val="21"/>
              </w:rPr>
              <w:t>钢管</w:t>
            </w:r>
          </w:p>
        </w:tc>
        <w:tc>
          <w:tcPr>
            <w:tcW w:w="1288" w:type="dxa"/>
            <w:tcBorders>
              <w:tl2br w:val="nil"/>
              <w:tr2bl w:val="nil"/>
            </w:tcBorders>
            <w:vAlign w:val="center"/>
          </w:tcPr>
          <w:p w14:paraId="00C81AA5">
            <w:pPr>
              <w:widowControl/>
              <w:spacing w:line="240" w:lineRule="auto"/>
              <w:jc w:val="center"/>
              <w:rPr>
                <w:color w:val="A6A6A6" w:themeColor="background1" w:themeShade="A6"/>
                <w:sz w:val="21"/>
                <w:szCs w:val="21"/>
              </w:rPr>
            </w:pPr>
          </w:p>
        </w:tc>
        <w:tc>
          <w:tcPr>
            <w:tcW w:w="1181" w:type="dxa"/>
            <w:tcBorders>
              <w:tl2br w:val="nil"/>
              <w:tr2bl w:val="nil"/>
            </w:tcBorders>
            <w:vAlign w:val="center"/>
          </w:tcPr>
          <w:p w14:paraId="6E309800">
            <w:pPr>
              <w:widowControl/>
              <w:spacing w:line="240" w:lineRule="auto"/>
              <w:jc w:val="center"/>
              <w:rPr>
                <w:color w:val="A6A6A6" w:themeColor="background1" w:themeShade="A6"/>
                <w:sz w:val="21"/>
                <w:szCs w:val="21"/>
              </w:rPr>
            </w:pPr>
          </w:p>
        </w:tc>
        <w:tc>
          <w:tcPr>
            <w:tcW w:w="1244" w:type="dxa"/>
            <w:tcBorders>
              <w:tl2br w:val="nil"/>
              <w:tr2bl w:val="nil"/>
            </w:tcBorders>
            <w:vAlign w:val="center"/>
          </w:tcPr>
          <w:p w14:paraId="0BB80804">
            <w:pPr>
              <w:widowControl/>
              <w:spacing w:line="240" w:lineRule="auto"/>
              <w:jc w:val="center"/>
              <w:rPr>
                <w:color w:val="A6A6A6" w:themeColor="background1" w:themeShade="A6"/>
                <w:sz w:val="21"/>
                <w:szCs w:val="21"/>
              </w:rPr>
            </w:pPr>
          </w:p>
        </w:tc>
        <w:tc>
          <w:tcPr>
            <w:tcW w:w="2226" w:type="dxa"/>
            <w:tcBorders>
              <w:tl2br w:val="nil"/>
              <w:tr2bl w:val="nil"/>
            </w:tcBorders>
            <w:vAlign w:val="center"/>
          </w:tcPr>
          <w:p w14:paraId="46D3A883">
            <w:pPr>
              <w:widowControl/>
              <w:spacing w:line="240" w:lineRule="auto"/>
              <w:jc w:val="center"/>
              <w:rPr>
                <w:color w:val="A6A6A6" w:themeColor="background1" w:themeShade="A6"/>
                <w:sz w:val="21"/>
                <w:szCs w:val="21"/>
              </w:rPr>
            </w:pPr>
            <w:r>
              <w:rPr>
                <w:rFonts w:hint="eastAsia"/>
                <w:color w:val="A6A6A6" w:themeColor="background1" w:themeShade="A6"/>
                <w:sz w:val="21"/>
                <w:szCs w:val="21"/>
              </w:rPr>
              <w:t>检测段起点阀井</w:t>
            </w:r>
          </w:p>
        </w:tc>
      </w:tr>
      <w:tr w14:paraId="5C852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vAlign w:val="center"/>
          </w:tcPr>
          <w:p w14:paraId="5108C9A2">
            <w:pPr>
              <w:widowControl/>
              <w:spacing w:line="240" w:lineRule="auto"/>
              <w:jc w:val="center"/>
              <w:rPr>
                <w:sz w:val="21"/>
                <w:szCs w:val="21"/>
              </w:rPr>
            </w:pPr>
          </w:p>
        </w:tc>
        <w:tc>
          <w:tcPr>
            <w:tcW w:w="1345" w:type="dxa"/>
            <w:tcBorders>
              <w:tl2br w:val="nil"/>
              <w:tr2bl w:val="nil"/>
            </w:tcBorders>
            <w:vAlign w:val="center"/>
          </w:tcPr>
          <w:p w14:paraId="655F9A9D">
            <w:pPr>
              <w:widowControl/>
              <w:spacing w:line="240" w:lineRule="auto"/>
              <w:jc w:val="center"/>
              <w:rPr>
                <w:color w:val="A6A6A6" w:themeColor="background1" w:themeShade="A6"/>
                <w:sz w:val="21"/>
                <w:szCs w:val="21"/>
              </w:rPr>
            </w:pPr>
          </w:p>
        </w:tc>
        <w:tc>
          <w:tcPr>
            <w:tcW w:w="1288" w:type="dxa"/>
            <w:tcBorders>
              <w:tl2br w:val="nil"/>
              <w:tr2bl w:val="nil"/>
            </w:tcBorders>
            <w:vAlign w:val="center"/>
          </w:tcPr>
          <w:p w14:paraId="4D57135E">
            <w:pPr>
              <w:widowControl/>
              <w:spacing w:line="240" w:lineRule="auto"/>
              <w:jc w:val="center"/>
              <w:rPr>
                <w:color w:val="A6A6A6" w:themeColor="background1" w:themeShade="A6"/>
                <w:sz w:val="21"/>
                <w:szCs w:val="21"/>
              </w:rPr>
            </w:pPr>
          </w:p>
        </w:tc>
        <w:tc>
          <w:tcPr>
            <w:tcW w:w="1181" w:type="dxa"/>
            <w:tcBorders>
              <w:tl2br w:val="nil"/>
              <w:tr2bl w:val="nil"/>
            </w:tcBorders>
            <w:vAlign w:val="center"/>
          </w:tcPr>
          <w:p w14:paraId="46327F99">
            <w:pPr>
              <w:widowControl/>
              <w:spacing w:line="240" w:lineRule="auto"/>
              <w:jc w:val="center"/>
              <w:rPr>
                <w:color w:val="A6A6A6" w:themeColor="background1" w:themeShade="A6"/>
                <w:sz w:val="21"/>
                <w:szCs w:val="21"/>
              </w:rPr>
            </w:pPr>
          </w:p>
        </w:tc>
        <w:tc>
          <w:tcPr>
            <w:tcW w:w="1244" w:type="dxa"/>
            <w:tcBorders>
              <w:tl2br w:val="nil"/>
              <w:tr2bl w:val="nil"/>
            </w:tcBorders>
            <w:vAlign w:val="center"/>
          </w:tcPr>
          <w:p w14:paraId="64BA8B8C">
            <w:pPr>
              <w:widowControl/>
              <w:spacing w:line="240" w:lineRule="auto"/>
              <w:jc w:val="center"/>
              <w:rPr>
                <w:color w:val="A6A6A6" w:themeColor="background1" w:themeShade="A6"/>
                <w:sz w:val="21"/>
                <w:szCs w:val="21"/>
              </w:rPr>
            </w:pPr>
          </w:p>
        </w:tc>
        <w:tc>
          <w:tcPr>
            <w:tcW w:w="2226" w:type="dxa"/>
            <w:tcBorders>
              <w:tl2br w:val="nil"/>
              <w:tr2bl w:val="nil"/>
            </w:tcBorders>
            <w:vAlign w:val="center"/>
          </w:tcPr>
          <w:p w14:paraId="13613A56">
            <w:pPr>
              <w:widowControl/>
              <w:spacing w:line="240" w:lineRule="auto"/>
              <w:jc w:val="center"/>
              <w:rPr>
                <w:color w:val="A6A6A6" w:themeColor="background1" w:themeShade="A6"/>
                <w:sz w:val="21"/>
                <w:szCs w:val="21"/>
              </w:rPr>
            </w:pPr>
          </w:p>
        </w:tc>
      </w:tr>
      <w:tr w14:paraId="77919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vAlign w:val="center"/>
          </w:tcPr>
          <w:p w14:paraId="74E309C5">
            <w:pPr>
              <w:widowControl/>
              <w:spacing w:line="240" w:lineRule="auto"/>
              <w:jc w:val="center"/>
              <w:rPr>
                <w:sz w:val="21"/>
                <w:szCs w:val="21"/>
              </w:rPr>
            </w:pPr>
          </w:p>
        </w:tc>
        <w:tc>
          <w:tcPr>
            <w:tcW w:w="1345" w:type="dxa"/>
            <w:tcBorders>
              <w:tl2br w:val="nil"/>
              <w:tr2bl w:val="nil"/>
            </w:tcBorders>
            <w:vAlign w:val="center"/>
          </w:tcPr>
          <w:p w14:paraId="39D70BFB">
            <w:pPr>
              <w:widowControl/>
              <w:spacing w:line="240" w:lineRule="auto"/>
              <w:jc w:val="center"/>
              <w:rPr>
                <w:color w:val="A6A6A6" w:themeColor="background1" w:themeShade="A6"/>
                <w:sz w:val="21"/>
                <w:szCs w:val="21"/>
              </w:rPr>
            </w:pPr>
            <w:r>
              <w:rPr>
                <w:rFonts w:hint="eastAsia"/>
                <w:color w:val="A6A6A6" w:themeColor="background1" w:themeShade="A6"/>
                <w:sz w:val="21"/>
                <w:szCs w:val="21"/>
              </w:rPr>
              <w:t>钢管</w:t>
            </w:r>
          </w:p>
        </w:tc>
        <w:tc>
          <w:tcPr>
            <w:tcW w:w="1288" w:type="dxa"/>
            <w:tcBorders>
              <w:tl2br w:val="nil"/>
              <w:tr2bl w:val="nil"/>
            </w:tcBorders>
            <w:vAlign w:val="center"/>
          </w:tcPr>
          <w:p w14:paraId="5B4ECE71">
            <w:pPr>
              <w:widowControl/>
              <w:spacing w:line="240" w:lineRule="auto"/>
              <w:jc w:val="center"/>
              <w:rPr>
                <w:color w:val="A6A6A6" w:themeColor="background1" w:themeShade="A6"/>
                <w:sz w:val="21"/>
                <w:szCs w:val="21"/>
              </w:rPr>
            </w:pPr>
          </w:p>
        </w:tc>
        <w:tc>
          <w:tcPr>
            <w:tcW w:w="1181" w:type="dxa"/>
            <w:tcBorders>
              <w:tl2br w:val="nil"/>
              <w:tr2bl w:val="nil"/>
            </w:tcBorders>
            <w:vAlign w:val="center"/>
          </w:tcPr>
          <w:p w14:paraId="03EE8014">
            <w:pPr>
              <w:widowControl/>
              <w:spacing w:line="240" w:lineRule="auto"/>
              <w:jc w:val="center"/>
              <w:rPr>
                <w:color w:val="A6A6A6" w:themeColor="background1" w:themeShade="A6"/>
                <w:sz w:val="21"/>
                <w:szCs w:val="21"/>
              </w:rPr>
            </w:pPr>
          </w:p>
        </w:tc>
        <w:tc>
          <w:tcPr>
            <w:tcW w:w="1244" w:type="dxa"/>
            <w:tcBorders>
              <w:tl2br w:val="nil"/>
              <w:tr2bl w:val="nil"/>
            </w:tcBorders>
            <w:vAlign w:val="center"/>
          </w:tcPr>
          <w:p w14:paraId="231763F2">
            <w:pPr>
              <w:widowControl/>
              <w:spacing w:line="240" w:lineRule="auto"/>
              <w:jc w:val="center"/>
              <w:rPr>
                <w:color w:val="A6A6A6" w:themeColor="background1" w:themeShade="A6"/>
                <w:sz w:val="21"/>
                <w:szCs w:val="21"/>
              </w:rPr>
            </w:pPr>
          </w:p>
        </w:tc>
        <w:tc>
          <w:tcPr>
            <w:tcW w:w="2226" w:type="dxa"/>
            <w:tcBorders>
              <w:tl2br w:val="nil"/>
              <w:tr2bl w:val="nil"/>
            </w:tcBorders>
            <w:vAlign w:val="center"/>
          </w:tcPr>
          <w:p w14:paraId="099E161B">
            <w:pPr>
              <w:widowControl/>
              <w:spacing w:line="240" w:lineRule="auto"/>
              <w:jc w:val="center"/>
              <w:rPr>
                <w:color w:val="A6A6A6" w:themeColor="background1" w:themeShade="A6"/>
                <w:sz w:val="21"/>
                <w:szCs w:val="21"/>
              </w:rPr>
            </w:pPr>
            <w:r>
              <w:rPr>
                <w:rFonts w:hint="eastAsia"/>
                <w:color w:val="A6A6A6" w:themeColor="background1" w:themeShade="A6"/>
                <w:sz w:val="21"/>
                <w:szCs w:val="21"/>
              </w:rPr>
              <w:t>检测段终点阀井</w:t>
            </w:r>
          </w:p>
        </w:tc>
      </w:tr>
      <w:tr w14:paraId="439F9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tcPr>
          <w:p w14:paraId="4E036442">
            <w:pPr>
              <w:widowControl/>
              <w:spacing w:line="240" w:lineRule="auto"/>
              <w:jc w:val="left"/>
              <w:rPr>
                <w:sz w:val="21"/>
                <w:szCs w:val="21"/>
              </w:rPr>
            </w:pPr>
          </w:p>
        </w:tc>
        <w:tc>
          <w:tcPr>
            <w:tcW w:w="1345" w:type="dxa"/>
            <w:tcBorders>
              <w:tl2br w:val="nil"/>
              <w:tr2bl w:val="nil"/>
            </w:tcBorders>
          </w:tcPr>
          <w:p w14:paraId="6519A7AF">
            <w:pPr>
              <w:widowControl/>
              <w:spacing w:line="240" w:lineRule="auto"/>
              <w:jc w:val="left"/>
              <w:rPr>
                <w:color w:val="A6A6A6" w:themeColor="background1" w:themeShade="A6"/>
                <w:sz w:val="21"/>
                <w:szCs w:val="21"/>
              </w:rPr>
            </w:pPr>
          </w:p>
        </w:tc>
        <w:tc>
          <w:tcPr>
            <w:tcW w:w="1288" w:type="dxa"/>
            <w:tcBorders>
              <w:tl2br w:val="nil"/>
              <w:tr2bl w:val="nil"/>
            </w:tcBorders>
          </w:tcPr>
          <w:p w14:paraId="0BA2814F">
            <w:pPr>
              <w:widowControl/>
              <w:spacing w:line="240" w:lineRule="auto"/>
              <w:jc w:val="left"/>
              <w:rPr>
                <w:color w:val="A6A6A6" w:themeColor="background1" w:themeShade="A6"/>
                <w:sz w:val="21"/>
                <w:szCs w:val="21"/>
              </w:rPr>
            </w:pPr>
          </w:p>
        </w:tc>
        <w:tc>
          <w:tcPr>
            <w:tcW w:w="1181" w:type="dxa"/>
            <w:tcBorders>
              <w:tl2br w:val="nil"/>
              <w:tr2bl w:val="nil"/>
            </w:tcBorders>
          </w:tcPr>
          <w:p w14:paraId="07922BAD">
            <w:pPr>
              <w:widowControl/>
              <w:spacing w:line="240" w:lineRule="auto"/>
              <w:jc w:val="left"/>
              <w:rPr>
                <w:color w:val="A6A6A6" w:themeColor="background1" w:themeShade="A6"/>
                <w:sz w:val="21"/>
                <w:szCs w:val="21"/>
              </w:rPr>
            </w:pPr>
          </w:p>
        </w:tc>
        <w:tc>
          <w:tcPr>
            <w:tcW w:w="1244" w:type="dxa"/>
            <w:tcBorders>
              <w:tl2br w:val="nil"/>
              <w:tr2bl w:val="nil"/>
            </w:tcBorders>
          </w:tcPr>
          <w:p w14:paraId="12540C59">
            <w:pPr>
              <w:widowControl/>
              <w:spacing w:line="240" w:lineRule="auto"/>
              <w:jc w:val="left"/>
              <w:rPr>
                <w:color w:val="A6A6A6" w:themeColor="background1" w:themeShade="A6"/>
                <w:sz w:val="21"/>
                <w:szCs w:val="21"/>
              </w:rPr>
            </w:pPr>
          </w:p>
        </w:tc>
        <w:tc>
          <w:tcPr>
            <w:tcW w:w="2226" w:type="dxa"/>
            <w:tcBorders>
              <w:tl2br w:val="nil"/>
              <w:tr2bl w:val="nil"/>
            </w:tcBorders>
          </w:tcPr>
          <w:p w14:paraId="07702272">
            <w:pPr>
              <w:widowControl/>
              <w:spacing w:line="240" w:lineRule="auto"/>
              <w:jc w:val="left"/>
              <w:rPr>
                <w:color w:val="A6A6A6" w:themeColor="background1" w:themeShade="A6"/>
                <w:sz w:val="21"/>
                <w:szCs w:val="21"/>
              </w:rPr>
            </w:pPr>
          </w:p>
        </w:tc>
      </w:tr>
      <w:tr w14:paraId="3C50C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tcPr>
          <w:p w14:paraId="7E9A2643">
            <w:pPr>
              <w:widowControl/>
              <w:spacing w:line="240" w:lineRule="auto"/>
              <w:jc w:val="left"/>
              <w:rPr>
                <w:sz w:val="21"/>
                <w:szCs w:val="21"/>
              </w:rPr>
            </w:pPr>
          </w:p>
        </w:tc>
        <w:tc>
          <w:tcPr>
            <w:tcW w:w="1345" w:type="dxa"/>
            <w:tcBorders>
              <w:tl2br w:val="nil"/>
              <w:tr2bl w:val="nil"/>
            </w:tcBorders>
          </w:tcPr>
          <w:p w14:paraId="3B70A8B1">
            <w:pPr>
              <w:widowControl/>
              <w:spacing w:line="240" w:lineRule="auto"/>
              <w:jc w:val="left"/>
              <w:rPr>
                <w:color w:val="A6A6A6" w:themeColor="background1" w:themeShade="A6"/>
                <w:sz w:val="21"/>
                <w:szCs w:val="21"/>
              </w:rPr>
            </w:pPr>
          </w:p>
        </w:tc>
        <w:tc>
          <w:tcPr>
            <w:tcW w:w="1288" w:type="dxa"/>
            <w:tcBorders>
              <w:tl2br w:val="nil"/>
              <w:tr2bl w:val="nil"/>
            </w:tcBorders>
          </w:tcPr>
          <w:p w14:paraId="61DAC572">
            <w:pPr>
              <w:widowControl/>
              <w:spacing w:line="240" w:lineRule="auto"/>
              <w:jc w:val="left"/>
              <w:rPr>
                <w:color w:val="A6A6A6" w:themeColor="background1" w:themeShade="A6"/>
                <w:sz w:val="21"/>
                <w:szCs w:val="21"/>
              </w:rPr>
            </w:pPr>
          </w:p>
        </w:tc>
        <w:tc>
          <w:tcPr>
            <w:tcW w:w="1181" w:type="dxa"/>
            <w:tcBorders>
              <w:tl2br w:val="nil"/>
              <w:tr2bl w:val="nil"/>
            </w:tcBorders>
          </w:tcPr>
          <w:p w14:paraId="08CDF00A">
            <w:pPr>
              <w:widowControl/>
              <w:spacing w:line="240" w:lineRule="auto"/>
              <w:jc w:val="left"/>
              <w:rPr>
                <w:color w:val="A6A6A6" w:themeColor="background1" w:themeShade="A6"/>
                <w:sz w:val="21"/>
                <w:szCs w:val="21"/>
              </w:rPr>
            </w:pPr>
          </w:p>
        </w:tc>
        <w:tc>
          <w:tcPr>
            <w:tcW w:w="1244" w:type="dxa"/>
            <w:tcBorders>
              <w:tl2br w:val="nil"/>
              <w:tr2bl w:val="nil"/>
            </w:tcBorders>
          </w:tcPr>
          <w:p w14:paraId="71C80DA0">
            <w:pPr>
              <w:widowControl/>
              <w:spacing w:line="240" w:lineRule="auto"/>
              <w:jc w:val="left"/>
              <w:rPr>
                <w:color w:val="A6A6A6" w:themeColor="background1" w:themeShade="A6"/>
                <w:sz w:val="21"/>
                <w:szCs w:val="21"/>
              </w:rPr>
            </w:pPr>
          </w:p>
        </w:tc>
        <w:tc>
          <w:tcPr>
            <w:tcW w:w="2226" w:type="dxa"/>
            <w:tcBorders>
              <w:tl2br w:val="nil"/>
              <w:tr2bl w:val="nil"/>
            </w:tcBorders>
          </w:tcPr>
          <w:p w14:paraId="18EAF598">
            <w:pPr>
              <w:widowControl/>
              <w:spacing w:line="240" w:lineRule="auto"/>
              <w:jc w:val="left"/>
              <w:rPr>
                <w:color w:val="A6A6A6" w:themeColor="background1" w:themeShade="A6"/>
                <w:sz w:val="21"/>
                <w:szCs w:val="21"/>
              </w:rPr>
            </w:pPr>
          </w:p>
        </w:tc>
      </w:tr>
      <w:tr w14:paraId="4558A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tcPr>
          <w:p w14:paraId="612F9F80">
            <w:pPr>
              <w:widowControl/>
              <w:spacing w:line="240" w:lineRule="auto"/>
              <w:jc w:val="left"/>
              <w:rPr>
                <w:sz w:val="21"/>
                <w:szCs w:val="21"/>
              </w:rPr>
            </w:pPr>
          </w:p>
        </w:tc>
        <w:tc>
          <w:tcPr>
            <w:tcW w:w="1345" w:type="dxa"/>
            <w:tcBorders>
              <w:tl2br w:val="nil"/>
              <w:tr2bl w:val="nil"/>
            </w:tcBorders>
          </w:tcPr>
          <w:p w14:paraId="338DD6E6">
            <w:pPr>
              <w:widowControl/>
              <w:spacing w:line="240" w:lineRule="auto"/>
              <w:jc w:val="left"/>
              <w:rPr>
                <w:color w:val="A6A6A6" w:themeColor="background1" w:themeShade="A6"/>
                <w:sz w:val="21"/>
                <w:szCs w:val="21"/>
              </w:rPr>
            </w:pPr>
          </w:p>
        </w:tc>
        <w:tc>
          <w:tcPr>
            <w:tcW w:w="1288" w:type="dxa"/>
            <w:tcBorders>
              <w:tl2br w:val="nil"/>
              <w:tr2bl w:val="nil"/>
            </w:tcBorders>
          </w:tcPr>
          <w:p w14:paraId="01E03F6B">
            <w:pPr>
              <w:widowControl/>
              <w:spacing w:line="240" w:lineRule="auto"/>
              <w:jc w:val="left"/>
              <w:rPr>
                <w:color w:val="A6A6A6" w:themeColor="background1" w:themeShade="A6"/>
                <w:sz w:val="21"/>
                <w:szCs w:val="21"/>
              </w:rPr>
            </w:pPr>
          </w:p>
        </w:tc>
        <w:tc>
          <w:tcPr>
            <w:tcW w:w="1181" w:type="dxa"/>
            <w:tcBorders>
              <w:tl2br w:val="nil"/>
              <w:tr2bl w:val="nil"/>
            </w:tcBorders>
          </w:tcPr>
          <w:p w14:paraId="67133783">
            <w:pPr>
              <w:widowControl/>
              <w:spacing w:line="240" w:lineRule="auto"/>
              <w:jc w:val="left"/>
              <w:rPr>
                <w:color w:val="A6A6A6" w:themeColor="background1" w:themeShade="A6"/>
                <w:sz w:val="21"/>
                <w:szCs w:val="21"/>
              </w:rPr>
            </w:pPr>
          </w:p>
        </w:tc>
        <w:tc>
          <w:tcPr>
            <w:tcW w:w="1244" w:type="dxa"/>
            <w:tcBorders>
              <w:tl2br w:val="nil"/>
              <w:tr2bl w:val="nil"/>
            </w:tcBorders>
          </w:tcPr>
          <w:p w14:paraId="0938DBF1">
            <w:pPr>
              <w:widowControl/>
              <w:spacing w:line="240" w:lineRule="auto"/>
              <w:jc w:val="left"/>
              <w:rPr>
                <w:color w:val="A6A6A6" w:themeColor="background1" w:themeShade="A6"/>
                <w:sz w:val="21"/>
                <w:szCs w:val="21"/>
              </w:rPr>
            </w:pPr>
          </w:p>
        </w:tc>
        <w:tc>
          <w:tcPr>
            <w:tcW w:w="2226" w:type="dxa"/>
            <w:tcBorders>
              <w:tl2br w:val="nil"/>
              <w:tr2bl w:val="nil"/>
            </w:tcBorders>
          </w:tcPr>
          <w:p w14:paraId="38E9BFFE">
            <w:pPr>
              <w:widowControl/>
              <w:spacing w:line="240" w:lineRule="auto"/>
              <w:jc w:val="left"/>
              <w:rPr>
                <w:color w:val="A6A6A6" w:themeColor="background1" w:themeShade="A6"/>
                <w:sz w:val="21"/>
                <w:szCs w:val="21"/>
              </w:rPr>
            </w:pPr>
          </w:p>
        </w:tc>
      </w:tr>
      <w:tr w14:paraId="0C333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tcPr>
          <w:p w14:paraId="350946DE">
            <w:pPr>
              <w:widowControl/>
              <w:spacing w:line="240" w:lineRule="auto"/>
              <w:jc w:val="left"/>
              <w:rPr>
                <w:sz w:val="21"/>
                <w:szCs w:val="21"/>
              </w:rPr>
            </w:pPr>
          </w:p>
        </w:tc>
        <w:tc>
          <w:tcPr>
            <w:tcW w:w="1345" w:type="dxa"/>
            <w:tcBorders>
              <w:tl2br w:val="nil"/>
              <w:tr2bl w:val="nil"/>
            </w:tcBorders>
          </w:tcPr>
          <w:p w14:paraId="43BDF613">
            <w:pPr>
              <w:widowControl/>
              <w:spacing w:line="240" w:lineRule="auto"/>
              <w:jc w:val="left"/>
              <w:rPr>
                <w:color w:val="A6A6A6" w:themeColor="background1" w:themeShade="A6"/>
                <w:sz w:val="21"/>
                <w:szCs w:val="21"/>
              </w:rPr>
            </w:pPr>
          </w:p>
        </w:tc>
        <w:tc>
          <w:tcPr>
            <w:tcW w:w="1288" w:type="dxa"/>
            <w:tcBorders>
              <w:tl2br w:val="nil"/>
              <w:tr2bl w:val="nil"/>
            </w:tcBorders>
          </w:tcPr>
          <w:p w14:paraId="292FED9D">
            <w:pPr>
              <w:widowControl/>
              <w:spacing w:line="240" w:lineRule="auto"/>
              <w:jc w:val="left"/>
              <w:rPr>
                <w:color w:val="A6A6A6" w:themeColor="background1" w:themeShade="A6"/>
                <w:sz w:val="21"/>
                <w:szCs w:val="21"/>
              </w:rPr>
            </w:pPr>
          </w:p>
        </w:tc>
        <w:tc>
          <w:tcPr>
            <w:tcW w:w="1181" w:type="dxa"/>
            <w:tcBorders>
              <w:tl2br w:val="nil"/>
              <w:tr2bl w:val="nil"/>
            </w:tcBorders>
          </w:tcPr>
          <w:p w14:paraId="2B9E5DFA">
            <w:pPr>
              <w:widowControl/>
              <w:spacing w:line="240" w:lineRule="auto"/>
              <w:jc w:val="left"/>
              <w:rPr>
                <w:color w:val="A6A6A6" w:themeColor="background1" w:themeShade="A6"/>
                <w:sz w:val="21"/>
                <w:szCs w:val="21"/>
              </w:rPr>
            </w:pPr>
          </w:p>
        </w:tc>
        <w:tc>
          <w:tcPr>
            <w:tcW w:w="1244" w:type="dxa"/>
            <w:tcBorders>
              <w:tl2br w:val="nil"/>
              <w:tr2bl w:val="nil"/>
            </w:tcBorders>
          </w:tcPr>
          <w:p w14:paraId="2C0EF789">
            <w:pPr>
              <w:widowControl/>
              <w:spacing w:line="240" w:lineRule="auto"/>
              <w:jc w:val="left"/>
              <w:rPr>
                <w:color w:val="A6A6A6" w:themeColor="background1" w:themeShade="A6"/>
                <w:sz w:val="21"/>
                <w:szCs w:val="21"/>
              </w:rPr>
            </w:pPr>
          </w:p>
        </w:tc>
        <w:tc>
          <w:tcPr>
            <w:tcW w:w="2226" w:type="dxa"/>
            <w:tcBorders>
              <w:tl2br w:val="nil"/>
              <w:tr2bl w:val="nil"/>
            </w:tcBorders>
          </w:tcPr>
          <w:p w14:paraId="46980E5A">
            <w:pPr>
              <w:widowControl/>
              <w:spacing w:line="240" w:lineRule="auto"/>
              <w:jc w:val="left"/>
              <w:rPr>
                <w:color w:val="A6A6A6" w:themeColor="background1" w:themeShade="A6"/>
                <w:sz w:val="21"/>
                <w:szCs w:val="21"/>
              </w:rPr>
            </w:pPr>
          </w:p>
        </w:tc>
      </w:tr>
      <w:tr w14:paraId="7DBCA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tcPr>
          <w:p w14:paraId="4913F698">
            <w:pPr>
              <w:widowControl/>
              <w:spacing w:line="240" w:lineRule="auto"/>
              <w:jc w:val="left"/>
              <w:rPr>
                <w:sz w:val="21"/>
                <w:szCs w:val="21"/>
              </w:rPr>
            </w:pPr>
          </w:p>
        </w:tc>
        <w:tc>
          <w:tcPr>
            <w:tcW w:w="1345" w:type="dxa"/>
            <w:tcBorders>
              <w:tl2br w:val="nil"/>
              <w:tr2bl w:val="nil"/>
            </w:tcBorders>
          </w:tcPr>
          <w:p w14:paraId="222D84B6">
            <w:pPr>
              <w:widowControl/>
              <w:spacing w:line="240" w:lineRule="auto"/>
              <w:jc w:val="left"/>
              <w:rPr>
                <w:color w:val="A6A6A6" w:themeColor="background1" w:themeShade="A6"/>
                <w:sz w:val="21"/>
                <w:szCs w:val="21"/>
              </w:rPr>
            </w:pPr>
          </w:p>
        </w:tc>
        <w:tc>
          <w:tcPr>
            <w:tcW w:w="1288" w:type="dxa"/>
            <w:tcBorders>
              <w:tl2br w:val="nil"/>
              <w:tr2bl w:val="nil"/>
            </w:tcBorders>
          </w:tcPr>
          <w:p w14:paraId="344A6B45">
            <w:pPr>
              <w:widowControl/>
              <w:spacing w:line="240" w:lineRule="auto"/>
              <w:jc w:val="left"/>
              <w:rPr>
                <w:color w:val="A6A6A6" w:themeColor="background1" w:themeShade="A6"/>
                <w:sz w:val="21"/>
                <w:szCs w:val="21"/>
              </w:rPr>
            </w:pPr>
          </w:p>
        </w:tc>
        <w:tc>
          <w:tcPr>
            <w:tcW w:w="1181" w:type="dxa"/>
            <w:tcBorders>
              <w:tl2br w:val="nil"/>
              <w:tr2bl w:val="nil"/>
            </w:tcBorders>
          </w:tcPr>
          <w:p w14:paraId="28A256DA">
            <w:pPr>
              <w:widowControl/>
              <w:spacing w:line="240" w:lineRule="auto"/>
              <w:jc w:val="left"/>
              <w:rPr>
                <w:color w:val="A6A6A6" w:themeColor="background1" w:themeShade="A6"/>
                <w:sz w:val="21"/>
                <w:szCs w:val="21"/>
              </w:rPr>
            </w:pPr>
          </w:p>
        </w:tc>
        <w:tc>
          <w:tcPr>
            <w:tcW w:w="1244" w:type="dxa"/>
            <w:tcBorders>
              <w:tl2br w:val="nil"/>
              <w:tr2bl w:val="nil"/>
            </w:tcBorders>
          </w:tcPr>
          <w:p w14:paraId="60A8D301">
            <w:pPr>
              <w:widowControl/>
              <w:spacing w:line="240" w:lineRule="auto"/>
              <w:jc w:val="left"/>
              <w:rPr>
                <w:color w:val="A6A6A6" w:themeColor="background1" w:themeShade="A6"/>
                <w:sz w:val="21"/>
                <w:szCs w:val="21"/>
              </w:rPr>
            </w:pPr>
          </w:p>
        </w:tc>
        <w:tc>
          <w:tcPr>
            <w:tcW w:w="2226" w:type="dxa"/>
            <w:tcBorders>
              <w:tl2br w:val="nil"/>
              <w:tr2bl w:val="nil"/>
            </w:tcBorders>
          </w:tcPr>
          <w:p w14:paraId="6F751CA3">
            <w:pPr>
              <w:widowControl/>
              <w:spacing w:line="240" w:lineRule="auto"/>
              <w:jc w:val="left"/>
              <w:rPr>
                <w:color w:val="A6A6A6" w:themeColor="background1" w:themeShade="A6"/>
                <w:sz w:val="21"/>
                <w:szCs w:val="21"/>
              </w:rPr>
            </w:pPr>
          </w:p>
        </w:tc>
      </w:tr>
      <w:tr w14:paraId="104FC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tcPr>
          <w:p w14:paraId="73F9EB38">
            <w:pPr>
              <w:widowControl/>
              <w:spacing w:line="240" w:lineRule="auto"/>
              <w:jc w:val="left"/>
              <w:rPr>
                <w:sz w:val="21"/>
                <w:szCs w:val="21"/>
              </w:rPr>
            </w:pPr>
          </w:p>
        </w:tc>
        <w:tc>
          <w:tcPr>
            <w:tcW w:w="1345" w:type="dxa"/>
            <w:tcBorders>
              <w:tl2br w:val="nil"/>
              <w:tr2bl w:val="nil"/>
            </w:tcBorders>
          </w:tcPr>
          <w:p w14:paraId="07ABF5EA">
            <w:pPr>
              <w:widowControl/>
              <w:spacing w:line="240" w:lineRule="auto"/>
              <w:jc w:val="left"/>
              <w:rPr>
                <w:color w:val="A6A6A6" w:themeColor="background1" w:themeShade="A6"/>
                <w:sz w:val="21"/>
                <w:szCs w:val="21"/>
              </w:rPr>
            </w:pPr>
          </w:p>
        </w:tc>
        <w:tc>
          <w:tcPr>
            <w:tcW w:w="1288" w:type="dxa"/>
            <w:tcBorders>
              <w:tl2br w:val="nil"/>
              <w:tr2bl w:val="nil"/>
            </w:tcBorders>
          </w:tcPr>
          <w:p w14:paraId="7EDC382A">
            <w:pPr>
              <w:widowControl/>
              <w:spacing w:line="240" w:lineRule="auto"/>
              <w:jc w:val="left"/>
              <w:rPr>
                <w:color w:val="A6A6A6" w:themeColor="background1" w:themeShade="A6"/>
                <w:sz w:val="21"/>
                <w:szCs w:val="21"/>
              </w:rPr>
            </w:pPr>
          </w:p>
        </w:tc>
        <w:tc>
          <w:tcPr>
            <w:tcW w:w="1181" w:type="dxa"/>
            <w:tcBorders>
              <w:tl2br w:val="nil"/>
              <w:tr2bl w:val="nil"/>
            </w:tcBorders>
          </w:tcPr>
          <w:p w14:paraId="6E05DF47">
            <w:pPr>
              <w:widowControl/>
              <w:spacing w:line="240" w:lineRule="auto"/>
              <w:jc w:val="left"/>
              <w:rPr>
                <w:color w:val="A6A6A6" w:themeColor="background1" w:themeShade="A6"/>
                <w:sz w:val="21"/>
                <w:szCs w:val="21"/>
              </w:rPr>
            </w:pPr>
          </w:p>
        </w:tc>
        <w:tc>
          <w:tcPr>
            <w:tcW w:w="1244" w:type="dxa"/>
            <w:tcBorders>
              <w:tl2br w:val="nil"/>
              <w:tr2bl w:val="nil"/>
            </w:tcBorders>
          </w:tcPr>
          <w:p w14:paraId="3D463323">
            <w:pPr>
              <w:widowControl/>
              <w:spacing w:line="240" w:lineRule="auto"/>
              <w:jc w:val="left"/>
              <w:rPr>
                <w:color w:val="A6A6A6" w:themeColor="background1" w:themeShade="A6"/>
                <w:sz w:val="21"/>
                <w:szCs w:val="21"/>
              </w:rPr>
            </w:pPr>
          </w:p>
        </w:tc>
        <w:tc>
          <w:tcPr>
            <w:tcW w:w="2226" w:type="dxa"/>
            <w:tcBorders>
              <w:tl2br w:val="nil"/>
              <w:tr2bl w:val="nil"/>
            </w:tcBorders>
          </w:tcPr>
          <w:p w14:paraId="273E7243">
            <w:pPr>
              <w:widowControl/>
              <w:spacing w:line="240" w:lineRule="auto"/>
              <w:jc w:val="left"/>
              <w:rPr>
                <w:color w:val="A6A6A6" w:themeColor="background1" w:themeShade="A6"/>
                <w:sz w:val="21"/>
                <w:szCs w:val="21"/>
              </w:rPr>
            </w:pPr>
          </w:p>
        </w:tc>
      </w:tr>
      <w:tr w14:paraId="3791A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Borders>
              <w:tl2br w:val="nil"/>
              <w:tr2bl w:val="nil"/>
            </w:tcBorders>
          </w:tcPr>
          <w:p w14:paraId="69D71C10">
            <w:pPr>
              <w:widowControl/>
              <w:spacing w:line="240" w:lineRule="auto"/>
              <w:jc w:val="left"/>
              <w:rPr>
                <w:sz w:val="21"/>
                <w:szCs w:val="21"/>
              </w:rPr>
            </w:pPr>
          </w:p>
        </w:tc>
        <w:tc>
          <w:tcPr>
            <w:tcW w:w="1345" w:type="dxa"/>
            <w:tcBorders>
              <w:tl2br w:val="nil"/>
              <w:tr2bl w:val="nil"/>
            </w:tcBorders>
          </w:tcPr>
          <w:p w14:paraId="1EDCEDC0">
            <w:pPr>
              <w:widowControl/>
              <w:spacing w:line="240" w:lineRule="auto"/>
              <w:jc w:val="left"/>
              <w:rPr>
                <w:color w:val="A6A6A6" w:themeColor="background1" w:themeShade="A6"/>
                <w:sz w:val="21"/>
                <w:szCs w:val="21"/>
              </w:rPr>
            </w:pPr>
          </w:p>
        </w:tc>
        <w:tc>
          <w:tcPr>
            <w:tcW w:w="1288" w:type="dxa"/>
            <w:tcBorders>
              <w:tl2br w:val="nil"/>
              <w:tr2bl w:val="nil"/>
            </w:tcBorders>
          </w:tcPr>
          <w:p w14:paraId="7D8CFAF1">
            <w:pPr>
              <w:widowControl/>
              <w:spacing w:line="240" w:lineRule="auto"/>
              <w:jc w:val="left"/>
              <w:rPr>
                <w:color w:val="A6A6A6" w:themeColor="background1" w:themeShade="A6"/>
                <w:sz w:val="21"/>
                <w:szCs w:val="21"/>
              </w:rPr>
            </w:pPr>
          </w:p>
        </w:tc>
        <w:tc>
          <w:tcPr>
            <w:tcW w:w="1181" w:type="dxa"/>
            <w:tcBorders>
              <w:tl2br w:val="nil"/>
              <w:tr2bl w:val="nil"/>
            </w:tcBorders>
          </w:tcPr>
          <w:p w14:paraId="44FAC3F3">
            <w:pPr>
              <w:widowControl/>
              <w:spacing w:line="240" w:lineRule="auto"/>
              <w:jc w:val="left"/>
              <w:rPr>
                <w:color w:val="A6A6A6" w:themeColor="background1" w:themeShade="A6"/>
                <w:sz w:val="21"/>
                <w:szCs w:val="21"/>
              </w:rPr>
            </w:pPr>
          </w:p>
        </w:tc>
        <w:tc>
          <w:tcPr>
            <w:tcW w:w="1244" w:type="dxa"/>
            <w:tcBorders>
              <w:tl2br w:val="nil"/>
              <w:tr2bl w:val="nil"/>
            </w:tcBorders>
          </w:tcPr>
          <w:p w14:paraId="47929820">
            <w:pPr>
              <w:widowControl/>
              <w:spacing w:line="240" w:lineRule="auto"/>
              <w:jc w:val="left"/>
              <w:rPr>
                <w:color w:val="A6A6A6" w:themeColor="background1" w:themeShade="A6"/>
                <w:sz w:val="21"/>
                <w:szCs w:val="21"/>
              </w:rPr>
            </w:pPr>
          </w:p>
        </w:tc>
        <w:tc>
          <w:tcPr>
            <w:tcW w:w="2226" w:type="dxa"/>
            <w:tcBorders>
              <w:tl2br w:val="nil"/>
              <w:tr2bl w:val="nil"/>
            </w:tcBorders>
          </w:tcPr>
          <w:p w14:paraId="49B876C8">
            <w:pPr>
              <w:widowControl/>
              <w:spacing w:line="240" w:lineRule="auto"/>
              <w:jc w:val="left"/>
              <w:rPr>
                <w:color w:val="A6A6A6" w:themeColor="background1" w:themeShade="A6"/>
                <w:sz w:val="21"/>
                <w:szCs w:val="21"/>
              </w:rPr>
            </w:pPr>
          </w:p>
        </w:tc>
      </w:tr>
    </w:tbl>
    <w:p w14:paraId="07A03FE3">
      <w:pPr>
        <w:widowControl/>
        <w:spacing w:line="240" w:lineRule="auto"/>
        <w:ind w:left="630" w:hanging="630" w:hangingChars="300"/>
        <w:jc w:val="left"/>
        <w:rPr>
          <w:sz w:val="21"/>
          <w:szCs w:val="21"/>
        </w:rPr>
      </w:pPr>
      <w:r>
        <w:rPr>
          <w:rFonts w:hint="eastAsia"/>
          <w:sz w:val="21"/>
          <w:szCs w:val="21"/>
        </w:rPr>
        <w:t>注：1</w:t>
      </w:r>
      <w:r>
        <w:rPr>
          <w:rFonts w:hint="eastAsia" w:ascii="宋体" w:hAnsi="宋体" w:eastAsia="宋体" w:cs="宋体"/>
          <w:sz w:val="21"/>
          <w:szCs w:val="21"/>
        </w:rPr>
        <w:t>.</w:t>
      </w:r>
      <w:r>
        <w:rPr>
          <w:rFonts w:hint="eastAsia"/>
          <w:sz w:val="21"/>
          <w:szCs w:val="21"/>
        </w:rPr>
        <w:t>管道编号：从检测段起点阀井至终点阀井连续编号，每节PCCP编一个号，连续的钢管只编一个号；</w:t>
      </w:r>
    </w:p>
    <w:p w14:paraId="629FC702">
      <w:pPr>
        <w:widowControl/>
        <w:spacing w:line="240" w:lineRule="auto"/>
        <w:ind w:left="1021" w:leftChars="163" w:hanging="630" w:hangingChars="300"/>
        <w:jc w:val="left"/>
        <w:rPr>
          <w:sz w:val="21"/>
          <w:szCs w:val="21"/>
        </w:rPr>
      </w:pPr>
      <w:r>
        <w:rPr>
          <w:rFonts w:hint="eastAsia"/>
          <w:sz w:val="21"/>
          <w:szCs w:val="21"/>
        </w:rPr>
        <w:t>2</w:t>
      </w:r>
      <w:r>
        <w:rPr>
          <w:rFonts w:hint="eastAsia" w:ascii="宋体" w:hAnsi="宋体" w:eastAsia="宋体" w:cs="宋体"/>
          <w:sz w:val="21"/>
          <w:szCs w:val="21"/>
        </w:rPr>
        <w:t>.</w:t>
      </w:r>
      <w:r>
        <w:rPr>
          <w:rFonts w:hint="eastAsia"/>
          <w:sz w:val="21"/>
          <w:szCs w:val="21"/>
        </w:rPr>
        <w:t>里程计读数：检测段中管材发生变化后起始位置里程计的读数；</w:t>
      </w:r>
    </w:p>
    <w:p w14:paraId="00B85452">
      <w:pPr>
        <w:widowControl/>
        <w:spacing w:line="240" w:lineRule="auto"/>
        <w:ind w:left="391" w:leftChars="163"/>
        <w:rPr>
          <w:sz w:val="21"/>
          <w:szCs w:val="21"/>
        </w:rPr>
      </w:pPr>
      <w:r>
        <w:rPr>
          <w:rFonts w:hint="eastAsia"/>
          <w:sz w:val="21"/>
          <w:szCs w:val="21"/>
        </w:rPr>
        <w:t>3</w:t>
      </w:r>
      <w:r>
        <w:rPr>
          <w:rFonts w:hint="eastAsia" w:ascii="宋体" w:hAnsi="宋体" w:eastAsia="宋体" w:cs="宋体"/>
          <w:sz w:val="21"/>
          <w:szCs w:val="21"/>
        </w:rPr>
        <w:t>.</w:t>
      </w:r>
      <w:r>
        <w:rPr>
          <w:rFonts w:hint="eastAsia"/>
          <w:sz w:val="21"/>
          <w:szCs w:val="21"/>
        </w:rPr>
        <w:t>文件名：检测数据在电脑中保存的文件名，如检测中断，重启检测时应新建文件名；</w:t>
      </w:r>
    </w:p>
    <w:p w14:paraId="4CE92ECA">
      <w:pPr>
        <w:widowControl/>
        <w:spacing w:line="240" w:lineRule="auto"/>
        <w:ind w:left="391" w:leftChars="163"/>
        <w:jc w:val="left"/>
        <w:rPr>
          <w:sz w:val="21"/>
          <w:szCs w:val="21"/>
        </w:rPr>
      </w:pPr>
      <w:r>
        <w:rPr>
          <w:rFonts w:hint="eastAsia"/>
          <w:sz w:val="21"/>
          <w:szCs w:val="21"/>
        </w:rPr>
        <w:t>4</w:t>
      </w:r>
      <w:r>
        <w:rPr>
          <w:rFonts w:hint="eastAsia" w:ascii="宋体" w:hAnsi="宋体" w:eastAsia="宋体" w:cs="宋体"/>
          <w:sz w:val="21"/>
          <w:szCs w:val="21"/>
        </w:rPr>
        <w:t>.</w:t>
      </w:r>
      <w:r>
        <w:rPr>
          <w:rFonts w:hint="eastAsia"/>
          <w:sz w:val="21"/>
          <w:szCs w:val="21"/>
        </w:rPr>
        <w:t>备注：注明特征物名称，管内目视检查发现的较严重问题，检测信号异常等。</w:t>
      </w:r>
    </w:p>
    <w:p w14:paraId="0C66A7D1">
      <w:pPr>
        <w:pStyle w:val="2"/>
        <w:ind w:firstLine="240"/>
      </w:pPr>
    </w:p>
    <w:p w14:paraId="742C60CA">
      <w:pPr>
        <w:pStyle w:val="2"/>
        <w:ind w:left="0" w:firstLine="0" w:firstLineChars="0"/>
        <w:rPr>
          <w:rFonts w:cs="Times New Roman"/>
          <w:bCs/>
          <w:color w:val="000000"/>
          <w:sz w:val="21"/>
        </w:rPr>
      </w:pPr>
      <w:r>
        <w:rPr>
          <w:rFonts w:hint="eastAsia" w:cs="宋体"/>
          <w:sz w:val="21"/>
        </w:rPr>
        <w:t>检测员：</w:t>
      </w:r>
      <w:r>
        <w:rPr>
          <w:rFonts w:hint="eastAsia" w:cs="宋体"/>
          <w:sz w:val="21"/>
          <w:u w:val="single"/>
        </w:rPr>
        <w:t xml:space="preserve">       </w:t>
      </w:r>
      <w:r>
        <w:rPr>
          <w:rFonts w:cs="宋体"/>
          <w:sz w:val="21"/>
        </w:rPr>
        <w:t xml:space="preserve">  </w:t>
      </w:r>
      <w:r>
        <w:rPr>
          <w:rFonts w:hint="eastAsia" w:cs="宋体"/>
          <w:sz w:val="21"/>
        </w:rPr>
        <w:t>记录员：</w:t>
      </w:r>
      <w:r>
        <w:rPr>
          <w:rFonts w:hint="eastAsia" w:cs="宋体"/>
          <w:sz w:val="21"/>
          <w:u w:val="single"/>
        </w:rPr>
        <w:t xml:space="preserve">         </w:t>
      </w:r>
      <w:r>
        <w:rPr>
          <w:rFonts w:hint="eastAsia" w:cs="宋体"/>
          <w:sz w:val="21"/>
        </w:rPr>
        <w:t xml:space="preserve"> </w:t>
      </w:r>
      <w:r>
        <w:rPr>
          <w:rFonts w:cs="宋体"/>
          <w:sz w:val="21"/>
        </w:rPr>
        <w:t xml:space="preserve"> </w:t>
      </w:r>
      <w:r>
        <w:rPr>
          <w:rFonts w:hint="eastAsia" w:cs="宋体"/>
          <w:sz w:val="21"/>
        </w:rPr>
        <w:t>校核员：</w:t>
      </w:r>
      <w:r>
        <w:rPr>
          <w:rFonts w:hint="eastAsia" w:cs="宋体"/>
          <w:sz w:val="21"/>
          <w:u w:val="single"/>
        </w:rPr>
        <w:t xml:space="preserve">          </w:t>
      </w:r>
      <w:r>
        <w:rPr>
          <w:rFonts w:hint="eastAsia" w:cs="宋体"/>
          <w:sz w:val="21"/>
        </w:rPr>
        <w:t xml:space="preserve">   </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14:paraId="0C0B8D34">
      <w:pPr>
        <w:rPr>
          <w:szCs w:val="24"/>
        </w:rPr>
      </w:pPr>
    </w:p>
    <w:p w14:paraId="6555B34E">
      <w:pPr>
        <w:rPr>
          <w:szCs w:val="24"/>
        </w:rPr>
      </w:pPr>
      <w:r>
        <w:rPr>
          <w:szCs w:val="24"/>
        </w:rPr>
        <w:br w:type="page"/>
      </w:r>
    </w:p>
    <w:p w14:paraId="6D9E84A0">
      <w:r>
        <w:rPr>
          <w:rFonts w:hint="eastAsia"/>
          <w:b/>
          <w:bCs/>
        </w:rPr>
        <w:t>A.0.5　</w:t>
      </w:r>
      <w:r>
        <w:rPr>
          <w:rFonts w:hint="eastAsia" w:eastAsia="宋体" w:cs="Times New Roman"/>
          <w:color w:val="000000"/>
          <w:szCs w:val="24"/>
        </w:rPr>
        <w:t>给水管道</w:t>
      </w:r>
      <w:r>
        <w:rPr>
          <w:rFonts w:hint="eastAsia"/>
        </w:rPr>
        <w:t>噪声管内检测记录应按表A.0.5填写。</w:t>
      </w:r>
    </w:p>
    <w:p w14:paraId="253A418E">
      <w:pPr>
        <w:pStyle w:val="105"/>
      </w:pPr>
      <w:r>
        <w:rPr>
          <w:rFonts w:hint="eastAsia"/>
        </w:rPr>
        <w:t>表A.0.5　给水管道噪声管内检测记录表</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4"/>
        <w:gridCol w:w="1185"/>
        <w:gridCol w:w="1303"/>
        <w:gridCol w:w="1266"/>
        <w:gridCol w:w="1104"/>
        <w:gridCol w:w="1295"/>
      </w:tblGrid>
      <w:tr w14:paraId="4931B9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85" w:type="dxa"/>
            <w:tcBorders>
              <w:tl2br w:val="nil"/>
              <w:tr2bl w:val="nil"/>
            </w:tcBorders>
            <w:vAlign w:val="center"/>
          </w:tcPr>
          <w:p w14:paraId="41822B5B">
            <w:pPr>
              <w:spacing w:line="240" w:lineRule="auto"/>
              <w:jc w:val="center"/>
              <w:rPr>
                <w:sz w:val="21"/>
                <w:szCs w:val="21"/>
              </w:rPr>
            </w:pPr>
            <w:r>
              <w:rPr>
                <w:rFonts w:hint="eastAsia"/>
                <w:sz w:val="21"/>
                <w:szCs w:val="21"/>
              </w:rPr>
              <w:t>项目名称</w:t>
            </w:r>
          </w:p>
        </w:tc>
        <w:tc>
          <w:tcPr>
            <w:tcW w:w="3672" w:type="dxa"/>
            <w:gridSpan w:val="3"/>
            <w:tcBorders>
              <w:tl2br w:val="nil"/>
              <w:tr2bl w:val="nil"/>
            </w:tcBorders>
            <w:vAlign w:val="center"/>
          </w:tcPr>
          <w:p w14:paraId="58234CA3">
            <w:pPr>
              <w:spacing w:line="240" w:lineRule="auto"/>
              <w:jc w:val="center"/>
              <w:rPr>
                <w:sz w:val="21"/>
                <w:szCs w:val="21"/>
              </w:rPr>
            </w:pPr>
          </w:p>
        </w:tc>
        <w:tc>
          <w:tcPr>
            <w:tcW w:w="1266" w:type="dxa"/>
            <w:tcBorders>
              <w:tl2br w:val="nil"/>
              <w:tr2bl w:val="nil"/>
            </w:tcBorders>
            <w:vAlign w:val="center"/>
          </w:tcPr>
          <w:p w14:paraId="0591E5B0">
            <w:pPr>
              <w:spacing w:line="240" w:lineRule="auto"/>
              <w:jc w:val="center"/>
              <w:rPr>
                <w:sz w:val="21"/>
                <w:szCs w:val="21"/>
              </w:rPr>
            </w:pPr>
            <w:r>
              <w:rPr>
                <w:rFonts w:hint="eastAsia"/>
                <w:sz w:val="21"/>
                <w:szCs w:val="21"/>
              </w:rPr>
              <w:t>管线名称</w:t>
            </w:r>
          </w:p>
        </w:tc>
        <w:tc>
          <w:tcPr>
            <w:tcW w:w="2399" w:type="dxa"/>
            <w:gridSpan w:val="2"/>
            <w:tcBorders>
              <w:tl2br w:val="nil"/>
              <w:tr2bl w:val="nil"/>
            </w:tcBorders>
            <w:vAlign w:val="center"/>
          </w:tcPr>
          <w:p w14:paraId="64C9F650">
            <w:pPr>
              <w:spacing w:line="240" w:lineRule="auto"/>
              <w:jc w:val="center"/>
              <w:rPr>
                <w:sz w:val="21"/>
                <w:szCs w:val="21"/>
              </w:rPr>
            </w:pPr>
          </w:p>
        </w:tc>
      </w:tr>
      <w:tr w14:paraId="209EA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5" w:type="dxa"/>
            <w:tcBorders>
              <w:tl2br w:val="nil"/>
              <w:tr2bl w:val="nil"/>
            </w:tcBorders>
            <w:vAlign w:val="center"/>
          </w:tcPr>
          <w:p w14:paraId="6C4B1C6C">
            <w:pPr>
              <w:spacing w:line="240" w:lineRule="auto"/>
              <w:jc w:val="center"/>
              <w:rPr>
                <w:sz w:val="21"/>
                <w:szCs w:val="21"/>
              </w:rPr>
            </w:pPr>
            <w:r>
              <w:rPr>
                <w:rFonts w:hint="eastAsia"/>
                <w:sz w:val="21"/>
                <w:szCs w:val="21"/>
              </w:rPr>
              <w:t>投球点设施</w:t>
            </w:r>
          </w:p>
        </w:tc>
        <w:tc>
          <w:tcPr>
            <w:tcW w:w="3672" w:type="dxa"/>
            <w:gridSpan w:val="3"/>
            <w:tcBorders>
              <w:tl2br w:val="nil"/>
              <w:tr2bl w:val="nil"/>
            </w:tcBorders>
            <w:vAlign w:val="center"/>
          </w:tcPr>
          <w:p w14:paraId="13F1D465">
            <w:pPr>
              <w:spacing w:line="240" w:lineRule="auto"/>
              <w:jc w:val="center"/>
              <w:rPr>
                <w:sz w:val="21"/>
                <w:szCs w:val="21"/>
              </w:rPr>
            </w:pPr>
          </w:p>
        </w:tc>
        <w:tc>
          <w:tcPr>
            <w:tcW w:w="1266" w:type="dxa"/>
            <w:tcBorders>
              <w:tl2br w:val="nil"/>
              <w:tr2bl w:val="nil"/>
            </w:tcBorders>
            <w:vAlign w:val="center"/>
          </w:tcPr>
          <w:p w14:paraId="692C09AC">
            <w:pPr>
              <w:spacing w:line="240" w:lineRule="auto"/>
              <w:jc w:val="center"/>
              <w:rPr>
                <w:sz w:val="21"/>
                <w:szCs w:val="21"/>
              </w:rPr>
            </w:pPr>
            <w:r>
              <w:rPr>
                <w:rFonts w:hint="eastAsia"/>
                <w:sz w:val="21"/>
                <w:szCs w:val="21"/>
              </w:rPr>
              <w:t>收球点设施</w:t>
            </w:r>
          </w:p>
        </w:tc>
        <w:tc>
          <w:tcPr>
            <w:tcW w:w="2399" w:type="dxa"/>
            <w:gridSpan w:val="2"/>
            <w:tcBorders>
              <w:tl2br w:val="nil"/>
              <w:tr2bl w:val="nil"/>
            </w:tcBorders>
            <w:vAlign w:val="center"/>
          </w:tcPr>
          <w:p w14:paraId="1E61E4C5">
            <w:pPr>
              <w:spacing w:line="240" w:lineRule="auto"/>
              <w:jc w:val="center"/>
              <w:rPr>
                <w:sz w:val="21"/>
                <w:szCs w:val="21"/>
              </w:rPr>
            </w:pPr>
          </w:p>
        </w:tc>
      </w:tr>
      <w:tr w14:paraId="630D2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85" w:type="dxa"/>
            <w:tcBorders>
              <w:tl2br w:val="nil"/>
              <w:tr2bl w:val="nil"/>
            </w:tcBorders>
            <w:vAlign w:val="center"/>
          </w:tcPr>
          <w:p w14:paraId="1F76AD6D">
            <w:pPr>
              <w:spacing w:line="240" w:lineRule="auto"/>
              <w:jc w:val="center"/>
              <w:rPr>
                <w:sz w:val="21"/>
                <w:szCs w:val="21"/>
              </w:rPr>
            </w:pPr>
            <w:r>
              <w:rPr>
                <w:rFonts w:hint="eastAsia"/>
                <w:sz w:val="21"/>
                <w:szCs w:val="21"/>
              </w:rPr>
              <w:t>编号</w:t>
            </w:r>
          </w:p>
        </w:tc>
        <w:tc>
          <w:tcPr>
            <w:tcW w:w="1184" w:type="dxa"/>
            <w:tcBorders>
              <w:tl2br w:val="nil"/>
              <w:tr2bl w:val="nil"/>
            </w:tcBorders>
            <w:vAlign w:val="center"/>
          </w:tcPr>
          <w:p w14:paraId="6F794DFE">
            <w:pPr>
              <w:spacing w:line="240" w:lineRule="auto"/>
              <w:jc w:val="center"/>
              <w:rPr>
                <w:sz w:val="21"/>
                <w:szCs w:val="21"/>
              </w:rPr>
            </w:pPr>
            <w:r>
              <w:rPr>
                <w:rFonts w:hint="eastAsia"/>
                <w:sz w:val="21"/>
                <w:szCs w:val="21"/>
              </w:rPr>
              <w:t>设施名称</w:t>
            </w:r>
          </w:p>
        </w:tc>
        <w:tc>
          <w:tcPr>
            <w:tcW w:w="1185" w:type="dxa"/>
            <w:tcBorders>
              <w:tl2br w:val="nil"/>
              <w:tr2bl w:val="nil"/>
            </w:tcBorders>
            <w:vAlign w:val="center"/>
          </w:tcPr>
          <w:p w14:paraId="30EA586A">
            <w:pPr>
              <w:spacing w:line="240" w:lineRule="auto"/>
              <w:jc w:val="center"/>
              <w:rPr>
                <w:sz w:val="21"/>
                <w:szCs w:val="21"/>
              </w:rPr>
            </w:pPr>
            <w:r>
              <w:rPr>
                <w:rFonts w:hint="eastAsia"/>
                <w:sz w:val="21"/>
                <w:szCs w:val="21"/>
              </w:rPr>
              <w:t>设施编号</w:t>
            </w:r>
          </w:p>
        </w:tc>
        <w:tc>
          <w:tcPr>
            <w:tcW w:w="1303" w:type="dxa"/>
            <w:tcBorders>
              <w:tl2br w:val="nil"/>
              <w:tr2bl w:val="nil"/>
            </w:tcBorders>
            <w:vAlign w:val="center"/>
          </w:tcPr>
          <w:p w14:paraId="2E399C68">
            <w:pPr>
              <w:spacing w:line="240" w:lineRule="auto"/>
              <w:jc w:val="center"/>
              <w:rPr>
                <w:sz w:val="21"/>
                <w:szCs w:val="21"/>
              </w:rPr>
            </w:pPr>
            <w:r>
              <w:rPr>
                <w:rFonts w:hint="eastAsia"/>
                <w:sz w:val="21"/>
                <w:szCs w:val="21"/>
              </w:rPr>
              <w:t>GPS坐标</w:t>
            </w:r>
          </w:p>
        </w:tc>
        <w:tc>
          <w:tcPr>
            <w:tcW w:w="1266" w:type="dxa"/>
            <w:tcBorders>
              <w:tl2br w:val="nil"/>
              <w:tr2bl w:val="nil"/>
            </w:tcBorders>
            <w:vAlign w:val="center"/>
          </w:tcPr>
          <w:p w14:paraId="69909B8E">
            <w:pPr>
              <w:spacing w:line="240" w:lineRule="auto"/>
              <w:jc w:val="center"/>
              <w:rPr>
                <w:sz w:val="21"/>
                <w:szCs w:val="21"/>
              </w:rPr>
            </w:pPr>
            <w:r>
              <w:rPr>
                <w:rFonts w:hint="eastAsia"/>
                <w:sz w:val="21"/>
                <w:szCs w:val="21"/>
              </w:rPr>
              <w:t>管内检测设备经过时间</w:t>
            </w:r>
          </w:p>
        </w:tc>
        <w:tc>
          <w:tcPr>
            <w:tcW w:w="1104" w:type="dxa"/>
            <w:tcBorders>
              <w:tl2br w:val="nil"/>
              <w:tr2bl w:val="nil"/>
            </w:tcBorders>
            <w:vAlign w:val="center"/>
          </w:tcPr>
          <w:p w14:paraId="0F62511A">
            <w:pPr>
              <w:spacing w:line="240" w:lineRule="auto"/>
              <w:jc w:val="center"/>
              <w:rPr>
                <w:sz w:val="21"/>
                <w:szCs w:val="21"/>
              </w:rPr>
            </w:pPr>
            <w:r>
              <w:rPr>
                <w:rFonts w:hint="eastAsia"/>
                <w:sz w:val="21"/>
                <w:szCs w:val="21"/>
              </w:rPr>
              <w:t>跟踪组编号</w:t>
            </w:r>
          </w:p>
        </w:tc>
        <w:tc>
          <w:tcPr>
            <w:tcW w:w="1295" w:type="dxa"/>
            <w:tcBorders>
              <w:tl2br w:val="nil"/>
              <w:tr2bl w:val="nil"/>
            </w:tcBorders>
            <w:vAlign w:val="center"/>
          </w:tcPr>
          <w:p w14:paraId="62BC464B">
            <w:pPr>
              <w:spacing w:line="240" w:lineRule="auto"/>
              <w:jc w:val="center"/>
              <w:rPr>
                <w:sz w:val="21"/>
                <w:szCs w:val="21"/>
              </w:rPr>
            </w:pPr>
            <w:r>
              <w:rPr>
                <w:rFonts w:hint="eastAsia"/>
                <w:sz w:val="21"/>
                <w:szCs w:val="21"/>
              </w:rPr>
              <w:t>备注</w:t>
            </w:r>
          </w:p>
        </w:tc>
      </w:tr>
      <w:tr w14:paraId="657E7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tcBorders>
              <w:tl2br w:val="nil"/>
              <w:tr2bl w:val="nil"/>
            </w:tcBorders>
            <w:vAlign w:val="center"/>
          </w:tcPr>
          <w:p w14:paraId="12B9C7A6">
            <w:pPr>
              <w:spacing w:line="240" w:lineRule="auto"/>
              <w:jc w:val="center"/>
              <w:rPr>
                <w:sz w:val="21"/>
                <w:szCs w:val="21"/>
              </w:rPr>
            </w:pPr>
            <w:r>
              <w:rPr>
                <w:rFonts w:hint="eastAsia"/>
                <w:sz w:val="21"/>
                <w:szCs w:val="21"/>
              </w:rPr>
              <w:t>1</w:t>
            </w:r>
          </w:p>
        </w:tc>
        <w:tc>
          <w:tcPr>
            <w:tcW w:w="1184" w:type="dxa"/>
            <w:tcBorders>
              <w:tl2br w:val="nil"/>
              <w:tr2bl w:val="nil"/>
            </w:tcBorders>
            <w:vAlign w:val="center"/>
          </w:tcPr>
          <w:p w14:paraId="632FEFF3">
            <w:pPr>
              <w:spacing w:line="240" w:lineRule="auto"/>
              <w:jc w:val="center"/>
              <w:rPr>
                <w:color w:val="A6A6A6" w:themeColor="background1" w:themeShade="A6"/>
                <w:sz w:val="21"/>
                <w:szCs w:val="21"/>
              </w:rPr>
            </w:pPr>
          </w:p>
        </w:tc>
        <w:tc>
          <w:tcPr>
            <w:tcW w:w="1185" w:type="dxa"/>
            <w:tcBorders>
              <w:tl2br w:val="nil"/>
              <w:tr2bl w:val="nil"/>
            </w:tcBorders>
            <w:vAlign w:val="center"/>
          </w:tcPr>
          <w:p w14:paraId="5C1C9B98">
            <w:pPr>
              <w:spacing w:line="240" w:lineRule="auto"/>
              <w:jc w:val="center"/>
              <w:rPr>
                <w:color w:val="A6A6A6" w:themeColor="background1" w:themeShade="A6"/>
                <w:sz w:val="21"/>
                <w:szCs w:val="21"/>
              </w:rPr>
            </w:pPr>
          </w:p>
        </w:tc>
        <w:tc>
          <w:tcPr>
            <w:tcW w:w="1303" w:type="dxa"/>
            <w:tcBorders>
              <w:tl2br w:val="nil"/>
              <w:tr2bl w:val="nil"/>
            </w:tcBorders>
            <w:vAlign w:val="center"/>
          </w:tcPr>
          <w:p w14:paraId="3D6C3C1A">
            <w:pPr>
              <w:spacing w:line="240" w:lineRule="auto"/>
              <w:jc w:val="center"/>
              <w:rPr>
                <w:color w:val="A6A6A6" w:themeColor="background1" w:themeShade="A6"/>
                <w:sz w:val="21"/>
                <w:szCs w:val="21"/>
              </w:rPr>
            </w:pPr>
          </w:p>
        </w:tc>
        <w:tc>
          <w:tcPr>
            <w:tcW w:w="1266" w:type="dxa"/>
            <w:tcBorders>
              <w:tl2br w:val="nil"/>
              <w:tr2bl w:val="nil"/>
            </w:tcBorders>
            <w:vAlign w:val="center"/>
          </w:tcPr>
          <w:p w14:paraId="29D42155">
            <w:pPr>
              <w:spacing w:line="240" w:lineRule="auto"/>
              <w:jc w:val="center"/>
              <w:rPr>
                <w:color w:val="A6A6A6" w:themeColor="background1" w:themeShade="A6"/>
                <w:sz w:val="21"/>
                <w:szCs w:val="21"/>
              </w:rPr>
            </w:pPr>
          </w:p>
        </w:tc>
        <w:tc>
          <w:tcPr>
            <w:tcW w:w="1104" w:type="dxa"/>
            <w:tcBorders>
              <w:tl2br w:val="nil"/>
              <w:tr2bl w:val="nil"/>
            </w:tcBorders>
            <w:vAlign w:val="center"/>
          </w:tcPr>
          <w:p w14:paraId="359DBEF9">
            <w:pPr>
              <w:spacing w:line="240" w:lineRule="auto"/>
              <w:jc w:val="center"/>
              <w:rPr>
                <w:color w:val="A6A6A6" w:themeColor="background1" w:themeShade="A6"/>
                <w:sz w:val="21"/>
                <w:szCs w:val="21"/>
              </w:rPr>
            </w:pPr>
            <w:r>
              <w:rPr>
                <w:rFonts w:hint="eastAsia"/>
                <w:color w:val="A6A6A6" w:themeColor="background1" w:themeShade="A6"/>
                <w:sz w:val="21"/>
                <w:szCs w:val="21"/>
              </w:rPr>
              <w:t>第1组</w:t>
            </w:r>
          </w:p>
        </w:tc>
        <w:tc>
          <w:tcPr>
            <w:tcW w:w="1295" w:type="dxa"/>
            <w:tcBorders>
              <w:tl2br w:val="nil"/>
              <w:tr2bl w:val="nil"/>
            </w:tcBorders>
            <w:vAlign w:val="center"/>
          </w:tcPr>
          <w:p w14:paraId="35F609DE">
            <w:pPr>
              <w:spacing w:line="240" w:lineRule="auto"/>
              <w:jc w:val="center"/>
              <w:rPr>
                <w:color w:val="A6A6A6" w:themeColor="background1" w:themeShade="A6"/>
                <w:sz w:val="21"/>
                <w:szCs w:val="21"/>
              </w:rPr>
            </w:pPr>
            <w:r>
              <w:rPr>
                <w:rFonts w:hint="eastAsia"/>
                <w:color w:val="A6A6A6" w:themeColor="background1" w:themeShade="A6"/>
                <w:sz w:val="21"/>
                <w:szCs w:val="21"/>
              </w:rPr>
              <w:t>投球点</w:t>
            </w:r>
          </w:p>
        </w:tc>
      </w:tr>
      <w:tr w14:paraId="00D5B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tcBorders>
              <w:tl2br w:val="nil"/>
              <w:tr2bl w:val="nil"/>
            </w:tcBorders>
            <w:vAlign w:val="center"/>
          </w:tcPr>
          <w:p w14:paraId="507DD6BC">
            <w:pPr>
              <w:spacing w:line="240" w:lineRule="auto"/>
              <w:jc w:val="center"/>
              <w:rPr>
                <w:sz w:val="21"/>
                <w:szCs w:val="21"/>
              </w:rPr>
            </w:pPr>
            <w:r>
              <w:rPr>
                <w:rFonts w:hint="eastAsia"/>
                <w:sz w:val="21"/>
                <w:szCs w:val="21"/>
              </w:rPr>
              <w:t>2</w:t>
            </w:r>
          </w:p>
        </w:tc>
        <w:tc>
          <w:tcPr>
            <w:tcW w:w="1184" w:type="dxa"/>
            <w:tcBorders>
              <w:tl2br w:val="nil"/>
              <w:tr2bl w:val="nil"/>
            </w:tcBorders>
            <w:vAlign w:val="center"/>
          </w:tcPr>
          <w:p w14:paraId="1A9C3B23">
            <w:pPr>
              <w:spacing w:line="240" w:lineRule="auto"/>
              <w:jc w:val="center"/>
              <w:rPr>
                <w:color w:val="A6A6A6" w:themeColor="background1" w:themeShade="A6"/>
                <w:sz w:val="21"/>
                <w:szCs w:val="21"/>
              </w:rPr>
            </w:pPr>
          </w:p>
        </w:tc>
        <w:tc>
          <w:tcPr>
            <w:tcW w:w="1185" w:type="dxa"/>
            <w:tcBorders>
              <w:tl2br w:val="nil"/>
              <w:tr2bl w:val="nil"/>
            </w:tcBorders>
            <w:vAlign w:val="center"/>
          </w:tcPr>
          <w:p w14:paraId="776E8409">
            <w:pPr>
              <w:spacing w:line="240" w:lineRule="auto"/>
              <w:jc w:val="center"/>
              <w:rPr>
                <w:color w:val="A6A6A6" w:themeColor="background1" w:themeShade="A6"/>
                <w:sz w:val="21"/>
                <w:szCs w:val="21"/>
              </w:rPr>
            </w:pPr>
          </w:p>
        </w:tc>
        <w:tc>
          <w:tcPr>
            <w:tcW w:w="1303" w:type="dxa"/>
            <w:tcBorders>
              <w:tl2br w:val="nil"/>
              <w:tr2bl w:val="nil"/>
            </w:tcBorders>
            <w:vAlign w:val="center"/>
          </w:tcPr>
          <w:p w14:paraId="363F8106">
            <w:pPr>
              <w:spacing w:line="240" w:lineRule="auto"/>
              <w:jc w:val="center"/>
              <w:rPr>
                <w:color w:val="A6A6A6" w:themeColor="background1" w:themeShade="A6"/>
                <w:sz w:val="21"/>
                <w:szCs w:val="21"/>
              </w:rPr>
            </w:pPr>
          </w:p>
        </w:tc>
        <w:tc>
          <w:tcPr>
            <w:tcW w:w="1266" w:type="dxa"/>
            <w:tcBorders>
              <w:tl2br w:val="nil"/>
              <w:tr2bl w:val="nil"/>
            </w:tcBorders>
            <w:vAlign w:val="center"/>
          </w:tcPr>
          <w:p w14:paraId="1BC0CACF">
            <w:pPr>
              <w:spacing w:line="240" w:lineRule="auto"/>
              <w:jc w:val="center"/>
              <w:rPr>
                <w:color w:val="A6A6A6" w:themeColor="background1" w:themeShade="A6"/>
                <w:sz w:val="21"/>
                <w:szCs w:val="21"/>
              </w:rPr>
            </w:pPr>
          </w:p>
        </w:tc>
        <w:tc>
          <w:tcPr>
            <w:tcW w:w="1104" w:type="dxa"/>
            <w:tcBorders>
              <w:tl2br w:val="nil"/>
              <w:tr2bl w:val="nil"/>
            </w:tcBorders>
            <w:vAlign w:val="center"/>
          </w:tcPr>
          <w:p w14:paraId="38A6BD02">
            <w:pPr>
              <w:spacing w:line="240" w:lineRule="auto"/>
              <w:jc w:val="center"/>
              <w:rPr>
                <w:color w:val="A6A6A6" w:themeColor="background1" w:themeShade="A6"/>
                <w:sz w:val="21"/>
                <w:szCs w:val="21"/>
              </w:rPr>
            </w:pPr>
            <w:r>
              <w:rPr>
                <w:rFonts w:hint="eastAsia"/>
                <w:color w:val="A6A6A6" w:themeColor="background1" w:themeShade="A6"/>
                <w:sz w:val="21"/>
                <w:szCs w:val="21"/>
              </w:rPr>
              <w:t>第2组</w:t>
            </w:r>
          </w:p>
        </w:tc>
        <w:tc>
          <w:tcPr>
            <w:tcW w:w="1295" w:type="dxa"/>
            <w:tcBorders>
              <w:tl2br w:val="nil"/>
              <w:tr2bl w:val="nil"/>
            </w:tcBorders>
            <w:vAlign w:val="center"/>
          </w:tcPr>
          <w:p w14:paraId="5FCBE80C">
            <w:pPr>
              <w:spacing w:line="240" w:lineRule="auto"/>
              <w:jc w:val="center"/>
              <w:rPr>
                <w:color w:val="A6A6A6" w:themeColor="background1" w:themeShade="A6"/>
                <w:sz w:val="21"/>
                <w:szCs w:val="21"/>
              </w:rPr>
            </w:pPr>
          </w:p>
        </w:tc>
      </w:tr>
      <w:tr w14:paraId="1B979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tcBorders>
              <w:tl2br w:val="nil"/>
              <w:tr2bl w:val="nil"/>
            </w:tcBorders>
            <w:vAlign w:val="center"/>
          </w:tcPr>
          <w:p w14:paraId="79E53521">
            <w:pPr>
              <w:spacing w:line="240" w:lineRule="auto"/>
              <w:jc w:val="center"/>
              <w:rPr>
                <w:sz w:val="21"/>
                <w:szCs w:val="21"/>
              </w:rPr>
            </w:pPr>
            <w:r>
              <w:rPr>
                <w:rFonts w:hint="eastAsia"/>
                <w:sz w:val="21"/>
                <w:szCs w:val="21"/>
              </w:rPr>
              <w:t>3</w:t>
            </w:r>
          </w:p>
        </w:tc>
        <w:tc>
          <w:tcPr>
            <w:tcW w:w="1184" w:type="dxa"/>
            <w:tcBorders>
              <w:tl2br w:val="nil"/>
              <w:tr2bl w:val="nil"/>
            </w:tcBorders>
            <w:vAlign w:val="center"/>
          </w:tcPr>
          <w:p w14:paraId="65CE41CA">
            <w:pPr>
              <w:spacing w:line="240" w:lineRule="auto"/>
              <w:jc w:val="center"/>
              <w:rPr>
                <w:color w:val="A6A6A6" w:themeColor="background1" w:themeShade="A6"/>
                <w:sz w:val="21"/>
                <w:szCs w:val="21"/>
              </w:rPr>
            </w:pPr>
          </w:p>
        </w:tc>
        <w:tc>
          <w:tcPr>
            <w:tcW w:w="1185" w:type="dxa"/>
            <w:tcBorders>
              <w:tl2br w:val="nil"/>
              <w:tr2bl w:val="nil"/>
            </w:tcBorders>
            <w:vAlign w:val="center"/>
          </w:tcPr>
          <w:p w14:paraId="5040EC19">
            <w:pPr>
              <w:spacing w:line="240" w:lineRule="auto"/>
              <w:jc w:val="center"/>
              <w:rPr>
                <w:color w:val="A6A6A6" w:themeColor="background1" w:themeShade="A6"/>
                <w:sz w:val="21"/>
                <w:szCs w:val="21"/>
              </w:rPr>
            </w:pPr>
          </w:p>
        </w:tc>
        <w:tc>
          <w:tcPr>
            <w:tcW w:w="1303" w:type="dxa"/>
            <w:tcBorders>
              <w:tl2br w:val="nil"/>
              <w:tr2bl w:val="nil"/>
            </w:tcBorders>
            <w:vAlign w:val="center"/>
          </w:tcPr>
          <w:p w14:paraId="6FEA99AC">
            <w:pPr>
              <w:spacing w:line="240" w:lineRule="auto"/>
              <w:jc w:val="center"/>
              <w:rPr>
                <w:color w:val="A6A6A6" w:themeColor="background1" w:themeShade="A6"/>
                <w:sz w:val="21"/>
                <w:szCs w:val="21"/>
              </w:rPr>
            </w:pPr>
          </w:p>
        </w:tc>
        <w:tc>
          <w:tcPr>
            <w:tcW w:w="1266" w:type="dxa"/>
            <w:tcBorders>
              <w:tl2br w:val="nil"/>
              <w:tr2bl w:val="nil"/>
            </w:tcBorders>
            <w:vAlign w:val="center"/>
          </w:tcPr>
          <w:p w14:paraId="29F6D17F">
            <w:pPr>
              <w:spacing w:line="240" w:lineRule="auto"/>
              <w:jc w:val="center"/>
              <w:rPr>
                <w:color w:val="A6A6A6" w:themeColor="background1" w:themeShade="A6"/>
                <w:sz w:val="21"/>
                <w:szCs w:val="21"/>
              </w:rPr>
            </w:pPr>
          </w:p>
        </w:tc>
        <w:tc>
          <w:tcPr>
            <w:tcW w:w="1104" w:type="dxa"/>
            <w:tcBorders>
              <w:tl2br w:val="nil"/>
              <w:tr2bl w:val="nil"/>
            </w:tcBorders>
            <w:vAlign w:val="center"/>
          </w:tcPr>
          <w:p w14:paraId="030DD632">
            <w:pPr>
              <w:spacing w:line="240" w:lineRule="auto"/>
              <w:jc w:val="center"/>
              <w:rPr>
                <w:color w:val="A6A6A6" w:themeColor="background1" w:themeShade="A6"/>
                <w:sz w:val="21"/>
                <w:szCs w:val="21"/>
              </w:rPr>
            </w:pPr>
            <w:r>
              <w:rPr>
                <w:rFonts w:hint="eastAsia"/>
                <w:color w:val="A6A6A6" w:themeColor="background1" w:themeShade="A6"/>
                <w:sz w:val="21"/>
                <w:szCs w:val="21"/>
              </w:rPr>
              <w:t>第3组</w:t>
            </w:r>
          </w:p>
        </w:tc>
        <w:tc>
          <w:tcPr>
            <w:tcW w:w="1295" w:type="dxa"/>
            <w:tcBorders>
              <w:tl2br w:val="nil"/>
              <w:tr2bl w:val="nil"/>
            </w:tcBorders>
            <w:vAlign w:val="center"/>
          </w:tcPr>
          <w:p w14:paraId="3D801A4A">
            <w:pPr>
              <w:spacing w:line="240" w:lineRule="auto"/>
              <w:jc w:val="center"/>
              <w:rPr>
                <w:color w:val="A6A6A6" w:themeColor="background1" w:themeShade="A6"/>
                <w:sz w:val="21"/>
                <w:szCs w:val="21"/>
              </w:rPr>
            </w:pPr>
          </w:p>
        </w:tc>
      </w:tr>
      <w:tr w14:paraId="2796D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tcBorders>
              <w:tl2br w:val="nil"/>
              <w:tr2bl w:val="nil"/>
            </w:tcBorders>
            <w:vAlign w:val="center"/>
          </w:tcPr>
          <w:p w14:paraId="3AFF86AE">
            <w:pPr>
              <w:spacing w:line="240" w:lineRule="auto"/>
              <w:jc w:val="center"/>
              <w:rPr>
                <w:sz w:val="21"/>
                <w:szCs w:val="21"/>
              </w:rPr>
            </w:pPr>
            <w:r>
              <w:rPr>
                <w:rFonts w:hint="eastAsia"/>
                <w:sz w:val="21"/>
                <w:szCs w:val="21"/>
              </w:rPr>
              <w:t>4</w:t>
            </w:r>
          </w:p>
        </w:tc>
        <w:tc>
          <w:tcPr>
            <w:tcW w:w="1184" w:type="dxa"/>
            <w:tcBorders>
              <w:tl2br w:val="nil"/>
              <w:tr2bl w:val="nil"/>
            </w:tcBorders>
            <w:vAlign w:val="center"/>
          </w:tcPr>
          <w:p w14:paraId="3C9BF8DD">
            <w:pPr>
              <w:spacing w:line="240" w:lineRule="auto"/>
              <w:jc w:val="center"/>
              <w:rPr>
                <w:color w:val="A6A6A6" w:themeColor="background1" w:themeShade="A6"/>
                <w:sz w:val="21"/>
                <w:szCs w:val="21"/>
              </w:rPr>
            </w:pPr>
          </w:p>
        </w:tc>
        <w:tc>
          <w:tcPr>
            <w:tcW w:w="1185" w:type="dxa"/>
            <w:tcBorders>
              <w:tl2br w:val="nil"/>
              <w:tr2bl w:val="nil"/>
            </w:tcBorders>
            <w:vAlign w:val="center"/>
          </w:tcPr>
          <w:p w14:paraId="22C3412B">
            <w:pPr>
              <w:spacing w:line="240" w:lineRule="auto"/>
              <w:jc w:val="center"/>
              <w:rPr>
                <w:color w:val="A6A6A6" w:themeColor="background1" w:themeShade="A6"/>
                <w:sz w:val="21"/>
                <w:szCs w:val="21"/>
              </w:rPr>
            </w:pPr>
          </w:p>
        </w:tc>
        <w:tc>
          <w:tcPr>
            <w:tcW w:w="1303" w:type="dxa"/>
            <w:tcBorders>
              <w:tl2br w:val="nil"/>
              <w:tr2bl w:val="nil"/>
            </w:tcBorders>
            <w:vAlign w:val="center"/>
          </w:tcPr>
          <w:p w14:paraId="3EC70148">
            <w:pPr>
              <w:spacing w:line="240" w:lineRule="auto"/>
              <w:jc w:val="center"/>
              <w:rPr>
                <w:color w:val="A6A6A6" w:themeColor="background1" w:themeShade="A6"/>
                <w:sz w:val="21"/>
                <w:szCs w:val="21"/>
              </w:rPr>
            </w:pPr>
          </w:p>
        </w:tc>
        <w:tc>
          <w:tcPr>
            <w:tcW w:w="1266" w:type="dxa"/>
            <w:tcBorders>
              <w:tl2br w:val="nil"/>
              <w:tr2bl w:val="nil"/>
            </w:tcBorders>
            <w:vAlign w:val="center"/>
          </w:tcPr>
          <w:p w14:paraId="6BC5350E">
            <w:pPr>
              <w:spacing w:line="240" w:lineRule="auto"/>
              <w:jc w:val="center"/>
              <w:rPr>
                <w:color w:val="A6A6A6" w:themeColor="background1" w:themeShade="A6"/>
                <w:sz w:val="21"/>
                <w:szCs w:val="21"/>
              </w:rPr>
            </w:pPr>
          </w:p>
        </w:tc>
        <w:tc>
          <w:tcPr>
            <w:tcW w:w="1104" w:type="dxa"/>
            <w:tcBorders>
              <w:tl2br w:val="nil"/>
              <w:tr2bl w:val="nil"/>
            </w:tcBorders>
            <w:vAlign w:val="center"/>
          </w:tcPr>
          <w:p w14:paraId="3825524C">
            <w:pPr>
              <w:spacing w:line="240" w:lineRule="auto"/>
              <w:jc w:val="center"/>
              <w:rPr>
                <w:color w:val="A6A6A6" w:themeColor="background1" w:themeShade="A6"/>
                <w:sz w:val="21"/>
                <w:szCs w:val="21"/>
              </w:rPr>
            </w:pPr>
            <w:r>
              <w:rPr>
                <w:rFonts w:hint="eastAsia"/>
                <w:color w:val="A6A6A6" w:themeColor="background1" w:themeShade="A6"/>
                <w:sz w:val="21"/>
                <w:szCs w:val="21"/>
              </w:rPr>
              <w:t>第1组</w:t>
            </w:r>
          </w:p>
        </w:tc>
        <w:tc>
          <w:tcPr>
            <w:tcW w:w="1295" w:type="dxa"/>
            <w:tcBorders>
              <w:tl2br w:val="nil"/>
              <w:tr2bl w:val="nil"/>
            </w:tcBorders>
            <w:vAlign w:val="center"/>
          </w:tcPr>
          <w:p w14:paraId="6D667CD8">
            <w:pPr>
              <w:spacing w:line="240" w:lineRule="auto"/>
              <w:jc w:val="center"/>
              <w:rPr>
                <w:color w:val="A6A6A6" w:themeColor="background1" w:themeShade="A6"/>
                <w:sz w:val="21"/>
                <w:szCs w:val="21"/>
              </w:rPr>
            </w:pPr>
          </w:p>
        </w:tc>
      </w:tr>
      <w:tr w14:paraId="48019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tcBorders>
              <w:tl2br w:val="nil"/>
              <w:tr2bl w:val="nil"/>
            </w:tcBorders>
            <w:vAlign w:val="center"/>
          </w:tcPr>
          <w:p w14:paraId="63EE4C34">
            <w:pPr>
              <w:spacing w:line="240" w:lineRule="auto"/>
              <w:jc w:val="center"/>
              <w:rPr>
                <w:sz w:val="21"/>
                <w:szCs w:val="21"/>
              </w:rPr>
            </w:pPr>
            <w:r>
              <w:rPr>
                <w:rFonts w:hint="eastAsia"/>
                <w:sz w:val="21"/>
                <w:szCs w:val="21"/>
              </w:rPr>
              <w:t>5</w:t>
            </w:r>
          </w:p>
        </w:tc>
        <w:tc>
          <w:tcPr>
            <w:tcW w:w="1184" w:type="dxa"/>
            <w:tcBorders>
              <w:tl2br w:val="nil"/>
              <w:tr2bl w:val="nil"/>
            </w:tcBorders>
            <w:vAlign w:val="center"/>
          </w:tcPr>
          <w:p w14:paraId="3238624E">
            <w:pPr>
              <w:spacing w:line="240" w:lineRule="auto"/>
              <w:jc w:val="center"/>
              <w:rPr>
                <w:color w:val="A6A6A6" w:themeColor="background1" w:themeShade="A6"/>
                <w:sz w:val="21"/>
                <w:szCs w:val="21"/>
              </w:rPr>
            </w:pPr>
          </w:p>
        </w:tc>
        <w:tc>
          <w:tcPr>
            <w:tcW w:w="1185" w:type="dxa"/>
            <w:tcBorders>
              <w:tl2br w:val="nil"/>
              <w:tr2bl w:val="nil"/>
            </w:tcBorders>
            <w:vAlign w:val="center"/>
          </w:tcPr>
          <w:p w14:paraId="122AAE72">
            <w:pPr>
              <w:spacing w:line="240" w:lineRule="auto"/>
              <w:jc w:val="center"/>
              <w:rPr>
                <w:color w:val="A6A6A6" w:themeColor="background1" w:themeShade="A6"/>
                <w:sz w:val="21"/>
                <w:szCs w:val="21"/>
              </w:rPr>
            </w:pPr>
          </w:p>
        </w:tc>
        <w:tc>
          <w:tcPr>
            <w:tcW w:w="1303" w:type="dxa"/>
            <w:tcBorders>
              <w:tl2br w:val="nil"/>
              <w:tr2bl w:val="nil"/>
            </w:tcBorders>
            <w:vAlign w:val="center"/>
          </w:tcPr>
          <w:p w14:paraId="77A5F96F">
            <w:pPr>
              <w:spacing w:line="240" w:lineRule="auto"/>
              <w:jc w:val="center"/>
              <w:rPr>
                <w:color w:val="A6A6A6" w:themeColor="background1" w:themeShade="A6"/>
                <w:sz w:val="21"/>
                <w:szCs w:val="21"/>
              </w:rPr>
            </w:pPr>
          </w:p>
        </w:tc>
        <w:tc>
          <w:tcPr>
            <w:tcW w:w="1266" w:type="dxa"/>
            <w:tcBorders>
              <w:tl2br w:val="nil"/>
              <w:tr2bl w:val="nil"/>
            </w:tcBorders>
            <w:vAlign w:val="center"/>
          </w:tcPr>
          <w:p w14:paraId="54A3C341">
            <w:pPr>
              <w:spacing w:line="240" w:lineRule="auto"/>
              <w:jc w:val="center"/>
              <w:rPr>
                <w:color w:val="A6A6A6" w:themeColor="background1" w:themeShade="A6"/>
                <w:sz w:val="21"/>
                <w:szCs w:val="21"/>
              </w:rPr>
            </w:pPr>
          </w:p>
        </w:tc>
        <w:tc>
          <w:tcPr>
            <w:tcW w:w="1104" w:type="dxa"/>
            <w:tcBorders>
              <w:tl2br w:val="nil"/>
              <w:tr2bl w:val="nil"/>
            </w:tcBorders>
            <w:vAlign w:val="center"/>
          </w:tcPr>
          <w:p w14:paraId="672EE7DA">
            <w:pPr>
              <w:spacing w:line="240" w:lineRule="auto"/>
              <w:jc w:val="center"/>
              <w:rPr>
                <w:color w:val="A6A6A6" w:themeColor="background1" w:themeShade="A6"/>
                <w:sz w:val="21"/>
                <w:szCs w:val="21"/>
              </w:rPr>
            </w:pPr>
            <w:r>
              <w:rPr>
                <w:rFonts w:hint="eastAsia"/>
                <w:color w:val="A6A6A6" w:themeColor="background1" w:themeShade="A6"/>
                <w:sz w:val="21"/>
                <w:szCs w:val="21"/>
              </w:rPr>
              <w:t>第2组</w:t>
            </w:r>
          </w:p>
        </w:tc>
        <w:tc>
          <w:tcPr>
            <w:tcW w:w="1295" w:type="dxa"/>
            <w:tcBorders>
              <w:tl2br w:val="nil"/>
              <w:tr2bl w:val="nil"/>
            </w:tcBorders>
            <w:vAlign w:val="center"/>
          </w:tcPr>
          <w:p w14:paraId="13D2B22F">
            <w:pPr>
              <w:spacing w:line="240" w:lineRule="auto"/>
              <w:jc w:val="center"/>
              <w:rPr>
                <w:color w:val="A6A6A6" w:themeColor="background1" w:themeShade="A6"/>
                <w:sz w:val="21"/>
                <w:szCs w:val="21"/>
              </w:rPr>
            </w:pPr>
          </w:p>
        </w:tc>
      </w:tr>
      <w:tr w14:paraId="25E59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tcBorders>
              <w:tl2br w:val="nil"/>
              <w:tr2bl w:val="nil"/>
            </w:tcBorders>
            <w:vAlign w:val="center"/>
          </w:tcPr>
          <w:p w14:paraId="7272A83C">
            <w:pPr>
              <w:spacing w:line="240" w:lineRule="auto"/>
              <w:jc w:val="center"/>
              <w:rPr>
                <w:sz w:val="21"/>
                <w:szCs w:val="21"/>
              </w:rPr>
            </w:pPr>
            <w:r>
              <w:rPr>
                <w:rFonts w:hint="eastAsia"/>
                <w:sz w:val="21"/>
                <w:szCs w:val="21"/>
              </w:rPr>
              <w:t>6</w:t>
            </w:r>
          </w:p>
        </w:tc>
        <w:tc>
          <w:tcPr>
            <w:tcW w:w="1184" w:type="dxa"/>
            <w:tcBorders>
              <w:tl2br w:val="nil"/>
              <w:tr2bl w:val="nil"/>
            </w:tcBorders>
            <w:vAlign w:val="center"/>
          </w:tcPr>
          <w:p w14:paraId="3424E12F">
            <w:pPr>
              <w:spacing w:line="240" w:lineRule="auto"/>
              <w:jc w:val="center"/>
              <w:rPr>
                <w:color w:val="A6A6A6" w:themeColor="background1" w:themeShade="A6"/>
                <w:sz w:val="21"/>
                <w:szCs w:val="21"/>
              </w:rPr>
            </w:pPr>
          </w:p>
        </w:tc>
        <w:tc>
          <w:tcPr>
            <w:tcW w:w="1185" w:type="dxa"/>
            <w:tcBorders>
              <w:tl2br w:val="nil"/>
              <w:tr2bl w:val="nil"/>
            </w:tcBorders>
            <w:vAlign w:val="center"/>
          </w:tcPr>
          <w:p w14:paraId="0B7BAC16">
            <w:pPr>
              <w:spacing w:line="240" w:lineRule="auto"/>
              <w:jc w:val="center"/>
              <w:rPr>
                <w:color w:val="A6A6A6" w:themeColor="background1" w:themeShade="A6"/>
                <w:sz w:val="21"/>
                <w:szCs w:val="21"/>
              </w:rPr>
            </w:pPr>
          </w:p>
        </w:tc>
        <w:tc>
          <w:tcPr>
            <w:tcW w:w="1303" w:type="dxa"/>
            <w:tcBorders>
              <w:tl2br w:val="nil"/>
              <w:tr2bl w:val="nil"/>
            </w:tcBorders>
            <w:vAlign w:val="center"/>
          </w:tcPr>
          <w:p w14:paraId="42A4FC11">
            <w:pPr>
              <w:spacing w:line="240" w:lineRule="auto"/>
              <w:jc w:val="center"/>
              <w:rPr>
                <w:color w:val="A6A6A6" w:themeColor="background1" w:themeShade="A6"/>
                <w:sz w:val="21"/>
                <w:szCs w:val="21"/>
              </w:rPr>
            </w:pPr>
          </w:p>
        </w:tc>
        <w:tc>
          <w:tcPr>
            <w:tcW w:w="1266" w:type="dxa"/>
            <w:tcBorders>
              <w:tl2br w:val="nil"/>
              <w:tr2bl w:val="nil"/>
            </w:tcBorders>
            <w:vAlign w:val="center"/>
          </w:tcPr>
          <w:p w14:paraId="22ABBF3C">
            <w:pPr>
              <w:spacing w:line="240" w:lineRule="auto"/>
              <w:jc w:val="center"/>
              <w:rPr>
                <w:color w:val="A6A6A6" w:themeColor="background1" w:themeShade="A6"/>
                <w:sz w:val="21"/>
                <w:szCs w:val="21"/>
              </w:rPr>
            </w:pPr>
          </w:p>
        </w:tc>
        <w:tc>
          <w:tcPr>
            <w:tcW w:w="1104" w:type="dxa"/>
            <w:tcBorders>
              <w:tl2br w:val="nil"/>
              <w:tr2bl w:val="nil"/>
            </w:tcBorders>
            <w:vAlign w:val="center"/>
          </w:tcPr>
          <w:p w14:paraId="4B2C7BF3">
            <w:pPr>
              <w:spacing w:line="240" w:lineRule="auto"/>
              <w:jc w:val="center"/>
              <w:rPr>
                <w:color w:val="A6A6A6" w:themeColor="background1" w:themeShade="A6"/>
                <w:sz w:val="21"/>
                <w:szCs w:val="21"/>
              </w:rPr>
            </w:pPr>
            <w:r>
              <w:rPr>
                <w:rFonts w:hint="eastAsia"/>
                <w:color w:val="A6A6A6" w:themeColor="background1" w:themeShade="A6"/>
                <w:sz w:val="21"/>
                <w:szCs w:val="21"/>
              </w:rPr>
              <w:t>第3组</w:t>
            </w:r>
          </w:p>
        </w:tc>
        <w:tc>
          <w:tcPr>
            <w:tcW w:w="1295" w:type="dxa"/>
            <w:tcBorders>
              <w:tl2br w:val="nil"/>
              <w:tr2bl w:val="nil"/>
            </w:tcBorders>
            <w:vAlign w:val="center"/>
          </w:tcPr>
          <w:p w14:paraId="1E587F49">
            <w:pPr>
              <w:spacing w:line="240" w:lineRule="auto"/>
              <w:jc w:val="center"/>
              <w:rPr>
                <w:color w:val="A6A6A6" w:themeColor="background1" w:themeShade="A6"/>
                <w:sz w:val="21"/>
                <w:szCs w:val="21"/>
              </w:rPr>
            </w:pPr>
          </w:p>
        </w:tc>
      </w:tr>
      <w:tr w14:paraId="4E244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tcBorders>
              <w:tl2br w:val="nil"/>
              <w:tr2bl w:val="nil"/>
            </w:tcBorders>
            <w:vAlign w:val="center"/>
          </w:tcPr>
          <w:p w14:paraId="6F3075AD">
            <w:pPr>
              <w:spacing w:line="240" w:lineRule="auto"/>
              <w:jc w:val="center"/>
              <w:rPr>
                <w:sz w:val="21"/>
                <w:szCs w:val="21"/>
              </w:rPr>
            </w:pPr>
            <w:r>
              <w:rPr>
                <w:sz w:val="21"/>
                <w:szCs w:val="21"/>
              </w:rPr>
              <w:t>…</w:t>
            </w:r>
          </w:p>
        </w:tc>
        <w:tc>
          <w:tcPr>
            <w:tcW w:w="1184" w:type="dxa"/>
            <w:tcBorders>
              <w:tl2br w:val="nil"/>
              <w:tr2bl w:val="nil"/>
            </w:tcBorders>
            <w:vAlign w:val="center"/>
          </w:tcPr>
          <w:p w14:paraId="53E8FBB4">
            <w:pPr>
              <w:spacing w:line="240" w:lineRule="auto"/>
              <w:jc w:val="center"/>
              <w:rPr>
                <w:color w:val="A6A6A6" w:themeColor="background1" w:themeShade="A6"/>
                <w:sz w:val="21"/>
                <w:szCs w:val="21"/>
              </w:rPr>
            </w:pPr>
          </w:p>
        </w:tc>
        <w:tc>
          <w:tcPr>
            <w:tcW w:w="1185" w:type="dxa"/>
            <w:tcBorders>
              <w:tl2br w:val="nil"/>
              <w:tr2bl w:val="nil"/>
            </w:tcBorders>
            <w:vAlign w:val="center"/>
          </w:tcPr>
          <w:p w14:paraId="514FF614">
            <w:pPr>
              <w:spacing w:line="240" w:lineRule="auto"/>
              <w:jc w:val="center"/>
              <w:rPr>
                <w:color w:val="A6A6A6" w:themeColor="background1" w:themeShade="A6"/>
                <w:sz w:val="21"/>
                <w:szCs w:val="21"/>
              </w:rPr>
            </w:pPr>
          </w:p>
        </w:tc>
        <w:tc>
          <w:tcPr>
            <w:tcW w:w="1303" w:type="dxa"/>
            <w:tcBorders>
              <w:tl2br w:val="nil"/>
              <w:tr2bl w:val="nil"/>
            </w:tcBorders>
            <w:vAlign w:val="center"/>
          </w:tcPr>
          <w:p w14:paraId="13374224">
            <w:pPr>
              <w:spacing w:line="240" w:lineRule="auto"/>
              <w:jc w:val="center"/>
              <w:rPr>
                <w:color w:val="A6A6A6" w:themeColor="background1" w:themeShade="A6"/>
                <w:sz w:val="21"/>
                <w:szCs w:val="21"/>
              </w:rPr>
            </w:pPr>
          </w:p>
        </w:tc>
        <w:tc>
          <w:tcPr>
            <w:tcW w:w="1266" w:type="dxa"/>
            <w:tcBorders>
              <w:tl2br w:val="nil"/>
              <w:tr2bl w:val="nil"/>
            </w:tcBorders>
            <w:vAlign w:val="center"/>
          </w:tcPr>
          <w:p w14:paraId="5B6CA7A7">
            <w:pPr>
              <w:spacing w:line="240" w:lineRule="auto"/>
              <w:jc w:val="center"/>
              <w:rPr>
                <w:color w:val="A6A6A6" w:themeColor="background1" w:themeShade="A6"/>
                <w:sz w:val="21"/>
                <w:szCs w:val="21"/>
              </w:rPr>
            </w:pPr>
          </w:p>
        </w:tc>
        <w:tc>
          <w:tcPr>
            <w:tcW w:w="1104" w:type="dxa"/>
            <w:tcBorders>
              <w:tl2br w:val="nil"/>
              <w:tr2bl w:val="nil"/>
            </w:tcBorders>
            <w:vAlign w:val="center"/>
          </w:tcPr>
          <w:p w14:paraId="7E4D13FE">
            <w:pPr>
              <w:spacing w:line="240" w:lineRule="auto"/>
              <w:jc w:val="center"/>
              <w:rPr>
                <w:color w:val="A6A6A6" w:themeColor="background1" w:themeShade="A6"/>
                <w:sz w:val="21"/>
                <w:szCs w:val="21"/>
              </w:rPr>
            </w:pPr>
            <w:r>
              <w:rPr>
                <w:color w:val="A6A6A6" w:themeColor="background1" w:themeShade="A6"/>
                <w:sz w:val="21"/>
                <w:szCs w:val="21"/>
              </w:rPr>
              <w:t>…</w:t>
            </w:r>
          </w:p>
        </w:tc>
        <w:tc>
          <w:tcPr>
            <w:tcW w:w="1295" w:type="dxa"/>
            <w:tcBorders>
              <w:tl2br w:val="nil"/>
              <w:tr2bl w:val="nil"/>
            </w:tcBorders>
            <w:vAlign w:val="center"/>
          </w:tcPr>
          <w:p w14:paraId="3F8200DF">
            <w:pPr>
              <w:spacing w:line="240" w:lineRule="auto"/>
              <w:jc w:val="center"/>
              <w:rPr>
                <w:color w:val="A6A6A6" w:themeColor="background1" w:themeShade="A6"/>
                <w:sz w:val="21"/>
                <w:szCs w:val="21"/>
              </w:rPr>
            </w:pPr>
          </w:p>
        </w:tc>
      </w:tr>
      <w:tr w14:paraId="487E0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85" w:type="dxa"/>
            <w:tcBorders>
              <w:tl2br w:val="nil"/>
              <w:tr2bl w:val="nil"/>
            </w:tcBorders>
            <w:vAlign w:val="center"/>
          </w:tcPr>
          <w:p w14:paraId="3475950D">
            <w:pPr>
              <w:spacing w:line="240" w:lineRule="auto"/>
              <w:jc w:val="center"/>
              <w:rPr>
                <w:sz w:val="21"/>
                <w:szCs w:val="21"/>
              </w:rPr>
            </w:pPr>
            <w:r>
              <w:rPr>
                <w:rFonts w:hint="eastAsia"/>
                <w:sz w:val="21"/>
                <w:szCs w:val="21"/>
              </w:rPr>
              <w:t>n</w:t>
            </w:r>
          </w:p>
        </w:tc>
        <w:tc>
          <w:tcPr>
            <w:tcW w:w="1184" w:type="dxa"/>
            <w:tcBorders>
              <w:tl2br w:val="nil"/>
              <w:tr2bl w:val="nil"/>
            </w:tcBorders>
            <w:vAlign w:val="center"/>
          </w:tcPr>
          <w:p w14:paraId="35C92748">
            <w:pPr>
              <w:spacing w:line="240" w:lineRule="auto"/>
              <w:jc w:val="center"/>
              <w:rPr>
                <w:color w:val="A6A6A6" w:themeColor="background1" w:themeShade="A6"/>
                <w:sz w:val="21"/>
                <w:szCs w:val="21"/>
              </w:rPr>
            </w:pPr>
          </w:p>
        </w:tc>
        <w:tc>
          <w:tcPr>
            <w:tcW w:w="1185" w:type="dxa"/>
            <w:tcBorders>
              <w:tl2br w:val="nil"/>
              <w:tr2bl w:val="nil"/>
            </w:tcBorders>
            <w:vAlign w:val="center"/>
          </w:tcPr>
          <w:p w14:paraId="53520612">
            <w:pPr>
              <w:spacing w:line="240" w:lineRule="auto"/>
              <w:jc w:val="center"/>
              <w:rPr>
                <w:color w:val="A6A6A6" w:themeColor="background1" w:themeShade="A6"/>
                <w:sz w:val="21"/>
                <w:szCs w:val="21"/>
              </w:rPr>
            </w:pPr>
          </w:p>
        </w:tc>
        <w:tc>
          <w:tcPr>
            <w:tcW w:w="1303" w:type="dxa"/>
            <w:tcBorders>
              <w:tl2br w:val="nil"/>
              <w:tr2bl w:val="nil"/>
            </w:tcBorders>
            <w:vAlign w:val="center"/>
          </w:tcPr>
          <w:p w14:paraId="3A729701">
            <w:pPr>
              <w:spacing w:line="240" w:lineRule="auto"/>
              <w:jc w:val="center"/>
              <w:rPr>
                <w:color w:val="A6A6A6" w:themeColor="background1" w:themeShade="A6"/>
                <w:sz w:val="21"/>
                <w:szCs w:val="21"/>
              </w:rPr>
            </w:pPr>
          </w:p>
        </w:tc>
        <w:tc>
          <w:tcPr>
            <w:tcW w:w="1266" w:type="dxa"/>
            <w:tcBorders>
              <w:tl2br w:val="nil"/>
              <w:tr2bl w:val="nil"/>
            </w:tcBorders>
            <w:vAlign w:val="center"/>
          </w:tcPr>
          <w:p w14:paraId="06945089">
            <w:pPr>
              <w:spacing w:line="240" w:lineRule="auto"/>
              <w:jc w:val="center"/>
              <w:rPr>
                <w:color w:val="A6A6A6" w:themeColor="background1" w:themeShade="A6"/>
                <w:sz w:val="21"/>
                <w:szCs w:val="21"/>
              </w:rPr>
            </w:pPr>
          </w:p>
        </w:tc>
        <w:tc>
          <w:tcPr>
            <w:tcW w:w="1104" w:type="dxa"/>
            <w:tcBorders>
              <w:tl2br w:val="nil"/>
              <w:tr2bl w:val="nil"/>
            </w:tcBorders>
            <w:vAlign w:val="center"/>
          </w:tcPr>
          <w:p w14:paraId="2DDF68AB">
            <w:pPr>
              <w:spacing w:line="240" w:lineRule="auto"/>
              <w:jc w:val="center"/>
              <w:rPr>
                <w:color w:val="A6A6A6" w:themeColor="background1" w:themeShade="A6"/>
                <w:sz w:val="21"/>
                <w:szCs w:val="21"/>
              </w:rPr>
            </w:pPr>
            <w:r>
              <w:rPr>
                <w:rFonts w:hint="eastAsia"/>
                <w:color w:val="A6A6A6" w:themeColor="background1" w:themeShade="A6"/>
                <w:sz w:val="21"/>
                <w:szCs w:val="21"/>
              </w:rPr>
              <w:t>第X组</w:t>
            </w:r>
          </w:p>
        </w:tc>
        <w:tc>
          <w:tcPr>
            <w:tcW w:w="1295" w:type="dxa"/>
            <w:tcBorders>
              <w:tl2br w:val="nil"/>
              <w:tr2bl w:val="nil"/>
            </w:tcBorders>
            <w:vAlign w:val="center"/>
          </w:tcPr>
          <w:p w14:paraId="734D1401">
            <w:pPr>
              <w:spacing w:line="240" w:lineRule="auto"/>
              <w:jc w:val="center"/>
              <w:rPr>
                <w:color w:val="A6A6A6" w:themeColor="background1" w:themeShade="A6"/>
                <w:sz w:val="21"/>
                <w:szCs w:val="21"/>
              </w:rPr>
            </w:pPr>
            <w:r>
              <w:rPr>
                <w:rFonts w:hint="eastAsia"/>
                <w:color w:val="A6A6A6" w:themeColor="background1" w:themeShade="A6"/>
                <w:sz w:val="21"/>
                <w:szCs w:val="21"/>
              </w:rPr>
              <w:t>收球点，X为第1、2、3组之一</w:t>
            </w:r>
          </w:p>
        </w:tc>
      </w:tr>
    </w:tbl>
    <w:p w14:paraId="1B022C7C">
      <w:pPr>
        <w:pStyle w:val="2"/>
        <w:ind w:left="0" w:firstLine="0" w:firstLineChars="0"/>
        <w:rPr>
          <w:rFonts w:cs="Times New Roman"/>
          <w:bCs/>
          <w:color w:val="000000"/>
          <w:sz w:val="21"/>
        </w:rPr>
      </w:pPr>
      <w:r>
        <w:rPr>
          <w:rFonts w:hint="eastAsia" w:cs="宋体"/>
          <w:sz w:val="21"/>
        </w:rPr>
        <w:t>检测员：</w:t>
      </w:r>
      <w:r>
        <w:rPr>
          <w:rFonts w:hint="eastAsia" w:cs="宋体"/>
          <w:sz w:val="21"/>
          <w:u w:val="single"/>
        </w:rPr>
        <w:t xml:space="preserve">       </w:t>
      </w:r>
      <w:r>
        <w:rPr>
          <w:rFonts w:cs="宋体"/>
          <w:sz w:val="21"/>
        </w:rPr>
        <w:t xml:space="preserve">  </w:t>
      </w:r>
      <w:r>
        <w:rPr>
          <w:rFonts w:hint="eastAsia" w:cs="宋体"/>
          <w:sz w:val="21"/>
        </w:rPr>
        <w:t>记录员：</w:t>
      </w:r>
      <w:r>
        <w:rPr>
          <w:rFonts w:hint="eastAsia" w:cs="宋体"/>
          <w:sz w:val="21"/>
          <w:u w:val="single"/>
        </w:rPr>
        <w:t xml:space="preserve">         </w:t>
      </w:r>
      <w:r>
        <w:rPr>
          <w:rFonts w:hint="eastAsia" w:cs="宋体"/>
          <w:sz w:val="21"/>
        </w:rPr>
        <w:t xml:space="preserve"> </w:t>
      </w:r>
      <w:r>
        <w:rPr>
          <w:rFonts w:cs="宋体"/>
          <w:sz w:val="21"/>
        </w:rPr>
        <w:t xml:space="preserve"> </w:t>
      </w:r>
      <w:r>
        <w:rPr>
          <w:rFonts w:hint="eastAsia" w:cs="宋体"/>
          <w:sz w:val="21"/>
        </w:rPr>
        <w:t>校核员：</w:t>
      </w:r>
      <w:r>
        <w:rPr>
          <w:rFonts w:hint="eastAsia" w:cs="宋体"/>
          <w:sz w:val="21"/>
          <w:u w:val="single"/>
        </w:rPr>
        <w:t xml:space="preserve">          </w:t>
      </w:r>
      <w:r>
        <w:rPr>
          <w:rFonts w:hint="eastAsia" w:cs="宋体"/>
          <w:sz w:val="21"/>
        </w:rPr>
        <w:t xml:space="preserve">   </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14:paraId="78115C1E">
      <w:pPr>
        <w:pStyle w:val="2"/>
        <w:ind w:firstLine="240"/>
        <w:rPr>
          <w:szCs w:val="24"/>
        </w:rPr>
      </w:pPr>
    </w:p>
    <w:p w14:paraId="06CCD94E">
      <w:pPr>
        <w:rPr>
          <w:szCs w:val="24"/>
        </w:rPr>
      </w:pPr>
      <w:r>
        <w:rPr>
          <w:szCs w:val="24"/>
        </w:rPr>
        <w:br w:type="page"/>
      </w:r>
    </w:p>
    <w:p w14:paraId="07219B1D">
      <w:pPr>
        <w:rPr>
          <w:szCs w:val="24"/>
        </w:rPr>
      </w:pPr>
      <w:r>
        <w:rPr>
          <w:rFonts w:hint="eastAsia" w:eastAsia="宋体" w:cs="Times New Roman"/>
          <w:b/>
          <w:color w:val="000000"/>
          <w:szCs w:val="24"/>
        </w:rPr>
        <w:t>A.0.6　</w:t>
      </w:r>
      <w:r>
        <w:rPr>
          <w:rFonts w:hint="eastAsia"/>
          <w:szCs w:val="24"/>
        </w:rPr>
        <w:t>给水管道流量法检测记录应按表A.0.6</w:t>
      </w:r>
      <w:r>
        <w:rPr>
          <w:szCs w:val="24"/>
        </w:rPr>
        <w:t>-1</w:t>
      </w:r>
      <w:r>
        <w:rPr>
          <w:rFonts w:hint="eastAsia"/>
          <w:szCs w:val="24"/>
          <w:lang w:eastAsia="zh-CN"/>
        </w:rPr>
        <w:t>、</w:t>
      </w:r>
      <w:r>
        <w:rPr>
          <w:rFonts w:hint="eastAsia"/>
          <w:szCs w:val="24"/>
        </w:rPr>
        <w:t>表A.0.6</w:t>
      </w:r>
      <w:r>
        <w:rPr>
          <w:szCs w:val="24"/>
        </w:rPr>
        <w:t>-2</w:t>
      </w:r>
      <w:r>
        <w:rPr>
          <w:rFonts w:hint="eastAsia"/>
          <w:szCs w:val="24"/>
        </w:rPr>
        <w:t>填写。</w:t>
      </w:r>
    </w:p>
    <w:p w14:paraId="2F3DB857">
      <w:pPr>
        <w:pStyle w:val="105"/>
      </w:pPr>
      <w:r>
        <w:rPr>
          <w:rFonts w:hint="eastAsia"/>
        </w:rPr>
        <w:t>表A.0.6-1　给水管道流量法检测记录表（片区计量）</w:t>
      </w:r>
    </w:p>
    <w:tbl>
      <w:tblPr>
        <w:tblStyle w:val="29"/>
        <w:tblW w:w="8325"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295"/>
        <w:gridCol w:w="2550"/>
        <w:gridCol w:w="2025"/>
        <w:gridCol w:w="1455"/>
      </w:tblGrid>
      <w:tr w14:paraId="593B4B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14:paraId="363917D6">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区域</w:t>
            </w:r>
          </w:p>
        </w:tc>
        <w:tc>
          <w:tcPr>
            <w:tcW w:w="2550" w:type="dxa"/>
            <w:tcBorders>
              <w:tl2br w:val="nil"/>
              <w:tr2bl w:val="nil"/>
            </w:tcBorders>
            <w:shd w:val="clear" w:color="auto" w:fill="auto"/>
            <w:noWrap/>
            <w:vAlign w:val="bottom"/>
          </w:tcPr>
          <w:p w14:paraId="0183E385">
            <w:pPr>
              <w:spacing w:line="240" w:lineRule="auto"/>
              <w:rPr>
                <w:rFonts w:eastAsia="微软雅黑" w:cs="Times New Roman"/>
                <w:color w:val="FF0000"/>
                <w:sz w:val="21"/>
                <w:szCs w:val="21"/>
              </w:rPr>
            </w:pPr>
          </w:p>
        </w:tc>
        <w:tc>
          <w:tcPr>
            <w:tcW w:w="2025" w:type="dxa"/>
            <w:tcBorders>
              <w:tl2br w:val="nil"/>
              <w:tr2bl w:val="nil"/>
            </w:tcBorders>
            <w:shd w:val="clear" w:color="auto" w:fill="auto"/>
            <w:vAlign w:val="center"/>
          </w:tcPr>
          <w:p w14:paraId="241C84CC">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站点</w:t>
            </w:r>
          </w:p>
        </w:tc>
        <w:tc>
          <w:tcPr>
            <w:tcW w:w="1455" w:type="dxa"/>
            <w:tcBorders>
              <w:tl2br w:val="nil"/>
              <w:tr2bl w:val="nil"/>
            </w:tcBorders>
            <w:shd w:val="clear" w:color="auto" w:fill="auto"/>
            <w:noWrap/>
            <w:vAlign w:val="bottom"/>
          </w:tcPr>
          <w:p w14:paraId="50EEECEA">
            <w:pPr>
              <w:spacing w:line="240" w:lineRule="auto"/>
              <w:rPr>
                <w:rFonts w:eastAsia="微软雅黑" w:cs="Times New Roman"/>
                <w:color w:val="FF0000"/>
                <w:sz w:val="21"/>
                <w:szCs w:val="21"/>
              </w:rPr>
            </w:pPr>
          </w:p>
        </w:tc>
      </w:tr>
      <w:tr w14:paraId="1600D1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14:paraId="07827452">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传感器</w:t>
            </w:r>
          </w:p>
        </w:tc>
        <w:tc>
          <w:tcPr>
            <w:tcW w:w="2550" w:type="dxa"/>
            <w:tcBorders>
              <w:tl2br w:val="nil"/>
              <w:tr2bl w:val="nil"/>
            </w:tcBorders>
            <w:shd w:val="clear" w:color="auto" w:fill="auto"/>
            <w:noWrap/>
            <w:vAlign w:val="bottom"/>
          </w:tcPr>
          <w:p w14:paraId="0FB1AC1E">
            <w:pPr>
              <w:spacing w:line="240" w:lineRule="auto"/>
              <w:rPr>
                <w:rFonts w:eastAsia="微软雅黑" w:cs="Times New Roman"/>
                <w:color w:val="FF0000"/>
                <w:sz w:val="21"/>
                <w:szCs w:val="21"/>
              </w:rPr>
            </w:pPr>
          </w:p>
        </w:tc>
        <w:tc>
          <w:tcPr>
            <w:tcW w:w="2025" w:type="dxa"/>
            <w:tcBorders>
              <w:tl2br w:val="nil"/>
              <w:tr2bl w:val="nil"/>
            </w:tcBorders>
            <w:shd w:val="clear" w:color="auto" w:fill="auto"/>
            <w:vAlign w:val="center"/>
          </w:tcPr>
          <w:p w14:paraId="51F294DF">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上传时间</w:t>
            </w:r>
          </w:p>
        </w:tc>
        <w:tc>
          <w:tcPr>
            <w:tcW w:w="1455" w:type="dxa"/>
            <w:tcBorders>
              <w:tl2br w:val="nil"/>
              <w:tr2bl w:val="nil"/>
            </w:tcBorders>
            <w:shd w:val="clear" w:color="auto" w:fill="auto"/>
            <w:noWrap/>
            <w:vAlign w:val="bottom"/>
          </w:tcPr>
          <w:p w14:paraId="68C9518C">
            <w:pPr>
              <w:spacing w:line="240" w:lineRule="auto"/>
              <w:rPr>
                <w:rFonts w:eastAsia="微软雅黑" w:cs="Times New Roman"/>
                <w:color w:val="FF0000"/>
                <w:sz w:val="21"/>
                <w:szCs w:val="21"/>
              </w:rPr>
            </w:pPr>
          </w:p>
        </w:tc>
      </w:tr>
      <w:tr w14:paraId="416800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14:paraId="6FC125CC">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出厂水瞬时流量(m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/h)</w:t>
            </w:r>
          </w:p>
        </w:tc>
        <w:tc>
          <w:tcPr>
            <w:tcW w:w="6030" w:type="dxa"/>
            <w:gridSpan w:val="3"/>
            <w:tcBorders>
              <w:tl2br w:val="nil"/>
              <w:tr2bl w:val="nil"/>
            </w:tcBorders>
            <w:shd w:val="clear" w:color="auto" w:fill="auto"/>
            <w:noWrap/>
            <w:vAlign w:val="bottom"/>
          </w:tcPr>
          <w:p w14:paraId="53279BCC">
            <w:pPr>
              <w:spacing w:line="240" w:lineRule="auto"/>
              <w:rPr>
                <w:rFonts w:eastAsia="微软雅黑" w:cs="Times New Roman"/>
                <w:color w:val="FF0000"/>
                <w:sz w:val="21"/>
                <w:szCs w:val="21"/>
              </w:rPr>
            </w:pPr>
          </w:p>
        </w:tc>
      </w:tr>
      <w:tr w14:paraId="2735BC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14:paraId="05FB2034">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今日最高(m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/h)</w:t>
            </w:r>
          </w:p>
        </w:tc>
        <w:tc>
          <w:tcPr>
            <w:tcW w:w="2550" w:type="dxa"/>
            <w:tcBorders>
              <w:tl2br w:val="nil"/>
              <w:tr2bl w:val="nil"/>
            </w:tcBorders>
            <w:shd w:val="clear" w:color="auto" w:fill="auto"/>
            <w:noWrap/>
            <w:vAlign w:val="center"/>
          </w:tcPr>
          <w:p w14:paraId="3D03C7DE">
            <w:pPr>
              <w:spacing w:line="240" w:lineRule="auto"/>
              <w:rPr>
                <w:rFonts w:eastAsia="宋体" w:cs="Times New Roman"/>
                <w:color w:val="000000"/>
                <w:sz w:val="21"/>
                <w:szCs w:val="21"/>
              </w:rPr>
            </w:pPr>
          </w:p>
        </w:tc>
        <w:tc>
          <w:tcPr>
            <w:tcW w:w="2025" w:type="dxa"/>
            <w:tcBorders>
              <w:tl2br w:val="nil"/>
              <w:tr2bl w:val="nil"/>
            </w:tcBorders>
            <w:shd w:val="clear" w:color="auto" w:fill="auto"/>
            <w:vAlign w:val="center"/>
          </w:tcPr>
          <w:p w14:paraId="0D5A0EBA">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时间</w:t>
            </w:r>
          </w:p>
        </w:tc>
        <w:tc>
          <w:tcPr>
            <w:tcW w:w="1455" w:type="dxa"/>
            <w:tcBorders>
              <w:tl2br w:val="nil"/>
              <w:tr2bl w:val="nil"/>
            </w:tcBorders>
            <w:shd w:val="clear" w:color="auto" w:fill="auto"/>
            <w:noWrap/>
            <w:vAlign w:val="center"/>
          </w:tcPr>
          <w:p w14:paraId="1D2B4A16">
            <w:pPr>
              <w:spacing w:line="240" w:lineRule="auto"/>
              <w:rPr>
                <w:rFonts w:eastAsia="宋体" w:cs="Times New Roman"/>
                <w:color w:val="000000"/>
                <w:sz w:val="21"/>
                <w:szCs w:val="21"/>
              </w:rPr>
            </w:pPr>
          </w:p>
        </w:tc>
      </w:tr>
      <w:tr w14:paraId="55C175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14:paraId="375D7837">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今日最低(m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/h)</w:t>
            </w:r>
          </w:p>
        </w:tc>
        <w:tc>
          <w:tcPr>
            <w:tcW w:w="2550" w:type="dxa"/>
            <w:tcBorders>
              <w:tl2br w:val="nil"/>
              <w:tr2bl w:val="nil"/>
            </w:tcBorders>
            <w:shd w:val="clear" w:color="auto" w:fill="auto"/>
            <w:noWrap/>
            <w:vAlign w:val="center"/>
          </w:tcPr>
          <w:p w14:paraId="6D1093AE">
            <w:pPr>
              <w:spacing w:line="240" w:lineRule="auto"/>
              <w:rPr>
                <w:rFonts w:eastAsia="宋体" w:cs="Times New Roman"/>
                <w:color w:val="000000"/>
                <w:sz w:val="21"/>
                <w:szCs w:val="21"/>
              </w:rPr>
            </w:pPr>
          </w:p>
        </w:tc>
        <w:tc>
          <w:tcPr>
            <w:tcW w:w="2025" w:type="dxa"/>
            <w:tcBorders>
              <w:tl2br w:val="nil"/>
              <w:tr2bl w:val="nil"/>
            </w:tcBorders>
            <w:shd w:val="clear" w:color="auto" w:fill="auto"/>
            <w:vAlign w:val="center"/>
          </w:tcPr>
          <w:p w14:paraId="58780246">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时间</w:t>
            </w:r>
          </w:p>
        </w:tc>
        <w:tc>
          <w:tcPr>
            <w:tcW w:w="1455" w:type="dxa"/>
            <w:tcBorders>
              <w:tl2br w:val="nil"/>
              <w:tr2bl w:val="nil"/>
            </w:tcBorders>
            <w:shd w:val="clear" w:color="auto" w:fill="auto"/>
            <w:noWrap/>
            <w:vAlign w:val="center"/>
          </w:tcPr>
          <w:p w14:paraId="544AA9FE">
            <w:pPr>
              <w:spacing w:line="240" w:lineRule="auto"/>
              <w:rPr>
                <w:rFonts w:eastAsia="宋体" w:cs="Times New Roman"/>
                <w:color w:val="000000"/>
                <w:sz w:val="21"/>
                <w:szCs w:val="21"/>
              </w:rPr>
            </w:pPr>
          </w:p>
        </w:tc>
      </w:tr>
      <w:tr w14:paraId="0457BD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14:paraId="2BB708B5">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今日平均(m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/h)</w:t>
            </w:r>
          </w:p>
        </w:tc>
        <w:tc>
          <w:tcPr>
            <w:tcW w:w="2550" w:type="dxa"/>
            <w:tcBorders>
              <w:tl2br w:val="nil"/>
              <w:tr2bl w:val="nil"/>
            </w:tcBorders>
            <w:shd w:val="clear" w:color="auto" w:fill="auto"/>
            <w:noWrap/>
            <w:vAlign w:val="center"/>
          </w:tcPr>
          <w:p w14:paraId="3B4FF01E">
            <w:pPr>
              <w:spacing w:line="240" w:lineRule="auto"/>
              <w:rPr>
                <w:rFonts w:eastAsia="宋体" w:cs="Times New Roman"/>
                <w:color w:val="000000"/>
                <w:sz w:val="21"/>
                <w:szCs w:val="21"/>
              </w:rPr>
            </w:pPr>
          </w:p>
        </w:tc>
        <w:tc>
          <w:tcPr>
            <w:tcW w:w="2025" w:type="dxa"/>
            <w:tcBorders>
              <w:tl2br w:val="nil"/>
              <w:tr2bl w:val="nil"/>
            </w:tcBorders>
            <w:shd w:val="clear" w:color="auto" w:fill="auto"/>
            <w:vAlign w:val="center"/>
          </w:tcPr>
          <w:p w14:paraId="3B3EEDD3">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今日振幅(%)</w:t>
            </w:r>
          </w:p>
        </w:tc>
        <w:tc>
          <w:tcPr>
            <w:tcW w:w="1455" w:type="dxa"/>
            <w:tcBorders>
              <w:tl2br w:val="nil"/>
              <w:tr2bl w:val="nil"/>
            </w:tcBorders>
            <w:shd w:val="clear" w:color="auto" w:fill="auto"/>
            <w:noWrap/>
            <w:vAlign w:val="center"/>
          </w:tcPr>
          <w:p w14:paraId="561C1EA3">
            <w:pPr>
              <w:spacing w:line="240" w:lineRule="auto"/>
              <w:rPr>
                <w:rFonts w:eastAsia="宋体" w:cs="Times New Roman"/>
                <w:color w:val="000000"/>
                <w:sz w:val="21"/>
                <w:szCs w:val="21"/>
              </w:rPr>
            </w:pPr>
          </w:p>
        </w:tc>
      </w:tr>
      <w:tr w14:paraId="38934B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14:paraId="084B7442">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昨日最高(m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/h)</w:t>
            </w:r>
          </w:p>
        </w:tc>
        <w:tc>
          <w:tcPr>
            <w:tcW w:w="2550" w:type="dxa"/>
            <w:tcBorders>
              <w:tl2br w:val="nil"/>
              <w:tr2bl w:val="nil"/>
            </w:tcBorders>
            <w:shd w:val="clear" w:color="auto" w:fill="auto"/>
            <w:noWrap/>
            <w:vAlign w:val="center"/>
          </w:tcPr>
          <w:p w14:paraId="3B06899E">
            <w:pPr>
              <w:spacing w:line="240" w:lineRule="auto"/>
              <w:rPr>
                <w:rFonts w:eastAsia="宋体" w:cs="Times New Roman"/>
                <w:color w:val="000000"/>
                <w:sz w:val="21"/>
                <w:szCs w:val="21"/>
              </w:rPr>
            </w:pPr>
          </w:p>
        </w:tc>
        <w:tc>
          <w:tcPr>
            <w:tcW w:w="2025" w:type="dxa"/>
            <w:tcBorders>
              <w:tl2br w:val="nil"/>
              <w:tr2bl w:val="nil"/>
            </w:tcBorders>
            <w:shd w:val="clear" w:color="auto" w:fill="auto"/>
            <w:vAlign w:val="center"/>
          </w:tcPr>
          <w:p w14:paraId="71F52C6E">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时间</w:t>
            </w:r>
          </w:p>
        </w:tc>
        <w:tc>
          <w:tcPr>
            <w:tcW w:w="1455" w:type="dxa"/>
            <w:tcBorders>
              <w:tl2br w:val="nil"/>
              <w:tr2bl w:val="nil"/>
            </w:tcBorders>
            <w:shd w:val="clear" w:color="auto" w:fill="auto"/>
            <w:noWrap/>
            <w:vAlign w:val="center"/>
          </w:tcPr>
          <w:p w14:paraId="26D3F94A">
            <w:pPr>
              <w:spacing w:line="240" w:lineRule="auto"/>
              <w:rPr>
                <w:rFonts w:eastAsia="宋体" w:cs="Times New Roman"/>
                <w:color w:val="000000"/>
                <w:sz w:val="21"/>
                <w:szCs w:val="21"/>
              </w:rPr>
            </w:pPr>
          </w:p>
        </w:tc>
      </w:tr>
      <w:tr w14:paraId="5790E6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14:paraId="590D5CD3">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昨日最低(m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/h)</w:t>
            </w:r>
          </w:p>
        </w:tc>
        <w:tc>
          <w:tcPr>
            <w:tcW w:w="2550" w:type="dxa"/>
            <w:tcBorders>
              <w:tl2br w:val="nil"/>
              <w:tr2bl w:val="nil"/>
            </w:tcBorders>
            <w:shd w:val="clear" w:color="auto" w:fill="auto"/>
            <w:noWrap/>
            <w:vAlign w:val="center"/>
          </w:tcPr>
          <w:p w14:paraId="2C54B777">
            <w:pPr>
              <w:spacing w:line="240" w:lineRule="auto"/>
              <w:rPr>
                <w:rFonts w:eastAsia="宋体" w:cs="Times New Roman"/>
                <w:color w:val="000000"/>
                <w:sz w:val="21"/>
                <w:szCs w:val="21"/>
              </w:rPr>
            </w:pPr>
          </w:p>
        </w:tc>
        <w:tc>
          <w:tcPr>
            <w:tcW w:w="2025" w:type="dxa"/>
            <w:tcBorders>
              <w:tl2br w:val="nil"/>
              <w:tr2bl w:val="nil"/>
            </w:tcBorders>
            <w:shd w:val="clear" w:color="auto" w:fill="auto"/>
            <w:vAlign w:val="center"/>
          </w:tcPr>
          <w:p w14:paraId="14B4D338">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时间</w:t>
            </w:r>
          </w:p>
        </w:tc>
        <w:tc>
          <w:tcPr>
            <w:tcW w:w="1455" w:type="dxa"/>
            <w:tcBorders>
              <w:tl2br w:val="nil"/>
              <w:tr2bl w:val="nil"/>
            </w:tcBorders>
            <w:shd w:val="clear" w:color="auto" w:fill="auto"/>
            <w:noWrap/>
            <w:vAlign w:val="center"/>
          </w:tcPr>
          <w:p w14:paraId="006B9BCF">
            <w:pPr>
              <w:spacing w:line="240" w:lineRule="auto"/>
              <w:rPr>
                <w:rFonts w:eastAsia="宋体" w:cs="Times New Roman"/>
                <w:color w:val="000000"/>
                <w:sz w:val="21"/>
                <w:szCs w:val="21"/>
              </w:rPr>
            </w:pPr>
          </w:p>
        </w:tc>
      </w:tr>
      <w:tr w14:paraId="3A161F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14:paraId="47ED06A1">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昨日平均(m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/h)</w:t>
            </w:r>
          </w:p>
        </w:tc>
        <w:tc>
          <w:tcPr>
            <w:tcW w:w="2550" w:type="dxa"/>
            <w:tcBorders>
              <w:tl2br w:val="nil"/>
              <w:tr2bl w:val="nil"/>
            </w:tcBorders>
            <w:shd w:val="clear" w:color="auto" w:fill="auto"/>
            <w:noWrap/>
            <w:vAlign w:val="center"/>
          </w:tcPr>
          <w:p w14:paraId="6D0EF929">
            <w:pPr>
              <w:spacing w:line="240" w:lineRule="auto"/>
              <w:rPr>
                <w:rFonts w:eastAsia="宋体" w:cs="Times New Roman"/>
                <w:color w:val="000000"/>
                <w:sz w:val="21"/>
                <w:szCs w:val="21"/>
              </w:rPr>
            </w:pPr>
          </w:p>
        </w:tc>
        <w:tc>
          <w:tcPr>
            <w:tcW w:w="2025" w:type="dxa"/>
            <w:tcBorders>
              <w:tl2br w:val="nil"/>
              <w:tr2bl w:val="nil"/>
            </w:tcBorders>
            <w:shd w:val="clear" w:color="auto" w:fill="auto"/>
            <w:vAlign w:val="center"/>
          </w:tcPr>
          <w:p w14:paraId="64612309">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昨日振幅(%)</w:t>
            </w:r>
          </w:p>
        </w:tc>
        <w:tc>
          <w:tcPr>
            <w:tcW w:w="1455" w:type="dxa"/>
            <w:tcBorders>
              <w:tl2br w:val="nil"/>
              <w:tr2bl w:val="nil"/>
            </w:tcBorders>
            <w:shd w:val="clear" w:color="auto" w:fill="auto"/>
            <w:noWrap/>
            <w:vAlign w:val="center"/>
          </w:tcPr>
          <w:p w14:paraId="2AC06EBB">
            <w:pPr>
              <w:spacing w:line="240" w:lineRule="auto"/>
              <w:rPr>
                <w:rFonts w:eastAsia="宋体" w:cs="Times New Roman"/>
                <w:color w:val="000000"/>
                <w:sz w:val="21"/>
                <w:szCs w:val="21"/>
              </w:rPr>
            </w:pPr>
          </w:p>
        </w:tc>
      </w:tr>
      <w:tr w14:paraId="5C5954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95" w:type="dxa"/>
            <w:tcBorders>
              <w:tl2br w:val="nil"/>
              <w:tr2bl w:val="nil"/>
            </w:tcBorders>
            <w:shd w:val="clear" w:color="auto" w:fill="auto"/>
            <w:vAlign w:val="center"/>
          </w:tcPr>
          <w:p w14:paraId="0182AF2C">
            <w:pPr>
              <w:widowControl/>
              <w:spacing w:line="240" w:lineRule="auto"/>
              <w:jc w:val="center"/>
              <w:textAlignment w:val="center"/>
              <w:rPr>
                <w:rFonts w:eastAsia="宋体" w:cs="Times New Roman"/>
                <w:color w:val="000000"/>
                <w:kern w:val="0"/>
                <w:sz w:val="21"/>
                <w:szCs w:val="21"/>
                <w:lang w:bidi="ar"/>
              </w:rPr>
            </w:pPr>
            <w:r>
              <w:rPr>
                <w:rFonts w:eastAsia="宋体" w:cs="Times New Roman"/>
                <w:color w:val="000000"/>
                <w:kern w:val="0"/>
                <w:sz w:val="21"/>
                <w:szCs w:val="21"/>
                <w:lang w:bidi="ar"/>
              </w:rPr>
              <w:t>备注</w:t>
            </w:r>
          </w:p>
        </w:tc>
        <w:tc>
          <w:tcPr>
            <w:tcW w:w="6030" w:type="dxa"/>
            <w:gridSpan w:val="3"/>
            <w:tcBorders>
              <w:tl2br w:val="nil"/>
              <w:tr2bl w:val="nil"/>
            </w:tcBorders>
            <w:shd w:val="clear" w:color="auto" w:fill="auto"/>
            <w:noWrap/>
            <w:vAlign w:val="center"/>
          </w:tcPr>
          <w:p w14:paraId="7EB53580">
            <w:pPr>
              <w:spacing w:line="240" w:lineRule="auto"/>
              <w:rPr>
                <w:rFonts w:eastAsia="宋体" w:cs="Times New Roman"/>
                <w:color w:val="000000"/>
                <w:sz w:val="21"/>
                <w:szCs w:val="21"/>
              </w:rPr>
            </w:pPr>
          </w:p>
        </w:tc>
      </w:tr>
    </w:tbl>
    <w:p w14:paraId="141FD0DE">
      <w:pPr>
        <w:pStyle w:val="2"/>
        <w:ind w:left="0" w:firstLine="0" w:firstLineChars="0"/>
        <w:rPr>
          <w:rFonts w:cs="Times New Roman"/>
          <w:bCs/>
          <w:color w:val="000000"/>
          <w:sz w:val="21"/>
        </w:rPr>
      </w:pPr>
      <w:r>
        <w:rPr>
          <w:rFonts w:hint="eastAsia" w:cs="宋体"/>
          <w:sz w:val="21"/>
        </w:rPr>
        <w:t>检测员：</w:t>
      </w:r>
      <w:r>
        <w:rPr>
          <w:rFonts w:hint="eastAsia" w:cs="宋体"/>
          <w:sz w:val="21"/>
          <w:u w:val="single"/>
        </w:rPr>
        <w:t xml:space="preserve">       </w:t>
      </w:r>
      <w:r>
        <w:rPr>
          <w:rFonts w:cs="宋体"/>
          <w:sz w:val="21"/>
        </w:rPr>
        <w:t xml:space="preserve">  </w:t>
      </w:r>
      <w:r>
        <w:rPr>
          <w:rFonts w:hint="eastAsia" w:cs="宋体"/>
          <w:sz w:val="21"/>
          <w:lang w:eastAsia="zh-CN"/>
        </w:rPr>
        <w:t>记录员</w:t>
      </w:r>
      <w:r>
        <w:rPr>
          <w:rFonts w:hint="eastAsia" w:cs="宋体"/>
          <w:sz w:val="21"/>
        </w:rPr>
        <w:t>：</w:t>
      </w:r>
      <w:r>
        <w:rPr>
          <w:rFonts w:hint="eastAsia" w:cs="宋体"/>
          <w:sz w:val="21"/>
          <w:u w:val="single"/>
        </w:rPr>
        <w:t xml:space="preserve">         </w:t>
      </w:r>
      <w:r>
        <w:rPr>
          <w:rFonts w:hint="eastAsia" w:cs="宋体"/>
          <w:sz w:val="21"/>
        </w:rPr>
        <w:t xml:space="preserve"> </w:t>
      </w:r>
      <w:r>
        <w:rPr>
          <w:rFonts w:cs="宋体"/>
          <w:sz w:val="21"/>
        </w:rPr>
        <w:t xml:space="preserve"> </w:t>
      </w:r>
      <w:r>
        <w:rPr>
          <w:rFonts w:hint="eastAsia" w:cs="宋体"/>
          <w:sz w:val="21"/>
        </w:rPr>
        <w:t>校核员：</w:t>
      </w:r>
      <w:r>
        <w:rPr>
          <w:rFonts w:hint="eastAsia" w:cs="宋体"/>
          <w:sz w:val="21"/>
          <w:u w:val="single"/>
        </w:rPr>
        <w:t xml:space="preserve">          </w:t>
      </w:r>
      <w:r>
        <w:rPr>
          <w:rFonts w:hint="eastAsia" w:cs="宋体"/>
          <w:sz w:val="21"/>
        </w:rPr>
        <w:t xml:space="preserve">   </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14:paraId="6E84FA95">
      <w:pPr>
        <w:rPr>
          <w:szCs w:val="24"/>
        </w:rPr>
      </w:pPr>
    </w:p>
    <w:p w14:paraId="5D3E9A4F">
      <w:pPr>
        <w:pStyle w:val="105"/>
      </w:pPr>
      <w:r>
        <w:rPr>
          <w:rFonts w:hint="eastAsia"/>
        </w:rPr>
        <w:t>表A.0.6-2　给水管道流量法检测记录表（小区计量）</w:t>
      </w:r>
    </w:p>
    <w:tbl>
      <w:tblPr>
        <w:tblStyle w:val="29"/>
        <w:tblW w:w="8310"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475"/>
        <w:gridCol w:w="2340"/>
        <w:gridCol w:w="1965"/>
        <w:gridCol w:w="1530"/>
      </w:tblGrid>
      <w:tr w14:paraId="5B60F5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475" w:type="dxa"/>
            <w:tcBorders>
              <w:tl2br w:val="nil"/>
              <w:tr2bl w:val="nil"/>
            </w:tcBorders>
            <w:shd w:val="clear" w:color="auto" w:fill="auto"/>
            <w:vAlign w:val="center"/>
          </w:tcPr>
          <w:p w14:paraId="7FF6A514">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小区名称</w:t>
            </w:r>
          </w:p>
        </w:tc>
        <w:tc>
          <w:tcPr>
            <w:tcW w:w="2340" w:type="dxa"/>
            <w:tcBorders>
              <w:tl2br w:val="nil"/>
              <w:tr2bl w:val="nil"/>
            </w:tcBorders>
            <w:shd w:val="clear" w:color="auto" w:fill="auto"/>
            <w:noWrap/>
            <w:vAlign w:val="center"/>
          </w:tcPr>
          <w:p w14:paraId="0A334F2A">
            <w:pPr>
              <w:spacing w:line="240" w:lineRule="auto"/>
              <w:rPr>
                <w:rFonts w:eastAsia="宋体" w:cs="Times New Roman"/>
                <w:color w:val="000000"/>
                <w:sz w:val="21"/>
                <w:szCs w:val="21"/>
              </w:rPr>
            </w:pPr>
          </w:p>
        </w:tc>
        <w:tc>
          <w:tcPr>
            <w:tcW w:w="1965" w:type="dxa"/>
            <w:tcBorders>
              <w:tl2br w:val="nil"/>
              <w:tr2bl w:val="nil"/>
            </w:tcBorders>
            <w:shd w:val="clear" w:color="auto" w:fill="auto"/>
            <w:vAlign w:val="center"/>
          </w:tcPr>
          <w:p w14:paraId="3978BFBC">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小区类型</w:t>
            </w:r>
          </w:p>
        </w:tc>
        <w:tc>
          <w:tcPr>
            <w:tcW w:w="1530" w:type="dxa"/>
            <w:tcBorders>
              <w:tl2br w:val="nil"/>
              <w:tr2bl w:val="nil"/>
            </w:tcBorders>
            <w:shd w:val="clear" w:color="auto" w:fill="auto"/>
            <w:noWrap/>
            <w:vAlign w:val="center"/>
          </w:tcPr>
          <w:p w14:paraId="721995FA">
            <w:pPr>
              <w:spacing w:line="240" w:lineRule="auto"/>
              <w:rPr>
                <w:rFonts w:eastAsia="宋体" w:cs="Times New Roman"/>
                <w:color w:val="000000"/>
                <w:sz w:val="21"/>
                <w:szCs w:val="21"/>
              </w:rPr>
            </w:pPr>
          </w:p>
        </w:tc>
      </w:tr>
      <w:tr w14:paraId="623E93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475" w:type="dxa"/>
            <w:tcBorders>
              <w:tl2br w:val="nil"/>
              <w:tr2bl w:val="nil"/>
            </w:tcBorders>
            <w:shd w:val="clear" w:color="auto" w:fill="auto"/>
            <w:vAlign w:val="center"/>
          </w:tcPr>
          <w:p w14:paraId="4EC7C293">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总表数量</w:t>
            </w:r>
          </w:p>
        </w:tc>
        <w:tc>
          <w:tcPr>
            <w:tcW w:w="2340" w:type="dxa"/>
            <w:tcBorders>
              <w:tl2br w:val="nil"/>
              <w:tr2bl w:val="nil"/>
            </w:tcBorders>
            <w:shd w:val="clear" w:color="auto" w:fill="auto"/>
            <w:noWrap/>
            <w:vAlign w:val="center"/>
          </w:tcPr>
          <w:p w14:paraId="706CA4D8">
            <w:pPr>
              <w:spacing w:line="240" w:lineRule="auto"/>
              <w:rPr>
                <w:rFonts w:eastAsia="宋体" w:cs="Times New Roman"/>
                <w:color w:val="000000"/>
                <w:sz w:val="21"/>
                <w:szCs w:val="21"/>
              </w:rPr>
            </w:pPr>
          </w:p>
        </w:tc>
        <w:tc>
          <w:tcPr>
            <w:tcW w:w="1965" w:type="dxa"/>
            <w:tcBorders>
              <w:tl2br w:val="nil"/>
              <w:tr2bl w:val="nil"/>
            </w:tcBorders>
            <w:shd w:val="clear" w:color="auto" w:fill="auto"/>
            <w:vAlign w:val="center"/>
          </w:tcPr>
          <w:p w14:paraId="60F077FD">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分表数量</w:t>
            </w:r>
          </w:p>
        </w:tc>
        <w:tc>
          <w:tcPr>
            <w:tcW w:w="1530" w:type="dxa"/>
            <w:tcBorders>
              <w:tl2br w:val="nil"/>
              <w:tr2bl w:val="nil"/>
            </w:tcBorders>
            <w:shd w:val="clear" w:color="auto" w:fill="auto"/>
            <w:vAlign w:val="center"/>
          </w:tcPr>
          <w:p w14:paraId="3878F10A">
            <w:pPr>
              <w:spacing w:line="240" w:lineRule="auto"/>
              <w:jc w:val="center"/>
              <w:rPr>
                <w:rFonts w:eastAsia="宋体" w:cs="Times New Roman"/>
                <w:color w:val="000000"/>
                <w:sz w:val="21"/>
                <w:szCs w:val="21"/>
              </w:rPr>
            </w:pPr>
          </w:p>
        </w:tc>
      </w:tr>
      <w:tr w14:paraId="33626A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475" w:type="dxa"/>
            <w:tcBorders>
              <w:tl2br w:val="nil"/>
              <w:tr2bl w:val="nil"/>
            </w:tcBorders>
            <w:shd w:val="clear" w:color="auto" w:fill="auto"/>
            <w:vAlign w:val="center"/>
          </w:tcPr>
          <w:p w14:paraId="56E4C3BE">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日水量(m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w:t>
            </w:r>
          </w:p>
        </w:tc>
        <w:tc>
          <w:tcPr>
            <w:tcW w:w="2340" w:type="dxa"/>
            <w:tcBorders>
              <w:tl2br w:val="nil"/>
              <w:tr2bl w:val="nil"/>
            </w:tcBorders>
            <w:shd w:val="clear" w:color="auto" w:fill="auto"/>
            <w:noWrap/>
            <w:vAlign w:val="center"/>
          </w:tcPr>
          <w:p w14:paraId="1E9AF9FA">
            <w:pPr>
              <w:spacing w:line="240" w:lineRule="auto"/>
              <w:rPr>
                <w:rFonts w:eastAsia="宋体" w:cs="Times New Roman"/>
                <w:color w:val="000000"/>
                <w:sz w:val="21"/>
                <w:szCs w:val="21"/>
              </w:rPr>
            </w:pPr>
          </w:p>
        </w:tc>
        <w:tc>
          <w:tcPr>
            <w:tcW w:w="1965" w:type="dxa"/>
            <w:tcBorders>
              <w:tl2br w:val="nil"/>
              <w:tr2bl w:val="nil"/>
            </w:tcBorders>
            <w:shd w:val="clear" w:color="auto" w:fill="auto"/>
            <w:vAlign w:val="center"/>
          </w:tcPr>
          <w:p w14:paraId="22C3AAD3">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日平均水量(m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w:t>
            </w:r>
          </w:p>
        </w:tc>
        <w:tc>
          <w:tcPr>
            <w:tcW w:w="1530" w:type="dxa"/>
            <w:tcBorders>
              <w:tl2br w:val="nil"/>
              <w:tr2bl w:val="nil"/>
            </w:tcBorders>
            <w:shd w:val="clear" w:color="auto" w:fill="auto"/>
            <w:vAlign w:val="center"/>
          </w:tcPr>
          <w:p w14:paraId="71E0BD80">
            <w:pPr>
              <w:spacing w:line="240" w:lineRule="auto"/>
              <w:jc w:val="center"/>
              <w:rPr>
                <w:rFonts w:eastAsia="宋体" w:cs="Times New Roman"/>
                <w:color w:val="000000"/>
                <w:sz w:val="21"/>
                <w:szCs w:val="21"/>
              </w:rPr>
            </w:pPr>
          </w:p>
        </w:tc>
      </w:tr>
      <w:tr w14:paraId="705E51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475" w:type="dxa"/>
            <w:tcBorders>
              <w:tl2br w:val="nil"/>
              <w:tr2bl w:val="nil"/>
            </w:tcBorders>
            <w:shd w:val="clear" w:color="auto" w:fill="auto"/>
            <w:vAlign w:val="center"/>
          </w:tcPr>
          <w:p w14:paraId="014BA80B">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日最小值(m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w:t>
            </w:r>
          </w:p>
        </w:tc>
        <w:tc>
          <w:tcPr>
            <w:tcW w:w="2340" w:type="dxa"/>
            <w:tcBorders>
              <w:tl2br w:val="nil"/>
              <w:tr2bl w:val="nil"/>
            </w:tcBorders>
            <w:shd w:val="clear" w:color="auto" w:fill="auto"/>
            <w:noWrap/>
            <w:vAlign w:val="center"/>
          </w:tcPr>
          <w:p w14:paraId="04D63AB2">
            <w:pPr>
              <w:spacing w:line="240" w:lineRule="auto"/>
              <w:rPr>
                <w:rFonts w:eastAsia="宋体" w:cs="Times New Roman"/>
                <w:color w:val="000000"/>
                <w:sz w:val="21"/>
                <w:szCs w:val="21"/>
              </w:rPr>
            </w:pPr>
          </w:p>
        </w:tc>
        <w:tc>
          <w:tcPr>
            <w:tcW w:w="1965" w:type="dxa"/>
            <w:tcBorders>
              <w:tl2br w:val="nil"/>
              <w:tr2bl w:val="nil"/>
            </w:tcBorders>
            <w:shd w:val="clear" w:color="auto" w:fill="auto"/>
            <w:vAlign w:val="center"/>
          </w:tcPr>
          <w:p w14:paraId="356AA694">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夜间最小流量(m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w:t>
            </w:r>
          </w:p>
        </w:tc>
        <w:tc>
          <w:tcPr>
            <w:tcW w:w="1530" w:type="dxa"/>
            <w:tcBorders>
              <w:tl2br w:val="nil"/>
              <w:tr2bl w:val="nil"/>
            </w:tcBorders>
            <w:shd w:val="clear" w:color="auto" w:fill="auto"/>
            <w:noWrap/>
            <w:vAlign w:val="center"/>
          </w:tcPr>
          <w:p w14:paraId="37753154">
            <w:pPr>
              <w:spacing w:line="240" w:lineRule="auto"/>
              <w:rPr>
                <w:rFonts w:eastAsia="宋体" w:cs="Times New Roman"/>
                <w:color w:val="000000"/>
                <w:sz w:val="21"/>
                <w:szCs w:val="21"/>
              </w:rPr>
            </w:pPr>
          </w:p>
        </w:tc>
      </w:tr>
      <w:tr w14:paraId="4DF2BA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475" w:type="dxa"/>
            <w:tcBorders>
              <w:tl2br w:val="nil"/>
              <w:tr2bl w:val="nil"/>
            </w:tcBorders>
            <w:shd w:val="clear" w:color="auto" w:fill="auto"/>
            <w:vAlign w:val="center"/>
          </w:tcPr>
          <w:p w14:paraId="47B38B5A">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平均夜间最小流量(m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w:t>
            </w:r>
          </w:p>
        </w:tc>
        <w:tc>
          <w:tcPr>
            <w:tcW w:w="2340" w:type="dxa"/>
            <w:tcBorders>
              <w:tl2br w:val="nil"/>
              <w:tr2bl w:val="nil"/>
            </w:tcBorders>
            <w:shd w:val="clear" w:color="auto" w:fill="auto"/>
            <w:noWrap/>
            <w:vAlign w:val="center"/>
          </w:tcPr>
          <w:p w14:paraId="53E892E2">
            <w:pPr>
              <w:spacing w:line="240" w:lineRule="auto"/>
              <w:rPr>
                <w:rFonts w:eastAsia="宋体" w:cs="Times New Roman"/>
                <w:color w:val="000000"/>
                <w:sz w:val="21"/>
                <w:szCs w:val="21"/>
              </w:rPr>
            </w:pPr>
          </w:p>
        </w:tc>
        <w:tc>
          <w:tcPr>
            <w:tcW w:w="1965" w:type="dxa"/>
            <w:tcBorders>
              <w:tl2br w:val="nil"/>
              <w:tr2bl w:val="nil"/>
            </w:tcBorders>
            <w:shd w:val="clear" w:color="auto" w:fill="auto"/>
            <w:vAlign w:val="center"/>
          </w:tcPr>
          <w:p w14:paraId="58EE71EC">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合理夜间最小流量(m</w:t>
            </w:r>
            <w:r>
              <w:rPr>
                <w:rFonts w:eastAsia="宋体" w:cs="Times New Roman"/>
                <w:color w:val="000000"/>
                <w:kern w:val="0"/>
                <w:sz w:val="21"/>
                <w:szCs w:val="21"/>
                <w:vertAlign w:val="superscript"/>
                <w:lang w:bidi="ar"/>
              </w:rPr>
              <w:t>3</w:t>
            </w:r>
            <w:r>
              <w:rPr>
                <w:rFonts w:eastAsia="宋体" w:cs="Times New Roman"/>
                <w:color w:val="000000"/>
                <w:kern w:val="0"/>
                <w:sz w:val="21"/>
                <w:szCs w:val="21"/>
                <w:lang w:bidi="ar"/>
              </w:rPr>
              <w:t>/h)</w:t>
            </w:r>
          </w:p>
        </w:tc>
        <w:tc>
          <w:tcPr>
            <w:tcW w:w="1530" w:type="dxa"/>
            <w:tcBorders>
              <w:tl2br w:val="nil"/>
              <w:tr2bl w:val="nil"/>
            </w:tcBorders>
            <w:shd w:val="clear" w:color="auto" w:fill="auto"/>
            <w:noWrap/>
            <w:vAlign w:val="center"/>
          </w:tcPr>
          <w:p w14:paraId="7CC651B8">
            <w:pPr>
              <w:spacing w:line="240" w:lineRule="auto"/>
              <w:rPr>
                <w:rFonts w:eastAsia="宋体" w:cs="Times New Roman"/>
                <w:color w:val="000000"/>
                <w:sz w:val="21"/>
                <w:szCs w:val="21"/>
              </w:rPr>
            </w:pPr>
          </w:p>
        </w:tc>
      </w:tr>
      <w:tr w14:paraId="673D75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475" w:type="dxa"/>
            <w:tcBorders>
              <w:tl2br w:val="nil"/>
              <w:tr2bl w:val="nil"/>
            </w:tcBorders>
            <w:shd w:val="clear" w:color="auto" w:fill="auto"/>
            <w:vAlign w:val="center"/>
          </w:tcPr>
          <w:p w14:paraId="60D2F84B">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KL值</w:t>
            </w:r>
          </w:p>
        </w:tc>
        <w:tc>
          <w:tcPr>
            <w:tcW w:w="2340" w:type="dxa"/>
            <w:tcBorders>
              <w:tl2br w:val="nil"/>
              <w:tr2bl w:val="nil"/>
            </w:tcBorders>
            <w:shd w:val="clear" w:color="auto" w:fill="auto"/>
            <w:noWrap/>
            <w:vAlign w:val="center"/>
          </w:tcPr>
          <w:p w14:paraId="3409E6A5">
            <w:pPr>
              <w:spacing w:line="240" w:lineRule="auto"/>
              <w:rPr>
                <w:rFonts w:eastAsia="宋体" w:cs="Times New Roman"/>
                <w:color w:val="000000"/>
                <w:sz w:val="21"/>
                <w:szCs w:val="21"/>
              </w:rPr>
            </w:pPr>
          </w:p>
        </w:tc>
        <w:tc>
          <w:tcPr>
            <w:tcW w:w="1965" w:type="dxa"/>
            <w:tcBorders>
              <w:tl2br w:val="nil"/>
              <w:tr2bl w:val="nil"/>
            </w:tcBorders>
            <w:shd w:val="clear" w:color="auto" w:fill="auto"/>
            <w:vAlign w:val="center"/>
          </w:tcPr>
          <w:p w14:paraId="03711BDE">
            <w:pPr>
              <w:widowControl/>
              <w:spacing w:line="240" w:lineRule="auto"/>
              <w:jc w:val="center"/>
              <w:textAlignment w:val="center"/>
              <w:rPr>
                <w:rFonts w:eastAsia="宋体" w:cs="Times New Roman"/>
                <w:color w:val="000000"/>
                <w:sz w:val="21"/>
                <w:szCs w:val="21"/>
              </w:rPr>
            </w:pPr>
            <w:r>
              <w:rPr>
                <w:rFonts w:eastAsia="宋体" w:cs="Times New Roman"/>
                <w:color w:val="000000"/>
                <w:kern w:val="0"/>
                <w:sz w:val="21"/>
                <w:szCs w:val="21"/>
                <w:lang w:bidi="ar"/>
              </w:rPr>
              <w:t>ID</w:t>
            </w:r>
          </w:p>
        </w:tc>
        <w:tc>
          <w:tcPr>
            <w:tcW w:w="1530" w:type="dxa"/>
            <w:tcBorders>
              <w:tl2br w:val="nil"/>
              <w:tr2bl w:val="nil"/>
            </w:tcBorders>
            <w:shd w:val="clear" w:color="auto" w:fill="auto"/>
            <w:noWrap/>
            <w:vAlign w:val="center"/>
          </w:tcPr>
          <w:p w14:paraId="141BC2FA">
            <w:pPr>
              <w:spacing w:line="240" w:lineRule="auto"/>
              <w:rPr>
                <w:rFonts w:eastAsia="宋体" w:cs="Times New Roman"/>
                <w:color w:val="000000"/>
                <w:sz w:val="21"/>
                <w:szCs w:val="21"/>
              </w:rPr>
            </w:pPr>
          </w:p>
        </w:tc>
      </w:tr>
      <w:tr w14:paraId="5388A0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2475" w:type="dxa"/>
            <w:tcBorders>
              <w:tl2br w:val="nil"/>
              <w:tr2bl w:val="nil"/>
            </w:tcBorders>
            <w:shd w:val="clear" w:color="auto" w:fill="auto"/>
            <w:vAlign w:val="center"/>
          </w:tcPr>
          <w:p w14:paraId="2E996AFD">
            <w:pPr>
              <w:widowControl/>
              <w:spacing w:line="240" w:lineRule="auto"/>
              <w:jc w:val="center"/>
              <w:textAlignment w:val="center"/>
              <w:rPr>
                <w:rFonts w:eastAsia="宋体" w:cs="Times New Roman"/>
                <w:color w:val="000000"/>
                <w:kern w:val="0"/>
                <w:sz w:val="21"/>
                <w:szCs w:val="21"/>
                <w:lang w:bidi="ar"/>
              </w:rPr>
            </w:pPr>
            <w:r>
              <w:rPr>
                <w:rFonts w:eastAsia="宋体" w:cs="Times New Roman"/>
                <w:color w:val="000000"/>
                <w:kern w:val="0"/>
                <w:sz w:val="21"/>
                <w:szCs w:val="21"/>
                <w:lang w:bidi="ar"/>
              </w:rPr>
              <w:t>备注</w:t>
            </w:r>
          </w:p>
        </w:tc>
        <w:tc>
          <w:tcPr>
            <w:tcW w:w="5835" w:type="dxa"/>
            <w:gridSpan w:val="3"/>
            <w:tcBorders>
              <w:tl2br w:val="nil"/>
              <w:tr2bl w:val="nil"/>
            </w:tcBorders>
            <w:shd w:val="clear" w:color="auto" w:fill="auto"/>
            <w:noWrap/>
            <w:vAlign w:val="center"/>
          </w:tcPr>
          <w:p w14:paraId="3C5C641B">
            <w:pPr>
              <w:spacing w:line="240" w:lineRule="auto"/>
              <w:rPr>
                <w:rFonts w:eastAsia="宋体" w:cs="Times New Roman"/>
                <w:color w:val="000000"/>
                <w:sz w:val="21"/>
                <w:szCs w:val="21"/>
              </w:rPr>
            </w:pPr>
          </w:p>
        </w:tc>
      </w:tr>
    </w:tbl>
    <w:p w14:paraId="29793FF5">
      <w:pPr>
        <w:pStyle w:val="2"/>
        <w:ind w:left="0" w:firstLine="0" w:firstLineChars="0"/>
        <w:rPr>
          <w:rFonts w:cs="Times New Roman"/>
          <w:bCs/>
          <w:color w:val="000000"/>
          <w:sz w:val="21"/>
        </w:rPr>
      </w:pPr>
      <w:r>
        <w:rPr>
          <w:rFonts w:hint="eastAsia" w:cs="宋体"/>
          <w:sz w:val="21"/>
        </w:rPr>
        <w:t>检测员：</w:t>
      </w:r>
      <w:r>
        <w:rPr>
          <w:rFonts w:hint="eastAsia" w:cs="宋体"/>
          <w:sz w:val="21"/>
          <w:u w:val="single"/>
        </w:rPr>
        <w:t xml:space="preserve">       </w:t>
      </w:r>
      <w:r>
        <w:rPr>
          <w:rFonts w:cs="宋体"/>
          <w:sz w:val="21"/>
        </w:rPr>
        <w:t xml:space="preserve">  </w:t>
      </w:r>
      <w:r>
        <w:rPr>
          <w:rFonts w:hint="eastAsia" w:cs="宋体"/>
          <w:sz w:val="21"/>
          <w:lang w:eastAsia="zh-CN"/>
        </w:rPr>
        <w:t>记录员</w:t>
      </w:r>
      <w:r>
        <w:rPr>
          <w:rFonts w:hint="eastAsia" w:cs="宋体"/>
          <w:sz w:val="21"/>
        </w:rPr>
        <w:t>：</w:t>
      </w:r>
      <w:r>
        <w:rPr>
          <w:rFonts w:hint="eastAsia" w:cs="宋体"/>
          <w:sz w:val="21"/>
          <w:u w:val="single"/>
        </w:rPr>
        <w:t xml:space="preserve">         </w:t>
      </w:r>
      <w:r>
        <w:rPr>
          <w:rFonts w:hint="eastAsia" w:cs="宋体"/>
          <w:sz w:val="21"/>
        </w:rPr>
        <w:t xml:space="preserve"> </w:t>
      </w:r>
      <w:r>
        <w:rPr>
          <w:rFonts w:cs="宋体"/>
          <w:sz w:val="21"/>
        </w:rPr>
        <w:t xml:space="preserve"> </w:t>
      </w:r>
      <w:r>
        <w:rPr>
          <w:rFonts w:hint="eastAsia" w:cs="宋体"/>
          <w:sz w:val="21"/>
        </w:rPr>
        <w:t>校核员：</w:t>
      </w:r>
      <w:r>
        <w:rPr>
          <w:rFonts w:hint="eastAsia" w:cs="宋体"/>
          <w:sz w:val="21"/>
          <w:u w:val="single"/>
        </w:rPr>
        <w:t xml:space="preserve">          </w:t>
      </w:r>
      <w:r>
        <w:rPr>
          <w:rFonts w:hint="eastAsia" w:cs="宋体"/>
          <w:sz w:val="21"/>
        </w:rPr>
        <w:t xml:space="preserve">   </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14:paraId="7743AD54">
      <w:pPr>
        <w:rPr>
          <w:szCs w:val="24"/>
        </w:rPr>
      </w:pPr>
    </w:p>
    <w:p w14:paraId="37891F00">
      <w:pPr>
        <w:rPr>
          <w:szCs w:val="24"/>
        </w:rPr>
      </w:pPr>
      <w:r>
        <w:rPr>
          <w:rFonts w:hint="eastAsia"/>
          <w:szCs w:val="24"/>
        </w:rPr>
        <w:br w:type="page"/>
      </w:r>
    </w:p>
    <w:p w14:paraId="435F5389">
      <w:pPr>
        <w:rPr>
          <w:szCs w:val="24"/>
        </w:rPr>
      </w:pPr>
      <w:r>
        <w:rPr>
          <w:rFonts w:hint="eastAsia" w:eastAsia="宋体" w:cs="Times New Roman"/>
          <w:b/>
          <w:color w:val="000000"/>
          <w:szCs w:val="24"/>
        </w:rPr>
        <w:t>A.0.7　</w:t>
      </w:r>
      <w:r>
        <w:rPr>
          <w:rFonts w:hint="eastAsia"/>
          <w:szCs w:val="24"/>
        </w:rPr>
        <w:t>给水管道压力法检测记录应按表A.0.7填写。</w:t>
      </w:r>
    </w:p>
    <w:p w14:paraId="77E6D5A1">
      <w:pPr>
        <w:pStyle w:val="105"/>
      </w:pPr>
      <w:r>
        <w:rPr>
          <w:rFonts w:hint="eastAsia"/>
        </w:rPr>
        <w:t>表A.0.7　给水管道压力法检测记录表（片区计量）</w:t>
      </w:r>
    </w:p>
    <w:tbl>
      <w:tblPr>
        <w:tblStyle w:val="29"/>
        <w:tblW w:w="8163"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07"/>
        <w:gridCol w:w="907"/>
        <w:gridCol w:w="907"/>
        <w:gridCol w:w="907"/>
        <w:gridCol w:w="907"/>
        <w:gridCol w:w="907"/>
        <w:gridCol w:w="907"/>
        <w:gridCol w:w="907"/>
        <w:gridCol w:w="907"/>
      </w:tblGrid>
      <w:tr w14:paraId="71364D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907" w:type="dxa"/>
            <w:tcBorders>
              <w:tl2br w:val="nil"/>
              <w:tr2bl w:val="nil"/>
            </w:tcBorders>
            <w:shd w:val="clear" w:color="auto" w:fill="auto"/>
            <w:vAlign w:val="center"/>
          </w:tcPr>
          <w:p w14:paraId="3B6882FC">
            <w:pPr>
              <w:widowControl/>
              <w:snapToGrid w:val="0"/>
              <w:spacing w:line="240" w:lineRule="auto"/>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区域</w:t>
            </w:r>
          </w:p>
        </w:tc>
        <w:tc>
          <w:tcPr>
            <w:tcW w:w="907" w:type="dxa"/>
            <w:tcBorders>
              <w:tl2br w:val="nil"/>
              <w:tr2bl w:val="nil"/>
            </w:tcBorders>
            <w:shd w:val="clear" w:color="auto" w:fill="auto"/>
            <w:vAlign w:val="center"/>
          </w:tcPr>
          <w:p w14:paraId="3CB34AB8">
            <w:pPr>
              <w:widowControl/>
              <w:snapToGrid w:val="0"/>
              <w:spacing w:line="240" w:lineRule="auto"/>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站点</w:t>
            </w:r>
          </w:p>
        </w:tc>
        <w:tc>
          <w:tcPr>
            <w:tcW w:w="907" w:type="dxa"/>
            <w:tcBorders>
              <w:tl2br w:val="nil"/>
              <w:tr2bl w:val="nil"/>
            </w:tcBorders>
            <w:shd w:val="clear" w:color="auto" w:fill="auto"/>
            <w:vAlign w:val="center"/>
          </w:tcPr>
          <w:p w14:paraId="0FC23EB5">
            <w:pPr>
              <w:widowControl/>
              <w:snapToGrid w:val="0"/>
              <w:spacing w:line="240" w:lineRule="auto"/>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上传时间</w:t>
            </w:r>
          </w:p>
        </w:tc>
        <w:tc>
          <w:tcPr>
            <w:tcW w:w="907" w:type="dxa"/>
            <w:tcBorders>
              <w:tl2br w:val="nil"/>
              <w:tr2bl w:val="nil"/>
            </w:tcBorders>
            <w:shd w:val="clear" w:color="auto" w:fill="auto"/>
            <w:noWrap/>
            <w:vAlign w:val="center"/>
          </w:tcPr>
          <w:p w14:paraId="0C4C6C9B">
            <w:pPr>
              <w:widowControl/>
              <w:snapToGrid w:val="0"/>
              <w:spacing w:line="240" w:lineRule="auto"/>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最大值</w:t>
            </w:r>
          </w:p>
        </w:tc>
        <w:tc>
          <w:tcPr>
            <w:tcW w:w="907" w:type="dxa"/>
            <w:tcBorders>
              <w:tl2br w:val="nil"/>
              <w:tr2bl w:val="nil"/>
            </w:tcBorders>
            <w:shd w:val="clear" w:color="auto" w:fill="auto"/>
            <w:noWrap/>
            <w:vAlign w:val="center"/>
          </w:tcPr>
          <w:p w14:paraId="628E0897">
            <w:pPr>
              <w:widowControl/>
              <w:snapToGrid w:val="0"/>
              <w:spacing w:line="240" w:lineRule="auto"/>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最大值时间</w:t>
            </w:r>
          </w:p>
        </w:tc>
        <w:tc>
          <w:tcPr>
            <w:tcW w:w="907" w:type="dxa"/>
            <w:tcBorders>
              <w:tl2br w:val="nil"/>
              <w:tr2bl w:val="nil"/>
            </w:tcBorders>
            <w:shd w:val="clear" w:color="auto" w:fill="auto"/>
            <w:noWrap/>
            <w:vAlign w:val="center"/>
          </w:tcPr>
          <w:p w14:paraId="01A7F6C7">
            <w:pPr>
              <w:widowControl/>
              <w:snapToGrid w:val="0"/>
              <w:spacing w:line="240" w:lineRule="auto"/>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最小值</w:t>
            </w:r>
          </w:p>
        </w:tc>
        <w:tc>
          <w:tcPr>
            <w:tcW w:w="907" w:type="dxa"/>
            <w:tcBorders>
              <w:tl2br w:val="nil"/>
              <w:tr2bl w:val="nil"/>
            </w:tcBorders>
            <w:shd w:val="clear" w:color="auto" w:fill="auto"/>
            <w:vAlign w:val="center"/>
          </w:tcPr>
          <w:p w14:paraId="47CD2897">
            <w:pPr>
              <w:widowControl/>
              <w:snapToGrid w:val="0"/>
              <w:spacing w:line="240" w:lineRule="auto"/>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最小值时间</w:t>
            </w:r>
          </w:p>
        </w:tc>
        <w:tc>
          <w:tcPr>
            <w:tcW w:w="907" w:type="dxa"/>
            <w:tcBorders>
              <w:tl2br w:val="nil"/>
              <w:tr2bl w:val="nil"/>
            </w:tcBorders>
            <w:shd w:val="clear" w:color="auto" w:fill="auto"/>
            <w:vAlign w:val="center"/>
          </w:tcPr>
          <w:p w14:paraId="0FBA79B0">
            <w:pPr>
              <w:widowControl/>
              <w:snapToGrid w:val="0"/>
              <w:spacing w:line="240" w:lineRule="auto"/>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平均值</w:t>
            </w:r>
          </w:p>
        </w:tc>
        <w:tc>
          <w:tcPr>
            <w:tcW w:w="907" w:type="dxa"/>
            <w:tcBorders>
              <w:tl2br w:val="nil"/>
              <w:tr2bl w:val="nil"/>
            </w:tcBorders>
            <w:shd w:val="clear" w:color="auto" w:fill="auto"/>
            <w:vAlign w:val="center"/>
          </w:tcPr>
          <w:p w14:paraId="3EDBE05A">
            <w:pPr>
              <w:widowControl/>
              <w:snapToGrid w:val="0"/>
              <w:spacing w:line="240" w:lineRule="auto"/>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状态</w:t>
            </w:r>
          </w:p>
        </w:tc>
      </w:tr>
      <w:tr w14:paraId="509EE4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14:paraId="7A2BC354">
            <w:pPr>
              <w:widowControl/>
              <w:snapToGrid w:val="0"/>
              <w:spacing w:line="240" w:lineRule="auto"/>
              <w:rPr>
                <w:rFonts w:ascii="宋体" w:hAnsi="宋体" w:eastAsia="宋体" w:cs="宋体"/>
                <w:color w:val="FF0000"/>
                <w:sz w:val="21"/>
                <w:szCs w:val="21"/>
              </w:rPr>
            </w:pPr>
          </w:p>
        </w:tc>
        <w:tc>
          <w:tcPr>
            <w:tcW w:w="907" w:type="dxa"/>
            <w:tcBorders>
              <w:tl2br w:val="nil"/>
              <w:tr2bl w:val="nil"/>
            </w:tcBorders>
            <w:shd w:val="clear" w:color="auto" w:fill="auto"/>
            <w:noWrap/>
            <w:vAlign w:val="center"/>
          </w:tcPr>
          <w:p w14:paraId="6190B421">
            <w:pPr>
              <w:widowControl/>
              <w:snapToGrid w:val="0"/>
              <w:spacing w:line="240" w:lineRule="auto"/>
              <w:rPr>
                <w:rFonts w:ascii="宋体" w:hAnsi="宋体" w:eastAsia="宋体" w:cs="宋体"/>
                <w:color w:val="FF0000"/>
                <w:sz w:val="21"/>
                <w:szCs w:val="21"/>
              </w:rPr>
            </w:pPr>
          </w:p>
        </w:tc>
        <w:tc>
          <w:tcPr>
            <w:tcW w:w="907" w:type="dxa"/>
            <w:tcBorders>
              <w:tl2br w:val="nil"/>
              <w:tr2bl w:val="nil"/>
            </w:tcBorders>
            <w:shd w:val="clear" w:color="auto" w:fill="auto"/>
            <w:noWrap/>
            <w:vAlign w:val="center"/>
          </w:tcPr>
          <w:p w14:paraId="6ADECE99">
            <w:pPr>
              <w:widowControl/>
              <w:snapToGrid w:val="0"/>
              <w:spacing w:line="240" w:lineRule="auto"/>
              <w:jc w:val="center"/>
              <w:rPr>
                <w:rFonts w:ascii="Arial" w:hAnsi="Arial" w:eastAsia="宋体" w:cs="Arial"/>
                <w:color w:val="FF0000"/>
                <w:sz w:val="21"/>
                <w:szCs w:val="21"/>
              </w:rPr>
            </w:pPr>
          </w:p>
        </w:tc>
        <w:tc>
          <w:tcPr>
            <w:tcW w:w="907" w:type="dxa"/>
            <w:tcBorders>
              <w:tl2br w:val="nil"/>
              <w:tr2bl w:val="nil"/>
            </w:tcBorders>
            <w:shd w:val="clear" w:color="auto" w:fill="auto"/>
            <w:noWrap/>
            <w:vAlign w:val="center"/>
          </w:tcPr>
          <w:p w14:paraId="6F40D68F">
            <w:pPr>
              <w:widowControl/>
              <w:snapToGrid w:val="0"/>
              <w:spacing w:line="240" w:lineRule="auto"/>
              <w:jc w:val="center"/>
              <w:rPr>
                <w:rFonts w:ascii="Arial" w:hAnsi="Arial" w:eastAsia="宋体" w:cs="Arial"/>
                <w:color w:val="FF0000"/>
                <w:sz w:val="21"/>
                <w:szCs w:val="21"/>
              </w:rPr>
            </w:pPr>
          </w:p>
        </w:tc>
        <w:tc>
          <w:tcPr>
            <w:tcW w:w="907" w:type="dxa"/>
            <w:tcBorders>
              <w:tl2br w:val="nil"/>
              <w:tr2bl w:val="nil"/>
            </w:tcBorders>
            <w:shd w:val="clear" w:color="auto" w:fill="auto"/>
            <w:noWrap/>
            <w:vAlign w:val="center"/>
          </w:tcPr>
          <w:p w14:paraId="20A6BFC1">
            <w:pPr>
              <w:widowControl/>
              <w:snapToGrid w:val="0"/>
              <w:spacing w:line="240" w:lineRule="auto"/>
              <w:jc w:val="center"/>
              <w:rPr>
                <w:rFonts w:ascii="Arial" w:hAnsi="Arial" w:eastAsia="宋体" w:cs="Arial"/>
                <w:color w:val="FF0000"/>
                <w:sz w:val="21"/>
                <w:szCs w:val="21"/>
              </w:rPr>
            </w:pPr>
          </w:p>
        </w:tc>
        <w:tc>
          <w:tcPr>
            <w:tcW w:w="907" w:type="dxa"/>
            <w:tcBorders>
              <w:tl2br w:val="nil"/>
              <w:tr2bl w:val="nil"/>
            </w:tcBorders>
            <w:shd w:val="clear" w:color="auto" w:fill="auto"/>
            <w:noWrap/>
            <w:vAlign w:val="center"/>
          </w:tcPr>
          <w:p w14:paraId="68FD62C8">
            <w:pPr>
              <w:widowControl/>
              <w:snapToGrid w:val="0"/>
              <w:spacing w:line="240" w:lineRule="auto"/>
              <w:jc w:val="center"/>
              <w:rPr>
                <w:rFonts w:ascii="Arial" w:hAnsi="Arial" w:eastAsia="宋体" w:cs="Arial"/>
                <w:color w:val="FF0000"/>
                <w:sz w:val="21"/>
                <w:szCs w:val="21"/>
              </w:rPr>
            </w:pPr>
          </w:p>
        </w:tc>
        <w:tc>
          <w:tcPr>
            <w:tcW w:w="907" w:type="dxa"/>
            <w:tcBorders>
              <w:tl2br w:val="nil"/>
              <w:tr2bl w:val="nil"/>
            </w:tcBorders>
            <w:shd w:val="clear" w:color="auto" w:fill="auto"/>
            <w:noWrap/>
            <w:vAlign w:val="center"/>
          </w:tcPr>
          <w:p w14:paraId="7AFE44F6">
            <w:pPr>
              <w:widowControl/>
              <w:snapToGrid w:val="0"/>
              <w:spacing w:line="240" w:lineRule="auto"/>
              <w:jc w:val="center"/>
              <w:rPr>
                <w:rFonts w:ascii="Arial" w:hAnsi="Arial" w:eastAsia="宋体" w:cs="Arial"/>
                <w:color w:val="FF0000"/>
                <w:sz w:val="21"/>
                <w:szCs w:val="21"/>
              </w:rPr>
            </w:pPr>
          </w:p>
        </w:tc>
        <w:tc>
          <w:tcPr>
            <w:tcW w:w="907" w:type="dxa"/>
            <w:tcBorders>
              <w:tl2br w:val="nil"/>
              <w:tr2bl w:val="nil"/>
            </w:tcBorders>
            <w:shd w:val="clear" w:color="auto" w:fill="auto"/>
            <w:noWrap/>
            <w:vAlign w:val="center"/>
          </w:tcPr>
          <w:p w14:paraId="798D096F">
            <w:pPr>
              <w:widowControl/>
              <w:snapToGrid w:val="0"/>
              <w:spacing w:line="240" w:lineRule="auto"/>
              <w:jc w:val="center"/>
              <w:rPr>
                <w:rFonts w:ascii="Arial" w:hAnsi="Arial" w:eastAsia="宋体" w:cs="Arial"/>
                <w:color w:val="FF0000"/>
                <w:sz w:val="21"/>
                <w:szCs w:val="21"/>
              </w:rPr>
            </w:pPr>
          </w:p>
        </w:tc>
        <w:tc>
          <w:tcPr>
            <w:tcW w:w="907" w:type="dxa"/>
            <w:tcBorders>
              <w:tl2br w:val="nil"/>
              <w:tr2bl w:val="nil"/>
            </w:tcBorders>
            <w:shd w:val="clear" w:color="auto" w:fill="auto"/>
            <w:noWrap/>
            <w:vAlign w:val="center"/>
          </w:tcPr>
          <w:p w14:paraId="6E55468A">
            <w:pPr>
              <w:widowControl/>
              <w:snapToGrid w:val="0"/>
              <w:spacing w:line="240" w:lineRule="auto"/>
              <w:rPr>
                <w:rFonts w:ascii="宋体" w:hAnsi="宋体" w:eastAsia="宋体" w:cs="宋体"/>
                <w:color w:val="000000"/>
                <w:sz w:val="21"/>
                <w:szCs w:val="21"/>
              </w:rPr>
            </w:pPr>
          </w:p>
        </w:tc>
      </w:tr>
      <w:tr w14:paraId="0AC096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14:paraId="2B0F67DE">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247C8466">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19E2441">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206A6720">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3F7C6DB6">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4E31AFC">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0A7CA494">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16AF3ED">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97793AB">
            <w:pPr>
              <w:widowControl/>
              <w:snapToGrid w:val="0"/>
              <w:spacing w:line="240" w:lineRule="auto"/>
              <w:rPr>
                <w:rFonts w:ascii="宋体" w:hAnsi="宋体" w:eastAsia="宋体" w:cs="宋体"/>
                <w:color w:val="000000"/>
                <w:sz w:val="21"/>
                <w:szCs w:val="21"/>
              </w:rPr>
            </w:pPr>
          </w:p>
        </w:tc>
      </w:tr>
      <w:tr w14:paraId="4B72F3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14:paraId="1BD97B58">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3F6998D1">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38BED0D6">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63A579E1">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0CAC4D31">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C7726BC">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3564F19F">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16147654">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20AE9FE6">
            <w:pPr>
              <w:widowControl/>
              <w:snapToGrid w:val="0"/>
              <w:spacing w:line="240" w:lineRule="auto"/>
              <w:rPr>
                <w:rFonts w:ascii="宋体" w:hAnsi="宋体" w:eastAsia="宋体" w:cs="宋体"/>
                <w:color w:val="000000"/>
                <w:sz w:val="21"/>
                <w:szCs w:val="21"/>
              </w:rPr>
            </w:pPr>
          </w:p>
        </w:tc>
      </w:tr>
      <w:tr w14:paraId="489836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14:paraId="4A1DA6CD">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3708D786">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374C3CCD">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535FF7F3">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34FAD78B">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5C1D3D5D">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0D1AFDBA">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2CBC6ECC">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68E275F5">
            <w:pPr>
              <w:widowControl/>
              <w:snapToGrid w:val="0"/>
              <w:spacing w:line="240" w:lineRule="auto"/>
              <w:rPr>
                <w:rFonts w:ascii="宋体" w:hAnsi="宋体" w:eastAsia="宋体" w:cs="宋体"/>
                <w:color w:val="000000"/>
                <w:sz w:val="21"/>
                <w:szCs w:val="21"/>
              </w:rPr>
            </w:pPr>
          </w:p>
        </w:tc>
      </w:tr>
      <w:tr w14:paraId="72B84B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14:paraId="324B2D06">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DF74815">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2906B29B">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5CB7860">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1592C9E8">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094FCF6A">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5A00660E">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0B0D8603">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7CEB82B1">
            <w:pPr>
              <w:widowControl/>
              <w:snapToGrid w:val="0"/>
              <w:spacing w:line="240" w:lineRule="auto"/>
              <w:rPr>
                <w:rFonts w:ascii="宋体" w:hAnsi="宋体" w:eastAsia="宋体" w:cs="宋体"/>
                <w:color w:val="000000"/>
                <w:sz w:val="21"/>
                <w:szCs w:val="21"/>
              </w:rPr>
            </w:pPr>
          </w:p>
        </w:tc>
      </w:tr>
      <w:tr w14:paraId="42A617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14:paraId="63432CC1">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306D6F9C">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2546C7E5">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55B5BDCA">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525CBDBD">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31692591">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7268F59">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97E527E">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0EFF0C9E">
            <w:pPr>
              <w:widowControl/>
              <w:snapToGrid w:val="0"/>
              <w:spacing w:line="240" w:lineRule="auto"/>
              <w:rPr>
                <w:rFonts w:ascii="宋体" w:hAnsi="宋体" w:eastAsia="宋体" w:cs="宋体"/>
                <w:color w:val="000000"/>
                <w:sz w:val="21"/>
                <w:szCs w:val="21"/>
              </w:rPr>
            </w:pPr>
          </w:p>
        </w:tc>
      </w:tr>
      <w:tr w14:paraId="0C7A39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14:paraId="601B1BA4">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1E7B8897">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1B28931C">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7F5F0DE5">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0CE06E02">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525617AF">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04628740">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54B8CB61">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686B7CA8">
            <w:pPr>
              <w:widowControl/>
              <w:snapToGrid w:val="0"/>
              <w:spacing w:line="240" w:lineRule="auto"/>
              <w:rPr>
                <w:rFonts w:ascii="宋体" w:hAnsi="宋体" w:eastAsia="宋体" w:cs="宋体"/>
                <w:color w:val="000000"/>
                <w:sz w:val="21"/>
                <w:szCs w:val="21"/>
              </w:rPr>
            </w:pPr>
          </w:p>
        </w:tc>
      </w:tr>
      <w:tr w14:paraId="008CC0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14:paraId="2598E171">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B55C140">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0BCFADAE">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148CBB3D">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6BFDFC40">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64D929A">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576732A">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12DC01DE">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715AB10F">
            <w:pPr>
              <w:widowControl/>
              <w:snapToGrid w:val="0"/>
              <w:spacing w:line="240" w:lineRule="auto"/>
              <w:rPr>
                <w:rFonts w:ascii="宋体" w:hAnsi="宋体" w:eastAsia="宋体" w:cs="宋体"/>
                <w:color w:val="000000"/>
                <w:sz w:val="21"/>
                <w:szCs w:val="21"/>
              </w:rPr>
            </w:pPr>
          </w:p>
        </w:tc>
      </w:tr>
      <w:tr w14:paraId="6A2F96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14:paraId="262B8F44">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72106AEA">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E4B0424">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79180B1E">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133D3FDB">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2FF013F0">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53ACBEA">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3057FBB1">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61E1D7FA">
            <w:pPr>
              <w:widowControl/>
              <w:snapToGrid w:val="0"/>
              <w:spacing w:line="240" w:lineRule="auto"/>
              <w:rPr>
                <w:rFonts w:ascii="宋体" w:hAnsi="宋体" w:eastAsia="宋体" w:cs="宋体"/>
                <w:color w:val="000000"/>
                <w:sz w:val="21"/>
                <w:szCs w:val="21"/>
              </w:rPr>
            </w:pPr>
          </w:p>
        </w:tc>
      </w:tr>
      <w:tr w14:paraId="076CA3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14:paraId="597B5AE1">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28EB2922">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225A2DE4">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12BDEC23">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7BD08531">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3E29B98F">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07C55166">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1A80B2C4">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819887C">
            <w:pPr>
              <w:widowControl/>
              <w:snapToGrid w:val="0"/>
              <w:spacing w:line="240" w:lineRule="auto"/>
              <w:rPr>
                <w:rFonts w:ascii="宋体" w:hAnsi="宋体" w:eastAsia="宋体" w:cs="宋体"/>
                <w:color w:val="000000"/>
                <w:sz w:val="21"/>
                <w:szCs w:val="21"/>
              </w:rPr>
            </w:pPr>
          </w:p>
        </w:tc>
      </w:tr>
      <w:tr w14:paraId="341420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14:paraId="101B8C3C">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02F9A15">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1D87ED73">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34DAE605">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635BC05">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0620C804">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364F4A8B">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1CC499F8">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2032023D">
            <w:pPr>
              <w:widowControl/>
              <w:snapToGrid w:val="0"/>
              <w:spacing w:line="240" w:lineRule="auto"/>
              <w:rPr>
                <w:rFonts w:ascii="宋体" w:hAnsi="宋体" w:eastAsia="宋体" w:cs="宋体"/>
                <w:color w:val="000000"/>
                <w:sz w:val="21"/>
                <w:szCs w:val="21"/>
              </w:rPr>
            </w:pPr>
          </w:p>
        </w:tc>
      </w:tr>
      <w:tr w14:paraId="0A230B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07" w:type="dxa"/>
            <w:tcBorders>
              <w:tl2br w:val="nil"/>
              <w:tr2bl w:val="nil"/>
            </w:tcBorders>
            <w:shd w:val="clear" w:color="auto" w:fill="auto"/>
            <w:noWrap/>
            <w:vAlign w:val="center"/>
          </w:tcPr>
          <w:p w14:paraId="58AC3C16">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3466487B">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5C15E0FF">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044DBDB1">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1B727B5E">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3A7D4C4">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17CFEDE1">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1ED2133D">
            <w:pPr>
              <w:widowControl/>
              <w:snapToGrid w:val="0"/>
              <w:spacing w:line="240" w:lineRule="auto"/>
              <w:rPr>
                <w:rFonts w:ascii="宋体" w:hAnsi="宋体" w:eastAsia="宋体" w:cs="宋体"/>
                <w:color w:val="000000"/>
                <w:sz w:val="21"/>
                <w:szCs w:val="21"/>
              </w:rPr>
            </w:pPr>
          </w:p>
        </w:tc>
        <w:tc>
          <w:tcPr>
            <w:tcW w:w="907" w:type="dxa"/>
            <w:tcBorders>
              <w:tl2br w:val="nil"/>
              <w:tr2bl w:val="nil"/>
            </w:tcBorders>
            <w:shd w:val="clear" w:color="auto" w:fill="auto"/>
            <w:noWrap/>
            <w:vAlign w:val="center"/>
          </w:tcPr>
          <w:p w14:paraId="45139AFA">
            <w:pPr>
              <w:widowControl/>
              <w:snapToGrid w:val="0"/>
              <w:spacing w:line="240" w:lineRule="auto"/>
              <w:rPr>
                <w:rFonts w:ascii="宋体" w:hAnsi="宋体" w:eastAsia="宋体" w:cs="宋体"/>
                <w:color w:val="000000"/>
                <w:sz w:val="21"/>
                <w:szCs w:val="21"/>
              </w:rPr>
            </w:pPr>
          </w:p>
        </w:tc>
      </w:tr>
    </w:tbl>
    <w:p w14:paraId="4D590F2D">
      <w:pPr>
        <w:rPr>
          <w:sz w:val="21"/>
          <w:szCs w:val="21"/>
        </w:rPr>
      </w:pPr>
      <w:r>
        <w:rPr>
          <w:rFonts w:hint="eastAsia"/>
          <w:sz w:val="21"/>
          <w:szCs w:val="21"/>
        </w:rPr>
        <w:t>注：状态为正常、报警、离线</w:t>
      </w:r>
    </w:p>
    <w:p w14:paraId="07EB8AF9">
      <w:pPr>
        <w:pStyle w:val="2"/>
        <w:ind w:left="0" w:firstLine="0" w:firstLineChars="0"/>
        <w:rPr>
          <w:rFonts w:cs="Times New Roman"/>
          <w:bCs/>
          <w:color w:val="000000"/>
          <w:sz w:val="21"/>
        </w:rPr>
      </w:pPr>
      <w:r>
        <w:rPr>
          <w:rFonts w:hint="eastAsia" w:cs="宋体"/>
          <w:sz w:val="21"/>
        </w:rPr>
        <w:t>检测员：</w:t>
      </w:r>
      <w:r>
        <w:rPr>
          <w:rFonts w:hint="eastAsia" w:cs="宋体"/>
          <w:sz w:val="21"/>
          <w:u w:val="single"/>
        </w:rPr>
        <w:t xml:space="preserve">       </w:t>
      </w:r>
      <w:r>
        <w:rPr>
          <w:rFonts w:cs="宋体"/>
          <w:sz w:val="21"/>
        </w:rPr>
        <w:t xml:space="preserve">  </w:t>
      </w:r>
      <w:r>
        <w:rPr>
          <w:rFonts w:hint="eastAsia" w:cs="宋体"/>
          <w:sz w:val="21"/>
          <w:lang w:eastAsia="zh-CN"/>
        </w:rPr>
        <w:t>记录员</w:t>
      </w:r>
      <w:r>
        <w:rPr>
          <w:rFonts w:hint="eastAsia" w:cs="宋体"/>
          <w:sz w:val="21"/>
        </w:rPr>
        <w:t>：</w:t>
      </w:r>
      <w:r>
        <w:rPr>
          <w:rFonts w:hint="eastAsia" w:cs="宋体"/>
          <w:sz w:val="21"/>
          <w:u w:val="single"/>
        </w:rPr>
        <w:t xml:space="preserve">         </w:t>
      </w:r>
      <w:r>
        <w:rPr>
          <w:rFonts w:hint="eastAsia" w:cs="宋体"/>
          <w:sz w:val="21"/>
        </w:rPr>
        <w:t xml:space="preserve"> </w:t>
      </w:r>
      <w:r>
        <w:rPr>
          <w:rFonts w:cs="宋体"/>
          <w:sz w:val="21"/>
        </w:rPr>
        <w:t xml:space="preserve"> </w:t>
      </w:r>
      <w:r>
        <w:rPr>
          <w:rFonts w:hint="eastAsia" w:cs="宋体"/>
          <w:sz w:val="21"/>
        </w:rPr>
        <w:t>校核员：</w:t>
      </w:r>
      <w:r>
        <w:rPr>
          <w:rFonts w:hint="eastAsia" w:cs="宋体"/>
          <w:sz w:val="21"/>
          <w:u w:val="single"/>
        </w:rPr>
        <w:t xml:space="preserve">          </w:t>
      </w:r>
      <w:r>
        <w:rPr>
          <w:rFonts w:hint="eastAsia" w:cs="宋体"/>
          <w:sz w:val="21"/>
        </w:rPr>
        <w:t xml:space="preserve">   </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14:paraId="67434B2C">
      <w:pPr>
        <w:rPr>
          <w:szCs w:val="24"/>
        </w:rPr>
      </w:pPr>
    </w:p>
    <w:p w14:paraId="023E528C">
      <w:pPr>
        <w:rPr>
          <w:szCs w:val="24"/>
        </w:rPr>
      </w:pPr>
    </w:p>
    <w:p w14:paraId="1E254809">
      <w:pPr>
        <w:rPr>
          <w:szCs w:val="24"/>
        </w:rPr>
      </w:pPr>
      <w:r>
        <w:rPr>
          <w:szCs w:val="24"/>
        </w:rPr>
        <w:br w:type="page"/>
      </w:r>
    </w:p>
    <w:p w14:paraId="21FFD611">
      <w:pPr>
        <w:rPr>
          <w:szCs w:val="24"/>
        </w:rPr>
      </w:pPr>
      <w:r>
        <w:rPr>
          <w:rFonts w:hint="eastAsia" w:eastAsia="宋体" w:cs="Times New Roman"/>
          <w:b/>
          <w:color w:val="000000"/>
          <w:szCs w:val="24"/>
        </w:rPr>
        <w:t>A.0.8　</w:t>
      </w:r>
      <w:r>
        <w:rPr>
          <w:rFonts w:hint="eastAsia"/>
          <w:szCs w:val="24"/>
        </w:rPr>
        <w:t>给水管道听音法检测记录应按表A.0.8填写。</w:t>
      </w:r>
    </w:p>
    <w:p w14:paraId="672ED8FE">
      <w:pPr>
        <w:pStyle w:val="105"/>
      </w:pPr>
      <w:r>
        <w:rPr>
          <w:rFonts w:hint="eastAsia"/>
        </w:rPr>
        <w:t>表A.0.8　给水管道听音法检测记录表</w:t>
      </w:r>
    </w:p>
    <w:p w14:paraId="57EA1EEB">
      <w:pPr>
        <w:wordWrap w:val="0"/>
        <w:jc w:val="right"/>
        <w:rPr>
          <w:sz w:val="21"/>
          <w:szCs w:val="21"/>
        </w:rPr>
      </w:pPr>
      <w:r>
        <w:rPr>
          <w:rFonts w:hint="eastAsia"/>
          <w:sz w:val="21"/>
          <w:szCs w:val="21"/>
        </w:rPr>
        <w:t xml:space="preserve">编号：         </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BD58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vAlign w:val="center"/>
          </w:tcPr>
          <w:p w14:paraId="33C6A1FC">
            <w:pPr>
              <w:jc w:val="center"/>
              <w:rPr>
                <w:sz w:val="21"/>
                <w:szCs w:val="21"/>
              </w:rPr>
            </w:pPr>
            <w:r>
              <w:rPr>
                <w:rFonts w:hint="eastAsia"/>
                <w:sz w:val="21"/>
                <w:szCs w:val="21"/>
              </w:rPr>
              <w:t>项目名称</w:t>
            </w:r>
          </w:p>
        </w:tc>
        <w:tc>
          <w:tcPr>
            <w:tcW w:w="2130" w:type="dxa"/>
            <w:tcBorders>
              <w:tl2br w:val="nil"/>
              <w:tr2bl w:val="nil"/>
            </w:tcBorders>
            <w:vAlign w:val="center"/>
          </w:tcPr>
          <w:p w14:paraId="0DBD7715">
            <w:pPr>
              <w:jc w:val="center"/>
              <w:rPr>
                <w:sz w:val="21"/>
                <w:szCs w:val="21"/>
              </w:rPr>
            </w:pPr>
          </w:p>
        </w:tc>
        <w:tc>
          <w:tcPr>
            <w:tcW w:w="2131" w:type="dxa"/>
            <w:tcBorders>
              <w:tl2br w:val="nil"/>
              <w:tr2bl w:val="nil"/>
            </w:tcBorders>
            <w:vAlign w:val="center"/>
          </w:tcPr>
          <w:p w14:paraId="20BF1159">
            <w:pPr>
              <w:jc w:val="center"/>
              <w:rPr>
                <w:sz w:val="21"/>
                <w:szCs w:val="21"/>
              </w:rPr>
            </w:pPr>
            <w:r>
              <w:rPr>
                <w:rFonts w:hint="eastAsia"/>
                <w:sz w:val="21"/>
                <w:szCs w:val="21"/>
              </w:rPr>
              <w:t>设备编号</w:t>
            </w:r>
          </w:p>
        </w:tc>
        <w:tc>
          <w:tcPr>
            <w:tcW w:w="2131" w:type="dxa"/>
            <w:tcBorders>
              <w:tl2br w:val="nil"/>
              <w:tr2bl w:val="nil"/>
            </w:tcBorders>
            <w:vAlign w:val="center"/>
          </w:tcPr>
          <w:p w14:paraId="5BD0E5AE">
            <w:pPr>
              <w:jc w:val="center"/>
              <w:rPr>
                <w:sz w:val="21"/>
                <w:szCs w:val="21"/>
              </w:rPr>
            </w:pPr>
          </w:p>
        </w:tc>
      </w:tr>
      <w:tr w14:paraId="41F2E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130" w:type="dxa"/>
            <w:tcBorders>
              <w:tl2br w:val="nil"/>
              <w:tr2bl w:val="nil"/>
            </w:tcBorders>
            <w:vAlign w:val="center"/>
          </w:tcPr>
          <w:p w14:paraId="2E570FA7">
            <w:pPr>
              <w:jc w:val="center"/>
              <w:rPr>
                <w:sz w:val="21"/>
                <w:szCs w:val="21"/>
              </w:rPr>
            </w:pPr>
            <w:r>
              <w:rPr>
                <w:rFonts w:hint="eastAsia"/>
                <w:sz w:val="21"/>
                <w:szCs w:val="21"/>
              </w:rPr>
              <w:t>检查道路</w:t>
            </w:r>
          </w:p>
        </w:tc>
        <w:tc>
          <w:tcPr>
            <w:tcW w:w="2130" w:type="dxa"/>
            <w:tcBorders>
              <w:tl2br w:val="nil"/>
              <w:tr2bl w:val="nil"/>
            </w:tcBorders>
            <w:vAlign w:val="center"/>
          </w:tcPr>
          <w:p w14:paraId="61E00096">
            <w:pPr>
              <w:jc w:val="center"/>
              <w:rPr>
                <w:sz w:val="21"/>
                <w:szCs w:val="21"/>
              </w:rPr>
            </w:pPr>
          </w:p>
        </w:tc>
        <w:tc>
          <w:tcPr>
            <w:tcW w:w="2131" w:type="dxa"/>
            <w:tcBorders>
              <w:tl2br w:val="nil"/>
              <w:tr2bl w:val="nil"/>
            </w:tcBorders>
            <w:vAlign w:val="center"/>
          </w:tcPr>
          <w:p w14:paraId="30837456">
            <w:pPr>
              <w:jc w:val="center"/>
              <w:rPr>
                <w:sz w:val="21"/>
                <w:szCs w:val="21"/>
              </w:rPr>
            </w:pPr>
            <w:r>
              <w:rPr>
                <w:rFonts w:hint="eastAsia"/>
                <w:sz w:val="21"/>
                <w:szCs w:val="21"/>
              </w:rPr>
              <w:t>检查路段</w:t>
            </w:r>
          </w:p>
        </w:tc>
        <w:tc>
          <w:tcPr>
            <w:tcW w:w="2131" w:type="dxa"/>
            <w:tcBorders>
              <w:tl2br w:val="nil"/>
              <w:tr2bl w:val="nil"/>
            </w:tcBorders>
            <w:vAlign w:val="center"/>
          </w:tcPr>
          <w:p w14:paraId="19BB95B0">
            <w:pPr>
              <w:jc w:val="center"/>
              <w:rPr>
                <w:sz w:val="21"/>
                <w:szCs w:val="21"/>
              </w:rPr>
            </w:pPr>
          </w:p>
        </w:tc>
      </w:tr>
      <w:tr w14:paraId="498E6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vAlign w:val="center"/>
          </w:tcPr>
          <w:p w14:paraId="332EE08B">
            <w:pPr>
              <w:jc w:val="center"/>
              <w:rPr>
                <w:sz w:val="21"/>
                <w:szCs w:val="21"/>
              </w:rPr>
            </w:pPr>
            <w:r>
              <w:rPr>
                <w:rFonts w:hint="eastAsia"/>
                <w:sz w:val="21"/>
                <w:szCs w:val="21"/>
              </w:rPr>
              <w:t>管道长度</w:t>
            </w:r>
          </w:p>
        </w:tc>
        <w:tc>
          <w:tcPr>
            <w:tcW w:w="2130" w:type="dxa"/>
            <w:tcBorders>
              <w:tl2br w:val="nil"/>
              <w:tr2bl w:val="nil"/>
            </w:tcBorders>
            <w:vAlign w:val="center"/>
          </w:tcPr>
          <w:p w14:paraId="3FA219F2">
            <w:pPr>
              <w:jc w:val="center"/>
              <w:rPr>
                <w:sz w:val="21"/>
                <w:szCs w:val="21"/>
              </w:rPr>
            </w:pPr>
          </w:p>
        </w:tc>
        <w:tc>
          <w:tcPr>
            <w:tcW w:w="2131" w:type="dxa"/>
            <w:tcBorders>
              <w:tl2br w:val="nil"/>
              <w:tr2bl w:val="nil"/>
            </w:tcBorders>
            <w:vAlign w:val="center"/>
          </w:tcPr>
          <w:p w14:paraId="2DE8FC93">
            <w:pPr>
              <w:jc w:val="center"/>
              <w:rPr>
                <w:sz w:val="21"/>
                <w:szCs w:val="21"/>
              </w:rPr>
            </w:pPr>
            <w:r>
              <w:rPr>
                <w:rFonts w:hint="eastAsia"/>
                <w:sz w:val="21"/>
                <w:szCs w:val="21"/>
              </w:rPr>
              <w:t>管径范围</w:t>
            </w:r>
          </w:p>
        </w:tc>
        <w:tc>
          <w:tcPr>
            <w:tcW w:w="2131" w:type="dxa"/>
            <w:tcBorders>
              <w:tl2br w:val="nil"/>
              <w:tr2bl w:val="nil"/>
            </w:tcBorders>
            <w:vAlign w:val="center"/>
          </w:tcPr>
          <w:p w14:paraId="573D3987">
            <w:pPr>
              <w:jc w:val="center"/>
              <w:rPr>
                <w:sz w:val="21"/>
                <w:szCs w:val="21"/>
              </w:rPr>
            </w:pPr>
          </w:p>
        </w:tc>
      </w:tr>
      <w:tr w14:paraId="697DD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vAlign w:val="center"/>
          </w:tcPr>
          <w:p w14:paraId="6522B9A7">
            <w:pPr>
              <w:jc w:val="center"/>
              <w:rPr>
                <w:sz w:val="21"/>
                <w:szCs w:val="21"/>
              </w:rPr>
            </w:pPr>
            <w:r>
              <w:rPr>
                <w:rFonts w:hint="eastAsia"/>
                <w:sz w:val="21"/>
                <w:szCs w:val="21"/>
              </w:rPr>
              <w:t>管道埋深</w:t>
            </w:r>
          </w:p>
        </w:tc>
        <w:tc>
          <w:tcPr>
            <w:tcW w:w="2130" w:type="dxa"/>
            <w:tcBorders>
              <w:tl2br w:val="nil"/>
              <w:tr2bl w:val="nil"/>
            </w:tcBorders>
            <w:vAlign w:val="center"/>
          </w:tcPr>
          <w:p w14:paraId="0CDFA4F7">
            <w:pPr>
              <w:jc w:val="center"/>
              <w:rPr>
                <w:sz w:val="21"/>
                <w:szCs w:val="21"/>
              </w:rPr>
            </w:pPr>
          </w:p>
        </w:tc>
        <w:tc>
          <w:tcPr>
            <w:tcW w:w="2131" w:type="dxa"/>
            <w:tcBorders>
              <w:tl2br w:val="nil"/>
              <w:tr2bl w:val="nil"/>
            </w:tcBorders>
            <w:vAlign w:val="center"/>
          </w:tcPr>
          <w:p w14:paraId="1805D584">
            <w:pPr>
              <w:jc w:val="center"/>
              <w:rPr>
                <w:sz w:val="21"/>
                <w:szCs w:val="21"/>
              </w:rPr>
            </w:pPr>
            <w:r>
              <w:rPr>
                <w:rFonts w:hint="eastAsia"/>
                <w:sz w:val="21"/>
                <w:szCs w:val="21"/>
              </w:rPr>
              <w:t>检测时间</w:t>
            </w:r>
          </w:p>
        </w:tc>
        <w:tc>
          <w:tcPr>
            <w:tcW w:w="2131" w:type="dxa"/>
            <w:tcBorders>
              <w:tl2br w:val="nil"/>
              <w:tr2bl w:val="nil"/>
            </w:tcBorders>
            <w:vAlign w:val="center"/>
          </w:tcPr>
          <w:p w14:paraId="178D4C1D">
            <w:pPr>
              <w:spacing w:line="240" w:lineRule="auto"/>
              <w:jc w:val="center"/>
              <w:rPr>
                <w:sz w:val="21"/>
                <w:szCs w:val="21"/>
              </w:rPr>
            </w:pPr>
          </w:p>
        </w:tc>
      </w:tr>
      <w:tr w14:paraId="04A68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522" w:type="dxa"/>
            <w:gridSpan w:val="4"/>
            <w:tcBorders>
              <w:tl2br w:val="nil"/>
              <w:tr2bl w:val="nil"/>
            </w:tcBorders>
          </w:tcPr>
          <w:p w14:paraId="1B9A65CA">
            <w:pPr>
              <w:rPr>
                <w:sz w:val="21"/>
                <w:szCs w:val="21"/>
              </w:rPr>
            </w:pPr>
            <w:r>
              <w:rPr>
                <w:rFonts w:hint="eastAsia"/>
                <w:sz w:val="21"/>
                <w:szCs w:val="21"/>
              </w:rPr>
              <w:t>问题表述：</w:t>
            </w:r>
          </w:p>
          <w:p w14:paraId="144EC17D">
            <w:pPr>
              <w:pStyle w:val="2"/>
              <w:ind w:firstLine="210"/>
              <w:rPr>
                <w:sz w:val="21"/>
              </w:rPr>
            </w:pPr>
          </w:p>
          <w:p w14:paraId="614815F8">
            <w:pPr>
              <w:pStyle w:val="2"/>
              <w:ind w:firstLine="210"/>
              <w:rPr>
                <w:sz w:val="21"/>
              </w:rPr>
            </w:pPr>
          </w:p>
          <w:p w14:paraId="6D42603E">
            <w:pPr>
              <w:pStyle w:val="2"/>
              <w:ind w:firstLine="210"/>
              <w:rPr>
                <w:sz w:val="21"/>
              </w:rPr>
            </w:pPr>
          </w:p>
          <w:p w14:paraId="12E1A06D">
            <w:pPr>
              <w:pStyle w:val="2"/>
              <w:ind w:firstLine="210"/>
              <w:rPr>
                <w:sz w:val="21"/>
              </w:rPr>
            </w:pPr>
          </w:p>
          <w:p w14:paraId="00636D99">
            <w:pPr>
              <w:pStyle w:val="2"/>
              <w:ind w:firstLine="210"/>
              <w:rPr>
                <w:sz w:val="21"/>
              </w:rPr>
            </w:pPr>
          </w:p>
          <w:p w14:paraId="22395114">
            <w:pPr>
              <w:pStyle w:val="2"/>
              <w:ind w:firstLine="210"/>
              <w:rPr>
                <w:sz w:val="21"/>
              </w:rPr>
            </w:pPr>
          </w:p>
          <w:p w14:paraId="41A79B19">
            <w:pPr>
              <w:pStyle w:val="2"/>
              <w:ind w:firstLine="210"/>
              <w:rPr>
                <w:sz w:val="21"/>
              </w:rPr>
            </w:pPr>
          </w:p>
          <w:p w14:paraId="6981A82B">
            <w:pPr>
              <w:pStyle w:val="2"/>
              <w:ind w:firstLine="210"/>
              <w:rPr>
                <w:sz w:val="21"/>
              </w:rPr>
            </w:pPr>
          </w:p>
          <w:p w14:paraId="4FC9F059">
            <w:pPr>
              <w:pStyle w:val="2"/>
              <w:ind w:firstLine="210"/>
              <w:rPr>
                <w:sz w:val="21"/>
              </w:rPr>
            </w:pPr>
          </w:p>
          <w:p w14:paraId="4A01365E">
            <w:pPr>
              <w:pStyle w:val="2"/>
              <w:ind w:firstLine="210"/>
              <w:rPr>
                <w:sz w:val="21"/>
              </w:rPr>
            </w:pPr>
          </w:p>
          <w:p w14:paraId="30356865">
            <w:pPr>
              <w:pStyle w:val="2"/>
              <w:ind w:firstLine="210"/>
              <w:rPr>
                <w:sz w:val="21"/>
              </w:rPr>
            </w:pPr>
          </w:p>
          <w:p w14:paraId="37E1B39D">
            <w:pPr>
              <w:pStyle w:val="2"/>
              <w:ind w:firstLine="210"/>
              <w:rPr>
                <w:sz w:val="21"/>
              </w:rPr>
            </w:pPr>
          </w:p>
          <w:p w14:paraId="29F37B47">
            <w:pPr>
              <w:pStyle w:val="2"/>
              <w:ind w:firstLine="210"/>
              <w:rPr>
                <w:sz w:val="21"/>
              </w:rPr>
            </w:pPr>
          </w:p>
          <w:p w14:paraId="6CE08D2D">
            <w:pPr>
              <w:pStyle w:val="2"/>
              <w:ind w:firstLine="210"/>
              <w:rPr>
                <w:sz w:val="21"/>
              </w:rPr>
            </w:pPr>
          </w:p>
          <w:p w14:paraId="74FAC70E">
            <w:pPr>
              <w:pStyle w:val="2"/>
              <w:ind w:firstLine="210"/>
              <w:rPr>
                <w:sz w:val="21"/>
              </w:rPr>
            </w:pPr>
          </w:p>
          <w:p w14:paraId="3B106D45">
            <w:pPr>
              <w:pStyle w:val="2"/>
              <w:ind w:firstLine="210"/>
              <w:rPr>
                <w:sz w:val="21"/>
              </w:rPr>
            </w:pPr>
          </w:p>
          <w:p w14:paraId="63369D39">
            <w:pPr>
              <w:pStyle w:val="2"/>
              <w:ind w:firstLine="210"/>
              <w:rPr>
                <w:sz w:val="21"/>
              </w:rPr>
            </w:pPr>
          </w:p>
        </w:tc>
      </w:tr>
    </w:tbl>
    <w:p w14:paraId="7FF5E228">
      <w:pPr>
        <w:pStyle w:val="2"/>
        <w:ind w:left="0" w:firstLine="0" w:firstLineChars="0"/>
        <w:rPr>
          <w:rFonts w:cs="宋体"/>
          <w:sz w:val="21"/>
        </w:rPr>
      </w:pPr>
      <w:r>
        <w:rPr>
          <w:rFonts w:hint="eastAsia" w:cs="宋体"/>
          <w:sz w:val="21"/>
        </w:rPr>
        <w:t>注：</w:t>
      </w:r>
      <w:r>
        <w:rPr>
          <w:rFonts w:hint="eastAsia"/>
          <w:sz w:val="21"/>
        </w:rPr>
        <w:t>检测时间填写应具体到分钟或时段。</w:t>
      </w:r>
    </w:p>
    <w:p w14:paraId="0EE5F183">
      <w:pPr>
        <w:pStyle w:val="2"/>
        <w:ind w:left="0" w:firstLine="0" w:firstLineChars="0"/>
        <w:rPr>
          <w:rFonts w:cs="Times New Roman"/>
          <w:bCs/>
          <w:color w:val="000000"/>
          <w:sz w:val="21"/>
        </w:rPr>
      </w:pPr>
      <w:r>
        <w:rPr>
          <w:rFonts w:hint="eastAsia" w:cs="宋体"/>
          <w:sz w:val="21"/>
        </w:rPr>
        <w:t>检测员：</w:t>
      </w:r>
      <w:r>
        <w:rPr>
          <w:rFonts w:hint="eastAsia" w:cs="宋体"/>
          <w:sz w:val="21"/>
          <w:u w:val="single"/>
        </w:rPr>
        <w:t xml:space="preserve">       </w:t>
      </w:r>
      <w:r>
        <w:rPr>
          <w:rFonts w:cs="宋体"/>
          <w:sz w:val="21"/>
        </w:rPr>
        <w:t xml:space="preserve">  </w:t>
      </w:r>
      <w:r>
        <w:rPr>
          <w:rFonts w:hint="eastAsia" w:cs="宋体"/>
          <w:sz w:val="21"/>
          <w:lang w:eastAsia="zh-CN"/>
        </w:rPr>
        <w:t>记录员</w:t>
      </w:r>
      <w:r>
        <w:rPr>
          <w:rFonts w:hint="eastAsia" w:cs="宋体"/>
          <w:sz w:val="21"/>
        </w:rPr>
        <w:t>：</w:t>
      </w:r>
      <w:r>
        <w:rPr>
          <w:rFonts w:hint="eastAsia" w:cs="宋体"/>
          <w:sz w:val="21"/>
          <w:u w:val="single"/>
        </w:rPr>
        <w:t xml:space="preserve">         </w:t>
      </w:r>
      <w:r>
        <w:rPr>
          <w:rFonts w:hint="eastAsia" w:cs="宋体"/>
          <w:sz w:val="21"/>
        </w:rPr>
        <w:t xml:space="preserve"> </w:t>
      </w:r>
      <w:r>
        <w:rPr>
          <w:rFonts w:cs="宋体"/>
          <w:sz w:val="21"/>
        </w:rPr>
        <w:t xml:space="preserve"> </w:t>
      </w:r>
      <w:r>
        <w:rPr>
          <w:rFonts w:hint="eastAsia" w:cs="宋体"/>
          <w:sz w:val="21"/>
        </w:rPr>
        <w:t>校核员：</w:t>
      </w:r>
      <w:r>
        <w:rPr>
          <w:rFonts w:hint="eastAsia" w:cs="宋体"/>
          <w:sz w:val="21"/>
          <w:u w:val="single"/>
        </w:rPr>
        <w:t xml:space="preserve">          </w:t>
      </w:r>
      <w:r>
        <w:rPr>
          <w:rFonts w:hint="eastAsia" w:cs="宋体"/>
          <w:sz w:val="21"/>
        </w:rPr>
        <w:t xml:space="preserve">   </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14:paraId="6AAC3F39">
      <w:pPr>
        <w:rPr>
          <w:szCs w:val="24"/>
        </w:rPr>
      </w:pPr>
    </w:p>
    <w:p w14:paraId="01D61472">
      <w:pPr>
        <w:rPr>
          <w:szCs w:val="24"/>
        </w:rPr>
      </w:pPr>
      <w:r>
        <w:rPr>
          <w:szCs w:val="24"/>
        </w:rPr>
        <w:br w:type="page"/>
      </w:r>
    </w:p>
    <w:p w14:paraId="40D2A62D">
      <w:pPr>
        <w:rPr>
          <w:szCs w:val="24"/>
        </w:rPr>
      </w:pPr>
      <w:r>
        <w:rPr>
          <w:rFonts w:hint="eastAsia" w:eastAsia="宋体" w:cs="Times New Roman"/>
          <w:b/>
          <w:color w:val="000000"/>
          <w:szCs w:val="24"/>
        </w:rPr>
        <w:t>A.0.9　</w:t>
      </w:r>
      <w:r>
        <w:rPr>
          <w:rFonts w:hint="eastAsia"/>
          <w:szCs w:val="24"/>
        </w:rPr>
        <w:t>给水管道噪声法检测记录应按表A.0.9填写。</w:t>
      </w:r>
    </w:p>
    <w:p w14:paraId="226FD942">
      <w:pPr>
        <w:pStyle w:val="105"/>
      </w:pPr>
      <w:r>
        <w:rPr>
          <w:rFonts w:hint="eastAsia"/>
        </w:rPr>
        <w:t>表A.0.9　给水管道噪声法检测记录表</w:t>
      </w:r>
    </w:p>
    <w:tbl>
      <w:tblPr>
        <w:tblStyle w:val="29"/>
        <w:tblW w:w="8280"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65"/>
        <w:gridCol w:w="2880"/>
        <w:gridCol w:w="1590"/>
        <w:gridCol w:w="2445"/>
      </w:tblGrid>
      <w:tr w14:paraId="57C598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65" w:type="dxa"/>
            <w:tcBorders>
              <w:tl2br w:val="nil"/>
              <w:tr2bl w:val="nil"/>
            </w:tcBorders>
            <w:shd w:val="clear" w:color="auto" w:fill="auto"/>
            <w:vAlign w:val="center"/>
          </w:tcPr>
          <w:p w14:paraId="23CD51F7">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设备编号</w:t>
            </w:r>
          </w:p>
        </w:tc>
        <w:tc>
          <w:tcPr>
            <w:tcW w:w="2880" w:type="dxa"/>
            <w:tcBorders>
              <w:tl2br w:val="nil"/>
              <w:tr2bl w:val="nil"/>
            </w:tcBorders>
            <w:shd w:val="clear" w:color="auto" w:fill="auto"/>
            <w:noWrap/>
            <w:vAlign w:val="center"/>
          </w:tcPr>
          <w:p w14:paraId="4351EE89">
            <w:pPr>
              <w:jc w:val="center"/>
              <w:rPr>
                <w:rFonts w:eastAsia="宋体" w:cs="Times New Roman"/>
                <w:color w:val="000000"/>
                <w:sz w:val="21"/>
                <w:szCs w:val="21"/>
              </w:rPr>
            </w:pPr>
          </w:p>
        </w:tc>
        <w:tc>
          <w:tcPr>
            <w:tcW w:w="1590" w:type="dxa"/>
            <w:tcBorders>
              <w:tl2br w:val="nil"/>
              <w:tr2bl w:val="nil"/>
            </w:tcBorders>
            <w:shd w:val="clear" w:color="auto" w:fill="auto"/>
            <w:vAlign w:val="center"/>
          </w:tcPr>
          <w:p w14:paraId="7A140048">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型号</w:t>
            </w:r>
          </w:p>
        </w:tc>
        <w:tc>
          <w:tcPr>
            <w:tcW w:w="2445" w:type="dxa"/>
            <w:tcBorders>
              <w:tl2br w:val="nil"/>
              <w:tr2bl w:val="nil"/>
            </w:tcBorders>
            <w:shd w:val="clear" w:color="auto" w:fill="auto"/>
            <w:noWrap/>
            <w:vAlign w:val="center"/>
          </w:tcPr>
          <w:p w14:paraId="5DB994CB">
            <w:pPr>
              <w:jc w:val="center"/>
              <w:rPr>
                <w:rFonts w:eastAsia="宋体" w:cs="Times New Roman"/>
                <w:color w:val="000000"/>
                <w:sz w:val="21"/>
                <w:szCs w:val="21"/>
              </w:rPr>
            </w:pPr>
          </w:p>
        </w:tc>
      </w:tr>
      <w:tr w14:paraId="73BBE8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65" w:type="dxa"/>
            <w:tcBorders>
              <w:tl2br w:val="nil"/>
              <w:tr2bl w:val="nil"/>
            </w:tcBorders>
            <w:shd w:val="clear" w:color="auto" w:fill="auto"/>
            <w:vAlign w:val="center"/>
          </w:tcPr>
          <w:p w14:paraId="5CC211A2">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启用状态</w:t>
            </w:r>
          </w:p>
        </w:tc>
        <w:tc>
          <w:tcPr>
            <w:tcW w:w="2880" w:type="dxa"/>
            <w:tcBorders>
              <w:tl2br w:val="nil"/>
              <w:tr2bl w:val="nil"/>
            </w:tcBorders>
            <w:shd w:val="clear" w:color="auto" w:fill="auto"/>
            <w:noWrap/>
            <w:vAlign w:val="center"/>
          </w:tcPr>
          <w:p w14:paraId="272FD78A">
            <w:pPr>
              <w:jc w:val="center"/>
              <w:rPr>
                <w:rFonts w:eastAsia="宋体" w:cs="Times New Roman"/>
                <w:color w:val="000000"/>
                <w:sz w:val="21"/>
                <w:szCs w:val="21"/>
              </w:rPr>
            </w:pPr>
          </w:p>
        </w:tc>
        <w:tc>
          <w:tcPr>
            <w:tcW w:w="1590" w:type="dxa"/>
            <w:tcBorders>
              <w:tl2br w:val="nil"/>
              <w:tr2bl w:val="nil"/>
            </w:tcBorders>
            <w:shd w:val="clear" w:color="auto" w:fill="auto"/>
            <w:vAlign w:val="center"/>
          </w:tcPr>
          <w:p w14:paraId="0924E44E">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安装状态</w:t>
            </w:r>
          </w:p>
        </w:tc>
        <w:tc>
          <w:tcPr>
            <w:tcW w:w="2445" w:type="dxa"/>
            <w:tcBorders>
              <w:tl2br w:val="nil"/>
              <w:tr2bl w:val="nil"/>
            </w:tcBorders>
            <w:shd w:val="clear" w:color="auto" w:fill="auto"/>
            <w:noWrap/>
            <w:vAlign w:val="center"/>
          </w:tcPr>
          <w:p w14:paraId="5B404E99">
            <w:pPr>
              <w:jc w:val="center"/>
              <w:rPr>
                <w:rFonts w:eastAsia="宋体" w:cs="Times New Roman"/>
                <w:color w:val="000000"/>
                <w:sz w:val="21"/>
                <w:szCs w:val="21"/>
              </w:rPr>
            </w:pPr>
          </w:p>
        </w:tc>
      </w:tr>
      <w:tr w14:paraId="3FEAA5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65" w:type="dxa"/>
            <w:tcBorders>
              <w:tl2br w:val="nil"/>
              <w:tr2bl w:val="nil"/>
            </w:tcBorders>
            <w:shd w:val="clear" w:color="auto" w:fill="auto"/>
            <w:vAlign w:val="center"/>
          </w:tcPr>
          <w:p w14:paraId="111C1D1E">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所属片区</w:t>
            </w:r>
          </w:p>
        </w:tc>
        <w:tc>
          <w:tcPr>
            <w:tcW w:w="2880" w:type="dxa"/>
            <w:tcBorders>
              <w:tl2br w:val="nil"/>
              <w:tr2bl w:val="nil"/>
            </w:tcBorders>
            <w:shd w:val="clear" w:color="auto" w:fill="auto"/>
            <w:noWrap/>
            <w:vAlign w:val="center"/>
          </w:tcPr>
          <w:p w14:paraId="5A1F91DE">
            <w:pPr>
              <w:jc w:val="center"/>
              <w:rPr>
                <w:rFonts w:eastAsia="宋体" w:cs="Times New Roman"/>
                <w:color w:val="000000"/>
                <w:sz w:val="21"/>
                <w:szCs w:val="21"/>
              </w:rPr>
            </w:pPr>
          </w:p>
        </w:tc>
        <w:tc>
          <w:tcPr>
            <w:tcW w:w="1590" w:type="dxa"/>
            <w:tcBorders>
              <w:tl2br w:val="nil"/>
              <w:tr2bl w:val="nil"/>
            </w:tcBorders>
            <w:shd w:val="clear" w:color="auto" w:fill="auto"/>
            <w:vAlign w:val="center"/>
          </w:tcPr>
          <w:p w14:paraId="726DA8BC">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位置坐标</w:t>
            </w:r>
          </w:p>
        </w:tc>
        <w:tc>
          <w:tcPr>
            <w:tcW w:w="2445" w:type="dxa"/>
            <w:tcBorders>
              <w:tl2br w:val="nil"/>
              <w:tr2bl w:val="nil"/>
            </w:tcBorders>
            <w:shd w:val="clear" w:color="auto" w:fill="auto"/>
            <w:noWrap/>
            <w:vAlign w:val="center"/>
          </w:tcPr>
          <w:p w14:paraId="69ADF365">
            <w:pPr>
              <w:jc w:val="center"/>
              <w:rPr>
                <w:rFonts w:eastAsia="宋体" w:cs="Times New Roman"/>
                <w:color w:val="000000"/>
                <w:sz w:val="21"/>
                <w:szCs w:val="21"/>
              </w:rPr>
            </w:pPr>
          </w:p>
        </w:tc>
      </w:tr>
      <w:tr w14:paraId="23CB83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65" w:type="dxa"/>
            <w:tcBorders>
              <w:tl2br w:val="nil"/>
              <w:tr2bl w:val="nil"/>
            </w:tcBorders>
            <w:shd w:val="clear" w:color="auto" w:fill="auto"/>
            <w:vAlign w:val="center"/>
          </w:tcPr>
          <w:p w14:paraId="0BA66997">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安装时间</w:t>
            </w:r>
          </w:p>
        </w:tc>
        <w:tc>
          <w:tcPr>
            <w:tcW w:w="2880" w:type="dxa"/>
            <w:tcBorders>
              <w:tl2br w:val="nil"/>
              <w:tr2bl w:val="nil"/>
            </w:tcBorders>
            <w:shd w:val="clear" w:color="auto" w:fill="auto"/>
            <w:noWrap/>
            <w:vAlign w:val="center"/>
          </w:tcPr>
          <w:p w14:paraId="616D5E3F">
            <w:pPr>
              <w:jc w:val="center"/>
              <w:rPr>
                <w:rFonts w:eastAsia="宋体" w:cs="Times New Roman"/>
                <w:color w:val="000000"/>
                <w:sz w:val="21"/>
                <w:szCs w:val="21"/>
              </w:rPr>
            </w:pPr>
          </w:p>
        </w:tc>
        <w:tc>
          <w:tcPr>
            <w:tcW w:w="1590" w:type="dxa"/>
            <w:tcBorders>
              <w:tl2br w:val="nil"/>
              <w:tr2bl w:val="nil"/>
            </w:tcBorders>
            <w:shd w:val="clear" w:color="auto" w:fill="auto"/>
            <w:vAlign w:val="center"/>
          </w:tcPr>
          <w:p w14:paraId="76B4C225">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安装人员</w:t>
            </w:r>
          </w:p>
        </w:tc>
        <w:tc>
          <w:tcPr>
            <w:tcW w:w="2445" w:type="dxa"/>
            <w:tcBorders>
              <w:tl2br w:val="nil"/>
              <w:tr2bl w:val="nil"/>
            </w:tcBorders>
            <w:shd w:val="clear" w:color="auto" w:fill="auto"/>
            <w:noWrap/>
            <w:vAlign w:val="center"/>
          </w:tcPr>
          <w:p w14:paraId="4F7531C3">
            <w:pPr>
              <w:jc w:val="center"/>
              <w:rPr>
                <w:rFonts w:eastAsia="宋体" w:cs="Times New Roman"/>
                <w:color w:val="000000"/>
                <w:sz w:val="21"/>
                <w:szCs w:val="21"/>
              </w:rPr>
            </w:pPr>
          </w:p>
        </w:tc>
      </w:tr>
      <w:tr w14:paraId="2EA31B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65" w:type="dxa"/>
            <w:tcBorders>
              <w:tl2br w:val="nil"/>
              <w:tr2bl w:val="nil"/>
            </w:tcBorders>
            <w:shd w:val="clear" w:color="auto" w:fill="auto"/>
            <w:vAlign w:val="center"/>
          </w:tcPr>
          <w:p w14:paraId="0BC3D217">
            <w:pPr>
              <w:widowControl/>
              <w:jc w:val="center"/>
              <w:textAlignment w:val="center"/>
              <w:rPr>
                <w:rFonts w:eastAsia="宋体" w:cs="Times New Roman"/>
                <w:color w:val="000000"/>
                <w:kern w:val="0"/>
                <w:sz w:val="21"/>
                <w:szCs w:val="21"/>
                <w:lang w:bidi="ar"/>
              </w:rPr>
            </w:pPr>
            <w:r>
              <w:rPr>
                <w:rFonts w:eastAsia="宋体" w:cs="Times New Roman"/>
                <w:color w:val="000000"/>
                <w:kern w:val="0"/>
                <w:sz w:val="21"/>
                <w:szCs w:val="21"/>
                <w:lang w:bidi="ar"/>
              </w:rPr>
              <w:t>安装地址</w:t>
            </w:r>
          </w:p>
        </w:tc>
        <w:tc>
          <w:tcPr>
            <w:tcW w:w="2880" w:type="dxa"/>
            <w:tcBorders>
              <w:tl2br w:val="nil"/>
              <w:tr2bl w:val="nil"/>
            </w:tcBorders>
            <w:shd w:val="clear" w:color="auto" w:fill="auto"/>
            <w:noWrap/>
            <w:vAlign w:val="center"/>
          </w:tcPr>
          <w:p w14:paraId="618FB309">
            <w:pPr>
              <w:jc w:val="center"/>
              <w:rPr>
                <w:rFonts w:eastAsia="宋体" w:cs="Times New Roman"/>
                <w:color w:val="000000"/>
                <w:sz w:val="21"/>
                <w:szCs w:val="21"/>
              </w:rPr>
            </w:pPr>
          </w:p>
        </w:tc>
        <w:tc>
          <w:tcPr>
            <w:tcW w:w="1590" w:type="dxa"/>
            <w:tcBorders>
              <w:tl2br w:val="nil"/>
              <w:tr2bl w:val="nil"/>
            </w:tcBorders>
            <w:shd w:val="clear" w:color="auto" w:fill="auto"/>
            <w:vAlign w:val="center"/>
          </w:tcPr>
          <w:p w14:paraId="0674B6DF">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管道口径</w:t>
            </w:r>
          </w:p>
        </w:tc>
        <w:tc>
          <w:tcPr>
            <w:tcW w:w="2445" w:type="dxa"/>
            <w:tcBorders>
              <w:tl2br w:val="nil"/>
              <w:tr2bl w:val="nil"/>
            </w:tcBorders>
            <w:shd w:val="clear" w:color="auto" w:fill="auto"/>
            <w:noWrap/>
            <w:vAlign w:val="center"/>
          </w:tcPr>
          <w:p w14:paraId="45EDE61E">
            <w:pPr>
              <w:jc w:val="center"/>
              <w:rPr>
                <w:rFonts w:eastAsia="宋体" w:cs="Times New Roman"/>
                <w:color w:val="000000"/>
                <w:sz w:val="21"/>
                <w:szCs w:val="21"/>
              </w:rPr>
            </w:pPr>
          </w:p>
        </w:tc>
      </w:tr>
      <w:tr w14:paraId="0AF8B9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65" w:type="dxa"/>
            <w:tcBorders>
              <w:tl2br w:val="nil"/>
              <w:tr2bl w:val="nil"/>
            </w:tcBorders>
            <w:shd w:val="clear" w:color="auto" w:fill="auto"/>
            <w:vAlign w:val="center"/>
          </w:tcPr>
          <w:p w14:paraId="7BF257B8">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阀门口径</w:t>
            </w:r>
          </w:p>
        </w:tc>
        <w:tc>
          <w:tcPr>
            <w:tcW w:w="2880" w:type="dxa"/>
            <w:tcBorders>
              <w:tl2br w:val="nil"/>
              <w:tr2bl w:val="nil"/>
            </w:tcBorders>
            <w:shd w:val="clear" w:color="auto" w:fill="auto"/>
            <w:noWrap/>
            <w:vAlign w:val="center"/>
          </w:tcPr>
          <w:p w14:paraId="6590F815">
            <w:pPr>
              <w:jc w:val="center"/>
              <w:rPr>
                <w:rFonts w:eastAsia="宋体" w:cs="Times New Roman"/>
                <w:color w:val="000000"/>
                <w:sz w:val="21"/>
                <w:szCs w:val="21"/>
              </w:rPr>
            </w:pPr>
          </w:p>
        </w:tc>
        <w:tc>
          <w:tcPr>
            <w:tcW w:w="1590" w:type="dxa"/>
            <w:tcBorders>
              <w:tl2br w:val="nil"/>
              <w:tr2bl w:val="nil"/>
            </w:tcBorders>
            <w:shd w:val="clear" w:color="auto" w:fill="auto"/>
            <w:vAlign w:val="center"/>
          </w:tcPr>
          <w:p w14:paraId="5ABE5C46">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管道材质</w:t>
            </w:r>
          </w:p>
        </w:tc>
        <w:tc>
          <w:tcPr>
            <w:tcW w:w="2445" w:type="dxa"/>
            <w:tcBorders>
              <w:tl2br w:val="nil"/>
              <w:tr2bl w:val="nil"/>
            </w:tcBorders>
            <w:shd w:val="clear" w:color="auto" w:fill="auto"/>
            <w:noWrap/>
            <w:vAlign w:val="center"/>
          </w:tcPr>
          <w:p w14:paraId="64491D69">
            <w:pPr>
              <w:jc w:val="center"/>
              <w:rPr>
                <w:rFonts w:eastAsia="宋体" w:cs="Times New Roman"/>
                <w:color w:val="000000"/>
                <w:sz w:val="21"/>
                <w:szCs w:val="21"/>
              </w:rPr>
            </w:pPr>
          </w:p>
        </w:tc>
      </w:tr>
      <w:tr w14:paraId="172280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65" w:type="dxa"/>
            <w:tcBorders>
              <w:tl2br w:val="nil"/>
              <w:tr2bl w:val="nil"/>
            </w:tcBorders>
            <w:shd w:val="clear" w:color="auto" w:fill="auto"/>
            <w:vAlign w:val="center"/>
          </w:tcPr>
          <w:p w14:paraId="42F35F8C">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阀门编号</w:t>
            </w:r>
          </w:p>
        </w:tc>
        <w:tc>
          <w:tcPr>
            <w:tcW w:w="2880" w:type="dxa"/>
            <w:tcBorders>
              <w:tl2br w:val="nil"/>
              <w:tr2bl w:val="nil"/>
            </w:tcBorders>
            <w:shd w:val="clear" w:color="auto" w:fill="auto"/>
            <w:noWrap/>
            <w:vAlign w:val="center"/>
          </w:tcPr>
          <w:p w14:paraId="50E56E33">
            <w:pPr>
              <w:jc w:val="center"/>
              <w:rPr>
                <w:rFonts w:eastAsia="宋体" w:cs="Times New Roman"/>
                <w:color w:val="000000"/>
                <w:sz w:val="21"/>
                <w:szCs w:val="21"/>
              </w:rPr>
            </w:pPr>
          </w:p>
        </w:tc>
        <w:tc>
          <w:tcPr>
            <w:tcW w:w="1590" w:type="dxa"/>
            <w:tcBorders>
              <w:tl2br w:val="nil"/>
              <w:tr2bl w:val="nil"/>
            </w:tcBorders>
            <w:shd w:val="clear" w:color="auto" w:fill="auto"/>
            <w:vAlign w:val="center"/>
          </w:tcPr>
          <w:p w14:paraId="7F37B1C0">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音频类型</w:t>
            </w:r>
          </w:p>
        </w:tc>
        <w:tc>
          <w:tcPr>
            <w:tcW w:w="2445" w:type="dxa"/>
            <w:tcBorders>
              <w:tl2br w:val="nil"/>
              <w:tr2bl w:val="nil"/>
            </w:tcBorders>
            <w:shd w:val="clear" w:color="auto" w:fill="auto"/>
            <w:noWrap/>
            <w:vAlign w:val="center"/>
          </w:tcPr>
          <w:p w14:paraId="5FEA0AC1">
            <w:pPr>
              <w:jc w:val="center"/>
              <w:rPr>
                <w:rFonts w:eastAsia="宋体" w:cs="Times New Roman"/>
                <w:color w:val="000000"/>
                <w:sz w:val="21"/>
                <w:szCs w:val="21"/>
              </w:rPr>
            </w:pPr>
          </w:p>
        </w:tc>
      </w:tr>
      <w:tr w14:paraId="06DCDF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65" w:type="dxa"/>
            <w:tcBorders>
              <w:tl2br w:val="nil"/>
              <w:tr2bl w:val="nil"/>
            </w:tcBorders>
            <w:shd w:val="clear" w:color="auto" w:fill="auto"/>
            <w:vAlign w:val="center"/>
          </w:tcPr>
          <w:p w14:paraId="49CA0590">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观测天数</w:t>
            </w:r>
          </w:p>
        </w:tc>
        <w:tc>
          <w:tcPr>
            <w:tcW w:w="2880" w:type="dxa"/>
            <w:tcBorders>
              <w:tl2br w:val="nil"/>
              <w:tr2bl w:val="nil"/>
            </w:tcBorders>
            <w:shd w:val="clear" w:color="auto" w:fill="auto"/>
            <w:noWrap/>
            <w:vAlign w:val="center"/>
          </w:tcPr>
          <w:p w14:paraId="5953EF6C">
            <w:pPr>
              <w:jc w:val="center"/>
              <w:rPr>
                <w:rFonts w:eastAsia="宋体" w:cs="Times New Roman"/>
                <w:color w:val="000000"/>
                <w:sz w:val="21"/>
                <w:szCs w:val="21"/>
              </w:rPr>
            </w:pPr>
          </w:p>
        </w:tc>
        <w:tc>
          <w:tcPr>
            <w:tcW w:w="1590" w:type="dxa"/>
            <w:tcBorders>
              <w:tl2br w:val="nil"/>
              <w:tr2bl w:val="nil"/>
            </w:tcBorders>
            <w:shd w:val="clear" w:color="auto" w:fill="auto"/>
            <w:vAlign w:val="center"/>
          </w:tcPr>
          <w:p w14:paraId="4E99E9E7">
            <w:pPr>
              <w:widowControl/>
              <w:jc w:val="center"/>
              <w:textAlignment w:val="center"/>
              <w:rPr>
                <w:rFonts w:eastAsia="宋体" w:cs="Times New Roman"/>
                <w:color w:val="000000"/>
                <w:kern w:val="0"/>
                <w:sz w:val="21"/>
                <w:szCs w:val="21"/>
                <w:lang w:bidi="ar"/>
              </w:rPr>
            </w:pPr>
            <w:r>
              <w:rPr>
                <w:rFonts w:eastAsia="宋体" w:cs="Times New Roman"/>
                <w:color w:val="000000"/>
                <w:kern w:val="0"/>
                <w:sz w:val="21"/>
                <w:szCs w:val="21"/>
                <w:lang w:bidi="ar"/>
              </w:rPr>
              <w:t>音频数据</w:t>
            </w:r>
          </w:p>
        </w:tc>
        <w:tc>
          <w:tcPr>
            <w:tcW w:w="2445" w:type="dxa"/>
            <w:tcBorders>
              <w:tl2br w:val="nil"/>
              <w:tr2bl w:val="nil"/>
            </w:tcBorders>
            <w:shd w:val="clear" w:color="auto" w:fill="auto"/>
            <w:noWrap/>
            <w:vAlign w:val="center"/>
          </w:tcPr>
          <w:p w14:paraId="20421CFD">
            <w:pPr>
              <w:jc w:val="center"/>
              <w:rPr>
                <w:rFonts w:eastAsia="宋体" w:cs="Times New Roman"/>
                <w:color w:val="000000"/>
                <w:sz w:val="21"/>
                <w:szCs w:val="21"/>
              </w:rPr>
            </w:pPr>
          </w:p>
        </w:tc>
      </w:tr>
      <w:tr w14:paraId="0F1BE2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33" w:hRule="atLeast"/>
        </w:trPr>
        <w:tc>
          <w:tcPr>
            <w:tcW w:w="1365" w:type="dxa"/>
            <w:tcBorders>
              <w:tl2br w:val="nil"/>
              <w:tr2bl w:val="nil"/>
            </w:tcBorders>
            <w:shd w:val="clear" w:color="auto" w:fill="auto"/>
            <w:vAlign w:val="center"/>
          </w:tcPr>
          <w:p w14:paraId="0A438E79">
            <w:pPr>
              <w:widowControl/>
              <w:jc w:val="center"/>
              <w:textAlignment w:val="center"/>
              <w:rPr>
                <w:rFonts w:eastAsia="宋体" w:cs="Times New Roman"/>
                <w:color w:val="000000"/>
                <w:sz w:val="21"/>
                <w:szCs w:val="21"/>
              </w:rPr>
            </w:pPr>
            <w:r>
              <w:rPr>
                <w:rFonts w:eastAsia="宋体" w:cs="Times New Roman"/>
                <w:color w:val="000000"/>
                <w:kern w:val="0"/>
                <w:sz w:val="21"/>
                <w:szCs w:val="21"/>
                <w:lang w:bidi="ar"/>
              </w:rPr>
              <w:t>状态</w:t>
            </w:r>
          </w:p>
        </w:tc>
        <w:tc>
          <w:tcPr>
            <w:tcW w:w="6915" w:type="dxa"/>
            <w:gridSpan w:val="3"/>
            <w:tcBorders>
              <w:tl2br w:val="nil"/>
              <w:tr2bl w:val="nil"/>
            </w:tcBorders>
            <w:shd w:val="clear" w:color="auto" w:fill="auto"/>
            <w:noWrap/>
            <w:vAlign w:val="center"/>
          </w:tcPr>
          <w:p w14:paraId="5ADF5E14">
            <w:pPr>
              <w:jc w:val="center"/>
              <w:rPr>
                <w:rFonts w:eastAsia="宋体" w:cs="Times New Roman"/>
                <w:color w:val="000000"/>
                <w:sz w:val="21"/>
                <w:szCs w:val="21"/>
              </w:rPr>
            </w:pPr>
          </w:p>
        </w:tc>
      </w:tr>
    </w:tbl>
    <w:p w14:paraId="71EC0781">
      <w:pPr>
        <w:pStyle w:val="2"/>
        <w:ind w:left="0" w:firstLine="0" w:firstLineChars="0"/>
        <w:rPr>
          <w:rFonts w:cs="Times New Roman"/>
          <w:bCs/>
          <w:color w:val="000000"/>
          <w:sz w:val="21"/>
        </w:rPr>
      </w:pPr>
      <w:r>
        <w:rPr>
          <w:rFonts w:hint="eastAsia" w:cs="宋体"/>
          <w:sz w:val="21"/>
        </w:rPr>
        <w:t>检测员：</w:t>
      </w:r>
      <w:r>
        <w:rPr>
          <w:rFonts w:hint="eastAsia" w:cs="宋体"/>
          <w:sz w:val="21"/>
          <w:u w:val="single"/>
        </w:rPr>
        <w:t xml:space="preserve">       </w:t>
      </w:r>
      <w:r>
        <w:rPr>
          <w:rFonts w:cs="宋体"/>
          <w:sz w:val="21"/>
        </w:rPr>
        <w:t xml:space="preserve">  </w:t>
      </w:r>
      <w:r>
        <w:rPr>
          <w:rFonts w:hint="eastAsia" w:cs="宋体"/>
          <w:sz w:val="21"/>
          <w:lang w:eastAsia="zh-CN"/>
        </w:rPr>
        <w:t>记录员</w:t>
      </w:r>
      <w:r>
        <w:rPr>
          <w:rFonts w:hint="eastAsia" w:cs="宋体"/>
          <w:sz w:val="21"/>
        </w:rPr>
        <w:t>：</w:t>
      </w:r>
      <w:r>
        <w:rPr>
          <w:rFonts w:hint="eastAsia" w:cs="宋体"/>
          <w:sz w:val="21"/>
          <w:u w:val="single"/>
        </w:rPr>
        <w:t xml:space="preserve">         </w:t>
      </w:r>
      <w:r>
        <w:rPr>
          <w:rFonts w:hint="eastAsia" w:cs="宋体"/>
          <w:sz w:val="21"/>
        </w:rPr>
        <w:t xml:space="preserve"> </w:t>
      </w:r>
      <w:r>
        <w:rPr>
          <w:rFonts w:cs="宋体"/>
          <w:sz w:val="21"/>
        </w:rPr>
        <w:t xml:space="preserve"> </w:t>
      </w:r>
      <w:r>
        <w:rPr>
          <w:rFonts w:hint="eastAsia" w:cs="宋体"/>
          <w:sz w:val="21"/>
        </w:rPr>
        <w:t>校核员：</w:t>
      </w:r>
      <w:r>
        <w:rPr>
          <w:rFonts w:hint="eastAsia" w:cs="宋体"/>
          <w:sz w:val="21"/>
          <w:u w:val="single"/>
        </w:rPr>
        <w:t xml:space="preserve">          </w:t>
      </w:r>
      <w:r>
        <w:rPr>
          <w:rFonts w:hint="eastAsia" w:cs="宋体"/>
          <w:sz w:val="21"/>
        </w:rPr>
        <w:t xml:space="preserve">   </w:t>
      </w:r>
      <w:r>
        <w:rPr>
          <w:rFonts w:hint="eastAsia" w:cs="宋体"/>
          <w:sz w:val="21"/>
          <w:u w:val="single"/>
        </w:rPr>
        <w:t xml:space="preserve">     </w:t>
      </w:r>
      <w:r>
        <w:rPr>
          <w:rFonts w:hint="eastAsia" w:cs="宋体"/>
          <w:sz w:val="21"/>
        </w:rPr>
        <w:t>年</w:t>
      </w:r>
      <w:r>
        <w:rPr>
          <w:rFonts w:hint="eastAsia" w:cs="宋体"/>
          <w:sz w:val="21"/>
          <w:u w:val="single"/>
        </w:rPr>
        <w:t xml:space="preserve">    </w:t>
      </w:r>
      <w:r>
        <w:rPr>
          <w:rFonts w:hint="eastAsia" w:cs="宋体"/>
          <w:sz w:val="21"/>
        </w:rPr>
        <w:t>月</w:t>
      </w:r>
      <w:r>
        <w:rPr>
          <w:rFonts w:hint="eastAsia" w:cs="宋体"/>
          <w:sz w:val="21"/>
          <w:u w:val="single"/>
        </w:rPr>
        <w:t xml:space="preserve">    </w:t>
      </w:r>
      <w:r>
        <w:rPr>
          <w:rFonts w:hint="eastAsia" w:cs="宋体"/>
          <w:sz w:val="21"/>
        </w:rPr>
        <w:t>日</w:t>
      </w:r>
    </w:p>
    <w:p w14:paraId="71006CC9">
      <w:pPr>
        <w:pStyle w:val="2"/>
        <w:ind w:firstLine="240"/>
        <w:rPr>
          <w:szCs w:val="24"/>
        </w:rPr>
      </w:pPr>
    </w:p>
    <w:p w14:paraId="6037CEA1">
      <w:pPr>
        <w:pStyle w:val="2"/>
        <w:ind w:firstLine="240"/>
        <w:rPr>
          <w:szCs w:val="24"/>
        </w:rPr>
      </w:pPr>
    </w:p>
    <w:p w14:paraId="390407AE">
      <w:pPr>
        <w:pStyle w:val="2"/>
        <w:ind w:firstLine="240"/>
        <w:rPr>
          <w:szCs w:val="24"/>
        </w:rPr>
      </w:pPr>
    </w:p>
    <w:p w14:paraId="2F6EC242">
      <w:pPr>
        <w:pStyle w:val="2"/>
        <w:ind w:firstLine="240"/>
        <w:rPr>
          <w:szCs w:val="24"/>
        </w:rPr>
        <w:sectPr>
          <w:headerReference r:id="rId13" w:type="default"/>
          <w:footerReference r:id="rId14" w:type="default"/>
          <w:pgSz w:w="11906" w:h="16838"/>
          <w:pgMar w:top="1440" w:right="1800" w:bottom="1440" w:left="1800" w:header="851" w:footer="992" w:gutter="0"/>
          <w:cols w:space="425" w:num="1"/>
          <w:docGrid w:type="lines" w:linePitch="312" w:charSpace="0"/>
        </w:sectPr>
      </w:pPr>
    </w:p>
    <w:p w14:paraId="5C687736">
      <w:pPr>
        <w:pStyle w:val="4"/>
      </w:pPr>
      <w:bookmarkStart w:id="394" w:name="_Toc4248"/>
      <w:bookmarkStart w:id="395" w:name="_Toc181825589"/>
      <w:bookmarkStart w:id="396" w:name="_Toc32268"/>
      <w:bookmarkStart w:id="397" w:name="_Toc21029"/>
      <w:r>
        <w:rPr>
          <w:rFonts w:hint="eastAsia"/>
        </w:rPr>
        <w:t>附录B　断丝位置及数量汇总表</w:t>
      </w:r>
      <w:bookmarkEnd w:id="391"/>
      <w:bookmarkEnd w:id="392"/>
      <w:bookmarkEnd w:id="394"/>
      <w:bookmarkEnd w:id="395"/>
      <w:bookmarkEnd w:id="396"/>
      <w:bookmarkEnd w:id="397"/>
    </w:p>
    <w:p w14:paraId="66BBFD98">
      <w:pPr>
        <w:pStyle w:val="105"/>
      </w:pPr>
      <w:bookmarkStart w:id="398" w:name="_Toc29230"/>
      <w:r>
        <w:rPr>
          <w:rFonts w:hint="eastAsia"/>
        </w:rPr>
        <w:t>表B　断丝位置及数量汇总表</w:t>
      </w:r>
      <w:bookmarkEnd w:id="398"/>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863"/>
        <w:gridCol w:w="1082"/>
        <w:gridCol w:w="1083"/>
        <w:gridCol w:w="1083"/>
        <w:gridCol w:w="1158"/>
        <w:gridCol w:w="1248"/>
        <w:gridCol w:w="1219"/>
      </w:tblGrid>
      <w:tr w14:paraId="676BF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40" w:type="dxa"/>
            <w:tcBorders>
              <w:tl2br w:val="nil"/>
              <w:tr2bl w:val="nil"/>
            </w:tcBorders>
            <w:vAlign w:val="center"/>
          </w:tcPr>
          <w:p w14:paraId="4EB3719B">
            <w:pPr>
              <w:spacing w:line="240" w:lineRule="auto"/>
              <w:jc w:val="center"/>
              <w:rPr>
                <w:sz w:val="21"/>
                <w:szCs w:val="21"/>
              </w:rPr>
            </w:pPr>
            <w:r>
              <w:rPr>
                <w:rFonts w:hint="eastAsia"/>
                <w:sz w:val="21"/>
                <w:szCs w:val="21"/>
              </w:rPr>
              <w:t>序号</w:t>
            </w:r>
          </w:p>
        </w:tc>
        <w:tc>
          <w:tcPr>
            <w:tcW w:w="863" w:type="dxa"/>
            <w:tcBorders>
              <w:tl2br w:val="nil"/>
              <w:tr2bl w:val="nil"/>
            </w:tcBorders>
            <w:vAlign w:val="center"/>
          </w:tcPr>
          <w:p w14:paraId="0377293D">
            <w:pPr>
              <w:spacing w:line="240" w:lineRule="auto"/>
              <w:jc w:val="center"/>
              <w:rPr>
                <w:sz w:val="21"/>
                <w:szCs w:val="21"/>
              </w:rPr>
            </w:pPr>
            <w:r>
              <w:rPr>
                <w:rFonts w:hint="eastAsia"/>
                <w:sz w:val="21"/>
                <w:szCs w:val="21"/>
              </w:rPr>
              <w:t>管节</w:t>
            </w:r>
          </w:p>
          <w:p w14:paraId="7C9AEEEF">
            <w:pPr>
              <w:spacing w:line="240" w:lineRule="auto"/>
              <w:jc w:val="center"/>
              <w:rPr>
                <w:sz w:val="21"/>
                <w:szCs w:val="21"/>
              </w:rPr>
            </w:pPr>
            <w:r>
              <w:rPr>
                <w:rFonts w:hint="eastAsia"/>
                <w:sz w:val="21"/>
                <w:szCs w:val="21"/>
              </w:rPr>
              <w:t>编号</w:t>
            </w:r>
          </w:p>
        </w:tc>
        <w:tc>
          <w:tcPr>
            <w:tcW w:w="1082" w:type="dxa"/>
            <w:tcBorders>
              <w:tl2br w:val="nil"/>
              <w:tr2bl w:val="nil"/>
            </w:tcBorders>
            <w:vAlign w:val="center"/>
          </w:tcPr>
          <w:p w14:paraId="38000A60">
            <w:pPr>
              <w:spacing w:line="240" w:lineRule="auto"/>
              <w:jc w:val="center"/>
              <w:rPr>
                <w:sz w:val="21"/>
                <w:szCs w:val="21"/>
              </w:rPr>
            </w:pPr>
            <w:r>
              <w:rPr>
                <w:rFonts w:hint="eastAsia"/>
                <w:sz w:val="21"/>
                <w:szCs w:val="21"/>
              </w:rPr>
              <w:t>管节长度（m）</w:t>
            </w:r>
          </w:p>
        </w:tc>
        <w:tc>
          <w:tcPr>
            <w:tcW w:w="1083" w:type="dxa"/>
            <w:tcBorders>
              <w:tl2br w:val="nil"/>
              <w:tr2bl w:val="nil"/>
            </w:tcBorders>
            <w:vAlign w:val="center"/>
          </w:tcPr>
          <w:p w14:paraId="78C106ED">
            <w:pPr>
              <w:spacing w:line="240" w:lineRule="auto"/>
              <w:jc w:val="center"/>
              <w:rPr>
                <w:sz w:val="21"/>
                <w:szCs w:val="21"/>
              </w:rPr>
            </w:pPr>
            <w:r>
              <w:rPr>
                <w:rFonts w:hint="eastAsia"/>
                <w:sz w:val="21"/>
                <w:szCs w:val="21"/>
              </w:rPr>
              <w:t>断丝位置（m）</w:t>
            </w:r>
          </w:p>
        </w:tc>
        <w:tc>
          <w:tcPr>
            <w:tcW w:w="1083" w:type="dxa"/>
            <w:tcBorders>
              <w:tl2br w:val="nil"/>
              <w:tr2bl w:val="nil"/>
            </w:tcBorders>
            <w:vAlign w:val="center"/>
          </w:tcPr>
          <w:p w14:paraId="2141EB16">
            <w:pPr>
              <w:spacing w:line="240" w:lineRule="auto"/>
              <w:jc w:val="center"/>
              <w:rPr>
                <w:sz w:val="21"/>
                <w:szCs w:val="21"/>
              </w:rPr>
            </w:pPr>
            <w:r>
              <w:rPr>
                <w:rFonts w:hint="eastAsia"/>
                <w:sz w:val="21"/>
                <w:szCs w:val="21"/>
              </w:rPr>
              <w:t>断丝数量（根）</w:t>
            </w:r>
          </w:p>
        </w:tc>
        <w:tc>
          <w:tcPr>
            <w:tcW w:w="1158" w:type="dxa"/>
            <w:tcBorders>
              <w:tl2br w:val="nil"/>
              <w:tr2bl w:val="nil"/>
            </w:tcBorders>
            <w:vAlign w:val="center"/>
          </w:tcPr>
          <w:p w14:paraId="0541F70A">
            <w:pPr>
              <w:spacing w:line="240" w:lineRule="auto"/>
              <w:jc w:val="center"/>
              <w:rPr>
                <w:sz w:val="21"/>
                <w:szCs w:val="21"/>
              </w:rPr>
            </w:pPr>
            <w:r>
              <w:rPr>
                <w:rFonts w:hint="eastAsia"/>
                <w:sz w:val="21"/>
                <w:szCs w:val="21"/>
              </w:rPr>
              <w:t>总断丝数量（根）</w:t>
            </w:r>
          </w:p>
        </w:tc>
        <w:tc>
          <w:tcPr>
            <w:tcW w:w="1248" w:type="dxa"/>
            <w:tcBorders>
              <w:tl2br w:val="nil"/>
              <w:tr2bl w:val="nil"/>
            </w:tcBorders>
            <w:vAlign w:val="center"/>
          </w:tcPr>
          <w:p w14:paraId="3209F70D">
            <w:pPr>
              <w:spacing w:line="240" w:lineRule="auto"/>
              <w:jc w:val="center"/>
              <w:rPr>
                <w:sz w:val="21"/>
                <w:szCs w:val="21"/>
              </w:rPr>
            </w:pPr>
            <w:bookmarkStart w:id="399" w:name="OLE_LINK17"/>
            <w:r>
              <w:rPr>
                <w:rFonts w:hint="eastAsia"/>
                <w:sz w:val="21"/>
                <w:szCs w:val="21"/>
              </w:rPr>
              <w:t>断丝占</w:t>
            </w:r>
            <w:bookmarkEnd w:id="399"/>
            <w:r>
              <w:rPr>
                <w:rFonts w:hint="eastAsia"/>
                <w:sz w:val="21"/>
                <w:szCs w:val="21"/>
              </w:rPr>
              <w:t>总缠丝环数（%）</w:t>
            </w:r>
          </w:p>
        </w:tc>
        <w:tc>
          <w:tcPr>
            <w:tcW w:w="1219" w:type="dxa"/>
            <w:tcBorders>
              <w:tl2br w:val="nil"/>
              <w:tr2bl w:val="nil"/>
            </w:tcBorders>
            <w:vAlign w:val="center"/>
          </w:tcPr>
          <w:p w14:paraId="4962B54E">
            <w:pPr>
              <w:spacing w:line="240" w:lineRule="auto"/>
              <w:jc w:val="center"/>
              <w:rPr>
                <w:sz w:val="21"/>
                <w:szCs w:val="21"/>
              </w:rPr>
            </w:pPr>
            <w:r>
              <w:rPr>
                <w:rFonts w:hint="eastAsia"/>
                <w:sz w:val="21"/>
                <w:szCs w:val="21"/>
              </w:rPr>
              <w:t>说明</w:t>
            </w:r>
          </w:p>
        </w:tc>
      </w:tr>
      <w:tr w14:paraId="18281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l2br w:val="nil"/>
              <w:tr2bl w:val="nil"/>
            </w:tcBorders>
          </w:tcPr>
          <w:p w14:paraId="57E108B1">
            <w:pPr>
              <w:spacing w:line="240" w:lineRule="auto"/>
              <w:rPr>
                <w:sz w:val="21"/>
                <w:szCs w:val="21"/>
              </w:rPr>
            </w:pPr>
          </w:p>
        </w:tc>
        <w:tc>
          <w:tcPr>
            <w:tcW w:w="863" w:type="dxa"/>
            <w:tcBorders>
              <w:tl2br w:val="nil"/>
              <w:tr2bl w:val="nil"/>
            </w:tcBorders>
          </w:tcPr>
          <w:p w14:paraId="3BAFB03F">
            <w:pPr>
              <w:spacing w:line="240" w:lineRule="auto"/>
              <w:rPr>
                <w:sz w:val="21"/>
                <w:szCs w:val="21"/>
              </w:rPr>
            </w:pPr>
          </w:p>
        </w:tc>
        <w:tc>
          <w:tcPr>
            <w:tcW w:w="1082" w:type="dxa"/>
            <w:tcBorders>
              <w:tl2br w:val="nil"/>
              <w:tr2bl w:val="nil"/>
            </w:tcBorders>
          </w:tcPr>
          <w:p w14:paraId="661777CF">
            <w:pPr>
              <w:spacing w:line="240" w:lineRule="auto"/>
              <w:rPr>
                <w:sz w:val="21"/>
                <w:szCs w:val="21"/>
              </w:rPr>
            </w:pPr>
          </w:p>
        </w:tc>
        <w:tc>
          <w:tcPr>
            <w:tcW w:w="1083" w:type="dxa"/>
            <w:tcBorders>
              <w:tl2br w:val="nil"/>
              <w:tr2bl w:val="nil"/>
            </w:tcBorders>
          </w:tcPr>
          <w:p w14:paraId="71B19344">
            <w:pPr>
              <w:spacing w:line="240" w:lineRule="auto"/>
              <w:rPr>
                <w:sz w:val="21"/>
                <w:szCs w:val="21"/>
              </w:rPr>
            </w:pPr>
          </w:p>
        </w:tc>
        <w:tc>
          <w:tcPr>
            <w:tcW w:w="1083" w:type="dxa"/>
            <w:tcBorders>
              <w:tl2br w:val="nil"/>
              <w:tr2bl w:val="nil"/>
            </w:tcBorders>
          </w:tcPr>
          <w:p w14:paraId="3F973DD2">
            <w:pPr>
              <w:spacing w:line="240" w:lineRule="auto"/>
              <w:rPr>
                <w:sz w:val="21"/>
                <w:szCs w:val="21"/>
              </w:rPr>
            </w:pPr>
          </w:p>
        </w:tc>
        <w:tc>
          <w:tcPr>
            <w:tcW w:w="1158" w:type="dxa"/>
            <w:tcBorders>
              <w:tl2br w:val="nil"/>
              <w:tr2bl w:val="nil"/>
            </w:tcBorders>
          </w:tcPr>
          <w:p w14:paraId="748DD392">
            <w:pPr>
              <w:spacing w:line="240" w:lineRule="auto"/>
              <w:rPr>
                <w:sz w:val="21"/>
                <w:szCs w:val="21"/>
              </w:rPr>
            </w:pPr>
          </w:p>
        </w:tc>
        <w:tc>
          <w:tcPr>
            <w:tcW w:w="1248" w:type="dxa"/>
            <w:tcBorders>
              <w:tl2br w:val="nil"/>
              <w:tr2bl w:val="nil"/>
            </w:tcBorders>
          </w:tcPr>
          <w:p w14:paraId="435B0C99">
            <w:pPr>
              <w:spacing w:line="240" w:lineRule="auto"/>
              <w:rPr>
                <w:sz w:val="21"/>
                <w:szCs w:val="21"/>
              </w:rPr>
            </w:pPr>
          </w:p>
        </w:tc>
        <w:tc>
          <w:tcPr>
            <w:tcW w:w="1219" w:type="dxa"/>
            <w:tcBorders>
              <w:tl2br w:val="nil"/>
              <w:tr2bl w:val="nil"/>
            </w:tcBorders>
          </w:tcPr>
          <w:p w14:paraId="2A8F7FD3">
            <w:pPr>
              <w:spacing w:line="240" w:lineRule="auto"/>
              <w:rPr>
                <w:sz w:val="21"/>
                <w:szCs w:val="21"/>
              </w:rPr>
            </w:pPr>
          </w:p>
        </w:tc>
      </w:tr>
      <w:tr w14:paraId="4A84F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l2br w:val="nil"/>
              <w:tr2bl w:val="nil"/>
            </w:tcBorders>
          </w:tcPr>
          <w:p w14:paraId="0DFDC342">
            <w:pPr>
              <w:spacing w:line="240" w:lineRule="auto"/>
              <w:rPr>
                <w:sz w:val="21"/>
                <w:szCs w:val="21"/>
              </w:rPr>
            </w:pPr>
          </w:p>
        </w:tc>
        <w:tc>
          <w:tcPr>
            <w:tcW w:w="863" w:type="dxa"/>
            <w:tcBorders>
              <w:tl2br w:val="nil"/>
              <w:tr2bl w:val="nil"/>
            </w:tcBorders>
          </w:tcPr>
          <w:p w14:paraId="62124D65">
            <w:pPr>
              <w:spacing w:line="240" w:lineRule="auto"/>
              <w:rPr>
                <w:sz w:val="21"/>
                <w:szCs w:val="21"/>
              </w:rPr>
            </w:pPr>
          </w:p>
        </w:tc>
        <w:tc>
          <w:tcPr>
            <w:tcW w:w="1082" w:type="dxa"/>
            <w:tcBorders>
              <w:tl2br w:val="nil"/>
              <w:tr2bl w:val="nil"/>
            </w:tcBorders>
          </w:tcPr>
          <w:p w14:paraId="65E0B8D2">
            <w:pPr>
              <w:spacing w:line="240" w:lineRule="auto"/>
              <w:rPr>
                <w:sz w:val="21"/>
                <w:szCs w:val="21"/>
              </w:rPr>
            </w:pPr>
          </w:p>
        </w:tc>
        <w:tc>
          <w:tcPr>
            <w:tcW w:w="1083" w:type="dxa"/>
            <w:tcBorders>
              <w:tl2br w:val="nil"/>
              <w:tr2bl w:val="nil"/>
            </w:tcBorders>
          </w:tcPr>
          <w:p w14:paraId="36389117">
            <w:pPr>
              <w:spacing w:line="240" w:lineRule="auto"/>
              <w:rPr>
                <w:sz w:val="21"/>
                <w:szCs w:val="21"/>
              </w:rPr>
            </w:pPr>
          </w:p>
        </w:tc>
        <w:tc>
          <w:tcPr>
            <w:tcW w:w="1083" w:type="dxa"/>
            <w:tcBorders>
              <w:tl2br w:val="nil"/>
              <w:tr2bl w:val="nil"/>
            </w:tcBorders>
          </w:tcPr>
          <w:p w14:paraId="032575B7">
            <w:pPr>
              <w:spacing w:line="240" w:lineRule="auto"/>
              <w:rPr>
                <w:sz w:val="21"/>
                <w:szCs w:val="21"/>
              </w:rPr>
            </w:pPr>
          </w:p>
        </w:tc>
        <w:tc>
          <w:tcPr>
            <w:tcW w:w="1158" w:type="dxa"/>
            <w:tcBorders>
              <w:tl2br w:val="nil"/>
              <w:tr2bl w:val="nil"/>
            </w:tcBorders>
          </w:tcPr>
          <w:p w14:paraId="465B456C">
            <w:pPr>
              <w:spacing w:line="240" w:lineRule="auto"/>
              <w:rPr>
                <w:sz w:val="21"/>
                <w:szCs w:val="21"/>
              </w:rPr>
            </w:pPr>
          </w:p>
        </w:tc>
        <w:tc>
          <w:tcPr>
            <w:tcW w:w="1248" w:type="dxa"/>
            <w:tcBorders>
              <w:tl2br w:val="nil"/>
              <w:tr2bl w:val="nil"/>
            </w:tcBorders>
          </w:tcPr>
          <w:p w14:paraId="774F7089">
            <w:pPr>
              <w:spacing w:line="240" w:lineRule="auto"/>
              <w:rPr>
                <w:sz w:val="21"/>
                <w:szCs w:val="21"/>
              </w:rPr>
            </w:pPr>
          </w:p>
        </w:tc>
        <w:tc>
          <w:tcPr>
            <w:tcW w:w="1219" w:type="dxa"/>
            <w:tcBorders>
              <w:tl2br w:val="nil"/>
              <w:tr2bl w:val="nil"/>
            </w:tcBorders>
          </w:tcPr>
          <w:p w14:paraId="3DFE65DC">
            <w:pPr>
              <w:spacing w:line="240" w:lineRule="auto"/>
              <w:rPr>
                <w:sz w:val="21"/>
                <w:szCs w:val="21"/>
              </w:rPr>
            </w:pPr>
          </w:p>
        </w:tc>
      </w:tr>
      <w:tr w14:paraId="07271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l2br w:val="nil"/>
              <w:tr2bl w:val="nil"/>
            </w:tcBorders>
          </w:tcPr>
          <w:p w14:paraId="6B06FAD8">
            <w:pPr>
              <w:spacing w:line="240" w:lineRule="auto"/>
              <w:rPr>
                <w:sz w:val="21"/>
                <w:szCs w:val="21"/>
              </w:rPr>
            </w:pPr>
          </w:p>
        </w:tc>
        <w:tc>
          <w:tcPr>
            <w:tcW w:w="863" w:type="dxa"/>
            <w:tcBorders>
              <w:tl2br w:val="nil"/>
              <w:tr2bl w:val="nil"/>
            </w:tcBorders>
          </w:tcPr>
          <w:p w14:paraId="1D8B6F9D">
            <w:pPr>
              <w:spacing w:line="240" w:lineRule="auto"/>
              <w:rPr>
                <w:sz w:val="21"/>
                <w:szCs w:val="21"/>
              </w:rPr>
            </w:pPr>
          </w:p>
        </w:tc>
        <w:tc>
          <w:tcPr>
            <w:tcW w:w="1082" w:type="dxa"/>
            <w:tcBorders>
              <w:tl2br w:val="nil"/>
              <w:tr2bl w:val="nil"/>
            </w:tcBorders>
          </w:tcPr>
          <w:p w14:paraId="59EF5F45">
            <w:pPr>
              <w:spacing w:line="240" w:lineRule="auto"/>
              <w:rPr>
                <w:sz w:val="21"/>
                <w:szCs w:val="21"/>
              </w:rPr>
            </w:pPr>
          </w:p>
        </w:tc>
        <w:tc>
          <w:tcPr>
            <w:tcW w:w="1083" w:type="dxa"/>
            <w:tcBorders>
              <w:tl2br w:val="nil"/>
              <w:tr2bl w:val="nil"/>
            </w:tcBorders>
          </w:tcPr>
          <w:p w14:paraId="273A1DA1">
            <w:pPr>
              <w:spacing w:line="240" w:lineRule="auto"/>
              <w:rPr>
                <w:sz w:val="21"/>
                <w:szCs w:val="21"/>
              </w:rPr>
            </w:pPr>
          </w:p>
        </w:tc>
        <w:tc>
          <w:tcPr>
            <w:tcW w:w="1083" w:type="dxa"/>
            <w:tcBorders>
              <w:tl2br w:val="nil"/>
              <w:tr2bl w:val="nil"/>
            </w:tcBorders>
          </w:tcPr>
          <w:p w14:paraId="35C63882">
            <w:pPr>
              <w:spacing w:line="240" w:lineRule="auto"/>
              <w:rPr>
                <w:sz w:val="21"/>
                <w:szCs w:val="21"/>
              </w:rPr>
            </w:pPr>
          </w:p>
        </w:tc>
        <w:tc>
          <w:tcPr>
            <w:tcW w:w="1158" w:type="dxa"/>
            <w:tcBorders>
              <w:tl2br w:val="nil"/>
              <w:tr2bl w:val="nil"/>
            </w:tcBorders>
          </w:tcPr>
          <w:p w14:paraId="58AD4A52">
            <w:pPr>
              <w:spacing w:line="240" w:lineRule="auto"/>
              <w:rPr>
                <w:sz w:val="21"/>
                <w:szCs w:val="21"/>
              </w:rPr>
            </w:pPr>
          </w:p>
        </w:tc>
        <w:tc>
          <w:tcPr>
            <w:tcW w:w="1248" w:type="dxa"/>
            <w:tcBorders>
              <w:tl2br w:val="nil"/>
              <w:tr2bl w:val="nil"/>
            </w:tcBorders>
          </w:tcPr>
          <w:p w14:paraId="0EF00C27">
            <w:pPr>
              <w:spacing w:line="240" w:lineRule="auto"/>
              <w:rPr>
                <w:sz w:val="21"/>
                <w:szCs w:val="21"/>
              </w:rPr>
            </w:pPr>
          </w:p>
        </w:tc>
        <w:tc>
          <w:tcPr>
            <w:tcW w:w="1219" w:type="dxa"/>
            <w:tcBorders>
              <w:tl2br w:val="nil"/>
              <w:tr2bl w:val="nil"/>
            </w:tcBorders>
          </w:tcPr>
          <w:p w14:paraId="766D0E8E">
            <w:pPr>
              <w:spacing w:line="240" w:lineRule="auto"/>
              <w:rPr>
                <w:sz w:val="21"/>
                <w:szCs w:val="21"/>
              </w:rPr>
            </w:pPr>
          </w:p>
        </w:tc>
      </w:tr>
      <w:tr w14:paraId="7ED21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l2br w:val="nil"/>
              <w:tr2bl w:val="nil"/>
            </w:tcBorders>
          </w:tcPr>
          <w:p w14:paraId="6BAC3FFF">
            <w:pPr>
              <w:spacing w:line="240" w:lineRule="auto"/>
              <w:rPr>
                <w:sz w:val="21"/>
                <w:szCs w:val="21"/>
              </w:rPr>
            </w:pPr>
          </w:p>
        </w:tc>
        <w:tc>
          <w:tcPr>
            <w:tcW w:w="863" w:type="dxa"/>
            <w:tcBorders>
              <w:tl2br w:val="nil"/>
              <w:tr2bl w:val="nil"/>
            </w:tcBorders>
          </w:tcPr>
          <w:p w14:paraId="4AA85A54">
            <w:pPr>
              <w:spacing w:line="240" w:lineRule="auto"/>
              <w:rPr>
                <w:sz w:val="21"/>
                <w:szCs w:val="21"/>
              </w:rPr>
            </w:pPr>
          </w:p>
        </w:tc>
        <w:tc>
          <w:tcPr>
            <w:tcW w:w="1082" w:type="dxa"/>
            <w:tcBorders>
              <w:tl2br w:val="nil"/>
              <w:tr2bl w:val="nil"/>
            </w:tcBorders>
          </w:tcPr>
          <w:p w14:paraId="74C95057">
            <w:pPr>
              <w:spacing w:line="240" w:lineRule="auto"/>
              <w:rPr>
                <w:sz w:val="21"/>
                <w:szCs w:val="21"/>
              </w:rPr>
            </w:pPr>
          </w:p>
        </w:tc>
        <w:tc>
          <w:tcPr>
            <w:tcW w:w="1083" w:type="dxa"/>
            <w:tcBorders>
              <w:tl2br w:val="nil"/>
              <w:tr2bl w:val="nil"/>
            </w:tcBorders>
          </w:tcPr>
          <w:p w14:paraId="1AD3C7D7">
            <w:pPr>
              <w:spacing w:line="240" w:lineRule="auto"/>
              <w:rPr>
                <w:sz w:val="21"/>
                <w:szCs w:val="21"/>
              </w:rPr>
            </w:pPr>
          </w:p>
        </w:tc>
        <w:tc>
          <w:tcPr>
            <w:tcW w:w="1083" w:type="dxa"/>
            <w:tcBorders>
              <w:tl2br w:val="nil"/>
              <w:tr2bl w:val="nil"/>
            </w:tcBorders>
          </w:tcPr>
          <w:p w14:paraId="0EB306F3">
            <w:pPr>
              <w:spacing w:line="240" w:lineRule="auto"/>
              <w:rPr>
                <w:sz w:val="21"/>
                <w:szCs w:val="21"/>
              </w:rPr>
            </w:pPr>
          </w:p>
        </w:tc>
        <w:tc>
          <w:tcPr>
            <w:tcW w:w="1158" w:type="dxa"/>
            <w:tcBorders>
              <w:tl2br w:val="nil"/>
              <w:tr2bl w:val="nil"/>
            </w:tcBorders>
          </w:tcPr>
          <w:p w14:paraId="0C76E4C8">
            <w:pPr>
              <w:spacing w:line="240" w:lineRule="auto"/>
              <w:rPr>
                <w:sz w:val="21"/>
                <w:szCs w:val="21"/>
              </w:rPr>
            </w:pPr>
          </w:p>
        </w:tc>
        <w:tc>
          <w:tcPr>
            <w:tcW w:w="1248" w:type="dxa"/>
            <w:tcBorders>
              <w:tl2br w:val="nil"/>
              <w:tr2bl w:val="nil"/>
            </w:tcBorders>
          </w:tcPr>
          <w:p w14:paraId="39675CD5">
            <w:pPr>
              <w:spacing w:line="240" w:lineRule="auto"/>
              <w:rPr>
                <w:sz w:val="21"/>
                <w:szCs w:val="21"/>
              </w:rPr>
            </w:pPr>
          </w:p>
        </w:tc>
        <w:tc>
          <w:tcPr>
            <w:tcW w:w="1219" w:type="dxa"/>
            <w:tcBorders>
              <w:tl2br w:val="nil"/>
              <w:tr2bl w:val="nil"/>
            </w:tcBorders>
          </w:tcPr>
          <w:p w14:paraId="7E62E65E">
            <w:pPr>
              <w:spacing w:line="240" w:lineRule="auto"/>
              <w:rPr>
                <w:sz w:val="21"/>
                <w:szCs w:val="21"/>
              </w:rPr>
            </w:pPr>
          </w:p>
        </w:tc>
      </w:tr>
    </w:tbl>
    <w:p w14:paraId="6C9ED32A">
      <w:pPr>
        <w:pStyle w:val="18"/>
        <w:ind w:left="480"/>
        <w:sectPr>
          <w:pgSz w:w="11906" w:h="16838"/>
          <w:pgMar w:top="1440" w:right="1800" w:bottom="1440" w:left="1800" w:header="851" w:footer="992" w:gutter="0"/>
          <w:cols w:space="425" w:num="1"/>
          <w:docGrid w:type="lines" w:linePitch="312" w:charSpace="0"/>
        </w:sectPr>
      </w:pPr>
    </w:p>
    <w:p w14:paraId="47211482">
      <w:pPr>
        <w:pStyle w:val="4"/>
      </w:pPr>
      <w:bookmarkStart w:id="400" w:name="_Toc20095"/>
      <w:bookmarkStart w:id="401" w:name="_Toc181825590"/>
      <w:bookmarkStart w:id="402" w:name="_Toc28937"/>
      <w:bookmarkStart w:id="403" w:name="_Toc11412"/>
      <w:r>
        <w:rPr>
          <w:rFonts w:hint="eastAsia"/>
        </w:rPr>
        <w:t>附录C　附属设施检查记录表</w:t>
      </w:r>
      <w:bookmarkEnd w:id="400"/>
      <w:bookmarkEnd w:id="401"/>
      <w:bookmarkEnd w:id="402"/>
      <w:bookmarkEnd w:id="403"/>
    </w:p>
    <w:p w14:paraId="331C4196">
      <w:pPr>
        <w:rPr>
          <w:rFonts w:eastAsia="宋体" w:cs="Times New Roman"/>
          <w:color w:val="000000"/>
          <w:szCs w:val="24"/>
        </w:rPr>
      </w:pPr>
      <w:r>
        <w:rPr>
          <w:rFonts w:hint="eastAsia" w:eastAsia="宋体" w:cs="Times New Roman"/>
          <w:b/>
          <w:bCs/>
          <w:color w:val="000000"/>
          <w:szCs w:val="24"/>
        </w:rPr>
        <w:t>C</w:t>
      </w:r>
      <w:r>
        <w:rPr>
          <w:rFonts w:eastAsia="宋体" w:cs="Times New Roman"/>
          <w:b/>
          <w:bCs/>
          <w:color w:val="000000"/>
          <w:szCs w:val="24"/>
        </w:rPr>
        <w:t>.0.1　</w:t>
      </w:r>
      <w:r>
        <w:rPr>
          <w:rFonts w:eastAsia="宋体" w:cs="Times New Roman"/>
          <w:color w:val="000000"/>
          <w:szCs w:val="24"/>
        </w:rPr>
        <w:t>井类现场</w:t>
      </w:r>
      <w:r>
        <w:rPr>
          <w:rFonts w:hint="eastAsia" w:eastAsia="宋体" w:cs="Times New Roman"/>
          <w:color w:val="000000"/>
          <w:szCs w:val="24"/>
        </w:rPr>
        <w:t>检查记录应</w:t>
      </w:r>
      <w:r>
        <w:rPr>
          <w:rFonts w:eastAsia="宋体" w:cs="Times New Roman"/>
          <w:color w:val="000000"/>
          <w:szCs w:val="24"/>
        </w:rPr>
        <w:t>按表</w:t>
      </w:r>
      <w:r>
        <w:rPr>
          <w:rFonts w:hint="eastAsia" w:eastAsia="宋体" w:cs="Times New Roman"/>
          <w:color w:val="000000"/>
          <w:szCs w:val="24"/>
        </w:rPr>
        <w:t>C</w:t>
      </w:r>
      <w:r>
        <w:rPr>
          <w:rFonts w:eastAsia="宋体" w:cs="Times New Roman"/>
          <w:color w:val="000000"/>
          <w:szCs w:val="24"/>
        </w:rPr>
        <w:t>.0.1填写。</w:t>
      </w:r>
    </w:p>
    <w:p w14:paraId="2E4EBFFE">
      <w:pPr>
        <w:pStyle w:val="105"/>
      </w:pPr>
      <w:r>
        <w:rPr>
          <w:rFonts w:hint="eastAsia"/>
        </w:rPr>
        <w:t>表C.0.1　井类现场检查记录表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3"/>
        <w:gridCol w:w="812"/>
        <w:gridCol w:w="606"/>
        <w:gridCol w:w="139"/>
        <w:gridCol w:w="65"/>
        <w:gridCol w:w="585"/>
        <w:gridCol w:w="870"/>
        <w:gridCol w:w="138"/>
        <w:gridCol w:w="552"/>
        <w:gridCol w:w="795"/>
        <w:gridCol w:w="702"/>
        <w:gridCol w:w="1420"/>
        <w:gridCol w:w="913"/>
      </w:tblGrid>
      <w:tr w14:paraId="329D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306" w:type="dxa"/>
            <w:gridSpan w:val="14"/>
            <w:tcBorders>
              <w:top w:val="nil"/>
              <w:left w:val="nil"/>
              <w:bottom w:val="single" w:color="auto" w:sz="12" w:space="0"/>
              <w:right w:val="nil"/>
            </w:tcBorders>
          </w:tcPr>
          <w:p w14:paraId="7AAD333A">
            <w:pPr>
              <w:spacing w:line="240" w:lineRule="auto"/>
              <w:jc w:val="center"/>
              <w:rPr>
                <w:rFonts w:asciiTheme="minorEastAsia" w:hAnsiTheme="minorEastAsia"/>
                <w:sz w:val="21"/>
                <w:szCs w:val="21"/>
              </w:rPr>
            </w:pPr>
            <w:r>
              <w:rPr>
                <w:rFonts w:hint="eastAsia" w:asciiTheme="minorEastAsia" w:hAnsiTheme="minorEastAsia"/>
                <w:sz w:val="21"/>
                <w:szCs w:val="21"/>
              </w:rPr>
              <w:t>任务名称：</w:t>
            </w:r>
            <w:r>
              <w:rPr>
                <w:rFonts w:asciiTheme="minorEastAsia" w:hAnsiTheme="minorEastAsia"/>
                <w:sz w:val="21"/>
                <w:szCs w:val="21"/>
              </w:rPr>
              <w:t xml:space="preserve">                             </w:t>
            </w:r>
            <w:r>
              <w:rPr>
                <w:rFonts w:hint="eastAsia" w:asciiTheme="minorEastAsia" w:hAnsiTheme="minorEastAsia"/>
                <w:sz w:val="21"/>
                <w:szCs w:val="21"/>
              </w:rPr>
              <w:t xml:space="preserve">        </w:t>
            </w:r>
            <w:r>
              <w:rPr>
                <w:rFonts w:asciiTheme="minorEastAsia" w:hAnsiTheme="minorEastAsia"/>
                <w:sz w:val="21"/>
                <w:szCs w:val="21"/>
              </w:rPr>
              <w:t xml:space="preserve">           </w:t>
            </w:r>
            <w:r>
              <w:rPr>
                <w:rFonts w:hint="eastAsia" w:asciiTheme="minorEastAsia" w:hAnsiTheme="minorEastAsia"/>
                <w:sz w:val="21"/>
                <w:szCs w:val="21"/>
              </w:rPr>
              <w:t>第</w:t>
            </w:r>
            <w:r>
              <w:rPr>
                <w:rFonts w:asciiTheme="minorEastAsia" w:hAnsiTheme="minorEastAsia"/>
                <w:sz w:val="21"/>
                <w:szCs w:val="21"/>
              </w:rPr>
              <w:t xml:space="preserve">   </w:t>
            </w:r>
            <w:r>
              <w:rPr>
                <w:rFonts w:hint="eastAsia" w:asciiTheme="minorEastAsia" w:hAnsiTheme="minorEastAsia"/>
                <w:sz w:val="21"/>
                <w:szCs w:val="21"/>
              </w:rPr>
              <w:t>页</w:t>
            </w:r>
            <w:r>
              <w:rPr>
                <w:rFonts w:asciiTheme="minorEastAsia" w:hAnsiTheme="minorEastAsia"/>
                <w:sz w:val="21"/>
                <w:szCs w:val="21"/>
              </w:rPr>
              <w:t xml:space="preserve">  </w:t>
            </w:r>
            <w:r>
              <w:rPr>
                <w:rFonts w:hint="eastAsia" w:asciiTheme="minorEastAsia" w:hAnsiTheme="minorEastAsia"/>
                <w:sz w:val="21"/>
                <w:szCs w:val="21"/>
              </w:rPr>
              <w:t>共</w:t>
            </w:r>
            <w:r>
              <w:rPr>
                <w:rFonts w:asciiTheme="minorEastAsia" w:hAnsiTheme="minorEastAsia"/>
                <w:sz w:val="21"/>
                <w:szCs w:val="21"/>
              </w:rPr>
              <w:t xml:space="preserve">   </w:t>
            </w:r>
            <w:r>
              <w:rPr>
                <w:rFonts w:hint="eastAsia" w:asciiTheme="minorEastAsia" w:hAnsiTheme="minorEastAsia"/>
                <w:sz w:val="21"/>
                <w:szCs w:val="21"/>
              </w:rPr>
              <w:t>页</w:t>
            </w:r>
          </w:p>
        </w:tc>
      </w:tr>
      <w:tr w14:paraId="6627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127" w:type="dxa"/>
            <w:gridSpan w:val="4"/>
            <w:tcBorders>
              <w:top w:val="single" w:color="auto" w:sz="12" w:space="0"/>
              <w:left w:val="single" w:color="auto" w:sz="12" w:space="0"/>
              <w:bottom w:val="single" w:color="auto" w:sz="4" w:space="0"/>
              <w:right w:val="single" w:color="auto" w:sz="4" w:space="0"/>
            </w:tcBorders>
            <w:vAlign w:val="center"/>
          </w:tcPr>
          <w:p w14:paraId="467FE837">
            <w:pPr>
              <w:spacing w:line="240" w:lineRule="auto"/>
              <w:rPr>
                <w:rFonts w:asciiTheme="minorEastAsia" w:hAnsiTheme="minorEastAsia"/>
                <w:sz w:val="21"/>
                <w:szCs w:val="21"/>
              </w:rPr>
            </w:pPr>
            <w:r>
              <w:rPr>
                <w:rFonts w:hint="eastAsia" w:asciiTheme="minorEastAsia" w:hAnsiTheme="minorEastAsia"/>
                <w:sz w:val="21"/>
                <w:szCs w:val="21"/>
              </w:rPr>
              <w:t>检测单位名称：</w:t>
            </w:r>
          </w:p>
        </w:tc>
        <w:tc>
          <w:tcPr>
            <w:tcW w:w="3846" w:type="dxa"/>
            <w:gridSpan w:val="8"/>
            <w:tcBorders>
              <w:top w:val="single" w:color="auto" w:sz="12" w:space="0"/>
              <w:left w:val="single" w:color="auto" w:sz="4" w:space="0"/>
              <w:bottom w:val="single" w:color="auto" w:sz="4" w:space="0"/>
              <w:right w:val="single" w:color="auto" w:sz="4" w:space="0"/>
            </w:tcBorders>
            <w:vAlign w:val="center"/>
          </w:tcPr>
          <w:p w14:paraId="37F68174">
            <w:pPr>
              <w:spacing w:line="240" w:lineRule="auto"/>
              <w:rPr>
                <w:rFonts w:asciiTheme="minorEastAsia" w:hAnsiTheme="minorEastAsia"/>
                <w:sz w:val="21"/>
                <w:szCs w:val="21"/>
              </w:rPr>
            </w:pPr>
          </w:p>
        </w:tc>
        <w:tc>
          <w:tcPr>
            <w:tcW w:w="1420" w:type="dxa"/>
            <w:tcBorders>
              <w:top w:val="single" w:color="auto" w:sz="12" w:space="0"/>
              <w:left w:val="single" w:color="auto" w:sz="4" w:space="0"/>
              <w:bottom w:val="single" w:color="auto" w:sz="4" w:space="0"/>
              <w:right w:val="single" w:color="auto" w:sz="4" w:space="0"/>
            </w:tcBorders>
            <w:vAlign w:val="center"/>
          </w:tcPr>
          <w:p w14:paraId="1EBB35DD">
            <w:pPr>
              <w:spacing w:line="240" w:lineRule="auto"/>
              <w:jc w:val="center"/>
              <w:rPr>
                <w:rFonts w:asciiTheme="minorEastAsia" w:hAnsiTheme="minorEastAsia"/>
                <w:sz w:val="21"/>
                <w:szCs w:val="21"/>
              </w:rPr>
            </w:pPr>
            <w:r>
              <w:rPr>
                <w:rFonts w:hint="eastAsia" w:asciiTheme="minorEastAsia" w:hAnsiTheme="minorEastAsia"/>
                <w:sz w:val="21"/>
                <w:szCs w:val="21"/>
              </w:rPr>
              <w:t>编号</w:t>
            </w:r>
          </w:p>
        </w:tc>
        <w:tc>
          <w:tcPr>
            <w:tcW w:w="913" w:type="dxa"/>
            <w:tcBorders>
              <w:top w:val="single" w:color="auto" w:sz="12" w:space="0"/>
              <w:left w:val="single" w:color="auto" w:sz="4" w:space="0"/>
              <w:bottom w:val="single" w:color="auto" w:sz="4" w:space="0"/>
              <w:right w:val="single" w:color="auto" w:sz="12" w:space="0"/>
            </w:tcBorders>
            <w:vAlign w:val="center"/>
          </w:tcPr>
          <w:p w14:paraId="315042FE">
            <w:pPr>
              <w:spacing w:line="240" w:lineRule="auto"/>
              <w:rPr>
                <w:rFonts w:asciiTheme="minorEastAsia" w:hAnsiTheme="minorEastAsia"/>
                <w:sz w:val="21"/>
                <w:szCs w:val="21"/>
              </w:rPr>
            </w:pPr>
          </w:p>
        </w:tc>
      </w:tr>
      <w:tr w14:paraId="41C0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9" w:type="dxa"/>
            <w:gridSpan w:val="2"/>
            <w:tcBorders>
              <w:top w:val="single" w:color="auto" w:sz="4" w:space="0"/>
              <w:left w:val="single" w:color="auto" w:sz="12" w:space="0"/>
              <w:bottom w:val="single" w:color="auto" w:sz="4" w:space="0"/>
              <w:right w:val="single" w:color="auto" w:sz="4" w:space="0"/>
            </w:tcBorders>
            <w:vAlign w:val="center"/>
          </w:tcPr>
          <w:p w14:paraId="5AE205DF">
            <w:pPr>
              <w:spacing w:line="240" w:lineRule="auto"/>
              <w:rPr>
                <w:rFonts w:asciiTheme="minorEastAsia" w:hAnsiTheme="minorEastAsia"/>
                <w:sz w:val="21"/>
                <w:szCs w:val="21"/>
              </w:rPr>
            </w:pPr>
            <w:r>
              <w:rPr>
                <w:rFonts w:hint="eastAsia" w:asciiTheme="minorEastAsia" w:hAnsiTheme="minorEastAsia"/>
                <w:sz w:val="21"/>
                <w:szCs w:val="21"/>
              </w:rPr>
              <w:t>埋设年代</w:t>
            </w:r>
          </w:p>
        </w:tc>
        <w:tc>
          <w:tcPr>
            <w:tcW w:w="812" w:type="dxa"/>
            <w:tcBorders>
              <w:top w:val="single" w:color="auto" w:sz="4" w:space="0"/>
              <w:left w:val="single" w:color="auto" w:sz="4" w:space="0"/>
              <w:bottom w:val="single" w:color="auto" w:sz="4" w:space="0"/>
              <w:right w:val="single" w:color="auto" w:sz="4" w:space="0"/>
            </w:tcBorders>
            <w:vAlign w:val="center"/>
          </w:tcPr>
          <w:p w14:paraId="2AC54482">
            <w:pPr>
              <w:spacing w:line="240" w:lineRule="auto"/>
              <w:rPr>
                <w:rFonts w:asciiTheme="minorEastAsia" w:hAnsiTheme="minorEastAsia"/>
                <w:sz w:val="21"/>
                <w:szCs w:val="21"/>
              </w:rPr>
            </w:pPr>
          </w:p>
        </w:tc>
        <w:tc>
          <w:tcPr>
            <w:tcW w:w="810" w:type="dxa"/>
            <w:gridSpan w:val="3"/>
            <w:tcBorders>
              <w:top w:val="single" w:color="auto" w:sz="4" w:space="0"/>
              <w:left w:val="single" w:color="auto" w:sz="4" w:space="0"/>
              <w:bottom w:val="single" w:color="auto" w:sz="4" w:space="0"/>
              <w:right w:val="single" w:color="auto" w:sz="4" w:space="0"/>
            </w:tcBorders>
            <w:vAlign w:val="center"/>
          </w:tcPr>
          <w:p w14:paraId="7CF8BFF4">
            <w:pPr>
              <w:spacing w:line="240" w:lineRule="auto"/>
              <w:rPr>
                <w:rFonts w:asciiTheme="minorEastAsia" w:hAnsiTheme="minorEastAsia"/>
                <w:sz w:val="21"/>
                <w:szCs w:val="21"/>
              </w:rPr>
            </w:pPr>
            <w:r>
              <w:rPr>
                <w:rFonts w:hint="eastAsia" w:asciiTheme="minorEastAsia" w:hAnsiTheme="minorEastAsia"/>
                <w:sz w:val="21"/>
                <w:szCs w:val="21"/>
              </w:rPr>
              <w:t>性质</w:t>
            </w:r>
          </w:p>
        </w:tc>
        <w:tc>
          <w:tcPr>
            <w:tcW w:w="585" w:type="dxa"/>
            <w:tcBorders>
              <w:top w:val="single" w:color="auto" w:sz="4" w:space="0"/>
              <w:left w:val="single" w:color="auto" w:sz="4" w:space="0"/>
              <w:bottom w:val="single" w:color="auto" w:sz="4" w:space="0"/>
              <w:right w:val="single" w:color="auto" w:sz="4" w:space="0"/>
            </w:tcBorders>
            <w:vAlign w:val="center"/>
          </w:tcPr>
          <w:p w14:paraId="7A08110F">
            <w:pPr>
              <w:spacing w:line="240" w:lineRule="auto"/>
              <w:rPr>
                <w:rFonts w:asciiTheme="minorEastAsia" w:hAnsiTheme="minorEastAsia"/>
                <w:sz w:val="21"/>
                <w:szCs w:val="21"/>
              </w:rPr>
            </w:pPr>
          </w:p>
        </w:tc>
        <w:tc>
          <w:tcPr>
            <w:tcW w:w="870" w:type="dxa"/>
            <w:tcBorders>
              <w:top w:val="single" w:color="auto" w:sz="4" w:space="0"/>
              <w:left w:val="single" w:color="auto" w:sz="4" w:space="0"/>
              <w:bottom w:val="single" w:color="auto" w:sz="4" w:space="0"/>
              <w:right w:val="single" w:color="auto" w:sz="4" w:space="0"/>
            </w:tcBorders>
            <w:vAlign w:val="center"/>
          </w:tcPr>
          <w:p w14:paraId="19D9EE26">
            <w:pPr>
              <w:spacing w:line="240" w:lineRule="auto"/>
              <w:rPr>
                <w:rFonts w:asciiTheme="minorEastAsia" w:hAnsiTheme="minorEastAsia"/>
                <w:sz w:val="21"/>
                <w:szCs w:val="21"/>
              </w:rPr>
            </w:pPr>
            <w:r>
              <w:rPr>
                <w:rFonts w:hint="eastAsia" w:asciiTheme="minorEastAsia" w:hAnsiTheme="minorEastAsia"/>
                <w:sz w:val="21"/>
                <w:szCs w:val="21"/>
              </w:rPr>
              <w:t>井材质</w:t>
            </w:r>
          </w:p>
        </w:tc>
        <w:tc>
          <w:tcPr>
            <w:tcW w:w="690" w:type="dxa"/>
            <w:gridSpan w:val="2"/>
            <w:tcBorders>
              <w:top w:val="single" w:color="auto" w:sz="4" w:space="0"/>
              <w:left w:val="single" w:color="auto" w:sz="4" w:space="0"/>
              <w:bottom w:val="single" w:color="auto" w:sz="4" w:space="0"/>
              <w:right w:val="single" w:color="auto" w:sz="4" w:space="0"/>
            </w:tcBorders>
            <w:vAlign w:val="center"/>
          </w:tcPr>
          <w:p w14:paraId="5963AF47">
            <w:pPr>
              <w:spacing w:line="240" w:lineRule="auto"/>
              <w:rPr>
                <w:rFonts w:asciiTheme="minorEastAsia" w:hAnsiTheme="minorEastAsia"/>
                <w:sz w:val="21"/>
                <w:szCs w:val="21"/>
              </w:rPr>
            </w:pPr>
          </w:p>
        </w:tc>
        <w:tc>
          <w:tcPr>
            <w:tcW w:w="795" w:type="dxa"/>
            <w:tcBorders>
              <w:top w:val="single" w:color="auto" w:sz="4" w:space="0"/>
              <w:left w:val="single" w:color="auto" w:sz="4" w:space="0"/>
              <w:bottom w:val="single" w:color="auto" w:sz="4" w:space="0"/>
              <w:right w:val="single" w:color="auto" w:sz="4" w:space="0"/>
            </w:tcBorders>
            <w:vAlign w:val="center"/>
          </w:tcPr>
          <w:p w14:paraId="037DA9B9">
            <w:pPr>
              <w:spacing w:line="240" w:lineRule="auto"/>
              <w:jc w:val="center"/>
              <w:rPr>
                <w:rFonts w:asciiTheme="minorEastAsia" w:hAnsiTheme="minorEastAsia"/>
                <w:sz w:val="21"/>
                <w:szCs w:val="21"/>
              </w:rPr>
            </w:pPr>
            <w:r>
              <w:rPr>
                <w:rFonts w:hint="eastAsia" w:asciiTheme="minorEastAsia" w:hAnsiTheme="minorEastAsia"/>
                <w:sz w:val="21"/>
                <w:szCs w:val="21"/>
              </w:rPr>
              <w:t>井盖形状</w:t>
            </w:r>
          </w:p>
        </w:tc>
        <w:tc>
          <w:tcPr>
            <w:tcW w:w="702" w:type="dxa"/>
            <w:tcBorders>
              <w:top w:val="single" w:color="auto" w:sz="4" w:space="0"/>
              <w:left w:val="single" w:color="auto" w:sz="4" w:space="0"/>
              <w:bottom w:val="single" w:color="auto" w:sz="4" w:space="0"/>
              <w:right w:val="single" w:color="auto" w:sz="4" w:space="0"/>
            </w:tcBorders>
            <w:vAlign w:val="center"/>
          </w:tcPr>
          <w:p w14:paraId="3D68306C">
            <w:pPr>
              <w:spacing w:line="240" w:lineRule="auto"/>
              <w:jc w:val="center"/>
              <w:rPr>
                <w:rFonts w:asciiTheme="minorEastAsia" w:hAnsiTheme="minorEastAsia"/>
                <w:sz w:val="21"/>
                <w:szCs w:val="21"/>
              </w:rPr>
            </w:pPr>
          </w:p>
        </w:tc>
        <w:tc>
          <w:tcPr>
            <w:tcW w:w="1420" w:type="dxa"/>
            <w:tcBorders>
              <w:top w:val="single" w:color="auto" w:sz="4" w:space="0"/>
              <w:left w:val="single" w:color="auto" w:sz="4" w:space="0"/>
              <w:bottom w:val="single" w:color="auto" w:sz="4" w:space="0"/>
              <w:right w:val="single" w:color="auto" w:sz="4" w:space="0"/>
            </w:tcBorders>
            <w:vAlign w:val="center"/>
          </w:tcPr>
          <w:p w14:paraId="59C8E997">
            <w:pPr>
              <w:spacing w:line="240" w:lineRule="auto"/>
              <w:jc w:val="center"/>
              <w:rPr>
                <w:rFonts w:asciiTheme="minorEastAsia" w:hAnsiTheme="minorEastAsia"/>
                <w:sz w:val="21"/>
                <w:szCs w:val="21"/>
              </w:rPr>
            </w:pPr>
            <w:r>
              <w:rPr>
                <w:rFonts w:hint="eastAsia" w:asciiTheme="minorEastAsia" w:hAnsiTheme="minorEastAsia"/>
                <w:sz w:val="21"/>
                <w:szCs w:val="21"/>
              </w:rPr>
              <w:t>井盖材质</w:t>
            </w:r>
          </w:p>
        </w:tc>
        <w:tc>
          <w:tcPr>
            <w:tcW w:w="913" w:type="dxa"/>
            <w:tcBorders>
              <w:top w:val="single" w:color="auto" w:sz="4" w:space="0"/>
              <w:left w:val="single" w:color="auto" w:sz="4" w:space="0"/>
              <w:bottom w:val="single" w:color="auto" w:sz="4" w:space="0"/>
              <w:right w:val="single" w:color="auto" w:sz="12" w:space="0"/>
            </w:tcBorders>
            <w:vAlign w:val="center"/>
          </w:tcPr>
          <w:p w14:paraId="46909A45">
            <w:pPr>
              <w:spacing w:line="240" w:lineRule="auto"/>
              <w:rPr>
                <w:rFonts w:asciiTheme="minorEastAsia" w:hAnsiTheme="minorEastAsia"/>
                <w:sz w:val="21"/>
                <w:szCs w:val="21"/>
              </w:rPr>
            </w:pPr>
          </w:p>
        </w:tc>
      </w:tr>
      <w:tr w14:paraId="1C11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306" w:type="dxa"/>
            <w:gridSpan w:val="14"/>
            <w:tcBorders>
              <w:top w:val="single" w:color="auto" w:sz="4" w:space="0"/>
              <w:left w:val="single" w:color="auto" w:sz="12" w:space="0"/>
              <w:bottom w:val="single" w:color="auto" w:sz="4" w:space="0"/>
              <w:right w:val="single" w:color="auto" w:sz="12" w:space="0"/>
            </w:tcBorders>
            <w:vAlign w:val="center"/>
          </w:tcPr>
          <w:p w14:paraId="1F29B0C0">
            <w:pPr>
              <w:spacing w:line="240" w:lineRule="auto"/>
              <w:jc w:val="center"/>
              <w:rPr>
                <w:rFonts w:asciiTheme="minorEastAsia" w:hAnsiTheme="minorEastAsia"/>
                <w:sz w:val="21"/>
                <w:szCs w:val="21"/>
              </w:rPr>
            </w:pPr>
            <w:r>
              <w:rPr>
                <w:rFonts w:hint="eastAsia" w:asciiTheme="minorEastAsia" w:hAnsiTheme="minorEastAsia"/>
                <w:sz w:val="21"/>
                <w:szCs w:val="21"/>
              </w:rPr>
              <w:t>检查内容</w:t>
            </w:r>
          </w:p>
        </w:tc>
      </w:tr>
      <w:tr w14:paraId="681F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14:paraId="08274CA7">
            <w:pPr>
              <w:spacing w:line="240" w:lineRule="auto"/>
              <w:jc w:val="center"/>
              <w:rPr>
                <w:rFonts w:asciiTheme="minorEastAsia" w:hAnsiTheme="minorEastAsia"/>
                <w:sz w:val="21"/>
                <w:szCs w:val="21"/>
              </w:rPr>
            </w:pPr>
          </w:p>
        </w:tc>
        <w:tc>
          <w:tcPr>
            <w:tcW w:w="3468" w:type="dxa"/>
            <w:gridSpan w:val="8"/>
            <w:tcBorders>
              <w:top w:val="single" w:color="auto" w:sz="4" w:space="0"/>
              <w:left w:val="single" w:color="auto" w:sz="4" w:space="0"/>
              <w:bottom w:val="single" w:color="auto" w:sz="4" w:space="0"/>
              <w:right w:val="single" w:color="auto" w:sz="4" w:space="0"/>
            </w:tcBorders>
            <w:vAlign w:val="center"/>
          </w:tcPr>
          <w:p w14:paraId="6A06524E">
            <w:pPr>
              <w:spacing w:line="240" w:lineRule="auto"/>
              <w:jc w:val="center"/>
              <w:rPr>
                <w:rFonts w:asciiTheme="minorEastAsia" w:hAnsiTheme="minorEastAsia"/>
                <w:sz w:val="21"/>
                <w:szCs w:val="21"/>
              </w:rPr>
            </w:pPr>
            <w:r>
              <w:rPr>
                <w:rFonts w:hint="eastAsia" w:asciiTheme="minorEastAsia" w:hAnsiTheme="minorEastAsia"/>
                <w:sz w:val="21"/>
                <w:szCs w:val="21"/>
              </w:rPr>
              <w:t>外部检查</w:t>
            </w:r>
          </w:p>
        </w:tc>
        <w:tc>
          <w:tcPr>
            <w:tcW w:w="4382" w:type="dxa"/>
            <w:gridSpan w:val="5"/>
            <w:tcBorders>
              <w:top w:val="single" w:color="auto" w:sz="4" w:space="0"/>
              <w:left w:val="single" w:color="auto" w:sz="4" w:space="0"/>
              <w:bottom w:val="single" w:color="auto" w:sz="4" w:space="0"/>
              <w:right w:val="single" w:color="auto" w:sz="12" w:space="0"/>
            </w:tcBorders>
            <w:vAlign w:val="center"/>
          </w:tcPr>
          <w:p w14:paraId="2E84CD03">
            <w:pPr>
              <w:spacing w:line="240" w:lineRule="auto"/>
              <w:jc w:val="center"/>
              <w:rPr>
                <w:rFonts w:asciiTheme="minorEastAsia" w:hAnsiTheme="minorEastAsia"/>
                <w:sz w:val="21"/>
                <w:szCs w:val="21"/>
              </w:rPr>
            </w:pPr>
            <w:r>
              <w:rPr>
                <w:rFonts w:hint="eastAsia" w:asciiTheme="minorEastAsia" w:hAnsiTheme="minorEastAsia"/>
                <w:sz w:val="21"/>
                <w:szCs w:val="21"/>
              </w:rPr>
              <w:t>内部检查</w:t>
            </w:r>
          </w:p>
        </w:tc>
      </w:tr>
      <w:tr w14:paraId="4173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14:paraId="44215745">
            <w:pPr>
              <w:spacing w:line="240" w:lineRule="auto"/>
              <w:jc w:val="center"/>
              <w:rPr>
                <w:rFonts w:asciiTheme="minorEastAsia" w:hAnsiTheme="minorEastAsia"/>
                <w:sz w:val="21"/>
                <w:szCs w:val="21"/>
              </w:rPr>
            </w:pPr>
            <w:r>
              <w:rPr>
                <w:rFonts w:asciiTheme="minorEastAsia" w:hAnsiTheme="minorEastAsia"/>
                <w:sz w:val="21"/>
                <w:szCs w:val="21"/>
              </w:rPr>
              <w:t>1</w:t>
            </w:r>
          </w:p>
        </w:tc>
        <w:tc>
          <w:tcPr>
            <w:tcW w:w="1810" w:type="dxa"/>
            <w:gridSpan w:val="4"/>
            <w:tcBorders>
              <w:top w:val="single" w:color="auto" w:sz="4" w:space="0"/>
              <w:left w:val="single" w:color="auto" w:sz="4" w:space="0"/>
              <w:bottom w:val="single" w:color="auto" w:sz="4" w:space="0"/>
              <w:right w:val="single" w:color="auto" w:sz="4" w:space="0"/>
            </w:tcBorders>
            <w:vAlign w:val="center"/>
          </w:tcPr>
          <w:p w14:paraId="220FEB43">
            <w:pPr>
              <w:spacing w:line="240" w:lineRule="auto"/>
              <w:jc w:val="center"/>
              <w:rPr>
                <w:rFonts w:asciiTheme="minorEastAsia" w:hAnsiTheme="minorEastAsia"/>
                <w:sz w:val="21"/>
                <w:szCs w:val="21"/>
              </w:rPr>
            </w:pPr>
            <w:r>
              <w:rPr>
                <w:rFonts w:hint="eastAsia" w:asciiTheme="minorEastAsia" w:hAnsiTheme="minorEastAsia"/>
                <w:sz w:val="21"/>
                <w:szCs w:val="21"/>
              </w:rPr>
              <w:t>井盖埋没</w:t>
            </w:r>
          </w:p>
        </w:tc>
        <w:tc>
          <w:tcPr>
            <w:tcW w:w="1658" w:type="dxa"/>
            <w:gridSpan w:val="4"/>
            <w:tcBorders>
              <w:top w:val="single" w:color="auto" w:sz="4" w:space="0"/>
              <w:left w:val="single" w:color="auto" w:sz="4" w:space="0"/>
              <w:bottom w:val="single" w:color="auto" w:sz="4" w:space="0"/>
              <w:right w:val="single" w:color="auto" w:sz="4" w:space="0"/>
            </w:tcBorders>
            <w:vAlign w:val="center"/>
          </w:tcPr>
          <w:p w14:paraId="1E4E005D">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14:paraId="3B68DD71">
            <w:pPr>
              <w:spacing w:line="240" w:lineRule="auto"/>
              <w:jc w:val="center"/>
              <w:rPr>
                <w:rFonts w:asciiTheme="minorEastAsia" w:hAnsiTheme="minorEastAsia"/>
                <w:sz w:val="21"/>
                <w:szCs w:val="21"/>
              </w:rPr>
            </w:pPr>
            <w:r>
              <w:rPr>
                <w:rFonts w:hint="eastAsia" w:asciiTheme="minorEastAsia" w:hAnsiTheme="minorEastAsia"/>
                <w:sz w:val="21"/>
                <w:szCs w:val="21"/>
              </w:rPr>
              <w:t>链条或锁具</w:t>
            </w:r>
          </w:p>
        </w:tc>
        <w:tc>
          <w:tcPr>
            <w:tcW w:w="2333" w:type="dxa"/>
            <w:gridSpan w:val="2"/>
            <w:tcBorders>
              <w:top w:val="single" w:color="auto" w:sz="4" w:space="0"/>
              <w:left w:val="single" w:color="auto" w:sz="4" w:space="0"/>
              <w:bottom w:val="single" w:color="auto" w:sz="4" w:space="0"/>
              <w:right w:val="single" w:color="auto" w:sz="12" w:space="0"/>
            </w:tcBorders>
            <w:vAlign w:val="center"/>
          </w:tcPr>
          <w:p w14:paraId="5ED47154">
            <w:pPr>
              <w:spacing w:line="240" w:lineRule="auto"/>
              <w:jc w:val="center"/>
              <w:rPr>
                <w:rFonts w:asciiTheme="minorEastAsia" w:hAnsiTheme="minorEastAsia"/>
                <w:sz w:val="21"/>
                <w:szCs w:val="21"/>
              </w:rPr>
            </w:pPr>
          </w:p>
        </w:tc>
      </w:tr>
      <w:tr w14:paraId="161A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14:paraId="2F2DB74E">
            <w:pPr>
              <w:spacing w:line="240" w:lineRule="auto"/>
              <w:jc w:val="center"/>
              <w:rPr>
                <w:rFonts w:asciiTheme="minorEastAsia" w:hAnsiTheme="minorEastAsia"/>
                <w:sz w:val="21"/>
                <w:szCs w:val="21"/>
              </w:rPr>
            </w:pPr>
            <w:r>
              <w:rPr>
                <w:rFonts w:asciiTheme="minorEastAsia" w:hAnsiTheme="minorEastAsia"/>
                <w:sz w:val="21"/>
                <w:szCs w:val="21"/>
              </w:rPr>
              <w:t>2</w:t>
            </w:r>
          </w:p>
        </w:tc>
        <w:tc>
          <w:tcPr>
            <w:tcW w:w="1810" w:type="dxa"/>
            <w:gridSpan w:val="4"/>
            <w:tcBorders>
              <w:top w:val="single" w:color="auto" w:sz="4" w:space="0"/>
              <w:left w:val="single" w:color="auto" w:sz="4" w:space="0"/>
              <w:bottom w:val="single" w:color="auto" w:sz="4" w:space="0"/>
              <w:right w:val="single" w:color="auto" w:sz="4" w:space="0"/>
            </w:tcBorders>
            <w:vAlign w:val="center"/>
          </w:tcPr>
          <w:p w14:paraId="3345B5FD">
            <w:pPr>
              <w:spacing w:line="240" w:lineRule="auto"/>
              <w:jc w:val="center"/>
              <w:rPr>
                <w:rFonts w:asciiTheme="minorEastAsia" w:hAnsiTheme="minorEastAsia"/>
                <w:sz w:val="21"/>
                <w:szCs w:val="21"/>
              </w:rPr>
            </w:pPr>
            <w:r>
              <w:rPr>
                <w:rFonts w:hint="eastAsia" w:asciiTheme="minorEastAsia" w:hAnsiTheme="minorEastAsia"/>
                <w:sz w:val="21"/>
                <w:szCs w:val="21"/>
              </w:rPr>
              <w:t>井盖丢失</w:t>
            </w:r>
          </w:p>
        </w:tc>
        <w:tc>
          <w:tcPr>
            <w:tcW w:w="1658" w:type="dxa"/>
            <w:gridSpan w:val="4"/>
            <w:tcBorders>
              <w:top w:val="single" w:color="auto" w:sz="4" w:space="0"/>
              <w:left w:val="single" w:color="auto" w:sz="4" w:space="0"/>
              <w:bottom w:val="single" w:color="auto" w:sz="4" w:space="0"/>
              <w:right w:val="single" w:color="auto" w:sz="4" w:space="0"/>
            </w:tcBorders>
            <w:vAlign w:val="center"/>
          </w:tcPr>
          <w:p w14:paraId="4FF1D38B">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14:paraId="5015AE2E">
            <w:pPr>
              <w:spacing w:line="240" w:lineRule="auto"/>
              <w:jc w:val="center"/>
              <w:rPr>
                <w:rFonts w:asciiTheme="minorEastAsia" w:hAnsiTheme="minorEastAsia"/>
                <w:sz w:val="21"/>
                <w:szCs w:val="21"/>
              </w:rPr>
            </w:pPr>
            <w:r>
              <w:rPr>
                <w:rFonts w:hint="eastAsia" w:asciiTheme="minorEastAsia" w:hAnsiTheme="minorEastAsia"/>
                <w:sz w:val="21"/>
                <w:szCs w:val="21"/>
              </w:rPr>
              <w:t>爬梯松动、锈蚀或缺损</w:t>
            </w:r>
          </w:p>
        </w:tc>
        <w:tc>
          <w:tcPr>
            <w:tcW w:w="2333" w:type="dxa"/>
            <w:gridSpan w:val="2"/>
            <w:tcBorders>
              <w:top w:val="single" w:color="auto" w:sz="4" w:space="0"/>
              <w:left w:val="single" w:color="auto" w:sz="4" w:space="0"/>
              <w:bottom w:val="single" w:color="auto" w:sz="4" w:space="0"/>
              <w:right w:val="single" w:color="auto" w:sz="12" w:space="0"/>
            </w:tcBorders>
            <w:vAlign w:val="center"/>
          </w:tcPr>
          <w:p w14:paraId="5DDD44C1">
            <w:pPr>
              <w:spacing w:line="240" w:lineRule="auto"/>
              <w:jc w:val="center"/>
              <w:rPr>
                <w:rFonts w:asciiTheme="minorEastAsia" w:hAnsiTheme="minorEastAsia"/>
                <w:sz w:val="21"/>
                <w:szCs w:val="21"/>
              </w:rPr>
            </w:pPr>
          </w:p>
        </w:tc>
      </w:tr>
      <w:tr w14:paraId="4FDA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14:paraId="16E8FC4E">
            <w:pPr>
              <w:spacing w:line="240" w:lineRule="auto"/>
              <w:jc w:val="center"/>
              <w:rPr>
                <w:rFonts w:asciiTheme="minorEastAsia" w:hAnsiTheme="minorEastAsia"/>
                <w:sz w:val="21"/>
                <w:szCs w:val="21"/>
              </w:rPr>
            </w:pPr>
            <w:r>
              <w:rPr>
                <w:rFonts w:asciiTheme="minorEastAsia" w:hAnsiTheme="minorEastAsia"/>
                <w:sz w:val="21"/>
                <w:szCs w:val="21"/>
              </w:rPr>
              <w:t>3</w:t>
            </w:r>
          </w:p>
        </w:tc>
        <w:tc>
          <w:tcPr>
            <w:tcW w:w="1810" w:type="dxa"/>
            <w:gridSpan w:val="4"/>
            <w:tcBorders>
              <w:top w:val="single" w:color="auto" w:sz="4" w:space="0"/>
              <w:left w:val="single" w:color="auto" w:sz="4" w:space="0"/>
              <w:bottom w:val="single" w:color="auto" w:sz="4" w:space="0"/>
              <w:right w:val="single" w:color="auto" w:sz="4" w:space="0"/>
            </w:tcBorders>
            <w:vAlign w:val="center"/>
          </w:tcPr>
          <w:p w14:paraId="6511E783">
            <w:pPr>
              <w:spacing w:line="240" w:lineRule="auto"/>
              <w:jc w:val="center"/>
              <w:rPr>
                <w:rFonts w:asciiTheme="minorEastAsia" w:hAnsiTheme="minorEastAsia"/>
                <w:sz w:val="21"/>
                <w:szCs w:val="21"/>
              </w:rPr>
            </w:pPr>
            <w:r>
              <w:rPr>
                <w:rFonts w:hint="eastAsia" w:asciiTheme="minorEastAsia" w:hAnsiTheme="minorEastAsia"/>
                <w:sz w:val="21"/>
                <w:szCs w:val="21"/>
              </w:rPr>
              <w:t>井盖破损</w:t>
            </w:r>
          </w:p>
        </w:tc>
        <w:tc>
          <w:tcPr>
            <w:tcW w:w="1658" w:type="dxa"/>
            <w:gridSpan w:val="4"/>
            <w:tcBorders>
              <w:top w:val="single" w:color="auto" w:sz="4" w:space="0"/>
              <w:left w:val="single" w:color="auto" w:sz="4" w:space="0"/>
              <w:bottom w:val="single" w:color="auto" w:sz="4" w:space="0"/>
              <w:right w:val="single" w:color="auto" w:sz="4" w:space="0"/>
            </w:tcBorders>
            <w:vAlign w:val="center"/>
          </w:tcPr>
          <w:p w14:paraId="4223051B">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14:paraId="06B8436C">
            <w:pPr>
              <w:spacing w:line="240" w:lineRule="auto"/>
              <w:jc w:val="center"/>
              <w:rPr>
                <w:rFonts w:asciiTheme="minorEastAsia" w:hAnsiTheme="minorEastAsia"/>
                <w:sz w:val="21"/>
                <w:szCs w:val="21"/>
              </w:rPr>
            </w:pPr>
            <w:r>
              <w:rPr>
                <w:rFonts w:hint="eastAsia" w:asciiTheme="minorEastAsia" w:hAnsiTheme="minorEastAsia"/>
                <w:sz w:val="21"/>
                <w:szCs w:val="21"/>
              </w:rPr>
              <w:t>井壁泥垢</w:t>
            </w:r>
          </w:p>
        </w:tc>
        <w:tc>
          <w:tcPr>
            <w:tcW w:w="2333" w:type="dxa"/>
            <w:gridSpan w:val="2"/>
            <w:tcBorders>
              <w:top w:val="single" w:color="auto" w:sz="4" w:space="0"/>
              <w:left w:val="single" w:color="auto" w:sz="4" w:space="0"/>
              <w:bottom w:val="single" w:color="auto" w:sz="4" w:space="0"/>
              <w:right w:val="single" w:color="auto" w:sz="12" w:space="0"/>
            </w:tcBorders>
            <w:vAlign w:val="center"/>
          </w:tcPr>
          <w:p w14:paraId="6A3FF4C2">
            <w:pPr>
              <w:spacing w:line="240" w:lineRule="auto"/>
              <w:jc w:val="center"/>
              <w:rPr>
                <w:rFonts w:asciiTheme="minorEastAsia" w:hAnsiTheme="minorEastAsia"/>
                <w:sz w:val="21"/>
                <w:szCs w:val="21"/>
              </w:rPr>
            </w:pPr>
          </w:p>
        </w:tc>
      </w:tr>
      <w:tr w14:paraId="0F1A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14:paraId="386D7BD1">
            <w:pPr>
              <w:spacing w:line="240" w:lineRule="auto"/>
              <w:jc w:val="center"/>
              <w:rPr>
                <w:rFonts w:asciiTheme="minorEastAsia" w:hAnsiTheme="minorEastAsia"/>
                <w:sz w:val="21"/>
                <w:szCs w:val="21"/>
              </w:rPr>
            </w:pPr>
            <w:r>
              <w:rPr>
                <w:rFonts w:asciiTheme="minorEastAsia" w:hAnsiTheme="minorEastAsia"/>
                <w:sz w:val="21"/>
                <w:szCs w:val="21"/>
              </w:rPr>
              <w:t>4</w:t>
            </w:r>
          </w:p>
        </w:tc>
        <w:tc>
          <w:tcPr>
            <w:tcW w:w="1810" w:type="dxa"/>
            <w:gridSpan w:val="4"/>
            <w:tcBorders>
              <w:top w:val="single" w:color="auto" w:sz="4" w:space="0"/>
              <w:left w:val="single" w:color="auto" w:sz="4" w:space="0"/>
              <w:bottom w:val="single" w:color="auto" w:sz="4" w:space="0"/>
              <w:right w:val="single" w:color="auto" w:sz="4" w:space="0"/>
            </w:tcBorders>
            <w:vAlign w:val="center"/>
          </w:tcPr>
          <w:p w14:paraId="2C230D03">
            <w:pPr>
              <w:spacing w:line="240" w:lineRule="auto"/>
              <w:jc w:val="center"/>
              <w:rPr>
                <w:rFonts w:asciiTheme="minorEastAsia" w:hAnsiTheme="minorEastAsia"/>
                <w:sz w:val="21"/>
                <w:szCs w:val="21"/>
              </w:rPr>
            </w:pPr>
            <w:r>
              <w:rPr>
                <w:rFonts w:hint="eastAsia" w:asciiTheme="minorEastAsia" w:hAnsiTheme="minorEastAsia"/>
                <w:sz w:val="21"/>
                <w:szCs w:val="21"/>
              </w:rPr>
              <w:t>井框破损</w:t>
            </w:r>
          </w:p>
        </w:tc>
        <w:tc>
          <w:tcPr>
            <w:tcW w:w="1658" w:type="dxa"/>
            <w:gridSpan w:val="4"/>
            <w:tcBorders>
              <w:top w:val="single" w:color="auto" w:sz="4" w:space="0"/>
              <w:left w:val="single" w:color="auto" w:sz="4" w:space="0"/>
              <w:bottom w:val="single" w:color="auto" w:sz="4" w:space="0"/>
              <w:right w:val="single" w:color="auto" w:sz="4" w:space="0"/>
            </w:tcBorders>
            <w:vAlign w:val="center"/>
          </w:tcPr>
          <w:p w14:paraId="413E151F">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14:paraId="01816573">
            <w:pPr>
              <w:spacing w:line="240" w:lineRule="auto"/>
              <w:jc w:val="center"/>
              <w:rPr>
                <w:rFonts w:asciiTheme="minorEastAsia" w:hAnsiTheme="minorEastAsia"/>
                <w:sz w:val="21"/>
                <w:szCs w:val="21"/>
              </w:rPr>
            </w:pPr>
            <w:r>
              <w:rPr>
                <w:rFonts w:hint="eastAsia" w:asciiTheme="minorEastAsia" w:hAnsiTheme="minorEastAsia"/>
                <w:sz w:val="21"/>
                <w:szCs w:val="21"/>
              </w:rPr>
              <w:t>井壁裂缝</w:t>
            </w:r>
          </w:p>
        </w:tc>
        <w:tc>
          <w:tcPr>
            <w:tcW w:w="2333" w:type="dxa"/>
            <w:gridSpan w:val="2"/>
            <w:tcBorders>
              <w:top w:val="single" w:color="auto" w:sz="4" w:space="0"/>
              <w:left w:val="single" w:color="auto" w:sz="4" w:space="0"/>
              <w:bottom w:val="single" w:color="auto" w:sz="4" w:space="0"/>
              <w:right w:val="single" w:color="auto" w:sz="12" w:space="0"/>
            </w:tcBorders>
            <w:vAlign w:val="center"/>
          </w:tcPr>
          <w:p w14:paraId="2AA06555">
            <w:pPr>
              <w:spacing w:line="240" w:lineRule="auto"/>
              <w:jc w:val="center"/>
              <w:rPr>
                <w:rFonts w:asciiTheme="minorEastAsia" w:hAnsiTheme="minorEastAsia"/>
                <w:sz w:val="21"/>
                <w:szCs w:val="21"/>
              </w:rPr>
            </w:pPr>
          </w:p>
        </w:tc>
      </w:tr>
      <w:tr w14:paraId="1138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14:paraId="68FB9E14">
            <w:pPr>
              <w:spacing w:line="240" w:lineRule="auto"/>
              <w:jc w:val="center"/>
              <w:rPr>
                <w:rFonts w:asciiTheme="minorEastAsia" w:hAnsiTheme="minorEastAsia"/>
                <w:sz w:val="21"/>
                <w:szCs w:val="21"/>
              </w:rPr>
            </w:pPr>
            <w:r>
              <w:rPr>
                <w:rFonts w:asciiTheme="minorEastAsia" w:hAnsiTheme="minorEastAsia"/>
                <w:sz w:val="21"/>
                <w:szCs w:val="21"/>
              </w:rPr>
              <w:t>5</w:t>
            </w:r>
          </w:p>
        </w:tc>
        <w:tc>
          <w:tcPr>
            <w:tcW w:w="1810" w:type="dxa"/>
            <w:gridSpan w:val="4"/>
            <w:tcBorders>
              <w:top w:val="single" w:color="auto" w:sz="4" w:space="0"/>
              <w:left w:val="single" w:color="auto" w:sz="4" w:space="0"/>
              <w:bottom w:val="single" w:color="auto" w:sz="4" w:space="0"/>
              <w:right w:val="single" w:color="auto" w:sz="4" w:space="0"/>
            </w:tcBorders>
            <w:vAlign w:val="center"/>
          </w:tcPr>
          <w:p w14:paraId="2DEFBFEE">
            <w:pPr>
              <w:spacing w:line="240" w:lineRule="auto"/>
              <w:jc w:val="center"/>
              <w:rPr>
                <w:rFonts w:asciiTheme="minorEastAsia" w:hAnsiTheme="minorEastAsia"/>
                <w:sz w:val="21"/>
                <w:szCs w:val="21"/>
              </w:rPr>
            </w:pPr>
            <w:r>
              <w:rPr>
                <w:rFonts w:hint="eastAsia" w:asciiTheme="minorEastAsia" w:hAnsiTheme="minorEastAsia"/>
                <w:sz w:val="21"/>
                <w:szCs w:val="21"/>
              </w:rPr>
              <w:t>盖框间隙</w:t>
            </w:r>
          </w:p>
        </w:tc>
        <w:tc>
          <w:tcPr>
            <w:tcW w:w="1658" w:type="dxa"/>
            <w:gridSpan w:val="4"/>
            <w:tcBorders>
              <w:top w:val="single" w:color="auto" w:sz="4" w:space="0"/>
              <w:left w:val="single" w:color="auto" w:sz="4" w:space="0"/>
              <w:bottom w:val="single" w:color="auto" w:sz="4" w:space="0"/>
              <w:right w:val="single" w:color="auto" w:sz="4" w:space="0"/>
            </w:tcBorders>
            <w:vAlign w:val="center"/>
          </w:tcPr>
          <w:p w14:paraId="3B1930D0">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14:paraId="7D2F5465">
            <w:pPr>
              <w:spacing w:line="240" w:lineRule="auto"/>
              <w:jc w:val="center"/>
              <w:rPr>
                <w:rFonts w:asciiTheme="minorEastAsia" w:hAnsiTheme="minorEastAsia"/>
                <w:sz w:val="21"/>
                <w:szCs w:val="21"/>
              </w:rPr>
            </w:pPr>
            <w:r>
              <w:rPr>
                <w:rFonts w:hint="eastAsia" w:asciiTheme="minorEastAsia" w:hAnsiTheme="minorEastAsia"/>
                <w:sz w:val="21"/>
                <w:szCs w:val="21"/>
              </w:rPr>
              <w:t>井壁渗漏</w:t>
            </w:r>
          </w:p>
        </w:tc>
        <w:tc>
          <w:tcPr>
            <w:tcW w:w="2333" w:type="dxa"/>
            <w:gridSpan w:val="2"/>
            <w:tcBorders>
              <w:top w:val="single" w:color="auto" w:sz="4" w:space="0"/>
              <w:left w:val="single" w:color="auto" w:sz="4" w:space="0"/>
              <w:bottom w:val="single" w:color="auto" w:sz="4" w:space="0"/>
              <w:right w:val="single" w:color="auto" w:sz="12" w:space="0"/>
            </w:tcBorders>
            <w:vAlign w:val="center"/>
          </w:tcPr>
          <w:p w14:paraId="73E2B3DB">
            <w:pPr>
              <w:spacing w:line="240" w:lineRule="auto"/>
              <w:jc w:val="center"/>
              <w:rPr>
                <w:rFonts w:asciiTheme="minorEastAsia" w:hAnsiTheme="minorEastAsia"/>
                <w:sz w:val="21"/>
                <w:szCs w:val="21"/>
              </w:rPr>
            </w:pPr>
          </w:p>
        </w:tc>
      </w:tr>
      <w:tr w14:paraId="79A9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14:paraId="405F9485">
            <w:pPr>
              <w:spacing w:line="240" w:lineRule="auto"/>
              <w:jc w:val="center"/>
              <w:rPr>
                <w:rFonts w:asciiTheme="minorEastAsia" w:hAnsiTheme="minorEastAsia"/>
                <w:sz w:val="21"/>
                <w:szCs w:val="21"/>
              </w:rPr>
            </w:pPr>
            <w:r>
              <w:rPr>
                <w:rFonts w:asciiTheme="minorEastAsia" w:hAnsiTheme="minorEastAsia"/>
                <w:sz w:val="21"/>
                <w:szCs w:val="21"/>
              </w:rPr>
              <w:t>6</w:t>
            </w:r>
          </w:p>
        </w:tc>
        <w:tc>
          <w:tcPr>
            <w:tcW w:w="1810" w:type="dxa"/>
            <w:gridSpan w:val="4"/>
            <w:tcBorders>
              <w:top w:val="single" w:color="auto" w:sz="4" w:space="0"/>
              <w:left w:val="single" w:color="auto" w:sz="4" w:space="0"/>
              <w:bottom w:val="single" w:color="auto" w:sz="4" w:space="0"/>
              <w:right w:val="single" w:color="auto" w:sz="4" w:space="0"/>
            </w:tcBorders>
            <w:vAlign w:val="center"/>
          </w:tcPr>
          <w:p w14:paraId="34312DA6">
            <w:pPr>
              <w:spacing w:line="240" w:lineRule="auto"/>
              <w:jc w:val="center"/>
              <w:rPr>
                <w:rFonts w:asciiTheme="minorEastAsia" w:hAnsiTheme="minorEastAsia"/>
                <w:sz w:val="21"/>
                <w:szCs w:val="21"/>
              </w:rPr>
            </w:pPr>
            <w:r>
              <w:rPr>
                <w:rFonts w:hint="eastAsia" w:asciiTheme="minorEastAsia" w:hAnsiTheme="minorEastAsia"/>
                <w:sz w:val="21"/>
                <w:szCs w:val="21"/>
              </w:rPr>
              <w:t>盖框高差</w:t>
            </w:r>
          </w:p>
        </w:tc>
        <w:tc>
          <w:tcPr>
            <w:tcW w:w="1658" w:type="dxa"/>
            <w:gridSpan w:val="4"/>
            <w:tcBorders>
              <w:top w:val="single" w:color="auto" w:sz="4" w:space="0"/>
              <w:left w:val="single" w:color="auto" w:sz="4" w:space="0"/>
              <w:bottom w:val="single" w:color="auto" w:sz="4" w:space="0"/>
              <w:right w:val="single" w:color="auto" w:sz="4" w:space="0"/>
            </w:tcBorders>
            <w:vAlign w:val="center"/>
          </w:tcPr>
          <w:p w14:paraId="3956BC94">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14:paraId="453B453D">
            <w:pPr>
              <w:spacing w:line="240" w:lineRule="auto"/>
              <w:jc w:val="center"/>
              <w:rPr>
                <w:rFonts w:asciiTheme="minorEastAsia" w:hAnsiTheme="minorEastAsia"/>
                <w:sz w:val="21"/>
                <w:szCs w:val="21"/>
              </w:rPr>
            </w:pPr>
            <w:r>
              <w:rPr>
                <w:rFonts w:hint="eastAsia" w:asciiTheme="minorEastAsia" w:hAnsiTheme="minorEastAsia"/>
                <w:sz w:val="21"/>
                <w:szCs w:val="21"/>
              </w:rPr>
              <w:t>抹面脱落</w:t>
            </w:r>
          </w:p>
        </w:tc>
        <w:tc>
          <w:tcPr>
            <w:tcW w:w="2333" w:type="dxa"/>
            <w:gridSpan w:val="2"/>
            <w:tcBorders>
              <w:top w:val="single" w:color="auto" w:sz="4" w:space="0"/>
              <w:left w:val="single" w:color="auto" w:sz="4" w:space="0"/>
              <w:bottom w:val="single" w:color="auto" w:sz="4" w:space="0"/>
              <w:right w:val="single" w:color="auto" w:sz="12" w:space="0"/>
            </w:tcBorders>
            <w:vAlign w:val="center"/>
          </w:tcPr>
          <w:p w14:paraId="7AEEBEF4">
            <w:pPr>
              <w:spacing w:line="240" w:lineRule="auto"/>
              <w:jc w:val="center"/>
              <w:rPr>
                <w:rFonts w:asciiTheme="minorEastAsia" w:hAnsiTheme="minorEastAsia"/>
                <w:sz w:val="21"/>
                <w:szCs w:val="21"/>
              </w:rPr>
            </w:pPr>
          </w:p>
        </w:tc>
      </w:tr>
      <w:tr w14:paraId="3679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14:paraId="1F59AAA2">
            <w:pPr>
              <w:spacing w:line="240" w:lineRule="auto"/>
              <w:jc w:val="center"/>
              <w:rPr>
                <w:rFonts w:asciiTheme="minorEastAsia" w:hAnsiTheme="minorEastAsia"/>
                <w:sz w:val="21"/>
                <w:szCs w:val="21"/>
              </w:rPr>
            </w:pPr>
            <w:r>
              <w:rPr>
                <w:rFonts w:asciiTheme="minorEastAsia" w:hAnsiTheme="minorEastAsia"/>
                <w:sz w:val="21"/>
                <w:szCs w:val="21"/>
              </w:rPr>
              <w:t>7</w:t>
            </w:r>
          </w:p>
        </w:tc>
        <w:tc>
          <w:tcPr>
            <w:tcW w:w="1810" w:type="dxa"/>
            <w:gridSpan w:val="4"/>
            <w:tcBorders>
              <w:top w:val="single" w:color="auto" w:sz="4" w:space="0"/>
              <w:left w:val="single" w:color="auto" w:sz="4" w:space="0"/>
              <w:bottom w:val="single" w:color="auto" w:sz="4" w:space="0"/>
              <w:right w:val="single" w:color="auto" w:sz="4" w:space="0"/>
            </w:tcBorders>
            <w:vAlign w:val="center"/>
          </w:tcPr>
          <w:p w14:paraId="6D7C7EB8">
            <w:pPr>
              <w:spacing w:line="240" w:lineRule="auto"/>
              <w:jc w:val="center"/>
              <w:rPr>
                <w:rFonts w:asciiTheme="minorEastAsia" w:hAnsiTheme="minorEastAsia"/>
                <w:sz w:val="21"/>
                <w:szCs w:val="21"/>
              </w:rPr>
            </w:pPr>
            <w:r>
              <w:rPr>
                <w:rFonts w:hint="eastAsia" w:asciiTheme="minorEastAsia" w:hAnsiTheme="minorEastAsia"/>
                <w:sz w:val="21"/>
                <w:szCs w:val="21"/>
              </w:rPr>
              <w:t>盖框突出或凹陷</w:t>
            </w:r>
          </w:p>
        </w:tc>
        <w:tc>
          <w:tcPr>
            <w:tcW w:w="1658" w:type="dxa"/>
            <w:gridSpan w:val="4"/>
            <w:tcBorders>
              <w:top w:val="single" w:color="auto" w:sz="4" w:space="0"/>
              <w:left w:val="single" w:color="auto" w:sz="4" w:space="0"/>
              <w:bottom w:val="single" w:color="auto" w:sz="4" w:space="0"/>
              <w:right w:val="single" w:color="auto" w:sz="4" w:space="0"/>
            </w:tcBorders>
            <w:vAlign w:val="center"/>
          </w:tcPr>
          <w:p w14:paraId="217538EE">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14:paraId="1D94238B">
            <w:pPr>
              <w:spacing w:line="240" w:lineRule="auto"/>
              <w:jc w:val="center"/>
              <w:rPr>
                <w:rFonts w:asciiTheme="minorEastAsia" w:hAnsiTheme="minorEastAsia"/>
                <w:sz w:val="21"/>
                <w:szCs w:val="21"/>
              </w:rPr>
            </w:pPr>
            <w:r>
              <w:rPr>
                <w:rFonts w:hint="eastAsia" w:asciiTheme="minorEastAsia" w:hAnsiTheme="minorEastAsia"/>
                <w:sz w:val="21"/>
                <w:szCs w:val="21"/>
              </w:rPr>
              <w:t>管口孔洞</w:t>
            </w:r>
          </w:p>
        </w:tc>
        <w:tc>
          <w:tcPr>
            <w:tcW w:w="2333" w:type="dxa"/>
            <w:gridSpan w:val="2"/>
            <w:tcBorders>
              <w:top w:val="single" w:color="auto" w:sz="4" w:space="0"/>
              <w:left w:val="single" w:color="auto" w:sz="4" w:space="0"/>
              <w:bottom w:val="single" w:color="auto" w:sz="4" w:space="0"/>
              <w:right w:val="single" w:color="auto" w:sz="12" w:space="0"/>
            </w:tcBorders>
            <w:vAlign w:val="center"/>
          </w:tcPr>
          <w:p w14:paraId="0AEE4156">
            <w:pPr>
              <w:spacing w:line="240" w:lineRule="auto"/>
              <w:jc w:val="center"/>
              <w:rPr>
                <w:rFonts w:asciiTheme="minorEastAsia" w:hAnsiTheme="minorEastAsia"/>
                <w:sz w:val="21"/>
                <w:szCs w:val="21"/>
              </w:rPr>
            </w:pPr>
          </w:p>
        </w:tc>
      </w:tr>
      <w:tr w14:paraId="6B3D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14:paraId="78AB5DF6">
            <w:pPr>
              <w:spacing w:line="240" w:lineRule="auto"/>
              <w:jc w:val="center"/>
              <w:rPr>
                <w:rFonts w:asciiTheme="minorEastAsia" w:hAnsiTheme="minorEastAsia"/>
                <w:sz w:val="21"/>
                <w:szCs w:val="21"/>
              </w:rPr>
            </w:pPr>
            <w:r>
              <w:rPr>
                <w:rFonts w:asciiTheme="minorEastAsia" w:hAnsiTheme="minorEastAsia"/>
                <w:sz w:val="21"/>
                <w:szCs w:val="21"/>
              </w:rPr>
              <w:t>8</w:t>
            </w:r>
          </w:p>
        </w:tc>
        <w:tc>
          <w:tcPr>
            <w:tcW w:w="1810" w:type="dxa"/>
            <w:gridSpan w:val="4"/>
            <w:tcBorders>
              <w:top w:val="single" w:color="auto" w:sz="4" w:space="0"/>
              <w:left w:val="single" w:color="auto" w:sz="4" w:space="0"/>
              <w:bottom w:val="single" w:color="auto" w:sz="4" w:space="0"/>
              <w:right w:val="single" w:color="auto" w:sz="4" w:space="0"/>
            </w:tcBorders>
            <w:vAlign w:val="center"/>
          </w:tcPr>
          <w:p w14:paraId="249DAE00">
            <w:pPr>
              <w:spacing w:line="240" w:lineRule="auto"/>
              <w:jc w:val="center"/>
              <w:rPr>
                <w:rFonts w:asciiTheme="minorEastAsia" w:hAnsiTheme="minorEastAsia"/>
                <w:sz w:val="21"/>
                <w:szCs w:val="21"/>
              </w:rPr>
            </w:pPr>
            <w:r>
              <w:rPr>
                <w:rFonts w:hint="eastAsia" w:asciiTheme="minorEastAsia" w:hAnsiTheme="minorEastAsia"/>
                <w:sz w:val="21"/>
                <w:szCs w:val="21"/>
              </w:rPr>
              <w:t>跳动和声响</w:t>
            </w:r>
          </w:p>
        </w:tc>
        <w:tc>
          <w:tcPr>
            <w:tcW w:w="1658" w:type="dxa"/>
            <w:gridSpan w:val="4"/>
            <w:tcBorders>
              <w:top w:val="single" w:color="auto" w:sz="4" w:space="0"/>
              <w:left w:val="single" w:color="auto" w:sz="4" w:space="0"/>
              <w:bottom w:val="single" w:color="auto" w:sz="4" w:space="0"/>
              <w:right w:val="single" w:color="auto" w:sz="4" w:space="0"/>
            </w:tcBorders>
            <w:vAlign w:val="center"/>
          </w:tcPr>
          <w:p w14:paraId="02721C85">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14:paraId="3E685304">
            <w:pPr>
              <w:spacing w:line="240" w:lineRule="auto"/>
              <w:jc w:val="center"/>
              <w:rPr>
                <w:rFonts w:asciiTheme="minorEastAsia" w:hAnsiTheme="minorEastAsia"/>
                <w:sz w:val="21"/>
                <w:szCs w:val="21"/>
              </w:rPr>
            </w:pPr>
            <w:r>
              <w:rPr>
                <w:rFonts w:hint="eastAsia"/>
                <w:sz w:val="21"/>
                <w:szCs w:val="21"/>
              </w:rPr>
              <w:t>结构变形</w:t>
            </w:r>
          </w:p>
        </w:tc>
        <w:tc>
          <w:tcPr>
            <w:tcW w:w="2333" w:type="dxa"/>
            <w:gridSpan w:val="2"/>
            <w:tcBorders>
              <w:top w:val="single" w:color="auto" w:sz="4" w:space="0"/>
              <w:left w:val="single" w:color="auto" w:sz="4" w:space="0"/>
              <w:bottom w:val="single" w:color="auto" w:sz="4" w:space="0"/>
              <w:right w:val="single" w:color="auto" w:sz="12" w:space="0"/>
            </w:tcBorders>
            <w:vAlign w:val="center"/>
          </w:tcPr>
          <w:p w14:paraId="111E97FB">
            <w:pPr>
              <w:spacing w:line="240" w:lineRule="auto"/>
              <w:jc w:val="center"/>
              <w:rPr>
                <w:rFonts w:asciiTheme="minorEastAsia" w:hAnsiTheme="minorEastAsia"/>
                <w:sz w:val="21"/>
                <w:szCs w:val="21"/>
              </w:rPr>
            </w:pPr>
          </w:p>
        </w:tc>
      </w:tr>
      <w:tr w14:paraId="5F38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14:paraId="56571118">
            <w:pPr>
              <w:spacing w:line="240" w:lineRule="auto"/>
              <w:jc w:val="center"/>
              <w:rPr>
                <w:rFonts w:asciiTheme="minorEastAsia" w:hAnsiTheme="minorEastAsia"/>
                <w:sz w:val="21"/>
                <w:szCs w:val="21"/>
              </w:rPr>
            </w:pPr>
            <w:r>
              <w:rPr>
                <w:rFonts w:asciiTheme="minorEastAsia" w:hAnsiTheme="minorEastAsia"/>
                <w:sz w:val="21"/>
                <w:szCs w:val="21"/>
              </w:rPr>
              <w:t>9</w:t>
            </w:r>
          </w:p>
        </w:tc>
        <w:tc>
          <w:tcPr>
            <w:tcW w:w="1810" w:type="dxa"/>
            <w:gridSpan w:val="4"/>
            <w:tcBorders>
              <w:top w:val="single" w:color="auto" w:sz="4" w:space="0"/>
              <w:left w:val="single" w:color="auto" w:sz="4" w:space="0"/>
              <w:bottom w:val="single" w:color="auto" w:sz="4" w:space="0"/>
              <w:right w:val="single" w:color="auto" w:sz="4" w:space="0"/>
            </w:tcBorders>
            <w:vAlign w:val="center"/>
          </w:tcPr>
          <w:p w14:paraId="1ABE32EE">
            <w:pPr>
              <w:spacing w:line="240" w:lineRule="auto"/>
              <w:jc w:val="center"/>
              <w:rPr>
                <w:rFonts w:asciiTheme="minorEastAsia" w:hAnsiTheme="minorEastAsia"/>
                <w:sz w:val="21"/>
                <w:szCs w:val="21"/>
              </w:rPr>
            </w:pPr>
            <w:r>
              <w:rPr>
                <w:rFonts w:hint="eastAsia" w:asciiTheme="minorEastAsia" w:hAnsiTheme="minorEastAsia"/>
                <w:sz w:val="21"/>
                <w:szCs w:val="21"/>
              </w:rPr>
              <w:t>周边路面破损、沉降</w:t>
            </w:r>
          </w:p>
        </w:tc>
        <w:tc>
          <w:tcPr>
            <w:tcW w:w="1658" w:type="dxa"/>
            <w:gridSpan w:val="4"/>
            <w:tcBorders>
              <w:top w:val="single" w:color="auto" w:sz="4" w:space="0"/>
              <w:left w:val="single" w:color="auto" w:sz="4" w:space="0"/>
              <w:bottom w:val="single" w:color="auto" w:sz="4" w:space="0"/>
              <w:right w:val="single" w:color="auto" w:sz="4" w:space="0"/>
            </w:tcBorders>
            <w:vAlign w:val="center"/>
          </w:tcPr>
          <w:p w14:paraId="2E945225">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14:paraId="536B9C5F">
            <w:pPr>
              <w:spacing w:line="240" w:lineRule="auto"/>
              <w:jc w:val="center"/>
              <w:rPr>
                <w:rFonts w:asciiTheme="minorEastAsia" w:hAnsiTheme="minorEastAsia"/>
                <w:sz w:val="21"/>
                <w:szCs w:val="21"/>
              </w:rPr>
            </w:pPr>
            <w:r>
              <w:rPr>
                <w:rFonts w:hint="eastAsia"/>
                <w:sz w:val="21"/>
                <w:szCs w:val="21"/>
              </w:rPr>
              <w:t>井底积泥、杂物</w:t>
            </w:r>
          </w:p>
        </w:tc>
        <w:tc>
          <w:tcPr>
            <w:tcW w:w="2333" w:type="dxa"/>
            <w:gridSpan w:val="2"/>
            <w:tcBorders>
              <w:top w:val="single" w:color="auto" w:sz="4" w:space="0"/>
              <w:left w:val="single" w:color="auto" w:sz="4" w:space="0"/>
              <w:bottom w:val="single" w:color="auto" w:sz="4" w:space="0"/>
              <w:right w:val="single" w:color="auto" w:sz="12" w:space="0"/>
            </w:tcBorders>
            <w:vAlign w:val="center"/>
          </w:tcPr>
          <w:p w14:paraId="30462655">
            <w:pPr>
              <w:spacing w:line="240" w:lineRule="auto"/>
              <w:jc w:val="center"/>
              <w:rPr>
                <w:rFonts w:asciiTheme="minorEastAsia" w:hAnsiTheme="minorEastAsia"/>
                <w:sz w:val="21"/>
                <w:szCs w:val="21"/>
              </w:rPr>
            </w:pPr>
          </w:p>
        </w:tc>
      </w:tr>
      <w:tr w14:paraId="7242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14:paraId="109F62E7">
            <w:pPr>
              <w:spacing w:line="240" w:lineRule="auto"/>
              <w:jc w:val="center"/>
              <w:rPr>
                <w:rFonts w:asciiTheme="minorEastAsia" w:hAnsiTheme="minorEastAsia"/>
                <w:sz w:val="21"/>
                <w:szCs w:val="21"/>
              </w:rPr>
            </w:pPr>
            <w:r>
              <w:rPr>
                <w:rFonts w:asciiTheme="minorEastAsia" w:hAnsiTheme="minorEastAsia"/>
                <w:sz w:val="21"/>
                <w:szCs w:val="21"/>
              </w:rPr>
              <w:t>10</w:t>
            </w:r>
          </w:p>
        </w:tc>
        <w:tc>
          <w:tcPr>
            <w:tcW w:w="1810" w:type="dxa"/>
            <w:gridSpan w:val="4"/>
            <w:tcBorders>
              <w:top w:val="single" w:color="auto" w:sz="4" w:space="0"/>
              <w:left w:val="single" w:color="auto" w:sz="4" w:space="0"/>
              <w:bottom w:val="single" w:color="auto" w:sz="4" w:space="0"/>
              <w:right w:val="single" w:color="auto" w:sz="4" w:space="0"/>
            </w:tcBorders>
            <w:vAlign w:val="center"/>
          </w:tcPr>
          <w:p w14:paraId="4892E09F">
            <w:pPr>
              <w:spacing w:line="240" w:lineRule="auto"/>
              <w:jc w:val="center"/>
              <w:rPr>
                <w:rFonts w:asciiTheme="minorEastAsia" w:hAnsiTheme="minorEastAsia"/>
                <w:sz w:val="21"/>
                <w:szCs w:val="21"/>
              </w:rPr>
            </w:pPr>
            <w:r>
              <w:rPr>
                <w:rFonts w:hint="eastAsia" w:asciiTheme="minorEastAsia" w:hAnsiTheme="minorEastAsia"/>
                <w:sz w:val="21"/>
                <w:szCs w:val="21"/>
              </w:rPr>
              <w:t>井盖标示错误</w:t>
            </w:r>
          </w:p>
        </w:tc>
        <w:tc>
          <w:tcPr>
            <w:tcW w:w="1658" w:type="dxa"/>
            <w:gridSpan w:val="4"/>
            <w:tcBorders>
              <w:top w:val="single" w:color="auto" w:sz="4" w:space="0"/>
              <w:left w:val="single" w:color="auto" w:sz="4" w:space="0"/>
              <w:bottom w:val="single" w:color="auto" w:sz="4" w:space="0"/>
              <w:right w:val="single" w:color="auto" w:sz="4" w:space="0"/>
            </w:tcBorders>
            <w:vAlign w:val="center"/>
          </w:tcPr>
          <w:p w14:paraId="7B811009">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14:paraId="2D3CC779">
            <w:pPr>
              <w:spacing w:line="240" w:lineRule="auto"/>
              <w:jc w:val="center"/>
              <w:rPr>
                <w:rFonts w:asciiTheme="minorEastAsia" w:hAnsiTheme="minorEastAsia"/>
                <w:sz w:val="21"/>
                <w:szCs w:val="21"/>
              </w:rPr>
            </w:pPr>
            <w:r>
              <w:rPr>
                <w:rFonts w:hint="eastAsia"/>
                <w:sz w:val="21"/>
                <w:szCs w:val="21"/>
              </w:rPr>
              <w:t>阀井内壁钢筋裸漏</w:t>
            </w:r>
          </w:p>
        </w:tc>
        <w:tc>
          <w:tcPr>
            <w:tcW w:w="2333" w:type="dxa"/>
            <w:gridSpan w:val="2"/>
            <w:tcBorders>
              <w:top w:val="single" w:color="auto" w:sz="4" w:space="0"/>
              <w:left w:val="single" w:color="auto" w:sz="4" w:space="0"/>
              <w:bottom w:val="single" w:color="auto" w:sz="4" w:space="0"/>
              <w:right w:val="single" w:color="auto" w:sz="12" w:space="0"/>
            </w:tcBorders>
            <w:vAlign w:val="center"/>
          </w:tcPr>
          <w:p w14:paraId="720D085D">
            <w:pPr>
              <w:spacing w:line="240" w:lineRule="auto"/>
              <w:jc w:val="center"/>
              <w:rPr>
                <w:rFonts w:asciiTheme="minorEastAsia" w:hAnsiTheme="minorEastAsia"/>
                <w:sz w:val="21"/>
                <w:szCs w:val="21"/>
              </w:rPr>
            </w:pPr>
          </w:p>
        </w:tc>
      </w:tr>
      <w:tr w14:paraId="6CAB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14:paraId="7BD7CA1E">
            <w:pPr>
              <w:spacing w:line="240" w:lineRule="auto"/>
              <w:jc w:val="center"/>
              <w:rPr>
                <w:rFonts w:asciiTheme="minorEastAsia" w:hAnsiTheme="minorEastAsia"/>
                <w:sz w:val="21"/>
                <w:szCs w:val="21"/>
              </w:rPr>
            </w:pPr>
            <w:r>
              <w:rPr>
                <w:rFonts w:asciiTheme="minorEastAsia" w:hAnsiTheme="minorEastAsia"/>
                <w:sz w:val="21"/>
                <w:szCs w:val="21"/>
              </w:rPr>
              <w:t>11</w:t>
            </w:r>
          </w:p>
        </w:tc>
        <w:tc>
          <w:tcPr>
            <w:tcW w:w="1810" w:type="dxa"/>
            <w:gridSpan w:val="4"/>
            <w:tcBorders>
              <w:top w:val="single" w:color="auto" w:sz="4" w:space="0"/>
              <w:left w:val="single" w:color="auto" w:sz="4" w:space="0"/>
              <w:bottom w:val="single" w:color="auto" w:sz="4" w:space="0"/>
              <w:right w:val="single" w:color="auto" w:sz="4" w:space="0"/>
            </w:tcBorders>
            <w:vAlign w:val="center"/>
          </w:tcPr>
          <w:p w14:paraId="4F7B8277">
            <w:pPr>
              <w:spacing w:line="240" w:lineRule="auto"/>
              <w:jc w:val="center"/>
              <w:rPr>
                <w:rFonts w:asciiTheme="minorEastAsia" w:hAnsiTheme="minorEastAsia"/>
                <w:sz w:val="21"/>
                <w:szCs w:val="21"/>
              </w:rPr>
            </w:pPr>
            <w:r>
              <w:rPr>
                <w:rFonts w:hint="eastAsia" w:asciiTheme="minorEastAsia" w:hAnsiTheme="minorEastAsia"/>
                <w:sz w:val="21"/>
                <w:szCs w:val="21"/>
              </w:rPr>
              <w:t>是否为重型井盖</w:t>
            </w:r>
          </w:p>
          <w:p w14:paraId="2D8C409D">
            <w:pPr>
              <w:spacing w:line="240" w:lineRule="auto"/>
              <w:jc w:val="center"/>
              <w:rPr>
                <w:rFonts w:asciiTheme="minorEastAsia" w:hAnsiTheme="minorEastAsia"/>
                <w:sz w:val="21"/>
                <w:szCs w:val="21"/>
              </w:rPr>
            </w:pPr>
            <w:r>
              <w:rPr>
                <w:rFonts w:hint="eastAsia" w:asciiTheme="minorEastAsia" w:hAnsiTheme="minorEastAsia"/>
                <w:sz w:val="21"/>
                <w:szCs w:val="21"/>
              </w:rPr>
              <w:t>（道路上）</w:t>
            </w:r>
          </w:p>
        </w:tc>
        <w:tc>
          <w:tcPr>
            <w:tcW w:w="1658" w:type="dxa"/>
            <w:gridSpan w:val="4"/>
            <w:tcBorders>
              <w:top w:val="single" w:color="auto" w:sz="4" w:space="0"/>
              <w:left w:val="single" w:color="auto" w:sz="4" w:space="0"/>
              <w:bottom w:val="single" w:color="auto" w:sz="4" w:space="0"/>
              <w:right w:val="single" w:color="auto" w:sz="4" w:space="0"/>
            </w:tcBorders>
            <w:vAlign w:val="center"/>
          </w:tcPr>
          <w:p w14:paraId="0ACA45F8">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14:paraId="09F3C15F">
            <w:pPr>
              <w:spacing w:line="240" w:lineRule="auto"/>
              <w:jc w:val="center"/>
              <w:rPr>
                <w:rFonts w:asciiTheme="minorEastAsia" w:hAnsiTheme="minorEastAsia"/>
                <w:sz w:val="21"/>
                <w:szCs w:val="21"/>
              </w:rPr>
            </w:pPr>
            <w:r>
              <w:rPr>
                <w:rFonts w:hint="eastAsia"/>
                <w:sz w:val="21"/>
                <w:szCs w:val="21"/>
              </w:rPr>
              <w:t>阀井顶盖裂缝</w:t>
            </w:r>
          </w:p>
        </w:tc>
        <w:tc>
          <w:tcPr>
            <w:tcW w:w="2333" w:type="dxa"/>
            <w:gridSpan w:val="2"/>
            <w:tcBorders>
              <w:top w:val="single" w:color="auto" w:sz="4" w:space="0"/>
              <w:left w:val="single" w:color="auto" w:sz="4" w:space="0"/>
              <w:bottom w:val="single" w:color="auto" w:sz="4" w:space="0"/>
              <w:right w:val="single" w:color="auto" w:sz="12" w:space="0"/>
            </w:tcBorders>
            <w:vAlign w:val="center"/>
          </w:tcPr>
          <w:p w14:paraId="4CD3C465">
            <w:pPr>
              <w:spacing w:line="240" w:lineRule="auto"/>
              <w:jc w:val="center"/>
              <w:rPr>
                <w:rFonts w:asciiTheme="minorEastAsia" w:hAnsiTheme="minorEastAsia"/>
                <w:sz w:val="21"/>
                <w:szCs w:val="21"/>
              </w:rPr>
            </w:pPr>
          </w:p>
        </w:tc>
      </w:tr>
      <w:tr w14:paraId="090D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tcBorders>
              <w:top w:val="single" w:color="auto" w:sz="4" w:space="0"/>
              <w:left w:val="single" w:color="auto" w:sz="12" w:space="0"/>
              <w:bottom w:val="single" w:color="auto" w:sz="4" w:space="0"/>
              <w:right w:val="single" w:color="auto" w:sz="4" w:space="0"/>
            </w:tcBorders>
            <w:vAlign w:val="center"/>
          </w:tcPr>
          <w:p w14:paraId="3F275575">
            <w:pPr>
              <w:spacing w:line="240" w:lineRule="auto"/>
              <w:jc w:val="center"/>
              <w:rPr>
                <w:rFonts w:asciiTheme="minorEastAsia" w:hAnsiTheme="minorEastAsia"/>
                <w:sz w:val="21"/>
                <w:szCs w:val="21"/>
              </w:rPr>
            </w:pPr>
            <w:r>
              <w:rPr>
                <w:rFonts w:asciiTheme="minorEastAsia" w:hAnsiTheme="minorEastAsia"/>
                <w:sz w:val="21"/>
                <w:szCs w:val="21"/>
              </w:rPr>
              <w:t>12</w:t>
            </w:r>
          </w:p>
        </w:tc>
        <w:tc>
          <w:tcPr>
            <w:tcW w:w="1810" w:type="dxa"/>
            <w:gridSpan w:val="4"/>
            <w:tcBorders>
              <w:top w:val="single" w:color="auto" w:sz="4" w:space="0"/>
              <w:left w:val="single" w:color="auto" w:sz="4" w:space="0"/>
              <w:bottom w:val="single" w:color="auto" w:sz="4" w:space="0"/>
              <w:right w:val="single" w:color="auto" w:sz="4" w:space="0"/>
            </w:tcBorders>
            <w:vAlign w:val="center"/>
          </w:tcPr>
          <w:p w14:paraId="413BAB21">
            <w:pPr>
              <w:spacing w:line="240" w:lineRule="auto"/>
              <w:jc w:val="center"/>
              <w:rPr>
                <w:rFonts w:asciiTheme="minorEastAsia" w:hAnsiTheme="minorEastAsia"/>
                <w:sz w:val="21"/>
                <w:szCs w:val="21"/>
              </w:rPr>
            </w:pPr>
            <w:r>
              <w:rPr>
                <w:rFonts w:hint="eastAsia" w:asciiTheme="minorEastAsia" w:hAnsiTheme="minorEastAsia"/>
                <w:sz w:val="21"/>
                <w:szCs w:val="21"/>
              </w:rPr>
              <w:t>其他</w:t>
            </w:r>
          </w:p>
        </w:tc>
        <w:tc>
          <w:tcPr>
            <w:tcW w:w="1658" w:type="dxa"/>
            <w:gridSpan w:val="4"/>
            <w:tcBorders>
              <w:top w:val="single" w:color="auto" w:sz="4" w:space="0"/>
              <w:left w:val="single" w:color="auto" w:sz="4" w:space="0"/>
              <w:bottom w:val="single" w:color="auto" w:sz="4" w:space="0"/>
              <w:right w:val="single" w:color="auto" w:sz="4" w:space="0"/>
            </w:tcBorders>
            <w:vAlign w:val="center"/>
          </w:tcPr>
          <w:p w14:paraId="758F278E">
            <w:pPr>
              <w:spacing w:line="240" w:lineRule="auto"/>
              <w:jc w:val="center"/>
              <w:rPr>
                <w:rFonts w:asciiTheme="minorEastAsia" w:hAnsiTheme="minorEastAsia"/>
                <w:sz w:val="21"/>
                <w:szCs w:val="21"/>
              </w:rPr>
            </w:pPr>
          </w:p>
        </w:tc>
        <w:tc>
          <w:tcPr>
            <w:tcW w:w="2049" w:type="dxa"/>
            <w:gridSpan w:val="3"/>
            <w:tcBorders>
              <w:top w:val="single" w:color="auto" w:sz="4" w:space="0"/>
              <w:left w:val="single" w:color="auto" w:sz="4" w:space="0"/>
              <w:bottom w:val="single" w:color="auto" w:sz="4" w:space="0"/>
              <w:right w:val="single" w:color="auto" w:sz="4" w:space="0"/>
            </w:tcBorders>
            <w:vAlign w:val="center"/>
          </w:tcPr>
          <w:p w14:paraId="0A0C9069">
            <w:pPr>
              <w:spacing w:line="240" w:lineRule="auto"/>
              <w:jc w:val="center"/>
              <w:rPr>
                <w:rFonts w:asciiTheme="minorEastAsia" w:hAnsiTheme="minorEastAsia"/>
                <w:sz w:val="21"/>
                <w:szCs w:val="21"/>
              </w:rPr>
            </w:pPr>
            <w:r>
              <w:rPr>
                <w:rFonts w:hint="eastAsia"/>
                <w:sz w:val="21"/>
                <w:szCs w:val="21"/>
              </w:rPr>
              <w:t>其他</w:t>
            </w:r>
          </w:p>
        </w:tc>
        <w:tc>
          <w:tcPr>
            <w:tcW w:w="2333" w:type="dxa"/>
            <w:gridSpan w:val="2"/>
            <w:tcBorders>
              <w:top w:val="single" w:color="auto" w:sz="4" w:space="0"/>
              <w:left w:val="single" w:color="auto" w:sz="4" w:space="0"/>
              <w:bottom w:val="single" w:color="auto" w:sz="4" w:space="0"/>
              <w:right w:val="single" w:color="auto" w:sz="12" w:space="0"/>
            </w:tcBorders>
            <w:vAlign w:val="center"/>
          </w:tcPr>
          <w:p w14:paraId="7E998B71">
            <w:pPr>
              <w:spacing w:line="240" w:lineRule="auto"/>
              <w:jc w:val="center"/>
              <w:rPr>
                <w:rFonts w:asciiTheme="minorEastAsia" w:hAnsiTheme="minorEastAsia"/>
                <w:sz w:val="21"/>
                <w:szCs w:val="21"/>
              </w:rPr>
            </w:pPr>
          </w:p>
        </w:tc>
      </w:tr>
      <w:tr w14:paraId="077A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56" w:type="dxa"/>
            <w:tcBorders>
              <w:top w:val="single" w:color="auto" w:sz="4" w:space="0"/>
              <w:left w:val="single" w:color="auto" w:sz="12" w:space="0"/>
              <w:bottom w:val="single" w:color="auto" w:sz="12" w:space="0"/>
              <w:right w:val="single" w:color="auto" w:sz="4" w:space="0"/>
            </w:tcBorders>
            <w:vAlign w:val="center"/>
          </w:tcPr>
          <w:p w14:paraId="2B3E43D8">
            <w:pPr>
              <w:spacing w:line="240" w:lineRule="auto"/>
              <w:jc w:val="center"/>
              <w:rPr>
                <w:rFonts w:asciiTheme="minorEastAsia" w:hAnsiTheme="minorEastAsia"/>
                <w:sz w:val="21"/>
                <w:szCs w:val="21"/>
              </w:rPr>
            </w:pPr>
            <w:r>
              <w:rPr>
                <w:rFonts w:hint="eastAsia" w:asciiTheme="minorEastAsia" w:hAnsiTheme="minorEastAsia"/>
                <w:sz w:val="21"/>
                <w:szCs w:val="21"/>
              </w:rPr>
              <w:t>备注</w:t>
            </w:r>
          </w:p>
        </w:tc>
        <w:tc>
          <w:tcPr>
            <w:tcW w:w="7850" w:type="dxa"/>
            <w:gridSpan w:val="13"/>
            <w:tcBorders>
              <w:top w:val="single" w:color="auto" w:sz="4" w:space="0"/>
              <w:left w:val="single" w:color="auto" w:sz="4" w:space="0"/>
              <w:bottom w:val="single" w:color="auto" w:sz="12" w:space="0"/>
              <w:right w:val="single" w:color="auto" w:sz="12" w:space="0"/>
            </w:tcBorders>
            <w:vAlign w:val="center"/>
          </w:tcPr>
          <w:p w14:paraId="1BC89841">
            <w:pPr>
              <w:spacing w:line="240" w:lineRule="auto"/>
              <w:jc w:val="center"/>
              <w:rPr>
                <w:rFonts w:asciiTheme="minorEastAsia" w:hAnsiTheme="minorEastAsia"/>
                <w:sz w:val="21"/>
                <w:szCs w:val="21"/>
              </w:rPr>
            </w:pPr>
          </w:p>
        </w:tc>
      </w:tr>
    </w:tbl>
    <w:p w14:paraId="5234FB81">
      <w:pPr>
        <w:rPr>
          <w:rFonts w:cs="Times New Roman" w:asciiTheme="minorEastAsia" w:hAnsiTheme="minorEastAsia"/>
          <w:bCs/>
          <w:sz w:val="21"/>
          <w:szCs w:val="21"/>
        </w:rPr>
      </w:pPr>
      <w:r>
        <w:rPr>
          <w:rFonts w:hint="eastAsia" w:asciiTheme="minorEastAsia" w:hAnsiTheme="minorEastAsia"/>
          <w:bCs/>
          <w:sz w:val="21"/>
          <w:szCs w:val="21"/>
        </w:rPr>
        <w:t>检测员：</w:t>
      </w:r>
      <w:r>
        <w:rPr>
          <w:rFonts w:asciiTheme="minorEastAsia" w:hAnsiTheme="minorEastAsia"/>
          <w:bCs/>
          <w:sz w:val="21"/>
          <w:szCs w:val="21"/>
        </w:rPr>
        <w:t xml:space="preserve">        </w:t>
      </w:r>
      <w:r>
        <w:rPr>
          <w:rFonts w:hint="eastAsia" w:asciiTheme="minorEastAsia" w:hAnsiTheme="minorEastAsia"/>
          <w:bCs/>
          <w:sz w:val="21"/>
          <w:szCs w:val="21"/>
        </w:rPr>
        <w:t>记录员：</w:t>
      </w:r>
      <w:r>
        <w:rPr>
          <w:rFonts w:asciiTheme="minorEastAsia" w:hAnsiTheme="minorEastAsia"/>
          <w:bCs/>
          <w:sz w:val="21"/>
          <w:szCs w:val="21"/>
        </w:rPr>
        <w:t xml:space="preserve">      </w:t>
      </w:r>
      <w:r>
        <w:rPr>
          <w:rFonts w:hint="eastAsia" w:asciiTheme="minorEastAsia" w:hAnsiTheme="minorEastAsia"/>
          <w:bCs/>
          <w:sz w:val="21"/>
          <w:szCs w:val="21"/>
        </w:rPr>
        <w:t>校核员</w:t>
      </w:r>
      <w:r>
        <w:rPr>
          <w:rFonts w:asciiTheme="minorEastAsia" w:hAnsiTheme="minorEastAsia"/>
          <w:bCs/>
          <w:sz w:val="21"/>
          <w:szCs w:val="21"/>
        </w:rPr>
        <w:t xml:space="preserve">      </w:t>
      </w:r>
      <w:r>
        <w:rPr>
          <w:rFonts w:hint="eastAsia" w:asciiTheme="minorEastAsia" w:hAnsiTheme="minorEastAsia"/>
          <w:bCs/>
          <w:sz w:val="21"/>
          <w:szCs w:val="21"/>
        </w:rPr>
        <w:t>检查日期：</w:t>
      </w:r>
      <w:r>
        <w:rPr>
          <w:rFonts w:asciiTheme="minorEastAsia" w:hAnsiTheme="minorEastAsia"/>
          <w:bCs/>
          <w:sz w:val="21"/>
          <w:szCs w:val="21"/>
        </w:rPr>
        <w:t xml:space="preserve">    </w:t>
      </w:r>
      <w:r>
        <w:rPr>
          <w:rFonts w:hint="eastAsia" w:asciiTheme="minorEastAsia" w:hAnsiTheme="minorEastAsia"/>
          <w:bCs/>
          <w:sz w:val="21"/>
          <w:szCs w:val="21"/>
        </w:rPr>
        <w:t>年</w:t>
      </w:r>
      <w:r>
        <w:rPr>
          <w:rFonts w:asciiTheme="minorEastAsia" w:hAnsiTheme="minorEastAsia"/>
          <w:bCs/>
          <w:sz w:val="21"/>
          <w:szCs w:val="21"/>
        </w:rPr>
        <w:t xml:space="preserve">    </w:t>
      </w:r>
      <w:r>
        <w:rPr>
          <w:rFonts w:hint="eastAsia" w:asciiTheme="minorEastAsia" w:hAnsiTheme="minorEastAsia"/>
          <w:bCs/>
          <w:sz w:val="21"/>
          <w:szCs w:val="21"/>
        </w:rPr>
        <w:t>月</w:t>
      </w:r>
      <w:r>
        <w:rPr>
          <w:rFonts w:asciiTheme="minorEastAsia" w:hAnsiTheme="minorEastAsia"/>
          <w:bCs/>
          <w:sz w:val="21"/>
          <w:szCs w:val="21"/>
        </w:rPr>
        <w:t xml:space="preserve">   </w:t>
      </w:r>
      <w:r>
        <w:rPr>
          <w:rFonts w:hint="eastAsia" w:asciiTheme="minorEastAsia" w:hAnsiTheme="minorEastAsia"/>
          <w:bCs/>
          <w:sz w:val="21"/>
          <w:szCs w:val="21"/>
        </w:rPr>
        <w:t>日</w:t>
      </w:r>
    </w:p>
    <w:p w14:paraId="67AE1655">
      <w:pPr>
        <w:pStyle w:val="18"/>
        <w:ind w:left="480"/>
      </w:pPr>
    </w:p>
    <w:p w14:paraId="33C9F3CE">
      <w:pPr>
        <w:pStyle w:val="105"/>
        <w:keepNext/>
        <w:jc w:val="left"/>
        <w:rPr>
          <w:b w:val="0"/>
          <w:bCs/>
        </w:rPr>
      </w:pPr>
      <w:r>
        <w:rPr>
          <w:rFonts w:hint="eastAsia" w:eastAsia="宋体" w:cs="Times New Roman"/>
          <w:bCs/>
          <w:color w:val="000000"/>
          <w:sz w:val="24"/>
          <w:szCs w:val="24"/>
        </w:rPr>
        <w:t>C</w:t>
      </w:r>
      <w:r>
        <w:rPr>
          <w:rFonts w:eastAsia="宋体" w:cs="Times New Roman"/>
          <w:bCs/>
          <w:color w:val="000000"/>
          <w:sz w:val="24"/>
          <w:szCs w:val="24"/>
        </w:rPr>
        <w:t>.0.2　</w:t>
      </w:r>
      <w:r>
        <w:rPr>
          <w:rFonts w:eastAsia="宋体" w:cs="Times New Roman"/>
          <w:b w:val="0"/>
          <w:bCs/>
          <w:sz w:val="24"/>
          <w:szCs w:val="24"/>
        </w:rPr>
        <w:t>阀类</w:t>
      </w:r>
      <w:r>
        <w:rPr>
          <w:rFonts w:eastAsia="宋体" w:cs="Times New Roman"/>
          <w:b w:val="0"/>
          <w:bCs/>
          <w:color w:val="000000"/>
          <w:sz w:val="24"/>
          <w:szCs w:val="24"/>
        </w:rPr>
        <w:t>现场检查记录应按表</w:t>
      </w:r>
      <w:r>
        <w:rPr>
          <w:rFonts w:hint="eastAsia" w:eastAsia="宋体" w:cs="Times New Roman"/>
          <w:b w:val="0"/>
          <w:bCs/>
          <w:color w:val="000000"/>
          <w:sz w:val="24"/>
          <w:szCs w:val="24"/>
        </w:rPr>
        <w:t>C</w:t>
      </w:r>
      <w:r>
        <w:rPr>
          <w:rFonts w:eastAsia="宋体" w:cs="Times New Roman"/>
          <w:b w:val="0"/>
          <w:bCs/>
          <w:color w:val="000000"/>
          <w:sz w:val="24"/>
          <w:szCs w:val="24"/>
        </w:rPr>
        <w:t>.0.2填写。</w:t>
      </w:r>
    </w:p>
    <w:p w14:paraId="218CD8B2">
      <w:pPr>
        <w:pStyle w:val="105"/>
        <w:keepNext/>
      </w:pPr>
      <w:r>
        <w:rPr>
          <w:rFonts w:hint="eastAsia"/>
        </w:rPr>
        <w:t>表C.0.2　</w:t>
      </w:r>
      <w:r>
        <w:t>阀类</w:t>
      </w:r>
      <w:r>
        <w:rPr>
          <w:rFonts w:hint="eastAsia"/>
        </w:rPr>
        <w:t>现场</w:t>
      </w:r>
      <w:r>
        <w:t>检查</w:t>
      </w:r>
      <w:r>
        <w:rPr>
          <w:rFonts w:hint="eastAsia"/>
        </w:rPr>
        <w:t>记录表</w:t>
      </w:r>
    </w:p>
    <w:tbl>
      <w:tblPr>
        <w:tblStyle w:val="29"/>
        <w:tblW w:w="8784" w:type="dxa"/>
        <w:tblInd w:w="0" w:type="dxa"/>
        <w:tblLayout w:type="autofit"/>
        <w:tblCellMar>
          <w:top w:w="0" w:type="dxa"/>
          <w:left w:w="108" w:type="dxa"/>
          <w:bottom w:w="0" w:type="dxa"/>
          <w:right w:w="108" w:type="dxa"/>
        </w:tblCellMar>
      </w:tblPr>
      <w:tblGrid>
        <w:gridCol w:w="1247"/>
        <w:gridCol w:w="232"/>
        <w:gridCol w:w="617"/>
        <w:gridCol w:w="688"/>
        <w:gridCol w:w="618"/>
        <w:gridCol w:w="1276"/>
        <w:gridCol w:w="992"/>
        <w:gridCol w:w="993"/>
        <w:gridCol w:w="1193"/>
        <w:gridCol w:w="928"/>
      </w:tblGrid>
      <w:tr w14:paraId="23D87A20">
        <w:tblPrEx>
          <w:tblCellMar>
            <w:top w:w="0" w:type="dxa"/>
            <w:left w:w="108" w:type="dxa"/>
            <w:bottom w:w="0" w:type="dxa"/>
            <w:right w:w="108" w:type="dxa"/>
          </w:tblCellMar>
        </w:tblPrEx>
        <w:trPr>
          <w:trHeight w:val="816" w:hRule="atLeast"/>
        </w:trPr>
        <w:tc>
          <w:tcPr>
            <w:tcW w:w="8784" w:type="dxa"/>
            <w:gridSpan w:val="10"/>
            <w:tcBorders>
              <w:top w:val="nil"/>
              <w:left w:val="nil"/>
              <w:bottom w:val="single" w:color="auto" w:sz="12" w:space="0"/>
              <w:right w:val="nil"/>
            </w:tcBorders>
            <w:vAlign w:val="center"/>
          </w:tcPr>
          <w:p w14:paraId="09521618">
            <w:pPr>
              <w:widowControl/>
              <w:spacing w:line="240" w:lineRule="auto"/>
              <w:jc w:val="left"/>
              <w:rPr>
                <w:rFonts w:asciiTheme="minorEastAsia" w:hAnsiTheme="minorEastAsia"/>
                <w:kern w:val="0"/>
                <w:sz w:val="21"/>
                <w:szCs w:val="21"/>
              </w:rPr>
            </w:pPr>
            <w:r>
              <w:rPr>
                <w:rFonts w:hint="eastAsia" w:asciiTheme="minorEastAsia" w:hAnsiTheme="minorEastAsia"/>
                <w:kern w:val="0"/>
                <w:sz w:val="21"/>
                <w:szCs w:val="21"/>
              </w:rPr>
              <w:t>任务名称：</w:t>
            </w:r>
            <w:r>
              <w:rPr>
                <w:rFonts w:asciiTheme="minorEastAsia" w:hAnsiTheme="minorEastAsia"/>
                <w:kern w:val="0"/>
                <w:sz w:val="21"/>
                <w:szCs w:val="21"/>
              </w:rPr>
              <w:t xml:space="preserve">                                                     </w:t>
            </w:r>
            <w:r>
              <w:rPr>
                <w:rFonts w:hint="eastAsia" w:asciiTheme="minorEastAsia" w:hAnsiTheme="minorEastAsia"/>
                <w:kern w:val="0"/>
                <w:sz w:val="21"/>
                <w:szCs w:val="21"/>
              </w:rPr>
              <w:t>第</w:t>
            </w:r>
            <w:r>
              <w:rPr>
                <w:rFonts w:asciiTheme="minorEastAsia" w:hAnsiTheme="minorEastAsia"/>
                <w:kern w:val="0"/>
                <w:sz w:val="21"/>
                <w:szCs w:val="21"/>
              </w:rPr>
              <w:t xml:space="preserve">    </w:t>
            </w:r>
            <w:r>
              <w:rPr>
                <w:rFonts w:hint="eastAsia" w:asciiTheme="minorEastAsia" w:hAnsiTheme="minorEastAsia"/>
                <w:kern w:val="0"/>
                <w:sz w:val="21"/>
                <w:szCs w:val="21"/>
              </w:rPr>
              <w:t>页</w:t>
            </w:r>
            <w:r>
              <w:rPr>
                <w:rFonts w:asciiTheme="minorEastAsia" w:hAnsiTheme="minorEastAsia"/>
                <w:kern w:val="0"/>
                <w:sz w:val="21"/>
                <w:szCs w:val="21"/>
              </w:rPr>
              <w:t xml:space="preserve">  </w:t>
            </w:r>
            <w:r>
              <w:rPr>
                <w:rFonts w:hint="eastAsia" w:asciiTheme="minorEastAsia" w:hAnsiTheme="minorEastAsia"/>
                <w:kern w:val="0"/>
                <w:sz w:val="21"/>
                <w:szCs w:val="21"/>
              </w:rPr>
              <w:t>共</w:t>
            </w:r>
            <w:r>
              <w:rPr>
                <w:rFonts w:asciiTheme="minorEastAsia" w:hAnsiTheme="minorEastAsia"/>
                <w:kern w:val="0"/>
                <w:sz w:val="21"/>
                <w:szCs w:val="21"/>
              </w:rPr>
              <w:t xml:space="preserve">    </w:t>
            </w:r>
            <w:r>
              <w:rPr>
                <w:rFonts w:hint="eastAsia" w:asciiTheme="minorEastAsia" w:hAnsiTheme="minorEastAsia"/>
                <w:kern w:val="0"/>
                <w:sz w:val="21"/>
                <w:szCs w:val="21"/>
              </w:rPr>
              <w:t>页</w:t>
            </w:r>
          </w:p>
        </w:tc>
      </w:tr>
      <w:tr w14:paraId="5F7E312E">
        <w:tblPrEx>
          <w:tblCellMar>
            <w:top w:w="0" w:type="dxa"/>
            <w:left w:w="108" w:type="dxa"/>
            <w:bottom w:w="0" w:type="dxa"/>
            <w:right w:w="108" w:type="dxa"/>
          </w:tblCellMar>
        </w:tblPrEx>
        <w:trPr>
          <w:trHeight w:val="600" w:hRule="atLeast"/>
        </w:trPr>
        <w:tc>
          <w:tcPr>
            <w:tcW w:w="1479" w:type="dxa"/>
            <w:gridSpan w:val="2"/>
            <w:tcBorders>
              <w:top w:val="single" w:color="auto" w:sz="12" w:space="0"/>
              <w:left w:val="single" w:color="auto" w:sz="12" w:space="0"/>
              <w:bottom w:val="single" w:color="auto" w:sz="4" w:space="0"/>
              <w:right w:val="single" w:color="auto" w:sz="4" w:space="0"/>
            </w:tcBorders>
            <w:vAlign w:val="center"/>
          </w:tcPr>
          <w:p w14:paraId="6F24C5BA">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检测单位名称</w:t>
            </w:r>
          </w:p>
        </w:tc>
        <w:tc>
          <w:tcPr>
            <w:tcW w:w="5184" w:type="dxa"/>
            <w:gridSpan w:val="6"/>
            <w:tcBorders>
              <w:top w:val="single" w:color="auto" w:sz="12" w:space="0"/>
              <w:left w:val="single" w:color="auto" w:sz="4" w:space="0"/>
              <w:bottom w:val="single" w:color="auto" w:sz="4" w:space="0"/>
              <w:right w:val="single" w:color="auto" w:sz="4" w:space="0"/>
            </w:tcBorders>
            <w:vAlign w:val="center"/>
          </w:tcPr>
          <w:p w14:paraId="5BFE6898">
            <w:pPr>
              <w:widowControl/>
              <w:spacing w:line="240" w:lineRule="auto"/>
              <w:jc w:val="center"/>
              <w:rPr>
                <w:rFonts w:asciiTheme="minorEastAsia" w:hAnsiTheme="minorEastAsia"/>
                <w:kern w:val="0"/>
                <w:sz w:val="21"/>
                <w:szCs w:val="21"/>
              </w:rPr>
            </w:pPr>
          </w:p>
        </w:tc>
        <w:tc>
          <w:tcPr>
            <w:tcW w:w="1193" w:type="dxa"/>
            <w:tcBorders>
              <w:top w:val="single" w:color="auto" w:sz="12" w:space="0"/>
              <w:left w:val="single" w:color="auto" w:sz="4" w:space="0"/>
              <w:bottom w:val="single" w:color="auto" w:sz="4" w:space="0"/>
              <w:right w:val="single" w:color="auto" w:sz="4" w:space="0"/>
            </w:tcBorders>
            <w:vAlign w:val="center"/>
          </w:tcPr>
          <w:p w14:paraId="67185C7A">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编号</w:t>
            </w:r>
          </w:p>
        </w:tc>
        <w:tc>
          <w:tcPr>
            <w:tcW w:w="928" w:type="dxa"/>
            <w:tcBorders>
              <w:top w:val="single" w:color="auto" w:sz="12" w:space="0"/>
              <w:left w:val="single" w:color="auto" w:sz="4" w:space="0"/>
              <w:bottom w:val="single" w:color="auto" w:sz="4" w:space="0"/>
              <w:right w:val="single" w:color="auto" w:sz="12" w:space="0"/>
            </w:tcBorders>
            <w:vAlign w:val="center"/>
          </w:tcPr>
          <w:p w14:paraId="3B055963">
            <w:pPr>
              <w:widowControl/>
              <w:spacing w:line="240" w:lineRule="auto"/>
              <w:jc w:val="center"/>
              <w:rPr>
                <w:rFonts w:asciiTheme="minorEastAsia" w:hAnsiTheme="minorEastAsia"/>
                <w:kern w:val="0"/>
                <w:sz w:val="21"/>
                <w:szCs w:val="21"/>
              </w:rPr>
            </w:pPr>
          </w:p>
        </w:tc>
      </w:tr>
      <w:tr w14:paraId="38D9E461">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14:paraId="33CCBFA5">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埋设年代</w:t>
            </w:r>
          </w:p>
        </w:tc>
        <w:tc>
          <w:tcPr>
            <w:tcW w:w="849" w:type="dxa"/>
            <w:gridSpan w:val="2"/>
            <w:tcBorders>
              <w:top w:val="single" w:color="auto" w:sz="4" w:space="0"/>
              <w:left w:val="single" w:color="auto" w:sz="4" w:space="0"/>
              <w:bottom w:val="single" w:color="auto" w:sz="4" w:space="0"/>
              <w:right w:val="single" w:color="auto" w:sz="4" w:space="0"/>
            </w:tcBorders>
            <w:vAlign w:val="center"/>
          </w:tcPr>
          <w:p w14:paraId="01C84516">
            <w:pPr>
              <w:widowControl/>
              <w:spacing w:line="240" w:lineRule="auto"/>
              <w:jc w:val="center"/>
              <w:rPr>
                <w:rFonts w:asciiTheme="minorEastAsia" w:hAnsiTheme="minorEastAsia"/>
                <w:kern w:val="0"/>
                <w:sz w:val="21"/>
                <w:szCs w:val="21"/>
              </w:rPr>
            </w:pPr>
          </w:p>
        </w:tc>
        <w:tc>
          <w:tcPr>
            <w:tcW w:w="688" w:type="dxa"/>
            <w:tcBorders>
              <w:top w:val="single" w:color="auto" w:sz="4" w:space="0"/>
              <w:left w:val="single" w:color="auto" w:sz="4" w:space="0"/>
              <w:bottom w:val="single" w:color="auto" w:sz="4" w:space="0"/>
              <w:right w:val="single" w:color="auto" w:sz="4" w:space="0"/>
            </w:tcBorders>
            <w:vAlign w:val="center"/>
          </w:tcPr>
          <w:p w14:paraId="75D03E0E">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材质</w:t>
            </w:r>
          </w:p>
        </w:tc>
        <w:tc>
          <w:tcPr>
            <w:tcW w:w="618" w:type="dxa"/>
            <w:tcBorders>
              <w:top w:val="single" w:color="auto" w:sz="4" w:space="0"/>
              <w:left w:val="single" w:color="auto" w:sz="4" w:space="0"/>
              <w:bottom w:val="single" w:color="auto" w:sz="4" w:space="0"/>
              <w:right w:val="single" w:color="auto" w:sz="4" w:space="0"/>
            </w:tcBorders>
            <w:vAlign w:val="center"/>
          </w:tcPr>
          <w:p w14:paraId="26CFE03E">
            <w:pPr>
              <w:widowControl/>
              <w:spacing w:line="240" w:lineRule="auto"/>
              <w:jc w:val="center"/>
              <w:rPr>
                <w:rFonts w:asciiTheme="minorEastAsia" w:hAnsiTheme="minorEastAsia"/>
                <w:kern w:val="0"/>
                <w:sz w:val="2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6086071">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阀类型</w:t>
            </w:r>
          </w:p>
        </w:tc>
        <w:tc>
          <w:tcPr>
            <w:tcW w:w="992" w:type="dxa"/>
            <w:tcBorders>
              <w:top w:val="single" w:color="auto" w:sz="4" w:space="0"/>
              <w:left w:val="single" w:color="auto" w:sz="4" w:space="0"/>
              <w:bottom w:val="single" w:color="auto" w:sz="4" w:space="0"/>
              <w:right w:val="single" w:color="auto" w:sz="4" w:space="0"/>
            </w:tcBorders>
            <w:vAlign w:val="center"/>
          </w:tcPr>
          <w:p w14:paraId="30708BCB">
            <w:pPr>
              <w:widowControl/>
              <w:spacing w:line="240" w:lineRule="auto"/>
              <w:jc w:val="center"/>
              <w:rPr>
                <w:rFonts w:asciiTheme="minorEastAsia" w:hAnsiTheme="minorEastAsia"/>
                <w:kern w:val="0"/>
                <w:sz w:val="21"/>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6D916F0A">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用途</w:t>
            </w:r>
          </w:p>
        </w:tc>
        <w:tc>
          <w:tcPr>
            <w:tcW w:w="2121" w:type="dxa"/>
            <w:gridSpan w:val="2"/>
            <w:tcBorders>
              <w:top w:val="single" w:color="auto" w:sz="4" w:space="0"/>
              <w:left w:val="single" w:color="auto" w:sz="4" w:space="0"/>
              <w:bottom w:val="single" w:color="auto" w:sz="4" w:space="0"/>
              <w:right w:val="single" w:color="auto" w:sz="12" w:space="0"/>
            </w:tcBorders>
            <w:vAlign w:val="center"/>
          </w:tcPr>
          <w:p w14:paraId="6403889D">
            <w:pPr>
              <w:widowControl/>
              <w:spacing w:line="240" w:lineRule="auto"/>
              <w:rPr>
                <w:rFonts w:asciiTheme="minorEastAsia" w:hAnsiTheme="minorEastAsia"/>
                <w:kern w:val="0"/>
                <w:sz w:val="21"/>
                <w:szCs w:val="21"/>
              </w:rPr>
            </w:pPr>
          </w:p>
        </w:tc>
      </w:tr>
      <w:tr w14:paraId="68884AAF">
        <w:tblPrEx>
          <w:tblCellMar>
            <w:top w:w="0" w:type="dxa"/>
            <w:left w:w="108" w:type="dxa"/>
            <w:bottom w:w="0" w:type="dxa"/>
            <w:right w:w="108" w:type="dxa"/>
          </w:tblCellMar>
        </w:tblPrEx>
        <w:trPr>
          <w:trHeight w:val="600" w:hRule="atLeast"/>
        </w:trPr>
        <w:tc>
          <w:tcPr>
            <w:tcW w:w="8784" w:type="dxa"/>
            <w:gridSpan w:val="10"/>
            <w:tcBorders>
              <w:top w:val="single" w:color="auto" w:sz="4" w:space="0"/>
              <w:left w:val="single" w:color="auto" w:sz="12" w:space="0"/>
              <w:bottom w:val="single" w:color="auto" w:sz="4" w:space="0"/>
              <w:right w:val="single" w:color="auto" w:sz="12" w:space="0"/>
            </w:tcBorders>
            <w:vAlign w:val="center"/>
          </w:tcPr>
          <w:p w14:paraId="44A713BA">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检查内容</w:t>
            </w:r>
          </w:p>
        </w:tc>
      </w:tr>
      <w:tr w14:paraId="708C366F">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14:paraId="730E44D3">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1</w:t>
            </w:r>
          </w:p>
        </w:tc>
        <w:tc>
          <w:tcPr>
            <w:tcW w:w="2155" w:type="dxa"/>
            <w:gridSpan w:val="4"/>
            <w:tcBorders>
              <w:top w:val="single" w:color="auto" w:sz="4" w:space="0"/>
              <w:left w:val="single" w:color="auto" w:sz="4" w:space="0"/>
              <w:bottom w:val="single" w:color="auto" w:sz="4" w:space="0"/>
              <w:right w:val="single" w:color="auto" w:sz="4" w:space="0"/>
            </w:tcBorders>
            <w:vAlign w:val="center"/>
          </w:tcPr>
          <w:p w14:paraId="5BADF41E">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安装位置偏斜</w:t>
            </w:r>
          </w:p>
        </w:tc>
        <w:tc>
          <w:tcPr>
            <w:tcW w:w="5382" w:type="dxa"/>
            <w:gridSpan w:val="5"/>
            <w:tcBorders>
              <w:top w:val="single" w:color="auto" w:sz="4" w:space="0"/>
              <w:left w:val="single" w:color="auto" w:sz="4" w:space="0"/>
              <w:bottom w:val="single" w:color="auto" w:sz="4" w:space="0"/>
              <w:right w:val="single" w:color="auto" w:sz="12" w:space="0"/>
            </w:tcBorders>
            <w:vAlign w:val="center"/>
          </w:tcPr>
          <w:p w14:paraId="147B49B0">
            <w:pPr>
              <w:widowControl/>
              <w:spacing w:line="240" w:lineRule="auto"/>
              <w:jc w:val="center"/>
              <w:rPr>
                <w:rFonts w:asciiTheme="minorEastAsia" w:hAnsiTheme="minorEastAsia"/>
                <w:kern w:val="0"/>
                <w:sz w:val="21"/>
                <w:szCs w:val="21"/>
              </w:rPr>
            </w:pPr>
          </w:p>
        </w:tc>
      </w:tr>
      <w:tr w14:paraId="39B38290">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14:paraId="60A694A9">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2</w:t>
            </w:r>
          </w:p>
        </w:tc>
        <w:tc>
          <w:tcPr>
            <w:tcW w:w="2155" w:type="dxa"/>
            <w:gridSpan w:val="4"/>
            <w:tcBorders>
              <w:top w:val="single" w:color="auto" w:sz="4" w:space="0"/>
              <w:left w:val="single" w:color="auto" w:sz="4" w:space="0"/>
              <w:bottom w:val="single" w:color="auto" w:sz="4" w:space="0"/>
              <w:right w:val="single" w:color="auto" w:sz="4" w:space="0"/>
            </w:tcBorders>
            <w:vAlign w:val="center"/>
          </w:tcPr>
          <w:p w14:paraId="287C58DD">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外壳裂缝</w:t>
            </w:r>
          </w:p>
        </w:tc>
        <w:tc>
          <w:tcPr>
            <w:tcW w:w="5382" w:type="dxa"/>
            <w:gridSpan w:val="5"/>
            <w:tcBorders>
              <w:top w:val="single" w:color="auto" w:sz="4" w:space="0"/>
              <w:left w:val="single" w:color="auto" w:sz="4" w:space="0"/>
              <w:bottom w:val="single" w:color="auto" w:sz="4" w:space="0"/>
              <w:right w:val="single" w:color="auto" w:sz="12" w:space="0"/>
            </w:tcBorders>
            <w:vAlign w:val="center"/>
          </w:tcPr>
          <w:p w14:paraId="1876CEC8">
            <w:pPr>
              <w:widowControl/>
              <w:spacing w:line="240" w:lineRule="auto"/>
              <w:jc w:val="center"/>
              <w:rPr>
                <w:rFonts w:asciiTheme="minorEastAsia" w:hAnsiTheme="minorEastAsia"/>
                <w:kern w:val="0"/>
                <w:sz w:val="21"/>
                <w:szCs w:val="21"/>
              </w:rPr>
            </w:pPr>
          </w:p>
        </w:tc>
      </w:tr>
      <w:tr w14:paraId="7A75C5C6">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14:paraId="027C9AA1">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3</w:t>
            </w:r>
          </w:p>
        </w:tc>
        <w:tc>
          <w:tcPr>
            <w:tcW w:w="2155" w:type="dxa"/>
            <w:gridSpan w:val="4"/>
            <w:tcBorders>
              <w:top w:val="single" w:color="auto" w:sz="4" w:space="0"/>
              <w:left w:val="single" w:color="auto" w:sz="4" w:space="0"/>
              <w:bottom w:val="single" w:color="auto" w:sz="4" w:space="0"/>
              <w:right w:val="single" w:color="auto" w:sz="4" w:space="0"/>
            </w:tcBorders>
            <w:vAlign w:val="center"/>
          </w:tcPr>
          <w:p w14:paraId="72D711A7">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接口漏水</w:t>
            </w:r>
          </w:p>
        </w:tc>
        <w:tc>
          <w:tcPr>
            <w:tcW w:w="5382" w:type="dxa"/>
            <w:gridSpan w:val="5"/>
            <w:tcBorders>
              <w:top w:val="single" w:color="auto" w:sz="4" w:space="0"/>
              <w:left w:val="single" w:color="auto" w:sz="4" w:space="0"/>
              <w:bottom w:val="single" w:color="auto" w:sz="4" w:space="0"/>
              <w:right w:val="single" w:color="auto" w:sz="12" w:space="0"/>
            </w:tcBorders>
            <w:vAlign w:val="center"/>
          </w:tcPr>
          <w:p w14:paraId="56646304">
            <w:pPr>
              <w:widowControl/>
              <w:spacing w:line="240" w:lineRule="auto"/>
              <w:jc w:val="center"/>
              <w:rPr>
                <w:rFonts w:asciiTheme="minorEastAsia" w:hAnsiTheme="minorEastAsia"/>
                <w:kern w:val="0"/>
                <w:sz w:val="21"/>
                <w:szCs w:val="21"/>
              </w:rPr>
            </w:pPr>
          </w:p>
        </w:tc>
      </w:tr>
      <w:tr w14:paraId="1768AA4C">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14:paraId="7C0C727B">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4</w:t>
            </w:r>
          </w:p>
        </w:tc>
        <w:tc>
          <w:tcPr>
            <w:tcW w:w="2155" w:type="dxa"/>
            <w:gridSpan w:val="4"/>
            <w:tcBorders>
              <w:top w:val="single" w:color="auto" w:sz="4" w:space="0"/>
              <w:left w:val="single" w:color="auto" w:sz="4" w:space="0"/>
              <w:bottom w:val="single" w:color="auto" w:sz="4" w:space="0"/>
              <w:right w:val="single" w:color="auto" w:sz="4" w:space="0"/>
            </w:tcBorders>
            <w:vAlign w:val="center"/>
          </w:tcPr>
          <w:p w14:paraId="1B16BEDF">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固定螺栓松动</w:t>
            </w:r>
          </w:p>
        </w:tc>
        <w:tc>
          <w:tcPr>
            <w:tcW w:w="5382" w:type="dxa"/>
            <w:gridSpan w:val="5"/>
            <w:tcBorders>
              <w:top w:val="single" w:color="auto" w:sz="4" w:space="0"/>
              <w:left w:val="single" w:color="auto" w:sz="4" w:space="0"/>
              <w:bottom w:val="single" w:color="auto" w:sz="4" w:space="0"/>
              <w:right w:val="single" w:color="auto" w:sz="12" w:space="0"/>
            </w:tcBorders>
            <w:vAlign w:val="center"/>
          </w:tcPr>
          <w:p w14:paraId="285FC311">
            <w:pPr>
              <w:widowControl/>
              <w:spacing w:line="240" w:lineRule="auto"/>
              <w:jc w:val="center"/>
              <w:rPr>
                <w:rFonts w:asciiTheme="minorEastAsia" w:hAnsiTheme="minorEastAsia"/>
                <w:kern w:val="0"/>
                <w:sz w:val="21"/>
                <w:szCs w:val="21"/>
              </w:rPr>
            </w:pPr>
          </w:p>
        </w:tc>
      </w:tr>
      <w:tr w14:paraId="31011867">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14:paraId="419D1487">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5</w:t>
            </w:r>
          </w:p>
        </w:tc>
        <w:tc>
          <w:tcPr>
            <w:tcW w:w="2155" w:type="dxa"/>
            <w:gridSpan w:val="4"/>
            <w:tcBorders>
              <w:top w:val="single" w:color="auto" w:sz="4" w:space="0"/>
              <w:left w:val="single" w:color="auto" w:sz="4" w:space="0"/>
              <w:bottom w:val="single" w:color="auto" w:sz="4" w:space="0"/>
              <w:right w:val="single" w:color="auto" w:sz="4" w:space="0"/>
            </w:tcBorders>
            <w:vAlign w:val="center"/>
          </w:tcPr>
          <w:p w14:paraId="2ED84EA7">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开闭受阻</w:t>
            </w:r>
          </w:p>
        </w:tc>
        <w:tc>
          <w:tcPr>
            <w:tcW w:w="5382" w:type="dxa"/>
            <w:gridSpan w:val="5"/>
            <w:tcBorders>
              <w:top w:val="single" w:color="auto" w:sz="4" w:space="0"/>
              <w:left w:val="single" w:color="auto" w:sz="4" w:space="0"/>
              <w:bottom w:val="single" w:color="auto" w:sz="4" w:space="0"/>
              <w:right w:val="single" w:color="auto" w:sz="12" w:space="0"/>
            </w:tcBorders>
            <w:vAlign w:val="center"/>
          </w:tcPr>
          <w:p w14:paraId="5BDA01A9">
            <w:pPr>
              <w:widowControl/>
              <w:spacing w:line="240" w:lineRule="auto"/>
              <w:jc w:val="center"/>
              <w:rPr>
                <w:rFonts w:asciiTheme="minorEastAsia" w:hAnsiTheme="minorEastAsia"/>
                <w:kern w:val="0"/>
                <w:sz w:val="21"/>
                <w:szCs w:val="21"/>
              </w:rPr>
            </w:pPr>
          </w:p>
        </w:tc>
      </w:tr>
      <w:tr w14:paraId="1DE44CCA">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14:paraId="3657E0BD">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6</w:t>
            </w:r>
          </w:p>
        </w:tc>
        <w:tc>
          <w:tcPr>
            <w:tcW w:w="2155" w:type="dxa"/>
            <w:gridSpan w:val="4"/>
            <w:tcBorders>
              <w:top w:val="single" w:color="auto" w:sz="4" w:space="0"/>
              <w:left w:val="single" w:color="auto" w:sz="4" w:space="0"/>
              <w:bottom w:val="single" w:color="auto" w:sz="4" w:space="0"/>
              <w:right w:val="single" w:color="auto" w:sz="4" w:space="0"/>
            </w:tcBorders>
            <w:vAlign w:val="center"/>
          </w:tcPr>
          <w:p w14:paraId="25DA6CA5">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铭牌标志</w:t>
            </w:r>
          </w:p>
        </w:tc>
        <w:tc>
          <w:tcPr>
            <w:tcW w:w="5382" w:type="dxa"/>
            <w:gridSpan w:val="5"/>
            <w:tcBorders>
              <w:top w:val="single" w:color="auto" w:sz="4" w:space="0"/>
              <w:left w:val="single" w:color="auto" w:sz="4" w:space="0"/>
              <w:bottom w:val="single" w:color="auto" w:sz="4" w:space="0"/>
              <w:right w:val="single" w:color="auto" w:sz="12" w:space="0"/>
            </w:tcBorders>
            <w:vAlign w:val="center"/>
          </w:tcPr>
          <w:p w14:paraId="09C7F5CD">
            <w:pPr>
              <w:widowControl/>
              <w:spacing w:line="240" w:lineRule="auto"/>
              <w:jc w:val="center"/>
              <w:rPr>
                <w:rFonts w:asciiTheme="minorEastAsia" w:hAnsiTheme="minorEastAsia"/>
                <w:kern w:val="0"/>
                <w:sz w:val="21"/>
                <w:szCs w:val="21"/>
              </w:rPr>
            </w:pPr>
          </w:p>
        </w:tc>
      </w:tr>
      <w:tr w14:paraId="0136F48E">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14:paraId="766BC033">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7</w:t>
            </w:r>
          </w:p>
        </w:tc>
        <w:tc>
          <w:tcPr>
            <w:tcW w:w="2155" w:type="dxa"/>
            <w:gridSpan w:val="4"/>
            <w:tcBorders>
              <w:top w:val="single" w:color="auto" w:sz="4" w:space="0"/>
              <w:left w:val="single" w:color="auto" w:sz="4" w:space="0"/>
              <w:bottom w:val="single" w:color="auto" w:sz="4" w:space="0"/>
              <w:right w:val="single" w:color="auto" w:sz="4" w:space="0"/>
            </w:tcBorders>
            <w:vAlign w:val="center"/>
          </w:tcPr>
          <w:p w14:paraId="385FA585">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外壳锈蚀</w:t>
            </w:r>
          </w:p>
        </w:tc>
        <w:tc>
          <w:tcPr>
            <w:tcW w:w="5382" w:type="dxa"/>
            <w:gridSpan w:val="5"/>
            <w:tcBorders>
              <w:top w:val="single" w:color="auto" w:sz="4" w:space="0"/>
              <w:left w:val="single" w:color="auto" w:sz="4" w:space="0"/>
              <w:bottom w:val="single" w:color="auto" w:sz="4" w:space="0"/>
              <w:right w:val="single" w:color="auto" w:sz="12" w:space="0"/>
            </w:tcBorders>
            <w:vAlign w:val="center"/>
          </w:tcPr>
          <w:p w14:paraId="3B716F56">
            <w:pPr>
              <w:widowControl/>
              <w:spacing w:line="240" w:lineRule="auto"/>
              <w:jc w:val="center"/>
              <w:rPr>
                <w:rFonts w:asciiTheme="minorEastAsia" w:hAnsiTheme="minorEastAsia"/>
                <w:kern w:val="0"/>
                <w:sz w:val="21"/>
                <w:szCs w:val="21"/>
              </w:rPr>
            </w:pPr>
          </w:p>
        </w:tc>
      </w:tr>
      <w:tr w14:paraId="616C2EDA">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14:paraId="7C7F7996">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8</w:t>
            </w:r>
          </w:p>
        </w:tc>
        <w:tc>
          <w:tcPr>
            <w:tcW w:w="2155" w:type="dxa"/>
            <w:gridSpan w:val="4"/>
            <w:tcBorders>
              <w:top w:val="single" w:color="auto" w:sz="4" w:space="0"/>
              <w:left w:val="single" w:color="auto" w:sz="4" w:space="0"/>
              <w:bottom w:val="single" w:color="auto" w:sz="4" w:space="0"/>
              <w:right w:val="single" w:color="auto" w:sz="4" w:space="0"/>
            </w:tcBorders>
            <w:vAlign w:val="center"/>
          </w:tcPr>
          <w:p w14:paraId="1BE3C52A">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阀体密封无渗漏</w:t>
            </w:r>
          </w:p>
        </w:tc>
        <w:tc>
          <w:tcPr>
            <w:tcW w:w="5382" w:type="dxa"/>
            <w:gridSpan w:val="5"/>
            <w:tcBorders>
              <w:top w:val="single" w:color="auto" w:sz="4" w:space="0"/>
              <w:left w:val="single" w:color="auto" w:sz="4" w:space="0"/>
              <w:bottom w:val="single" w:color="auto" w:sz="4" w:space="0"/>
              <w:right w:val="single" w:color="auto" w:sz="12" w:space="0"/>
            </w:tcBorders>
            <w:vAlign w:val="center"/>
          </w:tcPr>
          <w:p w14:paraId="54184ECC">
            <w:pPr>
              <w:widowControl/>
              <w:spacing w:line="240" w:lineRule="auto"/>
              <w:jc w:val="center"/>
              <w:rPr>
                <w:rFonts w:asciiTheme="minorEastAsia" w:hAnsiTheme="minorEastAsia"/>
                <w:kern w:val="0"/>
                <w:sz w:val="21"/>
                <w:szCs w:val="21"/>
              </w:rPr>
            </w:pPr>
          </w:p>
        </w:tc>
      </w:tr>
      <w:tr w14:paraId="5F1ADDFB">
        <w:tblPrEx>
          <w:tblCellMar>
            <w:top w:w="0" w:type="dxa"/>
            <w:left w:w="108" w:type="dxa"/>
            <w:bottom w:w="0" w:type="dxa"/>
            <w:right w:w="108" w:type="dxa"/>
          </w:tblCellMar>
        </w:tblPrEx>
        <w:trPr>
          <w:trHeight w:val="600" w:hRule="atLeast"/>
        </w:trPr>
        <w:tc>
          <w:tcPr>
            <w:tcW w:w="1247" w:type="dxa"/>
            <w:tcBorders>
              <w:top w:val="single" w:color="auto" w:sz="4" w:space="0"/>
              <w:left w:val="single" w:color="auto" w:sz="12" w:space="0"/>
              <w:bottom w:val="single" w:color="auto" w:sz="4" w:space="0"/>
              <w:right w:val="single" w:color="auto" w:sz="4" w:space="0"/>
            </w:tcBorders>
            <w:vAlign w:val="center"/>
          </w:tcPr>
          <w:p w14:paraId="19B2A480">
            <w:pPr>
              <w:widowControl/>
              <w:spacing w:line="240" w:lineRule="auto"/>
              <w:jc w:val="center"/>
              <w:rPr>
                <w:rFonts w:asciiTheme="minorEastAsia" w:hAnsiTheme="minorEastAsia"/>
                <w:kern w:val="0"/>
                <w:sz w:val="21"/>
                <w:szCs w:val="21"/>
              </w:rPr>
            </w:pPr>
            <w:r>
              <w:rPr>
                <w:rFonts w:asciiTheme="minorEastAsia" w:hAnsiTheme="minorEastAsia"/>
                <w:kern w:val="0"/>
                <w:sz w:val="21"/>
                <w:szCs w:val="21"/>
              </w:rPr>
              <w:t>9</w:t>
            </w:r>
          </w:p>
        </w:tc>
        <w:tc>
          <w:tcPr>
            <w:tcW w:w="2155" w:type="dxa"/>
            <w:gridSpan w:val="4"/>
            <w:tcBorders>
              <w:top w:val="single" w:color="auto" w:sz="4" w:space="0"/>
              <w:left w:val="single" w:color="auto" w:sz="4" w:space="0"/>
              <w:bottom w:val="single" w:color="auto" w:sz="4" w:space="0"/>
              <w:right w:val="single" w:color="auto" w:sz="4" w:space="0"/>
            </w:tcBorders>
            <w:vAlign w:val="center"/>
          </w:tcPr>
          <w:p w14:paraId="7D892312">
            <w:pPr>
              <w:widowControl/>
              <w:spacing w:line="240" w:lineRule="auto"/>
              <w:jc w:val="center"/>
              <w:rPr>
                <w:rFonts w:asciiTheme="minorEastAsia" w:hAnsiTheme="minorEastAsia"/>
                <w:kern w:val="0"/>
                <w:sz w:val="21"/>
                <w:szCs w:val="21"/>
              </w:rPr>
            </w:pPr>
            <w:r>
              <w:rPr>
                <w:rFonts w:hint="eastAsia" w:asciiTheme="minorEastAsia" w:hAnsiTheme="minorEastAsia"/>
                <w:kern w:val="0"/>
                <w:sz w:val="21"/>
                <w:szCs w:val="21"/>
              </w:rPr>
              <w:t>其他</w:t>
            </w:r>
          </w:p>
        </w:tc>
        <w:tc>
          <w:tcPr>
            <w:tcW w:w="5382" w:type="dxa"/>
            <w:gridSpan w:val="5"/>
            <w:tcBorders>
              <w:top w:val="single" w:color="auto" w:sz="4" w:space="0"/>
              <w:left w:val="single" w:color="auto" w:sz="4" w:space="0"/>
              <w:bottom w:val="single" w:color="auto" w:sz="4" w:space="0"/>
              <w:right w:val="single" w:color="auto" w:sz="12" w:space="0"/>
            </w:tcBorders>
            <w:vAlign w:val="center"/>
          </w:tcPr>
          <w:p w14:paraId="4D2C7E7C">
            <w:pPr>
              <w:widowControl/>
              <w:spacing w:line="240" w:lineRule="auto"/>
              <w:jc w:val="center"/>
              <w:rPr>
                <w:rFonts w:asciiTheme="minorEastAsia" w:hAnsiTheme="minorEastAsia"/>
                <w:kern w:val="0"/>
                <w:sz w:val="21"/>
                <w:szCs w:val="21"/>
              </w:rPr>
            </w:pPr>
          </w:p>
        </w:tc>
      </w:tr>
      <w:tr w14:paraId="380D590D">
        <w:tblPrEx>
          <w:tblCellMar>
            <w:top w:w="0" w:type="dxa"/>
            <w:left w:w="108" w:type="dxa"/>
            <w:bottom w:w="0" w:type="dxa"/>
            <w:right w:w="108" w:type="dxa"/>
          </w:tblCellMar>
        </w:tblPrEx>
        <w:trPr>
          <w:trHeight w:val="2688" w:hRule="atLeast"/>
        </w:trPr>
        <w:tc>
          <w:tcPr>
            <w:tcW w:w="1247" w:type="dxa"/>
            <w:tcBorders>
              <w:top w:val="single" w:color="auto" w:sz="4" w:space="0"/>
              <w:left w:val="single" w:color="auto" w:sz="12" w:space="0"/>
              <w:bottom w:val="single" w:color="auto" w:sz="12" w:space="0"/>
              <w:right w:val="single" w:color="auto" w:sz="4" w:space="0"/>
            </w:tcBorders>
            <w:vAlign w:val="center"/>
          </w:tcPr>
          <w:p w14:paraId="4F3B4989">
            <w:pPr>
              <w:widowControl/>
              <w:spacing w:line="240" w:lineRule="auto"/>
              <w:rPr>
                <w:rFonts w:asciiTheme="minorEastAsia" w:hAnsiTheme="minorEastAsia"/>
                <w:kern w:val="0"/>
                <w:sz w:val="21"/>
                <w:szCs w:val="21"/>
              </w:rPr>
            </w:pPr>
            <w:r>
              <w:rPr>
                <w:rFonts w:asciiTheme="minorEastAsia" w:hAnsiTheme="minorEastAsia"/>
                <w:kern w:val="0"/>
                <w:sz w:val="21"/>
                <w:szCs w:val="21"/>
              </w:rPr>
              <w:t>　</w:t>
            </w:r>
          </w:p>
        </w:tc>
        <w:tc>
          <w:tcPr>
            <w:tcW w:w="7537" w:type="dxa"/>
            <w:gridSpan w:val="9"/>
            <w:tcBorders>
              <w:top w:val="single" w:color="auto" w:sz="4" w:space="0"/>
              <w:left w:val="single" w:color="auto" w:sz="4" w:space="0"/>
              <w:bottom w:val="single" w:color="auto" w:sz="12" w:space="0"/>
              <w:right w:val="single" w:color="auto" w:sz="12" w:space="0"/>
            </w:tcBorders>
            <w:vAlign w:val="center"/>
          </w:tcPr>
          <w:p w14:paraId="30A450E7">
            <w:pPr>
              <w:widowControl/>
              <w:spacing w:line="240" w:lineRule="auto"/>
              <w:rPr>
                <w:rFonts w:asciiTheme="minorEastAsia" w:hAnsiTheme="minorEastAsia"/>
                <w:kern w:val="0"/>
                <w:sz w:val="21"/>
                <w:szCs w:val="21"/>
              </w:rPr>
            </w:pPr>
            <w:r>
              <w:rPr>
                <w:rFonts w:asciiTheme="minorEastAsia" w:hAnsiTheme="minorEastAsia"/>
                <w:kern w:val="0"/>
                <w:sz w:val="21"/>
                <w:szCs w:val="21"/>
              </w:rPr>
              <w:t>　</w:t>
            </w:r>
          </w:p>
        </w:tc>
      </w:tr>
      <w:tr w14:paraId="0CC2DADE">
        <w:tblPrEx>
          <w:tblCellMar>
            <w:top w:w="0" w:type="dxa"/>
            <w:left w:w="108" w:type="dxa"/>
            <w:bottom w:w="0" w:type="dxa"/>
            <w:right w:w="108" w:type="dxa"/>
          </w:tblCellMar>
        </w:tblPrEx>
        <w:trPr>
          <w:trHeight w:val="600" w:hRule="atLeast"/>
        </w:trPr>
        <w:tc>
          <w:tcPr>
            <w:tcW w:w="8784" w:type="dxa"/>
            <w:gridSpan w:val="10"/>
            <w:tcBorders>
              <w:top w:val="single" w:color="auto" w:sz="12" w:space="0"/>
              <w:left w:val="nil"/>
              <w:bottom w:val="nil"/>
              <w:right w:val="nil"/>
            </w:tcBorders>
            <w:vAlign w:val="center"/>
          </w:tcPr>
          <w:p w14:paraId="56EB2552">
            <w:pPr>
              <w:widowControl/>
              <w:spacing w:line="240" w:lineRule="auto"/>
              <w:rPr>
                <w:rFonts w:asciiTheme="minorEastAsia" w:hAnsiTheme="minorEastAsia"/>
                <w:kern w:val="0"/>
                <w:sz w:val="21"/>
                <w:szCs w:val="21"/>
              </w:rPr>
            </w:pPr>
            <w:r>
              <w:rPr>
                <w:rFonts w:hint="eastAsia" w:asciiTheme="minorEastAsia" w:hAnsiTheme="minorEastAsia"/>
                <w:kern w:val="0"/>
                <w:sz w:val="21"/>
                <w:szCs w:val="21"/>
              </w:rPr>
              <w:t>检测员：</w:t>
            </w:r>
            <w:r>
              <w:rPr>
                <w:rFonts w:asciiTheme="minorEastAsia" w:hAnsiTheme="minorEastAsia"/>
                <w:kern w:val="0"/>
                <w:sz w:val="21"/>
                <w:szCs w:val="21"/>
              </w:rPr>
              <w:t xml:space="preserve">          </w:t>
            </w:r>
            <w:r>
              <w:rPr>
                <w:rFonts w:hint="eastAsia" w:asciiTheme="minorEastAsia" w:hAnsiTheme="minorEastAsia"/>
                <w:kern w:val="0"/>
                <w:sz w:val="21"/>
                <w:szCs w:val="21"/>
              </w:rPr>
              <w:t>记录员：</w:t>
            </w:r>
            <w:r>
              <w:rPr>
                <w:rFonts w:asciiTheme="minorEastAsia" w:hAnsiTheme="minorEastAsia"/>
                <w:kern w:val="0"/>
                <w:sz w:val="21"/>
                <w:szCs w:val="21"/>
              </w:rPr>
              <w:t xml:space="preserve">          </w:t>
            </w:r>
            <w:r>
              <w:rPr>
                <w:rFonts w:hint="eastAsia" w:asciiTheme="minorEastAsia" w:hAnsiTheme="minorEastAsia"/>
                <w:kern w:val="0"/>
                <w:sz w:val="21"/>
                <w:szCs w:val="21"/>
              </w:rPr>
              <w:t>校核员：</w:t>
            </w:r>
            <w:r>
              <w:rPr>
                <w:rFonts w:asciiTheme="minorEastAsia" w:hAnsiTheme="minorEastAsia"/>
                <w:kern w:val="0"/>
                <w:sz w:val="21"/>
                <w:szCs w:val="21"/>
              </w:rPr>
              <w:t xml:space="preserve">             </w:t>
            </w:r>
            <w:r>
              <w:rPr>
                <w:rFonts w:hint="eastAsia" w:asciiTheme="minorEastAsia" w:hAnsiTheme="minorEastAsia"/>
                <w:kern w:val="0"/>
                <w:sz w:val="21"/>
                <w:szCs w:val="21"/>
              </w:rPr>
              <w:t>检查日期：</w:t>
            </w:r>
            <w:r>
              <w:rPr>
                <w:rFonts w:asciiTheme="minorEastAsia" w:hAnsiTheme="minorEastAsia"/>
                <w:kern w:val="0"/>
                <w:sz w:val="21"/>
                <w:szCs w:val="21"/>
              </w:rPr>
              <w:t xml:space="preserve">    </w:t>
            </w:r>
            <w:r>
              <w:rPr>
                <w:rFonts w:hint="eastAsia" w:asciiTheme="minorEastAsia" w:hAnsiTheme="minorEastAsia"/>
                <w:kern w:val="0"/>
                <w:sz w:val="21"/>
                <w:szCs w:val="21"/>
              </w:rPr>
              <w:t>年</w:t>
            </w:r>
            <w:r>
              <w:rPr>
                <w:rFonts w:asciiTheme="minorEastAsia" w:hAnsiTheme="minorEastAsia"/>
                <w:kern w:val="0"/>
                <w:sz w:val="21"/>
                <w:szCs w:val="21"/>
              </w:rPr>
              <w:t xml:space="preserve">    </w:t>
            </w:r>
            <w:r>
              <w:rPr>
                <w:rFonts w:hint="eastAsia" w:asciiTheme="minorEastAsia" w:hAnsiTheme="minorEastAsia"/>
                <w:kern w:val="0"/>
                <w:sz w:val="21"/>
                <w:szCs w:val="21"/>
              </w:rPr>
              <w:t>月</w:t>
            </w:r>
            <w:r>
              <w:rPr>
                <w:rFonts w:asciiTheme="minorEastAsia" w:hAnsiTheme="minorEastAsia"/>
                <w:kern w:val="0"/>
                <w:sz w:val="21"/>
                <w:szCs w:val="21"/>
              </w:rPr>
              <w:t xml:space="preserve">   </w:t>
            </w:r>
            <w:r>
              <w:rPr>
                <w:rFonts w:hint="eastAsia" w:asciiTheme="minorEastAsia" w:hAnsiTheme="minorEastAsia"/>
                <w:kern w:val="0"/>
                <w:sz w:val="21"/>
                <w:szCs w:val="21"/>
              </w:rPr>
              <w:t>日</w:t>
            </w:r>
          </w:p>
        </w:tc>
      </w:tr>
    </w:tbl>
    <w:p w14:paraId="502AE62E">
      <w:r>
        <w:br w:type="page"/>
      </w:r>
    </w:p>
    <w:p w14:paraId="0A72770A">
      <w:pPr>
        <w:pStyle w:val="105"/>
        <w:jc w:val="left"/>
      </w:pPr>
      <w:r>
        <w:rPr>
          <w:rFonts w:hint="eastAsia" w:eastAsia="宋体" w:cs="Times New Roman"/>
          <w:bCs/>
          <w:color w:val="000000"/>
          <w:sz w:val="24"/>
          <w:szCs w:val="24"/>
        </w:rPr>
        <w:t>C</w:t>
      </w:r>
      <w:r>
        <w:rPr>
          <w:rFonts w:eastAsia="宋体" w:cs="Times New Roman"/>
          <w:bCs/>
          <w:color w:val="000000"/>
          <w:sz w:val="24"/>
          <w:szCs w:val="24"/>
        </w:rPr>
        <w:t>.0.</w:t>
      </w:r>
      <w:r>
        <w:rPr>
          <w:rFonts w:hint="eastAsia" w:eastAsia="宋体" w:cs="Times New Roman"/>
          <w:bCs/>
          <w:color w:val="000000"/>
          <w:sz w:val="24"/>
          <w:szCs w:val="24"/>
        </w:rPr>
        <w:t>3　</w:t>
      </w:r>
      <w:r>
        <w:rPr>
          <w:rFonts w:eastAsia="宋体" w:cs="Times New Roman"/>
          <w:b w:val="0"/>
          <w:bCs/>
          <w:sz w:val="24"/>
          <w:szCs w:val="24"/>
        </w:rPr>
        <w:t>阀类</w:t>
      </w:r>
      <w:r>
        <w:rPr>
          <w:rFonts w:eastAsia="宋体" w:cs="Times New Roman"/>
          <w:b w:val="0"/>
          <w:bCs/>
          <w:color w:val="000000"/>
          <w:sz w:val="24"/>
          <w:szCs w:val="24"/>
        </w:rPr>
        <w:t>现场检查记录应按表</w:t>
      </w:r>
      <w:r>
        <w:rPr>
          <w:rFonts w:hint="eastAsia" w:eastAsia="宋体" w:cs="Times New Roman"/>
          <w:b w:val="0"/>
          <w:bCs/>
          <w:color w:val="000000"/>
          <w:sz w:val="24"/>
          <w:szCs w:val="24"/>
        </w:rPr>
        <w:t>C</w:t>
      </w:r>
      <w:r>
        <w:rPr>
          <w:rFonts w:eastAsia="宋体" w:cs="Times New Roman"/>
          <w:b w:val="0"/>
          <w:bCs/>
          <w:color w:val="000000"/>
          <w:sz w:val="24"/>
          <w:szCs w:val="24"/>
        </w:rPr>
        <w:t>.0.</w:t>
      </w:r>
      <w:r>
        <w:rPr>
          <w:rFonts w:hint="eastAsia" w:eastAsia="宋体" w:cs="Times New Roman"/>
          <w:b w:val="0"/>
          <w:bCs/>
          <w:color w:val="000000"/>
          <w:sz w:val="24"/>
          <w:szCs w:val="24"/>
        </w:rPr>
        <w:t>3</w:t>
      </w:r>
      <w:r>
        <w:rPr>
          <w:rFonts w:eastAsia="宋体" w:cs="Times New Roman"/>
          <w:b w:val="0"/>
          <w:bCs/>
          <w:color w:val="000000"/>
          <w:sz w:val="24"/>
          <w:szCs w:val="24"/>
        </w:rPr>
        <w:t>填写。</w:t>
      </w:r>
    </w:p>
    <w:p w14:paraId="113C8AF6">
      <w:pPr>
        <w:pStyle w:val="105"/>
      </w:pPr>
      <w:r>
        <w:rPr>
          <w:rFonts w:hint="eastAsia"/>
        </w:rPr>
        <w:t>表C.0.3　</w:t>
      </w:r>
      <w:r>
        <w:t>仪器仪表</w:t>
      </w:r>
      <w:r>
        <w:rPr>
          <w:rFonts w:hint="eastAsia"/>
        </w:rPr>
        <w:t>现场检查记录表</w:t>
      </w:r>
    </w:p>
    <w:tbl>
      <w:tblPr>
        <w:tblStyle w:val="29"/>
        <w:tblW w:w="9082" w:type="dxa"/>
        <w:jc w:val="center"/>
        <w:tblLayout w:type="autofit"/>
        <w:tblCellMar>
          <w:top w:w="0" w:type="dxa"/>
          <w:left w:w="108" w:type="dxa"/>
          <w:bottom w:w="0" w:type="dxa"/>
          <w:right w:w="108" w:type="dxa"/>
        </w:tblCellMar>
      </w:tblPr>
      <w:tblGrid>
        <w:gridCol w:w="426"/>
        <w:gridCol w:w="718"/>
        <w:gridCol w:w="585"/>
        <w:gridCol w:w="780"/>
        <w:gridCol w:w="915"/>
        <w:gridCol w:w="632"/>
        <w:gridCol w:w="578"/>
        <w:gridCol w:w="559"/>
        <w:gridCol w:w="1057"/>
        <w:gridCol w:w="977"/>
        <w:gridCol w:w="1057"/>
        <w:gridCol w:w="798"/>
      </w:tblGrid>
      <w:tr w14:paraId="3C16415B">
        <w:tblPrEx>
          <w:tblCellMar>
            <w:top w:w="0" w:type="dxa"/>
            <w:left w:w="108" w:type="dxa"/>
            <w:bottom w:w="0" w:type="dxa"/>
            <w:right w:w="108" w:type="dxa"/>
          </w:tblCellMar>
        </w:tblPrEx>
        <w:trPr>
          <w:trHeight w:val="816" w:hRule="atLeast"/>
          <w:jc w:val="center"/>
        </w:trPr>
        <w:tc>
          <w:tcPr>
            <w:tcW w:w="9082" w:type="dxa"/>
            <w:gridSpan w:val="12"/>
            <w:tcBorders>
              <w:top w:val="nil"/>
              <w:left w:val="nil"/>
              <w:bottom w:val="single" w:color="auto" w:sz="12" w:space="0"/>
              <w:right w:val="nil"/>
            </w:tcBorders>
            <w:vAlign w:val="center"/>
          </w:tcPr>
          <w:p w14:paraId="1D897947">
            <w:pPr>
              <w:widowControl/>
              <w:spacing w:line="240" w:lineRule="auto"/>
              <w:jc w:val="left"/>
              <w:rPr>
                <w:rFonts w:asciiTheme="minorEastAsia" w:hAnsiTheme="minorEastAsia"/>
                <w:kern w:val="0"/>
                <w:sz w:val="21"/>
                <w:szCs w:val="21"/>
              </w:rPr>
            </w:pPr>
            <w:r>
              <w:rPr>
                <w:rFonts w:hint="eastAsia" w:asciiTheme="minorEastAsia" w:hAnsiTheme="minorEastAsia"/>
                <w:kern w:val="0"/>
                <w:sz w:val="21"/>
                <w:szCs w:val="21"/>
              </w:rPr>
              <w:t>任务名称：</w:t>
            </w:r>
            <w:r>
              <w:rPr>
                <w:rFonts w:asciiTheme="minorEastAsia" w:hAnsiTheme="minorEastAsia"/>
                <w:kern w:val="0"/>
                <w:sz w:val="21"/>
                <w:szCs w:val="21"/>
              </w:rPr>
              <w:t xml:space="preserve">                                                        </w:t>
            </w:r>
            <w:r>
              <w:rPr>
                <w:rFonts w:hint="eastAsia" w:asciiTheme="minorEastAsia" w:hAnsiTheme="minorEastAsia"/>
                <w:kern w:val="0"/>
                <w:sz w:val="21"/>
                <w:szCs w:val="21"/>
              </w:rPr>
              <w:t>第</w:t>
            </w:r>
            <w:r>
              <w:rPr>
                <w:rFonts w:asciiTheme="minorEastAsia" w:hAnsiTheme="minorEastAsia"/>
                <w:kern w:val="0"/>
                <w:sz w:val="21"/>
                <w:szCs w:val="21"/>
              </w:rPr>
              <w:t xml:space="preserve">    </w:t>
            </w:r>
            <w:r>
              <w:rPr>
                <w:rFonts w:hint="eastAsia" w:asciiTheme="minorEastAsia" w:hAnsiTheme="minorEastAsia"/>
                <w:kern w:val="0"/>
                <w:sz w:val="21"/>
                <w:szCs w:val="21"/>
              </w:rPr>
              <w:t>页</w:t>
            </w:r>
            <w:r>
              <w:rPr>
                <w:rFonts w:asciiTheme="minorEastAsia" w:hAnsiTheme="minorEastAsia"/>
                <w:kern w:val="0"/>
                <w:sz w:val="21"/>
                <w:szCs w:val="21"/>
              </w:rPr>
              <w:t xml:space="preserve">  </w:t>
            </w:r>
            <w:r>
              <w:rPr>
                <w:rFonts w:hint="eastAsia" w:asciiTheme="minorEastAsia" w:hAnsiTheme="minorEastAsia"/>
                <w:kern w:val="0"/>
                <w:sz w:val="21"/>
                <w:szCs w:val="21"/>
              </w:rPr>
              <w:t>共</w:t>
            </w:r>
            <w:r>
              <w:rPr>
                <w:rFonts w:asciiTheme="minorEastAsia" w:hAnsiTheme="minorEastAsia"/>
                <w:kern w:val="0"/>
                <w:sz w:val="21"/>
                <w:szCs w:val="21"/>
              </w:rPr>
              <w:t xml:space="preserve">    </w:t>
            </w:r>
            <w:r>
              <w:rPr>
                <w:rFonts w:hint="eastAsia" w:asciiTheme="minorEastAsia" w:hAnsiTheme="minorEastAsia"/>
                <w:kern w:val="0"/>
                <w:sz w:val="21"/>
                <w:szCs w:val="21"/>
              </w:rPr>
              <w:t>页</w:t>
            </w:r>
          </w:p>
        </w:tc>
      </w:tr>
      <w:tr w14:paraId="489A621A">
        <w:tblPrEx>
          <w:tblCellMar>
            <w:top w:w="0" w:type="dxa"/>
            <w:left w:w="108" w:type="dxa"/>
            <w:bottom w:w="0" w:type="dxa"/>
            <w:right w:w="108" w:type="dxa"/>
          </w:tblCellMar>
        </w:tblPrEx>
        <w:trPr>
          <w:trHeight w:val="600" w:hRule="atLeast"/>
          <w:jc w:val="center"/>
        </w:trPr>
        <w:tc>
          <w:tcPr>
            <w:tcW w:w="1729" w:type="dxa"/>
            <w:gridSpan w:val="3"/>
            <w:tcBorders>
              <w:top w:val="single" w:color="auto" w:sz="12" w:space="0"/>
              <w:left w:val="single" w:color="auto" w:sz="12" w:space="0"/>
              <w:bottom w:val="single" w:color="auto" w:sz="4" w:space="0"/>
              <w:right w:val="single" w:color="auto" w:sz="4" w:space="0"/>
            </w:tcBorders>
            <w:vAlign w:val="center"/>
          </w:tcPr>
          <w:p w14:paraId="25974CE5">
            <w:pPr>
              <w:widowControl/>
              <w:spacing w:line="240" w:lineRule="auto"/>
              <w:jc w:val="center"/>
              <w:rPr>
                <w:rFonts w:cs="Times New Roman"/>
                <w:kern w:val="0"/>
                <w:sz w:val="21"/>
                <w:szCs w:val="21"/>
              </w:rPr>
            </w:pPr>
            <w:r>
              <w:rPr>
                <w:rFonts w:cs="Times New Roman"/>
                <w:kern w:val="0"/>
                <w:sz w:val="21"/>
                <w:szCs w:val="21"/>
              </w:rPr>
              <w:t>检测单位名称</w:t>
            </w:r>
          </w:p>
        </w:tc>
        <w:tc>
          <w:tcPr>
            <w:tcW w:w="5498" w:type="dxa"/>
            <w:gridSpan w:val="7"/>
            <w:tcBorders>
              <w:top w:val="single" w:color="auto" w:sz="12" w:space="0"/>
              <w:left w:val="single" w:color="auto" w:sz="4" w:space="0"/>
              <w:bottom w:val="single" w:color="auto" w:sz="4" w:space="0"/>
              <w:right w:val="single" w:color="auto" w:sz="4" w:space="0"/>
            </w:tcBorders>
            <w:vAlign w:val="center"/>
          </w:tcPr>
          <w:p w14:paraId="2B4F20D6">
            <w:pPr>
              <w:widowControl/>
              <w:spacing w:line="240" w:lineRule="auto"/>
              <w:jc w:val="center"/>
              <w:rPr>
                <w:rFonts w:cs="Times New Roman"/>
                <w:kern w:val="0"/>
                <w:sz w:val="21"/>
                <w:szCs w:val="21"/>
              </w:rPr>
            </w:pPr>
          </w:p>
        </w:tc>
        <w:tc>
          <w:tcPr>
            <w:tcW w:w="1057" w:type="dxa"/>
            <w:tcBorders>
              <w:top w:val="single" w:color="auto" w:sz="12" w:space="0"/>
              <w:left w:val="single" w:color="auto" w:sz="4" w:space="0"/>
              <w:bottom w:val="single" w:color="auto" w:sz="4" w:space="0"/>
              <w:right w:val="single" w:color="auto" w:sz="4" w:space="0"/>
            </w:tcBorders>
            <w:vAlign w:val="center"/>
          </w:tcPr>
          <w:p w14:paraId="1CB1B090">
            <w:pPr>
              <w:widowControl/>
              <w:spacing w:line="240" w:lineRule="auto"/>
              <w:jc w:val="center"/>
              <w:rPr>
                <w:rFonts w:cs="Times New Roman"/>
                <w:kern w:val="0"/>
                <w:sz w:val="21"/>
                <w:szCs w:val="21"/>
              </w:rPr>
            </w:pPr>
            <w:r>
              <w:rPr>
                <w:rFonts w:cs="Times New Roman"/>
                <w:kern w:val="0"/>
                <w:sz w:val="21"/>
                <w:szCs w:val="21"/>
              </w:rPr>
              <w:t>编号</w:t>
            </w:r>
          </w:p>
        </w:tc>
        <w:tc>
          <w:tcPr>
            <w:tcW w:w="798" w:type="dxa"/>
            <w:tcBorders>
              <w:top w:val="single" w:color="auto" w:sz="12" w:space="0"/>
              <w:left w:val="single" w:color="auto" w:sz="4" w:space="0"/>
              <w:bottom w:val="single" w:color="auto" w:sz="4" w:space="0"/>
              <w:right w:val="single" w:color="auto" w:sz="12" w:space="0"/>
            </w:tcBorders>
            <w:vAlign w:val="center"/>
          </w:tcPr>
          <w:p w14:paraId="30E857D4">
            <w:pPr>
              <w:widowControl/>
              <w:spacing w:line="240" w:lineRule="auto"/>
              <w:jc w:val="center"/>
              <w:rPr>
                <w:rFonts w:cs="Times New Roman"/>
                <w:kern w:val="0"/>
                <w:sz w:val="21"/>
                <w:szCs w:val="21"/>
              </w:rPr>
            </w:pPr>
          </w:p>
        </w:tc>
      </w:tr>
      <w:tr w14:paraId="7F89CD67">
        <w:tblPrEx>
          <w:tblCellMar>
            <w:top w:w="0" w:type="dxa"/>
            <w:left w:w="108" w:type="dxa"/>
            <w:bottom w:w="0" w:type="dxa"/>
            <w:right w:w="108" w:type="dxa"/>
          </w:tblCellMar>
        </w:tblPrEx>
        <w:trPr>
          <w:trHeight w:val="600" w:hRule="atLeast"/>
          <w:jc w:val="center"/>
        </w:trPr>
        <w:tc>
          <w:tcPr>
            <w:tcW w:w="1144" w:type="dxa"/>
            <w:gridSpan w:val="2"/>
            <w:tcBorders>
              <w:top w:val="single" w:color="auto" w:sz="4" w:space="0"/>
              <w:left w:val="single" w:color="auto" w:sz="12" w:space="0"/>
              <w:bottom w:val="single" w:color="auto" w:sz="4" w:space="0"/>
              <w:right w:val="single" w:color="auto" w:sz="4" w:space="0"/>
            </w:tcBorders>
            <w:vAlign w:val="center"/>
          </w:tcPr>
          <w:p w14:paraId="77E8C891">
            <w:pPr>
              <w:widowControl/>
              <w:spacing w:line="240" w:lineRule="auto"/>
              <w:jc w:val="center"/>
              <w:rPr>
                <w:rFonts w:cs="Times New Roman"/>
                <w:kern w:val="0"/>
                <w:sz w:val="21"/>
                <w:szCs w:val="21"/>
              </w:rPr>
            </w:pPr>
            <w:r>
              <w:rPr>
                <w:rFonts w:cs="Times New Roman"/>
                <w:kern w:val="0"/>
                <w:sz w:val="21"/>
                <w:szCs w:val="21"/>
              </w:rPr>
              <w:t>埋设年代</w:t>
            </w:r>
          </w:p>
        </w:tc>
        <w:tc>
          <w:tcPr>
            <w:tcW w:w="585" w:type="dxa"/>
            <w:tcBorders>
              <w:top w:val="single" w:color="auto" w:sz="4" w:space="0"/>
              <w:left w:val="single" w:color="auto" w:sz="4" w:space="0"/>
              <w:bottom w:val="single" w:color="auto" w:sz="4" w:space="0"/>
              <w:right w:val="single" w:color="auto" w:sz="4" w:space="0"/>
            </w:tcBorders>
            <w:vAlign w:val="center"/>
          </w:tcPr>
          <w:p w14:paraId="382630F4">
            <w:pPr>
              <w:widowControl/>
              <w:spacing w:line="240" w:lineRule="auto"/>
              <w:jc w:val="center"/>
              <w:rPr>
                <w:rFonts w:cs="Times New Roman"/>
                <w:kern w:val="0"/>
                <w:sz w:val="21"/>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626F7A1D">
            <w:pPr>
              <w:widowControl/>
              <w:spacing w:line="240" w:lineRule="auto"/>
              <w:jc w:val="center"/>
              <w:rPr>
                <w:rFonts w:cs="Times New Roman"/>
                <w:kern w:val="0"/>
                <w:sz w:val="21"/>
                <w:szCs w:val="21"/>
              </w:rPr>
            </w:pPr>
            <w:r>
              <w:rPr>
                <w:rFonts w:cs="Times New Roman"/>
                <w:kern w:val="0"/>
                <w:sz w:val="21"/>
                <w:szCs w:val="21"/>
              </w:rPr>
              <w:t>材质</w:t>
            </w:r>
          </w:p>
        </w:tc>
        <w:tc>
          <w:tcPr>
            <w:tcW w:w="915" w:type="dxa"/>
            <w:tcBorders>
              <w:top w:val="single" w:color="auto" w:sz="4" w:space="0"/>
              <w:left w:val="single" w:color="auto" w:sz="4" w:space="0"/>
              <w:bottom w:val="single" w:color="auto" w:sz="4" w:space="0"/>
              <w:right w:val="single" w:color="auto" w:sz="4" w:space="0"/>
            </w:tcBorders>
            <w:vAlign w:val="center"/>
          </w:tcPr>
          <w:p w14:paraId="683E4655">
            <w:pPr>
              <w:widowControl/>
              <w:spacing w:line="240" w:lineRule="auto"/>
              <w:jc w:val="center"/>
              <w:rPr>
                <w:rFonts w:cs="Times New Roman"/>
                <w:kern w:val="0"/>
                <w:sz w:val="21"/>
                <w:szCs w:val="21"/>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14:paraId="1EBFB349">
            <w:pPr>
              <w:widowControl/>
              <w:spacing w:line="240" w:lineRule="auto"/>
              <w:jc w:val="center"/>
              <w:rPr>
                <w:rFonts w:cs="Times New Roman"/>
                <w:kern w:val="0"/>
                <w:sz w:val="21"/>
                <w:szCs w:val="21"/>
              </w:rPr>
            </w:pPr>
            <w:r>
              <w:rPr>
                <w:rFonts w:cs="Times New Roman"/>
                <w:kern w:val="0"/>
                <w:sz w:val="21"/>
                <w:szCs w:val="21"/>
              </w:rPr>
              <w:t>仪表类型</w:t>
            </w:r>
          </w:p>
        </w:tc>
        <w:tc>
          <w:tcPr>
            <w:tcW w:w="559" w:type="dxa"/>
            <w:tcBorders>
              <w:top w:val="single" w:color="auto" w:sz="4" w:space="0"/>
              <w:left w:val="single" w:color="auto" w:sz="4" w:space="0"/>
              <w:bottom w:val="single" w:color="auto" w:sz="4" w:space="0"/>
              <w:right w:val="single" w:color="auto" w:sz="4" w:space="0"/>
            </w:tcBorders>
            <w:vAlign w:val="center"/>
          </w:tcPr>
          <w:p w14:paraId="26895CA4">
            <w:pPr>
              <w:widowControl/>
              <w:spacing w:line="240" w:lineRule="auto"/>
              <w:jc w:val="center"/>
              <w:rPr>
                <w:rFonts w:cs="Times New Roman"/>
                <w:kern w:val="0"/>
                <w:sz w:val="21"/>
                <w:szCs w:val="21"/>
              </w:rPr>
            </w:pPr>
          </w:p>
        </w:tc>
        <w:tc>
          <w:tcPr>
            <w:tcW w:w="1057" w:type="dxa"/>
            <w:tcBorders>
              <w:top w:val="single" w:color="auto" w:sz="4" w:space="0"/>
              <w:left w:val="single" w:color="auto" w:sz="4" w:space="0"/>
              <w:bottom w:val="single" w:color="auto" w:sz="4" w:space="0"/>
              <w:right w:val="single" w:color="auto" w:sz="4" w:space="0"/>
            </w:tcBorders>
            <w:vAlign w:val="center"/>
          </w:tcPr>
          <w:p w14:paraId="570FDB07">
            <w:pPr>
              <w:widowControl/>
              <w:spacing w:line="240" w:lineRule="auto"/>
              <w:jc w:val="center"/>
              <w:rPr>
                <w:rFonts w:cs="Times New Roman"/>
                <w:kern w:val="0"/>
                <w:sz w:val="21"/>
                <w:szCs w:val="21"/>
              </w:rPr>
            </w:pPr>
            <w:r>
              <w:rPr>
                <w:rFonts w:cs="Times New Roman"/>
                <w:kern w:val="0"/>
                <w:sz w:val="21"/>
                <w:szCs w:val="21"/>
              </w:rPr>
              <w:t>测量范围</w:t>
            </w:r>
          </w:p>
        </w:tc>
        <w:tc>
          <w:tcPr>
            <w:tcW w:w="977" w:type="dxa"/>
            <w:tcBorders>
              <w:top w:val="single" w:color="auto" w:sz="4" w:space="0"/>
              <w:left w:val="single" w:color="auto" w:sz="4" w:space="0"/>
              <w:bottom w:val="single" w:color="auto" w:sz="4" w:space="0"/>
              <w:right w:val="single" w:color="auto" w:sz="4" w:space="0"/>
            </w:tcBorders>
            <w:vAlign w:val="center"/>
          </w:tcPr>
          <w:p w14:paraId="16B5BB0C">
            <w:pPr>
              <w:widowControl/>
              <w:spacing w:line="240" w:lineRule="auto"/>
              <w:jc w:val="center"/>
              <w:rPr>
                <w:rFonts w:cs="Times New Roman"/>
                <w:kern w:val="0"/>
                <w:sz w:val="21"/>
                <w:szCs w:val="21"/>
              </w:rPr>
            </w:pPr>
          </w:p>
        </w:tc>
        <w:tc>
          <w:tcPr>
            <w:tcW w:w="1057" w:type="dxa"/>
            <w:tcBorders>
              <w:top w:val="single" w:color="auto" w:sz="4" w:space="0"/>
              <w:left w:val="single" w:color="auto" w:sz="4" w:space="0"/>
              <w:bottom w:val="single" w:color="auto" w:sz="4" w:space="0"/>
              <w:right w:val="single" w:color="auto" w:sz="4" w:space="0"/>
            </w:tcBorders>
            <w:vAlign w:val="center"/>
          </w:tcPr>
          <w:p w14:paraId="7BDF310C">
            <w:pPr>
              <w:widowControl/>
              <w:spacing w:line="240" w:lineRule="auto"/>
              <w:jc w:val="center"/>
              <w:rPr>
                <w:rFonts w:cs="Times New Roman"/>
                <w:kern w:val="0"/>
                <w:sz w:val="21"/>
                <w:szCs w:val="21"/>
              </w:rPr>
            </w:pPr>
            <w:r>
              <w:rPr>
                <w:rFonts w:cs="Times New Roman"/>
                <w:kern w:val="0"/>
                <w:sz w:val="21"/>
                <w:szCs w:val="21"/>
              </w:rPr>
              <w:t>用途</w:t>
            </w:r>
          </w:p>
        </w:tc>
        <w:tc>
          <w:tcPr>
            <w:tcW w:w="798" w:type="dxa"/>
            <w:tcBorders>
              <w:top w:val="single" w:color="auto" w:sz="4" w:space="0"/>
              <w:left w:val="single" w:color="auto" w:sz="4" w:space="0"/>
              <w:bottom w:val="single" w:color="auto" w:sz="4" w:space="0"/>
              <w:right w:val="single" w:color="auto" w:sz="12" w:space="0"/>
            </w:tcBorders>
            <w:vAlign w:val="center"/>
          </w:tcPr>
          <w:p w14:paraId="2753F05A">
            <w:pPr>
              <w:widowControl/>
              <w:spacing w:line="240" w:lineRule="auto"/>
              <w:jc w:val="center"/>
              <w:rPr>
                <w:rFonts w:cs="Times New Roman"/>
                <w:kern w:val="0"/>
                <w:sz w:val="21"/>
                <w:szCs w:val="21"/>
              </w:rPr>
            </w:pPr>
          </w:p>
        </w:tc>
      </w:tr>
      <w:tr w14:paraId="14964C22">
        <w:tblPrEx>
          <w:tblCellMar>
            <w:top w:w="0" w:type="dxa"/>
            <w:left w:w="108" w:type="dxa"/>
            <w:bottom w:w="0" w:type="dxa"/>
            <w:right w:w="108" w:type="dxa"/>
          </w:tblCellMar>
        </w:tblPrEx>
        <w:trPr>
          <w:trHeight w:val="600" w:hRule="atLeast"/>
          <w:jc w:val="center"/>
        </w:trPr>
        <w:tc>
          <w:tcPr>
            <w:tcW w:w="9082" w:type="dxa"/>
            <w:gridSpan w:val="12"/>
            <w:tcBorders>
              <w:top w:val="single" w:color="auto" w:sz="4" w:space="0"/>
              <w:left w:val="single" w:color="auto" w:sz="12" w:space="0"/>
              <w:bottom w:val="single" w:color="auto" w:sz="4" w:space="0"/>
              <w:right w:val="single" w:color="auto" w:sz="12" w:space="0"/>
            </w:tcBorders>
            <w:vAlign w:val="center"/>
          </w:tcPr>
          <w:p w14:paraId="3BE7E683">
            <w:pPr>
              <w:widowControl/>
              <w:spacing w:line="240" w:lineRule="auto"/>
              <w:jc w:val="center"/>
              <w:rPr>
                <w:rFonts w:cs="Times New Roman"/>
                <w:kern w:val="0"/>
                <w:sz w:val="21"/>
                <w:szCs w:val="21"/>
              </w:rPr>
            </w:pPr>
            <w:r>
              <w:rPr>
                <w:rFonts w:cs="Times New Roman"/>
                <w:kern w:val="0"/>
                <w:sz w:val="21"/>
                <w:szCs w:val="21"/>
              </w:rPr>
              <w:t>检查内容</w:t>
            </w:r>
          </w:p>
        </w:tc>
      </w:tr>
      <w:tr w14:paraId="7EC9AE88">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14:paraId="203E60C4">
            <w:pPr>
              <w:widowControl/>
              <w:spacing w:line="240" w:lineRule="auto"/>
              <w:jc w:val="center"/>
              <w:rPr>
                <w:rFonts w:cs="Times New Roman"/>
                <w:kern w:val="0"/>
                <w:sz w:val="21"/>
                <w:szCs w:val="21"/>
              </w:rPr>
            </w:pPr>
            <w:r>
              <w:rPr>
                <w:rFonts w:cs="Times New Roman"/>
                <w:kern w:val="0"/>
                <w:sz w:val="21"/>
                <w:szCs w:val="21"/>
              </w:rPr>
              <w:t>1</w:t>
            </w:r>
          </w:p>
        </w:tc>
        <w:tc>
          <w:tcPr>
            <w:tcW w:w="3630" w:type="dxa"/>
            <w:gridSpan w:val="5"/>
            <w:tcBorders>
              <w:top w:val="single" w:color="auto" w:sz="4" w:space="0"/>
              <w:left w:val="single" w:color="auto" w:sz="4" w:space="0"/>
              <w:bottom w:val="single" w:color="auto" w:sz="4" w:space="0"/>
              <w:right w:val="single" w:color="auto" w:sz="4" w:space="0"/>
            </w:tcBorders>
            <w:vAlign w:val="center"/>
          </w:tcPr>
          <w:p w14:paraId="13AD030E">
            <w:pPr>
              <w:widowControl/>
              <w:spacing w:line="240" w:lineRule="auto"/>
              <w:jc w:val="center"/>
              <w:rPr>
                <w:rFonts w:cs="Times New Roman"/>
                <w:kern w:val="0"/>
                <w:sz w:val="21"/>
                <w:szCs w:val="21"/>
              </w:rPr>
            </w:pPr>
            <w:r>
              <w:rPr>
                <w:rFonts w:cs="Times New Roman"/>
                <w:kern w:val="0"/>
                <w:sz w:val="21"/>
                <w:szCs w:val="21"/>
              </w:rPr>
              <w:t>仪表校准、检测（一年一次）</w:t>
            </w:r>
          </w:p>
        </w:tc>
        <w:tc>
          <w:tcPr>
            <w:tcW w:w="5026" w:type="dxa"/>
            <w:gridSpan w:val="6"/>
            <w:tcBorders>
              <w:top w:val="single" w:color="auto" w:sz="4" w:space="0"/>
              <w:left w:val="single" w:color="auto" w:sz="4" w:space="0"/>
              <w:bottom w:val="single" w:color="auto" w:sz="4" w:space="0"/>
              <w:right w:val="single" w:color="auto" w:sz="12" w:space="0"/>
            </w:tcBorders>
            <w:vAlign w:val="center"/>
          </w:tcPr>
          <w:p w14:paraId="69670AE9">
            <w:pPr>
              <w:widowControl/>
              <w:spacing w:line="240" w:lineRule="auto"/>
              <w:jc w:val="center"/>
              <w:rPr>
                <w:rFonts w:cs="Times New Roman"/>
                <w:kern w:val="0"/>
                <w:sz w:val="21"/>
                <w:szCs w:val="21"/>
              </w:rPr>
            </w:pPr>
          </w:p>
        </w:tc>
      </w:tr>
      <w:tr w14:paraId="1DB0156F">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14:paraId="7579B1BD">
            <w:pPr>
              <w:widowControl/>
              <w:spacing w:line="240" w:lineRule="auto"/>
              <w:jc w:val="center"/>
              <w:rPr>
                <w:rFonts w:cs="Times New Roman"/>
                <w:kern w:val="0"/>
                <w:sz w:val="21"/>
                <w:szCs w:val="21"/>
              </w:rPr>
            </w:pPr>
            <w:r>
              <w:rPr>
                <w:rFonts w:cs="Times New Roman"/>
                <w:kern w:val="0"/>
                <w:sz w:val="21"/>
                <w:szCs w:val="21"/>
              </w:rPr>
              <w:t>2</w:t>
            </w:r>
          </w:p>
        </w:tc>
        <w:tc>
          <w:tcPr>
            <w:tcW w:w="3630" w:type="dxa"/>
            <w:gridSpan w:val="5"/>
            <w:tcBorders>
              <w:top w:val="single" w:color="auto" w:sz="4" w:space="0"/>
              <w:left w:val="single" w:color="auto" w:sz="4" w:space="0"/>
              <w:bottom w:val="single" w:color="auto" w:sz="4" w:space="0"/>
              <w:right w:val="single" w:color="auto" w:sz="4" w:space="0"/>
            </w:tcBorders>
            <w:vAlign w:val="center"/>
          </w:tcPr>
          <w:p w14:paraId="03EAD439">
            <w:pPr>
              <w:widowControl/>
              <w:spacing w:line="240" w:lineRule="auto"/>
              <w:jc w:val="center"/>
              <w:rPr>
                <w:rFonts w:cs="Times New Roman"/>
                <w:kern w:val="0"/>
                <w:sz w:val="21"/>
                <w:szCs w:val="21"/>
              </w:rPr>
            </w:pPr>
            <w:r>
              <w:rPr>
                <w:rFonts w:cs="Times New Roman"/>
                <w:kern w:val="0"/>
                <w:sz w:val="21"/>
                <w:szCs w:val="21"/>
              </w:rPr>
              <w:t>安装方向是否符合流体方向</w:t>
            </w:r>
          </w:p>
        </w:tc>
        <w:tc>
          <w:tcPr>
            <w:tcW w:w="5026" w:type="dxa"/>
            <w:gridSpan w:val="6"/>
            <w:tcBorders>
              <w:top w:val="single" w:color="auto" w:sz="4" w:space="0"/>
              <w:left w:val="single" w:color="auto" w:sz="4" w:space="0"/>
              <w:bottom w:val="single" w:color="auto" w:sz="4" w:space="0"/>
              <w:right w:val="single" w:color="auto" w:sz="12" w:space="0"/>
            </w:tcBorders>
            <w:vAlign w:val="center"/>
          </w:tcPr>
          <w:p w14:paraId="2F5F759D">
            <w:pPr>
              <w:widowControl/>
              <w:spacing w:line="240" w:lineRule="auto"/>
              <w:jc w:val="center"/>
              <w:rPr>
                <w:rFonts w:cs="Times New Roman"/>
                <w:kern w:val="0"/>
                <w:sz w:val="21"/>
                <w:szCs w:val="21"/>
              </w:rPr>
            </w:pPr>
          </w:p>
        </w:tc>
      </w:tr>
      <w:tr w14:paraId="22966029">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14:paraId="03F259D5">
            <w:pPr>
              <w:widowControl/>
              <w:spacing w:line="240" w:lineRule="auto"/>
              <w:jc w:val="center"/>
              <w:rPr>
                <w:rFonts w:cs="Times New Roman"/>
                <w:kern w:val="0"/>
                <w:sz w:val="21"/>
                <w:szCs w:val="21"/>
              </w:rPr>
            </w:pPr>
            <w:r>
              <w:rPr>
                <w:rFonts w:cs="Times New Roman"/>
                <w:kern w:val="0"/>
                <w:sz w:val="21"/>
                <w:szCs w:val="21"/>
              </w:rPr>
              <w:t>3</w:t>
            </w:r>
          </w:p>
        </w:tc>
        <w:tc>
          <w:tcPr>
            <w:tcW w:w="3630" w:type="dxa"/>
            <w:gridSpan w:val="5"/>
            <w:tcBorders>
              <w:top w:val="single" w:color="auto" w:sz="4" w:space="0"/>
              <w:left w:val="single" w:color="auto" w:sz="4" w:space="0"/>
              <w:bottom w:val="single" w:color="auto" w:sz="4" w:space="0"/>
              <w:right w:val="single" w:color="auto" w:sz="4" w:space="0"/>
            </w:tcBorders>
            <w:vAlign w:val="center"/>
          </w:tcPr>
          <w:p w14:paraId="0A66C337">
            <w:pPr>
              <w:widowControl/>
              <w:spacing w:line="240" w:lineRule="auto"/>
              <w:jc w:val="center"/>
              <w:rPr>
                <w:rFonts w:cs="Times New Roman"/>
                <w:kern w:val="0"/>
                <w:sz w:val="21"/>
                <w:szCs w:val="21"/>
              </w:rPr>
            </w:pPr>
            <w:r>
              <w:rPr>
                <w:rFonts w:cs="Times New Roman"/>
                <w:kern w:val="0"/>
                <w:sz w:val="21"/>
                <w:szCs w:val="21"/>
              </w:rPr>
              <w:t>接口漏水</w:t>
            </w:r>
          </w:p>
        </w:tc>
        <w:tc>
          <w:tcPr>
            <w:tcW w:w="5026" w:type="dxa"/>
            <w:gridSpan w:val="6"/>
            <w:tcBorders>
              <w:top w:val="single" w:color="auto" w:sz="4" w:space="0"/>
              <w:left w:val="single" w:color="auto" w:sz="4" w:space="0"/>
              <w:bottom w:val="single" w:color="auto" w:sz="4" w:space="0"/>
              <w:right w:val="single" w:color="auto" w:sz="12" w:space="0"/>
            </w:tcBorders>
            <w:vAlign w:val="center"/>
          </w:tcPr>
          <w:p w14:paraId="5B2B7FAE">
            <w:pPr>
              <w:widowControl/>
              <w:spacing w:line="240" w:lineRule="auto"/>
              <w:jc w:val="center"/>
              <w:rPr>
                <w:rFonts w:cs="Times New Roman"/>
                <w:kern w:val="0"/>
                <w:sz w:val="21"/>
                <w:szCs w:val="21"/>
              </w:rPr>
            </w:pPr>
          </w:p>
        </w:tc>
      </w:tr>
      <w:tr w14:paraId="2765B6F4">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14:paraId="53BC010F">
            <w:pPr>
              <w:widowControl/>
              <w:spacing w:line="240" w:lineRule="auto"/>
              <w:jc w:val="center"/>
              <w:rPr>
                <w:rFonts w:cs="Times New Roman"/>
                <w:kern w:val="0"/>
                <w:sz w:val="21"/>
                <w:szCs w:val="21"/>
              </w:rPr>
            </w:pPr>
            <w:r>
              <w:rPr>
                <w:rFonts w:cs="Times New Roman"/>
                <w:kern w:val="0"/>
                <w:sz w:val="21"/>
                <w:szCs w:val="21"/>
              </w:rPr>
              <w:t>4</w:t>
            </w:r>
          </w:p>
        </w:tc>
        <w:tc>
          <w:tcPr>
            <w:tcW w:w="3630" w:type="dxa"/>
            <w:gridSpan w:val="5"/>
            <w:tcBorders>
              <w:top w:val="single" w:color="auto" w:sz="4" w:space="0"/>
              <w:left w:val="single" w:color="auto" w:sz="4" w:space="0"/>
              <w:bottom w:val="single" w:color="auto" w:sz="4" w:space="0"/>
              <w:right w:val="single" w:color="auto" w:sz="4" w:space="0"/>
            </w:tcBorders>
            <w:vAlign w:val="center"/>
          </w:tcPr>
          <w:p w14:paraId="50BA8C4F">
            <w:pPr>
              <w:widowControl/>
              <w:spacing w:line="240" w:lineRule="auto"/>
              <w:jc w:val="center"/>
              <w:rPr>
                <w:rFonts w:cs="Times New Roman"/>
                <w:kern w:val="0"/>
                <w:sz w:val="21"/>
                <w:szCs w:val="21"/>
              </w:rPr>
            </w:pPr>
            <w:r>
              <w:rPr>
                <w:rFonts w:cs="Times New Roman"/>
                <w:kern w:val="0"/>
                <w:sz w:val="21"/>
                <w:szCs w:val="21"/>
              </w:rPr>
              <w:t>固定螺栓</w:t>
            </w:r>
          </w:p>
        </w:tc>
        <w:tc>
          <w:tcPr>
            <w:tcW w:w="5026" w:type="dxa"/>
            <w:gridSpan w:val="6"/>
            <w:tcBorders>
              <w:top w:val="single" w:color="auto" w:sz="4" w:space="0"/>
              <w:left w:val="single" w:color="auto" w:sz="4" w:space="0"/>
              <w:bottom w:val="single" w:color="auto" w:sz="4" w:space="0"/>
              <w:right w:val="single" w:color="auto" w:sz="12" w:space="0"/>
            </w:tcBorders>
            <w:vAlign w:val="center"/>
          </w:tcPr>
          <w:p w14:paraId="2A1657B0">
            <w:pPr>
              <w:widowControl/>
              <w:spacing w:line="240" w:lineRule="auto"/>
              <w:jc w:val="center"/>
              <w:rPr>
                <w:rFonts w:cs="Times New Roman"/>
                <w:kern w:val="0"/>
                <w:sz w:val="21"/>
                <w:szCs w:val="21"/>
              </w:rPr>
            </w:pPr>
          </w:p>
        </w:tc>
      </w:tr>
      <w:tr w14:paraId="60E0AF6B">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14:paraId="6A64221C">
            <w:pPr>
              <w:widowControl/>
              <w:spacing w:line="240" w:lineRule="auto"/>
              <w:jc w:val="center"/>
              <w:rPr>
                <w:rFonts w:cs="Times New Roman"/>
                <w:kern w:val="0"/>
                <w:sz w:val="21"/>
                <w:szCs w:val="21"/>
              </w:rPr>
            </w:pPr>
            <w:r>
              <w:rPr>
                <w:rFonts w:cs="Times New Roman"/>
                <w:kern w:val="0"/>
                <w:sz w:val="21"/>
                <w:szCs w:val="21"/>
              </w:rPr>
              <w:t>5</w:t>
            </w:r>
          </w:p>
        </w:tc>
        <w:tc>
          <w:tcPr>
            <w:tcW w:w="3630" w:type="dxa"/>
            <w:gridSpan w:val="5"/>
            <w:tcBorders>
              <w:top w:val="single" w:color="auto" w:sz="4" w:space="0"/>
              <w:left w:val="single" w:color="auto" w:sz="4" w:space="0"/>
              <w:bottom w:val="single" w:color="auto" w:sz="4" w:space="0"/>
              <w:right w:val="single" w:color="auto" w:sz="4" w:space="0"/>
            </w:tcBorders>
            <w:vAlign w:val="center"/>
          </w:tcPr>
          <w:p w14:paraId="4D7DA5C9">
            <w:pPr>
              <w:widowControl/>
              <w:spacing w:line="240" w:lineRule="auto"/>
              <w:jc w:val="center"/>
              <w:rPr>
                <w:rFonts w:cs="Times New Roman"/>
                <w:kern w:val="0"/>
                <w:sz w:val="21"/>
                <w:szCs w:val="21"/>
              </w:rPr>
            </w:pPr>
            <w:r>
              <w:rPr>
                <w:rFonts w:cs="Times New Roman"/>
                <w:kern w:val="0"/>
                <w:sz w:val="21"/>
                <w:szCs w:val="21"/>
              </w:rPr>
              <w:t>数值读数</w:t>
            </w:r>
          </w:p>
        </w:tc>
        <w:tc>
          <w:tcPr>
            <w:tcW w:w="5026" w:type="dxa"/>
            <w:gridSpan w:val="6"/>
            <w:tcBorders>
              <w:top w:val="single" w:color="auto" w:sz="4" w:space="0"/>
              <w:left w:val="single" w:color="auto" w:sz="4" w:space="0"/>
              <w:bottom w:val="single" w:color="auto" w:sz="4" w:space="0"/>
              <w:right w:val="single" w:color="auto" w:sz="12" w:space="0"/>
            </w:tcBorders>
            <w:vAlign w:val="center"/>
          </w:tcPr>
          <w:p w14:paraId="2670168D">
            <w:pPr>
              <w:widowControl/>
              <w:spacing w:line="240" w:lineRule="auto"/>
              <w:jc w:val="center"/>
              <w:rPr>
                <w:rFonts w:cs="Times New Roman"/>
                <w:kern w:val="0"/>
                <w:sz w:val="21"/>
                <w:szCs w:val="21"/>
              </w:rPr>
            </w:pPr>
          </w:p>
        </w:tc>
      </w:tr>
      <w:tr w14:paraId="77F06E16">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14:paraId="7A47A28B">
            <w:pPr>
              <w:widowControl/>
              <w:spacing w:line="240" w:lineRule="auto"/>
              <w:jc w:val="center"/>
              <w:rPr>
                <w:rFonts w:cs="Times New Roman"/>
                <w:kern w:val="0"/>
                <w:sz w:val="21"/>
                <w:szCs w:val="21"/>
              </w:rPr>
            </w:pPr>
            <w:r>
              <w:rPr>
                <w:rFonts w:cs="Times New Roman"/>
                <w:kern w:val="0"/>
                <w:sz w:val="21"/>
                <w:szCs w:val="21"/>
              </w:rPr>
              <w:t>6</w:t>
            </w:r>
          </w:p>
        </w:tc>
        <w:tc>
          <w:tcPr>
            <w:tcW w:w="3630" w:type="dxa"/>
            <w:gridSpan w:val="5"/>
            <w:tcBorders>
              <w:top w:val="single" w:color="auto" w:sz="4" w:space="0"/>
              <w:left w:val="single" w:color="auto" w:sz="4" w:space="0"/>
              <w:bottom w:val="single" w:color="auto" w:sz="4" w:space="0"/>
              <w:right w:val="single" w:color="auto" w:sz="4" w:space="0"/>
            </w:tcBorders>
            <w:vAlign w:val="center"/>
          </w:tcPr>
          <w:p w14:paraId="4ABEDCA7">
            <w:pPr>
              <w:widowControl/>
              <w:spacing w:line="240" w:lineRule="auto"/>
              <w:jc w:val="center"/>
              <w:rPr>
                <w:rFonts w:cs="Times New Roman"/>
                <w:kern w:val="0"/>
                <w:sz w:val="21"/>
                <w:szCs w:val="21"/>
              </w:rPr>
            </w:pPr>
            <w:r>
              <w:rPr>
                <w:rFonts w:cs="Times New Roman"/>
                <w:kern w:val="0"/>
                <w:sz w:val="21"/>
                <w:szCs w:val="21"/>
              </w:rPr>
              <w:t>铭牌标志</w:t>
            </w:r>
          </w:p>
        </w:tc>
        <w:tc>
          <w:tcPr>
            <w:tcW w:w="5026" w:type="dxa"/>
            <w:gridSpan w:val="6"/>
            <w:tcBorders>
              <w:top w:val="single" w:color="auto" w:sz="4" w:space="0"/>
              <w:left w:val="single" w:color="auto" w:sz="4" w:space="0"/>
              <w:bottom w:val="single" w:color="auto" w:sz="4" w:space="0"/>
              <w:right w:val="single" w:color="auto" w:sz="12" w:space="0"/>
            </w:tcBorders>
            <w:vAlign w:val="center"/>
          </w:tcPr>
          <w:p w14:paraId="70533EAB">
            <w:pPr>
              <w:widowControl/>
              <w:spacing w:line="240" w:lineRule="auto"/>
              <w:jc w:val="center"/>
              <w:rPr>
                <w:rFonts w:cs="Times New Roman"/>
                <w:kern w:val="0"/>
                <w:sz w:val="21"/>
                <w:szCs w:val="21"/>
              </w:rPr>
            </w:pPr>
          </w:p>
        </w:tc>
      </w:tr>
      <w:tr w14:paraId="18CF4353">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14:paraId="6539CFE8">
            <w:pPr>
              <w:widowControl/>
              <w:spacing w:line="240" w:lineRule="auto"/>
              <w:jc w:val="center"/>
              <w:rPr>
                <w:rFonts w:cs="Times New Roman"/>
                <w:kern w:val="0"/>
                <w:sz w:val="21"/>
                <w:szCs w:val="21"/>
              </w:rPr>
            </w:pPr>
            <w:r>
              <w:rPr>
                <w:rFonts w:cs="Times New Roman"/>
                <w:kern w:val="0"/>
                <w:sz w:val="21"/>
                <w:szCs w:val="21"/>
              </w:rPr>
              <w:t>7</w:t>
            </w:r>
          </w:p>
        </w:tc>
        <w:tc>
          <w:tcPr>
            <w:tcW w:w="3630" w:type="dxa"/>
            <w:gridSpan w:val="5"/>
            <w:tcBorders>
              <w:top w:val="single" w:color="auto" w:sz="4" w:space="0"/>
              <w:left w:val="single" w:color="auto" w:sz="4" w:space="0"/>
              <w:bottom w:val="single" w:color="auto" w:sz="4" w:space="0"/>
              <w:right w:val="single" w:color="auto" w:sz="4" w:space="0"/>
            </w:tcBorders>
            <w:vAlign w:val="center"/>
          </w:tcPr>
          <w:p w14:paraId="1D0D09F0">
            <w:pPr>
              <w:widowControl/>
              <w:spacing w:line="240" w:lineRule="auto"/>
              <w:jc w:val="center"/>
              <w:rPr>
                <w:rFonts w:cs="Times New Roman"/>
                <w:kern w:val="0"/>
                <w:sz w:val="21"/>
                <w:szCs w:val="21"/>
              </w:rPr>
            </w:pPr>
            <w:r>
              <w:rPr>
                <w:rFonts w:cs="Times New Roman"/>
                <w:kern w:val="0"/>
                <w:sz w:val="21"/>
                <w:szCs w:val="21"/>
              </w:rPr>
              <w:t>外壳锈蚀</w:t>
            </w:r>
          </w:p>
        </w:tc>
        <w:tc>
          <w:tcPr>
            <w:tcW w:w="5026" w:type="dxa"/>
            <w:gridSpan w:val="6"/>
            <w:tcBorders>
              <w:top w:val="single" w:color="auto" w:sz="4" w:space="0"/>
              <w:left w:val="single" w:color="auto" w:sz="4" w:space="0"/>
              <w:bottom w:val="single" w:color="auto" w:sz="4" w:space="0"/>
              <w:right w:val="single" w:color="auto" w:sz="12" w:space="0"/>
            </w:tcBorders>
            <w:vAlign w:val="center"/>
          </w:tcPr>
          <w:p w14:paraId="145906BF">
            <w:pPr>
              <w:widowControl/>
              <w:spacing w:line="240" w:lineRule="auto"/>
              <w:jc w:val="center"/>
              <w:rPr>
                <w:rFonts w:cs="Times New Roman"/>
                <w:kern w:val="0"/>
                <w:sz w:val="21"/>
                <w:szCs w:val="21"/>
              </w:rPr>
            </w:pPr>
          </w:p>
        </w:tc>
      </w:tr>
      <w:tr w14:paraId="5FFA8111">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14:paraId="67FFFE1A">
            <w:pPr>
              <w:widowControl/>
              <w:spacing w:line="240" w:lineRule="auto"/>
              <w:jc w:val="center"/>
              <w:rPr>
                <w:rFonts w:cs="Times New Roman"/>
                <w:kern w:val="0"/>
                <w:sz w:val="21"/>
                <w:szCs w:val="21"/>
              </w:rPr>
            </w:pPr>
            <w:r>
              <w:rPr>
                <w:rFonts w:cs="Times New Roman"/>
                <w:kern w:val="0"/>
                <w:sz w:val="21"/>
                <w:szCs w:val="21"/>
              </w:rPr>
              <w:t>8</w:t>
            </w:r>
          </w:p>
        </w:tc>
        <w:tc>
          <w:tcPr>
            <w:tcW w:w="3630" w:type="dxa"/>
            <w:gridSpan w:val="5"/>
            <w:tcBorders>
              <w:top w:val="single" w:color="auto" w:sz="4" w:space="0"/>
              <w:left w:val="single" w:color="auto" w:sz="4" w:space="0"/>
              <w:bottom w:val="single" w:color="auto" w:sz="4" w:space="0"/>
              <w:right w:val="single" w:color="auto" w:sz="4" w:space="0"/>
            </w:tcBorders>
            <w:vAlign w:val="center"/>
          </w:tcPr>
          <w:p w14:paraId="5C3B497D">
            <w:pPr>
              <w:widowControl/>
              <w:spacing w:line="240" w:lineRule="auto"/>
              <w:jc w:val="center"/>
              <w:rPr>
                <w:rFonts w:cs="Times New Roman"/>
                <w:kern w:val="0"/>
                <w:sz w:val="21"/>
                <w:szCs w:val="21"/>
              </w:rPr>
            </w:pPr>
            <w:r>
              <w:rPr>
                <w:rFonts w:cs="Times New Roman"/>
                <w:kern w:val="0"/>
                <w:sz w:val="21"/>
                <w:szCs w:val="21"/>
              </w:rPr>
              <w:t>电源接地</w:t>
            </w:r>
          </w:p>
        </w:tc>
        <w:tc>
          <w:tcPr>
            <w:tcW w:w="5026" w:type="dxa"/>
            <w:gridSpan w:val="6"/>
            <w:tcBorders>
              <w:top w:val="single" w:color="auto" w:sz="4" w:space="0"/>
              <w:left w:val="single" w:color="auto" w:sz="4" w:space="0"/>
              <w:bottom w:val="single" w:color="auto" w:sz="4" w:space="0"/>
              <w:right w:val="single" w:color="auto" w:sz="12" w:space="0"/>
            </w:tcBorders>
            <w:vAlign w:val="center"/>
          </w:tcPr>
          <w:p w14:paraId="073C5B63">
            <w:pPr>
              <w:widowControl/>
              <w:spacing w:line="240" w:lineRule="auto"/>
              <w:jc w:val="center"/>
              <w:rPr>
                <w:rFonts w:cs="Times New Roman"/>
                <w:kern w:val="0"/>
                <w:sz w:val="21"/>
                <w:szCs w:val="21"/>
              </w:rPr>
            </w:pPr>
          </w:p>
        </w:tc>
      </w:tr>
      <w:tr w14:paraId="1E1E2ACA">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14:paraId="64555BBB">
            <w:pPr>
              <w:widowControl/>
              <w:spacing w:line="240" w:lineRule="auto"/>
              <w:jc w:val="center"/>
              <w:rPr>
                <w:rFonts w:cs="Times New Roman"/>
                <w:kern w:val="0"/>
                <w:sz w:val="21"/>
                <w:szCs w:val="21"/>
              </w:rPr>
            </w:pPr>
            <w:r>
              <w:rPr>
                <w:rFonts w:cs="Times New Roman"/>
                <w:kern w:val="0"/>
                <w:sz w:val="21"/>
                <w:szCs w:val="21"/>
              </w:rPr>
              <w:t>9</w:t>
            </w:r>
          </w:p>
        </w:tc>
        <w:tc>
          <w:tcPr>
            <w:tcW w:w="3630" w:type="dxa"/>
            <w:gridSpan w:val="5"/>
            <w:tcBorders>
              <w:top w:val="single" w:color="auto" w:sz="4" w:space="0"/>
              <w:left w:val="single" w:color="auto" w:sz="4" w:space="0"/>
              <w:bottom w:val="single" w:color="auto" w:sz="4" w:space="0"/>
              <w:right w:val="single" w:color="auto" w:sz="4" w:space="0"/>
            </w:tcBorders>
            <w:vAlign w:val="center"/>
          </w:tcPr>
          <w:p w14:paraId="064ED119">
            <w:pPr>
              <w:widowControl/>
              <w:spacing w:line="240" w:lineRule="auto"/>
              <w:jc w:val="center"/>
              <w:rPr>
                <w:rFonts w:cs="Times New Roman"/>
                <w:kern w:val="0"/>
                <w:sz w:val="21"/>
                <w:szCs w:val="21"/>
              </w:rPr>
            </w:pPr>
            <w:r>
              <w:rPr>
                <w:rFonts w:cs="Times New Roman"/>
                <w:kern w:val="0"/>
                <w:sz w:val="21"/>
                <w:szCs w:val="21"/>
              </w:rPr>
              <w:t>电源电压</w:t>
            </w:r>
          </w:p>
        </w:tc>
        <w:tc>
          <w:tcPr>
            <w:tcW w:w="5026" w:type="dxa"/>
            <w:gridSpan w:val="6"/>
            <w:tcBorders>
              <w:top w:val="single" w:color="auto" w:sz="4" w:space="0"/>
              <w:left w:val="single" w:color="auto" w:sz="4" w:space="0"/>
              <w:bottom w:val="single" w:color="auto" w:sz="4" w:space="0"/>
              <w:right w:val="single" w:color="auto" w:sz="12" w:space="0"/>
            </w:tcBorders>
            <w:vAlign w:val="center"/>
          </w:tcPr>
          <w:p w14:paraId="4C6679A4">
            <w:pPr>
              <w:widowControl/>
              <w:spacing w:line="240" w:lineRule="auto"/>
              <w:jc w:val="center"/>
              <w:rPr>
                <w:rFonts w:cs="Times New Roman"/>
                <w:kern w:val="0"/>
                <w:sz w:val="21"/>
                <w:szCs w:val="21"/>
              </w:rPr>
            </w:pPr>
          </w:p>
        </w:tc>
      </w:tr>
      <w:tr w14:paraId="70EDB355">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14:paraId="57D6ECAE">
            <w:pPr>
              <w:widowControl/>
              <w:spacing w:line="240" w:lineRule="auto"/>
              <w:jc w:val="center"/>
              <w:rPr>
                <w:rFonts w:cs="Times New Roman"/>
                <w:kern w:val="0"/>
                <w:sz w:val="21"/>
                <w:szCs w:val="21"/>
              </w:rPr>
            </w:pPr>
            <w:r>
              <w:rPr>
                <w:rFonts w:cs="Times New Roman"/>
                <w:kern w:val="0"/>
                <w:sz w:val="21"/>
                <w:szCs w:val="21"/>
              </w:rPr>
              <w:t>10</w:t>
            </w:r>
          </w:p>
        </w:tc>
        <w:tc>
          <w:tcPr>
            <w:tcW w:w="3630" w:type="dxa"/>
            <w:gridSpan w:val="5"/>
            <w:tcBorders>
              <w:top w:val="single" w:color="auto" w:sz="4" w:space="0"/>
              <w:left w:val="single" w:color="auto" w:sz="4" w:space="0"/>
              <w:bottom w:val="single" w:color="auto" w:sz="4" w:space="0"/>
              <w:right w:val="single" w:color="auto" w:sz="4" w:space="0"/>
            </w:tcBorders>
            <w:vAlign w:val="center"/>
          </w:tcPr>
          <w:p w14:paraId="36931005">
            <w:pPr>
              <w:widowControl/>
              <w:spacing w:line="240" w:lineRule="auto"/>
              <w:jc w:val="center"/>
              <w:rPr>
                <w:rFonts w:cs="Times New Roman"/>
                <w:kern w:val="0"/>
                <w:sz w:val="21"/>
                <w:szCs w:val="21"/>
              </w:rPr>
            </w:pPr>
            <w:r>
              <w:rPr>
                <w:rFonts w:cs="Times New Roman"/>
                <w:kern w:val="0"/>
                <w:sz w:val="21"/>
                <w:szCs w:val="21"/>
              </w:rPr>
              <w:t>数显模块</w:t>
            </w:r>
          </w:p>
        </w:tc>
        <w:tc>
          <w:tcPr>
            <w:tcW w:w="5026" w:type="dxa"/>
            <w:gridSpan w:val="6"/>
            <w:tcBorders>
              <w:top w:val="single" w:color="auto" w:sz="4" w:space="0"/>
              <w:left w:val="single" w:color="auto" w:sz="4" w:space="0"/>
              <w:bottom w:val="single" w:color="auto" w:sz="4" w:space="0"/>
              <w:right w:val="single" w:color="auto" w:sz="12" w:space="0"/>
            </w:tcBorders>
            <w:vAlign w:val="center"/>
          </w:tcPr>
          <w:p w14:paraId="661C10C0">
            <w:pPr>
              <w:widowControl/>
              <w:spacing w:line="240" w:lineRule="auto"/>
              <w:jc w:val="center"/>
              <w:rPr>
                <w:rFonts w:cs="Times New Roman"/>
                <w:kern w:val="0"/>
                <w:sz w:val="21"/>
                <w:szCs w:val="21"/>
              </w:rPr>
            </w:pPr>
          </w:p>
        </w:tc>
      </w:tr>
      <w:tr w14:paraId="2E70242E">
        <w:tblPrEx>
          <w:tblCellMar>
            <w:top w:w="0" w:type="dxa"/>
            <w:left w:w="108" w:type="dxa"/>
            <w:bottom w:w="0" w:type="dxa"/>
            <w:right w:w="108" w:type="dxa"/>
          </w:tblCellMar>
        </w:tblPrEx>
        <w:trPr>
          <w:trHeight w:val="60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14:paraId="4A45D7C9">
            <w:pPr>
              <w:widowControl/>
              <w:spacing w:line="240" w:lineRule="auto"/>
              <w:jc w:val="center"/>
              <w:rPr>
                <w:rFonts w:cs="Times New Roman"/>
                <w:kern w:val="0"/>
                <w:sz w:val="21"/>
                <w:szCs w:val="21"/>
              </w:rPr>
            </w:pPr>
            <w:r>
              <w:rPr>
                <w:rFonts w:cs="Times New Roman"/>
                <w:kern w:val="0"/>
                <w:sz w:val="21"/>
                <w:szCs w:val="21"/>
              </w:rPr>
              <w:t>11</w:t>
            </w:r>
          </w:p>
        </w:tc>
        <w:tc>
          <w:tcPr>
            <w:tcW w:w="3630" w:type="dxa"/>
            <w:gridSpan w:val="5"/>
            <w:tcBorders>
              <w:top w:val="single" w:color="auto" w:sz="4" w:space="0"/>
              <w:left w:val="single" w:color="auto" w:sz="4" w:space="0"/>
              <w:bottom w:val="single" w:color="auto" w:sz="4" w:space="0"/>
              <w:right w:val="single" w:color="auto" w:sz="4" w:space="0"/>
            </w:tcBorders>
            <w:vAlign w:val="center"/>
          </w:tcPr>
          <w:p w14:paraId="4405749B">
            <w:pPr>
              <w:widowControl/>
              <w:spacing w:line="240" w:lineRule="auto"/>
              <w:jc w:val="center"/>
              <w:rPr>
                <w:rFonts w:cs="Times New Roman"/>
                <w:kern w:val="0"/>
                <w:sz w:val="21"/>
                <w:szCs w:val="21"/>
              </w:rPr>
            </w:pPr>
            <w:r>
              <w:rPr>
                <w:rFonts w:cs="Times New Roman"/>
                <w:kern w:val="0"/>
                <w:sz w:val="21"/>
                <w:szCs w:val="21"/>
              </w:rPr>
              <w:t>其他</w:t>
            </w:r>
          </w:p>
        </w:tc>
        <w:tc>
          <w:tcPr>
            <w:tcW w:w="5026" w:type="dxa"/>
            <w:gridSpan w:val="6"/>
            <w:tcBorders>
              <w:top w:val="single" w:color="auto" w:sz="4" w:space="0"/>
              <w:left w:val="single" w:color="auto" w:sz="4" w:space="0"/>
              <w:bottom w:val="single" w:color="auto" w:sz="4" w:space="0"/>
              <w:right w:val="single" w:color="auto" w:sz="12" w:space="0"/>
            </w:tcBorders>
            <w:vAlign w:val="center"/>
          </w:tcPr>
          <w:p w14:paraId="56045742">
            <w:pPr>
              <w:widowControl/>
              <w:spacing w:line="240" w:lineRule="auto"/>
              <w:jc w:val="center"/>
              <w:rPr>
                <w:rFonts w:cs="Times New Roman"/>
                <w:kern w:val="0"/>
                <w:sz w:val="21"/>
                <w:szCs w:val="21"/>
              </w:rPr>
            </w:pPr>
          </w:p>
        </w:tc>
      </w:tr>
      <w:tr w14:paraId="36C1FAAB">
        <w:tblPrEx>
          <w:tblCellMar>
            <w:top w:w="0" w:type="dxa"/>
            <w:left w:w="108" w:type="dxa"/>
            <w:bottom w:w="0" w:type="dxa"/>
            <w:right w:w="108" w:type="dxa"/>
          </w:tblCellMar>
        </w:tblPrEx>
        <w:trPr>
          <w:trHeight w:val="1518" w:hRule="atLeast"/>
          <w:jc w:val="center"/>
        </w:trPr>
        <w:tc>
          <w:tcPr>
            <w:tcW w:w="426" w:type="dxa"/>
            <w:tcBorders>
              <w:top w:val="single" w:color="auto" w:sz="4" w:space="0"/>
              <w:left w:val="single" w:color="auto" w:sz="12" w:space="0"/>
              <w:bottom w:val="single" w:color="auto" w:sz="12" w:space="0"/>
              <w:right w:val="single" w:color="auto" w:sz="4" w:space="0"/>
            </w:tcBorders>
            <w:vAlign w:val="center"/>
          </w:tcPr>
          <w:p w14:paraId="341D09A0">
            <w:pPr>
              <w:widowControl/>
              <w:spacing w:line="240" w:lineRule="auto"/>
              <w:jc w:val="center"/>
              <w:rPr>
                <w:rFonts w:asciiTheme="minorEastAsia" w:hAnsiTheme="minorEastAsia"/>
                <w:kern w:val="0"/>
                <w:sz w:val="21"/>
                <w:szCs w:val="21"/>
              </w:rPr>
            </w:pPr>
          </w:p>
        </w:tc>
        <w:tc>
          <w:tcPr>
            <w:tcW w:w="8656" w:type="dxa"/>
            <w:gridSpan w:val="11"/>
            <w:tcBorders>
              <w:top w:val="single" w:color="auto" w:sz="4" w:space="0"/>
              <w:left w:val="single" w:color="auto" w:sz="4" w:space="0"/>
              <w:bottom w:val="single" w:color="auto" w:sz="12" w:space="0"/>
              <w:right w:val="single" w:color="auto" w:sz="12" w:space="0"/>
            </w:tcBorders>
            <w:vAlign w:val="center"/>
          </w:tcPr>
          <w:p w14:paraId="7B7C30EA">
            <w:pPr>
              <w:widowControl/>
              <w:spacing w:line="240" w:lineRule="auto"/>
              <w:jc w:val="center"/>
              <w:rPr>
                <w:rFonts w:asciiTheme="minorEastAsia" w:hAnsiTheme="minorEastAsia"/>
                <w:kern w:val="0"/>
                <w:sz w:val="21"/>
                <w:szCs w:val="21"/>
              </w:rPr>
            </w:pPr>
          </w:p>
        </w:tc>
      </w:tr>
      <w:tr w14:paraId="59E0610A">
        <w:tblPrEx>
          <w:tblCellMar>
            <w:top w:w="0" w:type="dxa"/>
            <w:left w:w="108" w:type="dxa"/>
            <w:bottom w:w="0" w:type="dxa"/>
            <w:right w:w="108" w:type="dxa"/>
          </w:tblCellMar>
        </w:tblPrEx>
        <w:trPr>
          <w:trHeight w:val="600" w:hRule="atLeast"/>
          <w:jc w:val="center"/>
        </w:trPr>
        <w:tc>
          <w:tcPr>
            <w:tcW w:w="9082" w:type="dxa"/>
            <w:gridSpan w:val="12"/>
            <w:tcBorders>
              <w:top w:val="single" w:color="auto" w:sz="12" w:space="0"/>
              <w:left w:val="nil"/>
              <w:bottom w:val="nil"/>
              <w:right w:val="nil"/>
            </w:tcBorders>
            <w:vAlign w:val="center"/>
          </w:tcPr>
          <w:p w14:paraId="25345205">
            <w:pPr>
              <w:widowControl/>
              <w:spacing w:line="240" w:lineRule="auto"/>
              <w:rPr>
                <w:rFonts w:asciiTheme="minorEastAsia" w:hAnsiTheme="minorEastAsia"/>
                <w:kern w:val="0"/>
                <w:sz w:val="21"/>
                <w:szCs w:val="21"/>
              </w:rPr>
            </w:pPr>
            <w:r>
              <w:rPr>
                <w:rFonts w:hint="eastAsia" w:asciiTheme="minorEastAsia" w:hAnsiTheme="minorEastAsia"/>
                <w:kern w:val="0"/>
                <w:sz w:val="21"/>
                <w:szCs w:val="21"/>
              </w:rPr>
              <w:t>检测员：</w:t>
            </w:r>
            <w:r>
              <w:rPr>
                <w:rFonts w:asciiTheme="minorEastAsia" w:hAnsiTheme="minorEastAsia"/>
                <w:kern w:val="0"/>
                <w:sz w:val="21"/>
                <w:szCs w:val="21"/>
              </w:rPr>
              <w:t xml:space="preserve">           </w:t>
            </w:r>
            <w:r>
              <w:rPr>
                <w:rFonts w:hint="eastAsia" w:asciiTheme="minorEastAsia" w:hAnsiTheme="minorEastAsia"/>
                <w:kern w:val="0"/>
                <w:sz w:val="21"/>
                <w:szCs w:val="21"/>
              </w:rPr>
              <w:t>记录员：</w:t>
            </w:r>
            <w:r>
              <w:rPr>
                <w:rFonts w:asciiTheme="minorEastAsia" w:hAnsiTheme="minorEastAsia"/>
                <w:kern w:val="0"/>
                <w:sz w:val="21"/>
                <w:szCs w:val="21"/>
              </w:rPr>
              <w:t xml:space="preserve">             </w:t>
            </w:r>
            <w:r>
              <w:rPr>
                <w:rFonts w:hint="eastAsia" w:asciiTheme="minorEastAsia" w:hAnsiTheme="minorEastAsia"/>
                <w:kern w:val="0"/>
                <w:sz w:val="21"/>
                <w:szCs w:val="21"/>
              </w:rPr>
              <w:t>校核员：</w:t>
            </w:r>
            <w:r>
              <w:rPr>
                <w:rFonts w:asciiTheme="minorEastAsia" w:hAnsiTheme="minorEastAsia"/>
                <w:kern w:val="0"/>
                <w:sz w:val="21"/>
                <w:szCs w:val="21"/>
              </w:rPr>
              <w:t xml:space="preserve">      </w:t>
            </w:r>
            <w:r>
              <w:rPr>
                <w:rFonts w:hint="eastAsia" w:asciiTheme="minorEastAsia" w:hAnsiTheme="minorEastAsia"/>
                <w:kern w:val="0"/>
                <w:sz w:val="21"/>
                <w:szCs w:val="21"/>
              </w:rPr>
              <w:t xml:space="preserve"> </w:t>
            </w:r>
            <w:r>
              <w:rPr>
                <w:rFonts w:asciiTheme="minorEastAsia" w:hAnsiTheme="minorEastAsia"/>
                <w:kern w:val="0"/>
                <w:sz w:val="21"/>
                <w:szCs w:val="21"/>
              </w:rPr>
              <w:t xml:space="preserve">   </w:t>
            </w:r>
            <w:r>
              <w:rPr>
                <w:rFonts w:hint="eastAsia" w:asciiTheme="minorEastAsia" w:hAnsiTheme="minorEastAsia"/>
                <w:kern w:val="0"/>
                <w:sz w:val="21"/>
                <w:szCs w:val="21"/>
              </w:rPr>
              <w:t>检查日期：</w:t>
            </w:r>
            <w:r>
              <w:rPr>
                <w:rFonts w:asciiTheme="minorEastAsia" w:hAnsiTheme="minorEastAsia"/>
                <w:kern w:val="0"/>
                <w:sz w:val="21"/>
                <w:szCs w:val="21"/>
              </w:rPr>
              <w:t xml:space="preserve">    </w:t>
            </w:r>
            <w:r>
              <w:rPr>
                <w:rFonts w:hint="eastAsia" w:asciiTheme="minorEastAsia" w:hAnsiTheme="minorEastAsia"/>
                <w:kern w:val="0"/>
                <w:sz w:val="21"/>
                <w:szCs w:val="21"/>
              </w:rPr>
              <w:t>年</w:t>
            </w:r>
            <w:r>
              <w:rPr>
                <w:rFonts w:asciiTheme="minorEastAsia" w:hAnsiTheme="minorEastAsia"/>
                <w:kern w:val="0"/>
                <w:sz w:val="21"/>
                <w:szCs w:val="21"/>
              </w:rPr>
              <w:t xml:space="preserve">    </w:t>
            </w:r>
            <w:r>
              <w:rPr>
                <w:rFonts w:hint="eastAsia" w:asciiTheme="minorEastAsia" w:hAnsiTheme="minorEastAsia"/>
                <w:kern w:val="0"/>
                <w:sz w:val="21"/>
                <w:szCs w:val="21"/>
              </w:rPr>
              <w:t>月</w:t>
            </w:r>
            <w:r>
              <w:rPr>
                <w:rFonts w:asciiTheme="minorEastAsia" w:hAnsiTheme="minorEastAsia"/>
                <w:kern w:val="0"/>
                <w:sz w:val="21"/>
                <w:szCs w:val="21"/>
              </w:rPr>
              <w:t xml:space="preserve">   </w:t>
            </w:r>
            <w:r>
              <w:rPr>
                <w:rFonts w:hint="eastAsia" w:asciiTheme="minorEastAsia" w:hAnsiTheme="minorEastAsia"/>
                <w:kern w:val="0"/>
                <w:sz w:val="21"/>
                <w:szCs w:val="21"/>
              </w:rPr>
              <w:t>日</w:t>
            </w:r>
          </w:p>
        </w:tc>
      </w:tr>
    </w:tbl>
    <w:p w14:paraId="297DA8EC">
      <w:pPr>
        <w:pStyle w:val="18"/>
        <w:ind w:left="480"/>
      </w:pPr>
    </w:p>
    <w:p w14:paraId="76CA8C30">
      <w:pPr>
        <w:pStyle w:val="18"/>
        <w:ind w:left="480"/>
        <w:sectPr>
          <w:pgSz w:w="11906" w:h="16838"/>
          <w:pgMar w:top="1440" w:right="1800" w:bottom="1440" w:left="1800" w:header="851" w:footer="992" w:gutter="0"/>
          <w:cols w:space="425" w:num="1"/>
          <w:docGrid w:type="lines" w:linePitch="312" w:charSpace="0"/>
        </w:sectPr>
      </w:pPr>
    </w:p>
    <w:p w14:paraId="3228EAFE">
      <w:pPr>
        <w:pStyle w:val="4"/>
      </w:pPr>
      <w:bookmarkStart w:id="404" w:name="_Toc153290459"/>
      <w:bookmarkStart w:id="405" w:name="_Toc311639742"/>
      <w:bookmarkStart w:id="406" w:name="_Toc136938641"/>
      <w:bookmarkStart w:id="407" w:name="_Toc18627"/>
      <w:bookmarkStart w:id="408" w:name="_Toc181825591"/>
      <w:bookmarkStart w:id="409" w:name="_Toc120871913"/>
      <w:bookmarkStart w:id="410" w:name="_Toc12495"/>
      <w:bookmarkStart w:id="411" w:name="_Toc9372"/>
      <w:bookmarkStart w:id="412" w:name="_Toc6194"/>
      <w:r>
        <w:rPr>
          <w:rFonts w:hint="eastAsia"/>
        </w:rPr>
        <w:t>附录D　检测成果表</w:t>
      </w:r>
      <w:bookmarkEnd w:id="404"/>
      <w:bookmarkEnd w:id="405"/>
      <w:bookmarkEnd w:id="406"/>
      <w:bookmarkEnd w:id="407"/>
      <w:bookmarkEnd w:id="408"/>
      <w:bookmarkEnd w:id="409"/>
      <w:bookmarkEnd w:id="410"/>
      <w:bookmarkEnd w:id="411"/>
      <w:bookmarkEnd w:id="412"/>
    </w:p>
    <w:p w14:paraId="626FA809">
      <w:pPr>
        <w:spacing w:line="240" w:lineRule="auto"/>
        <w:rPr>
          <w:rFonts w:eastAsia="宋体" w:cs="Times New Roman"/>
          <w:b/>
          <w:color w:val="000000"/>
          <w:sz w:val="28"/>
          <w:szCs w:val="28"/>
        </w:rPr>
      </w:pPr>
    </w:p>
    <w:p w14:paraId="1BEA38D8">
      <w:pPr>
        <w:rPr>
          <w:rFonts w:eastAsia="宋体" w:cs="Times New Roman"/>
          <w:b/>
          <w:color w:val="000000"/>
          <w:szCs w:val="24"/>
        </w:rPr>
      </w:pPr>
      <w:r>
        <w:rPr>
          <w:rFonts w:hint="eastAsia" w:eastAsia="宋体" w:cs="Times New Roman"/>
          <w:b/>
          <w:color w:val="000000"/>
          <w:szCs w:val="24"/>
        </w:rPr>
        <w:t>D.0.1　</w:t>
      </w:r>
      <w:r>
        <w:rPr>
          <w:rFonts w:hint="eastAsia" w:eastAsia="宋体" w:cs="Times New Roman"/>
          <w:color w:val="000000"/>
          <w:szCs w:val="24"/>
        </w:rPr>
        <w:t>给水管道缺陷统计应按表D.0.1填写。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134"/>
        <w:gridCol w:w="961"/>
        <w:gridCol w:w="815"/>
        <w:gridCol w:w="814"/>
        <w:gridCol w:w="801"/>
        <w:gridCol w:w="3050"/>
        <w:gridCol w:w="1078"/>
      </w:tblGrid>
      <w:tr w14:paraId="0B66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354" w:type="dxa"/>
            <w:gridSpan w:val="8"/>
            <w:tcBorders>
              <w:top w:val="nil"/>
              <w:left w:val="nil"/>
              <w:bottom w:val="single" w:color="auto" w:sz="12" w:space="0"/>
              <w:right w:val="nil"/>
            </w:tcBorders>
            <w:vAlign w:val="center"/>
          </w:tcPr>
          <w:p w14:paraId="5C4E53B6">
            <w:pPr>
              <w:jc w:val="center"/>
            </w:pPr>
            <w:r>
              <w:rPr>
                <w:rFonts w:hint="eastAsia"/>
              </w:rPr>
              <w:t>表D.0.1　给水管道缺陷统计表</w:t>
            </w:r>
          </w:p>
          <w:p w14:paraId="78AA35BC">
            <w:pPr>
              <w:spacing w:line="240" w:lineRule="auto"/>
              <w:jc w:val="center"/>
            </w:pPr>
            <w:r>
              <w:rPr>
                <w:rFonts w:hint="eastAsia"/>
              </w:rPr>
              <w:t>（结构性缺陷/功能性缺陷）</w:t>
            </w:r>
          </w:p>
          <w:p w14:paraId="63ABC2B2">
            <w:pPr>
              <w:pStyle w:val="2"/>
              <w:ind w:left="0" w:firstLine="0" w:firstLineChars="0"/>
            </w:pPr>
            <w:r>
              <w:rPr>
                <w:rFonts w:hint="eastAsia" w:cs="Times New Roman"/>
                <w:bCs/>
                <w:color w:val="000000"/>
                <w:sz w:val="21"/>
              </w:rPr>
              <w:t>任务名称：                                                            第   页  共   页</w:t>
            </w:r>
          </w:p>
        </w:tc>
      </w:tr>
      <w:tr w14:paraId="68ED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12" w:space="0"/>
              <w:left w:val="single" w:color="auto" w:sz="12" w:space="0"/>
              <w:bottom w:val="single" w:color="auto" w:sz="6" w:space="0"/>
              <w:right w:val="single" w:color="auto" w:sz="6" w:space="0"/>
            </w:tcBorders>
            <w:vAlign w:val="center"/>
          </w:tcPr>
          <w:p w14:paraId="2B5FCE54">
            <w:pPr>
              <w:spacing w:line="240" w:lineRule="auto"/>
              <w:jc w:val="center"/>
              <w:rPr>
                <w:rFonts w:eastAsia="宋体" w:cs="Times New Roman"/>
                <w:color w:val="000000"/>
                <w:sz w:val="21"/>
                <w:szCs w:val="24"/>
              </w:rPr>
            </w:pPr>
            <w:r>
              <w:rPr>
                <w:rFonts w:hint="eastAsia" w:eastAsia="宋体" w:cs="Times New Roman"/>
                <w:color w:val="000000"/>
                <w:sz w:val="21"/>
                <w:szCs w:val="24"/>
              </w:rPr>
              <w:t>序号</w:t>
            </w:r>
          </w:p>
        </w:tc>
        <w:tc>
          <w:tcPr>
            <w:tcW w:w="1134" w:type="dxa"/>
            <w:tcBorders>
              <w:top w:val="single" w:color="auto" w:sz="12" w:space="0"/>
              <w:left w:val="single" w:color="auto" w:sz="6" w:space="0"/>
              <w:bottom w:val="single" w:color="auto" w:sz="6" w:space="0"/>
              <w:right w:val="single" w:color="auto" w:sz="6" w:space="0"/>
            </w:tcBorders>
            <w:vAlign w:val="center"/>
          </w:tcPr>
          <w:p w14:paraId="252AAFFF">
            <w:pPr>
              <w:spacing w:line="240" w:lineRule="auto"/>
              <w:jc w:val="center"/>
              <w:rPr>
                <w:rFonts w:eastAsia="宋体" w:cs="Times New Roman"/>
                <w:color w:val="000000"/>
                <w:sz w:val="21"/>
                <w:szCs w:val="24"/>
              </w:rPr>
            </w:pPr>
            <w:r>
              <w:rPr>
                <w:rFonts w:hint="eastAsia" w:eastAsia="宋体" w:cs="Times New Roman"/>
                <w:color w:val="000000"/>
                <w:sz w:val="21"/>
                <w:szCs w:val="24"/>
              </w:rPr>
              <w:t>管段编号</w:t>
            </w:r>
          </w:p>
        </w:tc>
        <w:tc>
          <w:tcPr>
            <w:tcW w:w="961" w:type="dxa"/>
            <w:tcBorders>
              <w:top w:val="single" w:color="auto" w:sz="12" w:space="0"/>
              <w:left w:val="single" w:color="auto" w:sz="6" w:space="0"/>
              <w:bottom w:val="single" w:color="auto" w:sz="6" w:space="0"/>
              <w:right w:val="single" w:color="auto" w:sz="6" w:space="0"/>
            </w:tcBorders>
            <w:vAlign w:val="center"/>
          </w:tcPr>
          <w:p w14:paraId="07229F90">
            <w:pPr>
              <w:spacing w:line="240" w:lineRule="auto"/>
              <w:jc w:val="center"/>
              <w:rPr>
                <w:rFonts w:eastAsia="宋体" w:cs="Times New Roman"/>
                <w:color w:val="000000"/>
                <w:sz w:val="21"/>
                <w:szCs w:val="24"/>
              </w:rPr>
            </w:pPr>
            <w:r>
              <w:rPr>
                <w:rFonts w:hint="eastAsia" w:eastAsia="宋体" w:cs="Times New Roman"/>
                <w:color w:val="000000"/>
                <w:sz w:val="21"/>
                <w:szCs w:val="24"/>
              </w:rPr>
              <w:t>管径</w:t>
            </w:r>
          </w:p>
        </w:tc>
        <w:tc>
          <w:tcPr>
            <w:tcW w:w="815" w:type="dxa"/>
            <w:tcBorders>
              <w:top w:val="single" w:color="auto" w:sz="12" w:space="0"/>
              <w:left w:val="single" w:color="auto" w:sz="6" w:space="0"/>
              <w:bottom w:val="single" w:color="auto" w:sz="6" w:space="0"/>
              <w:right w:val="single" w:color="auto" w:sz="6" w:space="0"/>
            </w:tcBorders>
            <w:vAlign w:val="center"/>
          </w:tcPr>
          <w:p w14:paraId="7E0A1D71">
            <w:pPr>
              <w:spacing w:line="240" w:lineRule="auto"/>
              <w:jc w:val="center"/>
              <w:rPr>
                <w:rFonts w:eastAsia="宋体" w:cs="Times New Roman"/>
                <w:color w:val="000000"/>
                <w:sz w:val="21"/>
                <w:szCs w:val="24"/>
              </w:rPr>
            </w:pPr>
            <w:r>
              <w:rPr>
                <w:rFonts w:hint="eastAsia" w:eastAsia="宋体" w:cs="Times New Roman"/>
                <w:color w:val="000000"/>
                <w:sz w:val="21"/>
                <w:szCs w:val="24"/>
              </w:rPr>
              <w:t>材质</w:t>
            </w:r>
          </w:p>
        </w:tc>
        <w:tc>
          <w:tcPr>
            <w:tcW w:w="814" w:type="dxa"/>
            <w:tcBorders>
              <w:top w:val="single" w:color="auto" w:sz="12" w:space="0"/>
              <w:left w:val="single" w:color="auto" w:sz="6" w:space="0"/>
              <w:bottom w:val="single" w:color="auto" w:sz="6" w:space="0"/>
              <w:right w:val="single" w:color="auto" w:sz="6" w:space="0"/>
            </w:tcBorders>
            <w:vAlign w:val="center"/>
          </w:tcPr>
          <w:p w14:paraId="5547657C">
            <w:pPr>
              <w:spacing w:line="240" w:lineRule="auto"/>
              <w:jc w:val="center"/>
              <w:rPr>
                <w:rFonts w:eastAsia="宋体" w:cs="Times New Roman"/>
                <w:color w:val="000000"/>
                <w:sz w:val="21"/>
                <w:szCs w:val="24"/>
              </w:rPr>
            </w:pPr>
            <w:r>
              <w:rPr>
                <w:rFonts w:hint="eastAsia" w:eastAsia="宋体" w:cs="Times New Roman"/>
                <w:color w:val="000000"/>
                <w:sz w:val="21"/>
                <w:szCs w:val="24"/>
              </w:rPr>
              <w:t>检测长度</w:t>
            </w:r>
          </w:p>
          <w:p w14:paraId="23B5C0F2">
            <w:pPr>
              <w:spacing w:line="240" w:lineRule="auto"/>
              <w:jc w:val="center"/>
              <w:rPr>
                <w:rFonts w:eastAsia="宋体" w:cs="Times New Roman"/>
                <w:color w:val="000000"/>
                <w:sz w:val="21"/>
                <w:szCs w:val="24"/>
              </w:rPr>
            </w:pPr>
            <w:r>
              <w:rPr>
                <w:rFonts w:hint="eastAsia" w:eastAsia="宋体" w:cs="Times New Roman"/>
                <w:color w:val="000000"/>
                <w:sz w:val="21"/>
                <w:szCs w:val="24"/>
              </w:rPr>
              <w:t>（m）</w:t>
            </w:r>
          </w:p>
        </w:tc>
        <w:tc>
          <w:tcPr>
            <w:tcW w:w="801" w:type="dxa"/>
            <w:tcBorders>
              <w:top w:val="single" w:color="auto" w:sz="12" w:space="0"/>
              <w:left w:val="single" w:color="auto" w:sz="6" w:space="0"/>
              <w:bottom w:val="single" w:color="auto" w:sz="6" w:space="0"/>
              <w:right w:val="single" w:color="auto" w:sz="6" w:space="0"/>
            </w:tcBorders>
            <w:vAlign w:val="center"/>
          </w:tcPr>
          <w:p w14:paraId="7C49A8CC">
            <w:pPr>
              <w:spacing w:line="240" w:lineRule="auto"/>
              <w:jc w:val="center"/>
              <w:rPr>
                <w:rFonts w:eastAsia="宋体" w:cs="Times New Roman"/>
                <w:color w:val="000000"/>
                <w:sz w:val="21"/>
                <w:szCs w:val="24"/>
              </w:rPr>
            </w:pPr>
            <w:r>
              <w:rPr>
                <w:rFonts w:hint="eastAsia" w:eastAsia="宋体" w:cs="Times New Roman"/>
                <w:color w:val="000000"/>
                <w:sz w:val="21"/>
                <w:szCs w:val="24"/>
              </w:rPr>
              <w:t>缺陷长度（m）</w:t>
            </w:r>
          </w:p>
        </w:tc>
        <w:tc>
          <w:tcPr>
            <w:tcW w:w="3050" w:type="dxa"/>
            <w:tcBorders>
              <w:top w:val="single" w:color="auto" w:sz="12" w:space="0"/>
              <w:left w:val="single" w:color="auto" w:sz="6" w:space="0"/>
              <w:bottom w:val="single" w:color="auto" w:sz="6" w:space="0"/>
              <w:right w:val="single" w:color="auto" w:sz="6" w:space="0"/>
            </w:tcBorders>
            <w:vAlign w:val="center"/>
          </w:tcPr>
          <w:p w14:paraId="0F6D2348">
            <w:pPr>
              <w:spacing w:line="240" w:lineRule="auto"/>
              <w:jc w:val="center"/>
              <w:rPr>
                <w:rFonts w:eastAsia="宋体" w:cs="Times New Roman"/>
                <w:color w:val="000000"/>
                <w:sz w:val="21"/>
                <w:szCs w:val="24"/>
              </w:rPr>
            </w:pPr>
            <w:r>
              <w:rPr>
                <w:rFonts w:hint="eastAsia" w:eastAsia="宋体" w:cs="Times New Roman"/>
                <w:color w:val="000000"/>
                <w:sz w:val="21"/>
                <w:szCs w:val="24"/>
              </w:rPr>
              <w:t>缺陷名称及位置</w:t>
            </w:r>
          </w:p>
        </w:tc>
        <w:tc>
          <w:tcPr>
            <w:tcW w:w="1078" w:type="dxa"/>
            <w:tcBorders>
              <w:top w:val="single" w:color="auto" w:sz="12" w:space="0"/>
              <w:left w:val="single" w:color="auto" w:sz="6" w:space="0"/>
              <w:bottom w:val="single" w:color="auto" w:sz="6" w:space="0"/>
              <w:right w:val="single" w:color="auto" w:sz="12" w:space="0"/>
            </w:tcBorders>
            <w:vAlign w:val="center"/>
          </w:tcPr>
          <w:p w14:paraId="3CEC2FAC">
            <w:pPr>
              <w:spacing w:line="240" w:lineRule="auto"/>
              <w:jc w:val="center"/>
              <w:rPr>
                <w:rFonts w:eastAsia="宋体" w:cs="Times New Roman"/>
                <w:color w:val="000000"/>
                <w:sz w:val="21"/>
                <w:szCs w:val="24"/>
              </w:rPr>
            </w:pPr>
            <w:r>
              <w:rPr>
                <w:rFonts w:hint="eastAsia" w:eastAsia="宋体" w:cs="Times New Roman"/>
                <w:color w:val="000000"/>
                <w:sz w:val="21"/>
                <w:szCs w:val="24"/>
              </w:rPr>
              <w:t>缺陷等级</w:t>
            </w:r>
          </w:p>
        </w:tc>
      </w:tr>
      <w:tr w14:paraId="5449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14:paraId="5B87CED7">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14:paraId="315B440C">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14:paraId="1678217F">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14:paraId="591EE107">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14:paraId="3758F8C3">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14:paraId="7BE08ACF">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14:paraId="13C3932E">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14:paraId="094F4687">
            <w:pPr>
              <w:spacing w:line="240" w:lineRule="auto"/>
              <w:rPr>
                <w:rFonts w:eastAsia="宋体" w:cs="Times New Roman"/>
                <w:color w:val="000000"/>
                <w:sz w:val="21"/>
                <w:szCs w:val="24"/>
              </w:rPr>
            </w:pPr>
          </w:p>
        </w:tc>
      </w:tr>
      <w:tr w14:paraId="5265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14:paraId="10DDF4E4">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14:paraId="73476155">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14:paraId="7B28C3B3">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14:paraId="0A06F040">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14:paraId="1BF4D23D">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14:paraId="42431851">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14:paraId="631E7C20">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14:paraId="2E78C027">
            <w:pPr>
              <w:spacing w:line="240" w:lineRule="auto"/>
              <w:rPr>
                <w:rFonts w:eastAsia="宋体" w:cs="Times New Roman"/>
                <w:color w:val="000000"/>
                <w:sz w:val="21"/>
                <w:szCs w:val="24"/>
              </w:rPr>
            </w:pPr>
          </w:p>
        </w:tc>
      </w:tr>
      <w:tr w14:paraId="7F82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14:paraId="59328C1D">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14:paraId="2F47476A">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14:paraId="10B7D75F">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14:paraId="72DF7ACF">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14:paraId="602B4C49">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14:paraId="75806D80">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14:paraId="2FEE89B3">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14:paraId="3E0EBA03">
            <w:pPr>
              <w:spacing w:line="240" w:lineRule="auto"/>
              <w:rPr>
                <w:rFonts w:eastAsia="宋体" w:cs="Times New Roman"/>
                <w:color w:val="000000"/>
                <w:sz w:val="21"/>
                <w:szCs w:val="24"/>
              </w:rPr>
            </w:pPr>
          </w:p>
        </w:tc>
      </w:tr>
      <w:tr w14:paraId="1456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14:paraId="708B7958">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14:paraId="64243376">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14:paraId="620E0AB5">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14:paraId="1A9E9622">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14:paraId="500B8DA9">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14:paraId="2BF9D426">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14:paraId="5D1237F5">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14:paraId="1FDC50D2">
            <w:pPr>
              <w:spacing w:line="240" w:lineRule="auto"/>
              <w:rPr>
                <w:rFonts w:eastAsia="宋体" w:cs="Times New Roman"/>
                <w:color w:val="000000"/>
                <w:sz w:val="21"/>
                <w:szCs w:val="24"/>
              </w:rPr>
            </w:pPr>
          </w:p>
        </w:tc>
      </w:tr>
      <w:tr w14:paraId="73ED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14:paraId="55423FF8">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14:paraId="122F5E36">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14:paraId="237E4053">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14:paraId="579904DC">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14:paraId="58CB3907">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14:paraId="6ED24C31">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14:paraId="5C624825">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14:paraId="71EECF63">
            <w:pPr>
              <w:spacing w:line="240" w:lineRule="auto"/>
              <w:rPr>
                <w:rFonts w:eastAsia="宋体" w:cs="Times New Roman"/>
                <w:color w:val="000000"/>
                <w:sz w:val="21"/>
                <w:szCs w:val="24"/>
              </w:rPr>
            </w:pPr>
          </w:p>
        </w:tc>
      </w:tr>
      <w:tr w14:paraId="05AA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14:paraId="70DEF895">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14:paraId="264F6D19">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14:paraId="3D95979F">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14:paraId="40A0AB1A">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14:paraId="7A631B63">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14:paraId="02E64416">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14:paraId="652FB34E">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14:paraId="09F77173">
            <w:pPr>
              <w:spacing w:line="240" w:lineRule="auto"/>
              <w:rPr>
                <w:rFonts w:eastAsia="宋体" w:cs="Times New Roman"/>
                <w:color w:val="000000"/>
                <w:sz w:val="21"/>
                <w:szCs w:val="24"/>
              </w:rPr>
            </w:pPr>
          </w:p>
        </w:tc>
      </w:tr>
      <w:tr w14:paraId="5C77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14:paraId="0AF4C758">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14:paraId="69661409">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14:paraId="3917AD9F">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14:paraId="636895E3">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14:paraId="1C5A1DD0">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14:paraId="1ADCADCC">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14:paraId="2BB39629">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14:paraId="5AA5947B">
            <w:pPr>
              <w:spacing w:line="240" w:lineRule="auto"/>
              <w:rPr>
                <w:rFonts w:eastAsia="宋体" w:cs="Times New Roman"/>
                <w:color w:val="000000"/>
                <w:sz w:val="21"/>
                <w:szCs w:val="24"/>
              </w:rPr>
            </w:pPr>
          </w:p>
        </w:tc>
      </w:tr>
      <w:tr w14:paraId="33AF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14:paraId="6236E776">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14:paraId="05711B37">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14:paraId="6C7D0368">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14:paraId="6C15045D">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14:paraId="7D099B91">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14:paraId="17FB24E1">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14:paraId="257BFD50">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14:paraId="2397C4A1">
            <w:pPr>
              <w:spacing w:line="240" w:lineRule="auto"/>
              <w:rPr>
                <w:rFonts w:eastAsia="宋体" w:cs="Times New Roman"/>
                <w:color w:val="000000"/>
                <w:sz w:val="21"/>
                <w:szCs w:val="24"/>
              </w:rPr>
            </w:pPr>
          </w:p>
        </w:tc>
      </w:tr>
      <w:tr w14:paraId="7390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14:paraId="6EF8530F">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14:paraId="6111C80E">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14:paraId="6A13658C">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14:paraId="10A5177D">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14:paraId="3C19C0FB">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14:paraId="37D2FDA9">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14:paraId="1A798EEB">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14:paraId="4DBD3DB2">
            <w:pPr>
              <w:spacing w:line="240" w:lineRule="auto"/>
              <w:rPr>
                <w:rFonts w:eastAsia="宋体" w:cs="Times New Roman"/>
                <w:color w:val="000000"/>
                <w:sz w:val="21"/>
                <w:szCs w:val="24"/>
              </w:rPr>
            </w:pPr>
          </w:p>
        </w:tc>
      </w:tr>
      <w:tr w14:paraId="7874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14:paraId="61FA8E53">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14:paraId="09440AC0">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14:paraId="252BD475">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14:paraId="0197C8FF">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14:paraId="400D243C">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14:paraId="56C3AE5D">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14:paraId="7B51674C">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14:paraId="1E4C146C">
            <w:pPr>
              <w:spacing w:line="240" w:lineRule="auto"/>
              <w:rPr>
                <w:rFonts w:eastAsia="宋体" w:cs="Times New Roman"/>
                <w:color w:val="000000"/>
                <w:sz w:val="21"/>
                <w:szCs w:val="24"/>
              </w:rPr>
            </w:pPr>
          </w:p>
        </w:tc>
      </w:tr>
      <w:tr w14:paraId="0EC2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14:paraId="767020C0">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14:paraId="5FE6D71A">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14:paraId="6FD4D335">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14:paraId="52198D13">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14:paraId="1045CB66">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14:paraId="69E80B0C">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14:paraId="6554CAC3">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14:paraId="604CAF19">
            <w:pPr>
              <w:spacing w:line="240" w:lineRule="auto"/>
              <w:rPr>
                <w:rFonts w:eastAsia="宋体" w:cs="Times New Roman"/>
                <w:color w:val="000000"/>
                <w:sz w:val="21"/>
                <w:szCs w:val="24"/>
              </w:rPr>
            </w:pPr>
          </w:p>
        </w:tc>
      </w:tr>
      <w:tr w14:paraId="5616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14:paraId="6E0722D0">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14:paraId="6A91A328">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14:paraId="013FCDD8">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14:paraId="460E68A2">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14:paraId="51BD1534">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14:paraId="13A082AD">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14:paraId="3DF88B19">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14:paraId="7BB53744">
            <w:pPr>
              <w:spacing w:line="240" w:lineRule="auto"/>
              <w:rPr>
                <w:rFonts w:eastAsia="宋体" w:cs="Times New Roman"/>
                <w:color w:val="000000"/>
                <w:sz w:val="21"/>
                <w:szCs w:val="24"/>
              </w:rPr>
            </w:pPr>
          </w:p>
        </w:tc>
      </w:tr>
      <w:tr w14:paraId="432D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14:paraId="653C0BBC">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14:paraId="2FA05A18">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14:paraId="1DA8B5D1">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14:paraId="7172EDDC">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14:paraId="096EA60B">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14:paraId="1F55D536">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14:paraId="6D088182">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14:paraId="5D1DCC97">
            <w:pPr>
              <w:spacing w:line="240" w:lineRule="auto"/>
              <w:rPr>
                <w:rFonts w:eastAsia="宋体" w:cs="Times New Roman"/>
                <w:color w:val="000000"/>
                <w:sz w:val="21"/>
                <w:szCs w:val="24"/>
              </w:rPr>
            </w:pPr>
          </w:p>
        </w:tc>
      </w:tr>
      <w:tr w14:paraId="2FB2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14:paraId="39B1219F">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14:paraId="6B84E82E">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14:paraId="288E144B">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14:paraId="04E8F05E">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14:paraId="51E9B135">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14:paraId="44667049">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14:paraId="6C77F392">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14:paraId="593F85E7">
            <w:pPr>
              <w:spacing w:line="240" w:lineRule="auto"/>
              <w:rPr>
                <w:rFonts w:eastAsia="宋体" w:cs="Times New Roman"/>
                <w:color w:val="000000"/>
                <w:sz w:val="21"/>
                <w:szCs w:val="24"/>
              </w:rPr>
            </w:pPr>
          </w:p>
        </w:tc>
      </w:tr>
      <w:tr w14:paraId="6BCE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14:paraId="75151346">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14:paraId="5AFE00BC">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14:paraId="143B6BAB">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14:paraId="3DD32E89">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14:paraId="239FF784">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14:paraId="7355D711">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14:paraId="035417B9">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14:paraId="57A8DA9A">
            <w:pPr>
              <w:spacing w:line="240" w:lineRule="auto"/>
              <w:rPr>
                <w:rFonts w:eastAsia="宋体" w:cs="Times New Roman"/>
                <w:color w:val="000000"/>
                <w:sz w:val="21"/>
                <w:szCs w:val="24"/>
              </w:rPr>
            </w:pPr>
          </w:p>
        </w:tc>
      </w:tr>
      <w:tr w14:paraId="3DC4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6" w:space="0"/>
              <w:right w:val="single" w:color="auto" w:sz="6" w:space="0"/>
            </w:tcBorders>
          </w:tcPr>
          <w:p w14:paraId="117044F8">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6" w:space="0"/>
              <w:right w:val="single" w:color="auto" w:sz="6" w:space="0"/>
            </w:tcBorders>
          </w:tcPr>
          <w:p w14:paraId="683089B1">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6" w:space="0"/>
              <w:right w:val="single" w:color="auto" w:sz="6" w:space="0"/>
            </w:tcBorders>
          </w:tcPr>
          <w:p w14:paraId="3C6AF7FF">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6" w:space="0"/>
              <w:right w:val="single" w:color="auto" w:sz="6" w:space="0"/>
            </w:tcBorders>
          </w:tcPr>
          <w:p w14:paraId="1788D640">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6" w:space="0"/>
              <w:right w:val="single" w:color="auto" w:sz="6" w:space="0"/>
            </w:tcBorders>
          </w:tcPr>
          <w:p w14:paraId="79817FC5">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6" w:space="0"/>
              <w:right w:val="single" w:color="auto" w:sz="6" w:space="0"/>
            </w:tcBorders>
          </w:tcPr>
          <w:p w14:paraId="416E417C">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6" w:space="0"/>
              <w:right w:val="single" w:color="auto" w:sz="6" w:space="0"/>
            </w:tcBorders>
          </w:tcPr>
          <w:p w14:paraId="4814D99F">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6" w:space="0"/>
              <w:right w:val="single" w:color="auto" w:sz="12" w:space="0"/>
            </w:tcBorders>
          </w:tcPr>
          <w:p w14:paraId="49ACDD31">
            <w:pPr>
              <w:spacing w:line="240" w:lineRule="auto"/>
              <w:rPr>
                <w:rFonts w:eastAsia="宋体" w:cs="Times New Roman"/>
                <w:color w:val="000000"/>
                <w:sz w:val="21"/>
                <w:szCs w:val="24"/>
              </w:rPr>
            </w:pPr>
          </w:p>
        </w:tc>
      </w:tr>
      <w:tr w14:paraId="36EF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dxa"/>
            <w:tcBorders>
              <w:top w:val="single" w:color="auto" w:sz="6" w:space="0"/>
              <w:left w:val="single" w:color="auto" w:sz="12" w:space="0"/>
              <w:bottom w:val="single" w:color="auto" w:sz="12" w:space="0"/>
              <w:right w:val="single" w:color="auto" w:sz="6" w:space="0"/>
            </w:tcBorders>
          </w:tcPr>
          <w:p w14:paraId="5E8A2541">
            <w:pPr>
              <w:spacing w:line="240" w:lineRule="auto"/>
              <w:rPr>
                <w:rFonts w:eastAsia="宋体" w:cs="Times New Roman"/>
                <w:color w:val="000000"/>
                <w:sz w:val="21"/>
                <w:szCs w:val="24"/>
              </w:rPr>
            </w:pPr>
          </w:p>
        </w:tc>
        <w:tc>
          <w:tcPr>
            <w:tcW w:w="1134" w:type="dxa"/>
            <w:tcBorders>
              <w:top w:val="single" w:color="auto" w:sz="6" w:space="0"/>
              <w:left w:val="single" w:color="auto" w:sz="6" w:space="0"/>
              <w:bottom w:val="single" w:color="auto" w:sz="12" w:space="0"/>
              <w:right w:val="single" w:color="auto" w:sz="6" w:space="0"/>
            </w:tcBorders>
          </w:tcPr>
          <w:p w14:paraId="285370B6">
            <w:pPr>
              <w:spacing w:line="240" w:lineRule="auto"/>
              <w:rPr>
                <w:rFonts w:eastAsia="宋体" w:cs="Times New Roman"/>
                <w:color w:val="000000"/>
                <w:sz w:val="21"/>
                <w:szCs w:val="24"/>
              </w:rPr>
            </w:pPr>
          </w:p>
        </w:tc>
        <w:tc>
          <w:tcPr>
            <w:tcW w:w="961" w:type="dxa"/>
            <w:tcBorders>
              <w:top w:val="single" w:color="auto" w:sz="6" w:space="0"/>
              <w:left w:val="single" w:color="auto" w:sz="6" w:space="0"/>
              <w:bottom w:val="single" w:color="auto" w:sz="12" w:space="0"/>
              <w:right w:val="single" w:color="auto" w:sz="6" w:space="0"/>
            </w:tcBorders>
          </w:tcPr>
          <w:p w14:paraId="6D3A1E03">
            <w:pPr>
              <w:spacing w:line="240" w:lineRule="auto"/>
              <w:rPr>
                <w:rFonts w:eastAsia="宋体" w:cs="Times New Roman"/>
                <w:color w:val="000000"/>
                <w:sz w:val="21"/>
                <w:szCs w:val="24"/>
              </w:rPr>
            </w:pPr>
          </w:p>
        </w:tc>
        <w:tc>
          <w:tcPr>
            <w:tcW w:w="815" w:type="dxa"/>
            <w:tcBorders>
              <w:top w:val="single" w:color="auto" w:sz="6" w:space="0"/>
              <w:left w:val="single" w:color="auto" w:sz="6" w:space="0"/>
              <w:bottom w:val="single" w:color="auto" w:sz="12" w:space="0"/>
              <w:right w:val="single" w:color="auto" w:sz="6" w:space="0"/>
            </w:tcBorders>
          </w:tcPr>
          <w:p w14:paraId="28342AFE">
            <w:pPr>
              <w:spacing w:line="240" w:lineRule="auto"/>
              <w:rPr>
                <w:rFonts w:eastAsia="宋体" w:cs="Times New Roman"/>
                <w:color w:val="000000"/>
                <w:sz w:val="21"/>
                <w:szCs w:val="24"/>
              </w:rPr>
            </w:pPr>
          </w:p>
        </w:tc>
        <w:tc>
          <w:tcPr>
            <w:tcW w:w="814" w:type="dxa"/>
            <w:tcBorders>
              <w:top w:val="single" w:color="auto" w:sz="6" w:space="0"/>
              <w:left w:val="single" w:color="auto" w:sz="6" w:space="0"/>
              <w:bottom w:val="single" w:color="auto" w:sz="12" w:space="0"/>
              <w:right w:val="single" w:color="auto" w:sz="6" w:space="0"/>
            </w:tcBorders>
          </w:tcPr>
          <w:p w14:paraId="0CBEB346">
            <w:pPr>
              <w:spacing w:line="240" w:lineRule="auto"/>
              <w:rPr>
                <w:rFonts w:eastAsia="宋体" w:cs="Times New Roman"/>
                <w:color w:val="000000"/>
                <w:sz w:val="21"/>
                <w:szCs w:val="24"/>
              </w:rPr>
            </w:pPr>
          </w:p>
        </w:tc>
        <w:tc>
          <w:tcPr>
            <w:tcW w:w="801" w:type="dxa"/>
            <w:tcBorders>
              <w:top w:val="single" w:color="auto" w:sz="6" w:space="0"/>
              <w:left w:val="single" w:color="auto" w:sz="6" w:space="0"/>
              <w:bottom w:val="single" w:color="auto" w:sz="12" w:space="0"/>
              <w:right w:val="single" w:color="auto" w:sz="6" w:space="0"/>
            </w:tcBorders>
          </w:tcPr>
          <w:p w14:paraId="6C568859">
            <w:pPr>
              <w:spacing w:line="240" w:lineRule="auto"/>
              <w:rPr>
                <w:rFonts w:eastAsia="宋体" w:cs="Times New Roman"/>
                <w:color w:val="000000"/>
                <w:sz w:val="21"/>
                <w:szCs w:val="24"/>
              </w:rPr>
            </w:pPr>
          </w:p>
        </w:tc>
        <w:tc>
          <w:tcPr>
            <w:tcW w:w="3050" w:type="dxa"/>
            <w:tcBorders>
              <w:top w:val="single" w:color="auto" w:sz="6" w:space="0"/>
              <w:left w:val="single" w:color="auto" w:sz="6" w:space="0"/>
              <w:bottom w:val="single" w:color="auto" w:sz="12" w:space="0"/>
              <w:right w:val="single" w:color="auto" w:sz="6" w:space="0"/>
            </w:tcBorders>
          </w:tcPr>
          <w:p w14:paraId="18ABFAFA">
            <w:pPr>
              <w:spacing w:line="240" w:lineRule="auto"/>
              <w:rPr>
                <w:rFonts w:eastAsia="宋体" w:cs="Times New Roman"/>
                <w:color w:val="000000"/>
                <w:sz w:val="21"/>
                <w:szCs w:val="24"/>
              </w:rPr>
            </w:pPr>
          </w:p>
        </w:tc>
        <w:tc>
          <w:tcPr>
            <w:tcW w:w="1078" w:type="dxa"/>
            <w:tcBorders>
              <w:top w:val="single" w:color="auto" w:sz="6" w:space="0"/>
              <w:left w:val="single" w:color="auto" w:sz="6" w:space="0"/>
              <w:bottom w:val="single" w:color="auto" w:sz="12" w:space="0"/>
              <w:right w:val="single" w:color="auto" w:sz="12" w:space="0"/>
            </w:tcBorders>
          </w:tcPr>
          <w:p w14:paraId="10A71340">
            <w:pPr>
              <w:spacing w:line="240" w:lineRule="auto"/>
              <w:rPr>
                <w:rFonts w:eastAsia="宋体" w:cs="Times New Roman"/>
                <w:color w:val="000000"/>
                <w:sz w:val="21"/>
                <w:szCs w:val="24"/>
              </w:rPr>
            </w:pPr>
          </w:p>
        </w:tc>
      </w:tr>
    </w:tbl>
    <w:p w14:paraId="74C76749">
      <w:pPr>
        <w:spacing w:line="400" w:lineRule="exact"/>
        <w:ind w:firstLine="240"/>
      </w:pPr>
      <w:r>
        <w:rPr>
          <w:rFonts w:hint="eastAsia" w:eastAsia="宋体" w:cs="Times New Roman"/>
          <w:bCs/>
          <w:color w:val="000000"/>
          <w:sz w:val="21"/>
          <w:szCs w:val="21"/>
        </w:rPr>
        <w:t>检测单位：</w:t>
      </w:r>
    </w:p>
    <w:p w14:paraId="7DC73B48">
      <w:pPr>
        <w:pStyle w:val="2"/>
        <w:ind w:firstLine="240"/>
        <w:sectPr>
          <w:pgSz w:w="11906" w:h="16838"/>
          <w:pgMar w:top="1247" w:right="1134" w:bottom="1247" w:left="1418" w:header="851" w:footer="992" w:gutter="0"/>
          <w:cols w:space="425" w:num="1"/>
          <w:docGrid w:linePitch="312" w:charSpace="0"/>
        </w:sectPr>
      </w:pPr>
    </w:p>
    <w:p w14:paraId="203DA08C">
      <w:pPr>
        <w:rPr>
          <w:rFonts w:eastAsia="宋体" w:cs="Times New Roman"/>
          <w:b/>
          <w:color w:val="000000"/>
          <w:szCs w:val="24"/>
        </w:rPr>
      </w:pPr>
      <w:bookmarkStart w:id="413" w:name="_Toc309755779"/>
      <w:bookmarkStart w:id="414" w:name="_Toc309756035"/>
      <w:bookmarkStart w:id="415" w:name="_Toc309755705"/>
      <w:bookmarkStart w:id="416" w:name="_Toc311558034"/>
      <w:r>
        <w:rPr>
          <w:rFonts w:hint="eastAsia" w:eastAsia="宋体" w:cs="Times New Roman"/>
          <w:b/>
          <w:color w:val="000000"/>
          <w:szCs w:val="24"/>
        </w:rPr>
        <w:t>D.0.2　</w:t>
      </w:r>
      <w:r>
        <w:rPr>
          <w:rFonts w:hint="eastAsia" w:eastAsia="宋体" w:cs="Times New Roman"/>
          <w:color w:val="000000"/>
          <w:szCs w:val="24"/>
        </w:rPr>
        <w:t>管段状况评估</w:t>
      </w:r>
      <w:bookmarkEnd w:id="413"/>
      <w:bookmarkEnd w:id="414"/>
      <w:bookmarkEnd w:id="415"/>
      <w:bookmarkEnd w:id="416"/>
      <w:r>
        <w:rPr>
          <w:rFonts w:hint="eastAsia" w:eastAsia="宋体" w:cs="Times New Roman"/>
          <w:color w:val="000000"/>
          <w:szCs w:val="24"/>
        </w:rPr>
        <w:t>应按表D.0.2填写。</w:t>
      </w:r>
    </w:p>
    <w:tbl>
      <w:tblPr>
        <w:tblStyle w:val="29"/>
        <w:tblW w:w="14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963"/>
        <w:gridCol w:w="800"/>
        <w:gridCol w:w="766"/>
        <w:gridCol w:w="766"/>
        <w:gridCol w:w="766"/>
        <w:gridCol w:w="722"/>
        <w:gridCol w:w="636"/>
        <w:gridCol w:w="706"/>
        <w:gridCol w:w="671"/>
        <w:gridCol w:w="729"/>
        <w:gridCol w:w="1064"/>
        <w:gridCol w:w="735"/>
        <w:gridCol w:w="750"/>
        <w:gridCol w:w="684"/>
        <w:gridCol w:w="646"/>
        <w:gridCol w:w="697"/>
        <w:gridCol w:w="1498"/>
      </w:tblGrid>
      <w:tr w14:paraId="4C8B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6" w:type="dxa"/>
            <w:gridSpan w:val="18"/>
            <w:tcBorders>
              <w:top w:val="nil"/>
              <w:left w:val="nil"/>
              <w:bottom w:val="single" w:color="auto" w:sz="12" w:space="0"/>
              <w:right w:val="nil"/>
            </w:tcBorders>
          </w:tcPr>
          <w:p w14:paraId="4B682014">
            <w:pPr>
              <w:jc w:val="center"/>
              <w:rPr>
                <w:rFonts w:eastAsia="宋体" w:cs="Times New Roman"/>
                <w:b/>
                <w:bCs/>
                <w:color w:val="000000"/>
                <w:sz w:val="21"/>
                <w:szCs w:val="21"/>
              </w:rPr>
            </w:pPr>
            <w:r>
              <w:rPr>
                <w:rFonts w:hint="eastAsia" w:eastAsia="宋体" w:cs="Times New Roman"/>
                <w:b/>
                <w:color w:val="000000"/>
                <w:sz w:val="21"/>
                <w:szCs w:val="21"/>
              </w:rPr>
              <w:t>表D.0.2　管段状况评估表</w:t>
            </w:r>
          </w:p>
          <w:p w14:paraId="3ED9A095">
            <w:pPr>
              <w:spacing w:line="400" w:lineRule="exact"/>
              <w:jc w:val="center"/>
              <w:rPr>
                <w:rFonts w:eastAsia="宋体" w:cs="Times New Roman"/>
                <w:b/>
                <w:bCs/>
                <w:color w:val="000000"/>
                <w:sz w:val="21"/>
                <w:szCs w:val="21"/>
              </w:rPr>
            </w:pPr>
            <w:r>
              <w:rPr>
                <w:rFonts w:hint="eastAsia" w:eastAsia="宋体" w:cs="Times New Roman"/>
                <w:bCs/>
                <w:color w:val="000000"/>
                <w:sz w:val="21"/>
                <w:szCs w:val="21"/>
              </w:rPr>
              <w:t>任务名称：                                                                                                            第   页  共   页</w:t>
            </w:r>
          </w:p>
        </w:tc>
      </w:tr>
      <w:tr w14:paraId="0AA2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restart"/>
            <w:tcBorders>
              <w:top w:val="single" w:color="auto" w:sz="12" w:space="0"/>
              <w:left w:val="single" w:color="auto" w:sz="12" w:space="0"/>
              <w:bottom w:val="single" w:color="auto" w:sz="6" w:space="0"/>
              <w:right w:val="single" w:color="auto" w:sz="6" w:space="0"/>
            </w:tcBorders>
            <w:vAlign w:val="center"/>
          </w:tcPr>
          <w:p w14:paraId="17273629">
            <w:pPr>
              <w:spacing w:line="400" w:lineRule="exact"/>
              <w:jc w:val="center"/>
              <w:rPr>
                <w:rFonts w:eastAsia="宋体" w:cs="Times New Roman"/>
                <w:bCs/>
                <w:color w:val="000000"/>
                <w:sz w:val="21"/>
                <w:szCs w:val="21"/>
              </w:rPr>
            </w:pPr>
            <w:r>
              <w:rPr>
                <w:rFonts w:hint="eastAsia" w:eastAsia="宋体" w:cs="Times New Roman"/>
                <w:bCs/>
                <w:color w:val="000000"/>
                <w:sz w:val="21"/>
                <w:szCs w:val="21"/>
              </w:rPr>
              <w:t>管段</w:t>
            </w:r>
          </w:p>
        </w:tc>
        <w:tc>
          <w:tcPr>
            <w:tcW w:w="963" w:type="dxa"/>
            <w:vMerge w:val="restart"/>
            <w:tcBorders>
              <w:top w:val="single" w:color="auto" w:sz="12" w:space="0"/>
              <w:left w:val="single" w:color="auto" w:sz="6" w:space="0"/>
              <w:bottom w:val="single" w:color="auto" w:sz="6" w:space="0"/>
              <w:right w:val="single" w:color="auto" w:sz="6" w:space="0"/>
            </w:tcBorders>
            <w:vAlign w:val="center"/>
          </w:tcPr>
          <w:p w14:paraId="1BF4A573">
            <w:pPr>
              <w:spacing w:line="400" w:lineRule="exact"/>
              <w:jc w:val="center"/>
              <w:rPr>
                <w:rFonts w:eastAsia="宋体" w:cs="Times New Roman"/>
                <w:bCs/>
                <w:color w:val="000000"/>
                <w:sz w:val="21"/>
                <w:szCs w:val="21"/>
              </w:rPr>
            </w:pPr>
            <w:r>
              <w:rPr>
                <w:rFonts w:hint="eastAsia" w:eastAsia="宋体" w:cs="Times New Roman"/>
                <w:bCs/>
                <w:color w:val="000000"/>
                <w:sz w:val="21"/>
                <w:szCs w:val="21"/>
              </w:rPr>
              <w:t>管径（mm）</w:t>
            </w:r>
          </w:p>
        </w:tc>
        <w:tc>
          <w:tcPr>
            <w:tcW w:w="800" w:type="dxa"/>
            <w:vMerge w:val="restart"/>
            <w:tcBorders>
              <w:top w:val="single" w:color="auto" w:sz="12" w:space="0"/>
              <w:left w:val="single" w:color="auto" w:sz="6" w:space="0"/>
              <w:bottom w:val="single" w:color="auto" w:sz="6" w:space="0"/>
              <w:right w:val="single" w:color="auto" w:sz="6" w:space="0"/>
            </w:tcBorders>
            <w:vAlign w:val="center"/>
          </w:tcPr>
          <w:p w14:paraId="629ACC61">
            <w:pPr>
              <w:spacing w:line="400" w:lineRule="exact"/>
              <w:jc w:val="center"/>
              <w:rPr>
                <w:rFonts w:eastAsia="宋体" w:cs="Times New Roman"/>
                <w:bCs/>
                <w:color w:val="000000"/>
                <w:sz w:val="21"/>
                <w:szCs w:val="21"/>
              </w:rPr>
            </w:pPr>
            <w:r>
              <w:rPr>
                <w:rFonts w:hint="eastAsia" w:eastAsia="宋体" w:cs="Times New Roman"/>
                <w:bCs/>
                <w:color w:val="000000"/>
                <w:sz w:val="21"/>
                <w:szCs w:val="21"/>
              </w:rPr>
              <w:t>长度（m）</w:t>
            </w:r>
          </w:p>
        </w:tc>
        <w:tc>
          <w:tcPr>
            <w:tcW w:w="766" w:type="dxa"/>
            <w:vMerge w:val="restart"/>
            <w:tcBorders>
              <w:top w:val="single" w:color="auto" w:sz="12" w:space="0"/>
              <w:left w:val="single" w:color="auto" w:sz="6" w:space="0"/>
              <w:bottom w:val="single" w:color="auto" w:sz="6" w:space="0"/>
              <w:right w:val="single" w:color="auto" w:sz="6" w:space="0"/>
            </w:tcBorders>
            <w:vAlign w:val="center"/>
          </w:tcPr>
          <w:p w14:paraId="246EBD87">
            <w:pPr>
              <w:spacing w:line="400" w:lineRule="exact"/>
              <w:jc w:val="center"/>
              <w:rPr>
                <w:rFonts w:eastAsia="宋体" w:cs="Times New Roman"/>
                <w:bCs/>
                <w:color w:val="000000"/>
                <w:sz w:val="21"/>
                <w:szCs w:val="21"/>
              </w:rPr>
            </w:pPr>
            <w:r>
              <w:rPr>
                <w:rFonts w:hint="eastAsia" w:eastAsia="宋体" w:cs="Times New Roman"/>
                <w:bCs/>
                <w:color w:val="000000"/>
                <w:sz w:val="21"/>
                <w:szCs w:val="21"/>
              </w:rPr>
              <w:t>材质</w:t>
            </w:r>
          </w:p>
        </w:tc>
        <w:tc>
          <w:tcPr>
            <w:tcW w:w="1532" w:type="dxa"/>
            <w:gridSpan w:val="2"/>
            <w:tcBorders>
              <w:top w:val="single" w:color="auto" w:sz="12" w:space="0"/>
              <w:left w:val="single" w:color="auto" w:sz="6" w:space="0"/>
              <w:right w:val="single" w:color="auto" w:sz="6" w:space="0"/>
            </w:tcBorders>
            <w:shd w:val="clear" w:color="auto" w:fill="auto"/>
            <w:vAlign w:val="center"/>
          </w:tcPr>
          <w:p w14:paraId="1F191F42">
            <w:pPr>
              <w:spacing w:line="400" w:lineRule="exact"/>
              <w:jc w:val="center"/>
              <w:rPr>
                <w:rFonts w:eastAsia="宋体" w:cs="Times New Roman"/>
                <w:bCs/>
                <w:color w:val="000000"/>
                <w:sz w:val="21"/>
                <w:szCs w:val="21"/>
              </w:rPr>
            </w:pPr>
            <w:r>
              <w:rPr>
                <w:rFonts w:hint="eastAsia" w:eastAsia="宋体" w:cs="Times New Roman"/>
                <w:bCs/>
                <w:color w:val="000000"/>
                <w:sz w:val="21"/>
                <w:szCs w:val="21"/>
              </w:rPr>
              <w:t>埋深（m）</w:t>
            </w:r>
          </w:p>
        </w:tc>
        <w:tc>
          <w:tcPr>
            <w:tcW w:w="4528" w:type="dxa"/>
            <w:gridSpan w:val="6"/>
            <w:tcBorders>
              <w:top w:val="single" w:color="auto" w:sz="12" w:space="0"/>
              <w:left w:val="single" w:color="auto" w:sz="6" w:space="0"/>
              <w:bottom w:val="single" w:color="auto" w:sz="6" w:space="0"/>
              <w:right w:val="single" w:color="auto" w:sz="6" w:space="0"/>
            </w:tcBorders>
            <w:vAlign w:val="center"/>
          </w:tcPr>
          <w:p w14:paraId="079A6580">
            <w:pPr>
              <w:spacing w:line="400" w:lineRule="exact"/>
              <w:jc w:val="center"/>
              <w:rPr>
                <w:rFonts w:eastAsia="宋体" w:cs="Times New Roman"/>
                <w:bCs/>
                <w:color w:val="000000"/>
                <w:sz w:val="21"/>
                <w:szCs w:val="21"/>
              </w:rPr>
            </w:pPr>
            <w:r>
              <w:rPr>
                <w:rFonts w:hint="eastAsia" w:eastAsia="宋体" w:cs="Times New Roman"/>
                <w:bCs/>
                <w:color w:val="000000"/>
                <w:sz w:val="21"/>
                <w:szCs w:val="21"/>
              </w:rPr>
              <w:t>结构性缺陷</w:t>
            </w:r>
          </w:p>
        </w:tc>
        <w:tc>
          <w:tcPr>
            <w:tcW w:w="5010" w:type="dxa"/>
            <w:gridSpan w:val="6"/>
            <w:tcBorders>
              <w:top w:val="single" w:color="auto" w:sz="12" w:space="0"/>
              <w:left w:val="single" w:color="auto" w:sz="6" w:space="0"/>
              <w:bottom w:val="single" w:color="auto" w:sz="6" w:space="0"/>
              <w:right w:val="single" w:color="auto" w:sz="12" w:space="0"/>
            </w:tcBorders>
            <w:vAlign w:val="center"/>
          </w:tcPr>
          <w:p w14:paraId="589296A6">
            <w:pPr>
              <w:spacing w:line="400" w:lineRule="exact"/>
              <w:jc w:val="center"/>
              <w:rPr>
                <w:rFonts w:eastAsia="宋体" w:cs="Times New Roman"/>
                <w:bCs/>
                <w:color w:val="000000"/>
                <w:sz w:val="21"/>
                <w:szCs w:val="21"/>
              </w:rPr>
            </w:pPr>
            <w:r>
              <w:rPr>
                <w:rFonts w:hint="eastAsia" w:eastAsia="宋体" w:cs="Times New Roman"/>
                <w:bCs/>
                <w:color w:val="000000"/>
                <w:sz w:val="21"/>
                <w:szCs w:val="21"/>
              </w:rPr>
              <w:t>功能性缺陷</w:t>
            </w:r>
          </w:p>
        </w:tc>
      </w:tr>
      <w:tr w14:paraId="4C45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tcBorders>
              <w:top w:val="single" w:color="auto" w:sz="6" w:space="0"/>
              <w:left w:val="single" w:color="auto" w:sz="12" w:space="0"/>
              <w:bottom w:val="single" w:color="auto" w:sz="6" w:space="0"/>
              <w:right w:val="single" w:color="auto" w:sz="6" w:space="0"/>
            </w:tcBorders>
          </w:tcPr>
          <w:p w14:paraId="1BD1DCBE">
            <w:pPr>
              <w:spacing w:line="400" w:lineRule="exact"/>
              <w:rPr>
                <w:rFonts w:eastAsia="宋体" w:cs="Times New Roman"/>
                <w:bCs/>
                <w:color w:val="000000"/>
                <w:sz w:val="21"/>
                <w:szCs w:val="21"/>
              </w:rPr>
            </w:pPr>
          </w:p>
        </w:tc>
        <w:tc>
          <w:tcPr>
            <w:tcW w:w="963" w:type="dxa"/>
            <w:vMerge w:val="continue"/>
            <w:tcBorders>
              <w:top w:val="single" w:color="auto" w:sz="6" w:space="0"/>
              <w:left w:val="single" w:color="auto" w:sz="6" w:space="0"/>
              <w:bottom w:val="single" w:color="auto" w:sz="6" w:space="0"/>
              <w:right w:val="single" w:color="auto" w:sz="6" w:space="0"/>
            </w:tcBorders>
          </w:tcPr>
          <w:p w14:paraId="53155DC1">
            <w:pPr>
              <w:spacing w:line="400" w:lineRule="exact"/>
              <w:rPr>
                <w:rFonts w:eastAsia="宋体" w:cs="Times New Roman"/>
                <w:bCs/>
                <w:color w:val="000000"/>
                <w:sz w:val="21"/>
                <w:szCs w:val="21"/>
              </w:rPr>
            </w:pPr>
          </w:p>
        </w:tc>
        <w:tc>
          <w:tcPr>
            <w:tcW w:w="800" w:type="dxa"/>
            <w:vMerge w:val="continue"/>
            <w:tcBorders>
              <w:top w:val="single" w:color="auto" w:sz="6" w:space="0"/>
              <w:left w:val="single" w:color="auto" w:sz="6" w:space="0"/>
              <w:bottom w:val="single" w:color="auto" w:sz="6" w:space="0"/>
              <w:right w:val="single" w:color="auto" w:sz="6" w:space="0"/>
            </w:tcBorders>
          </w:tcPr>
          <w:p w14:paraId="41540A81">
            <w:pPr>
              <w:spacing w:line="400" w:lineRule="exact"/>
              <w:rPr>
                <w:rFonts w:eastAsia="宋体" w:cs="Times New Roman"/>
                <w:bCs/>
                <w:color w:val="000000"/>
                <w:sz w:val="21"/>
                <w:szCs w:val="21"/>
              </w:rPr>
            </w:pPr>
          </w:p>
        </w:tc>
        <w:tc>
          <w:tcPr>
            <w:tcW w:w="766" w:type="dxa"/>
            <w:vMerge w:val="continue"/>
            <w:tcBorders>
              <w:top w:val="single" w:color="auto" w:sz="6" w:space="0"/>
              <w:left w:val="single" w:color="auto" w:sz="6" w:space="0"/>
              <w:bottom w:val="single" w:color="auto" w:sz="6" w:space="0"/>
              <w:right w:val="single" w:color="auto" w:sz="6" w:space="0"/>
            </w:tcBorders>
          </w:tcPr>
          <w:p w14:paraId="0BF9007A">
            <w:pPr>
              <w:spacing w:line="400" w:lineRule="exact"/>
              <w:rPr>
                <w:rFonts w:eastAsia="宋体" w:cs="Times New Roman"/>
                <w:bCs/>
                <w:color w:val="000000"/>
                <w:sz w:val="21"/>
                <w:szCs w:val="21"/>
              </w:rPr>
            </w:pPr>
          </w:p>
        </w:tc>
        <w:tc>
          <w:tcPr>
            <w:tcW w:w="766" w:type="dxa"/>
            <w:tcBorders>
              <w:left w:val="single" w:color="auto" w:sz="6" w:space="0"/>
              <w:bottom w:val="single" w:color="auto" w:sz="6" w:space="0"/>
              <w:right w:val="single" w:color="auto" w:sz="6" w:space="0"/>
            </w:tcBorders>
            <w:shd w:val="clear" w:color="auto" w:fill="auto"/>
            <w:vAlign w:val="center"/>
          </w:tcPr>
          <w:p w14:paraId="32AF7F8E">
            <w:pPr>
              <w:spacing w:line="400" w:lineRule="exact"/>
              <w:jc w:val="center"/>
              <w:rPr>
                <w:rFonts w:eastAsia="宋体" w:cs="Times New Roman"/>
                <w:bCs/>
                <w:color w:val="000000"/>
                <w:sz w:val="21"/>
                <w:szCs w:val="21"/>
              </w:rPr>
            </w:pPr>
            <w:r>
              <w:rPr>
                <w:rFonts w:hint="eastAsia" w:eastAsia="宋体" w:cs="Times New Roman"/>
                <w:bCs/>
                <w:color w:val="000000"/>
                <w:sz w:val="21"/>
                <w:szCs w:val="21"/>
              </w:rPr>
              <w:t>起点</w:t>
            </w:r>
          </w:p>
        </w:tc>
        <w:tc>
          <w:tcPr>
            <w:tcW w:w="766" w:type="dxa"/>
            <w:tcBorders>
              <w:left w:val="single" w:color="auto" w:sz="6" w:space="0"/>
              <w:bottom w:val="single" w:color="auto" w:sz="6" w:space="0"/>
              <w:right w:val="single" w:color="auto" w:sz="6" w:space="0"/>
            </w:tcBorders>
            <w:shd w:val="clear" w:color="auto" w:fill="auto"/>
            <w:vAlign w:val="center"/>
          </w:tcPr>
          <w:p w14:paraId="3FDE59CE">
            <w:pPr>
              <w:spacing w:line="400" w:lineRule="exact"/>
              <w:jc w:val="center"/>
              <w:rPr>
                <w:rFonts w:eastAsia="宋体" w:cs="Times New Roman"/>
                <w:bCs/>
                <w:color w:val="000000"/>
                <w:sz w:val="21"/>
                <w:szCs w:val="21"/>
              </w:rPr>
            </w:pPr>
            <w:r>
              <w:rPr>
                <w:rFonts w:hint="eastAsia" w:eastAsia="宋体" w:cs="Times New Roman"/>
                <w:bCs/>
                <w:color w:val="000000"/>
                <w:sz w:val="21"/>
                <w:szCs w:val="21"/>
              </w:rPr>
              <w:t>终点</w:t>
            </w:r>
          </w:p>
        </w:tc>
        <w:tc>
          <w:tcPr>
            <w:tcW w:w="722" w:type="dxa"/>
            <w:tcBorders>
              <w:top w:val="single" w:color="auto" w:sz="6" w:space="0"/>
              <w:left w:val="single" w:color="auto" w:sz="6" w:space="0"/>
              <w:bottom w:val="single" w:color="auto" w:sz="6" w:space="0"/>
              <w:right w:val="single" w:color="auto" w:sz="6" w:space="0"/>
            </w:tcBorders>
            <w:vAlign w:val="center"/>
          </w:tcPr>
          <w:p w14:paraId="615A13B5">
            <w:pPr>
              <w:spacing w:line="400" w:lineRule="exact"/>
              <w:jc w:val="center"/>
              <w:rPr>
                <w:rFonts w:eastAsia="宋体" w:cs="Times New Roman"/>
                <w:bCs/>
                <w:color w:val="000000"/>
                <w:sz w:val="21"/>
                <w:szCs w:val="21"/>
              </w:rPr>
            </w:pPr>
            <w:r>
              <w:rPr>
                <w:rFonts w:hint="eastAsia" w:eastAsia="宋体" w:cs="Times New Roman"/>
                <w:bCs/>
                <w:color w:val="000000"/>
                <w:sz w:val="21"/>
                <w:szCs w:val="21"/>
              </w:rPr>
              <w:t>平均值</w:t>
            </w:r>
          </w:p>
          <w:p w14:paraId="2E9BC16C">
            <w:pPr>
              <w:spacing w:line="400" w:lineRule="exact"/>
              <w:jc w:val="center"/>
              <w:rPr>
                <w:rFonts w:eastAsia="宋体" w:cs="Times New Roman"/>
                <w:bCs/>
                <w:i/>
                <w:color w:val="000000"/>
                <w:sz w:val="21"/>
                <w:szCs w:val="21"/>
              </w:rPr>
            </w:pPr>
            <w:r>
              <w:rPr>
                <w:rFonts w:hint="eastAsia" w:eastAsia="宋体" w:cs="Times New Roman"/>
                <w:bCs/>
                <w:i/>
                <w:color w:val="000000"/>
                <w:sz w:val="21"/>
                <w:szCs w:val="21"/>
              </w:rPr>
              <w:t>S</w:t>
            </w:r>
          </w:p>
        </w:tc>
        <w:tc>
          <w:tcPr>
            <w:tcW w:w="636" w:type="dxa"/>
            <w:tcBorders>
              <w:top w:val="single" w:color="auto" w:sz="6" w:space="0"/>
              <w:left w:val="single" w:color="auto" w:sz="6" w:space="0"/>
              <w:bottom w:val="single" w:color="auto" w:sz="6" w:space="0"/>
              <w:right w:val="single" w:color="auto" w:sz="6" w:space="0"/>
            </w:tcBorders>
            <w:vAlign w:val="center"/>
          </w:tcPr>
          <w:p w14:paraId="01A1719F">
            <w:pPr>
              <w:spacing w:line="400" w:lineRule="exact"/>
              <w:jc w:val="center"/>
              <w:rPr>
                <w:rFonts w:eastAsia="宋体" w:cs="Times New Roman"/>
                <w:bCs/>
                <w:color w:val="000000"/>
                <w:sz w:val="21"/>
                <w:szCs w:val="21"/>
              </w:rPr>
            </w:pPr>
            <w:r>
              <w:rPr>
                <w:rFonts w:hint="eastAsia" w:eastAsia="宋体" w:cs="Times New Roman"/>
                <w:bCs/>
                <w:color w:val="000000"/>
                <w:sz w:val="21"/>
                <w:szCs w:val="21"/>
              </w:rPr>
              <w:t>最大值</w:t>
            </w:r>
          </w:p>
          <w:p w14:paraId="46DEFD5E">
            <w:pPr>
              <w:spacing w:line="400" w:lineRule="exact"/>
              <w:jc w:val="center"/>
              <w:rPr>
                <w:rFonts w:eastAsia="宋体" w:cs="Times New Roman"/>
                <w:bCs/>
                <w:color w:val="000000"/>
                <w:sz w:val="21"/>
                <w:szCs w:val="21"/>
              </w:rPr>
            </w:pPr>
            <w:r>
              <w:rPr>
                <w:rFonts w:hint="eastAsia" w:eastAsia="宋体" w:cs="Times New Roman"/>
                <w:bCs/>
                <w:color w:val="000000"/>
                <w:sz w:val="21"/>
                <w:szCs w:val="21"/>
              </w:rPr>
              <w:t>S</w:t>
            </w:r>
            <w:r>
              <w:rPr>
                <w:rFonts w:hint="eastAsia" w:eastAsia="宋体" w:cs="Times New Roman"/>
                <w:bCs/>
                <w:color w:val="000000"/>
                <w:sz w:val="21"/>
                <w:szCs w:val="21"/>
                <w:vertAlign w:val="subscript"/>
              </w:rPr>
              <w:t>max</w:t>
            </w:r>
          </w:p>
        </w:tc>
        <w:tc>
          <w:tcPr>
            <w:tcW w:w="706" w:type="dxa"/>
            <w:tcBorders>
              <w:top w:val="single" w:color="auto" w:sz="6" w:space="0"/>
              <w:left w:val="single" w:color="auto" w:sz="6" w:space="0"/>
              <w:bottom w:val="single" w:color="auto" w:sz="6" w:space="0"/>
              <w:right w:val="single" w:color="auto" w:sz="6" w:space="0"/>
            </w:tcBorders>
            <w:vAlign w:val="center"/>
          </w:tcPr>
          <w:p w14:paraId="0B986A48">
            <w:pPr>
              <w:spacing w:line="400" w:lineRule="exact"/>
              <w:jc w:val="center"/>
              <w:rPr>
                <w:rFonts w:eastAsia="宋体" w:cs="Times New Roman"/>
                <w:bCs/>
                <w:color w:val="000000"/>
                <w:sz w:val="21"/>
                <w:szCs w:val="21"/>
              </w:rPr>
            </w:pPr>
            <w:r>
              <w:rPr>
                <w:rFonts w:hint="eastAsia" w:eastAsia="宋体" w:cs="Times New Roman"/>
                <w:bCs/>
                <w:color w:val="000000"/>
                <w:sz w:val="21"/>
                <w:szCs w:val="21"/>
              </w:rPr>
              <w:t>缺陷等级</w:t>
            </w:r>
          </w:p>
        </w:tc>
        <w:tc>
          <w:tcPr>
            <w:tcW w:w="671" w:type="dxa"/>
            <w:tcBorders>
              <w:top w:val="single" w:color="auto" w:sz="6" w:space="0"/>
              <w:left w:val="single" w:color="auto" w:sz="6" w:space="0"/>
              <w:bottom w:val="single" w:color="auto" w:sz="6" w:space="0"/>
              <w:right w:val="single" w:color="auto" w:sz="6" w:space="0"/>
            </w:tcBorders>
            <w:vAlign w:val="center"/>
          </w:tcPr>
          <w:p w14:paraId="5A4FDFF3">
            <w:pPr>
              <w:spacing w:line="400" w:lineRule="exact"/>
              <w:jc w:val="center"/>
              <w:rPr>
                <w:rFonts w:eastAsia="宋体" w:cs="Times New Roman"/>
                <w:bCs/>
                <w:i/>
                <w:color w:val="000000"/>
                <w:sz w:val="21"/>
                <w:szCs w:val="21"/>
              </w:rPr>
            </w:pPr>
            <w:r>
              <w:rPr>
                <w:rFonts w:hint="eastAsia" w:eastAsia="宋体" w:cs="Times New Roman"/>
                <w:bCs/>
                <w:color w:val="000000"/>
                <w:sz w:val="21"/>
                <w:szCs w:val="21"/>
              </w:rPr>
              <w:t>缺陷密度</w:t>
            </w:r>
          </w:p>
        </w:tc>
        <w:tc>
          <w:tcPr>
            <w:tcW w:w="729" w:type="dxa"/>
            <w:tcBorders>
              <w:top w:val="single" w:color="auto" w:sz="6" w:space="0"/>
              <w:left w:val="single" w:color="auto" w:sz="6" w:space="0"/>
              <w:bottom w:val="single" w:color="auto" w:sz="6" w:space="0"/>
              <w:right w:val="single" w:color="auto" w:sz="6" w:space="0"/>
            </w:tcBorders>
          </w:tcPr>
          <w:p w14:paraId="0EBC7F9D">
            <w:pPr>
              <w:spacing w:line="400" w:lineRule="exact"/>
              <w:jc w:val="center"/>
              <w:rPr>
                <w:rFonts w:eastAsia="宋体" w:cs="Times New Roman"/>
                <w:bCs/>
                <w:color w:val="000000"/>
                <w:sz w:val="21"/>
                <w:szCs w:val="21"/>
              </w:rPr>
            </w:pPr>
            <w:r>
              <w:rPr>
                <w:rFonts w:hint="eastAsia" w:eastAsia="宋体" w:cs="Times New Roman"/>
                <w:bCs/>
                <w:color w:val="000000"/>
                <w:sz w:val="21"/>
                <w:szCs w:val="21"/>
              </w:rPr>
              <w:t>管道运行风险等级</w:t>
            </w:r>
          </w:p>
        </w:tc>
        <w:tc>
          <w:tcPr>
            <w:tcW w:w="1064" w:type="dxa"/>
            <w:tcBorders>
              <w:top w:val="single" w:color="auto" w:sz="6" w:space="0"/>
              <w:left w:val="single" w:color="auto" w:sz="6" w:space="0"/>
              <w:bottom w:val="single" w:color="auto" w:sz="6" w:space="0"/>
              <w:right w:val="single" w:color="auto" w:sz="6" w:space="0"/>
            </w:tcBorders>
            <w:vAlign w:val="center"/>
          </w:tcPr>
          <w:p w14:paraId="3F516A30">
            <w:pPr>
              <w:spacing w:line="400" w:lineRule="exact"/>
              <w:jc w:val="center"/>
              <w:rPr>
                <w:rFonts w:eastAsia="宋体" w:cs="Times New Roman"/>
                <w:bCs/>
                <w:color w:val="000000"/>
                <w:sz w:val="21"/>
                <w:szCs w:val="21"/>
              </w:rPr>
            </w:pPr>
            <w:r>
              <w:rPr>
                <w:rFonts w:hint="eastAsia" w:eastAsia="宋体" w:cs="Times New Roman"/>
                <w:bCs/>
                <w:color w:val="000000"/>
                <w:sz w:val="21"/>
                <w:szCs w:val="21"/>
              </w:rPr>
              <w:t>综合状况评价</w:t>
            </w:r>
          </w:p>
        </w:tc>
        <w:tc>
          <w:tcPr>
            <w:tcW w:w="735" w:type="dxa"/>
            <w:tcBorders>
              <w:top w:val="single" w:color="auto" w:sz="6" w:space="0"/>
              <w:left w:val="single" w:color="auto" w:sz="6" w:space="0"/>
              <w:bottom w:val="single" w:color="auto" w:sz="6" w:space="0"/>
              <w:right w:val="single" w:color="auto" w:sz="6" w:space="0"/>
            </w:tcBorders>
            <w:vAlign w:val="center"/>
          </w:tcPr>
          <w:p w14:paraId="19AE3730">
            <w:pPr>
              <w:spacing w:line="400" w:lineRule="exact"/>
              <w:jc w:val="center"/>
              <w:rPr>
                <w:rFonts w:eastAsia="宋体" w:cs="Times New Roman"/>
                <w:bCs/>
                <w:color w:val="000000"/>
                <w:sz w:val="21"/>
                <w:szCs w:val="21"/>
              </w:rPr>
            </w:pPr>
            <w:r>
              <w:rPr>
                <w:rFonts w:hint="eastAsia" w:eastAsia="宋体" w:cs="Times New Roman"/>
                <w:bCs/>
                <w:color w:val="000000"/>
                <w:sz w:val="21"/>
                <w:szCs w:val="21"/>
              </w:rPr>
              <w:t>平均值</w:t>
            </w:r>
          </w:p>
          <w:p w14:paraId="2943D92B">
            <w:pPr>
              <w:spacing w:line="400" w:lineRule="exact"/>
              <w:jc w:val="center"/>
              <w:rPr>
                <w:rFonts w:eastAsia="宋体" w:cs="Times New Roman"/>
                <w:bCs/>
                <w:i/>
                <w:color w:val="000000"/>
                <w:sz w:val="21"/>
                <w:szCs w:val="21"/>
              </w:rPr>
            </w:pPr>
            <w:r>
              <w:rPr>
                <w:rFonts w:hint="eastAsia" w:eastAsia="宋体" w:cs="Times New Roman"/>
                <w:bCs/>
                <w:i/>
                <w:color w:val="000000"/>
                <w:sz w:val="21"/>
                <w:szCs w:val="21"/>
              </w:rPr>
              <w:t>Y</w:t>
            </w:r>
          </w:p>
        </w:tc>
        <w:tc>
          <w:tcPr>
            <w:tcW w:w="750" w:type="dxa"/>
            <w:tcBorders>
              <w:top w:val="single" w:color="auto" w:sz="6" w:space="0"/>
              <w:left w:val="single" w:color="auto" w:sz="6" w:space="0"/>
              <w:bottom w:val="single" w:color="auto" w:sz="6" w:space="0"/>
              <w:right w:val="single" w:color="auto" w:sz="6" w:space="0"/>
            </w:tcBorders>
            <w:vAlign w:val="center"/>
          </w:tcPr>
          <w:p w14:paraId="29245FAA">
            <w:pPr>
              <w:spacing w:line="400" w:lineRule="exact"/>
              <w:jc w:val="center"/>
              <w:rPr>
                <w:rFonts w:eastAsia="宋体" w:cs="Times New Roman"/>
                <w:bCs/>
                <w:color w:val="000000"/>
                <w:sz w:val="21"/>
                <w:szCs w:val="21"/>
              </w:rPr>
            </w:pPr>
            <w:r>
              <w:rPr>
                <w:rFonts w:hint="eastAsia" w:eastAsia="宋体" w:cs="Times New Roman"/>
                <w:bCs/>
                <w:color w:val="000000"/>
                <w:sz w:val="21"/>
                <w:szCs w:val="21"/>
              </w:rPr>
              <w:t>最大值</w:t>
            </w:r>
          </w:p>
          <w:p w14:paraId="68CD0C62">
            <w:pPr>
              <w:spacing w:line="400" w:lineRule="exact"/>
              <w:jc w:val="center"/>
              <w:rPr>
                <w:rFonts w:eastAsia="宋体" w:cs="Times New Roman"/>
                <w:bCs/>
                <w:color w:val="000000"/>
                <w:sz w:val="21"/>
                <w:szCs w:val="21"/>
              </w:rPr>
            </w:pPr>
            <w:r>
              <w:rPr>
                <w:rFonts w:hint="eastAsia" w:eastAsia="宋体" w:cs="Times New Roman"/>
                <w:bCs/>
                <w:i/>
                <w:color w:val="000000"/>
                <w:sz w:val="21"/>
                <w:szCs w:val="21"/>
              </w:rPr>
              <w:t>Y</w:t>
            </w:r>
            <w:r>
              <w:rPr>
                <w:rFonts w:hint="eastAsia" w:eastAsia="宋体" w:cs="Times New Roman"/>
                <w:bCs/>
                <w:color w:val="000000"/>
                <w:sz w:val="21"/>
                <w:szCs w:val="21"/>
                <w:vertAlign w:val="subscript"/>
              </w:rPr>
              <w:t>max</w:t>
            </w:r>
          </w:p>
        </w:tc>
        <w:tc>
          <w:tcPr>
            <w:tcW w:w="684" w:type="dxa"/>
            <w:tcBorders>
              <w:top w:val="single" w:color="auto" w:sz="6" w:space="0"/>
              <w:left w:val="single" w:color="auto" w:sz="6" w:space="0"/>
              <w:bottom w:val="single" w:color="auto" w:sz="6" w:space="0"/>
              <w:right w:val="single" w:color="auto" w:sz="6" w:space="0"/>
            </w:tcBorders>
            <w:vAlign w:val="center"/>
          </w:tcPr>
          <w:p w14:paraId="241F32F1">
            <w:pPr>
              <w:spacing w:line="400" w:lineRule="exact"/>
              <w:jc w:val="center"/>
              <w:rPr>
                <w:rFonts w:eastAsia="宋体" w:cs="Times New Roman"/>
                <w:bCs/>
                <w:color w:val="000000"/>
                <w:sz w:val="21"/>
                <w:szCs w:val="21"/>
              </w:rPr>
            </w:pPr>
            <w:r>
              <w:rPr>
                <w:rFonts w:hint="eastAsia" w:eastAsia="宋体" w:cs="Times New Roman"/>
                <w:bCs/>
                <w:color w:val="000000"/>
                <w:sz w:val="21"/>
                <w:szCs w:val="21"/>
              </w:rPr>
              <w:t>缺陷等级</w:t>
            </w:r>
          </w:p>
        </w:tc>
        <w:tc>
          <w:tcPr>
            <w:tcW w:w="646" w:type="dxa"/>
            <w:tcBorders>
              <w:top w:val="single" w:color="auto" w:sz="6" w:space="0"/>
              <w:left w:val="single" w:color="auto" w:sz="6" w:space="0"/>
              <w:bottom w:val="single" w:color="auto" w:sz="6" w:space="0"/>
              <w:right w:val="single" w:color="auto" w:sz="6" w:space="0"/>
            </w:tcBorders>
            <w:vAlign w:val="center"/>
          </w:tcPr>
          <w:p w14:paraId="2BE884DC">
            <w:pPr>
              <w:spacing w:line="400" w:lineRule="exact"/>
              <w:jc w:val="center"/>
              <w:rPr>
                <w:rFonts w:eastAsia="宋体" w:cs="Times New Roman"/>
                <w:bCs/>
                <w:color w:val="000000"/>
                <w:sz w:val="21"/>
                <w:szCs w:val="21"/>
              </w:rPr>
            </w:pPr>
            <w:r>
              <w:rPr>
                <w:rFonts w:hint="eastAsia" w:eastAsia="宋体" w:cs="Times New Roman"/>
                <w:bCs/>
                <w:color w:val="000000"/>
                <w:sz w:val="21"/>
                <w:szCs w:val="21"/>
              </w:rPr>
              <w:t>缺陷密度</w:t>
            </w:r>
          </w:p>
        </w:tc>
        <w:tc>
          <w:tcPr>
            <w:tcW w:w="697" w:type="dxa"/>
            <w:tcBorders>
              <w:top w:val="single" w:color="auto" w:sz="6" w:space="0"/>
              <w:left w:val="single" w:color="auto" w:sz="6" w:space="0"/>
              <w:bottom w:val="single" w:color="auto" w:sz="6" w:space="0"/>
              <w:right w:val="single" w:color="auto" w:sz="6" w:space="0"/>
            </w:tcBorders>
            <w:vAlign w:val="center"/>
          </w:tcPr>
          <w:p w14:paraId="6A085246">
            <w:pPr>
              <w:spacing w:line="400" w:lineRule="exact"/>
              <w:jc w:val="center"/>
              <w:rPr>
                <w:rFonts w:eastAsia="宋体" w:cs="Times New Roman"/>
                <w:bCs/>
                <w:color w:val="000000"/>
                <w:sz w:val="21"/>
                <w:szCs w:val="21"/>
              </w:rPr>
            </w:pPr>
            <w:r>
              <w:rPr>
                <w:rFonts w:hint="eastAsia" w:eastAsia="宋体" w:cs="Times New Roman"/>
                <w:bCs/>
                <w:color w:val="000000"/>
                <w:sz w:val="21"/>
                <w:szCs w:val="21"/>
              </w:rPr>
              <w:t>管道运行风险等级</w:t>
            </w:r>
          </w:p>
        </w:tc>
        <w:tc>
          <w:tcPr>
            <w:tcW w:w="1498" w:type="dxa"/>
            <w:tcBorders>
              <w:top w:val="single" w:color="auto" w:sz="6" w:space="0"/>
              <w:left w:val="single" w:color="auto" w:sz="6" w:space="0"/>
              <w:bottom w:val="single" w:color="auto" w:sz="6" w:space="0"/>
              <w:right w:val="single" w:color="auto" w:sz="12" w:space="0"/>
            </w:tcBorders>
            <w:vAlign w:val="center"/>
          </w:tcPr>
          <w:p w14:paraId="661F7801">
            <w:pPr>
              <w:spacing w:line="400" w:lineRule="exact"/>
              <w:jc w:val="center"/>
              <w:rPr>
                <w:rFonts w:eastAsia="宋体" w:cs="Times New Roman"/>
                <w:bCs/>
                <w:color w:val="000000"/>
                <w:sz w:val="21"/>
                <w:szCs w:val="21"/>
              </w:rPr>
            </w:pPr>
            <w:r>
              <w:rPr>
                <w:rFonts w:hint="eastAsia" w:eastAsia="宋体" w:cs="Times New Roman"/>
                <w:bCs/>
                <w:color w:val="000000"/>
                <w:sz w:val="21"/>
                <w:szCs w:val="21"/>
              </w:rPr>
              <w:t>综合状况评价</w:t>
            </w:r>
          </w:p>
        </w:tc>
      </w:tr>
      <w:tr w14:paraId="4F20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14:paraId="0F2D90D8">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14:paraId="4DF9D818">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14:paraId="3A9AA369">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152F7C30">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711F6795">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07BF2A32">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14:paraId="5348A679">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14:paraId="71E92418">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14:paraId="1CB70C78">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14:paraId="4FDFD679">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14:paraId="2A95A8BC">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14:paraId="43D852C2">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14:paraId="605D1B78">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14:paraId="43EEB9E3">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7C128A51">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14:paraId="18563135">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14:paraId="42E227CF">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14:paraId="2E2D205A">
            <w:pPr>
              <w:spacing w:line="400" w:lineRule="exact"/>
              <w:rPr>
                <w:rFonts w:eastAsia="宋体" w:cs="Times New Roman"/>
                <w:b/>
                <w:bCs/>
                <w:color w:val="000000"/>
                <w:sz w:val="21"/>
                <w:szCs w:val="21"/>
              </w:rPr>
            </w:pPr>
          </w:p>
        </w:tc>
      </w:tr>
      <w:tr w14:paraId="06B4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14:paraId="70100DBE">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14:paraId="5402CE53">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14:paraId="53224A58">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4C3D3BD1">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212D5143">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646E8FC3">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14:paraId="437DD1EA">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14:paraId="59A4D11A">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14:paraId="3311FBD7">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14:paraId="14A385A6">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14:paraId="7F11A69A">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14:paraId="7FEB545D">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14:paraId="4FADFB86">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14:paraId="0C451182">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4FFFF46C">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14:paraId="1CD66D95">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14:paraId="19385E48">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14:paraId="3BF47FEF">
            <w:pPr>
              <w:spacing w:line="400" w:lineRule="exact"/>
              <w:rPr>
                <w:rFonts w:eastAsia="宋体" w:cs="Times New Roman"/>
                <w:b/>
                <w:bCs/>
                <w:color w:val="000000"/>
                <w:sz w:val="21"/>
                <w:szCs w:val="21"/>
              </w:rPr>
            </w:pPr>
          </w:p>
        </w:tc>
      </w:tr>
      <w:tr w14:paraId="3A00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14:paraId="60999243">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14:paraId="66EDA6CA">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14:paraId="1C89B548">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5705515D">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35AA8758">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0B5DC570">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14:paraId="43E36280">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14:paraId="7988C60E">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14:paraId="4F7F7A0E">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14:paraId="16D06026">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14:paraId="0E7DA198">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14:paraId="66DC36F5">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14:paraId="5C31443C">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14:paraId="512A9ADD">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262065C9">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14:paraId="0BCF2C26">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14:paraId="4786B60D">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14:paraId="4C00FF3A">
            <w:pPr>
              <w:spacing w:line="400" w:lineRule="exact"/>
              <w:rPr>
                <w:rFonts w:eastAsia="宋体" w:cs="Times New Roman"/>
                <w:b/>
                <w:bCs/>
                <w:color w:val="000000"/>
                <w:sz w:val="21"/>
                <w:szCs w:val="21"/>
              </w:rPr>
            </w:pPr>
          </w:p>
        </w:tc>
      </w:tr>
      <w:tr w14:paraId="7798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14:paraId="374608FC">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14:paraId="10EBD3F7">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14:paraId="09B6DE49">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4CFA60FA">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73F36CC7">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1B4D4469">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14:paraId="3E1DC978">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14:paraId="1F066B6E">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14:paraId="3643368F">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14:paraId="08A5127E">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14:paraId="154A139D">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14:paraId="699A7EF6">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14:paraId="77F6C6E7">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14:paraId="3D3175B0">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3EA099C2">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14:paraId="048F7FF0">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14:paraId="193C0E89">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14:paraId="20BCB51D">
            <w:pPr>
              <w:spacing w:line="400" w:lineRule="exact"/>
              <w:rPr>
                <w:rFonts w:eastAsia="宋体" w:cs="Times New Roman"/>
                <w:b/>
                <w:bCs/>
                <w:color w:val="000000"/>
                <w:sz w:val="21"/>
                <w:szCs w:val="21"/>
              </w:rPr>
            </w:pPr>
          </w:p>
        </w:tc>
      </w:tr>
      <w:tr w14:paraId="555D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14:paraId="49ACBEBA">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14:paraId="0AEFB56A">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14:paraId="6042787B">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46B1238E">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4B65204C">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53936816">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14:paraId="531D02C2">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14:paraId="531D8E41">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14:paraId="7261A900">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14:paraId="623BC2C8">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14:paraId="59191402">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14:paraId="7F276319">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14:paraId="0192D30E">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14:paraId="3EBA2ABA">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44443A32">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14:paraId="4FDA7BFF">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14:paraId="18CD4C17">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14:paraId="711ECB02">
            <w:pPr>
              <w:spacing w:line="400" w:lineRule="exact"/>
              <w:rPr>
                <w:rFonts w:eastAsia="宋体" w:cs="Times New Roman"/>
                <w:b/>
                <w:bCs/>
                <w:color w:val="000000"/>
                <w:sz w:val="21"/>
                <w:szCs w:val="21"/>
              </w:rPr>
            </w:pPr>
          </w:p>
        </w:tc>
      </w:tr>
      <w:tr w14:paraId="44B4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14:paraId="28B80550">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14:paraId="774741D9">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14:paraId="65E9EA1F">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4CBF45C7">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14C3714E">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4AE67677">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14:paraId="39D2E06E">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14:paraId="4D4E5EF4">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14:paraId="07375594">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14:paraId="1A791AA7">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14:paraId="56EB13EC">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14:paraId="6080CA5D">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14:paraId="77580324">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14:paraId="34E218D6">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6D04C51F">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14:paraId="0DAA6FBD">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14:paraId="295F70EB">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14:paraId="31C81316">
            <w:pPr>
              <w:spacing w:line="400" w:lineRule="exact"/>
              <w:rPr>
                <w:rFonts w:eastAsia="宋体" w:cs="Times New Roman"/>
                <w:b/>
                <w:bCs/>
                <w:color w:val="000000"/>
                <w:sz w:val="21"/>
                <w:szCs w:val="21"/>
              </w:rPr>
            </w:pPr>
          </w:p>
        </w:tc>
      </w:tr>
      <w:tr w14:paraId="5994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14:paraId="400CF8AE">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14:paraId="2BF10ECE">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14:paraId="212A6943">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03F90A7E">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48B8E3F0">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282D1AF9">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14:paraId="69304A04">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14:paraId="253E6D93">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14:paraId="32B1C008">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14:paraId="3B976AA9">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14:paraId="1F4024F7">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14:paraId="26AE6705">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14:paraId="009E67E4">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14:paraId="672A7F41">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76EC9248">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14:paraId="1B50B92E">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14:paraId="09485E9B">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14:paraId="7B2E4952">
            <w:pPr>
              <w:spacing w:line="400" w:lineRule="exact"/>
              <w:rPr>
                <w:rFonts w:eastAsia="宋体" w:cs="Times New Roman"/>
                <w:b/>
                <w:bCs/>
                <w:color w:val="000000"/>
                <w:sz w:val="21"/>
                <w:szCs w:val="21"/>
              </w:rPr>
            </w:pPr>
          </w:p>
        </w:tc>
      </w:tr>
      <w:tr w14:paraId="4675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14:paraId="6FCB3355">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14:paraId="078F748B">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14:paraId="6BB5D541">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0AEC7CF9">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453FD99D">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0FDBBE91">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14:paraId="44A38CA9">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14:paraId="40A20DEA">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14:paraId="3FFAC5BF">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14:paraId="023229B2">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14:paraId="32154B13">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14:paraId="0A47A80E">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14:paraId="35BBF8BC">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14:paraId="7B347BDC">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79FA760F">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14:paraId="2F40BAE6">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14:paraId="718193B2">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14:paraId="4C8AAE78">
            <w:pPr>
              <w:spacing w:line="400" w:lineRule="exact"/>
              <w:rPr>
                <w:rFonts w:eastAsia="宋体" w:cs="Times New Roman"/>
                <w:b/>
                <w:bCs/>
                <w:color w:val="000000"/>
                <w:sz w:val="21"/>
                <w:szCs w:val="21"/>
              </w:rPr>
            </w:pPr>
          </w:p>
        </w:tc>
      </w:tr>
      <w:tr w14:paraId="4801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14:paraId="3FA9F222">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14:paraId="37494A61">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14:paraId="7103A3E2">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5F06F29B">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602A9B48">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356AF23E">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14:paraId="5A9706C1">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14:paraId="1DE216FA">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14:paraId="66A9E522">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14:paraId="6947ED66">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14:paraId="59F37888">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14:paraId="4831897F">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14:paraId="46E0F57F">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14:paraId="064212CC">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2D4A26DA">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14:paraId="69476430">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14:paraId="6AAB5CE5">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14:paraId="4848A251">
            <w:pPr>
              <w:spacing w:line="400" w:lineRule="exact"/>
              <w:rPr>
                <w:rFonts w:eastAsia="宋体" w:cs="Times New Roman"/>
                <w:b/>
                <w:bCs/>
                <w:color w:val="000000"/>
                <w:sz w:val="21"/>
                <w:szCs w:val="21"/>
              </w:rPr>
            </w:pPr>
          </w:p>
        </w:tc>
      </w:tr>
      <w:tr w14:paraId="3688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14:paraId="0D29AE04">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14:paraId="4D0E44FE">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14:paraId="3CE088C0">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0355B2F7">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20A2B88F">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162216F3">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14:paraId="2253CB86">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14:paraId="4F8AC101">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14:paraId="3C88EBE0">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14:paraId="5B501D23">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14:paraId="6EFEABA0">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14:paraId="4DA0AADB">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14:paraId="40A03AFA">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14:paraId="7E781691">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2BB81AD8">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14:paraId="4D63CDD0">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14:paraId="2A092B98">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14:paraId="3B3E3EDE">
            <w:pPr>
              <w:spacing w:line="400" w:lineRule="exact"/>
              <w:rPr>
                <w:rFonts w:eastAsia="宋体" w:cs="Times New Roman"/>
                <w:b/>
                <w:bCs/>
                <w:color w:val="000000"/>
                <w:sz w:val="21"/>
                <w:szCs w:val="21"/>
              </w:rPr>
            </w:pPr>
          </w:p>
        </w:tc>
      </w:tr>
      <w:tr w14:paraId="5536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6" w:space="0"/>
              <w:left w:val="single" w:color="auto" w:sz="12" w:space="0"/>
              <w:bottom w:val="single" w:color="auto" w:sz="6" w:space="0"/>
              <w:right w:val="single" w:color="auto" w:sz="6" w:space="0"/>
            </w:tcBorders>
          </w:tcPr>
          <w:p w14:paraId="1E2EBAAE">
            <w:pPr>
              <w:spacing w:line="400" w:lineRule="exact"/>
              <w:rPr>
                <w:rFonts w:eastAsia="宋体" w:cs="Times New Roman"/>
                <w:b/>
                <w:bCs/>
                <w:color w:val="000000"/>
                <w:sz w:val="21"/>
                <w:szCs w:val="21"/>
              </w:rPr>
            </w:pPr>
          </w:p>
        </w:tc>
        <w:tc>
          <w:tcPr>
            <w:tcW w:w="963" w:type="dxa"/>
            <w:tcBorders>
              <w:top w:val="single" w:color="auto" w:sz="6" w:space="0"/>
              <w:left w:val="single" w:color="auto" w:sz="6" w:space="0"/>
              <w:bottom w:val="single" w:color="auto" w:sz="6" w:space="0"/>
              <w:right w:val="single" w:color="auto" w:sz="6" w:space="0"/>
            </w:tcBorders>
          </w:tcPr>
          <w:p w14:paraId="53135412">
            <w:pPr>
              <w:spacing w:line="400" w:lineRule="exact"/>
              <w:rPr>
                <w:rFonts w:eastAsia="宋体" w:cs="Times New Roman"/>
                <w:b/>
                <w:bCs/>
                <w:color w:val="000000"/>
                <w:sz w:val="21"/>
                <w:szCs w:val="21"/>
              </w:rPr>
            </w:pPr>
          </w:p>
        </w:tc>
        <w:tc>
          <w:tcPr>
            <w:tcW w:w="800" w:type="dxa"/>
            <w:tcBorders>
              <w:top w:val="single" w:color="auto" w:sz="6" w:space="0"/>
              <w:left w:val="single" w:color="auto" w:sz="6" w:space="0"/>
              <w:bottom w:val="single" w:color="auto" w:sz="6" w:space="0"/>
              <w:right w:val="single" w:color="auto" w:sz="6" w:space="0"/>
            </w:tcBorders>
          </w:tcPr>
          <w:p w14:paraId="32A261BA">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602CE48A">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16CFBD2C">
            <w:pPr>
              <w:spacing w:line="400" w:lineRule="exact"/>
              <w:rPr>
                <w:rFonts w:eastAsia="宋体" w:cs="Times New Roman"/>
                <w:b/>
                <w:bCs/>
                <w:color w:val="000000"/>
                <w:sz w:val="21"/>
                <w:szCs w:val="21"/>
              </w:rPr>
            </w:pPr>
          </w:p>
        </w:tc>
        <w:tc>
          <w:tcPr>
            <w:tcW w:w="766" w:type="dxa"/>
            <w:tcBorders>
              <w:top w:val="single" w:color="auto" w:sz="6" w:space="0"/>
              <w:left w:val="single" w:color="auto" w:sz="6" w:space="0"/>
              <w:bottom w:val="single" w:color="auto" w:sz="6" w:space="0"/>
              <w:right w:val="single" w:color="auto" w:sz="6" w:space="0"/>
            </w:tcBorders>
          </w:tcPr>
          <w:p w14:paraId="7F450500">
            <w:pPr>
              <w:spacing w:line="400" w:lineRule="exact"/>
              <w:rPr>
                <w:rFonts w:eastAsia="宋体" w:cs="Times New Roman"/>
                <w:b/>
                <w:bCs/>
                <w:color w:val="000000"/>
                <w:sz w:val="21"/>
                <w:szCs w:val="21"/>
              </w:rPr>
            </w:pPr>
          </w:p>
        </w:tc>
        <w:tc>
          <w:tcPr>
            <w:tcW w:w="722" w:type="dxa"/>
            <w:tcBorders>
              <w:top w:val="single" w:color="auto" w:sz="6" w:space="0"/>
              <w:left w:val="single" w:color="auto" w:sz="6" w:space="0"/>
              <w:bottom w:val="single" w:color="auto" w:sz="6" w:space="0"/>
              <w:right w:val="single" w:color="auto" w:sz="6" w:space="0"/>
            </w:tcBorders>
          </w:tcPr>
          <w:p w14:paraId="2729BB65">
            <w:pPr>
              <w:spacing w:line="400" w:lineRule="exact"/>
              <w:rPr>
                <w:rFonts w:eastAsia="宋体" w:cs="Times New Roman"/>
                <w:b/>
                <w:bCs/>
                <w:color w:val="000000"/>
                <w:sz w:val="21"/>
                <w:szCs w:val="21"/>
              </w:rPr>
            </w:pPr>
          </w:p>
        </w:tc>
        <w:tc>
          <w:tcPr>
            <w:tcW w:w="636" w:type="dxa"/>
            <w:tcBorders>
              <w:top w:val="single" w:color="auto" w:sz="6" w:space="0"/>
              <w:left w:val="single" w:color="auto" w:sz="6" w:space="0"/>
              <w:bottom w:val="single" w:color="auto" w:sz="6" w:space="0"/>
              <w:right w:val="single" w:color="auto" w:sz="6" w:space="0"/>
            </w:tcBorders>
          </w:tcPr>
          <w:p w14:paraId="7124CA0C">
            <w:pPr>
              <w:spacing w:line="400" w:lineRule="exact"/>
              <w:rPr>
                <w:rFonts w:eastAsia="宋体" w:cs="Times New Roman"/>
                <w:b/>
                <w:bCs/>
                <w:color w:val="000000"/>
                <w:sz w:val="21"/>
                <w:szCs w:val="21"/>
              </w:rPr>
            </w:pPr>
          </w:p>
        </w:tc>
        <w:tc>
          <w:tcPr>
            <w:tcW w:w="706" w:type="dxa"/>
            <w:tcBorders>
              <w:top w:val="single" w:color="auto" w:sz="6" w:space="0"/>
              <w:left w:val="single" w:color="auto" w:sz="6" w:space="0"/>
              <w:bottom w:val="single" w:color="auto" w:sz="6" w:space="0"/>
              <w:right w:val="single" w:color="auto" w:sz="6" w:space="0"/>
            </w:tcBorders>
          </w:tcPr>
          <w:p w14:paraId="27011E15">
            <w:pPr>
              <w:spacing w:line="400" w:lineRule="exact"/>
              <w:rPr>
                <w:rFonts w:eastAsia="宋体" w:cs="Times New Roman"/>
                <w:b/>
                <w:bCs/>
                <w:color w:val="000000"/>
                <w:sz w:val="21"/>
                <w:szCs w:val="21"/>
              </w:rPr>
            </w:pPr>
          </w:p>
        </w:tc>
        <w:tc>
          <w:tcPr>
            <w:tcW w:w="671" w:type="dxa"/>
            <w:tcBorders>
              <w:top w:val="single" w:color="auto" w:sz="6" w:space="0"/>
              <w:left w:val="single" w:color="auto" w:sz="6" w:space="0"/>
              <w:bottom w:val="single" w:color="auto" w:sz="6" w:space="0"/>
              <w:right w:val="single" w:color="auto" w:sz="6" w:space="0"/>
            </w:tcBorders>
          </w:tcPr>
          <w:p w14:paraId="440E04FD">
            <w:pPr>
              <w:spacing w:line="400" w:lineRule="exact"/>
              <w:rPr>
                <w:rFonts w:eastAsia="宋体" w:cs="Times New Roman"/>
                <w:b/>
                <w:bCs/>
                <w:color w:val="000000"/>
                <w:sz w:val="21"/>
                <w:szCs w:val="21"/>
              </w:rPr>
            </w:pPr>
          </w:p>
        </w:tc>
        <w:tc>
          <w:tcPr>
            <w:tcW w:w="729" w:type="dxa"/>
            <w:tcBorders>
              <w:top w:val="single" w:color="auto" w:sz="6" w:space="0"/>
              <w:left w:val="single" w:color="auto" w:sz="6" w:space="0"/>
              <w:bottom w:val="single" w:color="auto" w:sz="6" w:space="0"/>
              <w:right w:val="single" w:color="auto" w:sz="6" w:space="0"/>
            </w:tcBorders>
          </w:tcPr>
          <w:p w14:paraId="447D39CD">
            <w:pPr>
              <w:spacing w:line="400" w:lineRule="exact"/>
              <w:rPr>
                <w:rFonts w:eastAsia="宋体" w:cs="Times New Roman"/>
                <w:b/>
                <w:bCs/>
                <w:color w:val="000000"/>
                <w:sz w:val="21"/>
                <w:szCs w:val="21"/>
              </w:rPr>
            </w:pPr>
          </w:p>
        </w:tc>
        <w:tc>
          <w:tcPr>
            <w:tcW w:w="1064" w:type="dxa"/>
            <w:tcBorders>
              <w:top w:val="single" w:color="auto" w:sz="6" w:space="0"/>
              <w:left w:val="single" w:color="auto" w:sz="6" w:space="0"/>
              <w:bottom w:val="single" w:color="auto" w:sz="6" w:space="0"/>
              <w:right w:val="single" w:color="auto" w:sz="6" w:space="0"/>
            </w:tcBorders>
          </w:tcPr>
          <w:p w14:paraId="4A65545C">
            <w:pPr>
              <w:spacing w:line="400" w:lineRule="exact"/>
              <w:rPr>
                <w:rFonts w:eastAsia="宋体" w:cs="Times New Roman"/>
                <w:b/>
                <w:bCs/>
                <w:color w:val="000000"/>
                <w:sz w:val="21"/>
                <w:szCs w:val="21"/>
              </w:rPr>
            </w:pPr>
          </w:p>
        </w:tc>
        <w:tc>
          <w:tcPr>
            <w:tcW w:w="735" w:type="dxa"/>
            <w:tcBorders>
              <w:top w:val="single" w:color="auto" w:sz="6" w:space="0"/>
              <w:left w:val="single" w:color="auto" w:sz="6" w:space="0"/>
              <w:bottom w:val="single" w:color="auto" w:sz="6" w:space="0"/>
              <w:right w:val="single" w:color="auto" w:sz="6" w:space="0"/>
            </w:tcBorders>
          </w:tcPr>
          <w:p w14:paraId="2FF02C02">
            <w:pPr>
              <w:spacing w:line="400" w:lineRule="exact"/>
              <w:rPr>
                <w:rFonts w:eastAsia="宋体" w:cs="Times New Roman"/>
                <w:b/>
                <w:bCs/>
                <w:color w:val="000000"/>
                <w:sz w:val="21"/>
                <w:szCs w:val="21"/>
              </w:rPr>
            </w:pPr>
          </w:p>
        </w:tc>
        <w:tc>
          <w:tcPr>
            <w:tcW w:w="750" w:type="dxa"/>
            <w:tcBorders>
              <w:top w:val="single" w:color="auto" w:sz="6" w:space="0"/>
              <w:left w:val="single" w:color="auto" w:sz="6" w:space="0"/>
              <w:bottom w:val="single" w:color="auto" w:sz="6" w:space="0"/>
              <w:right w:val="single" w:color="auto" w:sz="6" w:space="0"/>
            </w:tcBorders>
          </w:tcPr>
          <w:p w14:paraId="05C5A9C0">
            <w:pPr>
              <w:spacing w:line="400" w:lineRule="exact"/>
              <w:rPr>
                <w:rFonts w:eastAsia="宋体" w:cs="Times New Roman"/>
                <w:b/>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49DD1DBA">
            <w:pPr>
              <w:spacing w:line="400" w:lineRule="exact"/>
              <w:rPr>
                <w:rFonts w:eastAsia="宋体" w:cs="Times New Roman"/>
                <w:b/>
                <w:bCs/>
                <w:color w:val="000000"/>
                <w:sz w:val="21"/>
                <w:szCs w:val="21"/>
              </w:rPr>
            </w:pPr>
          </w:p>
        </w:tc>
        <w:tc>
          <w:tcPr>
            <w:tcW w:w="646" w:type="dxa"/>
            <w:tcBorders>
              <w:top w:val="single" w:color="auto" w:sz="6" w:space="0"/>
              <w:left w:val="single" w:color="auto" w:sz="6" w:space="0"/>
              <w:bottom w:val="single" w:color="auto" w:sz="6" w:space="0"/>
              <w:right w:val="single" w:color="auto" w:sz="6" w:space="0"/>
            </w:tcBorders>
          </w:tcPr>
          <w:p w14:paraId="4DC4BA1F">
            <w:pPr>
              <w:spacing w:line="400" w:lineRule="exact"/>
              <w:rPr>
                <w:rFonts w:eastAsia="宋体" w:cs="Times New Roman"/>
                <w:b/>
                <w:bCs/>
                <w:color w:val="000000"/>
                <w:sz w:val="21"/>
                <w:szCs w:val="21"/>
              </w:rPr>
            </w:pPr>
          </w:p>
        </w:tc>
        <w:tc>
          <w:tcPr>
            <w:tcW w:w="697" w:type="dxa"/>
            <w:tcBorders>
              <w:top w:val="single" w:color="auto" w:sz="6" w:space="0"/>
              <w:left w:val="single" w:color="auto" w:sz="6" w:space="0"/>
              <w:bottom w:val="single" w:color="auto" w:sz="6" w:space="0"/>
              <w:right w:val="single" w:color="auto" w:sz="6" w:space="0"/>
            </w:tcBorders>
          </w:tcPr>
          <w:p w14:paraId="2324AAE6">
            <w:pPr>
              <w:spacing w:line="400" w:lineRule="exact"/>
              <w:rPr>
                <w:rFonts w:eastAsia="宋体" w:cs="Times New Roman"/>
                <w:b/>
                <w:bCs/>
                <w:color w:val="000000"/>
                <w:sz w:val="21"/>
                <w:szCs w:val="21"/>
              </w:rPr>
            </w:pPr>
          </w:p>
        </w:tc>
        <w:tc>
          <w:tcPr>
            <w:tcW w:w="1498" w:type="dxa"/>
            <w:tcBorders>
              <w:top w:val="single" w:color="auto" w:sz="6" w:space="0"/>
              <w:left w:val="single" w:color="auto" w:sz="6" w:space="0"/>
              <w:bottom w:val="single" w:color="auto" w:sz="6" w:space="0"/>
              <w:right w:val="single" w:color="auto" w:sz="12" w:space="0"/>
            </w:tcBorders>
          </w:tcPr>
          <w:p w14:paraId="6F2F856E">
            <w:pPr>
              <w:spacing w:line="400" w:lineRule="exact"/>
              <w:rPr>
                <w:rFonts w:eastAsia="宋体" w:cs="Times New Roman"/>
                <w:b/>
                <w:bCs/>
                <w:color w:val="000000"/>
                <w:sz w:val="21"/>
                <w:szCs w:val="21"/>
              </w:rPr>
            </w:pPr>
          </w:p>
        </w:tc>
      </w:tr>
      <w:tr w14:paraId="3E79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4366" w:type="dxa"/>
            <w:gridSpan w:val="18"/>
            <w:tcBorders>
              <w:top w:val="single" w:color="auto" w:sz="12" w:space="0"/>
              <w:left w:val="nil"/>
              <w:bottom w:val="nil"/>
              <w:right w:val="nil"/>
            </w:tcBorders>
          </w:tcPr>
          <w:p w14:paraId="3F4925F6">
            <w:pPr>
              <w:spacing w:line="240" w:lineRule="auto"/>
              <w:rPr>
                <w:rFonts w:eastAsia="宋体" w:cs="Times New Roman"/>
                <w:bCs/>
                <w:color w:val="000000"/>
                <w:sz w:val="21"/>
                <w:szCs w:val="21"/>
              </w:rPr>
            </w:pPr>
            <w:r>
              <w:rPr>
                <w:rFonts w:hint="eastAsia" w:eastAsia="宋体" w:cs="Times New Roman"/>
                <w:bCs/>
                <w:color w:val="000000"/>
                <w:sz w:val="21"/>
                <w:szCs w:val="21"/>
              </w:rPr>
              <w:t>检测单位：</w:t>
            </w:r>
          </w:p>
        </w:tc>
      </w:tr>
    </w:tbl>
    <w:p w14:paraId="5094C12C">
      <w:pPr>
        <w:spacing w:before="100" w:beforeAutospacing="1" w:after="100" w:afterAutospacing="1" w:line="253" w:lineRule="atLeast"/>
        <w:rPr>
          <w:rFonts w:eastAsia="宋体" w:cs="Times New Roman"/>
          <w:b/>
          <w:color w:val="000000"/>
          <w:sz w:val="28"/>
          <w:szCs w:val="28"/>
        </w:rPr>
      </w:pPr>
      <w:bookmarkStart w:id="417" w:name="_Toc311558035"/>
      <w:bookmarkStart w:id="418" w:name="_Toc309756036"/>
      <w:bookmarkStart w:id="419" w:name="_Toc309755780"/>
      <w:bookmarkStart w:id="420" w:name="_Toc309755706"/>
      <w:bookmarkStart w:id="421" w:name="_Toc298196045"/>
    </w:p>
    <w:p w14:paraId="7BAF3D7C">
      <w:pPr>
        <w:spacing w:before="100" w:beforeAutospacing="1" w:after="100" w:afterAutospacing="1" w:line="253" w:lineRule="atLeast"/>
        <w:rPr>
          <w:rFonts w:eastAsia="宋体" w:cs="Times New Roman"/>
          <w:b/>
          <w:color w:val="000000"/>
          <w:szCs w:val="24"/>
        </w:rPr>
      </w:pPr>
      <w:r>
        <w:rPr>
          <w:rFonts w:hint="eastAsia" w:eastAsia="宋体" w:cs="Times New Roman"/>
          <w:b/>
          <w:color w:val="000000"/>
          <w:szCs w:val="24"/>
        </w:rPr>
        <w:t>D.0.3　</w:t>
      </w:r>
      <w:r>
        <w:rPr>
          <w:rFonts w:hint="eastAsia" w:eastAsia="宋体" w:cs="Times New Roman"/>
          <w:color w:val="000000"/>
          <w:szCs w:val="24"/>
        </w:rPr>
        <w:t>附属设施检查情况汇总</w:t>
      </w:r>
      <w:bookmarkEnd w:id="417"/>
      <w:bookmarkEnd w:id="418"/>
      <w:bookmarkEnd w:id="419"/>
      <w:bookmarkEnd w:id="420"/>
      <w:bookmarkEnd w:id="421"/>
      <w:r>
        <w:rPr>
          <w:rFonts w:hint="eastAsia" w:eastAsia="宋体" w:cs="Times New Roman"/>
          <w:color w:val="000000"/>
          <w:szCs w:val="24"/>
        </w:rPr>
        <w:t>应按表D.0.3填写。</w:t>
      </w:r>
    </w:p>
    <w:tbl>
      <w:tblPr>
        <w:tblStyle w:val="29"/>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600"/>
        <w:gridCol w:w="830"/>
        <w:gridCol w:w="741"/>
        <w:gridCol w:w="684"/>
        <w:gridCol w:w="1097"/>
        <w:gridCol w:w="739"/>
        <w:gridCol w:w="1163"/>
        <w:gridCol w:w="1201"/>
        <w:gridCol w:w="977"/>
        <w:gridCol w:w="1131"/>
        <w:gridCol w:w="1326"/>
        <w:gridCol w:w="2223"/>
      </w:tblGrid>
      <w:tr w14:paraId="7BBD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7" w:type="dxa"/>
            <w:gridSpan w:val="13"/>
            <w:tcBorders>
              <w:top w:val="nil"/>
              <w:left w:val="nil"/>
              <w:bottom w:val="single" w:color="auto" w:sz="12" w:space="0"/>
              <w:right w:val="nil"/>
            </w:tcBorders>
          </w:tcPr>
          <w:p w14:paraId="037D9F9F">
            <w:pPr>
              <w:jc w:val="center"/>
              <w:rPr>
                <w:rFonts w:eastAsia="宋体" w:cs="Times New Roman"/>
                <w:b/>
                <w:bCs/>
                <w:color w:val="000000"/>
                <w:sz w:val="21"/>
                <w:szCs w:val="21"/>
              </w:rPr>
            </w:pPr>
            <w:r>
              <w:rPr>
                <w:rFonts w:hint="eastAsia" w:eastAsia="宋体" w:cs="Times New Roman"/>
                <w:b/>
                <w:bCs/>
                <w:color w:val="000000"/>
                <w:sz w:val="21"/>
                <w:szCs w:val="21"/>
              </w:rPr>
              <w:t>表D.0.3　附属设施检查情况汇总表</w:t>
            </w:r>
          </w:p>
          <w:p w14:paraId="738C06F5">
            <w:pPr>
              <w:spacing w:line="400" w:lineRule="exact"/>
              <w:jc w:val="center"/>
              <w:rPr>
                <w:rFonts w:eastAsia="宋体" w:cs="Times New Roman"/>
                <w:bCs/>
                <w:color w:val="000000"/>
                <w:sz w:val="21"/>
                <w:szCs w:val="21"/>
              </w:rPr>
            </w:pPr>
            <w:r>
              <w:rPr>
                <w:rFonts w:hint="eastAsia" w:eastAsia="宋体" w:cs="Times New Roman"/>
                <w:bCs/>
                <w:color w:val="000000"/>
                <w:sz w:val="21"/>
                <w:szCs w:val="21"/>
              </w:rPr>
              <w:t>任务名称：                                                                                                             第   页  共   页</w:t>
            </w:r>
          </w:p>
        </w:tc>
      </w:tr>
      <w:tr w14:paraId="5DC4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12" w:space="0"/>
              <w:left w:val="single" w:color="auto" w:sz="12" w:space="0"/>
              <w:bottom w:val="single" w:color="auto" w:sz="6" w:space="0"/>
              <w:right w:val="single" w:color="auto" w:sz="6" w:space="0"/>
            </w:tcBorders>
            <w:vAlign w:val="center"/>
          </w:tcPr>
          <w:p w14:paraId="4CB35D51">
            <w:pPr>
              <w:spacing w:line="400" w:lineRule="exact"/>
              <w:jc w:val="center"/>
              <w:rPr>
                <w:rFonts w:eastAsia="宋体" w:cs="Times New Roman"/>
                <w:bCs/>
                <w:color w:val="000000"/>
                <w:sz w:val="21"/>
                <w:szCs w:val="21"/>
              </w:rPr>
            </w:pPr>
            <w:r>
              <w:rPr>
                <w:rFonts w:hint="eastAsia" w:eastAsia="宋体" w:cs="Times New Roman"/>
                <w:bCs/>
                <w:color w:val="000000"/>
                <w:sz w:val="21"/>
                <w:szCs w:val="21"/>
              </w:rPr>
              <w:t>序号</w:t>
            </w:r>
          </w:p>
        </w:tc>
        <w:tc>
          <w:tcPr>
            <w:tcW w:w="1600" w:type="dxa"/>
            <w:tcBorders>
              <w:top w:val="single" w:color="auto" w:sz="12" w:space="0"/>
              <w:left w:val="single" w:color="auto" w:sz="6" w:space="0"/>
              <w:bottom w:val="single" w:color="auto" w:sz="6" w:space="0"/>
              <w:right w:val="single" w:color="auto" w:sz="6" w:space="0"/>
            </w:tcBorders>
            <w:vAlign w:val="center"/>
          </w:tcPr>
          <w:p w14:paraId="0F3482D3">
            <w:pPr>
              <w:spacing w:line="400" w:lineRule="exact"/>
              <w:jc w:val="center"/>
              <w:rPr>
                <w:rFonts w:eastAsia="宋体" w:cs="Times New Roman"/>
                <w:bCs/>
                <w:color w:val="000000"/>
                <w:sz w:val="21"/>
                <w:szCs w:val="21"/>
              </w:rPr>
            </w:pPr>
            <w:r>
              <w:rPr>
                <w:rFonts w:hint="eastAsia" w:eastAsia="宋体" w:cs="Times New Roman"/>
                <w:bCs/>
                <w:color w:val="000000"/>
                <w:sz w:val="21"/>
                <w:szCs w:val="21"/>
              </w:rPr>
              <w:t>附属设施类型</w:t>
            </w:r>
          </w:p>
        </w:tc>
        <w:tc>
          <w:tcPr>
            <w:tcW w:w="830" w:type="dxa"/>
            <w:tcBorders>
              <w:top w:val="single" w:color="auto" w:sz="12" w:space="0"/>
              <w:left w:val="single" w:color="auto" w:sz="6" w:space="0"/>
              <w:bottom w:val="single" w:color="auto" w:sz="6" w:space="0"/>
              <w:right w:val="single" w:color="auto" w:sz="6" w:space="0"/>
            </w:tcBorders>
            <w:vAlign w:val="center"/>
          </w:tcPr>
          <w:p w14:paraId="65EE9350">
            <w:pPr>
              <w:spacing w:line="400" w:lineRule="exact"/>
              <w:jc w:val="center"/>
              <w:rPr>
                <w:rFonts w:eastAsia="宋体" w:cs="Times New Roman"/>
                <w:bCs/>
                <w:color w:val="000000"/>
                <w:sz w:val="21"/>
                <w:szCs w:val="21"/>
              </w:rPr>
            </w:pPr>
            <w:r>
              <w:rPr>
                <w:rFonts w:hint="eastAsia" w:eastAsia="宋体" w:cs="Times New Roman"/>
                <w:bCs/>
                <w:color w:val="000000"/>
                <w:sz w:val="21"/>
                <w:szCs w:val="21"/>
              </w:rPr>
              <w:t>材质</w:t>
            </w:r>
          </w:p>
        </w:tc>
        <w:tc>
          <w:tcPr>
            <w:tcW w:w="741" w:type="dxa"/>
            <w:tcBorders>
              <w:top w:val="single" w:color="auto" w:sz="12" w:space="0"/>
              <w:left w:val="single" w:color="auto" w:sz="6" w:space="0"/>
              <w:bottom w:val="single" w:color="auto" w:sz="6" w:space="0"/>
              <w:right w:val="single" w:color="auto" w:sz="6" w:space="0"/>
            </w:tcBorders>
            <w:vAlign w:val="center"/>
          </w:tcPr>
          <w:p w14:paraId="73AF9D87">
            <w:pPr>
              <w:spacing w:line="400" w:lineRule="exact"/>
              <w:jc w:val="center"/>
              <w:rPr>
                <w:rFonts w:eastAsia="宋体" w:cs="Times New Roman"/>
                <w:bCs/>
                <w:color w:val="000000"/>
                <w:sz w:val="21"/>
                <w:szCs w:val="21"/>
              </w:rPr>
            </w:pPr>
            <w:r>
              <w:rPr>
                <w:rFonts w:hint="eastAsia" w:eastAsia="宋体" w:cs="Times New Roman"/>
                <w:bCs/>
                <w:color w:val="000000"/>
                <w:sz w:val="21"/>
                <w:szCs w:val="21"/>
              </w:rPr>
              <w:t>单位</w:t>
            </w:r>
          </w:p>
        </w:tc>
        <w:tc>
          <w:tcPr>
            <w:tcW w:w="684" w:type="dxa"/>
            <w:tcBorders>
              <w:top w:val="single" w:color="auto" w:sz="12" w:space="0"/>
              <w:left w:val="single" w:color="auto" w:sz="6" w:space="0"/>
              <w:bottom w:val="single" w:color="auto" w:sz="6" w:space="0"/>
              <w:right w:val="single" w:color="auto" w:sz="6" w:space="0"/>
            </w:tcBorders>
            <w:vAlign w:val="center"/>
          </w:tcPr>
          <w:p w14:paraId="6773AED3">
            <w:pPr>
              <w:spacing w:line="400" w:lineRule="exact"/>
              <w:jc w:val="center"/>
              <w:rPr>
                <w:rFonts w:eastAsia="宋体" w:cs="Times New Roman"/>
                <w:bCs/>
                <w:color w:val="000000"/>
                <w:sz w:val="21"/>
                <w:szCs w:val="21"/>
              </w:rPr>
            </w:pPr>
            <w:r>
              <w:rPr>
                <w:rFonts w:hint="eastAsia" w:eastAsia="宋体" w:cs="Times New Roman"/>
                <w:bCs/>
                <w:color w:val="000000"/>
                <w:sz w:val="21"/>
                <w:szCs w:val="21"/>
              </w:rPr>
              <w:t>数量</w:t>
            </w:r>
          </w:p>
        </w:tc>
        <w:tc>
          <w:tcPr>
            <w:tcW w:w="1097" w:type="dxa"/>
            <w:tcBorders>
              <w:top w:val="single" w:color="auto" w:sz="12" w:space="0"/>
              <w:left w:val="single" w:color="auto" w:sz="6" w:space="0"/>
              <w:bottom w:val="single" w:color="auto" w:sz="6" w:space="0"/>
              <w:right w:val="single" w:color="auto" w:sz="6" w:space="0"/>
            </w:tcBorders>
            <w:vAlign w:val="center"/>
          </w:tcPr>
          <w:p w14:paraId="3CD084FB">
            <w:pPr>
              <w:spacing w:line="400" w:lineRule="exact"/>
              <w:jc w:val="center"/>
              <w:rPr>
                <w:rFonts w:eastAsia="宋体" w:cs="Times New Roman"/>
                <w:bCs/>
                <w:color w:val="000000"/>
                <w:sz w:val="21"/>
                <w:szCs w:val="21"/>
              </w:rPr>
            </w:pPr>
            <w:r>
              <w:rPr>
                <w:rFonts w:hint="eastAsia" w:eastAsia="宋体" w:cs="Times New Roman"/>
                <w:bCs/>
                <w:color w:val="000000"/>
                <w:sz w:val="21"/>
                <w:szCs w:val="21"/>
              </w:rPr>
              <w:t>其中非道路下数量</w:t>
            </w:r>
          </w:p>
        </w:tc>
        <w:tc>
          <w:tcPr>
            <w:tcW w:w="739" w:type="dxa"/>
            <w:tcBorders>
              <w:top w:val="single" w:color="auto" w:sz="12" w:space="0"/>
              <w:left w:val="single" w:color="auto" w:sz="6" w:space="0"/>
              <w:bottom w:val="single" w:color="auto" w:sz="6" w:space="0"/>
              <w:right w:val="single" w:color="auto" w:sz="6" w:space="0"/>
            </w:tcBorders>
            <w:vAlign w:val="center"/>
          </w:tcPr>
          <w:p w14:paraId="2AE249DE">
            <w:pPr>
              <w:spacing w:line="400" w:lineRule="exact"/>
              <w:jc w:val="center"/>
              <w:rPr>
                <w:rFonts w:eastAsia="宋体" w:cs="Times New Roman"/>
                <w:bCs/>
                <w:color w:val="000000"/>
                <w:sz w:val="21"/>
                <w:szCs w:val="21"/>
              </w:rPr>
            </w:pPr>
            <w:r>
              <w:rPr>
                <w:rFonts w:hint="eastAsia" w:eastAsia="宋体" w:cs="Times New Roman"/>
                <w:bCs/>
                <w:color w:val="000000"/>
                <w:sz w:val="21"/>
                <w:szCs w:val="21"/>
              </w:rPr>
              <w:t>完好数量</w:t>
            </w:r>
          </w:p>
        </w:tc>
        <w:tc>
          <w:tcPr>
            <w:tcW w:w="1163" w:type="dxa"/>
            <w:tcBorders>
              <w:top w:val="single" w:color="auto" w:sz="12" w:space="0"/>
              <w:left w:val="single" w:color="auto" w:sz="6" w:space="0"/>
              <w:bottom w:val="single" w:color="auto" w:sz="6" w:space="0"/>
              <w:right w:val="single" w:color="auto" w:sz="6" w:space="0"/>
            </w:tcBorders>
            <w:vAlign w:val="center"/>
          </w:tcPr>
          <w:p w14:paraId="01C92048">
            <w:pPr>
              <w:spacing w:line="400" w:lineRule="exact"/>
              <w:jc w:val="center"/>
              <w:rPr>
                <w:rFonts w:eastAsia="宋体" w:cs="Times New Roman"/>
                <w:bCs/>
                <w:color w:val="000000"/>
                <w:sz w:val="21"/>
                <w:szCs w:val="21"/>
              </w:rPr>
            </w:pPr>
            <w:r>
              <w:rPr>
                <w:rFonts w:hint="eastAsia" w:eastAsia="宋体" w:cs="Times New Roman"/>
                <w:bCs/>
                <w:color w:val="000000"/>
                <w:sz w:val="21"/>
                <w:szCs w:val="21"/>
              </w:rPr>
              <w:t>缺失数量</w:t>
            </w:r>
          </w:p>
        </w:tc>
        <w:tc>
          <w:tcPr>
            <w:tcW w:w="1201" w:type="dxa"/>
            <w:tcBorders>
              <w:top w:val="single" w:color="auto" w:sz="12" w:space="0"/>
              <w:left w:val="single" w:color="auto" w:sz="6" w:space="0"/>
              <w:bottom w:val="single" w:color="auto" w:sz="6" w:space="0"/>
              <w:right w:val="single" w:color="auto" w:sz="6" w:space="0"/>
            </w:tcBorders>
            <w:vAlign w:val="center"/>
          </w:tcPr>
          <w:p w14:paraId="03D9A528">
            <w:pPr>
              <w:spacing w:line="400" w:lineRule="exact"/>
              <w:jc w:val="center"/>
              <w:rPr>
                <w:rFonts w:eastAsia="宋体" w:cs="Times New Roman"/>
                <w:bCs/>
                <w:color w:val="000000"/>
                <w:sz w:val="21"/>
                <w:szCs w:val="21"/>
              </w:rPr>
            </w:pPr>
            <w:r>
              <w:rPr>
                <w:rFonts w:hint="eastAsia" w:eastAsia="宋体" w:cs="Times New Roman"/>
                <w:bCs/>
                <w:color w:val="000000"/>
                <w:sz w:val="21"/>
                <w:szCs w:val="21"/>
              </w:rPr>
              <w:t>杂物数量</w:t>
            </w:r>
          </w:p>
        </w:tc>
        <w:tc>
          <w:tcPr>
            <w:tcW w:w="977" w:type="dxa"/>
            <w:tcBorders>
              <w:top w:val="single" w:color="auto" w:sz="12" w:space="0"/>
              <w:left w:val="single" w:color="auto" w:sz="6" w:space="0"/>
              <w:bottom w:val="single" w:color="auto" w:sz="6" w:space="0"/>
              <w:right w:val="single" w:color="auto" w:sz="6" w:space="0"/>
            </w:tcBorders>
            <w:vAlign w:val="center"/>
          </w:tcPr>
          <w:p w14:paraId="6DB03670">
            <w:pPr>
              <w:spacing w:line="400" w:lineRule="exact"/>
              <w:jc w:val="center"/>
              <w:rPr>
                <w:rFonts w:eastAsia="宋体" w:cs="Times New Roman"/>
                <w:color w:val="000000"/>
                <w:sz w:val="21"/>
                <w:szCs w:val="21"/>
              </w:rPr>
            </w:pPr>
            <w:r>
              <w:rPr>
                <w:rFonts w:hint="eastAsia" w:eastAsia="宋体" w:cs="Times New Roman"/>
                <w:color w:val="000000"/>
                <w:sz w:val="21"/>
                <w:szCs w:val="21"/>
              </w:rPr>
              <w:t>缺损</w:t>
            </w:r>
          </w:p>
          <w:p w14:paraId="53F92D6C">
            <w:pPr>
              <w:spacing w:line="400" w:lineRule="exact"/>
              <w:jc w:val="center"/>
              <w:rPr>
                <w:rFonts w:eastAsia="宋体" w:cs="Times New Roman"/>
                <w:color w:val="000000"/>
                <w:sz w:val="21"/>
                <w:szCs w:val="21"/>
              </w:rPr>
            </w:pPr>
            <w:r>
              <w:rPr>
                <w:rFonts w:hint="eastAsia" w:eastAsia="宋体" w:cs="Times New Roman"/>
                <w:color w:val="000000"/>
                <w:sz w:val="21"/>
                <w:szCs w:val="21"/>
              </w:rPr>
              <w:t>数量</w:t>
            </w:r>
          </w:p>
        </w:tc>
        <w:tc>
          <w:tcPr>
            <w:tcW w:w="1131" w:type="dxa"/>
            <w:tcBorders>
              <w:top w:val="single" w:color="auto" w:sz="12" w:space="0"/>
              <w:left w:val="single" w:color="auto" w:sz="6" w:space="0"/>
              <w:bottom w:val="single" w:color="auto" w:sz="6" w:space="0"/>
              <w:right w:val="single" w:color="auto" w:sz="6" w:space="0"/>
            </w:tcBorders>
            <w:vAlign w:val="center"/>
          </w:tcPr>
          <w:p w14:paraId="3AC5CB7F">
            <w:pPr>
              <w:spacing w:line="400" w:lineRule="exact"/>
              <w:jc w:val="center"/>
              <w:rPr>
                <w:rFonts w:eastAsia="宋体" w:cs="Times New Roman"/>
                <w:color w:val="000000"/>
                <w:sz w:val="21"/>
                <w:szCs w:val="21"/>
              </w:rPr>
            </w:pPr>
            <w:r>
              <w:rPr>
                <w:rFonts w:hint="eastAsia" w:eastAsia="宋体" w:cs="Times New Roman"/>
                <w:color w:val="000000"/>
                <w:sz w:val="21"/>
                <w:szCs w:val="21"/>
              </w:rPr>
              <w:t>突出或凹陷数量</w:t>
            </w:r>
          </w:p>
        </w:tc>
        <w:tc>
          <w:tcPr>
            <w:tcW w:w="1326" w:type="dxa"/>
            <w:tcBorders>
              <w:top w:val="single" w:color="auto" w:sz="12" w:space="0"/>
              <w:left w:val="single" w:color="auto" w:sz="6" w:space="0"/>
              <w:bottom w:val="single" w:color="auto" w:sz="6" w:space="0"/>
              <w:right w:val="single" w:color="auto" w:sz="6" w:space="0"/>
            </w:tcBorders>
            <w:vAlign w:val="center"/>
          </w:tcPr>
          <w:p w14:paraId="0AD499EB">
            <w:pPr>
              <w:spacing w:line="400" w:lineRule="exact"/>
              <w:jc w:val="center"/>
              <w:rPr>
                <w:rFonts w:eastAsia="宋体" w:cs="Times New Roman"/>
                <w:bCs/>
                <w:color w:val="000000"/>
                <w:sz w:val="21"/>
                <w:szCs w:val="21"/>
              </w:rPr>
            </w:pPr>
            <w:r>
              <w:rPr>
                <w:rFonts w:hint="eastAsia" w:eastAsia="宋体" w:cs="Arial"/>
                <w:color w:val="000000"/>
                <w:sz w:val="21"/>
                <w:szCs w:val="21"/>
              </w:rPr>
              <w:t>周围填土有沉降数量</w:t>
            </w:r>
          </w:p>
        </w:tc>
        <w:tc>
          <w:tcPr>
            <w:tcW w:w="2223" w:type="dxa"/>
            <w:tcBorders>
              <w:top w:val="single" w:color="auto" w:sz="12" w:space="0"/>
              <w:left w:val="single" w:color="auto" w:sz="6" w:space="0"/>
              <w:bottom w:val="single" w:color="auto" w:sz="6" w:space="0"/>
              <w:right w:val="single" w:color="auto" w:sz="12" w:space="0"/>
            </w:tcBorders>
            <w:vAlign w:val="center"/>
          </w:tcPr>
          <w:p w14:paraId="71CE671A">
            <w:pPr>
              <w:spacing w:line="400" w:lineRule="exact"/>
              <w:jc w:val="center"/>
              <w:rPr>
                <w:rFonts w:eastAsia="宋体" w:cs="Times New Roman"/>
                <w:bCs/>
                <w:color w:val="000000"/>
                <w:sz w:val="21"/>
                <w:szCs w:val="21"/>
              </w:rPr>
            </w:pPr>
            <w:r>
              <w:rPr>
                <w:rFonts w:hint="eastAsia" w:eastAsia="宋体" w:cs="Times New Roman"/>
                <w:bCs/>
                <w:color w:val="000000"/>
                <w:sz w:val="21"/>
                <w:szCs w:val="21"/>
              </w:rPr>
              <w:t>备注</w:t>
            </w:r>
          </w:p>
        </w:tc>
      </w:tr>
      <w:tr w14:paraId="4275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14:paraId="71786C70">
            <w:pPr>
              <w:spacing w:line="400" w:lineRule="exact"/>
              <w:jc w:val="center"/>
              <w:rPr>
                <w:rFonts w:eastAsia="宋体" w:cs="Times New Roman"/>
                <w:bCs/>
                <w:color w:val="000000"/>
                <w:sz w:val="21"/>
                <w:szCs w:val="21"/>
              </w:rPr>
            </w:pPr>
            <w:r>
              <w:rPr>
                <w:rFonts w:hint="eastAsia" w:eastAsia="宋体" w:cs="Times New Roman"/>
                <w:bCs/>
                <w:color w:val="000000"/>
                <w:sz w:val="21"/>
                <w:szCs w:val="21"/>
              </w:rPr>
              <w:t>1</w:t>
            </w:r>
          </w:p>
        </w:tc>
        <w:tc>
          <w:tcPr>
            <w:tcW w:w="1600" w:type="dxa"/>
            <w:tcBorders>
              <w:top w:val="single" w:color="auto" w:sz="6" w:space="0"/>
              <w:left w:val="single" w:color="auto" w:sz="6" w:space="0"/>
              <w:bottom w:val="single" w:color="auto" w:sz="6" w:space="0"/>
              <w:right w:val="single" w:color="auto" w:sz="6" w:space="0"/>
            </w:tcBorders>
          </w:tcPr>
          <w:p w14:paraId="69A99317">
            <w:pPr>
              <w:spacing w:line="400" w:lineRule="exact"/>
              <w:jc w:val="center"/>
              <w:rPr>
                <w:rFonts w:eastAsia="宋体" w:cs="Times New Roman"/>
                <w:bCs/>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14:paraId="2AAF055B">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14:paraId="3D6CBE39">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47FC5F1E">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14:paraId="1762EE67">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14:paraId="0656B1C1">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14:paraId="474FDC3C">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14:paraId="62F98325">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14:paraId="1E7FEA34">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14:paraId="422ED953">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14:paraId="6CAE4B61">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14:paraId="766ABDE1">
            <w:pPr>
              <w:spacing w:line="400" w:lineRule="exact"/>
              <w:rPr>
                <w:rFonts w:eastAsia="宋体" w:cs="Times New Roman"/>
                <w:bCs/>
                <w:color w:val="000000"/>
                <w:sz w:val="21"/>
                <w:szCs w:val="21"/>
              </w:rPr>
            </w:pPr>
          </w:p>
        </w:tc>
      </w:tr>
      <w:tr w14:paraId="5A17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14:paraId="03CFB0ED">
            <w:pPr>
              <w:spacing w:line="400" w:lineRule="exact"/>
              <w:jc w:val="center"/>
              <w:rPr>
                <w:rFonts w:eastAsia="宋体" w:cs="Times New Roman"/>
                <w:bCs/>
                <w:color w:val="000000"/>
                <w:sz w:val="21"/>
                <w:szCs w:val="21"/>
              </w:rPr>
            </w:pPr>
            <w:r>
              <w:rPr>
                <w:rFonts w:hint="eastAsia" w:eastAsia="宋体" w:cs="Times New Roman"/>
                <w:bCs/>
                <w:color w:val="000000"/>
                <w:sz w:val="21"/>
                <w:szCs w:val="21"/>
              </w:rPr>
              <w:t>2</w:t>
            </w:r>
          </w:p>
        </w:tc>
        <w:tc>
          <w:tcPr>
            <w:tcW w:w="1600" w:type="dxa"/>
            <w:tcBorders>
              <w:top w:val="single" w:color="auto" w:sz="6" w:space="0"/>
              <w:left w:val="single" w:color="auto" w:sz="6" w:space="0"/>
              <w:bottom w:val="single" w:color="auto" w:sz="6" w:space="0"/>
              <w:right w:val="single" w:color="auto" w:sz="6" w:space="0"/>
            </w:tcBorders>
          </w:tcPr>
          <w:p w14:paraId="6EBB8B3C">
            <w:pPr>
              <w:spacing w:line="400" w:lineRule="exact"/>
              <w:jc w:val="center"/>
              <w:rPr>
                <w:rFonts w:eastAsia="宋体" w:cs="Times New Roman"/>
                <w:bCs/>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14:paraId="7CDF4EC3">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14:paraId="0F3CC85C">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375D8786">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14:paraId="2D585F03">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14:paraId="36AB12B0">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14:paraId="2D81B408">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14:paraId="2007B853">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14:paraId="47D56C63">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14:paraId="32292178">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14:paraId="74A94198">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14:paraId="0959FC29">
            <w:pPr>
              <w:spacing w:line="400" w:lineRule="exact"/>
              <w:rPr>
                <w:rFonts w:eastAsia="宋体" w:cs="Times New Roman"/>
                <w:bCs/>
                <w:color w:val="000000"/>
                <w:sz w:val="21"/>
                <w:szCs w:val="21"/>
              </w:rPr>
            </w:pPr>
          </w:p>
        </w:tc>
      </w:tr>
      <w:tr w14:paraId="3ED6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14:paraId="2B330E25">
            <w:pPr>
              <w:spacing w:line="400" w:lineRule="exact"/>
              <w:jc w:val="center"/>
              <w:rPr>
                <w:rFonts w:eastAsia="宋体" w:cs="Times New Roman"/>
                <w:bCs/>
                <w:color w:val="000000"/>
                <w:sz w:val="21"/>
                <w:szCs w:val="21"/>
              </w:rPr>
            </w:pPr>
            <w:r>
              <w:rPr>
                <w:rFonts w:hint="eastAsia" w:eastAsia="宋体" w:cs="Times New Roman"/>
                <w:bCs/>
                <w:color w:val="000000"/>
                <w:sz w:val="21"/>
                <w:szCs w:val="21"/>
              </w:rPr>
              <w:t>3</w:t>
            </w:r>
          </w:p>
        </w:tc>
        <w:tc>
          <w:tcPr>
            <w:tcW w:w="1600" w:type="dxa"/>
            <w:tcBorders>
              <w:top w:val="single" w:color="auto" w:sz="6" w:space="0"/>
              <w:left w:val="single" w:color="auto" w:sz="6" w:space="0"/>
              <w:bottom w:val="single" w:color="auto" w:sz="6" w:space="0"/>
              <w:right w:val="single" w:color="auto" w:sz="6" w:space="0"/>
            </w:tcBorders>
          </w:tcPr>
          <w:p w14:paraId="7CC7DCD7">
            <w:pPr>
              <w:spacing w:line="400" w:lineRule="exact"/>
              <w:jc w:val="center"/>
              <w:rPr>
                <w:rFonts w:eastAsia="宋体" w:cs="Times New Roman"/>
                <w:bCs/>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14:paraId="1F52ECF3">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14:paraId="4240D9A4">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52B8ECEF">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14:paraId="6ED4403E">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14:paraId="22D6A2E9">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14:paraId="0D20F4B4">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14:paraId="36CDFF17">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14:paraId="7D408FEF">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14:paraId="3D0BD683">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14:paraId="7EE575E8">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14:paraId="31C0469B">
            <w:pPr>
              <w:spacing w:line="400" w:lineRule="exact"/>
              <w:rPr>
                <w:rFonts w:eastAsia="宋体" w:cs="Times New Roman"/>
                <w:bCs/>
                <w:color w:val="000000"/>
                <w:sz w:val="21"/>
                <w:szCs w:val="21"/>
              </w:rPr>
            </w:pPr>
          </w:p>
        </w:tc>
      </w:tr>
      <w:tr w14:paraId="6129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14:paraId="05314B77">
            <w:pPr>
              <w:spacing w:line="400" w:lineRule="exact"/>
              <w:jc w:val="center"/>
              <w:rPr>
                <w:rFonts w:eastAsia="宋体" w:cs="Times New Roman"/>
                <w:bCs/>
                <w:color w:val="000000"/>
                <w:sz w:val="21"/>
                <w:szCs w:val="21"/>
              </w:rPr>
            </w:pPr>
            <w:r>
              <w:rPr>
                <w:rFonts w:hint="eastAsia" w:eastAsia="宋体" w:cs="Times New Roman"/>
                <w:bCs/>
                <w:color w:val="000000"/>
                <w:sz w:val="21"/>
                <w:szCs w:val="21"/>
              </w:rPr>
              <w:t>4</w:t>
            </w:r>
          </w:p>
        </w:tc>
        <w:tc>
          <w:tcPr>
            <w:tcW w:w="1600" w:type="dxa"/>
            <w:tcBorders>
              <w:top w:val="single" w:color="auto" w:sz="6" w:space="0"/>
              <w:left w:val="single" w:color="auto" w:sz="6" w:space="0"/>
              <w:bottom w:val="single" w:color="auto" w:sz="6" w:space="0"/>
              <w:right w:val="single" w:color="auto" w:sz="6" w:space="0"/>
            </w:tcBorders>
          </w:tcPr>
          <w:p w14:paraId="5D08EE11">
            <w:pPr>
              <w:spacing w:line="400" w:lineRule="exact"/>
              <w:jc w:val="center"/>
              <w:rPr>
                <w:rFonts w:eastAsia="宋体" w:cs="Times New Roman"/>
                <w:bCs/>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14:paraId="2B8DFFF2">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14:paraId="2946B0DA">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18C95F5B">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14:paraId="735C4B6B">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14:paraId="43892F0B">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14:paraId="549CFFC9">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14:paraId="647F7062">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14:paraId="55EFCC4A">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14:paraId="241EFCA4">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14:paraId="0863F5DF">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14:paraId="696CF75E">
            <w:pPr>
              <w:spacing w:line="400" w:lineRule="exact"/>
              <w:rPr>
                <w:rFonts w:eastAsia="宋体" w:cs="Times New Roman"/>
                <w:bCs/>
                <w:color w:val="000000"/>
                <w:sz w:val="21"/>
                <w:szCs w:val="21"/>
              </w:rPr>
            </w:pPr>
          </w:p>
        </w:tc>
      </w:tr>
      <w:tr w14:paraId="7002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14:paraId="115F9655">
            <w:pPr>
              <w:spacing w:line="400" w:lineRule="exact"/>
              <w:jc w:val="center"/>
              <w:rPr>
                <w:rFonts w:eastAsia="宋体" w:cs="Times New Roman"/>
                <w:bCs/>
                <w:color w:val="000000"/>
                <w:sz w:val="21"/>
                <w:szCs w:val="21"/>
              </w:rPr>
            </w:pPr>
            <w:r>
              <w:rPr>
                <w:rFonts w:hint="eastAsia" w:eastAsia="宋体" w:cs="Times New Roman"/>
                <w:bCs/>
                <w:color w:val="000000"/>
                <w:sz w:val="21"/>
                <w:szCs w:val="21"/>
              </w:rPr>
              <w:t>5</w:t>
            </w:r>
          </w:p>
        </w:tc>
        <w:tc>
          <w:tcPr>
            <w:tcW w:w="1600" w:type="dxa"/>
            <w:tcBorders>
              <w:top w:val="single" w:color="auto" w:sz="6" w:space="0"/>
              <w:left w:val="single" w:color="auto" w:sz="6" w:space="0"/>
              <w:bottom w:val="single" w:color="auto" w:sz="6" w:space="0"/>
              <w:right w:val="single" w:color="auto" w:sz="6" w:space="0"/>
            </w:tcBorders>
          </w:tcPr>
          <w:p w14:paraId="1B283086">
            <w:pPr>
              <w:spacing w:line="400" w:lineRule="exact"/>
              <w:jc w:val="center"/>
              <w:rPr>
                <w:rFonts w:eastAsia="宋体" w:cs="Times New Roman"/>
                <w:bCs/>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14:paraId="7DF74352">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14:paraId="3D03135B">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5AD307D6">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14:paraId="5EA6ABB5">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14:paraId="1898BA55">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14:paraId="56A5ADBC">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14:paraId="6DDB0C47">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14:paraId="240137B7">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14:paraId="755185EF">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14:paraId="34782844">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14:paraId="73D78AC8">
            <w:pPr>
              <w:spacing w:line="400" w:lineRule="exact"/>
              <w:rPr>
                <w:rFonts w:eastAsia="宋体" w:cs="Times New Roman"/>
                <w:bCs/>
                <w:color w:val="000000"/>
                <w:sz w:val="21"/>
                <w:szCs w:val="21"/>
              </w:rPr>
            </w:pPr>
          </w:p>
        </w:tc>
      </w:tr>
      <w:tr w14:paraId="6E28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14:paraId="7640BC31">
            <w:pPr>
              <w:spacing w:line="400" w:lineRule="exact"/>
              <w:jc w:val="center"/>
              <w:rPr>
                <w:rFonts w:eastAsia="宋体" w:cs="Times New Roman"/>
                <w:bCs/>
                <w:color w:val="000000"/>
                <w:sz w:val="21"/>
                <w:szCs w:val="21"/>
              </w:rPr>
            </w:pPr>
            <w:r>
              <w:rPr>
                <w:rFonts w:hint="eastAsia" w:eastAsia="宋体" w:cs="Times New Roman"/>
                <w:bCs/>
                <w:color w:val="000000"/>
                <w:sz w:val="21"/>
                <w:szCs w:val="21"/>
              </w:rPr>
              <w:t>6</w:t>
            </w:r>
          </w:p>
        </w:tc>
        <w:tc>
          <w:tcPr>
            <w:tcW w:w="1600" w:type="dxa"/>
            <w:tcBorders>
              <w:top w:val="single" w:color="auto" w:sz="6" w:space="0"/>
              <w:left w:val="single" w:color="auto" w:sz="6" w:space="0"/>
              <w:bottom w:val="single" w:color="auto" w:sz="6" w:space="0"/>
              <w:right w:val="single" w:color="auto" w:sz="6" w:space="0"/>
            </w:tcBorders>
          </w:tcPr>
          <w:p w14:paraId="61CB4AD7">
            <w:pPr>
              <w:spacing w:line="400" w:lineRule="exact"/>
              <w:jc w:val="center"/>
              <w:rPr>
                <w:rFonts w:eastAsia="宋体" w:cs="Times New Roman"/>
                <w:bCs/>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14:paraId="20EACDBF">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14:paraId="563B96BA">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204DB728">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14:paraId="7C932429">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14:paraId="66B5B6C5">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14:paraId="2D607F5E">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14:paraId="5381DE53">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14:paraId="26EDAA0A">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14:paraId="09EE24A8">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14:paraId="1897F0BF">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14:paraId="6F3AB754">
            <w:pPr>
              <w:spacing w:line="400" w:lineRule="exact"/>
              <w:rPr>
                <w:rFonts w:eastAsia="宋体" w:cs="Times New Roman"/>
                <w:bCs/>
                <w:color w:val="000000"/>
                <w:sz w:val="21"/>
                <w:szCs w:val="21"/>
              </w:rPr>
            </w:pPr>
          </w:p>
        </w:tc>
      </w:tr>
      <w:tr w14:paraId="7EA8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14:paraId="00D518A0">
            <w:pPr>
              <w:spacing w:line="400" w:lineRule="exact"/>
              <w:jc w:val="center"/>
              <w:rPr>
                <w:rFonts w:eastAsia="宋体" w:cs="Times New Roman"/>
                <w:bCs/>
                <w:color w:val="000000"/>
                <w:sz w:val="21"/>
                <w:szCs w:val="21"/>
              </w:rPr>
            </w:pPr>
            <w:r>
              <w:rPr>
                <w:rFonts w:hint="eastAsia" w:eastAsia="宋体" w:cs="Times New Roman"/>
                <w:bCs/>
                <w:color w:val="000000"/>
                <w:sz w:val="21"/>
                <w:szCs w:val="21"/>
              </w:rPr>
              <w:t>7</w:t>
            </w:r>
          </w:p>
        </w:tc>
        <w:tc>
          <w:tcPr>
            <w:tcW w:w="1600" w:type="dxa"/>
            <w:tcBorders>
              <w:top w:val="single" w:color="auto" w:sz="6" w:space="0"/>
              <w:left w:val="single" w:color="auto" w:sz="6" w:space="0"/>
              <w:bottom w:val="single" w:color="auto" w:sz="6" w:space="0"/>
              <w:right w:val="single" w:color="auto" w:sz="6" w:space="0"/>
            </w:tcBorders>
          </w:tcPr>
          <w:p w14:paraId="593B69F3">
            <w:pPr>
              <w:spacing w:line="400" w:lineRule="exact"/>
              <w:jc w:val="center"/>
              <w:rPr>
                <w:rFonts w:ascii="Arial" w:hAnsi="Arial" w:eastAsia="宋体" w:cs="Arial"/>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14:paraId="7EE38508">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14:paraId="1B42004F">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14825DF7">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14:paraId="58F046BB">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14:paraId="3DEFCFA2">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14:paraId="4F2FCE3F">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14:paraId="1662282C">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14:paraId="1412D807">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14:paraId="49309934">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14:paraId="7D1CB87A">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14:paraId="3D23476B">
            <w:pPr>
              <w:spacing w:line="400" w:lineRule="exact"/>
              <w:rPr>
                <w:rFonts w:eastAsia="宋体" w:cs="Times New Roman"/>
                <w:bCs/>
                <w:color w:val="000000"/>
                <w:sz w:val="21"/>
                <w:szCs w:val="21"/>
              </w:rPr>
            </w:pPr>
          </w:p>
        </w:tc>
      </w:tr>
      <w:tr w14:paraId="712F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14:paraId="17B565CA">
            <w:pPr>
              <w:spacing w:line="400" w:lineRule="exact"/>
              <w:jc w:val="center"/>
              <w:rPr>
                <w:rFonts w:eastAsia="宋体" w:cs="Times New Roman"/>
                <w:bCs/>
                <w:color w:val="000000"/>
                <w:sz w:val="21"/>
                <w:szCs w:val="21"/>
              </w:rPr>
            </w:pPr>
            <w:r>
              <w:rPr>
                <w:rFonts w:hint="eastAsia" w:eastAsia="宋体" w:cs="Times New Roman"/>
                <w:bCs/>
                <w:color w:val="000000"/>
                <w:sz w:val="21"/>
                <w:szCs w:val="21"/>
              </w:rPr>
              <w:t>8</w:t>
            </w:r>
          </w:p>
        </w:tc>
        <w:tc>
          <w:tcPr>
            <w:tcW w:w="1600" w:type="dxa"/>
            <w:tcBorders>
              <w:top w:val="single" w:color="auto" w:sz="6" w:space="0"/>
              <w:left w:val="single" w:color="auto" w:sz="6" w:space="0"/>
              <w:bottom w:val="single" w:color="auto" w:sz="6" w:space="0"/>
              <w:right w:val="single" w:color="auto" w:sz="6" w:space="0"/>
            </w:tcBorders>
          </w:tcPr>
          <w:p w14:paraId="760D4FDA">
            <w:pPr>
              <w:spacing w:line="400" w:lineRule="exact"/>
              <w:jc w:val="center"/>
              <w:rPr>
                <w:rFonts w:ascii="Arial" w:hAnsi="Arial" w:eastAsia="宋体" w:cs="Arial"/>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14:paraId="4A6C6470">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14:paraId="0F189574">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0667D838">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14:paraId="229CEFCC">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14:paraId="082D429A">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14:paraId="67A946FC">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14:paraId="576B0487">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14:paraId="609BCEBE">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14:paraId="71D57F66">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14:paraId="04D9CB58">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14:paraId="64DD34F8">
            <w:pPr>
              <w:spacing w:line="400" w:lineRule="exact"/>
              <w:rPr>
                <w:rFonts w:eastAsia="宋体" w:cs="Times New Roman"/>
                <w:bCs/>
                <w:color w:val="000000"/>
                <w:sz w:val="21"/>
                <w:szCs w:val="21"/>
              </w:rPr>
            </w:pPr>
          </w:p>
        </w:tc>
      </w:tr>
      <w:tr w14:paraId="5724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14:paraId="5D539D77">
            <w:pPr>
              <w:spacing w:line="400" w:lineRule="exact"/>
              <w:jc w:val="center"/>
              <w:rPr>
                <w:rFonts w:eastAsia="宋体" w:cs="Times New Roman"/>
                <w:bCs/>
                <w:color w:val="000000"/>
                <w:sz w:val="21"/>
                <w:szCs w:val="21"/>
              </w:rPr>
            </w:pPr>
            <w:r>
              <w:rPr>
                <w:rFonts w:hint="eastAsia" w:eastAsia="宋体" w:cs="Times New Roman"/>
                <w:bCs/>
                <w:color w:val="000000"/>
                <w:sz w:val="21"/>
                <w:szCs w:val="21"/>
              </w:rPr>
              <w:t>9</w:t>
            </w:r>
          </w:p>
        </w:tc>
        <w:tc>
          <w:tcPr>
            <w:tcW w:w="1600" w:type="dxa"/>
            <w:tcBorders>
              <w:top w:val="single" w:color="auto" w:sz="6" w:space="0"/>
              <w:left w:val="single" w:color="auto" w:sz="6" w:space="0"/>
              <w:bottom w:val="single" w:color="auto" w:sz="6" w:space="0"/>
              <w:right w:val="single" w:color="auto" w:sz="6" w:space="0"/>
            </w:tcBorders>
          </w:tcPr>
          <w:p w14:paraId="586941F5">
            <w:pPr>
              <w:spacing w:line="400" w:lineRule="exact"/>
              <w:jc w:val="center"/>
              <w:rPr>
                <w:rFonts w:ascii="Arial" w:hAnsi="Arial" w:eastAsia="宋体" w:cs="Arial"/>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14:paraId="7A9554C3">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14:paraId="6A0A1090">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22603613">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14:paraId="1EC43B14">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14:paraId="08BC27EC">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14:paraId="27A6CD2A">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14:paraId="471100A3">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14:paraId="27125E5D">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14:paraId="6A0214CB">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14:paraId="65F929CB">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14:paraId="17CC01F5">
            <w:pPr>
              <w:spacing w:line="400" w:lineRule="exact"/>
              <w:rPr>
                <w:rFonts w:eastAsia="宋体" w:cs="Times New Roman"/>
                <w:bCs/>
                <w:color w:val="000000"/>
                <w:sz w:val="21"/>
                <w:szCs w:val="21"/>
              </w:rPr>
            </w:pPr>
          </w:p>
        </w:tc>
      </w:tr>
      <w:tr w14:paraId="1CD8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14:paraId="12AB9D36">
            <w:pPr>
              <w:spacing w:line="400" w:lineRule="exact"/>
              <w:jc w:val="center"/>
              <w:rPr>
                <w:rFonts w:eastAsia="宋体" w:cs="Times New Roman"/>
                <w:bCs/>
                <w:color w:val="000000"/>
                <w:sz w:val="21"/>
                <w:szCs w:val="21"/>
              </w:rPr>
            </w:pPr>
            <w:r>
              <w:rPr>
                <w:rFonts w:hint="eastAsia" w:eastAsia="宋体" w:cs="Times New Roman"/>
                <w:bCs/>
                <w:color w:val="000000"/>
                <w:sz w:val="21"/>
                <w:szCs w:val="21"/>
              </w:rPr>
              <w:t>10</w:t>
            </w:r>
          </w:p>
        </w:tc>
        <w:tc>
          <w:tcPr>
            <w:tcW w:w="1600" w:type="dxa"/>
            <w:tcBorders>
              <w:top w:val="single" w:color="auto" w:sz="6" w:space="0"/>
              <w:left w:val="single" w:color="auto" w:sz="6" w:space="0"/>
              <w:bottom w:val="single" w:color="auto" w:sz="6" w:space="0"/>
              <w:right w:val="single" w:color="auto" w:sz="6" w:space="0"/>
            </w:tcBorders>
          </w:tcPr>
          <w:p w14:paraId="44391816">
            <w:pPr>
              <w:spacing w:line="400" w:lineRule="exact"/>
              <w:jc w:val="center"/>
              <w:rPr>
                <w:rFonts w:ascii="Arial" w:hAnsi="Arial" w:eastAsia="宋体" w:cs="Arial"/>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14:paraId="546270CC">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14:paraId="4C290834">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60D1C903">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14:paraId="257DFFE8">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14:paraId="7FFF5CA5">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14:paraId="316F9C86">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14:paraId="074652C6">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14:paraId="494FDA93">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14:paraId="17C49853">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14:paraId="623603E9">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14:paraId="1DC4ABC1">
            <w:pPr>
              <w:spacing w:line="400" w:lineRule="exact"/>
              <w:rPr>
                <w:rFonts w:eastAsia="宋体" w:cs="Times New Roman"/>
                <w:bCs/>
                <w:color w:val="000000"/>
                <w:sz w:val="21"/>
                <w:szCs w:val="21"/>
              </w:rPr>
            </w:pPr>
          </w:p>
        </w:tc>
      </w:tr>
      <w:tr w14:paraId="40BB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14:paraId="15A69B0D">
            <w:pPr>
              <w:spacing w:line="400" w:lineRule="exact"/>
              <w:jc w:val="center"/>
              <w:rPr>
                <w:rFonts w:eastAsia="宋体" w:cs="Times New Roman"/>
                <w:bCs/>
                <w:color w:val="000000"/>
                <w:sz w:val="21"/>
                <w:szCs w:val="21"/>
              </w:rPr>
            </w:pPr>
            <w:r>
              <w:rPr>
                <w:rFonts w:hint="eastAsia" w:eastAsia="宋体" w:cs="Times New Roman"/>
                <w:bCs/>
                <w:color w:val="000000"/>
                <w:sz w:val="21"/>
                <w:szCs w:val="21"/>
              </w:rPr>
              <w:t>11</w:t>
            </w:r>
          </w:p>
        </w:tc>
        <w:tc>
          <w:tcPr>
            <w:tcW w:w="1600" w:type="dxa"/>
            <w:tcBorders>
              <w:top w:val="single" w:color="auto" w:sz="6" w:space="0"/>
              <w:left w:val="single" w:color="auto" w:sz="6" w:space="0"/>
              <w:bottom w:val="single" w:color="auto" w:sz="6" w:space="0"/>
              <w:right w:val="single" w:color="auto" w:sz="6" w:space="0"/>
            </w:tcBorders>
          </w:tcPr>
          <w:p w14:paraId="751A9ECB">
            <w:pPr>
              <w:spacing w:line="400" w:lineRule="exact"/>
              <w:jc w:val="center"/>
              <w:rPr>
                <w:rFonts w:eastAsia="宋体" w:cs="Times New Roman"/>
                <w:bCs/>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14:paraId="0FE2229A">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14:paraId="16A2CCD2">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47EF9107">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14:paraId="3111CE0A">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14:paraId="3FD98DEA">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14:paraId="47B77BC3">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14:paraId="28017E3A">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14:paraId="10068120">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14:paraId="0BE9A621">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14:paraId="07034EF7">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14:paraId="47CDFC82">
            <w:pPr>
              <w:spacing w:line="400" w:lineRule="exact"/>
              <w:rPr>
                <w:rFonts w:eastAsia="宋体" w:cs="Times New Roman"/>
                <w:bCs/>
                <w:color w:val="000000"/>
                <w:sz w:val="21"/>
                <w:szCs w:val="21"/>
              </w:rPr>
            </w:pPr>
          </w:p>
        </w:tc>
      </w:tr>
      <w:tr w14:paraId="0358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6" w:space="0"/>
              <w:left w:val="single" w:color="auto" w:sz="12" w:space="0"/>
              <w:bottom w:val="single" w:color="auto" w:sz="6" w:space="0"/>
              <w:right w:val="single" w:color="auto" w:sz="6" w:space="0"/>
            </w:tcBorders>
          </w:tcPr>
          <w:p w14:paraId="11E084AB">
            <w:pPr>
              <w:spacing w:line="400" w:lineRule="exact"/>
              <w:jc w:val="center"/>
              <w:rPr>
                <w:rFonts w:eastAsia="宋体" w:cs="Times New Roman"/>
                <w:bCs/>
                <w:color w:val="000000"/>
                <w:sz w:val="21"/>
                <w:szCs w:val="21"/>
              </w:rPr>
            </w:pPr>
            <w:r>
              <w:rPr>
                <w:rFonts w:hint="eastAsia" w:eastAsia="宋体" w:cs="Times New Roman"/>
                <w:bCs/>
                <w:color w:val="000000"/>
                <w:sz w:val="21"/>
                <w:szCs w:val="21"/>
              </w:rPr>
              <w:t>12</w:t>
            </w:r>
          </w:p>
        </w:tc>
        <w:tc>
          <w:tcPr>
            <w:tcW w:w="1600" w:type="dxa"/>
            <w:tcBorders>
              <w:top w:val="single" w:color="auto" w:sz="6" w:space="0"/>
              <w:left w:val="single" w:color="auto" w:sz="6" w:space="0"/>
              <w:bottom w:val="single" w:color="auto" w:sz="6" w:space="0"/>
              <w:right w:val="single" w:color="auto" w:sz="6" w:space="0"/>
            </w:tcBorders>
          </w:tcPr>
          <w:p w14:paraId="40F103F3">
            <w:pPr>
              <w:spacing w:line="400" w:lineRule="exact"/>
              <w:jc w:val="center"/>
              <w:rPr>
                <w:rFonts w:eastAsia="宋体" w:cs="Times New Roman"/>
                <w:bCs/>
                <w:color w:val="000000"/>
                <w:sz w:val="21"/>
                <w:szCs w:val="21"/>
              </w:rPr>
            </w:pPr>
          </w:p>
        </w:tc>
        <w:tc>
          <w:tcPr>
            <w:tcW w:w="830" w:type="dxa"/>
            <w:tcBorders>
              <w:top w:val="single" w:color="auto" w:sz="6" w:space="0"/>
              <w:left w:val="single" w:color="auto" w:sz="6" w:space="0"/>
              <w:bottom w:val="single" w:color="auto" w:sz="6" w:space="0"/>
              <w:right w:val="single" w:color="auto" w:sz="6" w:space="0"/>
            </w:tcBorders>
          </w:tcPr>
          <w:p w14:paraId="6D1A71A3">
            <w:pPr>
              <w:spacing w:line="400" w:lineRule="exact"/>
              <w:rPr>
                <w:rFonts w:eastAsia="宋体" w:cs="Times New Roman"/>
                <w:bCs/>
                <w:color w:val="000000"/>
                <w:sz w:val="21"/>
                <w:szCs w:val="21"/>
              </w:rPr>
            </w:pPr>
          </w:p>
        </w:tc>
        <w:tc>
          <w:tcPr>
            <w:tcW w:w="741" w:type="dxa"/>
            <w:tcBorders>
              <w:top w:val="single" w:color="auto" w:sz="6" w:space="0"/>
              <w:left w:val="single" w:color="auto" w:sz="6" w:space="0"/>
              <w:bottom w:val="single" w:color="auto" w:sz="6" w:space="0"/>
              <w:right w:val="single" w:color="auto" w:sz="6" w:space="0"/>
            </w:tcBorders>
          </w:tcPr>
          <w:p w14:paraId="282EF630">
            <w:pPr>
              <w:spacing w:line="400" w:lineRule="exact"/>
              <w:rPr>
                <w:rFonts w:eastAsia="宋体" w:cs="Times New Roman"/>
                <w:bCs/>
                <w:color w:val="000000"/>
                <w:sz w:val="21"/>
                <w:szCs w:val="21"/>
              </w:rPr>
            </w:pPr>
          </w:p>
        </w:tc>
        <w:tc>
          <w:tcPr>
            <w:tcW w:w="684" w:type="dxa"/>
            <w:tcBorders>
              <w:top w:val="single" w:color="auto" w:sz="6" w:space="0"/>
              <w:left w:val="single" w:color="auto" w:sz="6" w:space="0"/>
              <w:bottom w:val="single" w:color="auto" w:sz="6" w:space="0"/>
              <w:right w:val="single" w:color="auto" w:sz="6" w:space="0"/>
            </w:tcBorders>
          </w:tcPr>
          <w:p w14:paraId="724EE2BB">
            <w:pPr>
              <w:spacing w:line="400" w:lineRule="exact"/>
              <w:rPr>
                <w:rFonts w:eastAsia="宋体" w:cs="Times New Roman"/>
                <w:bCs/>
                <w:color w:val="000000"/>
                <w:sz w:val="21"/>
                <w:szCs w:val="21"/>
              </w:rPr>
            </w:pPr>
          </w:p>
        </w:tc>
        <w:tc>
          <w:tcPr>
            <w:tcW w:w="1097" w:type="dxa"/>
            <w:tcBorders>
              <w:top w:val="single" w:color="auto" w:sz="6" w:space="0"/>
              <w:left w:val="single" w:color="auto" w:sz="6" w:space="0"/>
              <w:bottom w:val="single" w:color="auto" w:sz="6" w:space="0"/>
              <w:right w:val="single" w:color="auto" w:sz="6" w:space="0"/>
            </w:tcBorders>
          </w:tcPr>
          <w:p w14:paraId="66FBD1F2">
            <w:pPr>
              <w:spacing w:line="400" w:lineRule="exact"/>
              <w:rPr>
                <w:rFonts w:eastAsia="宋体" w:cs="Times New Roman"/>
                <w:bCs/>
                <w:color w:val="000000"/>
                <w:sz w:val="21"/>
                <w:szCs w:val="21"/>
              </w:rPr>
            </w:pPr>
          </w:p>
        </w:tc>
        <w:tc>
          <w:tcPr>
            <w:tcW w:w="739" w:type="dxa"/>
            <w:tcBorders>
              <w:top w:val="single" w:color="auto" w:sz="6" w:space="0"/>
              <w:left w:val="single" w:color="auto" w:sz="6" w:space="0"/>
              <w:bottom w:val="single" w:color="auto" w:sz="6" w:space="0"/>
              <w:right w:val="single" w:color="auto" w:sz="6" w:space="0"/>
            </w:tcBorders>
          </w:tcPr>
          <w:p w14:paraId="1AB4EA79">
            <w:pPr>
              <w:spacing w:line="400" w:lineRule="exact"/>
              <w:rPr>
                <w:rFonts w:eastAsia="宋体" w:cs="Times New Roman"/>
                <w:bCs/>
                <w:color w:val="000000"/>
                <w:sz w:val="21"/>
                <w:szCs w:val="21"/>
              </w:rPr>
            </w:pPr>
          </w:p>
        </w:tc>
        <w:tc>
          <w:tcPr>
            <w:tcW w:w="1163" w:type="dxa"/>
            <w:tcBorders>
              <w:top w:val="single" w:color="auto" w:sz="6" w:space="0"/>
              <w:left w:val="single" w:color="auto" w:sz="6" w:space="0"/>
              <w:bottom w:val="single" w:color="auto" w:sz="6" w:space="0"/>
              <w:right w:val="single" w:color="auto" w:sz="6" w:space="0"/>
            </w:tcBorders>
          </w:tcPr>
          <w:p w14:paraId="3F0CBE04">
            <w:pPr>
              <w:spacing w:line="400" w:lineRule="exact"/>
              <w:rPr>
                <w:rFonts w:eastAsia="宋体" w:cs="Times New Roman"/>
                <w:bCs/>
                <w:color w:val="000000"/>
                <w:sz w:val="21"/>
                <w:szCs w:val="21"/>
              </w:rPr>
            </w:pPr>
          </w:p>
        </w:tc>
        <w:tc>
          <w:tcPr>
            <w:tcW w:w="1201" w:type="dxa"/>
            <w:tcBorders>
              <w:top w:val="single" w:color="auto" w:sz="6" w:space="0"/>
              <w:left w:val="single" w:color="auto" w:sz="6" w:space="0"/>
              <w:bottom w:val="single" w:color="auto" w:sz="6" w:space="0"/>
              <w:right w:val="single" w:color="auto" w:sz="6" w:space="0"/>
            </w:tcBorders>
          </w:tcPr>
          <w:p w14:paraId="3C6CF473">
            <w:pPr>
              <w:spacing w:line="400" w:lineRule="exact"/>
              <w:rPr>
                <w:rFonts w:eastAsia="宋体" w:cs="Times New Roman"/>
                <w:bCs/>
                <w:color w:val="000000"/>
                <w:sz w:val="21"/>
                <w:szCs w:val="21"/>
              </w:rPr>
            </w:pPr>
          </w:p>
        </w:tc>
        <w:tc>
          <w:tcPr>
            <w:tcW w:w="977" w:type="dxa"/>
            <w:tcBorders>
              <w:top w:val="single" w:color="auto" w:sz="6" w:space="0"/>
              <w:left w:val="single" w:color="auto" w:sz="6" w:space="0"/>
              <w:bottom w:val="single" w:color="auto" w:sz="6" w:space="0"/>
              <w:right w:val="single" w:color="auto" w:sz="6" w:space="0"/>
            </w:tcBorders>
          </w:tcPr>
          <w:p w14:paraId="0B5109AA">
            <w:pPr>
              <w:spacing w:line="400" w:lineRule="exact"/>
              <w:rPr>
                <w:rFonts w:eastAsia="宋体" w:cs="Times New Roman"/>
                <w:bCs/>
                <w:color w:val="000000"/>
                <w:sz w:val="21"/>
                <w:szCs w:val="21"/>
              </w:rPr>
            </w:pPr>
          </w:p>
        </w:tc>
        <w:tc>
          <w:tcPr>
            <w:tcW w:w="1131" w:type="dxa"/>
            <w:tcBorders>
              <w:top w:val="single" w:color="auto" w:sz="6" w:space="0"/>
              <w:left w:val="single" w:color="auto" w:sz="6" w:space="0"/>
              <w:bottom w:val="single" w:color="auto" w:sz="6" w:space="0"/>
              <w:right w:val="single" w:color="auto" w:sz="6" w:space="0"/>
            </w:tcBorders>
          </w:tcPr>
          <w:p w14:paraId="4AC7045F">
            <w:pPr>
              <w:spacing w:line="400" w:lineRule="exact"/>
              <w:rPr>
                <w:rFonts w:eastAsia="宋体" w:cs="Times New Roman"/>
                <w:bCs/>
                <w:color w:val="000000"/>
                <w:sz w:val="21"/>
                <w:szCs w:val="21"/>
              </w:rPr>
            </w:pPr>
          </w:p>
        </w:tc>
        <w:tc>
          <w:tcPr>
            <w:tcW w:w="1326" w:type="dxa"/>
            <w:tcBorders>
              <w:top w:val="single" w:color="auto" w:sz="6" w:space="0"/>
              <w:left w:val="single" w:color="auto" w:sz="6" w:space="0"/>
              <w:bottom w:val="single" w:color="auto" w:sz="6" w:space="0"/>
              <w:right w:val="single" w:color="auto" w:sz="6" w:space="0"/>
            </w:tcBorders>
          </w:tcPr>
          <w:p w14:paraId="1F0B29E6">
            <w:pPr>
              <w:spacing w:line="400" w:lineRule="exact"/>
              <w:rPr>
                <w:rFonts w:eastAsia="宋体" w:cs="Times New Roman"/>
                <w:bCs/>
                <w:color w:val="000000"/>
                <w:sz w:val="21"/>
                <w:szCs w:val="21"/>
              </w:rPr>
            </w:pPr>
          </w:p>
        </w:tc>
        <w:tc>
          <w:tcPr>
            <w:tcW w:w="2223" w:type="dxa"/>
            <w:tcBorders>
              <w:top w:val="single" w:color="auto" w:sz="6" w:space="0"/>
              <w:left w:val="single" w:color="auto" w:sz="6" w:space="0"/>
              <w:bottom w:val="single" w:color="auto" w:sz="6" w:space="0"/>
              <w:right w:val="single" w:color="auto" w:sz="12" w:space="0"/>
            </w:tcBorders>
          </w:tcPr>
          <w:p w14:paraId="0302B1B0">
            <w:pPr>
              <w:spacing w:line="400" w:lineRule="exact"/>
              <w:rPr>
                <w:rFonts w:eastAsia="宋体" w:cs="Times New Roman"/>
                <w:bCs/>
                <w:color w:val="000000"/>
                <w:sz w:val="21"/>
                <w:szCs w:val="21"/>
              </w:rPr>
            </w:pPr>
          </w:p>
        </w:tc>
      </w:tr>
    </w:tbl>
    <w:p w14:paraId="3AAC3BEE">
      <w:pPr>
        <w:spacing w:line="240" w:lineRule="auto"/>
        <w:rPr>
          <w:rFonts w:eastAsia="宋体" w:cs="Times New Roman"/>
          <w:bCs/>
          <w:color w:val="000000"/>
          <w:sz w:val="21"/>
          <w:szCs w:val="21"/>
        </w:rPr>
      </w:pPr>
      <w:r>
        <w:rPr>
          <w:rFonts w:hint="eastAsia" w:eastAsia="宋体" w:cs="Times New Roman"/>
          <w:bCs/>
          <w:color w:val="000000"/>
          <w:sz w:val="21"/>
          <w:szCs w:val="21"/>
        </w:rPr>
        <w:t>检测单位：</w:t>
      </w:r>
    </w:p>
    <w:p w14:paraId="21629538">
      <w:pPr>
        <w:wordWrap w:val="0"/>
        <w:spacing w:before="100" w:beforeAutospacing="1" w:after="100" w:afterAutospacing="1" w:line="253" w:lineRule="atLeast"/>
        <w:rPr>
          <w:color w:val="000000"/>
          <w:sz w:val="28"/>
          <w:szCs w:val="28"/>
        </w:rPr>
        <w:sectPr>
          <w:headerReference r:id="rId15" w:type="default"/>
          <w:footerReference r:id="rId16" w:type="default"/>
          <w:footerReference r:id="rId17" w:type="even"/>
          <w:pgSz w:w="16838" w:h="11906" w:orient="landscape"/>
          <w:pgMar w:top="1418" w:right="1247" w:bottom="1134" w:left="1247" w:header="851" w:footer="992" w:gutter="0"/>
          <w:cols w:space="425" w:num="1"/>
          <w:docGrid w:linePitch="312" w:charSpace="0"/>
        </w:sectPr>
      </w:pPr>
    </w:p>
    <w:p w14:paraId="009C2124">
      <w:pPr>
        <w:pStyle w:val="4"/>
      </w:pPr>
      <w:bookmarkStart w:id="422" w:name="_Toc10558"/>
      <w:bookmarkStart w:id="423" w:name="_Toc28864439"/>
      <w:bookmarkStart w:id="424" w:name="_Toc16789"/>
      <w:bookmarkStart w:id="425" w:name="_Toc98760622"/>
      <w:bookmarkStart w:id="426" w:name="_Toc181825592"/>
      <w:bookmarkStart w:id="427" w:name="_Toc24620"/>
      <w:bookmarkStart w:id="428" w:name="_Toc29235474"/>
      <w:bookmarkStart w:id="429" w:name="_Toc33717450"/>
      <w:bookmarkStart w:id="430" w:name="_Toc463446196"/>
      <w:bookmarkStart w:id="431" w:name="_Toc14821"/>
      <w:bookmarkStart w:id="432" w:name="_Toc33711002"/>
      <w:bookmarkStart w:id="433" w:name="_Toc335228796"/>
      <w:bookmarkStart w:id="434" w:name="_Toc28301"/>
      <w:bookmarkStart w:id="435" w:name="_Toc455393095"/>
      <w:bookmarkStart w:id="436" w:name="_Toc34161093"/>
      <w:bookmarkStart w:id="437" w:name="_Toc303695548"/>
      <w:bookmarkStart w:id="438" w:name="_Toc340513510"/>
      <w:bookmarkStart w:id="439" w:name="_Toc8567"/>
      <w:bookmarkStart w:id="440" w:name="_Toc20793"/>
      <w:bookmarkStart w:id="441" w:name="_Toc2706"/>
      <w:bookmarkStart w:id="442" w:name="_Toc96104624"/>
      <w:bookmarkStart w:id="443" w:name="_Toc25200"/>
      <w:bookmarkStart w:id="444" w:name="_Toc38548943"/>
      <w:bookmarkStart w:id="445" w:name="_Toc22678"/>
      <w:bookmarkStart w:id="446" w:name="_Toc4482"/>
      <w:bookmarkStart w:id="447" w:name="_Toc7129"/>
      <w:r>
        <w:rPr>
          <w:rFonts w:hint="eastAsia"/>
          <w:lang w:eastAsia="zh-CN"/>
        </w:rPr>
        <w:t>本标准</w:t>
      </w:r>
      <w:r>
        <w:t>用词说明</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5ABC0341">
      <w:pPr>
        <w:keepNext w:val="0"/>
        <w:keepLines w:val="0"/>
        <w:pageBreakBefore w:val="0"/>
        <w:widowControl w:val="0"/>
        <w:kinsoku/>
        <w:wordWrap/>
        <w:overflowPunct/>
        <w:topLinePunct w:val="0"/>
        <w:autoSpaceDE/>
        <w:autoSpaceDN/>
        <w:bidi w:val="0"/>
        <w:adjustRightInd/>
        <w:snapToGrid w:val="0"/>
        <w:ind w:firstLine="482" w:firstLineChars="200"/>
        <w:textAlignment w:val="auto"/>
        <w:rPr>
          <w:rFonts w:hint="default" w:ascii="Times New Roman" w:hAnsi="Times New Roman" w:eastAsia="宋体" w:cs="Times New Roman"/>
        </w:rPr>
      </w:pPr>
      <w:r>
        <w:rPr>
          <w:rFonts w:hint="default" w:ascii="Times New Roman" w:hAnsi="Times New Roman" w:eastAsia="宋体" w:cs="Times New Roman"/>
          <w:b/>
          <w:bCs/>
          <w:lang w:val="en-US" w:eastAsia="zh-CN"/>
        </w:rPr>
        <w:t xml:space="preserve">1  </w:t>
      </w:r>
      <w:r>
        <w:rPr>
          <w:rFonts w:hint="default" w:ascii="Times New Roman" w:hAnsi="Times New Roman" w:eastAsia="宋体" w:cs="Times New Roman"/>
        </w:rPr>
        <w:t>为便于在执行</w:t>
      </w:r>
      <w:r>
        <w:rPr>
          <w:rFonts w:hint="default" w:ascii="Times New Roman" w:hAnsi="Times New Roman" w:eastAsia="宋体" w:cs="Times New Roman"/>
          <w:lang w:eastAsia="zh-CN"/>
        </w:rPr>
        <w:t>本标准</w:t>
      </w:r>
      <w:r>
        <w:rPr>
          <w:rFonts w:hint="default" w:ascii="Times New Roman" w:hAnsi="Times New Roman" w:eastAsia="宋体" w:cs="Times New Roman"/>
        </w:rPr>
        <w:t>条文时区别对待，对要求严格程度不同的用词说明如下：</w:t>
      </w:r>
    </w:p>
    <w:p w14:paraId="684D1AB7">
      <w:pPr>
        <w:ind w:firstLine="964" w:firstLineChars="400"/>
        <w:rPr>
          <w:rFonts w:ascii="宋体" w:hAnsi="宋体" w:eastAsia="宋体" w:cs="宋体"/>
        </w:rPr>
      </w:pPr>
      <w:bookmarkStart w:id="448" w:name="_Toc4121"/>
      <w:r>
        <w:rPr>
          <w:rFonts w:eastAsia="宋体" w:cs="Times New Roman"/>
          <w:b/>
        </w:rPr>
        <w:t>1　</w:t>
      </w:r>
      <w:r>
        <w:rPr>
          <w:rFonts w:hint="eastAsia" w:ascii="宋体" w:hAnsi="宋体" w:eastAsia="宋体" w:cs="宋体"/>
        </w:rPr>
        <w:t>表示很严格，非这样做不可的：</w:t>
      </w:r>
      <w:bookmarkEnd w:id="448"/>
    </w:p>
    <w:p w14:paraId="63CCE979">
      <w:pPr>
        <w:snapToGrid w:val="0"/>
        <w:ind w:left="720" w:firstLine="600" w:firstLineChars="250"/>
        <w:rPr>
          <w:rFonts w:ascii="宋体" w:hAnsi="宋体" w:eastAsia="宋体" w:cs="宋体"/>
        </w:rPr>
      </w:pPr>
      <w:r>
        <w:rPr>
          <w:rFonts w:hint="eastAsia" w:ascii="宋体" w:hAnsi="宋体" w:eastAsia="宋体" w:cs="宋体"/>
        </w:rPr>
        <w:t>正面词采用“必须”，反面词采用“严禁”；</w:t>
      </w:r>
    </w:p>
    <w:p w14:paraId="4584126A">
      <w:pPr>
        <w:ind w:firstLine="964" w:firstLineChars="400"/>
        <w:rPr>
          <w:rFonts w:ascii="宋体" w:hAnsi="宋体" w:eastAsia="宋体" w:cs="宋体"/>
        </w:rPr>
      </w:pPr>
      <w:bookmarkStart w:id="449" w:name="_Toc8620"/>
      <w:r>
        <w:rPr>
          <w:rFonts w:eastAsia="宋体" w:cs="Times New Roman"/>
          <w:b/>
        </w:rPr>
        <w:t>2　</w:t>
      </w:r>
      <w:r>
        <w:rPr>
          <w:rFonts w:hint="eastAsia" w:ascii="宋体" w:hAnsi="宋体" w:eastAsia="宋体" w:cs="宋体"/>
        </w:rPr>
        <w:t>表示严格，在正常情况下均应这样做的：</w:t>
      </w:r>
      <w:bookmarkEnd w:id="449"/>
    </w:p>
    <w:p w14:paraId="4F54D880">
      <w:pPr>
        <w:snapToGrid w:val="0"/>
        <w:ind w:left="720" w:firstLine="600" w:firstLineChars="250"/>
        <w:rPr>
          <w:rFonts w:ascii="宋体" w:hAnsi="宋体" w:eastAsia="宋体" w:cs="宋体"/>
        </w:rPr>
      </w:pPr>
      <w:r>
        <w:rPr>
          <w:rFonts w:hint="eastAsia" w:ascii="宋体" w:hAnsi="宋体" w:eastAsia="宋体" w:cs="宋体"/>
        </w:rPr>
        <w:t>正面词采用“应”，反面词采用“不应”或“不得”；</w:t>
      </w:r>
    </w:p>
    <w:p w14:paraId="431F7343">
      <w:pPr>
        <w:ind w:firstLine="964" w:firstLineChars="400"/>
        <w:rPr>
          <w:rFonts w:ascii="宋体" w:hAnsi="宋体" w:eastAsia="宋体" w:cs="宋体"/>
        </w:rPr>
      </w:pPr>
      <w:bookmarkStart w:id="450" w:name="_Toc7105"/>
      <w:r>
        <w:rPr>
          <w:rFonts w:eastAsia="宋体" w:cs="Times New Roman"/>
          <w:b/>
        </w:rPr>
        <w:t>3　</w:t>
      </w:r>
      <w:r>
        <w:rPr>
          <w:rFonts w:hint="eastAsia" w:ascii="宋体" w:hAnsi="宋体" w:eastAsia="宋体" w:cs="宋体"/>
        </w:rPr>
        <w:t>表示允许稍有选择，在条件许可时首先应这样做的：</w:t>
      </w:r>
      <w:bookmarkEnd w:id="450"/>
    </w:p>
    <w:p w14:paraId="7B47E22A">
      <w:pPr>
        <w:snapToGrid w:val="0"/>
        <w:ind w:left="720" w:firstLine="600" w:firstLineChars="250"/>
        <w:rPr>
          <w:rFonts w:ascii="宋体" w:hAnsi="宋体" w:eastAsia="宋体" w:cs="宋体"/>
        </w:rPr>
      </w:pPr>
      <w:r>
        <w:rPr>
          <w:rFonts w:hint="eastAsia" w:ascii="宋体" w:hAnsi="宋体" w:eastAsia="宋体" w:cs="宋体"/>
        </w:rPr>
        <w:t>正面词采用“宜”，反面词采用“不宜”；</w:t>
      </w:r>
    </w:p>
    <w:p w14:paraId="7D118F85">
      <w:pPr>
        <w:ind w:firstLine="964" w:firstLineChars="400"/>
        <w:rPr>
          <w:rFonts w:hint="eastAsia" w:ascii="宋体" w:hAnsi="宋体" w:eastAsia="宋体" w:cs="宋体"/>
        </w:rPr>
      </w:pPr>
      <w:bookmarkStart w:id="451" w:name="_Toc11459"/>
      <w:r>
        <w:rPr>
          <w:rFonts w:eastAsia="宋体" w:cs="Times New Roman"/>
          <w:b/>
        </w:rPr>
        <w:t>4　</w:t>
      </w:r>
      <w:r>
        <w:rPr>
          <w:rFonts w:hint="eastAsia" w:ascii="宋体" w:hAnsi="宋体" w:eastAsia="宋体" w:cs="宋体"/>
        </w:rPr>
        <w:t>表示有选择，在一定条件下可以这样做的，采用“可”。</w:t>
      </w:r>
      <w:bookmarkEnd w:id="451"/>
    </w:p>
    <w:p w14:paraId="14FF6F3B">
      <w:pPr>
        <w:keepNext w:val="0"/>
        <w:keepLines w:val="0"/>
        <w:pageBreakBefore w:val="0"/>
        <w:widowControl w:val="0"/>
        <w:kinsoku/>
        <w:wordWrap/>
        <w:overflowPunct/>
        <w:topLinePunct w:val="0"/>
        <w:autoSpaceDE/>
        <w:autoSpaceDN/>
        <w:bidi w:val="0"/>
        <w:adjustRightInd/>
        <w:snapToGrid w:val="0"/>
        <w:ind w:firstLine="482" w:firstLineChars="200"/>
        <w:textAlignment w:val="auto"/>
      </w:pPr>
      <w:r>
        <w:rPr>
          <w:rFonts w:hint="eastAsia"/>
          <w:b/>
          <w:bCs/>
        </w:rPr>
        <w:t>2</w:t>
      </w:r>
      <w:r>
        <w:rPr>
          <w:rFonts w:hint="eastAsia"/>
          <w:b/>
          <w:bCs/>
          <w:lang w:val="en-US" w:eastAsia="zh-CN"/>
        </w:rPr>
        <w:t xml:space="preserve">  </w:t>
      </w:r>
      <w:r>
        <w:rPr>
          <w:rFonts w:hint="eastAsia"/>
        </w:rPr>
        <w:t>条文中</w:t>
      </w:r>
      <w:r>
        <w:rPr>
          <w:rFonts w:hint="eastAsia" w:ascii="宋体" w:hAnsi="宋体" w:eastAsia="宋体" w:cs="宋体"/>
          <w:lang w:val="en-US" w:eastAsia="zh-CN"/>
        </w:rPr>
        <w:t>指定</w:t>
      </w:r>
      <w:r>
        <w:rPr>
          <w:rFonts w:hint="eastAsia"/>
        </w:rPr>
        <w:t>应按其他有关标准执行时，写法为“应</w:t>
      </w:r>
      <w:r>
        <w:rPr>
          <w:rFonts w:hint="eastAsia"/>
          <w:lang w:val="en-US" w:eastAsia="zh-CN"/>
        </w:rPr>
        <w:t>按……执行”或“应</w:t>
      </w:r>
      <w:r>
        <w:rPr>
          <w:rFonts w:hint="eastAsia"/>
        </w:rPr>
        <w:t>符合……的规定”。</w:t>
      </w:r>
      <w:r>
        <w:rPr>
          <w:rFonts w:hint="eastAsia"/>
          <w:lang w:val="en-US" w:eastAsia="zh-CN"/>
        </w:rPr>
        <w:t>可选择</w:t>
      </w:r>
      <w:r>
        <w:rPr>
          <w:rFonts w:hint="eastAsia"/>
        </w:rPr>
        <w:t>按所指定的标准执行时，写法为“可参照……”。</w:t>
      </w:r>
    </w:p>
    <w:bookmarkEnd w:id="445"/>
    <w:bookmarkEnd w:id="446"/>
    <w:bookmarkEnd w:id="447"/>
    <w:p w14:paraId="28D9F2F6"/>
    <w:p w14:paraId="657778CC">
      <w:pPr>
        <w:sectPr>
          <w:pgSz w:w="12240" w:h="15840"/>
          <w:pgMar w:top="1440" w:right="1800" w:bottom="1440" w:left="1800" w:header="720" w:footer="720" w:gutter="0"/>
          <w:cols w:space="720" w:num="1"/>
          <w:docGrid w:linePitch="360" w:charSpace="0"/>
        </w:sectPr>
      </w:pPr>
    </w:p>
    <w:p w14:paraId="66BDBB68">
      <w:pPr>
        <w:pStyle w:val="4"/>
      </w:pPr>
      <w:bookmarkStart w:id="452" w:name="_Toc29235475"/>
      <w:bookmarkStart w:id="453" w:name="_Toc463446197"/>
      <w:bookmarkStart w:id="454" w:name="_Toc33717451"/>
      <w:bookmarkStart w:id="455" w:name="_Toc181825593"/>
      <w:bookmarkStart w:id="456" w:name="_Toc2194"/>
      <w:bookmarkStart w:id="457" w:name="_Toc28864440"/>
      <w:bookmarkStart w:id="458" w:name="_Toc19260"/>
      <w:bookmarkStart w:id="459" w:name="_Toc33711003"/>
      <w:bookmarkStart w:id="460" w:name="_Toc455393096"/>
      <w:bookmarkStart w:id="461" w:name="_Toc16273"/>
      <w:bookmarkStart w:id="462" w:name="_Toc38548944"/>
      <w:bookmarkStart w:id="463" w:name="_Toc8983"/>
      <w:bookmarkStart w:id="464" w:name="_Toc34161094"/>
      <w:r>
        <w:t>引用标准名录</w:t>
      </w:r>
      <w:bookmarkEnd w:id="452"/>
      <w:bookmarkEnd w:id="453"/>
      <w:bookmarkEnd w:id="454"/>
      <w:bookmarkEnd w:id="455"/>
      <w:bookmarkEnd w:id="456"/>
      <w:bookmarkEnd w:id="457"/>
      <w:bookmarkEnd w:id="458"/>
      <w:bookmarkEnd w:id="459"/>
      <w:bookmarkEnd w:id="460"/>
      <w:bookmarkEnd w:id="461"/>
      <w:bookmarkEnd w:id="462"/>
      <w:bookmarkEnd w:id="463"/>
      <w:bookmarkEnd w:id="464"/>
    </w:p>
    <w:p w14:paraId="634A8600">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lang w:bidi="ar"/>
        </w:rPr>
      </w:pPr>
      <w:r>
        <w:rPr>
          <w:rFonts w:ascii="Times New Roman" w:hAnsi="Times New Roman" w:eastAsia="宋体" w:cs="Times New Roman"/>
          <w:lang w:bidi="ar"/>
        </w:rPr>
        <w:t>《给水排水管道工程施工及验收规范》GB 50268</w:t>
      </w:r>
    </w:p>
    <w:p w14:paraId="44A7577C">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《饮用冷水水表和热水水表</w:t>
      </w:r>
      <w:r>
        <w:rPr>
          <w:rFonts w:hint="eastAsia" w:ascii="Times New Roman" w:hAnsi="Times New Roman" w:eastAsia="宋体" w:cs="Times New Roman"/>
        </w:rPr>
        <w:t xml:space="preserve"> </w:t>
      </w:r>
      <w:r>
        <w:rPr>
          <w:rFonts w:ascii="Times New Roman" w:hAnsi="Times New Roman" w:eastAsia="宋体" w:cs="Times New Roman"/>
        </w:rPr>
        <w:t xml:space="preserve"> 第1部分：计量要求和技术要求》GB/T 778.1</w:t>
      </w:r>
    </w:p>
    <w:p w14:paraId="15C7D419">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《无损检测超声测厚》GB/T 11344</w:t>
      </w:r>
    </w:p>
    <w:p w14:paraId="157AF650">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《生活饮用水输配水设备及防护材料的安全性评价标准》GB/T 17219</w:t>
      </w:r>
    </w:p>
    <w:p w14:paraId="3165DDAE">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《无损检测 超声检测 超声测厚仪性能特征和测试方法》GB/T 40332</w:t>
      </w:r>
    </w:p>
    <w:p w14:paraId="05C4C061">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《城镇供水管网漏损控制及评定标准》CJJ 92</w:t>
      </w:r>
    </w:p>
    <w:p w14:paraId="52EE8E2C">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《城镇供水管网漏水探测技术规程》CJJ 159</w:t>
      </w:r>
    </w:p>
    <w:p w14:paraId="712DA58A">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《城市地下病害体综合探测与风险评估技术标准》JGJ/T 437</w:t>
      </w:r>
    </w:p>
    <w:p w14:paraId="289536AD">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《超声波水表》CJ/T 434</w:t>
      </w:r>
    </w:p>
    <w:p w14:paraId="18D741D1">
      <w:pPr>
        <w:pStyle w:val="18"/>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left="480" w:leftChars="200" w:firstLine="0" w:firstLineChars="0"/>
        <w:textAlignment w:val="auto"/>
        <w:rPr>
          <w:rFonts w:ascii="Times New Roman" w:hAnsi="Times New Roman" w:eastAsia="宋体" w:cs="Times New Roman"/>
        </w:rPr>
      </w:pPr>
      <w:r>
        <w:rPr>
          <w:rFonts w:ascii="Times New Roman" w:hAnsi="Times New Roman" w:eastAsia="宋体" w:cs="Times New Roman"/>
        </w:rPr>
        <w:t>《电磁流量计》JB/T 9248</w:t>
      </w:r>
    </w:p>
    <w:p w14:paraId="64AA6D80">
      <w:pPr>
        <w:pStyle w:val="18"/>
        <w:snapToGrid w:val="0"/>
        <w:spacing w:after="0" w:line="360" w:lineRule="auto"/>
        <w:ind w:left="0" w:leftChars="0" w:firstLine="480" w:firstLineChars="200"/>
        <w:rPr>
          <w:rFonts w:ascii="Times New Roman" w:hAnsi="Times New Roman" w:eastAsia="宋体" w:cs="Times New Roman"/>
        </w:rPr>
      </w:pPr>
    </w:p>
    <w:p w14:paraId="575D6E0B">
      <w:pPr>
        <w:pStyle w:val="18"/>
        <w:snapToGrid w:val="0"/>
        <w:spacing w:after="0" w:line="360" w:lineRule="auto"/>
        <w:ind w:left="0" w:leftChars="0" w:firstLine="480" w:firstLineChars="200"/>
        <w:rPr>
          <w:rFonts w:ascii="Times New Roman" w:hAnsi="Times New Roman" w:eastAsia="宋体" w:cs="Times New Roman"/>
        </w:rPr>
      </w:pPr>
    </w:p>
    <w:p w14:paraId="49F6FF76">
      <w:pPr>
        <w:pStyle w:val="18"/>
        <w:snapToGrid w:val="0"/>
        <w:spacing w:after="0" w:line="360" w:lineRule="auto"/>
        <w:ind w:left="0" w:leftChars="0" w:firstLine="480" w:firstLineChars="200"/>
      </w:pPr>
    </w:p>
    <w:p w14:paraId="7239686F">
      <w:pPr>
        <w:pStyle w:val="18"/>
        <w:snapToGrid w:val="0"/>
        <w:spacing w:after="0" w:line="360" w:lineRule="auto"/>
        <w:ind w:left="0" w:leftChars="0" w:firstLine="480" w:firstLineChars="200"/>
        <w:sectPr>
          <w:pgSz w:w="12240" w:h="15840"/>
          <w:pgMar w:top="1440" w:right="1800" w:bottom="1440" w:left="1800" w:header="720" w:footer="720" w:gutter="0"/>
          <w:cols w:space="720" w:num="1"/>
          <w:docGrid w:linePitch="360" w:charSpace="0"/>
        </w:sectPr>
      </w:pPr>
    </w:p>
    <w:p w14:paraId="6767C96F"/>
    <w:p w14:paraId="41079F31"/>
    <w:p w14:paraId="0F7A0075"/>
    <w:p w14:paraId="7368D21C"/>
    <w:p w14:paraId="7BDF783E">
      <w:pPr>
        <w:jc w:val="center"/>
        <w:rPr>
          <w:rFonts w:eastAsiaTheme="minorEastAsia"/>
          <w:b/>
          <w:sz w:val="30"/>
          <w:szCs w:val="30"/>
        </w:rPr>
      </w:pPr>
      <w:r>
        <w:rPr>
          <w:rFonts w:ascii="黑体" w:hAnsi="宋体" w:eastAsia="黑体" w:cs="宋体"/>
          <w:color w:val="auto"/>
          <w:sz w:val="36"/>
          <w:szCs w:val="36"/>
          <w:highlight w:val="none"/>
        </w:rPr>
        <w:t>广东省标准</w:t>
      </w:r>
    </w:p>
    <w:p w14:paraId="262276EB"/>
    <w:p w14:paraId="3BE04463"/>
    <w:p w14:paraId="6D2A6D77">
      <w:pPr>
        <w:jc w:val="center"/>
        <w:rPr>
          <w:rFonts w:hint="eastAsia" w:eastAsiaTheme="minorEastAsia"/>
          <w:b/>
          <w:sz w:val="36"/>
          <w:szCs w:val="36"/>
          <w:lang w:eastAsia="zh-CN"/>
        </w:rPr>
      </w:pPr>
      <w:r>
        <w:rPr>
          <w:rFonts w:hint="eastAsia"/>
          <w:b/>
          <w:sz w:val="36"/>
          <w:szCs w:val="36"/>
          <w:lang w:eastAsia="zh-CN"/>
        </w:rPr>
        <w:t>城镇给水管道检测与评估</w:t>
      </w:r>
      <w:r>
        <w:rPr>
          <w:rFonts w:hint="eastAsia"/>
          <w:b/>
          <w:sz w:val="36"/>
          <w:szCs w:val="36"/>
          <w:lang w:val="en-US" w:eastAsia="zh-CN"/>
        </w:rPr>
        <w:t>技术</w:t>
      </w:r>
      <w:r>
        <w:rPr>
          <w:rFonts w:hint="eastAsia"/>
          <w:b/>
          <w:sz w:val="36"/>
          <w:szCs w:val="36"/>
          <w:lang w:eastAsia="zh-CN"/>
        </w:rPr>
        <w:t>标准</w:t>
      </w:r>
    </w:p>
    <w:p w14:paraId="26F1631C"/>
    <w:p w14:paraId="2BB19B10"/>
    <w:p w14:paraId="5674AA85">
      <w:pPr>
        <w:ind w:firstLine="3117" w:firstLineChars="1109"/>
        <w:rPr>
          <w:rFonts w:hint="eastAsia" w:ascii="Times New Roman" w:hAnsi="Times New Roman" w:eastAsia="宋体"/>
          <w:b/>
          <w:color w:val="auto"/>
          <w:sz w:val="28"/>
          <w:szCs w:val="28"/>
          <w:highlight w:val="none"/>
          <w:lang w:val="en-US" w:eastAsia="zh-CN"/>
        </w:rPr>
      </w:pPr>
      <w:r>
        <w:rPr>
          <w:rFonts w:ascii="Times New Roman" w:hAnsi="Times New Roman" w:eastAsia="宋体"/>
          <w:b/>
          <w:color w:val="auto"/>
          <w:sz w:val="28"/>
          <w:szCs w:val="28"/>
          <w:highlight w:val="none"/>
        </w:rPr>
        <w:t>DBJ/T xx-xx-202</w:t>
      </w:r>
      <w:r>
        <w:rPr>
          <w:rFonts w:hint="eastAsia" w:ascii="Times New Roman" w:hAnsi="Times New Roman" w:eastAsia="宋体"/>
          <w:b/>
          <w:color w:val="auto"/>
          <w:sz w:val="28"/>
          <w:szCs w:val="28"/>
          <w:highlight w:val="none"/>
          <w:lang w:val="en-US" w:eastAsia="zh-CN"/>
        </w:rPr>
        <w:t>x</w:t>
      </w:r>
    </w:p>
    <w:p w14:paraId="72D4DA85">
      <w:pPr>
        <w:pStyle w:val="2"/>
        <w:rPr>
          <w:rFonts w:hint="eastAsia"/>
          <w:lang w:val="en-US" w:eastAsia="zh-CN"/>
        </w:rPr>
      </w:pPr>
    </w:p>
    <w:p w14:paraId="56F259D8">
      <w:pPr>
        <w:pStyle w:val="4"/>
        <w:keepNext/>
        <w:keepLines/>
        <w:pageBreakBefore w:val="0"/>
        <w:widowControl w:val="0"/>
        <w:kinsoku/>
        <w:wordWrap/>
        <w:overflowPunct/>
        <w:topLinePunct w:val="0"/>
        <w:autoSpaceDE/>
        <w:autoSpaceDN/>
        <w:bidi w:val="0"/>
        <w:adjustRightInd/>
        <w:snapToGrid/>
        <w:ind w:right="0" w:rightChars="0" w:firstLine="0" w:firstLineChars="0"/>
        <w:jc w:val="center"/>
        <w:textAlignment w:val="auto"/>
        <w:rPr>
          <w:rFonts w:ascii="Times New Roman" w:hAnsi="Times New Roman" w:cs="Times New Roman"/>
          <w:sz w:val="36"/>
          <w:szCs w:val="36"/>
        </w:rPr>
      </w:pPr>
      <w:bookmarkStart w:id="465" w:name="_条 文 说 明"/>
      <w:r>
        <w:rPr>
          <w:rFonts w:ascii="Times New Roman" w:hAnsi="Times New Roman" w:cs="Times New Roman"/>
          <w:sz w:val="36"/>
          <w:szCs w:val="36"/>
        </w:rPr>
        <w:t>条 文 说 明</w:t>
      </w:r>
    </w:p>
    <w:bookmarkEnd w:id="465"/>
    <w:p w14:paraId="7C1E96B8"/>
    <w:p w14:paraId="053A3C01">
      <w:pPr>
        <w:sectPr>
          <w:pgSz w:w="11906" w:h="16838"/>
          <w:pgMar w:top="1440" w:right="1800" w:bottom="1440" w:left="1800" w:header="851" w:footer="992" w:gutter="0"/>
          <w:cols w:space="425" w:num="1"/>
          <w:docGrid w:type="lines" w:linePitch="312" w:charSpace="0"/>
        </w:sectPr>
      </w:pPr>
    </w:p>
    <w:p w14:paraId="4DEC348E">
      <w:pPr>
        <w:bidi w:val="0"/>
        <w:rPr>
          <w:rFonts w:hint="eastAsia"/>
        </w:rPr>
      </w:pPr>
    </w:p>
    <w:p w14:paraId="3081F2DE">
      <w:pPr>
        <w:pStyle w:val="5"/>
        <w:snapToGrid w:val="0"/>
        <w:spacing w:before="0" w:after="0" w:line="312"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制 </w:t>
      </w:r>
      <w:r>
        <w:rPr>
          <w:rFonts w:hint="eastAsia" w:ascii="宋体" w:hAnsi="宋体" w:cs="宋体"/>
          <w:b/>
          <w:bCs/>
          <w:color w:val="000000"/>
          <w:sz w:val="28"/>
          <w:szCs w:val="28"/>
          <w:lang w:val="en-US" w:eastAsia="zh-CN"/>
        </w:rPr>
        <w:t>定</w:t>
      </w:r>
      <w:r>
        <w:rPr>
          <w:rFonts w:hint="eastAsia" w:ascii="宋体" w:hAnsi="宋体" w:eastAsia="宋体" w:cs="宋体"/>
          <w:b/>
          <w:bCs/>
          <w:color w:val="000000"/>
          <w:sz w:val="28"/>
          <w:szCs w:val="28"/>
        </w:rPr>
        <w:t xml:space="preserve"> 说 明</w:t>
      </w:r>
    </w:p>
    <w:p w14:paraId="6B40C042">
      <w:pPr>
        <w:pStyle w:val="22"/>
        <w:tabs>
          <w:tab w:val="right" w:leader="dot" w:pos="9060"/>
          <w:tab w:val="clear" w:pos="8296"/>
        </w:tabs>
        <w:adjustRightInd w:val="0"/>
        <w:spacing w:line="360" w:lineRule="auto"/>
        <w:ind w:firstLine="480" w:firstLineChars="200"/>
        <w:jc w:val="left"/>
        <w:textAlignment w:val="center"/>
        <w:rPr>
          <w:rFonts w:hint="eastAsia" w:ascii="宋体" w:hAnsi="宋体" w:cs="黑体"/>
          <w:b w:val="0"/>
          <w:bCs w:val="0"/>
          <w:color w:val="000000"/>
        </w:rPr>
      </w:pPr>
      <w:r>
        <w:rPr>
          <w:rFonts w:hint="eastAsia" w:ascii="宋体" w:hAnsi="宋体" w:cs="黑体"/>
          <w:b w:val="0"/>
          <w:bCs w:val="0"/>
          <w:color w:val="000000"/>
        </w:rPr>
        <w:t>《</w:t>
      </w:r>
      <w:r>
        <w:rPr>
          <w:rFonts w:hint="eastAsia" w:ascii="宋体" w:hAnsi="宋体" w:cs="黑体"/>
          <w:b w:val="0"/>
          <w:bCs w:val="0"/>
          <w:color w:val="000000"/>
          <w:szCs w:val="21"/>
        </w:rPr>
        <w:t>城镇给水管道检测与评估</w:t>
      </w:r>
      <w:r>
        <w:rPr>
          <w:rFonts w:hint="eastAsia" w:ascii="宋体" w:hAnsi="宋体" w:cs="黑体"/>
          <w:b w:val="0"/>
          <w:bCs w:val="0"/>
          <w:color w:val="000000"/>
          <w:szCs w:val="21"/>
          <w:lang w:val="en-US" w:eastAsia="zh-CN"/>
        </w:rPr>
        <w:t>技术</w:t>
      </w:r>
      <w:r>
        <w:rPr>
          <w:rFonts w:hint="eastAsia" w:ascii="宋体" w:hAnsi="宋体" w:cs="黑体"/>
          <w:b w:val="0"/>
          <w:bCs w:val="0"/>
          <w:color w:val="000000"/>
          <w:szCs w:val="21"/>
        </w:rPr>
        <w:t>标准</w:t>
      </w:r>
      <w:r>
        <w:rPr>
          <w:rFonts w:hint="eastAsia" w:ascii="宋体" w:hAnsi="宋体" w:cs="黑体"/>
          <w:b w:val="0"/>
          <w:bCs w:val="0"/>
          <w:color w:val="000000"/>
        </w:rPr>
        <w:t>》</w:t>
      </w:r>
      <w:r>
        <w:rPr>
          <w:rFonts w:hint="eastAsia" w:ascii="宋体" w:hAnsi="宋体" w:cs="宋体"/>
          <w:b w:val="0"/>
          <w:bCs w:val="0"/>
          <w:color w:val="000000"/>
          <w:kern w:val="0"/>
          <w:sz w:val="24"/>
        </w:rPr>
        <w:t>DBJ/T××-××-202×</w:t>
      </w:r>
      <w:r>
        <w:rPr>
          <w:rFonts w:hint="eastAsia" w:ascii="宋体" w:hAnsi="宋体" w:cs="黑体"/>
          <w:b w:val="0"/>
          <w:bCs w:val="0"/>
          <w:color w:val="000000"/>
        </w:rPr>
        <w:t>，</w:t>
      </w:r>
      <w:r>
        <w:rPr>
          <w:rFonts w:hint="eastAsia" w:ascii="宋体" w:hAnsi="宋体" w:cs="黑体"/>
          <w:b w:val="0"/>
          <w:bCs w:val="0"/>
          <w:color w:val="000000"/>
          <w:szCs w:val="21"/>
        </w:rPr>
        <w:t>经广东省住房和城乡建设厅</w:t>
      </w:r>
      <w:r>
        <w:rPr>
          <w:rFonts w:hint="eastAsia" w:ascii="宋体" w:hAnsi="宋体" w:cs="宋体"/>
          <w:b w:val="0"/>
          <w:bCs w:val="0"/>
          <w:color w:val="000000"/>
          <w:kern w:val="0"/>
          <w:sz w:val="24"/>
        </w:rPr>
        <w:t>××××</w:t>
      </w:r>
      <w:r>
        <w:rPr>
          <w:rFonts w:hint="eastAsia" w:ascii="宋体" w:hAnsi="宋体" w:cs="黑体"/>
          <w:b w:val="0"/>
          <w:bCs w:val="0"/>
          <w:color w:val="000000"/>
          <w:szCs w:val="21"/>
        </w:rPr>
        <w:t>年</w:t>
      </w:r>
      <w:r>
        <w:rPr>
          <w:rFonts w:hint="eastAsia" w:ascii="宋体" w:hAnsi="宋体" w:cs="宋体"/>
          <w:b w:val="0"/>
          <w:bCs w:val="0"/>
          <w:color w:val="000000"/>
          <w:kern w:val="0"/>
          <w:sz w:val="24"/>
        </w:rPr>
        <w:t>××</w:t>
      </w:r>
      <w:r>
        <w:rPr>
          <w:rFonts w:hint="eastAsia" w:ascii="宋体" w:hAnsi="宋体" w:cs="黑体"/>
          <w:b w:val="0"/>
          <w:bCs w:val="0"/>
          <w:color w:val="000000"/>
          <w:szCs w:val="21"/>
        </w:rPr>
        <w:t>月</w:t>
      </w:r>
      <w:r>
        <w:rPr>
          <w:rFonts w:hint="eastAsia" w:ascii="宋体" w:hAnsi="宋体" w:cs="宋体"/>
          <w:b w:val="0"/>
          <w:bCs w:val="0"/>
          <w:color w:val="000000"/>
          <w:kern w:val="0"/>
          <w:sz w:val="24"/>
        </w:rPr>
        <w:t>××</w:t>
      </w:r>
      <w:r>
        <w:rPr>
          <w:rFonts w:hint="eastAsia" w:ascii="宋体" w:hAnsi="宋体" w:cs="黑体"/>
          <w:b w:val="0"/>
          <w:bCs w:val="0"/>
          <w:color w:val="000000"/>
          <w:szCs w:val="21"/>
        </w:rPr>
        <w:t>日以</w:t>
      </w:r>
      <w:r>
        <w:rPr>
          <w:rFonts w:hint="eastAsia" w:ascii="宋体" w:hAnsi="宋体" w:cs="宋体"/>
          <w:b w:val="0"/>
          <w:bCs w:val="0"/>
          <w:color w:val="000000"/>
          <w:kern w:val="0"/>
          <w:sz w:val="24"/>
        </w:rPr>
        <w:t>粤建公告〔202×〕××号</w:t>
      </w:r>
      <w:r>
        <w:rPr>
          <w:rFonts w:hint="eastAsia" w:ascii="宋体" w:hAnsi="宋体" w:cs="黑体"/>
          <w:b w:val="0"/>
          <w:bCs w:val="0"/>
          <w:color w:val="000000"/>
          <w:szCs w:val="21"/>
        </w:rPr>
        <w:t>公告批准发布。</w:t>
      </w:r>
    </w:p>
    <w:p w14:paraId="6D06AD1E">
      <w:pPr>
        <w:pStyle w:val="22"/>
        <w:tabs>
          <w:tab w:val="right" w:leader="dot" w:pos="9060"/>
          <w:tab w:val="clear" w:pos="8296"/>
        </w:tabs>
        <w:adjustRightInd w:val="0"/>
        <w:spacing w:line="360" w:lineRule="auto"/>
        <w:ind w:firstLine="480" w:firstLineChars="200"/>
        <w:jc w:val="left"/>
        <w:textAlignment w:val="center"/>
        <w:rPr>
          <w:rFonts w:hint="eastAsia" w:ascii="宋体" w:hAnsi="宋体" w:cs="黑体"/>
          <w:b w:val="0"/>
          <w:bCs w:val="0"/>
          <w:color w:val="000000"/>
        </w:rPr>
      </w:pPr>
      <w:r>
        <w:rPr>
          <w:rFonts w:hint="eastAsia" w:ascii="宋体" w:hAnsi="宋体" w:cs="黑体"/>
          <w:b w:val="0"/>
          <w:bCs w:val="0"/>
          <w:color w:val="000000"/>
        </w:rPr>
        <w:t>本标准制定过程之中，编制组进行了广泛的调查研究，总结了我省</w:t>
      </w:r>
      <w:r>
        <w:rPr>
          <w:rFonts w:hint="eastAsia" w:ascii="宋体" w:hAnsi="宋体" w:cs="黑体"/>
          <w:b w:val="0"/>
          <w:bCs w:val="0"/>
          <w:color w:val="000000"/>
          <w:lang w:val="en-US" w:eastAsia="zh-CN"/>
        </w:rPr>
        <w:t>城镇给水管道工程</w:t>
      </w:r>
      <w:r>
        <w:rPr>
          <w:rFonts w:hint="eastAsia" w:ascii="宋体" w:hAnsi="宋体" w:cs="黑体"/>
          <w:b w:val="0"/>
          <w:bCs w:val="0"/>
          <w:color w:val="000000"/>
        </w:rPr>
        <w:t>领域的实践经验，参考了国内外先进技术规范、技术标准，通过专题研究，取得多方面的重要成果。</w:t>
      </w:r>
    </w:p>
    <w:p w14:paraId="52571D93">
      <w:pPr>
        <w:pStyle w:val="22"/>
        <w:tabs>
          <w:tab w:val="right" w:leader="dot" w:pos="9060"/>
          <w:tab w:val="clear" w:pos="8296"/>
        </w:tabs>
        <w:adjustRightInd w:val="0"/>
        <w:spacing w:line="360" w:lineRule="auto"/>
        <w:ind w:firstLine="480" w:firstLineChars="200"/>
        <w:jc w:val="left"/>
        <w:textAlignment w:val="center"/>
        <w:rPr>
          <w:rFonts w:hint="eastAsia" w:ascii="等线 Light" w:hAnsi="等线 Light" w:eastAsia="等线 Light" w:cs="黑体"/>
          <w:b w:val="0"/>
          <w:bCs w:val="0"/>
          <w:color w:val="000000"/>
        </w:rPr>
      </w:pPr>
      <w:r>
        <w:rPr>
          <w:rFonts w:hint="eastAsia" w:ascii="宋体" w:hAnsi="宋体" w:cs="黑体"/>
          <w:b w:val="0"/>
          <w:bCs w:val="0"/>
          <w:color w:val="000000"/>
          <w:szCs w:val="21"/>
        </w:rPr>
        <w:t>为便于有关单位人员在使用本标准时能正确理解和执行条文规定，</w:t>
      </w:r>
      <w:r>
        <w:rPr>
          <w:rFonts w:hint="eastAsia" w:ascii="宋体" w:hAnsi="宋体" w:cs="黑体"/>
          <w:b w:val="0"/>
          <w:bCs w:val="0"/>
          <w:color w:val="000000"/>
        </w:rPr>
        <w:t>《</w:t>
      </w:r>
      <w:r>
        <w:rPr>
          <w:rFonts w:hint="eastAsia" w:ascii="宋体" w:hAnsi="宋体" w:cs="黑体"/>
          <w:b w:val="0"/>
          <w:bCs w:val="0"/>
          <w:color w:val="000000"/>
          <w:szCs w:val="21"/>
        </w:rPr>
        <w:t>城镇给水管道检测与评估</w:t>
      </w:r>
      <w:r>
        <w:rPr>
          <w:rFonts w:hint="eastAsia" w:ascii="宋体" w:hAnsi="宋体" w:cs="黑体"/>
          <w:b w:val="0"/>
          <w:bCs w:val="0"/>
          <w:color w:val="000000"/>
          <w:szCs w:val="21"/>
          <w:lang w:val="en-US" w:eastAsia="zh-CN"/>
        </w:rPr>
        <w:t>技术</w:t>
      </w:r>
      <w:r>
        <w:rPr>
          <w:rFonts w:hint="eastAsia" w:ascii="宋体" w:hAnsi="宋体" w:cs="黑体"/>
          <w:b w:val="0"/>
          <w:bCs w:val="0"/>
          <w:color w:val="000000"/>
          <w:szCs w:val="21"/>
        </w:rPr>
        <w:t>标准</w:t>
      </w:r>
      <w:r>
        <w:rPr>
          <w:rFonts w:hint="eastAsia" w:ascii="宋体" w:hAnsi="宋体" w:cs="黑体"/>
          <w:b w:val="0"/>
          <w:bCs w:val="0"/>
          <w:color w:val="000000"/>
        </w:rPr>
        <w:t>》编制组按章、节、条顺序编制了本标准的条文说明，对条文规定的目的、依据以及执行中需注意的有关事项进行了解释和说明。但是，本条文说明不具备与标准正文同等的法律效力，仅供使用者作为理解和把握条文规定的参考。</w:t>
      </w:r>
    </w:p>
    <w:p w14:paraId="7D9F2B93">
      <w:pPr>
        <w:pStyle w:val="2"/>
        <w:rPr>
          <w:b w:val="0"/>
          <w:bCs w:val="0"/>
        </w:rPr>
      </w:pPr>
    </w:p>
    <w:p w14:paraId="3DCA6A66">
      <w:pPr>
        <w:pStyle w:val="2"/>
      </w:pPr>
    </w:p>
    <w:p w14:paraId="2AE60969">
      <w:pPr>
        <w:sectPr>
          <w:pgSz w:w="11906" w:h="16838"/>
          <w:pgMar w:top="1440" w:right="1800" w:bottom="1440" w:left="1800" w:header="851" w:footer="992" w:gutter="0"/>
          <w:cols w:space="425" w:num="1"/>
          <w:docGrid w:type="lines" w:linePitch="312" w:charSpace="0"/>
        </w:sectPr>
      </w:pPr>
    </w:p>
    <w:p w14:paraId="29644521">
      <w:pPr>
        <w:pStyle w:val="22"/>
        <w:tabs>
          <w:tab w:val="right" w:leader="dot" w:pos="8306"/>
          <w:tab w:val="clear" w:pos="8296"/>
        </w:tabs>
      </w:pPr>
      <w:r>
        <w:rPr>
          <w:rFonts w:hint="eastAsia" w:ascii="仿宋" w:hAnsi="仿宋" w:eastAsia="仿宋"/>
          <w:sz w:val="32"/>
          <w:szCs w:val="24"/>
        </w:rPr>
        <w:t>目　　</w:t>
      </w:r>
      <w:r>
        <w:rPr>
          <w:rFonts w:hint="eastAsia" w:ascii="仿宋" w:hAnsi="仿宋" w:eastAsia="仿宋"/>
          <w:sz w:val="32"/>
          <w:szCs w:val="24"/>
          <w:lang w:eastAsia="zh-CN"/>
        </w:rPr>
        <w:t>次</w:t>
      </w:r>
      <w:r>
        <w:rPr>
          <w:rFonts w:ascii="仿宋" w:hAnsi="仿宋" w:eastAsia="仿宋"/>
        </w:rPr>
        <w:fldChar w:fldCharType="begin"/>
      </w:r>
      <w:r>
        <w:rPr>
          <w:rFonts w:ascii="仿宋" w:hAnsi="仿宋" w:eastAsia="仿宋"/>
        </w:rPr>
        <w:instrText xml:space="preserve">TOC \o "1-2" \h \u </w:instrText>
      </w:r>
      <w:r>
        <w:rPr>
          <w:rFonts w:ascii="仿宋" w:hAnsi="仿宋" w:eastAsia="仿宋"/>
        </w:rPr>
        <w:fldChar w:fldCharType="separate"/>
      </w:r>
    </w:p>
    <w:p w14:paraId="223B5ECE">
      <w:pPr>
        <w:pStyle w:val="22"/>
        <w:rPr>
          <w:rFonts w:asciiTheme="minorHAnsi" w:hAnsiTheme="minorHAnsi"/>
          <w:b w:val="0"/>
          <w:sz w:val="21"/>
          <w:szCs w:val="22"/>
        </w:rPr>
      </w:pPr>
      <w:r>
        <w:fldChar w:fldCharType="begin"/>
      </w:r>
      <w:r>
        <w:instrText xml:space="preserve"> HYPERLINK \l "_Toc181825595" </w:instrText>
      </w:r>
      <w:r>
        <w:fldChar w:fldCharType="separate"/>
      </w:r>
      <w:r>
        <w:rPr>
          <w:rStyle w:val="35"/>
        </w:rPr>
        <w:t>1　总　　则</w:t>
      </w:r>
      <w:r>
        <w:tab/>
      </w:r>
      <w:r>
        <w:fldChar w:fldCharType="begin"/>
      </w:r>
      <w:r>
        <w:instrText xml:space="preserve"> PAGEREF _Toc181825595 \h </w:instrText>
      </w:r>
      <w:r>
        <w:fldChar w:fldCharType="separate"/>
      </w:r>
      <w:r>
        <w:t>65</w:t>
      </w:r>
      <w:r>
        <w:fldChar w:fldCharType="end"/>
      </w:r>
      <w:r>
        <w:fldChar w:fldCharType="end"/>
      </w:r>
    </w:p>
    <w:p w14:paraId="67245DD4">
      <w:pPr>
        <w:pStyle w:val="22"/>
        <w:rPr>
          <w:rFonts w:asciiTheme="minorHAnsi" w:hAnsiTheme="minorHAnsi"/>
          <w:b w:val="0"/>
          <w:sz w:val="21"/>
          <w:szCs w:val="22"/>
        </w:rPr>
      </w:pPr>
      <w:r>
        <w:fldChar w:fldCharType="begin"/>
      </w:r>
      <w:r>
        <w:instrText xml:space="preserve"> HYPERLINK \l "_Toc181825596" </w:instrText>
      </w:r>
      <w:r>
        <w:fldChar w:fldCharType="separate"/>
      </w:r>
      <w:r>
        <w:rPr>
          <w:rStyle w:val="35"/>
        </w:rPr>
        <w:t>3　基本规定</w:t>
      </w:r>
      <w:r>
        <w:tab/>
      </w:r>
      <w:r>
        <w:fldChar w:fldCharType="begin"/>
      </w:r>
      <w:r>
        <w:instrText xml:space="preserve"> PAGEREF _Toc181825596 \h </w:instrText>
      </w:r>
      <w:r>
        <w:fldChar w:fldCharType="separate"/>
      </w:r>
      <w:r>
        <w:t>66</w:t>
      </w:r>
      <w:r>
        <w:fldChar w:fldCharType="end"/>
      </w:r>
      <w:r>
        <w:fldChar w:fldCharType="end"/>
      </w:r>
    </w:p>
    <w:p w14:paraId="59A6A9AD">
      <w:pPr>
        <w:pStyle w:val="22"/>
        <w:rPr>
          <w:rFonts w:asciiTheme="minorHAnsi" w:hAnsiTheme="minorHAnsi"/>
          <w:b w:val="0"/>
          <w:sz w:val="21"/>
          <w:szCs w:val="22"/>
        </w:rPr>
      </w:pPr>
      <w:r>
        <w:fldChar w:fldCharType="begin"/>
      </w:r>
      <w:r>
        <w:instrText xml:space="preserve"> HYPERLINK \l "_Toc181825597" </w:instrText>
      </w:r>
      <w:r>
        <w:fldChar w:fldCharType="separate"/>
      </w:r>
      <w:r>
        <w:rPr>
          <w:rStyle w:val="35"/>
        </w:rPr>
        <w:t>4　电视检测</w:t>
      </w:r>
      <w:r>
        <w:tab/>
      </w:r>
      <w:r>
        <w:fldChar w:fldCharType="begin"/>
      </w:r>
      <w:r>
        <w:instrText xml:space="preserve"> PAGEREF _Toc181825597 \h </w:instrText>
      </w:r>
      <w:r>
        <w:fldChar w:fldCharType="separate"/>
      </w:r>
      <w:r>
        <w:t>68</w:t>
      </w:r>
      <w:r>
        <w:fldChar w:fldCharType="end"/>
      </w:r>
      <w:r>
        <w:fldChar w:fldCharType="end"/>
      </w:r>
    </w:p>
    <w:p w14:paraId="4570539A">
      <w:pPr>
        <w:pStyle w:val="24"/>
        <w:tabs>
          <w:tab w:val="right" w:leader="dot" w:pos="8296"/>
        </w:tabs>
        <w:ind w:left="480"/>
        <w:rPr>
          <w:rFonts w:asciiTheme="minorHAnsi" w:hAnsiTheme="minorHAnsi"/>
          <w:sz w:val="21"/>
        </w:rPr>
      </w:pPr>
      <w:r>
        <w:fldChar w:fldCharType="begin"/>
      </w:r>
      <w:r>
        <w:instrText xml:space="preserve"> HYPERLINK \l "_Toc181825598" </w:instrText>
      </w:r>
      <w:r>
        <w:fldChar w:fldCharType="separate"/>
      </w:r>
      <w:r>
        <w:rPr>
          <w:rStyle w:val="35"/>
        </w:rPr>
        <w:t>4.1　一般规定</w:t>
      </w:r>
      <w:r>
        <w:tab/>
      </w:r>
      <w:r>
        <w:fldChar w:fldCharType="begin"/>
      </w:r>
      <w:r>
        <w:instrText xml:space="preserve"> PAGEREF _Toc181825598 \h </w:instrText>
      </w:r>
      <w:r>
        <w:fldChar w:fldCharType="separate"/>
      </w:r>
      <w:r>
        <w:t>68</w:t>
      </w:r>
      <w:r>
        <w:fldChar w:fldCharType="end"/>
      </w:r>
      <w:r>
        <w:fldChar w:fldCharType="end"/>
      </w:r>
    </w:p>
    <w:p w14:paraId="7BC199D9">
      <w:pPr>
        <w:pStyle w:val="24"/>
        <w:tabs>
          <w:tab w:val="right" w:leader="dot" w:pos="8296"/>
        </w:tabs>
        <w:ind w:left="480"/>
        <w:rPr>
          <w:rFonts w:asciiTheme="minorHAnsi" w:hAnsiTheme="minorHAnsi"/>
          <w:sz w:val="21"/>
        </w:rPr>
      </w:pPr>
      <w:r>
        <w:fldChar w:fldCharType="begin"/>
      </w:r>
      <w:r>
        <w:instrText xml:space="preserve"> HYPERLINK \l "_Toc181825599" </w:instrText>
      </w:r>
      <w:r>
        <w:fldChar w:fldCharType="separate"/>
      </w:r>
      <w:r>
        <w:rPr>
          <w:rStyle w:val="35"/>
        </w:rPr>
        <w:t>4.2　检测设备</w:t>
      </w:r>
      <w:r>
        <w:tab/>
      </w:r>
      <w:r>
        <w:fldChar w:fldCharType="begin"/>
      </w:r>
      <w:r>
        <w:instrText xml:space="preserve"> PAGEREF _Toc181825599 \h </w:instrText>
      </w:r>
      <w:r>
        <w:fldChar w:fldCharType="separate"/>
      </w:r>
      <w:r>
        <w:t>68</w:t>
      </w:r>
      <w:r>
        <w:fldChar w:fldCharType="end"/>
      </w:r>
      <w:r>
        <w:fldChar w:fldCharType="end"/>
      </w:r>
    </w:p>
    <w:p w14:paraId="159B7F42">
      <w:pPr>
        <w:pStyle w:val="24"/>
        <w:tabs>
          <w:tab w:val="right" w:leader="dot" w:pos="8296"/>
        </w:tabs>
        <w:ind w:left="480"/>
        <w:rPr>
          <w:rFonts w:asciiTheme="minorHAnsi" w:hAnsiTheme="minorHAnsi"/>
          <w:sz w:val="21"/>
        </w:rPr>
      </w:pPr>
      <w:r>
        <w:fldChar w:fldCharType="begin"/>
      </w:r>
      <w:r>
        <w:instrText xml:space="preserve"> HYPERLINK \l "_Toc181825600" </w:instrText>
      </w:r>
      <w:r>
        <w:fldChar w:fldCharType="separate"/>
      </w:r>
      <w:r>
        <w:rPr>
          <w:rStyle w:val="35"/>
        </w:rPr>
        <w:t>4.3　检测方法</w:t>
      </w:r>
      <w:r>
        <w:tab/>
      </w:r>
      <w:r>
        <w:fldChar w:fldCharType="begin"/>
      </w:r>
      <w:r>
        <w:instrText xml:space="preserve"> PAGEREF _Toc181825600 \h </w:instrText>
      </w:r>
      <w:r>
        <w:fldChar w:fldCharType="separate"/>
      </w:r>
      <w:r>
        <w:t>69</w:t>
      </w:r>
      <w:r>
        <w:fldChar w:fldCharType="end"/>
      </w:r>
      <w:r>
        <w:fldChar w:fldCharType="end"/>
      </w:r>
    </w:p>
    <w:p w14:paraId="2E9A6CBE">
      <w:pPr>
        <w:pStyle w:val="24"/>
        <w:tabs>
          <w:tab w:val="right" w:leader="dot" w:pos="8296"/>
        </w:tabs>
        <w:ind w:left="480"/>
        <w:rPr>
          <w:rFonts w:asciiTheme="minorHAnsi" w:hAnsiTheme="minorHAnsi"/>
          <w:sz w:val="21"/>
        </w:rPr>
      </w:pPr>
      <w:r>
        <w:fldChar w:fldCharType="begin"/>
      </w:r>
      <w:r>
        <w:instrText xml:space="preserve"> HYPERLINK \l "_Toc181825601" </w:instrText>
      </w:r>
      <w:r>
        <w:fldChar w:fldCharType="separate"/>
      </w:r>
      <w:r>
        <w:rPr>
          <w:rStyle w:val="35"/>
        </w:rPr>
        <w:t>4.4　结果判读</w:t>
      </w:r>
      <w:r>
        <w:tab/>
      </w:r>
      <w:r>
        <w:fldChar w:fldCharType="begin"/>
      </w:r>
      <w:r>
        <w:instrText xml:space="preserve"> PAGEREF _Toc181825601 \h </w:instrText>
      </w:r>
      <w:r>
        <w:fldChar w:fldCharType="separate"/>
      </w:r>
      <w:r>
        <w:t>69</w:t>
      </w:r>
      <w:r>
        <w:fldChar w:fldCharType="end"/>
      </w:r>
      <w:r>
        <w:fldChar w:fldCharType="end"/>
      </w:r>
    </w:p>
    <w:p w14:paraId="74596F35">
      <w:pPr>
        <w:pStyle w:val="22"/>
        <w:rPr>
          <w:rFonts w:asciiTheme="minorHAnsi" w:hAnsiTheme="minorHAnsi"/>
          <w:b w:val="0"/>
          <w:sz w:val="21"/>
          <w:szCs w:val="22"/>
        </w:rPr>
      </w:pPr>
      <w:r>
        <w:fldChar w:fldCharType="begin"/>
      </w:r>
      <w:r>
        <w:instrText xml:space="preserve"> HYPERLINK \l "_Toc181825602" </w:instrText>
      </w:r>
      <w:r>
        <w:fldChar w:fldCharType="separate"/>
      </w:r>
      <w:r>
        <w:rPr>
          <w:rStyle w:val="35"/>
        </w:rPr>
        <w:t>5　声呐检测</w:t>
      </w:r>
      <w:r>
        <w:tab/>
      </w:r>
      <w:r>
        <w:fldChar w:fldCharType="begin"/>
      </w:r>
      <w:r>
        <w:instrText xml:space="preserve"> PAGEREF _Toc181825602 \h </w:instrText>
      </w:r>
      <w:r>
        <w:fldChar w:fldCharType="separate"/>
      </w:r>
      <w:r>
        <w:t>70</w:t>
      </w:r>
      <w:r>
        <w:fldChar w:fldCharType="end"/>
      </w:r>
      <w:r>
        <w:fldChar w:fldCharType="end"/>
      </w:r>
    </w:p>
    <w:p w14:paraId="5154E9A9">
      <w:pPr>
        <w:pStyle w:val="24"/>
        <w:tabs>
          <w:tab w:val="right" w:leader="dot" w:pos="8296"/>
        </w:tabs>
        <w:ind w:left="480"/>
        <w:rPr>
          <w:rFonts w:asciiTheme="minorHAnsi" w:hAnsiTheme="minorHAnsi"/>
          <w:sz w:val="21"/>
        </w:rPr>
      </w:pPr>
      <w:r>
        <w:fldChar w:fldCharType="begin"/>
      </w:r>
      <w:r>
        <w:instrText xml:space="preserve"> HYPERLINK \l "_Toc181825603" </w:instrText>
      </w:r>
      <w:r>
        <w:fldChar w:fldCharType="separate"/>
      </w:r>
      <w:r>
        <w:rPr>
          <w:rStyle w:val="35"/>
        </w:rPr>
        <w:t>5.1　一般规定</w:t>
      </w:r>
      <w:r>
        <w:tab/>
      </w:r>
      <w:r>
        <w:fldChar w:fldCharType="begin"/>
      </w:r>
      <w:r>
        <w:instrText xml:space="preserve"> PAGEREF _Toc181825603 \h </w:instrText>
      </w:r>
      <w:r>
        <w:fldChar w:fldCharType="separate"/>
      </w:r>
      <w:r>
        <w:t>70</w:t>
      </w:r>
      <w:r>
        <w:fldChar w:fldCharType="end"/>
      </w:r>
      <w:r>
        <w:fldChar w:fldCharType="end"/>
      </w:r>
    </w:p>
    <w:p w14:paraId="0BECFE2B">
      <w:pPr>
        <w:pStyle w:val="24"/>
        <w:tabs>
          <w:tab w:val="right" w:leader="dot" w:pos="8296"/>
        </w:tabs>
        <w:ind w:left="480"/>
        <w:rPr>
          <w:rFonts w:asciiTheme="minorHAnsi" w:hAnsiTheme="minorHAnsi"/>
          <w:sz w:val="21"/>
        </w:rPr>
      </w:pPr>
      <w:r>
        <w:fldChar w:fldCharType="begin"/>
      </w:r>
      <w:r>
        <w:instrText xml:space="preserve"> HYPERLINK \l "_Toc181825604" </w:instrText>
      </w:r>
      <w:r>
        <w:fldChar w:fldCharType="separate"/>
      </w:r>
      <w:r>
        <w:rPr>
          <w:rStyle w:val="35"/>
        </w:rPr>
        <w:t>5.2　检测设备</w:t>
      </w:r>
      <w:r>
        <w:tab/>
      </w:r>
      <w:r>
        <w:fldChar w:fldCharType="begin"/>
      </w:r>
      <w:r>
        <w:instrText xml:space="preserve"> PAGEREF _Toc181825604 \h </w:instrText>
      </w:r>
      <w:r>
        <w:fldChar w:fldCharType="separate"/>
      </w:r>
      <w:r>
        <w:t>70</w:t>
      </w:r>
      <w:r>
        <w:fldChar w:fldCharType="end"/>
      </w:r>
      <w:r>
        <w:fldChar w:fldCharType="end"/>
      </w:r>
    </w:p>
    <w:p w14:paraId="04E6CAD7">
      <w:pPr>
        <w:pStyle w:val="24"/>
        <w:tabs>
          <w:tab w:val="right" w:leader="dot" w:pos="8296"/>
        </w:tabs>
        <w:ind w:left="480"/>
        <w:rPr>
          <w:rFonts w:asciiTheme="minorHAnsi" w:hAnsiTheme="minorHAnsi"/>
          <w:sz w:val="21"/>
        </w:rPr>
      </w:pPr>
      <w:r>
        <w:fldChar w:fldCharType="begin"/>
      </w:r>
      <w:r>
        <w:instrText xml:space="preserve"> HYPERLINK \l "_Toc181825605" </w:instrText>
      </w:r>
      <w:r>
        <w:fldChar w:fldCharType="separate"/>
      </w:r>
      <w:r>
        <w:rPr>
          <w:rStyle w:val="35"/>
        </w:rPr>
        <w:t>5.3　检测方法</w:t>
      </w:r>
      <w:r>
        <w:tab/>
      </w:r>
      <w:r>
        <w:fldChar w:fldCharType="begin"/>
      </w:r>
      <w:r>
        <w:instrText xml:space="preserve"> PAGEREF _Toc181825605 \h </w:instrText>
      </w:r>
      <w:r>
        <w:fldChar w:fldCharType="separate"/>
      </w:r>
      <w:r>
        <w:t>71</w:t>
      </w:r>
      <w:r>
        <w:fldChar w:fldCharType="end"/>
      </w:r>
      <w:r>
        <w:fldChar w:fldCharType="end"/>
      </w:r>
    </w:p>
    <w:p w14:paraId="5508D7D8">
      <w:pPr>
        <w:pStyle w:val="24"/>
        <w:tabs>
          <w:tab w:val="right" w:leader="dot" w:pos="8296"/>
        </w:tabs>
        <w:ind w:left="480"/>
        <w:rPr>
          <w:rFonts w:asciiTheme="minorHAnsi" w:hAnsiTheme="minorHAnsi"/>
          <w:sz w:val="21"/>
        </w:rPr>
      </w:pPr>
      <w:r>
        <w:fldChar w:fldCharType="begin"/>
      </w:r>
      <w:r>
        <w:instrText xml:space="preserve"> HYPERLINK \l "_Toc181825606" </w:instrText>
      </w:r>
      <w:r>
        <w:fldChar w:fldCharType="separate"/>
      </w:r>
      <w:r>
        <w:rPr>
          <w:rStyle w:val="35"/>
        </w:rPr>
        <w:t>5.4　结果判读</w:t>
      </w:r>
      <w:r>
        <w:tab/>
      </w:r>
      <w:r>
        <w:fldChar w:fldCharType="begin"/>
      </w:r>
      <w:r>
        <w:instrText xml:space="preserve"> PAGEREF _Toc181825606 \h </w:instrText>
      </w:r>
      <w:r>
        <w:fldChar w:fldCharType="separate"/>
      </w:r>
      <w:r>
        <w:t>71</w:t>
      </w:r>
      <w:r>
        <w:fldChar w:fldCharType="end"/>
      </w:r>
      <w:r>
        <w:fldChar w:fldCharType="end"/>
      </w:r>
    </w:p>
    <w:p w14:paraId="138D0C82">
      <w:pPr>
        <w:pStyle w:val="22"/>
        <w:rPr>
          <w:rFonts w:asciiTheme="minorHAnsi" w:hAnsiTheme="minorHAnsi"/>
          <w:b w:val="0"/>
          <w:sz w:val="21"/>
          <w:szCs w:val="22"/>
        </w:rPr>
      </w:pPr>
      <w:r>
        <w:fldChar w:fldCharType="begin"/>
      </w:r>
      <w:r>
        <w:instrText xml:space="preserve"> HYPERLINK \l "_Toc181825607" </w:instrText>
      </w:r>
      <w:r>
        <w:fldChar w:fldCharType="separate"/>
      </w:r>
      <w:r>
        <w:rPr>
          <w:rStyle w:val="35"/>
        </w:rPr>
        <w:t>6　超声波检测</w:t>
      </w:r>
      <w:r>
        <w:tab/>
      </w:r>
      <w:r>
        <w:fldChar w:fldCharType="begin"/>
      </w:r>
      <w:r>
        <w:instrText xml:space="preserve"> PAGEREF _Toc181825607 \h </w:instrText>
      </w:r>
      <w:r>
        <w:fldChar w:fldCharType="separate"/>
      </w:r>
      <w:r>
        <w:t>73</w:t>
      </w:r>
      <w:r>
        <w:fldChar w:fldCharType="end"/>
      </w:r>
      <w:r>
        <w:fldChar w:fldCharType="end"/>
      </w:r>
    </w:p>
    <w:p w14:paraId="2E7A1FDC">
      <w:pPr>
        <w:pStyle w:val="24"/>
        <w:tabs>
          <w:tab w:val="right" w:leader="dot" w:pos="8296"/>
        </w:tabs>
        <w:ind w:left="480"/>
        <w:rPr>
          <w:rFonts w:asciiTheme="minorHAnsi" w:hAnsiTheme="minorHAnsi"/>
          <w:sz w:val="21"/>
        </w:rPr>
      </w:pPr>
      <w:r>
        <w:fldChar w:fldCharType="begin"/>
      </w:r>
      <w:r>
        <w:instrText xml:space="preserve"> HYPERLINK \l "_Toc181825608" </w:instrText>
      </w:r>
      <w:r>
        <w:fldChar w:fldCharType="separate"/>
      </w:r>
      <w:r>
        <w:rPr>
          <w:rStyle w:val="35"/>
        </w:rPr>
        <w:t>6.1　一般规定</w:t>
      </w:r>
      <w:r>
        <w:tab/>
      </w:r>
      <w:r>
        <w:fldChar w:fldCharType="begin"/>
      </w:r>
      <w:r>
        <w:instrText xml:space="preserve"> PAGEREF _Toc181825608 \h </w:instrText>
      </w:r>
      <w:r>
        <w:fldChar w:fldCharType="separate"/>
      </w:r>
      <w:r>
        <w:t>73</w:t>
      </w:r>
      <w:r>
        <w:fldChar w:fldCharType="end"/>
      </w:r>
      <w:r>
        <w:fldChar w:fldCharType="end"/>
      </w:r>
    </w:p>
    <w:p w14:paraId="0086596D">
      <w:pPr>
        <w:pStyle w:val="24"/>
        <w:tabs>
          <w:tab w:val="right" w:leader="dot" w:pos="8296"/>
        </w:tabs>
        <w:ind w:left="480"/>
        <w:rPr>
          <w:rFonts w:asciiTheme="minorHAnsi" w:hAnsiTheme="minorHAnsi"/>
          <w:sz w:val="21"/>
        </w:rPr>
      </w:pPr>
      <w:r>
        <w:fldChar w:fldCharType="begin"/>
      </w:r>
      <w:r>
        <w:instrText xml:space="preserve"> HYPERLINK \l "_Toc181825609" </w:instrText>
      </w:r>
      <w:r>
        <w:fldChar w:fldCharType="separate"/>
      </w:r>
      <w:r>
        <w:rPr>
          <w:rStyle w:val="35"/>
        </w:rPr>
        <w:t>6.3　检测方法</w:t>
      </w:r>
      <w:r>
        <w:tab/>
      </w:r>
      <w:r>
        <w:fldChar w:fldCharType="begin"/>
      </w:r>
      <w:r>
        <w:instrText xml:space="preserve"> PAGEREF _Toc181825609 \h </w:instrText>
      </w:r>
      <w:r>
        <w:fldChar w:fldCharType="separate"/>
      </w:r>
      <w:r>
        <w:t>73</w:t>
      </w:r>
      <w:r>
        <w:fldChar w:fldCharType="end"/>
      </w:r>
      <w:r>
        <w:fldChar w:fldCharType="end"/>
      </w:r>
    </w:p>
    <w:p w14:paraId="71323846">
      <w:pPr>
        <w:pStyle w:val="24"/>
        <w:tabs>
          <w:tab w:val="right" w:leader="dot" w:pos="8296"/>
        </w:tabs>
        <w:ind w:left="480"/>
        <w:rPr>
          <w:rFonts w:asciiTheme="minorHAnsi" w:hAnsiTheme="minorHAnsi"/>
          <w:sz w:val="21"/>
        </w:rPr>
      </w:pPr>
      <w:r>
        <w:fldChar w:fldCharType="begin"/>
      </w:r>
      <w:r>
        <w:instrText xml:space="preserve"> HYPERLINK \l "_Toc181825610" </w:instrText>
      </w:r>
      <w:r>
        <w:fldChar w:fldCharType="separate"/>
      </w:r>
      <w:r>
        <w:rPr>
          <w:rStyle w:val="35"/>
        </w:rPr>
        <w:t>6.4　结果判读</w:t>
      </w:r>
      <w:r>
        <w:tab/>
      </w:r>
      <w:r>
        <w:fldChar w:fldCharType="begin"/>
      </w:r>
      <w:r>
        <w:instrText xml:space="preserve"> PAGEREF _Toc181825610 \h </w:instrText>
      </w:r>
      <w:r>
        <w:fldChar w:fldCharType="separate"/>
      </w:r>
      <w:r>
        <w:t>73</w:t>
      </w:r>
      <w:r>
        <w:fldChar w:fldCharType="end"/>
      </w:r>
      <w:r>
        <w:fldChar w:fldCharType="end"/>
      </w:r>
    </w:p>
    <w:p w14:paraId="35BFDAE7">
      <w:pPr>
        <w:pStyle w:val="22"/>
        <w:rPr>
          <w:rFonts w:asciiTheme="minorHAnsi" w:hAnsiTheme="minorHAnsi"/>
          <w:b w:val="0"/>
          <w:sz w:val="21"/>
          <w:szCs w:val="22"/>
        </w:rPr>
      </w:pPr>
      <w:r>
        <w:fldChar w:fldCharType="begin"/>
      </w:r>
      <w:r>
        <w:instrText xml:space="preserve"> HYPERLINK \l "_Toc181825611" </w:instrText>
      </w:r>
      <w:r>
        <w:fldChar w:fldCharType="separate"/>
      </w:r>
      <w:r>
        <w:rPr>
          <w:rStyle w:val="35"/>
        </w:rPr>
        <w:t>7　电磁检测</w:t>
      </w:r>
      <w:r>
        <w:tab/>
      </w:r>
      <w:r>
        <w:fldChar w:fldCharType="begin"/>
      </w:r>
      <w:r>
        <w:instrText xml:space="preserve"> PAGEREF _Toc181825611 \h </w:instrText>
      </w:r>
      <w:r>
        <w:fldChar w:fldCharType="separate"/>
      </w:r>
      <w:r>
        <w:t>75</w:t>
      </w:r>
      <w:r>
        <w:fldChar w:fldCharType="end"/>
      </w:r>
      <w:r>
        <w:fldChar w:fldCharType="end"/>
      </w:r>
    </w:p>
    <w:p w14:paraId="5D49EFE2">
      <w:pPr>
        <w:pStyle w:val="24"/>
        <w:tabs>
          <w:tab w:val="right" w:leader="dot" w:pos="8296"/>
        </w:tabs>
        <w:ind w:left="480"/>
        <w:rPr>
          <w:rFonts w:asciiTheme="minorHAnsi" w:hAnsiTheme="minorHAnsi"/>
          <w:sz w:val="21"/>
        </w:rPr>
      </w:pPr>
      <w:r>
        <w:fldChar w:fldCharType="begin"/>
      </w:r>
      <w:r>
        <w:instrText xml:space="preserve"> HYPERLINK \l "_Toc181825612" </w:instrText>
      </w:r>
      <w:r>
        <w:fldChar w:fldCharType="separate"/>
      </w:r>
      <w:r>
        <w:rPr>
          <w:rStyle w:val="35"/>
        </w:rPr>
        <w:t>7.1　一般规定</w:t>
      </w:r>
      <w:r>
        <w:tab/>
      </w:r>
      <w:r>
        <w:fldChar w:fldCharType="begin"/>
      </w:r>
      <w:r>
        <w:instrText xml:space="preserve"> PAGEREF _Toc181825612 \h </w:instrText>
      </w:r>
      <w:r>
        <w:fldChar w:fldCharType="separate"/>
      </w:r>
      <w:r>
        <w:t>75</w:t>
      </w:r>
      <w:r>
        <w:fldChar w:fldCharType="end"/>
      </w:r>
      <w:r>
        <w:fldChar w:fldCharType="end"/>
      </w:r>
    </w:p>
    <w:p w14:paraId="4492F9DE">
      <w:pPr>
        <w:pStyle w:val="24"/>
        <w:tabs>
          <w:tab w:val="right" w:leader="dot" w:pos="8296"/>
        </w:tabs>
        <w:ind w:left="480"/>
        <w:rPr>
          <w:rFonts w:asciiTheme="minorHAnsi" w:hAnsiTheme="minorHAnsi"/>
          <w:sz w:val="21"/>
        </w:rPr>
      </w:pPr>
      <w:r>
        <w:fldChar w:fldCharType="begin"/>
      </w:r>
      <w:r>
        <w:instrText xml:space="preserve"> HYPERLINK \l "_Toc181825613" </w:instrText>
      </w:r>
      <w:r>
        <w:fldChar w:fldCharType="separate"/>
      </w:r>
      <w:r>
        <w:rPr>
          <w:rStyle w:val="35"/>
        </w:rPr>
        <w:t>7.2　检测设备</w:t>
      </w:r>
      <w:r>
        <w:tab/>
      </w:r>
      <w:r>
        <w:fldChar w:fldCharType="begin"/>
      </w:r>
      <w:r>
        <w:instrText xml:space="preserve"> PAGEREF _Toc181825613 \h </w:instrText>
      </w:r>
      <w:r>
        <w:fldChar w:fldCharType="separate"/>
      </w:r>
      <w:r>
        <w:t>75</w:t>
      </w:r>
      <w:r>
        <w:fldChar w:fldCharType="end"/>
      </w:r>
      <w:r>
        <w:fldChar w:fldCharType="end"/>
      </w:r>
    </w:p>
    <w:p w14:paraId="71E676B0">
      <w:pPr>
        <w:pStyle w:val="22"/>
        <w:rPr>
          <w:rFonts w:asciiTheme="minorHAnsi" w:hAnsiTheme="minorHAnsi"/>
          <w:b w:val="0"/>
          <w:sz w:val="21"/>
          <w:szCs w:val="22"/>
        </w:rPr>
      </w:pPr>
      <w:r>
        <w:fldChar w:fldCharType="begin"/>
      </w:r>
      <w:r>
        <w:instrText xml:space="preserve"> HYPERLINK \l "_Toc181825614" </w:instrText>
      </w:r>
      <w:r>
        <w:fldChar w:fldCharType="separate"/>
      </w:r>
      <w:r>
        <w:rPr>
          <w:rStyle w:val="35"/>
        </w:rPr>
        <w:t>8　噪声管内检测</w:t>
      </w:r>
      <w:r>
        <w:tab/>
      </w:r>
      <w:r>
        <w:fldChar w:fldCharType="begin"/>
      </w:r>
      <w:r>
        <w:instrText xml:space="preserve"> PAGEREF _Toc181825614 \h </w:instrText>
      </w:r>
      <w:r>
        <w:fldChar w:fldCharType="separate"/>
      </w:r>
      <w:r>
        <w:t>76</w:t>
      </w:r>
      <w:r>
        <w:fldChar w:fldCharType="end"/>
      </w:r>
      <w:r>
        <w:fldChar w:fldCharType="end"/>
      </w:r>
    </w:p>
    <w:p w14:paraId="79732D89">
      <w:pPr>
        <w:pStyle w:val="24"/>
        <w:tabs>
          <w:tab w:val="right" w:leader="dot" w:pos="8296"/>
        </w:tabs>
        <w:ind w:left="480"/>
        <w:rPr>
          <w:rFonts w:asciiTheme="minorHAnsi" w:hAnsiTheme="minorHAnsi"/>
          <w:sz w:val="21"/>
        </w:rPr>
      </w:pPr>
      <w:r>
        <w:fldChar w:fldCharType="begin"/>
      </w:r>
      <w:r>
        <w:instrText xml:space="preserve"> HYPERLINK \l "_Toc181825615" </w:instrText>
      </w:r>
      <w:r>
        <w:fldChar w:fldCharType="separate"/>
      </w:r>
      <w:r>
        <w:rPr>
          <w:rStyle w:val="35"/>
        </w:rPr>
        <w:t>8.1　一般规定</w:t>
      </w:r>
      <w:r>
        <w:tab/>
      </w:r>
      <w:r>
        <w:fldChar w:fldCharType="begin"/>
      </w:r>
      <w:r>
        <w:instrText xml:space="preserve"> PAGEREF _Toc181825615 \h </w:instrText>
      </w:r>
      <w:r>
        <w:fldChar w:fldCharType="separate"/>
      </w:r>
      <w:r>
        <w:t>76</w:t>
      </w:r>
      <w:r>
        <w:fldChar w:fldCharType="end"/>
      </w:r>
      <w:r>
        <w:fldChar w:fldCharType="end"/>
      </w:r>
    </w:p>
    <w:p w14:paraId="65A0B284">
      <w:pPr>
        <w:pStyle w:val="22"/>
        <w:rPr>
          <w:rFonts w:asciiTheme="minorHAnsi" w:hAnsiTheme="minorHAnsi"/>
          <w:b w:val="0"/>
          <w:sz w:val="21"/>
          <w:szCs w:val="22"/>
        </w:rPr>
      </w:pPr>
      <w:r>
        <w:fldChar w:fldCharType="begin"/>
      </w:r>
      <w:r>
        <w:instrText xml:space="preserve"> HYPERLINK \l "_Toc181825616" </w:instrText>
      </w:r>
      <w:r>
        <w:fldChar w:fldCharType="separate"/>
      </w:r>
      <w:r>
        <w:rPr>
          <w:rStyle w:val="35"/>
        </w:rPr>
        <w:t>9　其他方法检测</w:t>
      </w:r>
      <w:r>
        <w:tab/>
      </w:r>
      <w:r>
        <w:fldChar w:fldCharType="begin"/>
      </w:r>
      <w:r>
        <w:instrText xml:space="preserve"> PAGEREF _Toc181825616 \h </w:instrText>
      </w:r>
      <w:r>
        <w:fldChar w:fldCharType="separate"/>
      </w:r>
      <w:r>
        <w:t>77</w:t>
      </w:r>
      <w:r>
        <w:fldChar w:fldCharType="end"/>
      </w:r>
      <w:r>
        <w:fldChar w:fldCharType="end"/>
      </w:r>
    </w:p>
    <w:p w14:paraId="354D256F">
      <w:pPr>
        <w:pStyle w:val="24"/>
        <w:tabs>
          <w:tab w:val="right" w:leader="dot" w:pos="8296"/>
        </w:tabs>
        <w:ind w:left="480"/>
      </w:pPr>
      <w:r>
        <w:fldChar w:fldCharType="begin"/>
      </w:r>
      <w:r>
        <w:instrText xml:space="preserve"> HYPERLINK \l "_Toc181825617" </w:instrText>
      </w:r>
      <w:r>
        <w:fldChar w:fldCharType="separate"/>
      </w:r>
      <w:r>
        <w:rPr>
          <w:rStyle w:val="35"/>
        </w:rPr>
        <w:t>9.1　一般规定</w:t>
      </w:r>
      <w:r>
        <w:tab/>
      </w:r>
      <w:r>
        <w:fldChar w:fldCharType="begin"/>
      </w:r>
      <w:r>
        <w:instrText xml:space="preserve"> PAGEREF _Toc181825617 \h </w:instrText>
      </w:r>
      <w:r>
        <w:fldChar w:fldCharType="separate"/>
      </w:r>
      <w:r>
        <w:t>77</w:t>
      </w:r>
      <w:r>
        <w:fldChar w:fldCharType="end"/>
      </w:r>
      <w:r>
        <w:fldChar w:fldCharType="end"/>
      </w:r>
    </w:p>
    <w:p w14:paraId="6A99AF6E">
      <w:pPr>
        <w:pStyle w:val="24"/>
        <w:tabs>
          <w:tab w:val="right" w:leader="dot" w:pos="8296"/>
        </w:tabs>
        <w:ind w:left="480"/>
        <w:rPr>
          <w:rFonts w:asciiTheme="minorHAnsi" w:hAnsiTheme="minorHAnsi"/>
          <w:sz w:val="21"/>
        </w:rPr>
      </w:pPr>
      <w:r>
        <w:fldChar w:fldCharType="begin"/>
      </w:r>
      <w:r>
        <w:instrText xml:space="preserve"> HYPERLINK \l "_Toc181825617" </w:instrText>
      </w:r>
      <w:r>
        <w:fldChar w:fldCharType="separate"/>
      </w:r>
      <w:r>
        <w:rPr>
          <w:rStyle w:val="35"/>
          <w:rFonts w:hint="eastAsia"/>
        </w:rPr>
        <w:t>9.2　流量法检测</w:t>
      </w:r>
      <w:r>
        <w:tab/>
      </w:r>
      <w:r>
        <w:fldChar w:fldCharType="begin"/>
      </w:r>
      <w:r>
        <w:instrText xml:space="preserve"> PAGEREF _Toc181825617 \h </w:instrText>
      </w:r>
      <w:r>
        <w:fldChar w:fldCharType="separate"/>
      </w:r>
      <w:r>
        <w:t>77</w:t>
      </w:r>
      <w:r>
        <w:fldChar w:fldCharType="end"/>
      </w:r>
      <w:r>
        <w:fldChar w:fldCharType="end"/>
      </w:r>
    </w:p>
    <w:p w14:paraId="2FDB9C75">
      <w:pPr>
        <w:pStyle w:val="24"/>
        <w:tabs>
          <w:tab w:val="right" w:leader="dot" w:pos="8296"/>
        </w:tabs>
        <w:ind w:left="480"/>
      </w:pPr>
      <w:r>
        <w:fldChar w:fldCharType="begin"/>
      </w:r>
      <w:r>
        <w:instrText xml:space="preserve"> HYPERLINK \l "_Toc181825617" </w:instrText>
      </w:r>
      <w:r>
        <w:fldChar w:fldCharType="separate"/>
      </w:r>
      <w:r>
        <w:rPr>
          <w:rStyle w:val="35"/>
          <w:rFonts w:hint="eastAsia"/>
        </w:rPr>
        <w:t>9.4　听音法检测</w:t>
      </w:r>
      <w:r>
        <w:tab/>
      </w:r>
      <w:r>
        <w:fldChar w:fldCharType="begin"/>
      </w:r>
      <w:r>
        <w:instrText xml:space="preserve"> PAGEREF _Toc181825617 \h </w:instrText>
      </w:r>
      <w:r>
        <w:fldChar w:fldCharType="separate"/>
      </w:r>
      <w:r>
        <w:t>77</w:t>
      </w:r>
      <w:r>
        <w:fldChar w:fldCharType="end"/>
      </w:r>
      <w:r>
        <w:fldChar w:fldCharType="end"/>
      </w:r>
    </w:p>
    <w:p w14:paraId="2E0816D9">
      <w:pPr>
        <w:pStyle w:val="22"/>
        <w:rPr>
          <w:rFonts w:asciiTheme="minorHAnsi" w:hAnsiTheme="minorHAnsi"/>
          <w:b w:val="0"/>
          <w:sz w:val="21"/>
          <w:szCs w:val="22"/>
        </w:rPr>
      </w:pPr>
      <w:r>
        <w:fldChar w:fldCharType="begin"/>
      </w:r>
      <w:r>
        <w:instrText xml:space="preserve"> HYPERLINK \l "_Toc181825618" </w:instrText>
      </w:r>
      <w:r>
        <w:fldChar w:fldCharType="separate"/>
      </w:r>
      <w:r>
        <w:rPr>
          <w:rStyle w:val="35"/>
        </w:rPr>
        <w:t>10　管道评估</w:t>
      </w:r>
      <w:r>
        <w:tab/>
      </w:r>
      <w:r>
        <w:fldChar w:fldCharType="begin"/>
      </w:r>
      <w:r>
        <w:instrText xml:space="preserve"> PAGEREF _Toc181825618 \h </w:instrText>
      </w:r>
      <w:r>
        <w:fldChar w:fldCharType="separate"/>
      </w:r>
      <w:r>
        <w:t>78</w:t>
      </w:r>
      <w:r>
        <w:fldChar w:fldCharType="end"/>
      </w:r>
      <w:r>
        <w:fldChar w:fldCharType="end"/>
      </w:r>
    </w:p>
    <w:p w14:paraId="7D385325">
      <w:pPr>
        <w:pStyle w:val="24"/>
        <w:tabs>
          <w:tab w:val="right" w:leader="dot" w:pos="8296"/>
        </w:tabs>
        <w:ind w:left="480"/>
        <w:rPr>
          <w:rFonts w:asciiTheme="minorHAnsi" w:hAnsiTheme="minorHAnsi"/>
          <w:sz w:val="21"/>
        </w:rPr>
      </w:pPr>
      <w:r>
        <w:fldChar w:fldCharType="begin"/>
      </w:r>
      <w:r>
        <w:instrText xml:space="preserve"> HYPERLINK \l "_Toc181825619" </w:instrText>
      </w:r>
      <w:r>
        <w:fldChar w:fldCharType="separate"/>
      </w:r>
      <w:r>
        <w:rPr>
          <w:rStyle w:val="35"/>
        </w:rPr>
        <w:t>10.1　一般规定</w:t>
      </w:r>
      <w:r>
        <w:tab/>
      </w:r>
      <w:r>
        <w:fldChar w:fldCharType="begin"/>
      </w:r>
      <w:r>
        <w:instrText xml:space="preserve"> PAGEREF _Toc181825619 \h </w:instrText>
      </w:r>
      <w:r>
        <w:fldChar w:fldCharType="separate"/>
      </w:r>
      <w:r>
        <w:t>78</w:t>
      </w:r>
      <w:r>
        <w:fldChar w:fldCharType="end"/>
      </w:r>
      <w:r>
        <w:fldChar w:fldCharType="end"/>
      </w:r>
    </w:p>
    <w:p w14:paraId="4DA954B1">
      <w:pPr>
        <w:pStyle w:val="24"/>
        <w:tabs>
          <w:tab w:val="right" w:leader="dot" w:pos="8296"/>
        </w:tabs>
        <w:ind w:left="480"/>
        <w:rPr>
          <w:rFonts w:asciiTheme="minorHAnsi" w:hAnsiTheme="minorHAnsi"/>
          <w:sz w:val="21"/>
        </w:rPr>
      </w:pPr>
      <w:r>
        <w:fldChar w:fldCharType="begin"/>
      </w:r>
      <w:r>
        <w:instrText xml:space="preserve"> HYPERLINK \l "_Toc181825620" </w:instrText>
      </w:r>
      <w:r>
        <w:fldChar w:fldCharType="separate"/>
      </w:r>
      <w:r>
        <w:rPr>
          <w:rStyle w:val="35"/>
        </w:rPr>
        <w:t>10.2　检测缺陷类型、代码及等级</w:t>
      </w:r>
      <w:r>
        <w:tab/>
      </w:r>
      <w:r>
        <w:fldChar w:fldCharType="begin"/>
      </w:r>
      <w:r>
        <w:instrText xml:space="preserve"> PAGEREF _Toc181825620 \h </w:instrText>
      </w:r>
      <w:r>
        <w:fldChar w:fldCharType="separate"/>
      </w:r>
      <w:r>
        <w:t>78</w:t>
      </w:r>
      <w:r>
        <w:fldChar w:fldCharType="end"/>
      </w:r>
      <w:r>
        <w:fldChar w:fldCharType="end"/>
      </w:r>
    </w:p>
    <w:p w14:paraId="7BEF7074">
      <w:pPr>
        <w:pStyle w:val="24"/>
        <w:tabs>
          <w:tab w:val="right" w:leader="dot" w:pos="8296"/>
        </w:tabs>
        <w:ind w:left="480"/>
        <w:rPr>
          <w:rFonts w:asciiTheme="minorHAnsi" w:hAnsiTheme="minorHAnsi"/>
          <w:sz w:val="21"/>
        </w:rPr>
      </w:pPr>
      <w:r>
        <w:fldChar w:fldCharType="begin"/>
      </w:r>
      <w:r>
        <w:instrText xml:space="preserve"> HYPERLINK \l "_Toc181825621" </w:instrText>
      </w:r>
      <w:r>
        <w:fldChar w:fldCharType="separate"/>
      </w:r>
      <w:r>
        <w:rPr>
          <w:rStyle w:val="35"/>
        </w:rPr>
        <w:t>10.5　管段失效后果风险评估</w:t>
      </w:r>
      <w:r>
        <w:tab/>
      </w:r>
      <w:r>
        <w:fldChar w:fldCharType="begin"/>
      </w:r>
      <w:r>
        <w:instrText xml:space="preserve"> PAGEREF _Toc181825621 \h </w:instrText>
      </w:r>
      <w:r>
        <w:fldChar w:fldCharType="separate"/>
      </w:r>
      <w:r>
        <w:t>78</w:t>
      </w:r>
      <w:r>
        <w:fldChar w:fldCharType="end"/>
      </w:r>
      <w:r>
        <w:fldChar w:fldCharType="end"/>
      </w:r>
    </w:p>
    <w:p w14:paraId="6D6C504F">
      <w:pPr>
        <w:pStyle w:val="22"/>
        <w:rPr>
          <w:rFonts w:asciiTheme="minorHAnsi" w:hAnsiTheme="minorHAnsi"/>
          <w:b w:val="0"/>
          <w:sz w:val="21"/>
          <w:szCs w:val="22"/>
        </w:rPr>
      </w:pPr>
      <w:r>
        <w:fldChar w:fldCharType="begin"/>
      </w:r>
      <w:r>
        <w:instrText xml:space="preserve"> HYPERLINK \l "_Toc181825622" </w:instrText>
      </w:r>
      <w:r>
        <w:fldChar w:fldCharType="separate"/>
      </w:r>
      <w:r>
        <w:rPr>
          <w:rStyle w:val="35"/>
        </w:rPr>
        <w:t>11　附属设施检查与评估</w:t>
      </w:r>
      <w:r>
        <w:tab/>
      </w:r>
      <w:r>
        <w:fldChar w:fldCharType="begin"/>
      </w:r>
      <w:r>
        <w:instrText xml:space="preserve"> PAGEREF _Toc181825622 \h </w:instrText>
      </w:r>
      <w:r>
        <w:fldChar w:fldCharType="separate"/>
      </w:r>
      <w:r>
        <w:t>79</w:t>
      </w:r>
      <w:r>
        <w:fldChar w:fldCharType="end"/>
      </w:r>
      <w:r>
        <w:fldChar w:fldCharType="end"/>
      </w:r>
    </w:p>
    <w:p w14:paraId="6EC6FD94">
      <w:pPr>
        <w:pStyle w:val="24"/>
        <w:tabs>
          <w:tab w:val="right" w:leader="dot" w:pos="8296"/>
        </w:tabs>
        <w:ind w:left="480"/>
        <w:rPr>
          <w:rFonts w:asciiTheme="minorHAnsi" w:hAnsiTheme="minorHAnsi"/>
          <w:sz w:val="21"/>
        </w:rPr>
      </w:pPr>
      <w:r>
        <w:fldChar w:fldCharType="begin"/>
      </w:r>
      <w:r>
        <w:instrText xml:space="preserve"> HYPERLINK \l "_Toc181825623" </w:instrText>
      </w:r>
      <w:r>
        <w:fldChar w:fldCharType="separate"/>
      </w:r>
      <w:r>
        <w:rPr>
          <w:rStyle w:val="35"/>
        </w:rPr>
        <w:t>11.1　一般规定</w:t>
      </w:r>
      <w:r>
        <w:tab/>
      </w:r>
      <w:r>
        <w:fldChar w:fldCharType="begin"/>
      </w:r>
      <w:r>
        <w:instrText xml:space="preserve"> PAGEREF _Toc181825623 \h </w:instrText>
      </w:r>
      <w:r>
        <w:fldChar w:fldCharType="separate"/>
      </w:r>
      <w:r>
        <w:t>79</w:t>
      </w:r>
      <w:r>
        <w:fldChar w:fldCharType="end"/>
      </w:r>
      <w:r>
        <w:fldChar w:fldCharType="end"/>
      </w:r>
    </w:p>
    <w:p w14:paraId="274CC7BE">
      <w:pPr>
        <w:pStyle w:val="22"/>
        <w:rPr>
          <w:rFonts w:asciiTheme="minorHAnsi" w:hAnsiTheme="minorHAnsi"/>
          <w:b w:val="0"/>
          <w:sz w:val="21"/>
          <w:szCs w:val="22"/>
        </w:rPr>
      </w:pPr>
      <w:r>
        <w:fldChar w:fldCharType="begin"/>
      </w:r>
      <w:r>
        <w:instrText xml:space="preserve"> HYPERLINK \l "_Toc181825624" </w:instrText>
      </w:r>
      <w:r>
        <w:fldChar w:fldCharType="separate"/>
      </w:r>
      <w:r>
        <w:rPr>
          <w:rStyle w:val="35"/>
        </w:rPr>
        <w:t>12　成果资料</w:t>
      </w:r>
      <w:r>
        <w:tab/>
      </w:r>
      <w:r>
        <w:fldChar w:fldCharType="begin"/>
      </w:r>
      <w:r>
        <w:instrText xml:space="preserve"> PAGEREF _Toc181825624 \h </w:instrText>
      </w:r>
      <w:r>
        <w:fldChar w:fldCharType="separate"/>
      </w:r>
      <w:r>
        <w:t>80</w:t>
      </w:r>
      <w:r>
        <w:fldChar w:fldCharType="end"/>
      </w:r>
      <w:r>
        <w:fldChar w:fldCharType="end"/>
      </w:r>
    </w:p>
    <w:p w14:paraId="2783E716">
      <w:r>
        <w:fldChar w:fldCharType="end"/>
      </w:r>
    </w:p>
    <w:p w14:paraId="7B178BF7">
      <w:pPr>
        <w:pStyle w:val="2"/>
        <w:ind w:firstLine="240"/>
      </w:pPr>
    </w:p>
    <w:p w14:paraId="08E3CFFE">
      <w:pPr>
        <w:pStyle w:val="2"/>
        <w:ind w:firstLine="240"/>
        <w:sectPr>
          <w:pgSz w:w="11906" w:h="16838"/>
          <w:pgMar w:top="1440" w:right="1800" w:bottom="1440" w:left="1800" w:header="851" w:footer="992" w:gutter="0"/>
          <w:cols w:space="425" w:num="1"/>
          <w:docGrid w:type="lines" w:linePitch="312" w:charSpace="0"/>
        </w:sectPr>
      </w:pPr>
    </w:p>
    <w:p w14:paraId="57D93A2D">
      <w:pPr>
        <w:pStyle w:val="4"/>
      </w:pPr>
      <w:bookmarkStart w:id="466" w:name="_Toc11695"/>
      <w:bookmarkStart w:id="467" w:name="_Toc31847"/>
      <w:bookmarkStart w:id="468" w:name="_Toc230"/>
      <w:bookmarkStart w:id="469" w:name="_Toc181825595"/>
      <w:bookmarkStart w:id="470" w:name="_Toc16734"/>
      <w:r>
        <w:t>1　总　　则</w:t>
      </w:r>
      <w:bookmarkEnd w:id="466"/>
      <w:bookmarkEnd w:id="467"/>
      <w:bookmarkEnd w:id="468"/>
      <w:bookmarkEnd w:id="469"/>
      <w:bookmarkEnd w:id="470"/>
    </w:p>
    <w:p w14:paraId="0119C1DD">
      <w:pPr>
        <w:pStyle w:val="43"/>
        <w:jc w:val="both"/>
      </w:pPr>
      <w:r>
        <w:rPr>
          <w:rFonts w:hint="eastAsia"/>
          <w:b/>
          <w:bCs/>
        </w:rPr>
        <w:t>1.0.1　</w:t>
      </w:r>
      <w:r>
        <w:rPr>
          <w:rFonts w:hint="eastAsia"/>
          <w:lang w:eastAsia="zh-CN"/>
        </w:rPr>
        <w:t>城镇</w:t>
      </w:r>
      <w:r>
        <w:rPr>
          <w:rFonts w:hint="eastAsia"/>
        </w:rPr>
        <w:t>给水管道是保障居民生活的重要基础设施和“生命线”。随着城镇化快速发展，给水管网建设规模逐年增高，居民用水量持续增加，供水压力增大，部分老化的管道难以支撑，很容易就会出现破损、爆裂、地面塌陷等多种病害，同时出现的管道漏水会导致水资源浪费，容易引起水质的二次污染，影响供水安全和公共安全。对现有的管道进行定期和专业的检测，是及时发现给水管道安全隐患的有效措施，通过对管道进行检测与评估，诊断管道的缺陷情况、功能和结构状况。</w:t>
      </w:r>
    </w:p>
    <w:p w14:paraId="403EC9C6">
      <w:pPr>
        <w:pStyle w:val="43"/>
        <w:ind w:firstLine="480" w:firstLineChars="200"/>
        <w:jc w:val="both"/>
      </w:pPr>
      <w:r>
        <w:rPr>
          <w:rFonts w:hint="eastAsia"/>
        </w:rPr>
        <w:t>为适应社会的发展需要，规范</w:t>
      </w:r>
      <w:r>
        <w:rPr>
          <w:rFonts w:hint="eastAsia"/>
          <w:lang w:eastAsia="zh-CN"/>
        </w:rPr>
        <w:t>城镇</w:t>
      </w:r>
      <w:r>
        <w:rPr>
          <w:rFonts w:hint="eastAsia"/>
        </w:rPr>
        <w:t>给水管道检测行为，保障检测与评估工作质量，统一评估方法，保证检测成果的有效性，为制定管道养护计划和修复方案提供依据，保障城市给水管网安全运行，制定</w:t>
      </w:r>
      <w:r>
        <w:rPr>
          <w:rFonts w:hint="eastAsia"/>
          <w:lang w:eastAsia="zh-CN"/>
        </w:rPr>
        <w:t>本标准</w:t>
      </w:r>
      <w:r>
        <w:rPr>
          <w:rFonts w:hint="eastAsia"/>
        </w:rPr>
        <w:t>。</w:t>
      </w:r>
    </w:p>
    <w:p w14:paraId="127CC355">
      <w:pPr>
        <w:pStyle w:val="43"/>
        <w:jc w:val="both"/>
      </w:pPr>
      <w:r>
        <w:rPr>
          <w:b/>
          <w:bCs/>
        </w:rPr>
        <w:t>1.0.2　</w:t>
      </w:r>
      <w:r>
        <w:rPr>
          <w:rFonts w:hint="eastAsia"/>
          <w:lang w:eastAsia="zh-CN"/>
        </w:rPr>
        <w:t>本标准</w:t>
      </w:r>
      <w:r>
        <w:t>适用于市政管道、小区管道</w:t>
      </w:r>
      <w:r>
        <w:rPr>
          <w:rFonts w:hint="eastAsia"/>
        </w:rPr>
        <w:t>，</w:t>
      </w:r>
      <w:r>
        <w:t>输水管道</w:t>
      </w:r>
      <w:r>
        <w:rPr>
          <w:rFonts w:hint="eastAsia"/>
        </w:rPr>
        <w:t>、配水管道</w:t>
      </w:r>
      <w:r>
        <w:t>等类型范围。</w:t>
      </w:r>
      <w:r>
        <w:rPr>
          <w:rFonts w:hint="eastAsia"/>
        </w:rPr>
        <w:t>适用的管材类型包括：</w:t>
      </w:r>
      <w:r>
        <w:t>钢筋混凝土管、PCCP管、钢管、铸铁管、不锈钢管、化学建材管和钢塑复合管等</w:t>
      </w:r>
      <w:r>
        <w:rPr>
          <w:rFonts w:hint="eastAsia"/>
        </w:rPr>
        <w:t>，其中</w:t>
      </w:r>
      <w:r>
        <w:t>铸铁管</w:t>
      </w:r>
      <w:r>
        <w:rPr>
          <w:rFonts w:hint="eastAsia"/>
        </w:rPr>
        <w:t>包</w:t>
      </w:r>
      <w:r>
        <w:t>含</w:t>
      </w:r>
      <w:r>
        <w:rPr>
          <w:rFonts w:hint="eastAsia"/>
        </w:rPr>
        <w:t>灰口</w:t>
      </w:r>
      <w:r>
        <w:t>铸铁管</w:t>
      </w:r>
      <w:r>
        <w:rPr>
          <w:rFonts w:hint="eastAsia"/>
        </w:rPr>
        <w:t>，</w:t>
      </w:r>
      <w:r>
        <w:t>化学建材管</w:t>
      </w:r>
      <w:r>
        <w:rPr>
          <w:rFonts w:hint="eastAsia"/>
        </w:rPr>
        <w:t>包含</w:t>
      </w:r>
      <w:r>
        <w:t>PE、PVC等热塑</w:t>
      </w:r>
      <w:r>
        <w:rPr>
          <w:rFonts w:hint="eastAsia"/>
        </w:rPr>
        <w:t>性</w:t>
      </w:r>
      <w:r>
        <w:t>塑料管</w:t>
      </w:r>
      <w:r>
        <w:rPr>
          <w:rFonts w:hint="eastAsia"/>
        </w:rPr>
        <w:t>以及</w:t>
      </w:r>
      <w:r>
        <w:t>玻璃钢夹砂等热固</w:t>
      </w:r>
      <w:r>
        <w:rPr>
          <w:rFonts w:hint="eastAsia"/>
        </w:rPr>
        <w:t>性</w:t>
      </w:r>
      <w:r>
        <w:t>塑料管</w:t>
      </w:r>
      <w:r>
        <w:rPr>
          <w:rFonts w:hint="eastAsia"/>
        </w:rPr>
        <w:t>。</w:t>
      </w:r>
    </w:p>
    <w:p w14:paraId="3FA51491">
      <w:pPr>
        <w:ind w:firstLine="480" w:firstLineChars="200"/>
        <w:rPr>
          <w:rStyle w:val="44"/>
          <w:szCs w:val="24"/>
        </w:rPr>
      </w:pPr>
      <w:r>
        <w:rPr>
          <w:rStyle w:val="44"/>
          <w:rFonts w:hint="eastAsia" w:eastAsia="宋体"/>
          <w:iCs/>
          <w:szCs w:val="24"/>
          <w:lang w:eastAsia="zh-CN"/>
        </w:rPr>
        <w:t>本标准</w:t>
      </w:r>
      <w:r>
        <w:rPr>
          <w:rStyle w:val="44"/>
          <w:rFonts w:hint="eastAsia" w:ascii="仿宋" w:hAnsi="仿宋"/>
          <w:iCs/>
          <w:szCs w:val="24"/>
        </w:rPr>
        <w:t>涉及的给水管道检测方法包括电视检测、声呐检测、超声波检测、电磁检测、噪声管内检测，以及流量法检测、压力法检测、听音法检测、相关分析法检测、噪声法检测、气体检测分析法等其他检测方法。</w:t>
      </w:r>
      <w:r>
        <w:rPr>
          <w:rStyle w:val="44"/>
          <w:rFonts w:hint="eastAsia" w:ascii="仿宋" w:hAnsi="仿宋" w:eastAsia="宋体"/>
          <w:iCs/>
          <w:szCs w:val="24"/>
          <w:lang w:eastAsia="zh-CN"/>
        </w:rPr>
        <w:t>城镇</w:t>
      </w:r>
      <w:r>
        <w:rPr>
          <w:rStyle w:val="44"/>
          <w:rFonts w:hint="eastAsia" w:ascii="仿宋" w:hAnsi="仿宋"/>
          <w:iCs/>
          <w:szCs w:val="24"/>
        </w:rPr>
        <w:t>给水管道检测与评估包括确定缺陷类型和等级、结构性状况评估、功能性状况评估等内容。</w:t>
      </w:r>
    </w:p>
    <w:p w14:paraId="1092AC6F">
      <w:pPr>
        <w:pStyle w:val="43"/>
        <w:rPr>
          <w:b/>
          <w:bCs/>
        </w:rPr>
        <w:sectPr>
          <w:pgSz w:w="11906" w:h="16838"/>
          <w:pgMar w:top="1440" w:right="1800" w:bottom="1440" w:left="1800" w:header="851" w:footer="992" w:gutter="0"/>
          <w:cols w:space="425" w:num="1"/>
          <w:docGrid w:type="lines" w:linePitch="312" w:charSpace="0"/>
        </w:sectPr>
      </w:pPr>
    </w:p>
    <w:p w14:paraId="55FB0CDF">
      <w:pPr>
        <w:pStyle w:val="4"/>
      </w:pPr>
      <w:bookmarkStart w:id="471" w:name="_Toc24963"/>
      <w:bookmarkStart w:id="472" w:name="_Toc32276"/>
      <w:bookmarkStart w:id="473" w:name="_Toc14299"/>
      <w:bookmarkStart w:id="474" w:name="_Toc425"/>
      <w:bookmarkStart w:id="475" w:name="_Toc181825596"/>
      <w:r>
        <w:rPr>
          <w:rFonts w:hint="eastAsia"/>
        </w:rPr>
        <w:t>3　基本规定</w:t>
      </w:r>
      <w:bookmarkEnd w:id="471"/>
      <w:bookmarkEnd w:id="472"/>
      <w:bookmarkEnd w:id="473"/>
      <w:bookmarkEnd w:id="474"/>
      <w:bookmarkEnd w:id="475"/>
    </w:p>
    <w:p w14:paraId="2390E233">
      <w:r>
        <w:rPr>
          <w:rFonts w:hint="eastAsia"/>
          <w:b/>
          <w:bCs/>
        </w:rPr>
        <w:t>3.0.1　</w:t>
      </w:r>
      <w:r>
        <w:rPr>
          <w:rFonts w:hint="eastAsia"/>
          <w:bCs/>
        </w:rPr>
        <w:t>从事</w:t>
      </w:r>
      <w:r>
        <w:rPr>
          <w:rFonts w:hint="eastAsia"/>
          <w:bCs/>
          <w:lang w:eastAsia="zh-CN"/>
        </w:rPr>
        <w:t>城镇</w:t>
      </w:r>
      <w:r>
        <w:rPr>
          <w:rFonts w:hint="eastAsia"/>
          <w:bCs/>
        </w:rPr>
        <w:t>给水管道检测和评估的单位需要具备相应的资质，</w:t>
      </w:r>
      <w:r>
        <w:rPr>
          <w:rFonts w:hint="eastAsia"/>
        </w:rPr>
        <w:t>主要指获得CMA认证。</w:t>
      </w:r>
      <w:r>
        <w:rPr>
          <w:rFonts w:hint="eastAsia"/>
          <w:bCs/>
        </w:rPr>
        <w:t>检测人员需要具备相应的资格，</w:t>
      </w:r>
      <w:r>
        <w:rPr>
          <w:rFonts w:hint="eastAsia"/>
        </w:rPr>
        <w:t>经过培训并有健康证明。进行外业检测工作时，要按规定摆放警示锥、警示牌等作业标识。</w:t>
      </w:r>
    </w:p>
    <w:p w14:paraId="4C1F56F9">
      <w:pPr>
        <w:pStyle w:val="2"/>
        <w:ind w:firstLine="240"/>
        <w:rPr>
          <w:rFonts w:hint="default" w:ascii="Times New Roman" w:hAnsi="Times New Roman" w:cs="Times New Roman"/>
        </w:rPr>
      </w:pPr>
      <w:r>
        <w:rPr>
          <w:rFonts w:hint="eastAsia"/>
          <w:bCs/>
        </w:rPr>
        <w:t>目前国内主要的</w:t>
      </w:r>
      <w:r>
        <w:rPr>
          <w:rFonts w:hint="eastAsia"/>
          <w:bCs/>
          <w:lang w:eastAsia="zh-CN"/>
        </w:rPr>
        <w:t>城镇</w:t>
      </w:r>
      <w:r>
        <w:rPr>
          <w:rFonts w:hint="eastAsia"/>
          <w:bCs/>
        </w:rPr>
        <w:t>给水管道检测方法如</w:t>
      </w:r>
      <w:r>
        <w:rPr>
          <w:rFonts w:hint="default" w:ascii="Times New Roman" w:hAnsi="Times New Roman" w:cs="Times New Roman"/>
          <w:bCs/>
        </w:rPr>
        <w:t>表</w:t>
      </w:r>
      <w:r>
        <w:rPr>
          <w:rFonts w:hint="default" w:ascii="Times New Roman" w:hAnsi="Times New Roman" w:cs="Times New Roman"/>
          <w:bCs/>
          <w:lang w:val="en-US" w:eastAsia="zh-CN"/>
        </w:rPr>
        <w:t>3-1</w:t>
      </w:r>
      <w:r>
        <w:rPr>
          <w:rFonts w:hint="default" w:ascii="Times New Roman" w:hAnsi="Times New Roman" w:cs="Times New Roman"/>
          <w:bCs/>
        </w:rPr>
        <w:t>：</w:t>
      </w:r>
    </w:p>
    <w:p w14:paraId="2456CAC8">
      <w:pPr>
        <w:jc w:val="center"/>
        <w:rPr>
          <w:b/>
        </w:rPr>
      </w:pPr>
      <w:r>
        <w:rPr>
          <w:rFonts w:hint="eastAsia"/>
          <w:b/>
        </w:rPr>
        <w:t>表</w:t>
      </w:r>
      <w:r>
        <w:rPr>
          <w:rFonts w:hint="eastAsia"/>
          <w:b/>
          <w:lang w:val="en-US" w:eastAsia="zh-CN"/>
        </w:rPr>
        <w:t>3-</w:t>
      </w:r>
      <w:r>
        <w:rPr>
          <w:rFonts w:hint="eastAsia"/>
          <w:b/>
        </w:rPr>
        <w:t>1　</w:t>
      </w:r>
      <w:r>
        <w:rPr>
          <w:rFonts w:hint="eastAsia"/>
          <w:b/>
          <w:bCs/>
        </w:rPr>
        <w:t>给水管道检测方法</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3338"/>
      </w:tblGrid>
      <w:tr w14:paraId="5AD90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03" w:type="dxa"/>
            <w:tcBorders>
              <w:tl2br w:val="nil"/>
              <w:tr2bl w:val="nil"/>
            </w:tcBorders>
            <w:vAlign w:val="center"/>
          </w:tcPr>
          <w:p w14:paraId="5AD69F8C">
            <w:pPr>
              <w:spacing w:line="240" w:lineRule="auto"/>
              <w:jc w:val="center"/>
              <w:rPr>
                <w:sz w:val="21"/>
                <w:szCs w:val="21"/>
              </w:rPr>
            </w:pPr>
            <w:r>
              <w:rPr>
                <w:rFonts w:hint="eastAsia"/>
                <w:sz w:val="21"/>
                <w:szCs w:val="21"/>
              </w:rPr>
              <w:t>检测方法</w:t>
            </w:r>
          </w:p>
        </w:tc>
        <w:tc>
          <w:tcPr>
            <w:tcW w:w="1703" w:type="dxa"/>
            <w:tcBorders>
              <w:tl2br w:val="nil"/>
              <w:tr2bl w:val="nil"/>
            </w:tcBorders>
            <w:vAlign w:val="center"/>
          </w:tcPr>
          <w:p w14:paraId="7ECDDEBF">
            <w:pPr>
              <w:spacing w:line="240" w:lineRule="auto"/>
              <w:jc w:val="center"/>
              <w:rPr>
                <w:sz w:val="21"/>
                <w:szCs w:val="21"/>
              </w:rPr>
            </w:pPr>
            <w:r>
              <w:rPr>
                <w:rFonts w:hint="eastAsia"/>
                <w:sz w:val="21"/>
                <w:szCs w:val="21"/>
              </w:rPr>
              <w:t>适用管道状态</w:t>
            </w:r>
          </w:p>
        </w:tc>
        <w:tc>
          <w:tcPr>
            <w:tcW w:w="1704" w:type="dxa"/>
            <w:tcBorders>
              <w:tl2br w:val="nil"/>
              <w:tr2bl w:val="nil"/>
            </w:tcBorders>
            <w:vAlign w:val="center"/>
          </w:tcPr>
          <w:p w14:paraId="4AE7CC57">
            <w:pPr>
              <w:spacing w:line="240" w:lineRule="auto"/>
              <w:jc w:val="center"/>
              <w:rPr>
                <w:sz w:val="21"/>
                <w:szCs w:val="21"/>
              </w:rPr>
            </w:pPr>
            <w:r>
              <w:rPr>
                <w:rFonts w:hint="eastAsia"/>
                <w:sz w:val="21"/>
                <w:szCs w:val="21"/>
              </w:rPr>
              <w:t>适用管道材质</w:t>
            </w:r>
          </w:p>
        </w:tc>
        <w:tc>
          <w:tcPr>
            <w:tcW w:w="3338" w:type="dxa"/>
            <w:tcBorders>
              <w:tl2br w:val="nil"/>
              <w:tr2bl w:val="nil"/>
            </w:tcBorders>
            <w:vAlign w:val="center"/>
          </w:tcPr>
          <w:p w14:paraId="1A077965">
            <w:pPr>
              <w:spacing w:line="240" w:lineRule="auto"/>
              <w:jc w:val="center"/>
              <w:rPr>
                <w:sz w:val="21"/>
                <w:szCs w:val="21"/>
              </w:rPr>
            </w:pPr>
            <w:r>
              <w:rPr>
                <w:rFonts w:hint="eastAsia"/>
                <w:sz w:val="21"/>
                <w:szCs w:val="21"/>
              </w:rPr>
              <w:t>检测内容（缺陷类型）</w:t>
            </w:r>
          </w:p>
        </w:tc>
      </w:tr>
      <w:tr w14:paraId="6C4E1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03" w:type="dxa"/>
            <w:tcBorders>
              <w:tl2br w:val="nil"/>
              <w:tr2bl w:val="nil"/>
            </w:tcBorders>
            <w:vAlign w:val="center"/>
          </w:tcPr>
          <w:p w14:paraId="6E3FB0BB">
            <w:pPr>
              <w:spacing w:line="240" w:lineRule="auto"/>
              <w:jc w:val="center"/>
              <w:rPr>
                <w:sz w:val="21"/>
                <w:szCs w:val="21"/>
              </w:rPr>
            </w:pPr>
            <w:r>
              <w:rPr>
                <w:rFonts w:hint="eastAsia"/>
                <w:sz w:val="21"/>
                <w:szCs w:val="21"/>
              </w:rPr>
              <w:t>电视检测</w:t>
            </w:r>
          </w:p>
        </w:tc>
        <w:tc>
          <w:tcPr>
            <w:tcW w:w="1703" w:type="dxa"/>
            <w:tcBorders>
              <w:tl2br w:val="nil"/>
              <w:tr2bl w:val="nil"/>
            </w:tcBorders>
            <w:vAlign w:val="center"/>
          </w:tcPr>
          <w:p w14:paraId="47920FD1">
            <w:pPr>
              <w:spacing w:line="240" w:lineRule="auto"/>
              <w:jc w:val="center"/>
              <w:rPr>
                <w:sz w:val="21"/>
                <w:szCs w:val="21"/>
              </w:rPr>
            </w:pPr>
            <w:r>
              <w:rPr>
                <w:rFonts w:hint="eastAsia"/>
                <w:sz w:val="21"/>
                <w:szCs w:val="21"/>
              </w:rPr>
              <w:t>带压和停水</w:t>
            </w:r>
          </w:p>
        </w:tc>
        <w:tc>
          <w:tcPr>
            <w:tcW w:w="1704" w:type="dxa"/>
            <w:tcBorders>
              <w:tl2br w:val="nil"/>
              <w:tr2bl w:val="nil"/>
            </w:tcBorders>
            <w:vAlign w:val="center"/>
          </w:tcPr>
          <w:p w14:paraId="566DDCB7">
            <w:pPr>
              <w:spacing w:line="240" w:lineRule="auto"/>
              <w:jc w:val="center"/>
              <w:rPr>
                <w:sz w:val="21"/>
                <w:szCs w:val="21"/>
              </w:rPr>
            </w:pPr>
            <w:r>
              <w:rPr>
                <w:rFonts w:hint="eastAsia"/>
                <w:sz w:val="21"/>
                <w:szCs w:val="21"/>
              </w:rPr>
              <w:t>无要求</w:t>
            </w:r>
          </w:p>
        </w:tc>
        <w:tc>
          <w:tcPr>
            <w:tcW w:w="3338" w:type="dxa"/>
            <w:tcBorders>
              <w:tl2br w:val="nil"/>
              <w:tr2bl w:val="nil"/>
            </w:tcBorders>
            <w:vAlign w:val="center"/>
          </w:tcPr>
          <w:p w14:paraId="41C0F599">
            <w:pPr>
              <w:spacing w:line="240" w:lineRule="auto"/>
              <w:jc w:val="center"/>
              <w:rPr>
                <w:sz w:val="21"/>
                <w:szCs w:val="21"/>
              </w:rPr>
            </w:pPr>
            <w:r>
              <w:rPr>
                <w:rFonts w:hint="eastAsia"/>
                <w:sz w:val="21"/>
                <w:szCs w:val="21"/>
              </w:rPr>
              <w:t>管道内可视缺陷（腐蚀、内衬层脱落、变形、破裂、沉积、障碍物等）</w:t>
            </w:r>
          </w:p>
        </w:tc>
      </w:tr>
      <w:tr w14:paraId="79421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03" w:type="dxa"/>
            <w:tcBorders>
              <w:tl2br w:val="nil"/>
              <w:tr2bl w:val="nil"/>
            </w:tcBorders>
            <w:vAlign w:val="center"/>
          </w:tcPr>
          <w:p w14:paraId="0EEECCF8">
            <w:pPr>
              <w:spacing w:line="240" w:lineRule="auto"/>
              <w:jc w:val="center"/>
              <w:rPr>
                <w:sz w:val="21"/>
                <w:szCs w:val="21"/>
              </w:rPr>
            </w:pPr>
            <w:r>
              <w:rPr>
                <w:rFonts w:hint="eastAsia"/>
                <w:sz w:val="21"/>
                <w:szCs w:val="21"/>
              </w:rPr>
              <w:t>声呐检测</w:t>
            </w:r>
          </w:p>
        </w:tc>
        <w:tc>
          <w:tcPr>
            <w:tcW w:w="1703" w:type="dxa"/>
            <w:tcBorders>
              <w:tl2br w:val="nil"/>
              <w:tr2bl w:val="nil"/>
            </w:tcBorders>
            <w:vAlign w:val="center"/>
          </w:tcPr>
          <w:p w14:paraId="56826232">
            <w:pPr>
              <w:spacing w:line="240" w:lineRule="auto"/>
              <w:jc w:val="center"/>
              <w:rPr>
                <w:sz w:val="21"/>
                <w:szCs w:val="21"/>
              </w:rPr>
            </w:pPr>
            <w:r>
              <w:rPr>
                <w:rFonts w:hint="eastAsia"/>
                <w:sz w:val="21"/>
                <w:szCs w:val="21"/>
              </w:rPr>
              <w:t>带压和停水</w:t>
            </w:r>
          </w:p>
        </w:tc>
        <w:tc>
          <w:tcPr>
            <w:tcW w:w="1704" w:type="dxa"/>
            <w:tcBorders>
              <w:tl2br w:val="nil"/>
              <w:tr2bl w:val="nil"/>
            </w:tcBorders>
            <w:vAlign w:val="center"/>
          </w:tcPr>
          <w:p w14:paraId="1A788D25">
            <w:pPr>
              <w:spacing w:line="240" w:lineRule="auto"/>
              <w:jc w:val="center"/>
              <w:rPr>
                <w:rFonts w:asciiTheme="minorHAnsi" w:hAnsiTheme="minorHAnsi"/>
                <w:sz w:val="21"/>
                <w:szCs w:val="21"/>
              </w:rPr>
            </w:pPr>
            <w:r>
              <w:rPr>
                <w:rFonts w:hint="eastAsia"/>
                <w:sz w:val="21"/>
                <w:szCs w:val="21"/>
              </w:rPr>
              <w:t>无要求</w:t>
            </w:r>
          </w:p>
        </w:tc>
        <w:tc>
          <w:tcPr>
            <w:tcW w:w="3338" w:type="dxa"/>
            <w:tcBorders>
              <w:tl2br w:val="nil"/>
              <w:tr2bl w:val="nil"/>
            </w:tcBorders>
            <w:vAlign w:val="center"/>
          </w:tcPr>
          <w:p w14:paraId="5024CAA3">
            <w:pPr>
              <w:spacing w:line="240" w:lineRule="auto"/>
              <w:jc w:val="center"/>
              <w:rPr>
                <w:sz w:val="21"/>
                <w:szCs w:val="21"/>
              </w:rPr>
            </w:pPr>
            <w:r>
              <w:rPr>
                <w:rFonts w:hint="eastAsia"/>
                <w:sz w:val="21"/>
                <w:szCs w:val="21"/>
              </w:rPr>
              <w:t>管道内水下部分的破裂、变形、砂浆脱落、异物侵入、气囊、沉积物、胶结物、贻贝、结垢附着物的检测</w:t>
            </w:r>
          </w:p>
        </w:tc>
      </w:tr>
      <w:tr w14:paraId="007D6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03" w:type="dxa"/>
            <w:tcBorders>
              <w:tl2br w:val="nil"/>
              <w:tr2bl w:val="nil"/>
            </w:tcBorders>
            <w:vAlign w:val="center"/>
          </w:tcPr>
          <w:p w14:paraId="1C16961B">
            <w:pPr>
              <w:spacing w:line="240" w:lineRule="auto"/>
              <w:jc w:val="center"/>
              <w:rPr>
                <w:sz w:val="21"/>
                <w:szCs w:val="21"/>
              </w:rPr>
            </w:pPr>
            <w:r>
              <w:rPr>
                <w:rFonts w:hint="eastAsia"/>
                <w:sz w:val="21"/>
                <w:szCs w:val="21"/>
              </w:rPr>
              <w:t>超声波检测</w:t>
            </w:r>
          </w:p>
        </w:tc>
        <w:tc>
          <w:tcPr>
            <w:tcW w:w="1703" w:type="dxa"/>
            <w:tcBorders>
              <w:tl2br w:val="nil"/>
              <w:tr2bl w:val="nil"/>
            </w:tcBorders>
            <w:vAlign w:val="center"/>
          </w:tcPr>
          <w:p w14:paraId="686F5CA1">
            <w:pPr>
              <w:spacing w:line="240" w:lineRule="auto"/>
              <w:jc w:val="center"/>
              <w:rPr>
                <w:sz w:val="21"/>
                <w:szCs w:val="21"/>
              </w:rPr>
            </w:pPr>
            <w:r>
              <w:rPr>
                <w:rFonts w:hint="eastAsia" w:eastAsia="宋体" w:cs="Times New Roman"/>
                <w:kern w:val="0"/>
                <w:sz w:val="21"/>
                <w:szCs w:val="21"/>
                <w:lang w:bidi="ar"/>
              </w:rPr>
              <w:t>带压</w:t>
            </w:r>
            <w:r>
              <w:rPr>
                <w:rFonts w:eastAsia="宋体" w:cs="Times New Roman"/>
                <w:kern w:val="0"/>
                <w:sz w:val="21"/>
                <w:szCs w:val="21"/>
                <w:lang w:bidi="ar"/>
              </w:rPr>
              <w:t>和</w:t>
            </w:r>
            <w:r>
              <w:rPr>
                <w:rFonts w:hint="eastAsia" w:eastAsia="宋体" w:cs="Times New Roman"/>
                <w:kern w:val="0"/>
                <w:sz w:val="21"/>
                <w:szCs w:val="21"/>
                <w:lang w:bidi="ar"/>
              </w:rPr>
              <w:t>停水</w:t>
            </w:r>
          </w:p>
        </w:tc>
        <w:tc>
          <w:tcPr>
            <w:tcW w:w="1704" w:type="dxa"/>
            <w:tcBorders>
              <w:tl2br w:val="nil"/>
              <w:tr2bl w:val="nil"/>
            </w:tcBorders>
            <w:vAlign w:val="center"/>
          </w:tcPr>
          <w:p w14:paraId="539B421A">
            <w:pPr>
              <w:spacing w:line="240" w:lineRule="auto"/>
              <w:jc w:val="center"/>
              <w:rPr>
                <w:sz w:val="21"/>
                <w:szCs w:val="21"/>
              </w:rPr>
            </w:pPr>
            <w:r>
              <w:rPr>
                <w:rFonts w:hint="eastAsia" w:eastAsia="宋体" w:cs="Times New Roman"/>
                <w:kern w:val="0"/>
                <w:sz w:val="21"/>
                <w:szCs w:val="21"/>
                <w:lang w:bidi="ar"/>
              </w:rPr>
              <w:t>铸铁管、钢管等金属材质管道</w:t>
            </w:r>
          </w:p>
        </w:tc>
        <w:tc>
          <w:tcPr>
            <w:tcW w:w="3338" w:type="dxa"/>
            <w:tcBorders>
              <w:tl2br w:val="nil"/>
              <w:tr2bl w:val="nil"/>
            </w:tcBorders>
            <w:vAlign w:val="center"/>
          </w:tcPr>
          <w:p w14:paraId="03FDBDA7">
            <w:pPr>
              <w:spacing w:line="240" w:lineRule="auto"/>
              <w:jc w:val="center"/>
              <w:rPr>
                <w:rFonts w:eastAsia="宋体"/>
                <w:sz w:val="21"/>
                <w:szCs w:val="21"/>
              </w:rPr>
            </w:pPr>
            <w:r>
              <w:rPr>
                <w:rFonts w:eastAsia="宋体" w:cs="Times New Roman"/>
                <w:kern w:val="0"/>
                <w:sz w:val="21"/>
                <w:szCs w:val="21"/>
                <w:lang w:bidi="ar"/>
              </w:rPr>
              <w:t>壁厚</w:t>
            </w:r>
            <w:r>
              <w:rPr>
                <w:rFonts w:hint="eastAsia" w:eastAsia="宋体" w:cs="Times New Roman"/>
                <w:kern w:val="0"/>
                <w:sz w:val="21"/>
                <w:szCs w:val="21"/>
                <w:lang w:bidi="ar"/>
              </w:rPr>
              <w:t>（</w:t>
            </w:r>
            <w:r>
              <w:rPr>
                <w:rFonts w:eastAsia="宋体" w:cs="Times New Roman"/>
                <w:kern w:val="0"/>
                <w:sz w:val="21"/>
                <w:szCs w:val="21"/>
                <w:lang w:bidi="ar"/>
              </w:rPr>
              <w:t>通过比较</w:t>
            </w:r>
            <w:r>
              <w:rPr>
                <w:rFonts w:hint="eastAsia" w:eastAsia="宋体" w:cs="Times New Roman"/>
                <w:kern w:val="0"/>
                <w:sz w:val="21"/>
                <w:szCs w:val="21"/>
                <w:lang w:bidi="ar"/>
              </w:rPr>
              <w:t>分析管道检测壁厚与</w:t>
            </w:r>
            <w:r>
              <w:rPr>
                <w:rFonts w:eastAsia="宋体" w:cs="Times New Roman"/>
                <w:kern w:val="0"/>
                <w:sz w:val="21"/>
                <w:szCs w:val="21"/>
                <w:lang w:bidi="ar"/>
              </w:rPr>
              <w:t>初始壁厚</w:t>
            </w:r>
            <w:r>
              <w:rPr>
                <w:rFonts w:hint="eastAsia" w:eastAsia="宋体" w:cs="Times New Roman"/>
                <w:kern w:val="0"/>
                <w:sz w:val="21"/>
                <w:szCs w:val="21"/>
                <w:lang w:bidi="ar"/>
              </w:rPr>
              <w:t>管壁减薄数据，评估管道腐蚀状况）</w:t>
            </w:r>
          </w:p>
        </w:tc>
      </w:tr>
      <w:tr w14:paraId="6CD38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03" w:type="dxa"/>
            <w:tcBorders>
              <w:tl2br w:val="nil"/>
              <w:tr2bl w:val="nil"/>
            </w:tcBorders>
            <w:vAlign w:val="center"/>
          </w:tcPr>
          <w:p w14:paraId="6E2B048E">
            <w:pPr>
              <w:spacing w:line="240" w:lineRule="auto"/>
              <w:jc w:val="center"/>
              <w:rPr>
                <w:sz w:val="21"/>
                <w:szCs w:val="21"/>
              </w:rPr>
            </w:pPr>
            <w:r>
              <w:rPr>
                <w:rFonts w:hint="eastAsia"/>
                <w:sz w:val="21"/>
                <w:szCs w:val="21"/>
              </w:rPr>
              <w:t>电磁检测</w:t>
            </w:r>
          </w:p>
        </w:tc>
        <w:tc>
          <w:tcPr>
            <w:tcW w:w="1703" w:type="dxa"/>
            <w:tcBorders>
              <w:tl2br w:val="nil"/>
              <w:tr2bl w:val="nil"/>
            </w:tcBorders>
            <w:vAlign w:val="center"/>
          </w:tcPr>
          <w:p w14:paraId="2C7E1F17">
            <w:pPr>
              <w:spacing w:line="240" w:lineRule="auto"/>
              <w:jc w:val="center"/>
              <w:rPr>
                <w:sz w:val="21"/>
                <w:szCs w:val="21"/>
              </w:rPr>
            </w:pPr>
            <w:r>
              <w:rPr>
                <w:rFonts w:hint="eastAsia"/>
                <w:sz w:val="21"/>
                <w:szCs w:val="21"/>
              </w:rPr>
              <w:t>带压和停水</w:t>
            </w:r>
          </w:p>
        </w:tc>
        <w:tc>
          <w:tcPr>
            <w:tcW w:w="1704" w:type="dxa"/>
            <w:tcBorders>
              <w:tl2br w:val="nil"/>
              <w:tr2bl w:val="nil"/>
            </w:tcBorders>
            <w:vAlign w:val="center"/>
          </w:tcPr>
          <w:p w14:paraId="07F0BF9D">
            <w:pPr>
              <w:spacing w:line="240" w:lineRule="auto"/>
              <w:jc w:val="center"/>
              <w:rPr>
                <w:sz w:val="21"/>
                <w:szCs w:val="21"/>
              </w:rPr>
            </w:pPr>
            <w:r>
              <w:rPr>
                <w:rFonts w:hint="eastAsia"/>
                <w:sz w:val="21"/>
                <w:szCs w:val="21"/>
              </w:rPr>
              <w:t>预应力钢筒混凝土管</w:t>
            </w:r>
          </w:p>
        </w:tc>
        <w:tc>
          <w:tcPr>
            <w:tcW w:w="3338" w:type="dxa"/>
            <w:tcBorders>
              <w:tl2br w:val="nil"/>
              <w:tr2bl w:val="nil"/>
            </w:tcBorders>
            <w:vAlign w:val="center"/>
          </w:tcPr>
          <w:p w14:paraId="464BDAA0">
            <w:pPr>
              <w:spacing w:line="240" w:lineRule="auto"/>
              <w:jc w:val="center"/>
              <w:rPr>
                <w:sz w:val="21"/>
                <w:szCs w:val="21"/>
              </w:rPr>
            </w:pPr>
            <w:r>
              <w:rPr>
                <w:rFonts w:hint="eastAsia"/>
                <w:sz w:val="21"/>
                <w:szCs w:val="21"/>
              </w:rPr>
              <w:t>断丝</w:t>
            </w:r>
          </w:p>
        </w:tc>
      </w:tr>
      <w:tr w14:paraId="4A5A8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tcBorders>
              <w:tl2br w:val="nil"/>
              <w:tr2bl w:val="nil"/>
            </w:tcBorders>
            <w:vAlign w:val="center"/>
          </w:tcPr>
          <w:p w14:paraId="3E70495C">
            <w:pPr>
              <w:spacing w:line="240" w:lineRule="auto"/>
              <w:jc w:val="center"/>
              <w:rPr>
                <w:sz w:val="21"/>
                <w:szCs w:val="21"/>
              </w:rPr>
            </w:pPr>
            <w:r>
              <w:rPr>
                <w:rFonts w:hint="eastAsia"/>
                <w:sz w:val="21"/>
                <w:szCs w:val="21"/>
              </w:rPr>
              <w:t>噪声管内检测</w:t>
            </w:r>
          </w:p>
        </w:tc>
        <w:tc>
          <w:tcPr>
            <w:tcW w:w="1703" w:type="dxa"/>
            <w:tcBorders>
              <w:tl2br w:val="nil"/>
              <w:tr2bl w:val="nil"/>
            </w:tcBorders>
            <w:vAlign w:val="center"/>
          </w:tcPr>
          <w:p w14:paraId="1CBCB0B2">
            <w:pPr>
              <w:spacing w:line="240" w:lineRule="auto"/>
              <w:jc w:val="center"/>
              <w:rPr>
                <w:sz w:val="21"/>
                <w:szCs w:val="21"/>
              </w:rPr>
            </w:pPr>
            <w:r>
              <w:rPr>
                <w:rFonts w:hint="eastAsia" w:eastAsia="宋体" w:cs="Times New Roman"/>
                <w:sz w:val="21"/>
                <w:szCs w:val="21"/>
              </w:rPr>
              <w:t>带压</w:t>
            </w:r>
          </w:p>
        </w:tc>
        <w:tc>
          <w:tcPr>
            <w:tcW w:w="1704" w:type="dxa"/>
            <w:tcBorders>
              <w:tl2br w:val="nil"/>
              <w:tr2bl w:val="nil"/>
            </w:tcBorders>
            <w:vAlign w:val="center"/>
          </w:tcPr>
          <w:p w14:paraId="4DF3C1E3">
            <w:pPr>
              <w:spacing w:line="240" w:lineRule="auto"/>
              <w:jc w:val="center"/>
              <w:rPr>
                <w:sz w:val="21"/>
                <w:szCs w:val="21"/>
              </w:rPr>
            </w:pPr>
            <w:r>
              <w:rPr>
                <w:rFonts w:hint="eastAsia"/>
                <w:sz w:val="21"/>
                <w:szCs w:val="21"/>
              </w:rPr>
              <w:t>无要求</w:t>
            </w:r>
          </w:p>
        </w:tc>
        <w:tc>
          <w:tcPr>
            <w:tcW w:w="3338" w:type="dxa"/>
            <w:tcBorders>
              <w:tl2br w:val="nil"/>
              <w:tr2bl w:val="nil"/>
            </w:tcBorders>
            <w:vAlign w:val="center"/>
          </w:tcPr>
          <w:p w14:paraId="72B5D303">
            <w:pPr>
              <w:spacing w:line="240" w:lineRule="auto"/>
              <w:jc w:val="center"/>
              <w:rPr>
                <w:sz w:val="21"/>
                <w:szCs w:val="21"/>
              </w:rPr>
            </w:pPr>
            <w:r>
              <w:rPr>
                <w:rFonts w:hint="eastAsia" w:eastAsia="宋体" w:cs="Times New Roman"/>
                <w:sz w:val="21"/>
                <w:szCs w:val="21"/>
              </w:rPr>
              <w:t>泄漏、气囊</w:t>
            </w:r>
          </w:p>
        </w:tc>
      </w:tr>
      <w:tr w14:paraId="74151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tcBorders>
              <w:tl2br w:val="nil"/>
              <w:tr2bl w:val="nil"/>
            </w:tcBorders>
            <w:vAlign w:val="center"/>
          </w:tcPr>
          <w:p w14:paraId="0D2ED599">
            <w:pPr>
              <w:spacing w:line="240" w:lineRule="auto"/>
              <w:jc w:val="center"/>
              <w:rPr>
                <w:sz w:val="21"/>
                <w:szCs w:val="21"/>
              </w:rPr>
            </w:pPr>
            <w:r>
              <w:rPr>
                <w:rFonts w:hint="eastAsia"/>
                <w:sz w:val="21"/>
                <w:szCs w:val="21"/>
              </w:rPr>
              <w:t>其他检测方法</w:t>
            </w:r>
          </w:p>
        </w:tc>
        <w:tc>
          <w:tcPr>
            <w:tcW w:w="1703" w:type="dxa"/>
            <w:tcBorders>
              <w:tl2br w:val="nil"/>
              <w:tr2bl w:val="nil"/>
            </w:tcBorders>
            <w:vAlign w:val="center"/>
          </w:tcPr>
          <w:p w14:paraId="79EC9F52">
            <w:pPr>
              <w:spacing w:line="240" w:lineRule="auto"/>
              <w:jc w:val="center"/>
              <w:rPr>
                <w:sz w:val="21"/>
                <w:szCs w:val="21"/>
              </w:rPr>
            </w:pPr>
            <w:r>
              <w:rPr>
                <w:rFonts w:hint="eastAsia" w:eastAsia="宋体" w:cs="Times New Roman"/>
                <w:sz w:val="21"/>
                <w:szCs w:val="21"/>
              </w:rPr>
              <w:t>带压</w:t>
            </w:r>
          </w:p>
        </w:tc>
        <w:tc>
          <w:tcPr>
            <w:tcW w:w="1704" w:type="dxa"/>
            <w:tcBorders>
              <w:tl2br w:val="nil"/>
              <w:tr2bl w:val="nil"/>
            </w:tcBorders>
            <w:vAlign w:val="center"/>
          </w:tcPr>
          <w:p w14:paraId="400634BD">
            <w:pPr>
              <w:spacing w:line="240" w:lineRule="auto"/>
              <w:jc w:val="center"/>
              <w:rPr>
                <w:sz w:val="21"/>
                <w:szCs w:val="21"/>
              </w:rPr>
            </w:pPr>
            <w:r>
              <w:rPr>
                <w:rFonts w:hint="eastAsia"/>
                <w:sz w:val="21"/>
                <w:szCs w:val="21"/>
              </w:rPr>
              <w:t>无要求</w:t>
            </w:r>
          </w:p>
        </w:tc>
        <w:tc>
          <w:tcPr>
            <w:tcW w:w="3338" w:type="dxa"/>
            <w:tcBorders>
              <w:tl2br w:val="nil"/>
              <w:tr2bl w:val="nil"/>
            </w:tcBorders>
            <w:vAlign w:val="center"/>
          </w:tcPr>
          <w:p w14:paraId="7B5D15D2">
            <w:pPr>
              <w:spacing w:line="240" w:lineRule="auto"/>
              <w:jc w:val="center"/>
              <w:rPr>
                <w:sz w:val="21"/>
                <w:szCs w:val="21"/>
              </w:rPr>
            </w:pPr>
            <w:r>
              <w:rPr>
                <w:rFonts w:hint="eastAsia" w:eastAsia="宋体" w:cs="Times New Roman"/>
                <w:sz w:val="21"/>
                <w:szCs w:val="21"/>
              </w:rPr>
              <w:t>泄漏</w:t>
            </w:r>
          </w:p>
        </w:tc>
      </w:tr>
    </w:tbl>
    <w:p w14:paraId="58DF6732">
      <w:pPr>
        <w:pStyle w:val="2"/>
        <w:ind w:firstLine="240"/>
      </w:pPr>
      <w:r>
        <w:rPr>
          <w:rFonts w:hint="eastAsia"/>
        </w:rPr>
        <w:t>极端天气指暴雨、台风、持续高温等影响检测作业的天气。</w:t>
      </w:r>
    </w:p>
    <w:p w14:paraId="290009E2">
      <w:pPr>
        <w:pStyle w:val="43"/>
        <w:rPr>
          <w:bCs/>
        </w:rPr>
      </w:pPr>
      <w:r>
        <w:rPr>
          <w:rFonts w:hint="eastAsia"/>
          <w:b/>
          <w:iCs/>
          <w:szCs w:val="24"/>
        </w:rPr>
        <w:t>3.0.3　</w:t>
      </w:r>
      <w:r>
        <w:rPr>
          <w:bCs/>
          <w:iCs/>
          <w:szCs w:val="24"/>
        </w:rPr>
        <w:t>检测需将设备送进给水管道内部，未经消毒的设备可能会对饮用水造成污染。</w:t>
      </w:r>
    </w:p>
    <w:p w14:paraId="57E9B9A4">
      <w:pPr>
        <w:pStyle w:val="43"/>
      </w:pPr>
      <w:r>
        <w:rPr>
          <w:b/>
          <w:bCs/>
        </w:rPr>
        <w:t>3.0.</w:t>
      </w:r>
      <w:r>
        <w:rPr>
          <w:rFonts w:hint="eastAsia"/>
          <w:b/>
          <w:bCs/>
        </w:rPr>
        <w:t>4　</w:t>
      </w:r>
      <w:r>
        <w:rPr>
          <w:rFonts w:hint="eastAsia"/>
          <w:lang w:eastAsia="zh-CN"/>
        </w:rPr>
        <w:t>城镇</w:t>
      </w:r>
      <w:r>
        <w:t>给水</w:t>
      </w:r>
      <w:r>
        <w:rPr>
          <w:rFonts w:hint="eastAsia"/>
        </w:rPr>
        <w:t>管道检测内容包括缺陷位置、缺陷严重程度、缺陷尺寸、特殊结构和附属设施等。结构性检测是以检查管道材料结构现状为目的，在管道内壁无污物遮盖的情况下拍摄管道内水面以上的内壁状况。这类检测主要是了解管道的结构现状以及连接状况。功能性检测是指对影响给水管道过流能力的检测，如沉积、障碍物、树根等。一般检测管道的有效过水断面，将管道实际过流量与设计流量进行比较，以确定管道的功能性状况。附属设施检查内容主要包括管道标志桩是否移位、缺失等现象；阀门、流量计、地埋排气阀及附属井体是否有损坏、渗漏现象；井圈、井盖有无缺失、破损、移位、弹跳和开裂沉降等现象。管道周边土体病害是指土体中存在的土质疏松、空洞、富水异常等构造性缺陷。这些土体病害往往与管道自身缺陷并存且有所关联。</w:t>
      </w:r>
    </w:p>
    <w:p w14:paraId="2610981D">
      <w:r>
        <w:rPr>
          <w:b/>
        </w:rPr>
        <w:t>3.0.</w:t>
      </w:r>
      <w:r>
        <w:rPr>
          <w:rFonts w:hint="eastAsia"/>
          <w:b/>
        </w:rPr>
        <w:t>7　</w:t>
      </w:r>
      <w:r>
        <w:rPr>
          <w:rFonts w:hint="eastAsia"/>
        </w:rPr>
        <w:t>检测准备包括资料收集、现场踏勘、检测方法试验和技术方案编制。资料包括平面图、纵断面图等管线图纸和竣工资料，为了解管线上的支管、弯管、蝶阀、排泥阀以及坡度等情况</w:t>
      </w:r>
      <w:r>
        <w:t>。</w:t>
      </w:r>
    </w:p>
    <w:p w14:paraId="26361C20">
      <w:r>
        <w:rPr>
          <w:b/>
        </w:rPr>
        <w:t>3.0.</w:t>
      </w:r>
      <w:r>
        <w:rPr>
          <w:rFonts w:hint="eastAsia"/>
          <w:b/>
        </w:rPr>
        <w:t>9　</w:t>
      </w:r>
      <w:r>
        <w:rPr>
          <w:rFonts w:hint="eastAsia"/>
        </w:rPr>
        <w:t>检测完毕后，相关人员对检测资料复核并签名确认，尽快出具检测报告，以保证检测报告具有时效性。</w:t>
      </w:r>
    </w:p>
    <w:p w14:paraId="11CC2047">
      <w:pPr>
        <w:rPr>
          <w:rFonts w:hint="eastAsia"/>
        </w:rPr>
      </w:pPr>
      <w:r>
        <w:rPr>
          <w:rFonts w:hint="eastAsia"/>
          <w:b/>
          <w:bCs/>
        </w:rPr>
        <w:t>3.0.10　</w:t>
      </w:r>
      <w:r>
        <w:rPr>
          <w:rFonts w:hint="eastAsia"/>
        </w:rPr>
        <w:t>管道评估为确定管道养护和维修计划提供重要基础。该条文中字母a代表单位“年”。</w:t>
      </w:r>
    </w:p>
    <w:p w14:paraId="03CDDABB">
      <w:pPr>
        <w:rPr>
          <w:rFonts w:hint="eastAsia" w:eastAsiaTheme="minorEastAsia"/>
          <w:lang w:eastAsia="zh-CN"/>
        </w:rPr>
      </w:pPr>
      <w:r>
        <w:rPr>
          <w:rFonts w:hint="eastAsia" w:ascii="Times New Roman" w:hAnsi="Times New Roman" w:eastAsiaTheme="minorEastAsia"/>
          <w:b/>
          <w:bCs/>
          <w:kern w:val="2"/>
          <w:szCs w:val="22"/>
        </w:rPr>
        <w:t>3.0.12</w:t>
      </w:r>
      <w:r>
        <w:rPr>
          <w:rFonts w:hint="eastAsia" w:ascii="Times New Roman" w:hAnsi="Times New Roman" w:eastAsiaTheme="minorEastAsia"/>
          <w:kern w:val="2"/>
          <w:szCs w:val="22"/>
        </w:rPr>
        <w:t>　检测成果资料归档</w:t>
      </w:r>
      <w:r>
        <w:rPr>
          <w:rFonts w:hint="eastAsia"/>
          <w:kern w:val="2"/>
          <w:szCs w:val="22"/>
          <w:lang w:eastAsia="zh-CN"/>
        </w:rPr>
        <w:t>可以参照</w:t>
      </w:r>
      <w:r>
        <w:rPr>
          <w:rFonts w:hint="eastAsia"/>
        </w:rPr>
        <w:t>《建设工程文件归档规范》GB</w:t>
      </w:r>
      <w:r>
        <w:rPr>
          <w:rFonts w:hint="eastAsia"/>
          <w:lang w:val="en-US" w:eastAsia="zh-CN"/>
        </w:rPr>
        <w:t>/</w:t>
      </w:r>
      <w:r>
        <w:rPr>
          <w:rFonts w:hint="eastAsia"/>
        </w:rPr>
        <w:t>T</w:t>
      </w:r>
      <w:r>
        <w:rPr>
          <w:rFonts w:hint="eastAsia"/>
          <w:lang w:val="en-US" w:eastAsia="zh-CN"/>
        </w:rPr>
        <w:t xml:space="preserve"> </w:t>
      </w:r>
      <w:r>
        <w:rPr>
          <w:rFonts w:hint="eastAsia"/>
        </w:rPr>
        <w:t>50328</w:t>
      </w:r>
      <w:r>
        <w:rPr>
          <w:rFonts w:hint="eastAsia"/>
          <w:lang w:eastAsia="zh-CN"/>
        </w:rPr>
        <w:t>、《建设工程项目管理规范》GB/T 50326等标准执行。</w:t>
      </w:r>
    </w:p>
    <w:p w14:paraId="46A5B7EB">
      <w:pPr>
        <w:rPr>
          <w:rFonts w:eastAsia="仿宋" w:cs="Times New Roman"/>
          <w:b/>
          <w:bCs/>
        </w:rPr>
      </w:pPr>
      <w:r>
        <w:rPr>
          <w:rFonts w:eastAsia="仿宋" w:cs="Times New Roman"/>
          <w:b/>
          <w:bCs/>
        </w:rPr>
        <w:br w:type="page"/>
      </w:r>
    </w:p>
    <w:p w14:paraId="2C628BA9">
      <w:pPr>
        <w:pStyle w:val="4"/>
      </w:pPr>
      <w:bookmarkStart w:id="476" w:name="_Toc22300"/>
      <w:bookmarkStart w:id="477" w:name="_Toc181825597"/>
      <w:bookmarkStart w:id="478" w:name="_Toc19304"/>
      <w:bookmarkStart w:id="479" w:name="_Toc32629"/>
      <w:bookmarkStart w:id="480" w:name="_Toc25561"/>
      <w:r>
        <w:rPr>
          <w:rFonts w:hint="eastAsia"/>
        </w:rPr>
        <w:t>4　电视检测</w:t>
      </w:r>
      <w:bookmarkEnd w:id="476"/>
      <w:bookmarkEnd w:id="477"/>
      <w:bookmarkEnd w:id="478"/>
      <w:bookmarkEnd w:id="479"/>
      <w:bookmarkEnd w:id="480"/>
    </w:p>
    <w:p w14:paraId="7901A3CC">
      <w:pPr>
        <w:pStyle w:val="5"/>
      </w:pPr>
      <w:bookmarkStart w:id="481" w:name="_Toc181825598"/>
      <w:bookmarkStart w:id="482" w:name="_Toc72"/>
      <w:bookmarkStart w:id="483" w:name="_Toc30004"/>
      <w:bookmarkStart w:id="484" w:name="_Toc9567"/>
      <w:bookmarkStart w:id="485" w:name="_Toc13984"/>
      <w:r>
        <w:rPr>
          <w:rFonts w:hint="eastAsia"/>
        </w:rPr>
        <w:t>4.1　一般规定</w:t>
      </w:r>
      <w:bookmarkEnd w:id="481"/>
      <w:bookmarkEnd w:id="482"/>
      <w:bookmarkEnd w:id="483"/>
      <w:bookmarkEnd w:id="484"/>
      <w:bookmarkEnd w:id="485"/>
    </w:p>
    <w:p w14:paraId="12A094D6">
      <w:pPr>
        <w:pStyle w:val="18"/>
        <w:spacing w:after="0" w:line="360" w:lineRule="auto"/>
        <w:ind w:left="0" w:leftChars="0"/>
        <w:rPr>
          <w:rStyle w:val="44"/>
        </w:rPr>
      </w:pPr>
      <w:r>
        <w:rPr>
          <w:rFonts w:ascii="Times New Roman" w:hAnsi="Times New Roman" w:eastAsia="仿宋" w:cs="Times New Roman"/>
          <w:b/>
          <w:bCs/>
        </w:rPr>
        <w:t>4.1.1　</w:t>
      </w:r>
      <w:r>
        <w:rPr>
          <w:rFonts w:hint="eastAsia"/>
        </w:rPr>
        <w:t>电视检测方法适用于目前市面上所有管材给水管道。</w:t>
      </w:r>
      <w:r>
        <w:rPr>
          <w:rStyle w:val="44"/>
          <w:rFonts w:hint="eastAsia"/>
        </w:rPr>
        <w:t>可视缺陷包括破裂、变形、腐蚀、砂浆脱落、异物侵入、气囊、沉积物、胶结物、贻贝、结构附着物等。</w:t>
      </w:r>
    </w:p>
    <w:p w14:paraId="7A3B8DA6">
      <w:pPr>
        <w:pStyle w:val="18"/>
        <w:spacing w:after="0" w:line="360" w:lineRule="auto"/>
        <w:ind w:left="0" w:leftChars="0" w:firstLine="480" w:firstLineChars="200"/>
        <w:rPr>
          <w:rStyle w:val="44"/>
        </w:rPr>
      </w:pPr>
      <w:r>
        <w:rPr>
          <w:rStyle w:val="44"/>
          <w:rFonts w:hint="eastAsia"/>
        </w:rPr>
        <w:t>电视检测不建议带水作业。当现场条件无法满足时，可以采取降低水位措施或采用具有潜水功能的检测设备。</w:t>
      </w:r>
    </w:p>
    <w:p w14:paraId="62AE9F18">
      <w:pPr>
        <w:pStyle w:val="18"/>
        <w:spacing w:after="0" w:line="360" w:lineRule="auto"/>
        <w:ind w:left="0" w:leftChars="0" w:firstLine="480" w:firstLineChars="200"/>
        <w:rPr>
          <w:rStyle w:val="44"/>
        </w:rPr>
      </w:pPr>
      <w:r>
        <w:rPr>
          <w:rStyle w:val="44"/>
          <w:rFonts w:hint="eastAsia"/>
        </w:rPr>
        <w:t>动力伞检测设备：在带压不停水的情况下，借助排气阀下的闸阀，安装投放筒，将探视器放置投放筒内，尾端出线的地方做好密封，从而实现带压投放，设备在管道内利用探视器上的动力伞借助管内水的流速行进，从而实现检测目的。</w:t>
      </w:r>
    </w:p>
    <w:p w14:paraId="144FA30C">
      <w:pPr>
        <w:pStyle w:val="18"/>
        <w:spacing w:after="0" w:line="360" w:lineRule="auto"/>
        <w:ind w:left="0" w:leftChars="0" w:firstLine="480" w:firstLineChars="200"/>
        <w:rPr>
          <w:rStyle w:val="44"/>
        </w:rPr>
      </w:pPr>
      <w:r>
        <w:rPr>
          <w:rStyle w:val="44"/>
          <w:rFonts w:hint="eastAsia"/>
        </w:rPr>
        <w:t>水陆两栖电视检测设备：在被检测管段上下游关闭主管上的阀门，实现被检测管段停水的情况下，开挖工作井，在管道上部切割天窗，抽空被检测管段内积水，再放置水陆两栖电视检测设备进入管道进行视频检测，设备在管道内依靠轮式或双螺旋滚筒驱动行进。</w:t>
      </w:r>
    </w:p>
    <w:p w14:paraId="13F76F1E">
      <w:pPr>
        <w:pStyle w:val="18"/>
        <w:spacing w:after="0" w:line="360" w:lineRule="auto"/>
        <w:ind w:left="0" w:leftChars="0" w:firstLine="480" w:firstLineChars="200"/>
        <w:rPr>
          <w:rStyle w:val="44"/>
        </w:rPr>
      </w:pPr>
      <w:r>
        <w:rPr>
          <w:rStyle w:val="44"/>
          <w:rFonts w:hint="eastAsia"/>
        </w:rPr>
        <w:t>推杆电视检测设备：在被检测管段上下游关闭主管上的阀门，实现被检测管段停水的情况下，开挖工作井，在管道上部切割天窗，抽空被检测管段内积水，再放置推杆电视检测设备进入管道进行视频检测，或者在被检测管段停水的情况下，利用附属设施排空管内积水，然后借助排气阀下的闸阀或者排泥阀等作为投放口，放置推杆电视检测设备进入管道进行视频检测，设备在管道内借助线缆的硬度，利用后端人工推进的方式行进。</w:t>
      </w:r>
    </w:p>
    <w:p w14:paraId="2843AC96">
      <w:pPr>
        <w:pStyle w:val="18"/>
        <w:spacing w:after="0" w:line="360" w:lineRule="auto"/>
        <w:ind w:left="0" w:leftChars="0"/>
        <w:rPr>
          <w:rStyle w:val="44"/>
        </w:rPr>
      </w:pPr>
      <w:r>
        <w:rPr>
          <w:rFonts w:ascii="Times New Roman" w:hAnsi="Times New Roman" w:eastAsia="仿宋" w:cs="Times New Roman"/>
          <w:b/>
          <w:bCs/>
        </w:rPr>
        <w:t>4.1.2　</w:t>
      </w:r>
      <w:r>
        <w:rPr>
          <w:rStyle w:val="44"/>
          <w:rFonts w:hint="eastAsia"/>
        </w:rPr>
        <w:t>停水检测指给水管道停止输水并减低管道水位后的检测。管道内水位小于管道直径的20%时，建议采用载行器或推杆电视检测；管道内水位大于管道直径的20%时，建议采用两栖电视检测。</w:t>
      </w:r>
    </w:p>
    <w:p w14:paraId="120E2870">
      <w:pPr>
        <w:pStyle w:val="18"/>
        <w:spacing w:after="0" w:line="360" w:lineRule="auto"/>
        <w:ind w:left="0" w:leftChars="0"/>
        <w:rPr>
          <w:rStyle w:val="44"/>
        </w:rPr>
      </w:pPr>
      <w:r>
        <w:rPr>
          <w:rStyle w:val="44"/>
          <w:rFonts w:hint="eastAsia"/>
          <w:b/>
          <w:bCs/>
        </w:rPr>
        <w:t>4.1.7　</w:t>
      </w:r>
      <w:r>
        <w:rPr>
          <w:rStyle w:val="44"/>
          <w:rFonts w:hint="eastAsia"/>
        </w:rPr>
        <w:t>当出现特殊情况中止检测后，一般需要改造工况或待工况符合检测条件后再进行检测，或者重新寻找新的设备投放点进行检测。</w:t>
      </w:r>
    </w:p>
    <w:p w14:paraId="78D02B2A">
      <w:pPr>
        <w:pStyle w:val="18"/>
        <w:spacing w:after="0" w:line="360" w:lineRule="auto"/>
        <w:ind w:left="0" w:leftChars="0"/>
        <w:rPr>
          <w:rStyle w:val="44"/>
        </w:rPr>
      </w:pPr>
    </w:p>
    <w:p w14:paraId="6B7375FF">
      <w:pPr>
        <w:pStyle w:val="5"/>
      </w:pPr>
      <w:bookmarkStart w:id="486" w:name="_Toc3766"/>
      <w:bookmarkStart w:id="487" w:name="_Toc181825599"/>
      <w:bookmarkStart w:id="488" w:name="_Toc24891"/>
      <w:r>
        <w:rPr>
          <w:rFonts w:hint="eastAsia"/>
        </w:rPr>
        <w:t>4.2　检测设备</w:t>
      </w:r>
      <w:bookmarkEnd w:id="486"/>
      <w:bookmarkEnd w:id="487"/>
      <w:bookmarkEnd w:id="488"/>
    </w:p>
    <w:p w14:paraId="42452894">
      <w:r>
        <w:rPr>
          <w:rStyle w:val="44"/>
          <w:rFonts w:hint="eastAsia"/>
          <w:b/>
          <w:bCs/>
        </w:rPr>
        <w:t>4</w:t>
      </w:r>
      <w:r>
        <w:rPr>
          <w:rStyle w:val="44"/>
          <w:b/>
          <w:bCs/>
        </w:rPr>
        <w:t>.2.2　</w:t>
      </w:r>
      <w:r>
        <w:t>定位深度指标要求主要针对动力伞检测设备的地面定位装置</w:t>
      </w:r>
      <w:r>
        <w:rPr>
          <w:rFonts w:hint="eastAsia"/>
        </w:rPr>
        <w:t>，要求</w:t>
      </w:r>
      <w:r>
        <w:t>具备定位地下6米深度以上的能力。</w:t>
      </w:r>
    </w:p>
    <w:p w14:paraId="48017DA7">
      <w:pPr>
        <w:pStyle w:val="5"/>
      </w:pPr>
      <w:bookmarkStart w:id="489" w:name="_Toc21885"/>
      <w:bookmarkStart w:id="490" w:name="_Toc181825600"/>
      <w:bookmarkStart w:id="491" w:name="_Toc16975"/>
      <w:bookmarkStart w:id="492" w:name="_Toc26201"/>
      <w:bookmarkStart w:id="493" w:name="_Toc8847"/>
      <w:r>
        <w:rPr>
          <w:rFonts w:hint="eastAsia"/>
        </w:rPr>
        <w:t>4.3　检测方法</w:t>
      </w:r>
      <w:bookmarkEnd w:id="489"/>
      <w:bookmarkEnd w:id="490"/>
      <w:bookmarkEnd w:id="491"/>
      <w:bookmarkEnd w:id="492"/>
      <w:bookmarkEnd w:id="493"/>
    </w:p>
    <w:p w14:paraId="627D182A">
      <w:pPr>
        <w:pStyle w:val="43"/>
        <w:jc w:val="both"/>
      </w:pPr>
      <w:r>
        <w:rPr>
          <w:rFonts w:hint="eastAsia"/>
          <w:b/>
          <w:bCs/>
        </w:rPr>
        <w:t>4.3.1　</w:t>
      </w:r>
      <w:r>
        <w:rPr>
          <w:rFonts w:hint="eastAsia"/>
        </w:rPr>
        <w:t>探视器需要通过插入装置进入管道内部检测（如图</w:t>
      </w:r>
      <w:r>
        <w:rPr>
          <w:rFonts w:hint="eastAsia"/>
          <w:lang w:val="en-US" w:eastAsia="zh-CN"/>
        </w:rPr>
        <w:t>4-1</w:t>
      </w:r>
      <w:r>
        <w:rPr>
          <w:rFonts w:hint="eastAsia"/>
        </w:rPr>
        <w:t>所示）。作业前确保闸阀属于关闭状态，在闸阀上方安装插入装置。把探视器放入插入装置内部锁紧端盖，此时的插入装置形成密闭的腔体。打开闸阀检测管道与插入装置连通，探视器可以进入管道内部。通过控制尾部线缆操作探视器进行检测，操作人员戴上耳机和观察操作台视频屏幕，实时记录和分析音频、视频数据</w:t>
      </w:r>
      <w:r>
        <w:rPr>
          <w:rFonts w:hint="eastAsia"/>
          <w:lang w:eastAsia="zh-CN"/>
        </w:rPr>
        <w:t>并</w:t>
      </w:r>
      <w:r>
        <w:rPr>
          <w:rFonts w:hint="eastAsia"/>
        </w:rPr>
        <w:t>同步分析。探视器连续发出定位信号，定位人员可以在地面实时跟踪标记探视器位置。检测完毕后可以通过线缆把探视器回收至插入装置内部，关闭闸阀后恢复检测现场。</w:t>
      </w:r>
    </w:p>
    <w:p w14:paraId="5276E3FC">
      <w:pPr>
        <w:pStyle w:val="18"/>
        <w:spacing w:after="0" w:line="360" w:lineRule="auto"/>
        <w:ind w:left="0" w:leftChars="0"/>
        <w:jc w:val="center"/>
        <w:rPr>
          <w:rFonts w:ascii="仿宋" w:hAnsi="仿宋" w:eastAsia="仿宋"/>
          <w:iCs/>
          <w:szCs w:val="24"/>
        </w:rPr>
      </w:pPr>
      <w:r>
        <w:rPr>
          <w:rFonts w:ascii="仿宋" w:hAnsi="仿宋" w:eastAsia="仿宋"/>
          <w:iCs/>
          <w:szCs w:val="24"/>
        </w:rPr>
        <w:drawing>
          <wp:inline distT="0" distB="0" distL="0" distR="0">
            <wp:extent cx="4108450" cy="2193290"/>
            <wp:effectExtent l="0" t="0" r="6350" b="16510"/>
            <wp:docPr id="5426751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75181"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08450" cy="2193290"/>
                    </a:xfrm>
                    <a:prstGeom prst="rect">
                      <a:avLst/>
                    </a:prstGeom>
                    <a:noFill/>
                    <a:ln>
                      <a:noFill/>
                    </a:ln>
                  </pic:spPr>
                </pic:pic>
              </a:graphicData>
            </a:graphic>
          </wp:inline>
        </w:drawing>
      </w:r>
    </w:p>
    <w:p w14:paraId="70F9E923">
      <w:pPr>
        <w:pStyle w:val="105"/>
        <w:rPr>
          <w:rFonts w:hint="eastAsia"/>
        </w:rPr>
      </w:pPr>
      <w:r>
        <w:rPr>
          <w:rFonts w:hint="eastAsia"/>
        </w:rPr>
        <w:t>图</w:t>
      </w:r>
      <w:r>
        <w:rPr>
          <w:rFonts w:hint="eastAsia"/>
          <w:lang w:val="en-US" w:eastAsia="zh-CN"/>
        </w:rPr>
        <w:t>4-</w:t>
      </w:r>
      <w:r>
        <w:rPr>
          <w:rFonts w:hint="eastAsia"/>
        </w:rPr>
        <w:t>1　探视器示意图</w:t>
      </w:r>
    </w:p>
    <w:p w14:paraId="7CC2019C">
      <w:pPr>
        <w:pStyle w:val="105"/>
      </w:pPr>
      <w:r>
        <w:rPr>
          <w:rFonts w:hint="eastAsia" w:cs="Times New Roman"/>
          <w:b w:val="0"/>
        </w:rPr>
        <w:t>1—端盖；2—插入装置；3—闸阀；4—探视器</w:t>
      </w:r>
    </w:p>
    <w:p w14:paraId="23CFAB59">
      <w:pPr>
        <w:ind w:firstLine="480" w:firstLineChars="200"/>
        <w:rPr>
          <w:b/>
          <w:bCs/>
        </w:rPr>
      </w:pPr>
      <w:r>
        <w:t>通过定位仪跟随传感器前进，每隔一段距离进行一次定位</w:t>
      </w:r>
      <w:r>
        <w:rPr>
          <w:rFonts w:hint="eastAsia"/>
        </w:rPr>
        <w:t>，主要是为了</w:t>
      </w:r>
      <w:r>
        <w:t>保证其行进方向与管线方向一致</w:t>
      </w:r>
      <w:r>
        <w:rPr>
          <w:rFonts w:hint="eastAsia"/>
        </w:rPr>
        <w:t>，同时也确认传感器正常行进。</w:t>
      </w:r>
    </w:p>
    <w:p w14:paraId="01FF01F3">
      <w:pPr>
        <w:rPr>
          <w:rFonts w:cs="Times New Roman"/>
        </w:rPr>
      </w:pPr>
      <w:r>
        <w:rPr>
          <w:rFonts w:hint="eastAsia"/>
          <w:b/>
          <w:bCs/>
        </w:rPr>
        <w:t>4.3.2　</w:t>
      </w:r>
      <w:r>
        <w:rPr>
          <w:rFonts w:cs="Times New Roman"/>
        </w:rPr>
        <w:t>经过</w:t>
      </w:r>
      <w:r>
        <w:rPr>
          <w:rFonts w:hint="eastAsia" w:cs="Times New Roman"/>
          <w:lang w:eastAsia="zh-CN"/>
        </w:rPr>
        <w:t>管垢</w:t>
      </w:r>
      <w:r>
        <w:rPr>
          <w:rFonts w:cs="Times New Roman"/>
        </w:rPr>
        <w:t>严重的位置降低行进速度</w:t>
      </w:r>
      <w:r>
        <w:rPr>
          <w:rFonts w:hint="eastAsia" w:cs="Times New Roman"/>
        </w:rPr>
        <w:t>，是为了</w:t>
      </w:r>
      <w:r>
        <w:rPr>
          <w:rFonts w:cs="Times New Roman"/>
        </w:rPr>
        <w:t>避免设备倾覆</w:t>
      </w:r>
      <w:r>
        <w:rPr>
          <w:rFonts w:hint="eastAsia" w:cs="Times New Roman"/>
        </w:rPr>
        <w:t>。</w:t>
      </w:r>
    </w:p>
    <w:p w14:paraId="235499A7">
      <w:pPr>
        <w:pStyle w:val="5"/>
      </w:pPr>
      <w:bookmarkStart w:id="494" w:name="_Toc15154"/>
      <w:bookmarkStart w:id="495" w:name="_Toc24390"/>
      <w:bookmarkStart w:id="496" w:name="_Toc181825601"/>
      <w:r>
        <w:rPr>
          <w:rFonts w:hint="eastAsia"/>
        </w:rPr>
        <w:t>4.4　结果判读</w:t>
      </w:r>
      <w:bookmarkEnd w:id="494"/>
      <w:bookmarkEnd w:id="495"/>
      <w:bookmarkEnd w:id="496"/>
    </w:p>
    <w:p w14:paraId="37CADE5B">
      <w:r>
        <w:rPr>
          <w:rFonts w:hint="eastAsia"/>
          <w:b/>
          <w:bCs/>
        </w:rPr>
        <w:t>4.4.2　</w:t>
      </w:r>
      <w:r>
        <w:rPr>
          <w:rFonts w:hint="eastAsia"/>
        </w:rPr>
        <w:t>目前在检测过程中，缺陷尺寸主要根据已知的被检测管道的内径尺寸，目测与缺陷之间的比例来进行估算。或者根据附加在检测视频上的时钟图，结合已知的被检测管道内径来进行估算。</w:t>
      </w:r>
    </w:p>
    <w:p w14:paraId="43A7CDCA">
      <w:pPr>
        <w:pStyle w:val="2"/>
        <w:ind w:firstLine="240"/>
        <w:rPr>
          <w:rFonts w:cs="Times New Roman"/>
        </w:rPr>
      </w:pPr>
    </w:p>
    <w:p w14:paraId="4246B134">
      <w:pPr>
        <w:rPr>
          <w:b/>
          <w:bCs/>
        </w:rPr>
      </w:pPr>
      <w:r>
        <w:rPr>
          <w:rFonts w:hint="eastAsia"/>
          <w:b/>
          <w:bCs/>
        </w:rPr>
        <w:br w:type="page"/>
      </w:r>
    </w:p>
    <w:p w14:paraId="48D534D9">
      <w:pPr>
        <w:pStyle w:val="4"/>
      </w:pPr>
      <w:bookmarkStart w:id="497" w:name="_Toc14446"/>
      <w:bookmarkStart w:id="498" w:name="_Toc3385"/>
      <w:bookmarkStart w:id="499" w:name="_Toc181825602"/>
      <w:bookmarkStart w:id="500" w:name="_Toc21559"/>
      <w:bookmarkStart w:id="501" w:name="_Toc16418"/>
      <w:r>
        <w:rPr>
          <w:rFonts w:hint="eastAsia"/>
        </w:rPr>
        <w:t>5　声呐检测</w:t>
      </w:r>
      <w:bookmarkEnd w:id="497"/>
      <w:bookmarkEnd w:id="498"/>
      <w:bookmarkEnd w:id="499"/>
      <w:bookmarkEnd w:id="500"/>
      <w:bookmarkEnd w:id="501"/>
    </w:p>
    <w:p w14:paraId="787FE35A">
      <w:pPr>
        <w:pStyle w:val="5"/>
      </w:pPr>
      <w:bookmarkStart w:id="502" w:name="_Toc11284"/>
      <w:bookmarkStart w:id="503" w:name="_Toc181825603"/>
      <w:bookmarkStart w:id="504" w:name="_Toc8855"/>
      <w:bookmarkStart w:id="505" w:name="_Toc631"/>
      <w:bookmarkStart w:id="506" w:name="_Toc23899"/>
      <w:r>
        <w:rPr>
          <w:rFonts w:hint="eastAsia"/>
        </w:rPr>
        <w:t>5.1　一般规定</w:t>
      </w:r>
      <w:bookmarkEnd w:id="502"/>
      <w:bookmarkEnd w:id="503"/>
      <w:bookmarkEnd w:id="504"/>
      <w:bookmarkEnd w:id="505"/>
      <w:bookmarkEnd w:id="506"/>
    </w:p>
    <w:p w14:paraId="48DF39A2">
      <w:pPr>
        <w:pStyle w:val="43"/>
        <w:rPr>
          <w:b/>
          <w:bCs/>
        </w:rPr>
      </w:pPr>
      <w:r>
        <w:rPr>
          <w:rFonts w:hint="eastAsia"/>
          <w:b/>
          <w:bCs/>
        </w:rPr>
        <w:t>5.1.1　</w:t>
      </w:r>
      <w:r>
        <w:rPr>
          <w:rFonts w:hint="eastAsia"/>
        </w:rPr>
        <w:t>声呐检测是通过声呐设备以水为介质对管道内壁进行扫描，扫描结果以计算机进行处理得出管道内部的过水断面状况。声呐检测系统包括水下扫描单元（安装在载行器上）、声学处理单元、高分辨率彩色监视器和计算机。</w:t>
      </w:r>
    </w:p>
    <w:p w14:paraId="51BAF070">
      <w:pPr>
        <w:pStyle w:val="43"/>
        <w:ind w:firstLine="480" w:firstLineChars="200"/>
      </w:pPr>
      <w:r>
        <w:rPr>
          <w:rFonts w:hint="eastAsia"/>
        </w:rPr>
        <w:t>声呐检测方法适用于目前市面上所有管材给水管道。变形缺陷可通过声呐检测判定，破裂、砂浆脱落、异物侵入、气囊、沉积物、胶结物、贻贝、结垢附着物（厚度3cm以上的）等缺陷需增加C</w:t>
      </w:r>
      <w:r>
        <w:t>CTV</w:t>
      </w:r>
      <w:r>
        <w:rPr>
          <w:rFonts w:hint="eastAsia"/>
        </w:rPr>
        <w:t>等检测方法最终判定。</w:t>
      </w:r>
    </w:p>
    <w:p w14:paraId="2ED77348">
      <w:pPr>
        <w:pStyle w:val="43"/>
      </w:pPr>
      <w:r>
        <w:rPr>
          <w:b/>
          <w:bCs/>
        </w:rPr>
        <w:t>5</w:t>
      </w:r>
      <w:r>
        <w:rPr>
          <w:rFonts w:hint="eastAsia"/>
          <w:b/>
          <w:bCs/>
        </w:rPr>
        <w:t>.1.</w:t>
      </w:r>
      <w:r>
        <w:rPr>
          <w:b/>
          <w:bCs/>
        </w:rPr>
        <w:t>3　</w:t>
      </w:r>
      <w:r>
        <w:rPr>
          <w:rFonts w:hint="eastAsia"/>
        </w:rPr>
        <w:t>水吸收声呐波的能力很差，利用水和其它物质对声波的吸收能力不同，主动声呐装置向水中发射声波，通过接收水下物体的反射回波发现目标，目标距离可通过发射脉冲和回波到达的时间差进行测算，经计算机处理后，形成管道的横断面图，可直观了解管道内壁及沉积的概况。</w:t>
      </w:r>
    </w:p>
    <w:p w14:paraId="3540781E">
      <w:pPr>
        <w:pStyle w:val="43"/>
      </w:pPr>
      <w:r>
        <w:rPr>
          <w:b/>
          <w:bCs/>
        </w:rPr>
        <w:t>5</w:t>
      </w:r>
      <w:r>
        <w:rPr>
          <w:rFonts w:hint="eastAsia"/>
          <w:b/>
          <w:bCs/>
        </w:rPr>
        <w:t>.1.</w:t>
      </w:r>
      <w:r>
        <w:rPr>
          <w:b/>
          <w:bCs/>
        </w:rPr>
        <w:t>4　</w:t>
      </w:r>
      <w:r>
        <w:rPr>
          <w:rFonts w:hint="eastAsia"/>
        </w:rPr>
        <w:t>声呐检测的必要条件是管道内要有足够的水深，300mm的水深是设备淹没在水下的最低要求。管道声呐检测包括单波束360°扫描声呐、多波束图像声呐、侧扫型声呐、三维声呐等。</w:t>
      </w:r>
    </w:p>
    <w:p w14:paraId="6A89CBA2">
      <w:pPr>
        <w:pStyle w:val="5"/>
      </w:pPr>
      <w:bookmarkStart w:id="507" w:name="_Toc11544"/>
      <w:bookmarkStart w:id="508" w:name="_Toc28896"/>
      <w:bookmarkStart w:id="509" w:name="_Toc23091"/>
      <w:bookmarkStart w:id="510" w:name="_Toc181825604"/>
      <w:bookmarkStart w:id="511" w:name="_Toc30559"/>
      <w:r>
        <w:rPr>
          <w:rFonts w:hint="eastAsia"/>
        </w:rPr>
        <w:t>5.2　检测设备</w:t>
      </w:r>
      <w:bookmarkEnd w:id="507"/>
      <w:bookmarkEnd w:id="508"/>
      <w:bookmarkEnd w:id="509"/>
      <w:bookmarkEnd w:id="510"/>
      <w:bookmarkEnd w:id="511"/>
    </w:p>
    <w:p w14:paraId="6E4DF5D6">
      <w:pPr>
        <w:rPr>
          <w:rFonts w:eastAsia="仿宋" w:cs="Times New Roman"/>
          <w:bCs/>
          <w:iCs/>
          <w:szCs w:val="24"/>
        </w:rPr>
      </w:pPr>
      <w:r>
        <w:rPr>
          <w:rFonts w:eastAsia="仿宋" w:cs="Times New Roman"/>
          <w:b/>
          <w:iCs/>
          <w:szCs w:val="24"/>
        </w:rPr>
        <w:t>5.2.1　</w:t>
      </w:r>
      <w:r>
        <w:rPr>
          <w:rFonts w:hint="eastAsia" w:ascii="宋体" w:hAnsi="宋体" w:eastAsia="宋体" w:cs="宋体"/>
          <w:bCs/>
          <w:iCs/>
          <w:szCs w:val="24"/>
        </w:rPr>
        <w:t>为了保证声呐设备的检测效果，检测时设备应保持正确的方位。“不易滚动或倾斜”是指探头的承载设备要具有足够的稳定性。</w:t>
      </w:r>
    </w:p>
    <w:p w14:paraId="04C28DEB">
      <w:pPr>
        <w:pStyle w:val="43"/>
      </w:pPr>
      <w:r>
        <w:rPr>
          <w:rFonts w:eastAsia="仿宋"/>
          <w:b/>
          <w:bCs/>
          <w:iCs/>
          <w:szCs w:val="24"/>
        </w:rPr>
        <w:t>5.2.2　</w:t>
      </w:r>
      <w:r>
        <w:t>声呐系统包括水下探头、连接电缆和带显示器声呐处理器。探头可安装在载行器、牵引车或漂浮筏上，使其在管道内移动，连续采集信号。每一个发射/接收周期采样250点，每一个360度旋转执行400个周期。探头的行进速度不宜超过0.1m/s。</w:t>
      </w:r>
    </w:p>
    <w:p w14:paraId="4ECFA562">
      <w:pPr>
        <w:pStyle w:val="43"/>
        <w:ind w:firstLine="480" w:firstLineChars="200"/>
      </w:pPr>
      <w:r>
        <w:t>用于管道检测的声呐解析能力强，检测系统的角解析度为0.9度(1密位)，即该系统将一次检测的一个循环（圆周）分为400密位；而每密位又可分解成250个单位；因此，在125mm的管径上，解析度为0.5mm，而在直径达3m的上限也可测得12mm的解析度。</w:t>
      </w:r>
    </w:p>
    <w:p w14:paraId="23112328">
      <w:pPr>
        <w:rPr>
          <w:rStyle w:val="44"/>
        </w:rPr>
      </w:pPr>
      <w:r>
        <w:rPr>
          <w:rFonts w:eastAsia="仿宋" w:cs="Times New Roman"/>
          <w:b/>
          <w:iCs/>
          <w:szCs w:val="24"/>
        </w:rPr>
        <w:t>5.2.</w:t>
      </w:r>
      <w:r>
        <w:rPr>
          <w:rFonts w:hint="eastAsia" w:eastAsia="仿宋" w:cs="Times New Roman"/>
          <w:b/>
          <w:iCs/>
          <w:szCs w:val="24"/>
        </w:rPr>
        <w:t>4　</w:t>
      </w:r>
      <w:r>
        <w:rPr>
          <w:rStyle w:val="44"/>
        </w:rPr>
        <w:t>倾斜和滚动传感器校准在±45°范围内，如果超过这个范围所得读数将不可靠。在安装声呐设备时应严格按照要求，否则会造成被检测的管道图像颠倒。</w:t>
      </w:r>
    </w:p>
    <w:p w14:paraId="26AB7791">
      <w:pPr>
        <w:rPr>
          <w:rStyle w:val="44"/>
        </w:rPr>
      </w:pPr>
      <w:r>
        <w:rPr>
          <w:rFonts w:eastAsia="仿宋" w:cs="Times New Roman"/>
          <w:b/>
          <w:iCs/>
          <w:szCs w:val="24"/>
        </w:rPr>
        <w:t>5.</w:t>
      </w:r>
      <w:r>
        <w:rPr>
          <w:rFonts w:hint="eastAsia" w:eastAsia="仿宋" w:cs="Times New Roman"/>
          <w:b/>
          <w:iCs/>
          <w:szCs w:val="24"/>
        </w:rPr>
        <w:t>2</w:t>
      </w:r>
      <w:r>
        <w:rPr>
          <w:rFonts w:eastAsia="仿宋" w:cs="Times New Roman"/>
          <w:b/>
          <w:iCs/>
          <w:szCs w:val="24"/>
        </w:rPr>
        <w:t>.</w:t>
      </w:r>
      <w:r>
        <w:rPr>
          <w:rFonts w:hint="eastAsia" w:eastAsia="仿宋" w:cs="Times New Roman"/>
          <w:b/>
          <w:iCs/>
          <w:szCs w:val="24"/>
        </w:rPr>
        <w:t>5　</w:t>
      </w:r>
      <w:r>
        <w:rPr>
          <w:rStyle w:val="44"/>
        </w:rPr>
        <w:t>声呐探头的位置处采用镂空的漂浮</w:t>
      </w:r>
      <w:r>
        <w:rPr>
          <w:rStyle w:val="44"/>
          <w:rFonts w:hint="eastAsia"/>
        </w:rPr>
        <w:t>筏</w:t>
      </w:r>
      <w:r>
        <w:rPr>
          <w:rStyle w:val="44"/>
        </w:rPr>
        <w:t>避免声波受阻的做法目前在国内外被普遍采用并取得良好效果。应对给水管高水位和全满水管道的声呐检测需要增加设备种类。</w:t>
      </w:r>
    </w:p>
    <w:p w14:paraId="7EA97108">
      <w:pPr>
        <w:pStyle w:val="5"/>
        <w:rPr>
          <w:rFonts w:eastAsia="仿宋" w:cs="Times New Roman"/>
          <w:iCs/>
          <w:szCs w:val="24"/>
        </w:rPr>
      </w:pPr>
      <w:bookmarkStart w:id="512" w:name="_Toc9959"/>
      <w:bookmarkStart w:id="513" w:name="_Toc181825605"/>
      <w:bookmarkStart w:id="514" w:name="_Toc14845"/>
      <w:bookmarkStart w:id="515" w:name="_Toc32208"/>
      <w:bookmarkStart w:id="516" w:name="_Toc29683"/>
      <w:r>
        <w:rPr>
          <w:rFonts w:hint="eastAsia"/>
        </w:rPr>
        <w:t>5.3　检测方法</w:t>
      </w:r>
      <w:bookmarkEnd w:id="512"/>
      <w:bookmarkEnd w:id="513"/>
      <w:bookmarkEnd w:id="514"/>
      <w:bookmarkEnd w:id="515"/>
      <w:bookmarkEnd w:id="516"/>
    </w:p>
    <w:p w14:paraId="4B82D52A">
      <w:pPr>
        <w:rPr>
          <w:rStyle w:val="44"/>
        </w:rPr>
      </w:pPr>
      <w:r>
        <w:rPr>
          <w:rFonts w:eastAsia="仿宋" w:cs="Times New Roman"/>
          <w:b/>
          <w:iCs/>
          <w:szCs w:val="24"/>
        </w:rPr>
        <w:t>5.3.</w:t>
      </w:r>
      <w:r>
        <w:rPr>
          <w:rFonts w:hint="eastAsia" w:eastAsia="仿宋" w:cs="Times New Roman"/>
          <w:b/>
          <w:iCs/>
          <w:szCs w:val="24"/>
        </w:rPr>
        <w:t>1　</w:t>
      </w:r>
      <w:r>
        <w:rPr>
          <w:rStyle w:val="44"/>
        </w:rPr>
        <w:t>声呐检测是以水为介质，声波在不同的水质中传播速度不同，反射回来所显示的距离也不同。故在检测前，应从被检管道中取水样，根据测得的实际声波速度对系统进行校准。</w:t>
      </w:r>
    </w:p>
    <w:p w14:paraId="1CACADD8">
      <w:pPr>
        <w:rPr>
          <w:rStyle w:val="44"/>
        </w:rPr>
      </w:pPr>
      <w:r>
        <w:rPr>
          <w:rFonts w:eastAsia="仿宋" w:cs="Times New Roman"/>
          <w:b/>
          <w:iCs/>
          <w:szCs w:val="24"/>
        </w:rPr>
        <w:t>5.3.</w:t>
      </w:r>
      <w:r>
        <w:rPr>
          <w:rFonts w:hint="eastAsia" w:eastAsia="仿宋" w:cs="Times New Roman"/>
          <w:b/>
          <w:iCs/>
          <w:szCs w:val="24"/>
        </w:rPr>
        <w:t>2　</w:t>
      </w:r>
      <w:r>
        <w:rPr>
          <w:rStyle w:val="44"/>
        </w:rPr>
        <w:t>探头的推进方向除了行进阻力有差别外，顺流行进与逆流行进相比，更易于使探头处于中间位置，故规定“宜与水流方向一致”。如果水流速度较快或者设备为自带动力推进时，会与管壁频繁碰撞，导致声呐截面数据晃动严重，这种情况下采用逆流回收设备的检测方法，则可以获取效果极好的稳定的声呐数据。</w:t>
      </w:r>
    </w:p>
    <w:p w14:paraId="1704102D">
      <w:pPr>
        <w:pStyle w:val="43"/>
      </w:pPr>
      <w:r>
        <w:rPr>
          <w:rFonts w:eastAsia="仿宋"/>
          <w:b/>
          <w:bCs/>
          <w:iCs/>
          <w:szCs w:val="24"/>
        </w:rPr>
        <w:t>5.3.</w:t>
      </w:r>
      <w:r>
        <w:rPr>
          <w:rFonts w:hint="eastAsia" w:eastAsia="仿宋"/>
          <w:b/>
          <w:bCs/>
          <w:iCs/>
          <w:szCs w:val="24"/>
        </w:rPr>
        <w:t>3　</w:t>
      </w:r>
      <w:r>
        <w:t>探头扫描的起始位置应设置在管口，将计数器归零。如果管道检测中途停止后需继续检测，则距离应该与中止前检测距离一致，不应重新将计数器归零。</w:t>
      </w:r>
    </w:p>
    <w:p w14:paraId="55627AD8">
      <w:pPr>
        <w:pStyle w:val="43"/>
      </w:pPr>
      <w:r>
        <w:rPr>
          <w:rFonts w:hint="eastAsia"/>
        </w:rPr>
        <w:t xml:space="preserve">  </w:t>
      </w:r>
      <w:r>
        <w:t xml:space="preserve">  声呐探头在管道截面的位置，应尽量处于管道中间位置或管道中间偏上方作业。</w:t>
      </w:r>
    </w:p>
    <w:p w14:paraId="204218A7">
      <w:pPr>
        <w:pStyle w:val="43"/>
      </w:pPr>
      <w:r>
        <w:rPr>
          <w:rFonts w:hint="eastAsia"/>
        </w:rPr>
        <w:t xml:space="preserve">  </w:t>
      </w:r>
      <w:r>
        <w:t xml:space="preserve">  根据声呐扫描原理，声呐在不同位置发射出去声呐的反射角是不一样的，如果反射角过大有可能会造成声呐接收不到声呐的回波，导致声呐扫描到的管壁有所缺失，所以建议声呐探头位置在管道中间或中间偏上位置。</w:t>
      </w:r>
    </w:p>
    <w:p w14:paraId="3B15DB26">
      <w:pPr>
        <w:rPr>
          <w:rStyle w:val="44"/>
        </w:rPr>
      </w:pPr>
      <w:r>
        <w:rPr>
          <w:rFonts w:eastAsia="仿宋" w:cs="Times New Roman"/>
          <w:b/>
          <w:iCs/>
          <w:szCs w:val="24"/>
        </w:rPr>
        <w:t>5.3.</w:t>
      </w:r>
      <w:r>
        <w:rPr>
          <w:rFonts w:hint="eastAsia" w:eastAsia="仿宋" w:cs="Times New Roman"/>
          <w:b/>
          <w:iCs/>
          <w:szCs w:val="24"/>
        </w:rPr>
        <w:t>4　</w:t>
      </w:r>
      <w:r>
        <w:rPr>
          <w:rStyle w:val="44"/>
        </w:rPr>
        <w:t>在距管段起始、终止检查井处应进行2m～3m长度的重复检测，其目的是消除扫描盲区。</w:t>
      </w:r>
    </w:p>
    <w:p w14:paraId="67651791">
      <w:pPr>
        <w:pStyle w:val="43"/>
      </w:pPr>
      <w:r>
        <w:rPr>
          <w:b/>
          <w:bCs/>
        </w:rPr>
        <w:t>5.3.</w:t>
      </w:r>
      <w:r>
        <w:rPr>
          <w:rFonts w:hint="eastAsia"/>
          <w:b/>
          <w:bCs/>
        </w:rPr>
        <w:t>6　</w:t>
      </w:r>
      <w:r>
        <w:rPr>
          <w:rFonts w:hint="eastAsia"/>
        </w:rPr>
        <w:t>脉冲宽度是扫描感应头发射的信号宽度，可在百万分之一秒内完成测量，它从</w:t>
      </w:r>
      <w:r>
        <w:t>4</w:t>
      </w:r>
      <w:r>
        <w:rPr>
          <w:rFonts w:hint="eastAsia"/>
          <w:sz w:val="21"/>
          <w:szCs w:val="21"/>
        </w:rPr>
        <w:t>µs</w:t>
      </w:r>
      <w:r>
        <w:rPr>
          <w:rFonts w:hint="eastAsia"/>
        </w:rPr>
        <w:t>到</w:t>
      </w:r>
      <w:r>
        <w:t>20</w:t>
      </w:r>
      <w:r>
        <w:rPr>
          <w:rFonts w:hint="eastAsia"/>
          <w:sz w:val="21"/>
          <w:szCs w:val="21"/>
        </w:rPr>
        <w:t>µs</w:t>
      </w:r>
      <w:r>
        <w:rPr>
          <w:rFonts w:hint="eastAsia"/>
        </w:rPr>
        <w:t>范围内被分为五个等级。本条列出的是典型的脉冲宽度和测量范围。</w:t>
      </w:r>
    </w:p>
    <w:p w14:paraId="1804A8AF">
      <w:pPr>
        <w:pStyle w:val="43"/>
        <w:rPr>
          <w:rFonts w:ascii="仿宋" w:hAnsi="仿宋"/>
          <w:bCs/>
          <w:iCs/>
          <w:sz w:val="28"/>
          <w:szCs w:val="28"/>
        </w:rPr>
      </w:pPr>
      <w:r>
        <w:rPr>
          <w:b/>
          <w:bCs/>
        </w:rPr>
        <w:t>5.3.</w:t>
      </w:r>
      <w:r>
        <w:rPr>
          <w:rFonts w:hint="eastAsia"/>
          <w:b/>
          <w:bCs/>
        </w:rPr>
        <w:t>8　</w:t>
      </w:r>
      <w:r>
        <w:t>根据实践，</w:t>
      </w:r>
      <w:r>
        <w:rPr>
          <w:rFonts w:hint="eastAsia"/>
        </w:rPr>
        <w:t>声呐</w:t>
      </w:r>
      <w:r>
        <w:t>用于管道沉积状况的检查时，采样点间隔距离定为</w:t>
      </w:r>
      <w:r>
        <w:rPr>
          <w:rFonts w:hint="eastAsia"/>
        </w:rPr>
        <w:t>2</w:t>
      </w:r>
      <w:r>
        <w:t>m</w:t>
      </w:r>
      <w:r>
        <w:rPr>
          <w:rFonts w:hint="eastAsia"/>
        </w:rPr>
        <w:t>以内时，一般情况下可以完整地反映管段的缺陷状况。</w:t>
      </w:r>
    </w:p>
    <w:p w14:paraId="04839AC4">
      <w:pPr>
        <w:pStyle w:val="5"/>
      </w:pPr>
      <w:bookmarkStart w:id="517" w:name="_Toc24686"/>
      <w:bookmarkStart w:id="518" w:name="_Toc8369"/>
      <w:bookmarkStart w:id="519" w:name="_Toc13021"/>
      <w:bookmarkStart w:id="520" w:name="_Toc4743"/>
      <w:bookmarkStart w:id="521" w:name="_Toc181825606"/>
      <w:r>
        <w:rPr>
          <w:rFonts w:hint="eastAsia"/>
        </w:rPr>
        <w:t>5.4　结果判读</w:t>
      </w:r>
      <w:bookmarkEnd w:id="517"/>
      <w:bookmarkEnd w:id="518"/>
      <w:bookmarkEnd w:id="519"/>
      <w:bookmarkEnd w:id="520"/>
      <w:bookmarkEnd w:id="521"/>
    </w:p>
    <w:p w14:paraId="5B35F7C0">
      <w:pPr>
        <w:pStyle w:val="43"/>
      </w:pPr>
      <w:r>
        <w:rPr>
          <w:b/>
          <w:bCs/>
        </w:rPr>
        <w:t>5.4.1　</w:t>
      </w:r>
      <w:r>
        <w:t>声呐检测图形</w:t>
      </w:r>
      <w:r>
        <w:rPr>
          <w:rFonts w:hint="eastAsia"/>
          <w:lang w:eastAsia="zh-CN"/>
        </w:rPr>
        <w:t>需要</w:t>
      </w:r>
      <w:r>
        <w:t>现场捕捉</w:t>
      </w:r>
      <w:r>
        <w:rPr>
          <w:rFonts w:hint="eastAsia"/>
          <w:lang w:eastAsia="zh-CN"/>
        </w:rPr>
        <w:t>并</w:t>
      </w:r>
      <w:r>
        <w:t>进行数据保存，其目的是为了后续的内业进一步解读。规定的采样间隔</w:t>
      </w:r>
      <w:r>
        <w:rPr>
          <w:rFonts w:hint="eastAsia"/>
        </w:rPr>
        <w:t>参照</w:t>
      </w:r>
      <w:r>
        <w:rPr>
          <w:rFonts w:hint="eastAsia"/>
          <w:lang w:eastAsia="zh-CN"/>
        </w:rPr>
        <w:t>本标准</w:t>
      </w:r>
      <w:r>
        <w:t>第5.3.</w:t>
      </w:r>
      <w:r>
        <w:rPr>
          <w:rFonts w:hint="eastAsia"/>
        </w:rPr>
        <w:t>8</w:t>
      </w:r>
      <w:r>
        <w:t>条设置。</w:t>
      </w:r>
    </w:p>
    <w:p w14:paraId="559831D4">
      <w:pPr>
        <w:rPr>
          <w:rStyle w:val="44"/>
        </w:rPr>
      </w:pPr>
      <w:r>
        <w:rPr>
          <w:rFonts w:eastAsia="仿宋" w:cs="Times New Roman"/>
          <w:b/>
          <w:iCs/>
          <w:szCs w:val="24"/>
        </w:rPr>
        <w:t>5.4.2　</w:t>
      </w:r>
      <w:r>
        <w:rPr>
          <w:rStyle w:val="44"/>
        </w:rPr>
        <w:t>本条规定当绘制检测成果图时，图形表示的线性长度与实际物体线性长度的误差不应超过3%。</w:t>
      </w:r>
    </w:p>
    <w:p w14:paraId="5BBFE8BD">
      <w:pPr>
        <w:rPr>
          <w:rStyle w:val="44"/>
        </w:rPr>
      </w:pPr>
      <w:r>
        <w:rPr>
          <w:rFonts w:eastAsia="仿宋" w:cs="Times New Roman"/>
          <w:b/>
          <w:iCs/>
          <w:szCs w:val="24"/>
        </w:rPr>
        <w:t>5.4.</w:t>
      </w:r>
      <w:r>
        <w:rPr>
          <w:rFonts w:hint="eastAsia" w:eastAsia="仿宋" w:cs="Times New Roman"/>
          <w:b/>
          <w:iCs/>
          <w:szCs w:val="24"/>
        </w:rPr>
        <w:t>4　</w:t>
      </w:r>
      <w:r>
        <w:rPr>
          <w:rStyle w:val="44"/>
        </w:rPr>
        <w:t>声呐检测除了能够提供专业的扫描图像对管道断面进行量化外，还能结合计算确定管道</w:t>
      </w:r>
      <w:r>
        <w:rPr>
          <w:rStyle w:val="44"/>
          <w:rFonts w:hint="eastAsia"/>
        </w:rPr>
        <w:t>沉积</w:t>
      </w:r>
      <w:r>
        <w:rPr>
          <w:rStyle w:val="44"/>
        </w:rPr>
        <w:t>程度。这种方法用于检测管道内部过水断面，从而了解管道功能性缺陷。声呐检测的优势在于可不降水进行检测，不足之处在于其仅能检测水面以下的管道状况，不能检测管道的裂缝等细节的结构性问题，故声呐轮廓图不应作为结构性缺陷的最终评判依据。</w:t>
      </w:r>
    </w:p>
    <w:p w14:paraId="1EE1840E">
      <w:pPr>
        <w:pStyle w:val="43"/>
        <w:rPr>
          <w:b/>
          <w:bCs/>
        </w:rPr>
        <w:sectPr>
          <w:pgSz w:w="11906" w:h="16838"/>
          <w:pgMar w:top="1440" w:right="1800" w:bottom="1440" w:left="1800" w:header="851" w:footer="992" w:gutter="0"/>
          <w:cols w:space="425" w:num="1"/>
          <w:docGrid w:type="lines" w:linePitch="312" w:charSpace="0"/>
        </w:sectPr>
      </w:pPr>
    </w:p>
    <w:p w14:paraId="69DE2869">
      <w:pPr>
        <w:pStyle w:val="4"/>
      </w:pPr>
      <w:bookmarkStart w:id="522" w:name="_Toc15219"/>
      <w:bookmarkStart w:id="523" w:name="_Toc9249"/>
      <w:bookmarkStart w:id="524" w:name="_Toc9842"/>
      <w:bookmarkStart w:id="525" w:name="_Toc23889"/>
      <w:bookmarkStart w:id="526" w:name="_Toc181825607"/>
      <w:r>
        <w:rPr>
          <w:rFonts w:hint="eastAsia"/>
        </w:rPr>
        <w:t>6　超声波检测</w:t>
      </w:r>
      <w:bookmarkEnd w:id="522"/>
      <w:bookmarkEnd w:id="523"/>
      <w:bookmarkEnd w:id="524"/>
      <w:bookmarkEnd w:id="525"/>
      <w:bookmarkEnd w:id="526"/>
    </w:p>
    <w:p w14:paraId="3E9710F7">
      <w:pPr>
        <w:pStyle w:val="5"/>
      </w:pPr>
      <w:bookmarkStart w:id="527" w:name="_Toc23481"/>
      <w:bookmarkStart w:id="528" w:name="_Toc21570"/>
      <w:bookmarkStart w:id="529" w:name="_Toc12078"/>
      <w:bookmarkStart w:id="530" w:name="_Toc181825608"/>
      <w:bookmarkStart w:id="531" w:name="_Toc28568"/>
      <w:r>
        <w:rPr>
          <w:rFonts w:hint="eastAsia"/>
        </w:rPr>
        <w:t>6.1　一般规定</w:t>
      </w:r>
      <w:bookmarkEnd w:id="527"/>
      <w:bookmarkEnd w:id="528"/>
      <w:bookmarkEnd w:id="529"/>
      <w:bookmarkEnd w:id="530"/>
      <w:bookmarkEnd w:id="531"/>
    </w:p>
    <w:p w14:paraId="673697B9">
      <w:pPr>
        <w:pStyle w:val="43"/>
      </w:pPr>
      <w:r>
        <w:rPr>
          <w:rFonts w:hint="eastAsia"/>
          <w:b/>
          <w:bCs/>
        </w:rPr>
        <w:t>6.1.1　</w:t>
      </w:r>
      <w:r>
        <w:t>壁厚检测主要用于管道腐蚀、破损的检测。</w:t>
      </w:r>
      <w:r>
        <w:rPr>
          <w:rFonts w:hint="eastAsia"/>
        </w:rPr>
        <w:t>利用超声波对金属管道腐蚀状况检测，目前只能用于均质材料管道，如铸铁管、钢管；含有混凝土等多种复合材质的或有砂浆、防腐等保护层的暂不适用，如PCCP、钢塑复合管等。超声波检测原理和性能：</w:t>
      </w:r>
    </w:p>
    <w:p w14:paraId="516B2492">
      <w:pPr>
        <w:pStyle w:val="43"/>
        <w:ind w:firstLine="482" w:firstLineChars="200"/>
      </w:pPr>
      <w:r>
        <w:rPr>
          <w:rFonts w:hint="eastAsia"/>
          <w:b/>
          <w:bCs/>
          <w:lang w:eastAsia="zh-CN"/>
        </w:rPr>
        <w:t>（</w:t>
      </w:r>
      <w:r>
        <w:rPr>
          <w:rFonts w:hint="eastAsia"/>
          <w:b/>
          <w:bCs/>
        </w:rPr>
        <w:t>1</w:t>
      </w:r>
      <w:r>
        <w:rPr>
          <w:rFonts w:hint="eastAsia"/>
          <w:b/>
          <w:bCs/>
          <w:lang w:eastAsia="zh-CN"/>
        </w:rPr>
        <w:t>）</w:t>
      </w:r>
      <w:r>
        <w:rPr>
          <w:rFonts w:hint="eastAsia"/>
        </w:rPr>
        <w:t>超声波管道测厚是采用超声波探头逐点扫描管壁来测量管道各个位置的壁厚；</w:t>
      </w:r>
    </w:p>
    <w:p w14:paraId="4003EC88">
      <w:pPr>
        <w:pStyle w:val="43"/>
        <w:ind w:firstLine="482" w:firstLineChars="200"/>
      </w:pPr>
      <w:r>
        <w:rPr>
          <w:rFonts w:hint="eastAsia"/>
          <w:b/>
          <w:bCs/>
          <w:lang w:eastAsia="zh-CN"/>
        </w:rPr>
        <w:t>（</w:t>
      </w:r>
      <w:r>
        <w:rPr>
          <w:rFonts w:hint="eastAsia"/>
          <w:b/>
          <w:bCs/>
        </w:rPr>
        <w:t>2</w:t>
      </w:r>
      <w:r>
        <w:rPr>
          <w:rFonts w:hint="eastAsia"/>
          <w:b/>
          <w:bCs/>
          <w:lang w:eastAsia="zh-CN"/>
        </w:rPr>
        <w:t>）</w:t>
      </w:r>
      <w:r>
        <w:rPr>
          <w:rFonts w:hint="eastAsia"/>
        </w:rPr>
        <w:t>当超声波脉冲通过被测物体达到材料的分界面时，脉冲被发射回去</w:t>
      </w:r>
      <w:r>
        <w:rPr>
          <w:rFonts w:hint="eastAsia"/>
          <w:lang w:eastAsia="zh-CN"/>
        </w:rPr>
        <w:t>并</w:t>
      </w:r>
      <w:r>
        <w:rPr>
          <w:rFonts w:hint="eastAsia"/>
        </w:rPr>
        <w:t>被接收探头接收，通过计算脉冲返回的时间来确定被测材料的厚度；</w:t>
      </w:r>
    </w:p>
    <w:p w14:paraId="581547B7">
      <w:pPr>
        <w:pStyle w:val="43"/>
        <w:ind w:firstLine="482" w:firstLineChars="200"/>
      </w:pPr>
      <w:r>
        <w:rPr>
          <w:rFonts w:hint="eastAsia"/>
          <w:b/>
          <w:bCs/>
          <w:lang w:eastAsia="zh-CN"/>
        </w:rPr>
        <w:t>（</w:t>
      </w:r>
      <w:r>
        <w:rPr>
          <w:rFonts w:hint="eastAsia"/>
          <w:b/>
          <w:bCs/>
        </w:rPr>
        <w:t>3</w:t>
      </w:r>
      <w:r>
        <w:rPr>
          <w:rFonts w:hint="eastAsia"/>
          <w:b/>
          <w:bCs/>
          <w:lang w:eastAsia="zh-CN"/>
        </w:rPr>
        <w:t>）</w:t>
      </w:r>
      <w:r>
        <w:rPr>
          <w:rFonts w:hint="eastAsia"/>
        </w:rPr>
        <w:t>在已知管材条件下超声波测量壁厚精度需要不低于0.05mm。</w:t>
      </w:r>
    </w:p>
    <w:p w14:paraId="1D8B7384">
      <w:pPr>
        <w:widowControl/>
        <w:rPr>
          <w:rFonts w:eastAsia="仿宋" w:cs="Times New Roman"/>
          <w:kern w:val="0"/>
          <w:szCs w:val="24"/>
          <w:lang w:bidi="ar"/>
        </w:rPr>
      </w:pPr>
      <w:r>
        <w:rPr>
          <w:rFonts w:hint="eastAsia" w:eastAsia="仿宋" w:cs="Times New Roman"/>
          <w:b/>
          <w:bCs/>
          <w:kern w:val="0"/>
          <w:szCs w:val="24"/>
          <w:lang w:bidi="ar"/>
        </w:rPr>
        <w:t>6.1.3　</w:t>
      </w:r>
      <w:r>
        <w:rPr>
          <w:lang w:bidi="ar"/>
        </w:rPr>
        <w:t>载行器主要是将超声波检测探头按照一定的移动速度和姿态在管道行进。可以是自带动力的或借助水流推动的装置。</w:t>
      </w:r>
    </w:p>
    <w:p w14:paraId="739E2F25">
      <w:pPr>
        <w:widowControl/>
        <w:rPr>
          <w:rStyle w:val="44"/>
        </w:rPr>
      </w:pPr>
      <w:r>
        <w:rPr>
          <w:rFonts w:eastAsia="仿宋" w:cs="Times New Roman"/>
          <w:b/>
          <w:bCs/>
          <w:kern w:val="0"/>
          <w:szCs w:val="24"/>
          <w:lang w:bidi="ar"/>
        </w:rPr>
        <w:t>6.1.4　</w:t>
      </w:r>
      <w:r>
        <w:rPr>
          <w:rStyle w:val="44"/>
        </w:rPr>
        <w:t>带压超声波</w:t>
      </w:r>
      <w:r>
        <w:rPr>
          <w:rStyle w:val="44"/>
          <w:rFonts w:hint="eastAsia"/>
        </w:rPr>
        <w:t>检测设备</w:t>
      </w:r>
      <w:r>
        <w:rPr>
          <w:rStyle w:val="44"/>
        </w:rPr>
        <w:t>主要包括超声波探头、载行器、主控制器、收放线装置、设备投放装置等。该设备主要利用行进装置搭载超声波探头在管道内边匀速行进并自动环扫管壁测量管道壁厚</w:t>
      </w:r>
      <w:r>
        <w:rPr>
          <w:rStyle w:val="44"/>
          <w:rFonts w:hint="eastAsia" w:eastAsia="宋体"/>
          <w:lang w:eastAsia="zh-CN"/>
        </w:rPr>
        <w:t>并</w:t>
      </w:r>
      <w:r>
        <w:rPr>
          <w:rStyle w:val="44"/>
        </w:rPr>
        <w:t>将测量数据实时回传到地面主控制器进行数据分析处理。目前主要有英国JD7　Technology Ltd生产的The Jd7　PipeScan+设备。适应管径为DN100～DN300，投放口最小75mm，检测距离单次最大100m。</w:t>
      </w:r>
    </w:p>
    <w:p w14:paraId="0CFF551D">
      <w:pPr>
        <w:pStyle w:val="43"/>
        <w:widowControl/>
        <w:rPr>
          <w:kern w:val="0"/>
          <w:szCs w:val="24"/>
          <w:lang w:bidi="ar"/>
        </w:rPr>
      </w:pPr>
      <w:r>
        <w:rPr>
          <w:b/>
          <w:bCs/>
        </w:rPr>
        <w:t>6.1.</w:t>
      </w:r>
      <w:r>
        <w:rPr>
          <w:rFonts w:hint="eastAsia"/>
          <w:b/>
          <w:bCs/>
        </w:rPr>
        <w:t>5　</w:t>
      </w:r>
      <w:r>
        <w:rPr>
          <w:rFonts w:hint="eastAsia"/>
        </w:rPr>
        <w:t>停水超声波检测主要采取人工进入管道利用超声波测厚设备采用网格式逐点进行壁厚测量检测缺陷。</w:t>
      </w:r>
    </w:p>
    <w:p w14:paraId="0EE9C4C8">
      <w:pPr>
        <w:pStyle w:val="5"/>
      </w:pPr>
      <w:bookmarkStart w:id="532" w:name="_Toc181825609"/>
      <w:bookmarkStart w:id="533" w:name="_Toc29472"/>
      <w:bookmarkStart w:id="534" w:name="_Toc20247"/>
      <w:bookmarkStart w:id="535" w:name="_Toc3477"/>
      <w:bookmarkStart w:id="536" w:name="_Toc28228"/>
      <w:r>
        <w:rPr>
          <w:rFonts w:hint="eastAsia"/>
        </w:rPr>
        <w:t>6.3　检测方法</w:t>
      </w:r>
      <w:bookmarkEnd w:id="532"/>
      <w:bookmarkEnd w:id="533"/>
      <w:bookmarkEnd w:id="534"/>
      <w:bookmarkEnd w:id="535"/>
      <w:bookmarkEnd w:id="536"/>
    </w:p>
    <w:p w14:paraId="722575AA">
      <w:pPr>
        <w:pStyle w:val="43"/>
      </w:pPr>
      <w:r>
        <w:rPr>
          <w:b/>
          <w:bCs/>
        </w:rPr>
        <w:t>6.3.1　</w:t>
      </w:r>
      <w:r>
        <w:rPr>
          <w:rFonts w:hint="eastAsia"/>
        </w:rPr>
        <w:t>被测管道直径可以依据管线图，当无管线图时，宜开挖管段现场测量管道外径确认，目前可检测管径为DN100～DN300。投放口尺寸应按照设备使用要求确定。一般采用现有排气阀、消火栓等的三通闸阀作为投放口。作业空间应满足地面投放装置安装空间和检测操作空间。</w:t>
      </w:r>
    </w:p>
    <w:p w14:paraId="64A3FFB3">
      <w:pPr>
        <w:pStyle w:val="5"/>
      </w:pPr>
      <w:bookmarkStart w:id="537" w:name="_Toc17419"/>
      <w:bookmarkStart w:id="538" w:name="_Toc17786"/>
      <w:bookmarkStart w:id="539" w:name="_Toc181825610"/>
      <w:r>
        <w:rPr>
          <w:rFonts w:hint="eastAsia"/>
        </w:rPr>
        <w:t>6.4　结果判读</w:t>
      </w:r>
      <w:bookmarkEnd w:id="537"/>
      <w:bookmarkEnd w:id="538"/>
      <w:bookmarkEnd w:id="539"/>
    </w:p>
    <w:p w14:paraId="05E21659">
      <w:r>
        <w:rPr>
          <w:rFonts w:hint="eastAsia"/>
          <w:b/>
          <w:bCs/>
        </w:rPr>
        <w:t>6.4.1　</w:t>
      </w:r>
      <w:r>
        <w:rPr>
          <w:rFonts w:eastAsia="宋体" w:cs="Times New Roman"/>
          <w:kern w:val="0"/>
          <w:szCs w:val="24"/>
          <w:lang w:bidi="ar"/>
        </w:rPr>
        <w:t>通过比较</w:t>
      </w:r>
      <w:r>
        <w:rPr>
          <w:rFonts w:hint="eastAsia" w:eastAsia="宋体" w:cs="Times New Roman"/>
          <w:kern w:val="0"/>
          <w:szCs w:val="24"/>
          <w:lang w:bidi="ar"/>
        </w:rPr>
        <w:t>分析管道检测壁厚与</w:t>
      </w:r>
      <w:r>
        <w:rPr>
          <w:rFonts w:eastAsia="宋体" w:cs="Times New Roman"/>
          <w:kern w:val="0"/>
          <w:szCs w:val="24"/>
          <w:lang w:bidi="ar"/>
        </w:rPr>
        <w:t>初始壁厚</w:t>
      </w:r>
      <w:r>
        <w:rPr>
          <w:rFonts w:hint="eastAsia" w:eastAsia="宋体" w:cs="Times New Roman"/>
          <w:kern w:val="0"/>
          <w:szCs w:val="24"/>
          <w:lang w:bidi="ar"/>
        </w:rPr>
        <w:t>管壁减薄数据，可以评估管道腐蚀状况。</w:t>
      </w:r>
    </w:p>
    <w:p w14:paraId="7612BAB3"/>
    <w:p w14:paraId="6C1F1213">
      <w:pPr>
        <w:pStyle w:val="2"/>
        <w:ind w:firstLine="240"/>
        <w:sectPr>
          <w:pgSz w:w="11906" w:h="16838"/>
          <w:pgMar w:top="1440" w:right="1800" w:bottom="1440" w:left="1800" w:header="851" w:footer="992" w:gutter="0"/>
          <w:cols w:space="425" w:num="1"/>
          <w:docGrid w:type="lines" w:linePitch="312" w:charSpace="0"/>
        </w:sectPr>
      </w:pPr>
    </w:p>
    <w:p w14:paraId="19768CA8">
      <w:pPr>
        <w:pStyle w:val="4"/>
      </w:pPr>
      <w:bookmarkStart w:id="540" w:name="_Toc28742"/>
      <w:bookmarkStart w:id="541" w:name="_Toc26984"/>
      <w:bookmarkStart w:id="542" w:name="_Toc24487"/>
      <w:bookmarkStart w:id="543" w:name="_Toc181825611"/>
      <w:bookmarkStart w:id="544" w:name="_Toc9129"/>
      <w:r>
        <w:rPr>
          <w:rFonts w:hint="eastAsia"/>
        </w:rPr>
        <w:t>7　电磁检测</w:t>
      </w:r>
      <w:bookmarkEnd w:id="540"/>
      <w:bookmarkEnd w:id="541"/>
      <w:bookmarkEnd w:id="542"/>
      <w:bookmarkEnd w:id="543"/>
      <w:bookmarkEnd w:id="544"/>
    </w:p>
    <w:p w14:paraId="16C03F84">
      <w:pPr>
        <w:pStyle w:val="5"/>
      </w:pPr>
      <w:bookmarkStart w:id="545" w:name="_Toc181825612"/>
      <w:bookmarkStart w:id="546" w:name="_Toc14851"/>
      <w:bookmarkStart w:id="547" w:name="_Toc2927"/>
      <w:bookmarkStart w:id="548" w:name="_Toc22512"/>
      <w:bookmarkStart w:id="549" w:name="_Toc14474"/>
      <w:r>
        <w:rPr>
          <w:rFonts w:hint="eastAsia"/>
        </w:rPr>
        <w:t>7.1　一般规定</w:t>
      </w:r>
      <w:bookmarkEnd w:id="545"/>
      <w:bookmarkEnd w:id="546"/>
      <w:bookmarkEnd w:id="547"/>
      <w:bookmarkEnd w:id="548"/>
      <w:bookmarkEnd w:id="549"/>
    </w:p>
    <w:p w14:paraId="0E17FFEC">
      <w:pPr>
        <w:pStyle w:val="43"/>
        <w:jc w:val="both"/>
      </w:pPr>
      <w:r>
        <w:rPr>
          <w:rFonts w:hint="eastAsia"/>
          <w:b/>
          <w:bCs/>
        </w:rPr>
        <w:t>7.1.1　</w:t>
      </w:r>
      <w:r>
        <w:rPr>
          <w:rFonts w:hint="eastAsia"/>
        </w:rPr>
        <w:t>可使用电磁法检测其断丝的预应力混凝土管包括预应力钢筒混凝土管 （PCCP）、钢筋缠绕钢筒混凝土管（BCCP）、顶进施工法用预应力钢筒混凝土管 （JPCCP）和三阶段预应力混凝土管。</w:t>
      </w:r>
    </w:p>
    <w:p w14:paraId="11B4BE53">
      <w:pPr>
        <w:pStyle w:val="3"/>
        <w:ind w:left="0" w:firstLine="0"/>
        <w:jc w:val="both"/>
        <w:rPr>
          <w:lang w:eastAsia="zh-CN"/>
        </w:rPr>
      </w:pPr>
      <w:r>
        <w:rPr>
          <w:rFonts w:ascii="Times New Roman" w:hAnsi="Times New Roman" w:cs="Times New Roman"/>
          <w:b/>
          <w:bCs/>
          <w:lang w:eastAsia="zh-CN"/>
        </w:rPr>
        <w:t>7.1.3　</w:t>
      </w:r>
      <w:r>
        <w:rPr>
          <w:rFonts w:hint="eastAsia"/>
          <w:lang w:eastAsia="zh-CN"/>
        </w:rPr>
        <w:t>发电机或大功率电器产生的磁场会影响电磁法检测信号，管道附近的高速铁路或管道上方高压输电线产生的杂散电流也会影响检测信号。</w:t>
      </w:r>
    </w:p>
    <w:p w14:paraId="6B4BA7DF">
      <w:pPr>
        <w:pStyle w:val="43"/>
        <w:jc w:val="both"/>
      </w:pPr>
      <w:r>
        <w:rPr>
          <w:rFonts w:hint="eastAsia"/>
          <w:b/>
          <w:bCs/>
        </w:rPr>
        <w:t>7.1.4　</w:t>
      </w:r>
      <w:r>
        <w:rPr>
          <w:rFonts w:hint="eastAsia"/>
        </w:rPr>
        <w:t>流速过低水流无法推动带压检测设备在管道内前行，流速过高则会影响到信号采集质量，故要求流速在0.15m/s～0.90m/s之间；管内蝶阀需要能按要求调整角度，主要为便于设备通过。</w:t>
      </w:r>
    </w:p>
    <w:p w14:paraId="501F39D2">
      <w:pPr>
        <w:pStyle w:val="5"/>
      </w:pPr>
      <w:bookmarkStart w:id="550" w:name="_Toc181825613"/>
      <w:bookmarkStart w:id="551" w:name="_Toc17779"/>
      <w:bookmarkStart w:id="552" w:name="_Toc2646"/>
      <w:r>
        <w:rPr>
          <w:rFonts w:hint="eastAsia"/>
        </w:rPr>
        <w:t>7.2　检测设备</w:t>
      </w:r>
      <w:bookmarkEnd w:id="550"/>
      <w:bookmarkEnd w:id="551"/>
      <w:bookmarkEnd w:id="552"/>
    </w:p>
    <w:p w14:paraId="1FF7DE88">
      <w:pPr>
        <w:pStyle w:val="43"/>
        <w:jc w:val="both"/>
      </w:pPr>
      <w:r>
        <w:rPr>
          <w:rFonts w:hint="eastAsia"/>
          <w:b/>
          <w:bCs/>
        </w:rPr>
        <w:t>7.2.1　</w:t>
      </w:r>
      <w:r>
        <w:rPr>
          <w:rFonts w:hint="eastAsia"/>
        </w:rPr>
        <w:t>为方便设备进出管道，穿过弯管，分隔舱之间要求使用柔性连接。数据采集系统包括发射线圈、接收线圈和信号采集装置。</w:t>
      </w:r>
    </w:p>
    <w:p w14:paraId="3E85DD80">
      <w:pPr>
        <w:pStyle w:val="3"/>
        <w:ind w:left="0" w:firstLine="0"/>
        <w:jc w:val="both"/>
        <w:rPr>
          <w:lang w:eastAsia="zh-CN"/>
        </w:rPr>
      </w:pPr>
      <w:r>
        <w:rPr>
          <w:rFonts w:ascii="Times New Roman" w:hAnsi="Times New Roman" w:cs="Times New Roman"/>
          <w:b/>
          <w:bCs/>
          <w:lang w:eastAsia="zh-CN"/>
        </w:rPr>
        <w:t>7.2.2　</w:t>
      </w:r>
      <w:r>
        <w:rPr>
          <w:rFonts w:hint="eastAsia"/>
          <w:lang w:eastAsia="zh-CN"/>
        </w:rPr>
        <w:t>检测系统配备的里程计记录设备推行时经过的距离，分析时用于确定管节及管件长度。由于轮胎安装及充气程度会影响到里程计的输出值，每次检测前或检测过程中发现有异常时需要校准。</w:t>
      </w:r>
    </w:p>
    <w:p w14:paraId="27A2891E">
      <w:r>
        <w:rPr>
          <w:rFonts w:hint="eastAsia"/>
          <w:b/>
          <w:bCs/>
        </w:rPr>
        <w:t>7.2.3　</w:t>
      </w:r>
      <w:r>
        <w:rPr>
          <w:rFonts w:hint="eastAsia"/>
        </w:rPr>
        <w:t>通过分析振幅、相位的变化判断断丝数量，由于信号较弱，只有当断丝数量相差5根或以上时信号才有较明显的区别，因此断丝检测精度定为5根。</w:t>
      </w:r>
    </w:p>
    <w:p w14:paraId="7DEA853B">
      <w:pPr>
        <w:pStyle w:val="2"/>
        <w:ind w:left="0" w:firstLine="480" w:firstLineChars="200"/>
        <w:jc w:val="both"/>
      </w:pPr>
      <w:r>
        <w:rPr>
          <w:rFonts w:hint="eastAsia"/>
        </w:rPr>
        <w:t>如2处断丝中间有少量完整钢丝，因为完整钢丝的数量较少，断丝信号畸变未能回落，则会将2处断丝连同中间的完好钢丝判为1处范围更大的断丝。</w:t>
      </w:r>
    </w:p>
    <w:p w14:paraId="3BAD5506">
      <w:pPr>
        <w:pStyle w:val="3"/>
        <w:rPr>
          <w:lang w:eastAsia="zh-CN"/>
        </w:rPr>
      </w:pPr>
    </w:p>
    <w:p w14:paraId="4D5EB0B6">
      <w:pPr>
        <w:pStyle w:val="3"/>
        <w:rPr>
          <w:lang w:eastAsia="zh-CN"/>
        </w:rPr>
      </w:pPr>
    </w:p>
    <w:p w14:paraId="33E6DD93"/>
    <w:p w14:paraId="4AB91849">
      <w:pPr>
        <w:pStyle w:val="43"/>
        <w:rPr>
          <w:b/>
          <w:bCs/>
        </w:rPr>
        <w:sectPr>
          <w:pgSz w:w="11906" w:h="16838"/>
          <w:pgMar w:top="1440" w:right="1416" w:bottom="1440" w:left="1800" w:header="851" w:footer="992" w:gutter="0"/>
          <w:cols w:space="425" w:num="1"/>
          <w:docGrid w:type="lines" w:linePitch="312" w:charSpace="0"/>
        </w:sectPr>
      </w:pPr>
    </w:p>
    <w:p w14:paraId="60597209">
      <w:pPr>
        <w:pStyle w:val="4"/>
      </w:pPr>
      <w:bookmarkStart w:id="553" w:name="_Toc28270"/>
      <w:bookmarkStart w:id="554" w:name="_Toc21533"/>
      <w:bookmarkStart w:id="555" w:name="_Toc27555"/>
      <w:bookmarkStart w:id="556" w:name="_Toc16433"/>
      <w:bookmarkStart w:id="557" w:name="_Toc181825614"/>
      <w:r>
        <w:rPr>
          <w:rFonts w:hint="eastAsia"/>
        </w:rPr>
        <w:t>8　噪声管内检测</w:t>
      </w:r>
      <w:bookmarkEnd w:id="553"/>
      <w:bookmarkEnd w:id="554"/>
      <w:bookmarkEnd w:id="555"/>
      <w:bookmarkEnd w:id="556"/>
      <w:bookmarkEnd w:id="557"/>
    </w:p>
    <w:p w14:paraId="6D322763">
      <w:pPr>
        <w:pStyle w:val="5"/>
      </w:pPr>
      <w:bookmarkStart w:id="558" w:name="_Toc4572"/>
      <w:bookmarkStart w:id="559" w:name="_Toc30539"/>
      <w:bookmarkStart w:id="560" w:name="_Toc45"/>
      <w:bookmarkStart w:id="561" w:name="_Toc181825615"/>
      <w:bookmarkStart w:id="562" w:name="_Toc32734"/>
      <w:r>
        <w:rPr>
          <w:rFonts w:hint="eastAsia"/>
        </w:rPr>
        <w:t>8.1　一般规定</w:t>
      </w:r>
      <w:bookmarkEnd w:id="558"/>
      <w:bookmarkEnd w:id="559"/>
      <w:bookmarkEnd w:id="560"/>
      <w:bookmarkEnd w:id="561"/>
      <w:bookmarkEnd w:id="562"/>
    </w:p>
    <w:p w14:paraId="1EC768BB">
      <w:pPr>
        <w:pStyle w:val="43"/>
      </w:pPr>
      <w:r>
        <w:rPr>
          <w:b/>
          <w:bCs/>
        </w:rPr>
        <w:t>8</w:t>
      </w:r>
      <w:r>
        <w:rPr>
          <w:rFonts w:hint="eastAsia"/>
          <w:b/>
          <w:bCs/>
        </w:rPr>
        <w:t>.1.3　</w:t>
      </w:r>
      <w:r>
        <w:rPr>
          <w:rFonts w:hint="eastAsia"/>
        </w:rPr>
        <w:t>自由行进式噪声管内检测期间可利用传感器追踪智能球在管道内的位置。噪声管内检测方法适用于目前市面上所有管材给水管道。</w:t>
      </w:r>
    </w:p>
    <w:p w14:paraId="5852AD09">
      <w:r>
        <w:br w:type="page"/>
      </w:r>
    </w:p>
    <w:p w14:paraId="755E1527">
      <w:pPr>
        <w:pStyle w:val="4"/>
      </w:pPr>
      <w:bookmarkStart w:id="563" w:name="_Toc29549"/>
      <w:bookmarkStart w:id="564" w:name="_Toc181825616"/>
      <w:bookmarkStart w:id="565" w:name="_Toc30029"/>
      <w:r>
        <w:rPr>
          <w:rFonts w:hint="eastAsia"/>
        </w:rPr>
        <w:t>9　其他方法检测</w:t>
      </w:r>
      <w:bookmarkEnd w:id="563"/>
      <w:bookmarkEnd w:id="564"/>
      <w:bookmarkEnd w:id="565"/>
    </w:p>
    <w:p w14:paraId="76274D38">
      <w:pPr>
        <w:pStyle w:val="5"/>
      </w:pPr>
      <w:bookmarkStart w:id="566" w:name="_Toc181825617"/>
      <w:r>
        <w:rPr>
          <w:rFonts w:hint="eastAsia"/>
        </w:rPr>
        <w:t>9.1　一般规定</w:t>
      </w:r>
      <w:bookmarkEnd w:id="566"/>
    </w:p>
    <w:p w14:paraId="3D51018F">
      <w:pPr>
        <w:rPr>
          <w:rFonts w:hint="eastAsia"/>
        </w:rPr>
      </w:pPr>
      <w:r>
        <w:rPr>
          <w:rFonts w:hint="eastAsia"/>
          <w:b/>
          <w:bCs/>
        </w:rPr>
        <w:t>9.1.1　</w:t>
      </w:r>
      <w:r>
        <w:rPr>
          <w:rFonts w:hint="eastAsia"/>
          <w:bCs/>
        </w:rPr>
        <w:t>其他</w:t>
      </w:r>
      <w:r>
        <w:rPr>
          <w:rFonts w:hint="eastAsia"/>
        </w:rPr>
        <w:t>方法检测指采用流量法、压力法、听音法、相关分析法、噪声法、气体检测分析法等判断给水管道泄漏、漏水异常点的方法。目前检测技术无法准确测量给水管道漏水量，一般是根据管道压力、管径等条件进行估算。</w:t>
      </w:r>
    </w:p>
    <w:p w14:paraId="4C24085A">
      <w:pPr>
        <w:rPr>
          <w:rFonts w:eastAsia="宋体"/>
        </w:rPr>
      </w:pPr>
      <w:r>
        <w:rPr>
          <w:rFonts w:hint="eastAsia"/>
          <w:b/>
          <w:bCs/>
        </w:rPr>
        <w:t>9.1.2　</w:t>
      </w:r>
      <w:r>
        <w:rPr>
          <w:rFonts w:hint="eastAsia"/>
          <w:bCs/>
        </w:rPr>
        <w:t>其他</w:t>
      </w:r>
      <w:r>
        <w:rPr>
          <w:rFonts w:hint="eastAsia"/>
        </w:rPr>
        <w:t>方法检测内容在现行行业标准《城镇供水管网漏水探测技术规程》CJJ 159、《城镇供水管网漏损控制及评定标准》CJJ 92中有相关规定的，本标准中未再作详细要求，涉及其他内容时建议参照现行行业相关标准的有关规定执行。</w:t>
      </w:r>
    </w:p>
    <w:p w14:paraId="567C8E2E">
      <w:pPr>
        <w:pStyle w:val="2"/>
        <w:rPr>
          <w:rFonts w:hint="eastAsia"/>
        </w:rPr>
      </w:pPr>
    </w:p>
    <w:p w14:paraId="4A6C2AE0">
      <w:pPr>
        <w:pStyle w:val="5"/>
      </w:pPr>
      <w:r>
        <w:rPr>
          <w:rFonts w:hint="eastAsia"/>
        </w:rPr>
        <w:t>9.2　</w:t>
      </w:r>
      <w:r>
        <w:rPr>
          <w:rFonts w:hint="eastAsia" w:ascii="宋体" w:hAnsi="宋体" w:cs="宋体"/>
        </w:rPr>
        <w:t>流量法检测</w:t>
      </w:r>
    </w:p>
    <w:p w14:paraId="3793A13F">
      <w:pPr>
        <w:rPr>
          <w:rFonts w:hint="eastAsia"/>
          <w:bCs/>
          <w:highlight w:val="none"/>
          <w:lang w:eastAsia="zh-CN"/>
        </w:rPr>
      </w:pPr>
      <w:r>
        <w:rPr>
          <w:rFonts w:hint="eastAsia" w:ascii="Times New Roman" w:hAnsi="Times New Roman" w:eastAsiaTheme="minorEastAsia"/>
          <w:b/>
          <w:bCs/>
          <w:kern w:val="2"/>
          <w:szCs w:val="22"/>
        </w:rPr>
        <w:t>9.2.4</w:t>
      </w:r>
      <w:r>
        <w:rPr>
          <w:rFonts w:hint="eastAsia"/>
          <w:b/>
        </w:rPr>
        <w:t>　</w:t>
      </w:r>
      <w:r>
        <w:rPr>
          <w:rFonts w:hint="eastAsia"/>
          <w:bCs/>
          <w:highlight w:val="none"/>
        </w:rPr>
        <w:t>在检测开始前校时</w:t>
      </w:r>
      <w:r>
        <w:rPr>
          <w:rFonts w:hint="eastAsia"/>
          <w:bCs/>
          <w:highlight w:val="none"/>
          <w:lang w:eastAsia="zh-CN"/>
        </w:rPr>
        <w:t>，主要是为了</w:t>
      </w:r>
      <w:r>
        <w:rPr>
          <w:rFonts w:hint="eastAsia"/>
          <w:bCs/>
          <w:highlight w:val="none"/>
        </w:rPr>
        <w:t>满足数据的时间同步要求</w:t>
      </w:r>
      <w:r>
        <w:rPr>
          <w:rFonts w:hint="eastAsia"/>
          <w:bCs/>
          <w:highlight w:val="none"/>
          <w:lang w:eastAsia="zh-CN"/>
        </w:rPr>
        <w:t>。</w:t>
      </w:r>
    </w:p>
    <w:p w14:paraId="76F9E5DC">
      <w:pPr>
        <w:pStyle w:val="5"/>
        <w:rPr>
          <w:highlight w:val="none"/>
        </w:rPr>
      </w:pPr>
      <w:r>
        <w:rPr>
          <w:rFonts w:hint="eastAsia"/>
          <w:highlight w:val="none"/>
        </w:rPr>
        <w:t>9.4　听音法检测</w:t>
      </w:r>
    </w:p>
    <w:p w14:paraId="236AC0AB">
      <w:pPr>
        <w:rPr>
          <w:rFonts w:hAnsi="Cambria Math" w:cs="Times New Roman"/>
          <w:highlight w:val="none"/>
        </w:rPr>
      </w:pPr>
      <w:r>
        <w:rPr>
          <w:rFonts w:hint="eastAsia"/>
          <w:b/>
          <w:bCs/>
          <w:highlight w:val="none"/>
        </w:rPr>
        <w:t>9.4.4　</w:t>
      </w:r>
      <w:r>
        <w:rPr>
          <w:rFonts w:hint="eastAsia"/>
          <w:highlight w:val="none"/>
        </w:rPr>
        <w:t>听音法</w:t>
      </w:r>
      <w:r>
        <w:rPr>
          <w:rFonts w:hint="eastAsia"/>
          <w:highlight w:val="none"/>
          <w:lang w:eastAsia="zh-CN"/>
        </w:rPr>
        <w:t>建议</w:t>
      </w:r>
      <w:r>
        <w:rPr>
          <w:rFonts w:hint="eastAsia"/>
          <w:highlight w:val="none"/>
        </w:rPr>
        <w:t>在夜间进行，</w:t>
      </w:r>
      <w:r>
        <w:rPr>
          <w:rFonts w:hint="eastAsia"/>
          <w:highlight w:val="none"/>
          <w:lang w:eastAsia="zh-CN"/>
        </w:rPr>
        <w:t>是考虑</w:t>
      </w:r>
      <w:r>
        <w:rPr>
          <w:rFonts w:hint="eastAsia"/>
          <w:highlight w:val="none"/>
        </w:rPr>
        <w:t>降低环境噪声对检测的影响。</w:t>
      </w:r>
    </w:p>
    <w:p w14:paraId="1C63A256">
      <w:pPr>
        <w:pStyle w:val="2"/>
        <w:rPr>
          <w:rFonts w:hint="eastAsia"/>
          <w:bCs/>
          <w:highlight w:val="cyan"/>
          <w:lang w:eastAsia="zh-CN"/>
        </w:rPr>
      </w:pPr>
    </w:p>
    <w:p w14:paraId="5A3EA04C">
      <w:pPr>
        <w:pStyle w:val="2"/>
        <w:ind w:firstLine="240"/>
      </w:pPr>
    </w:p>
    <w:p w14:paraId="200B0C3C">
      <w:pPr>
        <w:numPr>
          <w:ilvl w:val="255"/>
          <w:numId w:val="0"/>
        </w:numPr>
        <w:tabs>
          <w:tab w:val="left" w:pos="420"/>
        </w:tabs>
        <w:jc w:val="left"/>
        <w:rPr>
          <w:rFonts w:eastAsia="仿宋" w:cs="Times New Roman"/>
          <w:b/>
          <w:bCs/>
        </w:rPr>
        <w:sectPr>
          <w:pgSz w:w="11906" w:h="16838"/>
          <w:pgMar w:top="1440" w:right="1416" w:bottom="1440" w:left="1800" w:header="851" w:footer="992" w:gutter="0"/>
          <w:cols w:space="425" w:num="1"/>
          <w:docGrid w:type="lines" w:linePitch="312" w:charSpace="0"/>
        </w:sectPr>
      </w:pPr>
    </w:p>
    <w:p w14:paraId="0E3591DE">
      <w:pPr>
        <w:pStyle w:val="4"/>
      </w:pPr>
      <w:bookmarkStart w:id="567" w:name="_Toc19386"/>
      <w:bookmarkStart w:id="568" w:name="_Toc181825618"/>
      <w:bookmarkStart w:id="569" w:name="_Toc22665"/>
      <w:bookmarkStart w:id="570" w:name="_Toc27417"/>
      <w:bookmarkStart w:id="571" w:name="_Toc14469"/>
      <w:r>
        <w:rPr>
          <w:rFonts w:hint="eastAsia"/>
        </w:rPr>
        <w:t>10　管道评估</w:t>
      </w:r>
      <w:bookmarkEnd w:id="567"/>
      <w:bookmarkEnd w:id="568"/>
      <w:bookmarkEnd w:id="569"/>
      <w:bookmarkEnd w:id="570"/>
      <w:bookmarkEnd w:id="571"/>
    </w:p>
    <w:p w14:paraId="6A13AE5B">
      <w:pPr>
        <w:pStyle w:val="5"/>
      </w:pPr>
      <w:bookmarkStart w:id="572" w:name="_Toc181825619"/>
      <w:bookmarkStart w:id="573" w:name="_Toc1754"/>
      <w:bookmarkStart w:id="574" w:name="_Toc21871"/>
      <w:bookmarkStart w:id="575" w:name="_Toc3832"/>
      <w:bookmarkStart w:id="576" w:name="_Toc14438"/>
      <w:r>
        <w:rPr>
          <w:rFonts w:hint="eastAsia"/>
        </w:rPr>
        <w:t>10.1　一般规定</w:t>
      </w:r>
      <w:bookmarkEnd w:id="572"/>
    </w:p>
    <w:p w14:paraId="13715B45">
      <w:pPr>
        <w:numPr>
          <w:ilvl w:val="255"/>
          <w:numId w:val="0"/>
        </w:numPr>
        <w:tabs>
          <w:tab w:val="left" w:pos="420"/>
        </w:tabs>
      </w:pPr>
      <w:r>
        <w:rPr>
          <w:rFonts w:hint="eastAsia"/>
          <w:b/>
          <w:bCs/>
        </w:rPr>
        <w:t>10.1.4　</w:t>
      </w:r>
      <w:r>
        <w:rPr>
          <w:rFonts w:hint="eastAsia"/>
        </w:rPr>
        <w:t>管道评估以管段为基本单元：当评估范围为一个检测管段时，“管段”就是指单次检测的管道单元长度；当评估范围是检测的多个管段或区域管道时，则要求按管径、缺陷类型、缺陷等级重新划分评估管段，“管段”则是指评估管段，是为了更科学、合理、准确地进行管道评估而重新划分的一个评估管道长度。该划分也是为了后续更好地分析确定区域管网的养护措施及修复工程实施方案。在本章管道评估中的“管段”均是指评估管段。</w:t>
      </w:r>
    </w:p>
    <w:p w14:paraId="5312933B">
      <w:pPr>
        <w:pStyle w:val="5"/>
      </w:pPr>
      <w:bookmarkStart w:id="577" w:name="_Toc181825620"/>
      <w:r>
        <w:rPr>
          <w:rFonts w:hint="eastAsia"/>
        </w:rPr>
        <w:t>10.2　检测缺陷类型、代码及等级</w:t>
      </w:r>
      <w:bookmarkEnd w:id="573"/>
      <w:bookmarkEnd w:id="574"/>
      <w:bookmarkEnd w:id="575"/>
      <w:bookmarkEnd w:id="576"/>
      <w:bookmarkEnd w:id="577"/>
    </w:p>
    <w:p w14:paraId="33CED3CD">
      <w:pPr>
        <w:numPr>
          <w:ilvl w:val="255"/>
          <w:numId w:val="0"/>
        </w:numPr>
        <w:tabs>
          <w:tab w:val="left" w:pos="420"/>
        </w:tabs>
        <w:rPr>
          <w:rStyle w:val="44"/>
        </w:rPr>
      </w:pPr>
      <w:r>
        <w:rPr>
          <w:rFonts w:hint="eastAsia" w:eastAsia="仿宋" w:cs="Times New Roman"/>
          <w:b/>
          <w:bCs/>
        </w:rPr>
        <w:t>10.2.1　</w:t>
      </w:r>
      <w:r>
        <w:rPr>
          <w:rStyle w:val="44"/>
          <w:rFonts w:hint="eastAsia"/>
        </w:rPr>
        <w:t>结构性缺陷包括：破裂、变形、腐蚀、泄漏、</w:t>
      </w:r>
      <w:r>
        <w:rPr>
          <w:rFonts w:hint="eastAsia"/>
        </w:rPr>
        <w:t>断丝、</w:t>
      </w:r>
      <w:r>
        <w:rPr>
          <w:rStyle w:val="44"/>
          <w:rFonts w:hint="eastAsia"/>
        </w:rPr>
        <w:t>内衬层脱落；功能性缺陷包括：沉积、障碍物、悬浮物、</w:t>
      </w:r>
      <w:r>
        <w:rPr>
          <w:rStyle w:val="44"/>
          <w:rFonts w:hint="eastAsia" w:eastAsia="宋体"/>
          <w:lang w:eastAsia="zh-CN"/>
        </w:rPr>
        <w:t>管垢</w:t>
      </w:r>
      <w:r>
        <w:rPr>
          <w:rStyle w:val="44"/>
          <w:rFonts w:hint="eastAsia"/>
        </w:rPr>
        <w:t>、气囊、冗余接口。</w:t>
      </w:r>
      <w:r>
        <w:rPr>
          <w:rFonts w:hint="eastAsia"/>
        </w:rPr>
        <w:t>断丝缺陷检测主要用于预应力钢筒混凝土管。</w:t>
      </w:r>
    </w:p>
    <w:p w14:paraId="5663156F">
      <w:r>
        <w:rPr>
          <w:rFonts w:hint="eastAsia" w:eastAsia="仿宋" w:cs="Times New Roman"/>
          <w:b/>
          <w:bCs/>
        </w:rPr>
        <w:t>10.2.4　</w:t>
      </w:r>
      <w:r>
        <w:t>管道缺陷分为结构性缺陷与功能性缺陷两大类，管道缺陷级别按照其严重性程度分为3级。管段缺陷等级按照管段缺陷分值分为4级。</w:t>
      </w:r>
    </w:p>
    <w:p w14:paraId="10F2888F">
      <w:pPr>
        <w:rPr>
          <w:rFonts w:ascii="宋体" w:hAnsi="宋体" w:cs="宋体"/>
          <w:bCs/>
        </w:rPr>
      </w:pPr>
      <w:r>
        <w:rPr>
          <w:rFonts w:hint="eastAsia" w:eastAsia="仿宋" w:cs="Times New Roman"/>
          <w:b/>
          <w:bCs/>
        </w:rPr>
        <w:t>10.2.5　</w:t>
      </w:r>
      <w:r>
        <w:rPr>
          <w:rFonts w:hint="eastAsia"/>
        </w:rPr>
        <w:t>该条文中“</w:t>
      </w:r>
      <w:r>
        <w:rPr>
          <w:rFonts w:eastAsia="宋体"/>
        </w:rPr>
        <w:t>压力</w:t>
      </w:r>
      <w:r>
        <w:rPr>
          <w:rFonts w:hint="eastAsia" w:eastAsia="宋体"/>
        </w:rPr>
        <w:t>”</w:t>
      </w:r>
      <w:r>
        <w:rPr>
          <w:rFonts w:hint="eastAsia"/>
        </w:rPr>
        <w:t>是</w:t>
      </w:r>
      <w:r>
        <w:rPr>
          <w:rFonts w:eastAsia="宋体"/>
        </w:rPr>
        <w:t>指管道运行时的压力。压力越大</w:t>
      </w:r>
      <w:r>
        <w:rPr>
          <w:rFonts w:hint="eastAsia"/>
        </w:rPr>
        <w:t>，管道结构</w:t>
      </w:r>
      <w:r>
        <w:rPr>
          <w:rFonts w:eastAsia="宋体"/>
        </w:rPr>
        <w:t>风险越大</w:t>
      </w:r>
      <w:r>
        <w:rPr>
          <w:rFonts w:hint="eastAsia"/>
        </w:rPr>
        <w:t>。变形缺陷主要针对柔性管，不包括预应力混凝土管。</w:t>
      </w:r>
      <w:r>
        <w:rPr>
          <w:rFonts w:hint="eastAsia" w:ascii="宋体" w:hAnsi="宋体" w:cs="宋体"/>
          <w:bCs/>
        </w:rPr>
        <w:t>破裂缺陷一般在管道修复前需要检测和评估出具体数值。</w:t>
      </w:r>
    </w:p>
    <w:p w14:paraId="130754B9">
      <w:r>
        <w:rPr>
          <w:rFonts w:eastAsia="仿宋" w:cs="Times New Roman"/>
          <w:b/>
          <w:bCs/>
        </w:rPr>
        <w:t>10.2.6　</w:t>
      </w:r>
      <w:r>
        <w:rPr>
          <w:rFonts w:hint="eastAsia" w:ascii="宋体" w:hAnsi="宋体" w:cs="宋体" w:eastAsiaTheme="minorEastAsia"/>
          <w:bCs/>
          <w:lang w:eastAsia="zh-CN"/>
        </w:rPr>
        <w:t>本</w:t>
      </w:r>
      <w:r>
        <w:rPr>
          <w:rFonts w:hint="eastAsia" w:ascii="宋体" w:hAnsi="宋体" w:cs="宋体"/>
          <w:bCs/>
          <w:lang w:eastAsia="zh-CN"/>
        </w:rPr>
        <w:t>标准</w:t>
      </w:r>
      <w:r>
        <w:rPr>
          <w:rFonts w:hint="eastAsia" w:ascii="宋体" w:hAnsi="宋体" w:cs="宋体"/>
          <w:bCs/>
        </w:rPr>
        <w:t>中采用缺陷名称汉字拼音首个字母组合标示缺陷代码，未规定的管道缺陷也建议采用此原则确定缺陷代码</w:t>
      </w:r>
      <w:r>
        <w:rPr>
          <w:rFonts w:hint="eastAsia" w:ascii="宋体" w:hAnsi="宋体" w:cs="宋体"/>
          <w:bCs/>
          <w:lang w:eastAsia="zh-CN"/>
        </w:rPr>
        <w:t>且</w:t>
      </w:r>
      <w:r>
        <w:rPr>
          <w:rFonts w:hint="eastAsia" w:ascii="宋体" w:hAnsi="宋体" w:cs="宋体"/>
          <w:bCs/>
        </w:rPr>
        <w:t>不能与已规定的缺陷代码重名。</w:t>
      </w:r>
    </w:p>
    <w:p w14:paraId="1D14EACD">
      <w:pPr>
        <w:pStyle w:val="5"/>
      </w:pPr>
      <w:bookmarkStart w:id="578" w:name="_Toc181825621"/>
      <w:r>
        <w:rPr>
          <w:rFonts w:hint="eastAsia"/>
        </w:rPr>
        <w:t>10.5　管段失效后果风险</w:t>
      </w:r>
      <w:bookmarkStart w:id="579" w:name="OLE_LINK16"/>
      <w:r>
        <w:rPr>
          <w:rFonts w:hint="eastAsia"/>
        </w:rPr>
        <w:t>评估</w:t>
      </w:r>
      <w:bookmarkEnd w:id="578"/>
      <w:bookmarkEnd w:id="579"/>
    </w:p>
    <w:p w14:paraId="42F81F67">
      <w:r>
        <w:rPr>
          <w:rFonts w:hint="eastAsia" w:eastAsia="仿宋" w:cs="Times New Roman"/>
          <w:b/>
          <w:bCs/>
        </w:rPr>
        <w:t>10.5.1　</w:t>
      </w:r>
      <w:r>
        <w:rPr>
          <w:rFonts w:hint="eastAsia"/>
        </w:rPr>
        <w:t>敷设区域划分为一般区域、重点区域临近区、重点区域。一般区域指居民非密集区、公共绿地、空旷郊区等区域范围；重点区域一般指城市商业中心、居民密集区、重要公共设施、重要工业或高新技术产业园区等，以及对供水可靠性和安全性要求极高的区域范围。管理部门可以根据地区具体情况和供水要求进行划分。</w:t>
      </w:r>
    </w:p>
    <w:p w14:paraId="21E71378">
      <w:pPr>
        <w:jc w:val="left"/>
      </w:pPr>
      <w:r>
        <w:rPr>
          <w:rFonts w:hint="eastAsia" w:eastAsia="仿宋" w:cs="Times New Roman"/>
          <w:b/>
          <w:bCs/>
        </w:rPr>
        <w:t>10.5.3　</w:t>
      </w:r>
      <w:r>
        <w:rPr>
          <w:rFonts w:hint="eastAsia"/>
        </w:rPr>
        <w:t>管段运行风险等级评估内容未考虑周边环境影响。</w:t>
      </w:r>
    </w:p>
    <w:p w14:paraId="3D0C9D0F">
      <w:pPr>
        <w:pStyle w:val="2"/>
        <w:ind w:firstLine="240"/>
        <w:rPr>
          <w:rStyle w:val="44"/>
        </w:rPr>
      </w:pPr>
    </w:p>
    <w:p w14:paraId="24112D87">
      <w:pPr>
        <w:pStyle w:val="43"/>
        <w:rPr>
          <w:b/>
          <w:bCs/>
        </w:rPr>
        <w:sectPr>
          <w:pgSz w:w="11906" w:h="16838"/>
          <w:pgMar w:top="1440" w:right="1416" w:bottom="1440" w:left="1800" w:header="851" w:footer="992" w:gutter="0"/>
          <w:cols w:space="425" w:num="1"/>
          <w:docGrid w:type="lines" w:linePitch="312" w:charSpace="0"/>
        </w:sectPr>
      </w:pPr>
    </w:p>
    <w:p w14:paraId="1DE6BDBD">
      <w:pPr>
        <w:pStyle w:val="4"/>
      </w:pPr>
      <w:bookmarkStart w:id="580" w:name="_Toc1682"/>
      <w:bookmarkStart w:id="581" w:name="_Toc2099"/>
      <w:bookmarkStart w:id="582" w:name="_Toc32216"/>
      <w:bookmarkStart w:id="583" w:name="_Toc13345"/>
      <w:bookmarkStart w:id="584" w:name="_Toc181825622"/>
      <w:r>
        <w:rPr>
          <w:rFonts w:hint="eastAsia"/>
        </w:rPr>
        <w:t>11　附属设施检查与评估</w:t>
      </w:r>
      <w:bookmarkEnd w:id="580"/>
      <w:bookmarkEnd w:id="581"/>
      <w:bookmarkEnd w:id="582"/>
      <w:bookmarkEnd w:id="583"/>
      <w:bookmarkEnd w:id="584"/>
    </w:p>
    <w:p w14:paraId="25DC2E81">
      <w:pPr>
        <w:pStyle w:val="5"/>
      </w:pPr>
      <w:bookmarkStart w:id="585" w:name="_Toc9847"/>
      <w:bookmarkStart w:id="586" w:name="_Toc13576"/>
      <w:bookmarkStart w:id="587" w:name="_Toc27603"/>
      <w:bookmarkStart w:id="588" w:name="_Toc13227"/>
      <w:bookmarkStart w:id="589" w:name="_Toc181825623"/>
      <w:r>
        <w:rPr>
          <w:rFonts w:hint="eastAsia"/>
        </w:rPr>
        <w:t>11.1　一般规定</w:t>
      </w:r>
      <w:bookmarkEnd w:id="585"/>
      <w:bookmarkEnd w:id="586"/>
      <w:bookmarkEnd w:id="587"/>
      <w:bookmarkEnd w:id="588"/>
      <w:bookmarkEnd w:id="589"/>
    </w:p>
    <w:p w14:paraId="48F2F3BE">
      <w:pPr>
        <w:pStyle w:val="43"/>
        <w:jc w:val="both"/>
      </w:pPr>
      <w:r>
        <w:rPr>
          <w:b/>
          <w:bCs/>
        </w:rPr>
        <w:t>11.1.1　</w:t>
      </w:r>
      <w:r>
        <w:rPr>
          <w:rFonts w:hint="eastAsia"/>
        </w:rPr>
        <w:t>附属设施指阀类、仪表仪器、消火栓、井类等。附属设施检查主要是全面了解管线附属设施的完整性、可靠性，为管线检测提供有效的数据。附属设施为有效提高管线安全运行，防止泄漏，方便维修，管线上安装流量计、压力计、压力表等电子仪器，闸阀、排气阀等设备。</w:t>
      </w:r>
    </w:p>
    <w:p w14:paraId="0304F13A">
      <w:pPr>
        <w:pStyle w:val="43"/>
        <w:rPr>
          <w:b/>
          <w:bCs/>
        </w:rPr>
        <w:sectPr>
          <w:pgSz w:w="11906" w:h="16838"/>
          <w:pgMar w:top="1440" w:right="1416" w:bottom="1440" w:left="1800" w:header="851" w:footer="992" w:gutter="0"/>
          <w:cols w:space="425" w:num="1"/>
          <w:docGrid w:type="lines" w:linePitch="312" w:charSpace="0"/>
        </w:sectPr>
      </w:pPr>
    </w:p>
    <w:p w14:paraId="4C209C82">
      <w:pPr>
        <w:pStyle w:val="4"/>
      </w:pPr>
      <w:bookmarkStart w:id="590" w:name="_Toc14452"/>
      <w:bookmarkStart w:id="591" w:name="_Toc1306"/>
      <w:bookmarkStart w:id="592" w:name="_Toc26563"/>
      <w:bookmarkStart w:id="593" w:name="_Toc2602"/>
      <w:bookmarkStart w:id="594" w:name="_Toc181825624"/>
      <w:r>
        <w:rPr>
          <w:rFonts w:hint="eastAsia"/>
        </w:rPr>
        <w:t>12　</w:t>
      </w:r>
      <w:bookmarkEnd w:id="590"/>
      <w:bookmarkEnd w:id="591"/>
      <w:bookmarkEnd w:id="592"/>
      <w:bookmarkEnd w:id="593"/>
      <w:r>
        <w:rPr>
          <w:rFonts w:hint="eastAsia"/>
        </w:rPr>
        <w:t>成果资料</w:t>
      </w:r>
      <w:bookmarkEnd w:id="594"/>
    </w:p>
    <w:p w14:paraId="7C81A8BE">
      <w:pPr>
        <w:pStyle w:val="43"/>
      </w:pPr>
      <w:r>
        <w:rPr>
          <w:rFonts w:hint="eastAsia"/>
          <w:b/>
          <w:bCs/>
        </w:rPr>
        <w:t>12.0.3　</w:t>
      </w:r>
      <w:r>
        <w:rPr>
          <w:rFonts w:hint="eastAsia"/>
        </w:rPr>
        <w:t>管道检测与评估报告可以包含下列内容：</w:t>
      </w:r>
    </w:p>
    <w:p w14:paraId="0C293FB8">
      <w:pPr>
        <w:pStyle w:val="43"/>
        <w:ind w:firstLine="482" w:firstLineChars="200"/>
        <w:rPr>
          <w:rFonts w:hint="eastAsia" w:eastAsia="宋体"/>
          <w:lang w:eastAsia="zh-CN"/>
        </w:rPr>
      </w:pPr>
      <w:r>
        <w:rPr>
          <w:rFonts w:hint="eastAsia"/>
          <w:b/>
          <w:bCs/>
        </w:rPr>
        <w:t>1　</w:t>
      </w:r>
      <w:r>
        <w:rPr>
          <w:rFonts w:hint="eastAsia"/>
        </w:rPr>
        <w:t>竣工年代，管径及埋深，管材和接口形式，设计流量和压力，结构和附属设施及周边环境等基本资料</w:t>
      </w:r>
      <w:r>
        <w:rPr>
          <w:rFonts w:hint="eastAsia"/>
          <w:lang w:eastAsia="zh-CN"/>
        </w:rPr>
        <w:t>；</w:t>
      </w:r>
    </w:p>
    <w:p w14:paraId="31ACC731">
      <w:pPr>
        <w:pStyle w:val="43"/>
        <w:ind w:firstLine="482" w:firstLineChars="200"/>
        <w:rPr>
          <w:rFonts w:hint="eastAsia" w:eastAsia="宋体"/>
          <w:lang w:eastAsia="zh-CN"/>
        </w:rPr>
      </w:pPr>
      <w:r>
        <w:rPr>
          <w:rFonts w:hint="eastAsia"/>
          <w:b/>
          <w:bCs/>
        </w:rPr>
        <w:t>2　</w:t>
      </w:r>
      <w:r>
        <w:rPr>
          <w:rFonts w:hint="eastAsia"/>
        </w:rPr>
        <w:t>管道运行维护资料</w:t>
      </w:r>
      <w:r>
        <w:rPr>
          <w:rFonts w:hint="eastAsia"/>
          <w:lang w:eastAsia="zh-CN"/>
        </w:rPr>
        <w:t>；</w:t>
      </w:r>
    </w:p>
    <w:p w14:paraId="5C93A3B4">
      <w:pPr>
        <w:pStyle w:val="43"/>
        <w:ind w:firstLine="482" w:firstLineChars="200"/>
        <w:rPr>
          <w:rFonts w:hint="eastAsia" w:eastAsia="宋体"/>
          <w:lang w:eastAsia="zh-CN"/>
        </w:rPr>
      </w:pPr>
      <w:r>
        <w:rPr>
          <w:rFonts w:hint="eastAsia"/>
          <w:b/>
          <w:bCs/>
        </w:rPr>
        <w:t>3　</w:t>
      </w:r>
      <w:r>
        <w:rPr>
          <w:rFonts w:hint="eastAsia"/>
        </w:rPr>
        <w:t>电视检测、目测、试压检测、取样检测等管道检测资料</w:t>
      </w:r>
      <w:r>
        <w:rPr>
          <w:rFonts w:hint="eastAsia"/>
          <w:lang w:eastAsia="zh-CN"/>
        </w:rPr>
        <w:t>；</w:t>
      </w:r>
    </w:p>
    <w:p w14:paraId="739A1043">
      <w:pPr>
        <w:pStyle w:val="43"/>
        <w:ind w:firstLine="482" w:firstLineChars="200"/>
      </w:pPr>
      <w:r>
        <w:rPr>
          <w:rFonts w:hint="eastAsia"/>
          <w:b/>
          <w:bCs/>
        </w:rPr>
        <w:t>4　</w:t>
      </w:r>
      <w:r>
        <w:rPr>
          <w:rFonts w:hint="eastAsia"/>
        </w:rPr>
        <w:t>管道缺陷分析及定性、管段整体状况评估及建议采用的修复方法。</w:t>
      </w:r>
    </w:p>
    <w:p w14:paraId="7DFF018B"/>
    <w:p w14:paraId="38C9AA30">
      <w:pPr>
        <w:pStyle w:val="18"/>
        <w:snapToGrid w:val="0"/>
        <w:spacing w:after="0" w:line="360" w:lineRule="auto"/>
        <w:ind w:left="0" w:leftChars="0" w:firstLine="480" w:firstLineChars="200"/>
      </w:pPr>
    </w:p>
    <w:p w14:paraId="7ABA9D9C">
      <w:pPr>
        <w:pStyle w:val="18"/>
        <w:snapToGrid w:val="0"/>
        <w:spacing w:after="0" w:line="360" w:lineRule="auto"/>
        <w:ind w:left="0" w:leftChars="0" w:firstLine="480" w:firstLineChars="200"/>
        <w:rPr>
          <w:rFonts w:hint="eastAsia"/>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4262">
    <w:pPr>
      <w:pStyle w:val="2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FFACA">
    <w:pPr>
      <w:tabs>
        <w:tab w:val="center" w:pos="4153"/>
        <w:tab w:val="right" w:pos="8306"/>
      </w:tabs>
      <w:snapToGrid w:val="0"/>
      <w:ind w:right="360"/>
      <w:jc w:val="left"/>
      <w:rPr>
        <w:rFonts w:eastAsia="宋体"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F1D46">
                          <w:pPr>
                            <w:tabs>
                              <w:tab w:val="center" w:pos="4153"/>
                              <w:tab w:val="right" w:pos="8306"/>
                            </w:tabs>
                            <w:snapToGrid w:val="0"/>
                            <w:jc w:val="left"/>
                            <w:rPr>
                              <w:rFonts w:eastAsia="宋体" w:cs="Times New Roman"/>
                              <w:sz w:val="18"/>
                              <w:szCs w:val="18"/>
                            </w:rPr>
                          </w:pPr>
                          <w:r>
                            <w:rPr>
                              <w:rFonts w:eastAsia="宋体" w:cs="Times New Roman"/>
                              <w:sz w:val="18"/>
                              <w:szCs w:val="18"/>
                            </w:rPr>
                            <w:fldChar w:fldCharType="begin"/>
                          </w:r>
                          <w:r>
                            <w:rPr>
                              <w:rFonts w:eastAsia="宋体" w:cs="Times New Roman"/>
                              <w:sz w:val="18"/>
                              <w:szCs w:val="18"/>
                            </w:rPr>
                            <w:instrText xml:space="preserve">PAGE  </w:instrText>
                          </w:r>
                          <w:r>
                            <w:rPr>
                              <w:rFonts w:eastAsia="宋体" w:cs="Times New Roman"/>
                              <w:sz w:val="18"/>
                              <w:szCs w:val="18"/>
                            </w:rPr>
                            <w:fldChar w:fldCharType="separate"/>
                          </w:r>
                          <w:r>
                            <w:rPr>
                              <w:rFonts w:eastAsia="宋体" w:cs="Times New Roman"/>
                              <w:sz w:val="18"/>
                              <w:szCs w:val="18"/>
                            </w:rPr>
                            <w:t>166</w:t>
                          </w:r>
                          <w:r>
                            <w:rPr>
                              <w:rFonts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C8F1D46">
                    <w:pPr>
                      <w:tabs>
                        <w:tab w:val="center" w:pos="4153"/>
                        <w:tab w:val="right" w:pos="8306"/>
                      </w:tabs>
                      <w:snapToGrid w:val="0"/>
                      <w:jc w:val="left"/>
                      <w:rPr>
                        <w:rFonts w:eastAsia="宋体" w:cs="Times New Roman"/>
                        <w:sz w:val="18"/>
                        <w:szCs w:val="18"/>
                      </w:rPr>
                    </w:pPr>
                    <w:r>
                      <w:rPr>
                        <w:rFonts w:eastAsia="宋体" w:cs="Times New Roman"/>
                        <w:sz w:val="18"/>
                        <w:szCs w:val="18"/>
                      </w:rPr>
                      <w:fldChar w:fldCharType="begin"/>
                    </w:r>
                    <w:r>
                      <w:rPr>
                        <w:rFonts w:eastAsia="宋体" w:cs="Times New Roman"/>
                        <w:sz w:val="18"/>
                        <w:szCs w:val="18"/>
                      </w:rPr>
                      <w:instrText xml:space="preserve">PAGE  </w:instrText>
                    </w:r>
                    <w:r>
                      <w:rPr>
                        <w:rFonts w:eastAsia="宋体" w:cs="Times New Roman"/>
                        <w:sz w:val="18"/>
                        <w:szCs w:val="18"/>
                      </w:rPr>
                      <w:fldChar w:fldCharType="separate"/>
                    </w:r>
                    <w:r>
                      <w:rPr>
                        <w:rFonts w:eastAsia="宋体" w:cs="Times New Roman"/>
                        <w:sz w:val="18"/>
                        <w:szCs w:val="18"/>
                      </w:rPr>
                      <w:t>166</w:t>
                    </w:r>
                    <w:r>
                      <w:rPr>
                        <w:rFonts w:eastAsia="宋体" w:cs="Times New Roman"/>
                        <w:sz w:val="18"/>
                        <w:szCs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A3CBD">
    <w:pPr>
      <w:framePr w:wrap="around" w:vAnchor="text" w:hAnchor="margin" w:xAlign="center" w:y="1"/>
      <w:tabs>
        <w:tab w:val="center" w:pos="4153"/>
        <w:tab w:val="right" w:pos="8306"/>
      </w:tabs>
      <w:snapToGrid w:val="0"/>
      <w:jc w:val="left"/>
      <w:rPr>
        <w:rFonts w:eastAsia="宋体" w:cs="Times New Roman"/>
        <w:sz w:val="18"/>
        <w:szCs w:val="18"/>
      </w:rPr>
    </w:pPr>
    <w:r>
      <w:rPr>
        <w:rFonts w:eastAsia="宋体" w:cs="Times New Roman"/>
        <w:sz w:val="18"/>
        <w:szCs w:val="18"/>
      </w:rPr>
      <w:fldChar w:fldCharType="begin"/>
    </w:r>
    <w:r>
      <w:rPr>
        <w:rFonts w:eastAsia="宋体" w:cs="Times New Roman"/>
        <w:sz w:val="18"/>
        <w:szCs w:val="18"/>
      </w:rPr>
      <w:instrText xml:space="preserve">PAGE  </w:instrText>
    </w:r>
    <w:r>
      <w:rPr>
        <w:rFonts w:eastAsia="宋体" w:cs="Times New Roman"/>
        <w:sz w:val="18"/>
        <w:szCs w:val="18"/>
      </w:rPr>
      <w:fldChar w:fldCharType="end"/>
    </w:r>
  </w:p>
  <w:p w14:paraId="6F0BBF05">
    <w:pPr>
      <w:tabs>
        <w:tab w:val="center" w:pos="4153"/>
        <w:tab w:val="right" w:pos="8306"/>
      </w:tabs>
      <w:snapToGrid w:val="0"/>
      <w:ind w:right="360"/>
      <w:jc w:val="left"/>
      <w:rPr>
        <w:rFonts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7177506"/>
    </w:sdtPr>
    <w:sdtContent>
      <w:p w14:paraId="1D2B4840">
        <w:pPr>
          <w:pStyle w:val="20"/>
        </w:pPr>
        <w:r>
          <w:fldChar w:fldCharType="begin"/>
        </w:r>
        <w:r>
          <w:instrText xml:space="preserve"> PAGE   \* MERGEFORMAT </w:instrText>
        </w:r>
        <w:r>
          <w:fldChar w:fldCharType="separate"/>
        </w:r>
        <w:r>
          <w:rPr>
            <w:lang w:val="zh-CN"/>
          </w:rPr>
          <w:t>14</w:t>
        </w:r>
        <w:r>
          <w:rPr>
            <w:lang w:val="zh-CN"/>
          </w:rPr>
          <w:fldChar w:fldCharType="end"/>
        </w:r>
      </w:p>
    </w:sdtContent>
  </w:sdt>
  <w:p w14:paraId="2DAB9851">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133283"/>
    </w:sdtPr>
    <w:sdtContent>
      <w:p w14:paraId="3F37C805">
        <w:pPr>
          <w:pStyle w:val="20"/>
          <w:jc w:val="center"/>
        </w:pPr>
        <w:r>
          <w:t>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75991">
    <w:pPr>
      <w:pStyle w:val="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89112236"/>
                          </w:sdtPr>
                          <w:sdtContent>
                            <w:p w14:paraId="1360D42F">
                              <w:pPr>
                                <w:pStyle w:val="20"/>
                                <w:jc w:val="center"/>
                              </w:pPr>
                              <w:r>
                                <w:fldChar w:fldCharType="begin"/>
                              </w:r>
                              <w:r>
                                <w:instrText xml:space="preserve">PAGE   \* MERGEFORMAT</w:instrText>
                              </w:r>
                              <w:r>
                                <w:fldChar w:fldCharType="separate"/>
                              </w:r>
                              <w:r>
                                <w:rPr>
                                  <w:lang w:val="zh-CN"/>
                                </w:rPr>
                                <w:t>2</w:t>
                              </w:r>
                              <w:r>
                                <w:fldChar w:fldCharType="end"/>
                              </w:r>
                            </w:p>
                          </w:sdtContent>
                        </w:sdt>
                        <w:p w14:paraId="459C2C1E">
                          <w:pPr>
                            <w:pStyle w:val="2"/>
                            <w:ind w:firstLine="2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2089112236"/>
                    </w:sdtPr>
                    <w:sdtContent>
                      <w:p w14:paraId="1360D42F">
                        <w:pPr>
                          <w:pStyle w:val="20"/>
                          <w:jc w:val="center"/>
                        </w:pPr>
                        <w:r>
                          <w:fldChar w:fldCharType="begin"/>
                        </w:r>
                        <w:r>
                          <w:instrText xml:space="preserve">PAGE   \* MERGEFORMAT</w:instrText>
                        </w:r>
                        <w:r>
                          <w:fldChar w:fldCharType="separate"/>
                        </w:r>
                        <w:r>
                          <w:rPr>
                            <w:lang w:val="zh-CN"/>
                          </w:rPr>
                          <w:t>2</w:t>
                        </w:r>
                        <w:r>
                          <w:fldChar w:fldCharType="end"/>
                        </w:r>
                      </w:p>
                    </w:sdtContent>
                  </w:sdt>
                  <w:p w14:paraId="459C2C1E">
                    <w:pPr>
                      <w:pStyle w:val="2"/>
                      <w:ind w:firstLine="240"/>
                    </w:pPr>
                  </w:p>
                </w:txbxContent>
              </v:textbox>
            </v:shape>
          </w:pict>
        </mc:Fallback>
      </mc:AlternateContent>
    </w:r>
  </w:p>
  <w:p w14:paraId="47BD54A7">
    <w:pPr>
      <w:pStyle w:val="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50B56">
    <w:pPr>
      <w:pStyle w:val="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54165954"/>
                          </w:sdtPr>
                          <w:sdtContent>
                            <w:p w14:paraId="0EDC9B4E">
                              <w:pPr>
                                <w:pStyle w:val="20"/>
                                <w:jc w:val="center"/>
                              </w:pPr>
                              <w:r>
                                <w:fldChar w:fldCharType="begin"/>
                              </w:r>
                              <w:r>
                                <w:instrText xml:space="preserve">PAGE   \* MERGEFORMAT</w:instrText>
                              </w:r>
                              <w:r>
                                <w:fldChar w:fldCharType="separate"/>
                              </w:r>
                              <w:r>
                                <w:rPr>
                                  <w:lang w:val="zh-CN"/>
                                </w:rPr>
                                <w:t>1</w:t>
                              </w:r>
                              <w:r>
                                <w:fldChar w:fldCharType="end"/>
                              </w:r>
                            </w:p>
                          </w:sdtContent>
                        </w:sdt>
                        <w:p w14:paraId="666AFA70">
                          <w:pPr>
                            <w:pStyle w:val="2"/>
                            <w:ind w:firstLine="2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954165954"/>
                    </w:sdtPr>
                    <w:sdtContent>
                      <w:p w14:paraId="0EDC9B4E">
                        <w:pPr>
                          <w:pStyle w:val="20"/>
                          <w:jc w:val="center"/>
                        </w:pPr>
                        <w:r>
                          <w:fldChar w:fldCharType="begin"/>
                        </w:r>
                        <w:r>
                          <w:instrText xml:space="preserve">PAGE   \* MERGEFORMAT</w:instrText>
                        </w:r>
                        <w:r>
                          <w:fldChar w:fldCharType="separate"/>
                        </w:r>
                        <w:r>
                          <w:rPr>
                            <w:lang w:val="zh-CN"/>
                          </w:rPr>
                          <w:t>1</w:t>
                        </w:r>
                        <w:r>
                          <w:fldChar w:fldCharType="end"/>
                        </w:r>
                      </w:p>
                    </w:sdtContent>
                  </w:sdt>
                  <w:p w14:paraId="666AFA70">
                    <w:pPr>
                      <w:pStyle w:val="2"/>
                      <w:ind w:firstLine="240"/>
                    </w:pPr>
                  </w:p>
                </w:txbxContent>
              </v:textbox>
            </v:shape>
          </w:pict>
        </mc:Fallback>
      </mc:AlternateContent>
    </w:r>
  </w:p>
  <w:p w14:paraId="6113AC69">
    <w:pPr>
      <w:pStyle w:val="2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142D9">
    <w:pPr>
      <w:pStyle w:val="2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044D4">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4044D4">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77F8">
    <w:pPr>
      <w:pStyle w:val="20"/>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71955">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D71955">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6DDAC">
    <w:pPr>
      <w:pStyle w:val="20"/>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EE110">
                          <w:pPr>
                            <w:pStyle w:val="20"/>
                            <w:rPr>
                              <w:rStyle w:val="33"/>
                            </w:rPr>
                          </w:pPr>
                          <w:r>
                            <w:rPr>
                              <w:rStyle w:val="33"/>
                            </w:rPr>
                            <w:fldChar w:fldCharType="begin"/>
                          </w:r>
                          <w:r>
                            <w:rPr>
                              <w:rStyle w:val="33"/>
                            </w:rPr>
                            <w:instrText xml:space="preserve">PAGE  </w:instrText>
                          </w:r>
                          <w:r>
                            <w:rPr>
                              <w:rStyle w:val="33"/>
                            </w:rPr>
                            <w:fldChar w:fldCharType="separate"/>
                          </w:r>
                          <w:r>
                            <w:rPr>
                              <w:rStyle w:val="33"/>
                            </w:rPr>
                            <w:t>16</w:t>
                          </w:r>
                          <w:r>
                            <w:rPr>
                              <w:rStyle w:val="3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2DEE110">
                    <w:pPr>
                      <w:pStyle w:val="20"/>
                      <w:rPr>
                        <w:rStyle w:val="33"/>
                      </w:rPr>
                    </w:pPr>
                    <w:r>
                      <w:rPr>
                        <w:rStyle w:val="33"/>
                      </w:rPr>
                      <w:fldChar w:fldCharType="begin"/>
                    </w:r>
                    <w:r>
                      <w:rPr>
                        <w:rStyle w:val="33"/>
                      </w:rPr>
                      <w:instrText xml:space="preserve">PAGE  </w:instrText>
                    </w:r>
                    <w:r>
                      <w:rPr>
                        <w:rStyle w:val="33"/>
                      </w:rPr>
                      <w:fldChar w:fldCharType="separate"/>
                    </w:r>
                    <w:r>
                      <w:rPr>
                        <w:rStyle w:val="33"/>
                      </w:rPr>
                      <w:t>16</w:t>
                    </w:r>
                    <w:r>
                      <w:rPr>
                        <w:rStyle w:val="33"/>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4CE05">
    <w:pPr>
      <w:pStyle w:val="20"/>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D8CAB">
                          <w:pPr>
                            <w:pStyle w:val="20"/>
                            <w:rPr>
                              <w:rStyle w:val="33"/>
                            </w:rPr>
                          </w:pPr>
                          <w:r>
                            <w:rPr>
                              <w:rStyle w:val="33"/>
                            </w:rPr>
                            <w:fldChar w:fldCharType="begin"/>
                          </w:r>
                          <w:r>
                            <w:rPr>
                              <w:rStyle w:val="33"/>
                            </w:rPr>
                            <w:instrText xml:space="preserve">PAGE  </w:instrText>
                          </w:r>
                          <w:r>
                            <w:rPr>
                              <w:rStyle w:val="33"/>
                            </w:rPr>
                            <w:fldChar w:fldCharType="separate"/>
                          </w:r>
                          <w:r>
                            <w:rPr>
                              <w:rStyle w:val="33"/>
                            </w:rPr>
                            <w:t>166</w:t>
                          </w:r>
                          <w:r>
                            <w:rPr>
                              <w:rStyle w:val="3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E8D8CAB">
                    <w:pPr>
                      <w:pStyle w:val="20"/>
                      <w:rPr>
                        <w:rStyle w:val="33"/>
                      </w:rPr>
                    </w:pPr>
                    <w:r>
                      <w:rPr>
                        <w:rStyle w:val="33"/>
                      </w:rPr>
                      <w:fldChar w:fldCharType="begin"/>
                    </w:r>
                    <w:r>
                      <w:rPr>
                        <w:rStyle w:val="33"/>
                      </w:rPr>
                      <w:instrText xml:space="preserve">PAGE  </w:instrText>
                    </w:r>
                    <w:r>
                      <w:rPr>
                        <w:rStyle w:val="33"/>
                      </w:rPr>
                      <w:fldChar w:fldCharType="separate"/>
                    </w:r>
                    <w:r>
                      <w:rPr>
                        <w:rStyle w:val="33"/>
                      </w:rPr>
                      <w:t>166</w:t>
                    </w:r>
                    <w:r>
                      <w:rPr>
                        <w:rStyle w:val="33"/>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E5F33">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41EA">
    <w:pPr>
      <w:tabs>
        <w:tab w:val="center" w:pos="4153"/>
        <w:tab w:val="right" w:pos="8306"/>
      </w:tabs>
      <w:snapToGrid w:val="0"/>
      <w:jc w:val="center"/>
      <w:rPr>
        <w:rFonts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82F43"/>
    <w:multiLevelType w:val="multilevel"/>
    <w:tmpl w:val="3ED82F43"/>
    <w:lvl w:ilvl="0" w:tentative="0">
      <w:start w:val="1"/>
      <w:numFmt w:val="decimal"/>
      <w:lvlText w:val="%1"/>
      <w:lvlJc w:val="left"/>
      <w:pPr>
        <w:ind w:left="0" w:firstLine="0"/>
      </w:pPr>
      <w:rPr>
        <w:rFonts w:hint="default" w:ascii="Times New Roman" w:hAnsi="Times New Roman" w:eastAsia="宋体" w:cs="Times New Roman"/>
        <w:b w:val="0"/>
        <w:i w:val="0"/>
        <w:position w:val="0"/>
        <w:sz w:val="28"/>
      </w:rPr>
    </w:lvl>
    <w:lvl w:ilvl="1" w:tentative="0">
      <w:start w:val="1"/>
      <w:numFmt w:val="decimal"/>
      <w:lvlText w:val="%1.%2."/>
      <w:lvlJc w:val="center"/>
      <w:rPr>
        <w:rFonts w:hint="default" w:ascii="Times New Roman" w:hAnsi="Times New Roman" w:eastAsia="宋体"/>
        <w:b w:val="0"/>
        <w:bCs w:val="0"/>
        <w:i w:val="0"/>
        <w:iCs w:val="0"/>
        <w:caps w:val="0"/>
        <w:strike w:val="0"/>
        <w:dstrike w:val="0"/>
        <w:vanish w:val="0"/>
        <w:color w:val="000000"/>
        <w:spacing w:val="0"/>
        <w:position w:val="0"/>
        <w:sz w:val="21"/>
        <w:u w:val="none"/>
        <w:vertAlign w:val="baseline"/>
        <w14:shadow w14:blurRad="0" w14:dist="0" w14:dir="0" w14:sx="0" w14:sy="0" w14:kx="0" w14:ky="0" w14:algn="none">
          <w14:srgbClr w14:val="000000"/>
        </w14:shadow>
      </w:rPr>
    </w:lvl>
    <w:lvl w:ilvl="2" w:tentative="0">
      <w:start w:val="1"/>
      <w:numFmt w:val="decimal"/>
      <w:pStyle w:val="83"/>
      <w:lvlText w:val="%1.%2.%3."/>
      <w:lvlJc w:val="left"/>
      <w:pPr>
        <w:ind w:left="0" w:firstLine="0"/>
      </w:pPr>
      <w:rPr>
        <w:rFonts w:hint="default" w:ascii="Times New Roman" w:hAnsi="Times New Roman" w:eastAsia="宋体" w:cs="Times New Roman"/>
        <w:b/>
        <w:i w:val="0"/>
        <w:position w:val="0"/>
        <w:sz w:val="21"/>
      </w:rPr>
    </w:lvl>
    <w:lvl w:ilvl="3" w:tentative="0">
      <w:start w:val="1"/>
      <w:numFmt w:val="decimal"/>
      <w:lvlText w:val="%4"/>
      <w:lvlJc w:val="left"/>
      <w:pPr>
        <w:tabs>
          <w:tab w:val="left" w:pos="1418"/>
        </w:tabs>
        <w:ind w:left="397" w:firstLine="737"/>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
    <w:nsid w:val="461E38C5"/>
    <w:multiLevelType w:val="multilevel"/>
    <w:tmpl w:val="461E38C5"/>
    <w:lvl w:ilvl="0" w:tentative="0">
      <w:start w:val="8"/>
      <w:numFmt w:val="decimal"/>
      <w:pStyle w:val="66"/>
      <w:lvlText w:val="%1"/>
      <w:lvlJc w:val="center"/>
      <w:pPr>
        <w:ind w:left="425" w:hanging="425"/>
      </w:pPr>
      <w:rPr>
        <w:rFonts w:hint="default" w:ascii="宋体" w:hAnsi="宋体" w:eastAsia="宋体" w:cs="宋体"/>
      </w:rPr>
    </w:lvl>
    <w:lvl w:ilvl="1" w:tentative="0">
      <w:start w:val="1"/>
      <w:numFmt w:val="decimal"/>
      <w:lvlText w:val="%1.%2"/>
      <w:lvlJc w:val="center"/>
      <w:pPr>
        <w:ind w:left="567" w:hanging="567"/>
      </w:pPr>
      <w:rPr>
        <w:rFonts w:hint="default" w:ascii="宋体" w:hAnsi="宋体" w:eastAsia="宋体" w:cs="宋体"/>
      </w:rPr>
    </w:lvl>
    <w:lvl w:ilvl="2" w:tentative="0">
      <w:start w:val="1"/>
      <w:numFmt w:val="decimal"/>
      <w:lvlText w:val="%1.%2.%3"/>
      <w:lvlJc w:val="left"/>
      <w:pPr>
        <w:tabs>
          <w:tab w:val="left" w:pos="621"/>
        </w:tabs>
        <w:ind w:left="568" w:firstLine="0"/>
      </w:pPr>
      <w:rPr>
        <w:rFonts w:hint="default" w:ascii="宋体" w:hAnsi="宋体" w:eastAsia="宋体" w:cs="宋体"/>
        <w:b/>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58D8D28D"/>
    <w:multiLevelType w:val="multilevel"/>
    <w:tmpl w:val="58D8D28D"/>
    <w:lvl w:ilvl="0" w:tentative="0">
      <w:start w:val="8"/>
      <w:numFmt w:val="decimal"/>
      <w:lvlText w:val="%1"/>
      <w:lvlJc w:val="center"/>
      <w:pPr>
        <w:ind w:left="425" w:hanging="425"/>
      </w:pPr>
      <w:rPr>
        <w:rFonts w:hint="default" w:ascii="宋体" w:hAnsi="宋体" w:eastAsia="宋体" w:cs="宋体"/>
      </w:rPr>
    </w:lvl>
    <w:lvl w:ilvl="1" w:tentative="0">
      <w:start w:val="1"/>
      <w:numFmt w:val="decimal"/>
      <w:lvlText w:val="%1.%2"/>
      <w:lvlJc w:val="center"/>
      <w:pPr>
        <w:ind w:left="567" w:hanging="567"/>
      </w:pPr>
      <w:rPr>
        <w:rFonts w:hint="default" w:ascii="宋体" w:hAnsi="宋体" w:eastAsia="宋体" w:cs="宋体"/>
      </w:rPr>
    </w:lvl>
    <w:lvl w:ilvl="2" w:tentative="0">
      <w:start w:val="1"/>
      <w:numFmt w:val="decimal"/>
      <w:pStyle w:val="40"/>
      <w:lvlText w:val="%1.%2.%3"/>
      <w:lvlJc w:val="left"/>
      <w:pPr>
        <w:tabs>
          <w:tab w:val="left" w:pos="621"/>
        </w:tabs>
        <w:ind w:left="568" w:firstLine="0"/>
      </w:pPr>
      <w:rPr>
        <w:rFonts w:hint="default" w:ascii="宋体" w:hAnsi="宋体" w:eastAsia="宋体" w:cs="宋体"/>
        <w:b/>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61153193"/>
    <w:multiLevelType w:val="multilevel"/>
    <w:tmpl w:val="61153193"/>
    <w:lvl w:ilvl="0" w:tentative="0">
      <w:start w:val="1"/>
      <w:numFmt w:val="decimal"/>
      <w:pStyle w:val="108"/>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kMjI4OGY5ODQ2NTRhMGYzNTc2NDBiZjY2ODkyYzUifQ=="/>
  </w:docVars>
  <w:rsids>
    <w:rsidRoot w:val="00172A27"/>
    <w:rsid w:val="00000182"/>
    <w:rsid w:val="000005A3"/>
    <w:rsid w:val="0000075D"/>
    <w:rsid w:val="000034AE"/>
    <w:rsid w:val="00004BEB"/>
    <w:rsid w:val="00004D2D"/>
    <w:rsid w:val="00005F9A"/>
    <w:rsid w:val="00007603"/>
    <w:rsid w:val="00007B98"/>
    <w:rsid w:val="0001066D"/>
    <w:rsid w:val="000107C7"/>
    <w:rsid w:val="0001158B"/>
    <w:rsid w:val="00011D04"/>
    <w:rsid w:val="00012484"/>
    <w:rsid w:val="00012E95"/>
    <w:rsid w:val="00013C7D"/>
    <w:rsid w:val="0001466D"/>
    <w:rsid w:val="00014CA4"/>
    <w:rsid w:val="0001520E"/>
    <w:rsid w:val="000159E6"/>
    <w:rsid w:val="00015C11"/>
    <w:rsid w:val="00016801"/>
    <w:rsid w:val="00017B08"/>
    <w:rsid w:val="000208E8"/>
    <w:rsid w:val="0002170D"/>
    <w:rsid w:val="000219B8"/>
    <w:rsid w:val="00022480"/>
    <w:rsid w:val="000226D5"/>
    <w:rsid w:val="00023D1C"/>
    <w:rsid w:val="0002435A"/>
    <w:rsid w:val="00024C83"/>
    <w:rsid w:val="00024F83"/>
    <w:rsid w:val="00025219"/>
    <w:rsid w:val="00026747"/>
    <w:rsid w:val="00026DB5"/>
    <w:rsid w:val="00027083"/>
    <w:rsid w:val="00027CFC"/>
    <w:rsid w:val="00027DDC"/>
    <w:rsid w:val="00030B6B"/>
    <w:rsid w:val="00032ACB"/>
    <w:rsid w:val="0003418E"/>
    <w:rsid w:val="00037D8A"/>
    <w:rsid w:val="000416BB"/>
    <w:rsid w:val="00042975"/>
    <w:rsid w:val="00042CD0"/>
    <w:rsid w:val="00043201"/>
    <w:rsid w:val="00043B53"/>
    <w:rsid w:val="000440DD"/>
    <w:rsid w:val="00044658"/>
    <w:rsid w:val="00046B77"/>
    <w:rsid w:val="00046EFA"/>
    <w:rsid w:val="00047A71"/>
    <w:rsid w:val="00050F19"/>
    <w:rsid w:val="0005116C"/>
    <w:rsid w:val="00051DBE"/>
    <w:rsid w:val="0005291A"/>
    <w:rsid w:val="00052ACD"/>
    <w:rsid w:val="00054413"/>
    <w:rsid w:val="00054C17"/>
    <w:rsid w:val="00055094"/>
    <w:rsid w:val="00055746"/>
    <w:rsid w:val="0005578E"/>
    <w:rsid w:val="000579F9"/>
    <w:rsid w:val="00057F7C"/>
    <w:rsid w:val="00060E32"/>
    <w:rsid w:val="00061ACE"/>
    <w:rsid w:val="00061D14"/>
    <w:rsid w:val="0006281A"/>
    <w:rsid w:val="0006298E"/>
    <w:rsid w:val="0006496C"/>
    <w:rsid w:val="00066169"/>
    <w:rsid w:val="0006667A"/>
    <w:rsid w:val="000670FC"/>
    <w:rsid w:val="0006712E"/>
    <w:rsid w:val="00067A6A"/>
    <w:rsid w:val="00070E39"/>
    <w:rsid w:val="00071615"/>
    <w:rsid w:val="00071781"/>
    <w:rsid w:val="00071A7E"/>
    <w:rsid w:val="000723B3"/>
    <w:rsid w:val="00074FB9"/>
    <w:rsid w:val="00075616"/>
    <w:rsid w:val="00075834"/>
    <w:rsid w:val="00075A3E"/>
    <w:rsid w:val="00077677"/>
    <w:rsid w:val="00080D32"/>
    <w:rsid w:val="00080D79"/>
    <w:rsid w:val="000816B3"/>
    <w:rsid w:val="0008180A"/>
    <w:rsid w:val="0008192F"/>
    <w:rsid w:val="000821E1"/>
    <w:rsid w:val="000824E9"/>
    <w:rsid w:val="00082679"/>
    <w:rsid w:val="00082903"/>
    <w:rsid w:val="00083313"/>
    <w:rsid w:val="000837BC"/>
    <w:rsid w:val="00083898"/>
    <w:rsid w:val="000845AF"/>
    <w:rsid w:val="00084E7D"/>
    <w:rsid w:val="00085241"/>
    <w:rsid w:val="00086319"/>
    <w:rsid w:val="00086EF1"/>
    <w:rsid w:val="0008756C"/>
    <w:rsid w:val="00087B9E"/>
    <w:rsid w:val="00087FD8"/>
    <w:rsid w:val="000900C1"/>
    <w:rsid w:val="000903C5"/>
    <w:rsid w:val="00090538"/>
    <w:rsid w:val="0009060B"/>
    <w:rsid w:val="00090FDF"/>
    <w:rsid w:val="0009105A"/>
    <w:rsid w:val="000919E1"/>
    <w:rsid w:val="00091C75"/>
    <w:rsid w:val="0009459F"/>
    <w:rsid w:val="00094B6E"/>
    <w:rsid w:val="00094C5F"/>
    <w:rsid w:val="00094F04"/>
    <w:rsid w:val="000954B0"/>
    <w:rsid w:val="000A15CA"/>
    <w:rsid w:val="000A1A3F"/>
    <w:rsid w:val="000A23F1"/>
    <w:rsid w:val="000A3101"/>
    <w:rsid w:val="000A3C31"/>
    <w:rsid w:val="000A3E23"/>
    <w:rsid w:val="000A3F42"/>
    <w:rsid w:val="000A4B09"/>
    <w:rsid w:val="000A50F8"/>
    <w:rsid w:val="000A5A30"/>
    <w:rsid w:val="000A6219"/>
    <w:rsid w:val="000A6239"/>
    <w:rsid w:val="000A6935"/>
    <w:rsid w:val="000A697E"/>
    <w:rsid w:val="000A6C9F"/>
    <w:rsid w:val="000A772C"/>
    <w:rsid w:val="000B018F"/>
    <w:rsid w:val="000B2C16"/>
    <w:rsid w:val="000B3057"/>
    <w:rsid w:val="000B3776"/>
    <w:rsid w:val="000B3E7F"/>
    <w:rsid w:val="000B4B32"/>
    <w:rsid w:val="000B69A4"/>
    <w:rsid w:val="000B7943"/>
    <w:rsid w:val="000C013B"/>
    <w:rsid w:val="000C03A5"/>
    <w:rsid w:val="000C0D3D"/>
    <w:rsid w:val="000C0EEE"/>
    <w:rsid w:val="000C171C"/>
    <w:rsid w:val="000C22C4"/>
    <w:rsid w:val="000C2971"/>
    <w:rsid w:val="000C2CCA"/>
    <w:rsid w:val="000C2DDA"/>
    <w:rsid w:val="000C4104"/>
    <w:rsid w:val="000C5AC5"/>
    <w:rsid w:val="000C5CFA"/>
    <w:rsid w:val="000C5E14"/>
    <w:rsid w:val="000C67E9"/>
    <w:rsid w:val="000C69BD"/>
    <w:rsid w:val="000C7426"/>
    <w:rsid w:val="000C7520"/>
    <w:rsid w:val="000C7660"/>
    <w:rsid w:val="000C7865"/>
    <w:rsid w:val="000C7E41"/>
    <w:rsid w:val="000D0B4B"/>
    <w:rsid w:val="000D0E1C"/>
    <w:rsid w:val="000D1CFF"/>
    <w:rsid w:val="000D28FF"/>
    <w:rsid w:val="000D2C00"/>
    <w:rsid w:val="000D2D23"/>
    <w:rsid w:val="000D384D"/>
    <w:rsid w:val="000D4566"/>
    <w:rsid w:val="000D484A"/>
    <w:rsid w:val="000D561D"/>
    <w:rsid w:val="000D564E"/>
    <w:rsid w:val="000D573E"/>
    <w:rsid w:val="000D6054"/>
    <w:rsid w:val="000D76F5"/>
    <w:rsid w:val="000E0225"/>
    <w:rsid w:val="000E05FB"/>
    <w:rsid w:val="000E0A77"/>
    <w:rsid w:val="000E0C97"/>
    <w:rsid w:val="000E32F1"/>
    <w:rsid w:val="000E3701"/>
    <w:rsid w:val="000E3B81"/>
    <w:rsid w:val="000E4F4B"/>
    <w:rsid w:val="000E52A9"/>
    <w:rsid w:val="000E5B23"/>
    <w:rsid w:val="000E6460"/>
    <w:rsid w:val="000E6907"/>
    <w:rsid w:val="000E7046"/>
    <w:rsid w:val="000E74A4"/>
    <w:rsid w:val="000F0713"/>
    <w:rsid w:val="000F0C51"/>
    <w:rsid w:val="000F136D"/>
    <w:rsid w:val="000F21F3"/>
    <w:rsid w:val="000F22B9"/>
    <w:rsid w:val="000F24A6"/>
    <w:rsid w:val="000F2941"/>
    <w:rsid w:val="000F2B51"/>
    <w:rsid w:val="000F4A17"/>
    <w:rsid w:val="000F691E"/>
    <w:rsid w:val="000F7AFB"/>
    <w:rsid w:val="000F7CF9"/>
    <w:rsid w:val="000F7F89"/>
    <w:rsid w:val="00101AF4"/>
    <w:rsid w:val="00101E49"/>
    <w:rsid w:val="00104824"/>
    <w:rsid w:val="00104A76"/>
    <w:rsid w:val="00106EC0"/>
    <w:rsid w:val="00107A43"/>
    <w:rsid w:val="00107C4A"/>
    <w:rsid w:val="00107DF0"/>
    <w:rsid w:val="00110153"/>
    <w:rsid w:val="00110D48"/>
    <w:rsid w:val="00111347"/>
    <w:rsid w:val="00111C3D"/>
    <w:rsid w:val="001131B7"/>
    <w:rsid w:val="001136A7"/>
    <w:rsid w:val="00115033"/>
    <w:rsid w:val="0011503E"/>
    <w:rsid w:val="001157ED"/>
    <w:rsid w:val="001170D4"/>
    <w:rsid w:val="00117195"/>
    <w:rsid w:val="00117827"/>
    <w:rsid w:val="0012061F"/>
    <w:rsid w:val="001211DA"/>
    <w:rsid w:val="00122240"/>
    <w:rsid w:val="00122B75"/>
    <w:rsid w:val="0012300D"/>
    <w:rsid w:val="0012344B"/>
    <w:rsid w:val="0012383B"/>
    <w:rsid w:val="00124909"/>
    <w:rsid w:val="00124A9B"/>
    <w:rsid w:val="001257B2"/>
    <w:rsid w:val="001263E4"/>
    <w:rsid w:val="001264AF"/>
    <w:rsid w:val="0012651C"/>
    <w:rsid w:val="001266A9"/>
    <w:rsid w:val="00126E15"/>
    <w:rsid w:val="00126E95"/>
    <w:rsid w:val="00126ECD"/>
    <w:rsid w:val="001272B7"/>
    <w:rsid w:val="0012777A"/>
    <w:rsid w:val="00127FDD"/>
    <w:rsid w:val="001300E5"/>
    <w:rsid w:val="0013016F"/>
    <w:rsid w:val="00130702"/>
    <w:rsid w:val="0013083F"/>
    <w:rsid w:val="00130B91"/>
    <w:rsid w:val="00130C27"/>
    <w:rsid w:val="00133157"/>
    <w:rsid w:val="0013485F"/>
    <w:rsid w:val="00134BE8"/>
    <w:rsid w:val="00135127"/>
    <w:rsid w:val="001351A4"/>
    <w:rsid w:val="001354DF"/>
    <w:rsid w:val="00135526"/>
    <w:rsid w:val="00136163"/>
    <w:rsid w:val="00136605"/>
    <w:rsid w:val="0013670C"/>
    <w:rsid w:val="0014041B"/>
    <w:rsid w:val="001409FF"/>
    <w:rsid w:val="00141C27"/>
    <w:rsid w:val="001434B5"/>
    <w:rsid w:val="0014359C"/>
    <w:rsid w:val="00143657"/>
    <w:rsid w:val="0014411A"/>
    <w:rsid w:val="0014532B"/>
    <w:rsid w:val="001455C6"/>
    <w:rsid w:val="00145DB6"/>
    <w:rsid w:val="00146353"/>
    <w:rsid w:val="00146AF5"/>
    <w:rsid w:val="00146B25"/>
    <w:rsid w:val="0014752B"/>
    <w:rsid w:val="001475D8"/>
    <w:rsid w:val="00150155"/>
    <w:rsid w:val="00150199"/>
    <w:rsid w:val="0015088D"/>
    <w:rsid w:val="00151254"/>
    <w:rsid w:val="0015139A"/>
    <w:rsid w:val="00151725"/>
    <w:rsid w:val="001529F8"/>
    <w:rsid w:val="001533C8"/>
    <w:rsid w:val="00153A38"/>
    <w:rsid w:val="0015443C"/>
    <w:rsid w:val="00154A5E"/>
    <w:rsid w:val="001562A1"/>
    <w:rsid w:val="0015687E"/>
    <w:rsid w:val="00156A88"/>
    <w:rsid w:val="00156B26"/>
    <w:rsid w:val="001573F8"/>
    <w:rsid w:val="00157593"/>
    <w:rsid w:val="0016079E"/>
    <w:rsid w:val="00161D0A"/>
    <w:rsid w:val="00163F5A"/>
    <w:rsid w:val="0016406E"/>
    <w:rsid w:val="001645A5"/>
    <w:rsid w:val="00164AEA"/>
    <w:rsid w:val="00166261"/>
    <w:rsid w:val="0016640A"/>
    <w:rsid w:val="00166970"/>
    <w:rsid w:val="001670D5"/>
    <w:rsid w:val="001674A0"/>
    <w:rsid w:val="00170CEE"/>
    <w:rsid w:val="00170F48"/>
    <w:rsid w:val="00171A3B"/>
    <w:rsid w:val="00172A27"/>
    <w:rsid w:val="00174473"/>
    <w:rsid w:val="0017672C"/>
    <w:rsid w:val="001802DC"/>
    <w:rsid w:val="00180614"/>
    <w:rsid w:val="0018281F"/>
    <w:rsid w:val="001833AE"/>
    <w:rsid w:val="001839E6"/>
    <w:rsid w:val="00184113"/>
    <w:rsid w:val="001861B4"/>
    <w:rsid w:val="001862D5"/>
    <w:rsid w:val="001865CF"/>
    <w:rsid w:val="001872C6"/>
    <w:rsid w:val="0019040A"/>
    <w:rsid w:val="001916AB"/>
    <w:rsid w:val="00191730"/>
    <w:rsid w:val="001917B1"/>
    <w:rsid w:val="00191F33"/>
    <w:rsid w:val="00192B14"/>
    <w:rsid w:val="00192B82"/>
    <w:rsid w:val="00192E8F"/>
    <w:rsid w:val="001930C3"/>
    <w:rsid w:val="00193DC0"/>
    <w:rsid w:val="001946C8"/>
    <w:rsid w:val="00196487"/>
    <w:rsid w:val="001965E5"/>
    <w:rsid w:val="001A167E"/>
    <w:rsid w:val="001A1D43"/>
    <w:rsid w:val="001A21A5"/>
    <w:rsid w:val="001A21B5"/>
    <w:rsid w:val="001A2BFF"/>
    <w:rsid w:val="001A2C23"/>
    <w:rsid w:val="001A3478"/>
    <w:rsid w:val="001A4320"/>
    <w:rsid w:val="001A680C"/>
    <w:rsid w:val="001A707E"/>
    <w:rsid w:val="001A7152"/>
    <w:rsid w:val="001A7A36"/>
    <w:rsid w:val="001A7EAE"/>
    <w:rsid w:val="001B0276"/>
    <w:rsid w:val="001B134A"/>
    <w:rsid w:val="001B20DE"/>
    <w:rsid w:val="001B228A"/>
    <w:rsid w:val="001B3456"/>
    <w:rsid w:val="001B4518"/>
    <w:rsid w:val="001B4F1E"/>
    <w:rsid w:val="001B6967"/>
    <w:rsid w:val="001B7978"/>
    <w:rsid w:val="001C0B26"/>
    <w:rsid w:val="001C32DD"/>
    <w:rsid w:val="001C3573"/>
    <w:rsid w:val="001C45C4"/>
    <w:rsid w:val="001C49AC"/>
    <w:rsid w:val="001C5C15"/>
    <w:rsid w:val="001C6E19"/>
    <w:rsid w:val="001C7734"/>
    <w:rsid w:val="001D0883"/>
    <w:rsid w:val="001D1489"/>
    <w:rsid w:val="001D2325"/>
    <w:rsid w:val="001D293C"/>
    <w:rsid w:val="001D36AC"/>
    <w:rsid w:val="001D3BD1"/>
    <w:rsid w:val="001D3F14"/>
    <w:rsid w:val="001D43CA"/>
    <w:rsid w:val="001D47C4"/>
    <w:rsid w:val="001D5E30"/>
    <w:rsid w:val="001D690A"/>
    <w:rsid w:val="001D7995"/>
    <w:rsid w:val="001D7E46"/>
    <w:rsid w:val="001E087E"/>
    <w:rsid w:val="001E34FA"/>
    <w:rsid w:val="001E40A9"/>
    <w:rsid w:val="001E505A"/>
    <w:rsid w:val="001E5FDB"/>
    <w:rsid w:val="001E756C"/>
    <w:rsid w:val="001E7F99"/>
    <w:rsid w:val="001F03C6"/>
    <w:rsid w:val="001F1C30"/>
    <w:rsid w:val="001F2385"/>
    <w:rsid w:val="001F28EF"/>
    <w:rsid w:val="001F4118"/>
    <w:rsid w:val="001F423C"/>
    <w:rsid w:val="001F458D"/>
    <w:rsid w:val="001F5973"/>
    <w:rsid w:val="001F5E88"/>
    <w:rsid w:val="001F627B"/>
    <w:rsid w:val="001F64E9"/>
    <w:rsid w:val="001F7464"/>
    <w:rsid w:val="00203965"/>
    <w:rsid w:val="00203DCC"/>
    <w:rsid w:val="00203F29"/>
    <w:rsid w:val="00205102"/>
    <w:rsid w:val="00205F06"/>
    <w:rsid w:val="00206071"/>
    <w:rsid w:val="00207C6D"/>
    <w:rsid w:val="00210590"/>
    <w:rsid w:val="002107AD"/>
    <w:rsid w:val="0021114B"/>
    <w:rsid w:val="00213B3E"/>
    <w:rsid w:val="00214E59"/>
    <w:rsid w:val="00215319"/>
    <w:rsid w:val="002153AB"/>
    <w:rsid w:val="00216947"/>
    <w:rsid w:val="00217393"/>
    <w:rsid w:val="00220029"/>
    <w:rsid w:val="002200C8"/>
    <w:rsid w:val="00222798"/>
    <w:rsid w:val="00222852"/>
    <w:rsid w:val="00222EE6"/>
    <w:rsid w:val="00223C30"/>
    <w:rsid w:val="0022417C"/>
    <w:rsid w:val="00224745"/>
    <w:rsid w:val="0022518A"/>
    <w:rsid w:val="002269D1"/>
    <w:rsid w:val="00227D48"/>
    <w:rsid w:val="00230AF0"/>
    <w:rsid w:val="00230F87"/>
    <w:rsid w:val="002314B8"/>
    <w:rsid w:val="0023151A"/>
    <w:rsid w:val="00231F30"/>
    <w:rsid w:val="00232F24"/>
    <w:rsid w:val="00234337"/>
    <w:rsid w:val="002348D8"/>
    <w:rsid w:val="00235900"/>
    <w:rsid w:val="00235F9C"/>
    <w:rsid w:val="002371C6"/>
    <w:rsid w:val="00237633"/>
    <w:rsid w:val="00240123"/>
    <w:rsid w:val="002405DE"/>
    <w:rsid w:val="002412A0"/>
    <w:rsid w:val="00241869"/>
    <w:rsid w:val="00241CA4"/>
    <w:rsid w:val="0024377C"/>
    <w:rsid w:val="002440FD"/>
    <w:rsid w:val="00244F96"/>
    <w:rsid w:val="00245195"/>
    <w:rsid w:val="00246DB8"/>
    <w:rsid w:val="00246DD9"/>
    <w:rsid w:val="00247016"/>
    <w:rsid w:val="00247DB5"/>
    <w:rsid w:val="00250D0D"/>
    <w:rsid w:val="00250E42"/>
    <w:rsid w:val="002516AC"/>
    <w:rsid w:val="00251C5F"/>
    <w:rsid w:val="00251D3B"/>
    <w:rsid w:val="00252072"/>
    <w:rsid w:val="00253D81"/>
    <w:rsid w:val="002553B0"/>
    <w:rsid w:val="002554E7"/>
    <w:rsid w:val="002563B6"/>
    <w:rsid w:val="00257164"/>
    <w:rsid w:val="00257FBD"/>
    <w:rsid w:val="0026165D"/>
    <w:rsid w:val="00261CAE"/>
    <w:rsid w:val="00262F81"/>
    <w:rsid w:val="00263A2D"/>
    <w:rsid w:val="00264718"/>
    <w:rsid w:val="002648DC"/>
    <w:rsid w:val="00264A40"/>
    <w:rsid w:val="00265150"/>
    <w:rsid w:val="002666C0"/>
    <w:rsid w:val="00266A6D"/>
    <w:rsid w:val="00267198"/>
    <w:rsid w:val="002701C0"/>
    <w:rsid w:val="00270CBD"/>
    <w:rsid w:val="00270F7D"/>
    <w:rsid w:val="00271E6B"/>
    <w:rsid w:val="0027205A"/>
    <w:rsid w:val="00272762"/>
    <w:rsid w:val="00272A92"/>
    <w:rsid w:val="00273CA2"/>
    <w:rsid w:val="00274467"/>
    <w:rsid w:val="0027461D"/>
    <w:rsid w:val="0027478B"/>
    <w:rsid w:val="0027484A"/>
    <w:rsid w:val="00275244"/>
    <w:rsid w:val="00276939"/>
    <w:rsid w:val="00276EEC"/>
    <w:rsid w:val="00277344"/>
    <w:rsid w:val="0027742E"/>
    <w:rsid w:val="00277A2F"/>
    <w:rsid w:val="00280248"/>
    <w:rsid w:val="00280FED"/>
    <w:rsid w:val="00281238"/>
    <w:rsid w:val="00281CF3"/>
    <w:rsid w:val="00282CB8"/>
    <w:rsid w:val="00282EA5"/>
    <w:rsid w:val="00283DD1"/>
    <w:rsid w:val="002840FC"/>
    <w:rsid w:val="002843FD"/>
    <w:rsid w:val="00284780"/>
    <w:rsid w:val="002848D7"/>
    <w:rsid w:val="0028588F"/>
    <w:rsid w:val="00285B30"/>
    <w:rsid w:val="002863AA"/>
    <w:rsid w:val="00287100"/>
    <w:rsid w:val="0028783F"/>
    <w:rsid w:val="00287AFD"/>
    <w:rsid w:val="00292007"/>
    <w:rsid w:val="00293006"/>
    <w:rsid w:val="002934DF"/>
    <w:rsid w:val="00293976"/>
    <w:rsid w:val="00294CE9"/>
    <w:rsid w:val="0029560E"/>
    <w:rsid w:val="002956AE"/>
    <w:rsid w:val="00295AD6"/>
    <w:rsid w:val="0029638B"/>
    <w:rsid w:val="00296985"/>
    <w:rsid w:val="00297F1D"/>
    <w:rsid w:val="002A07F0"/>
    <w:rsid w:val="002A136C"/>
    <w:rsid w:val="002A1DA7"/>
    <w:rsid w:val="002A24E7"/>
    <w:rsid w:val="002A3090"/>
    <w:rsid w:val="002A3498"/>
    <w:rsid w:val="002A466F"/>
    <w:rsid w:val="002A4790"/>
    <w:rsid w:val="002A529B"/>
    <w:rsid w:val="002A569F"/>
    <w:rsid w:val="002A686E"/>
    <w:rsid w:val="002A6EE8"/>
    <w:rsid w:val="002A7CF1"/>
    <w:rsid w:val="002B05B6"/>
    <w:rsid w:val="002B0EB3"/>
    <w:rsid w:val="002B1499"/>
    <w:rsid w:val="002B1766"/>
    <w:rsid w:val="002B1CAC"/>
    <w:rsid w:val="002B25F5"/>
    <w:rsid w:val="002B2BBE"/>
    <w:rsid w:val="002B332D"/>
    <w:rsid w:val="002B366E"/>
    <w:rsid w:val="002B395B"/>
    <w:rsid w:val="002B4226"/>
    <w:rsid w:val="002B4414"/>
    <w:rsid w:val="002B469C"/>
    <w:rsid w:val="002B47F7"/>
    <w:rsid w:val="002B4909"/>
    <w:rsid w:val="002B55D4"/>
    <w:rsid w:val="002B7226"/>
    <w:rsid w:val="002C0CEC"/>
    <w:rsid w:val="002C0D97"/>
    <w:rsid w:val="002C0EF3"/>
    <w:rsid w:val="002C0F3C"/>
    <w:rsid w:val="002C0FE6"/>
    <w:rsid w:val="002C175C"/>
    <w:rsid w:val="002C26A9"/>
    <w:rsid w:val="002C2F42"/>
    <w:rsid w:val="002C2F71"/>
    <w:rsid w:val="002C3C05"/>
    <w:rsid w:val="002C3F2D"/>
    <w:rsid w:val="002C4100"/>
    <w:rsid w:val="002C41AB"/>
    <w:rsid w:val="002C62BA"/>
    <w:rsid w:val="002D00D8"/>
    <w:rsid w:val="002D183B"/>
    <w:rsid w:val="002D3820"/>
    <w:rsid w:val="002D5B35"/>
    <w:rsid w:val="002D5D25"/>
    <w:rsid w:val="002D6363"/>
    <w:rsid w:val="002D6F24"/>
    <w:rsid w:val="002D70E0"/>
    <w:rsid w:val="002E1D1A"/>
    <w:rsid w:val="002E22DA"/>
    <w:rsid w:val="002E3160"/>
    <w:rsid w:val="002E3CF6"/>
    <w:rsid w:val="002E54B2"/>
    <w:rsid w:val="002E59F2"/>
    <w:rsid w:val="002E5BBE"/>
    <w:rsid w:val="002E5C41"/>
    <w:rsid w:val="002E5DFC"/>
    <w:rsid w:val="002E6331"/>
    <w:rsid w:val="002E6DC9"/>
    <w:rsid w:val="002E7B4A"/>
    <w:rsid w:val="002F0AC1"/>
    <w:rsid w:val="002F1499"/>
    <w:rsid w:val="002F1A57"/>
    <w:rsid w:val="002F1C59"/>
    <w:rsid w:val="002F5E41"/>
    <w:rsid w:val="002F734C"/>
    <w:rsid w:val="003029CD"/>
    <w:rsid w:val="003037DF"/>
    <w:rsid w:val="00304BCA"/>
    <w:rsid w:val="00305C9F"/>
    <w:rsid w:val="00306CC1"/>
    <w:rsid w:val="00306F34"/>
    <w:rsid w:val="00307B15"/>
    <w:rsid w:val="00311631"/>
    <w:rsid w:val="00313667"/>
    <w:rsid w:val="0031371F"/>
    <w:rsid w:val="003137FF"/>
    <w:rsid w:val="003138D2"/>
    <w:rsid w:val="00313AFF"/>
    <w:rsid w:val="0031433C"/>
    <w:rsid w:val="003154C3"/>
    <w:rsid w:val="00315701"/>
    <w:rsid w:val="003164D0"/>
    <w:rsid w:val="00316757"/>
    <w:rsid w:val="0032195B"/>
    <w:rsid w:val="00321EA6"/>
    <w:rsid w:val="0032255D"/>
    <w:rsid w:val="00322E95"/>
    <w:rsid w:val="00324582"/>
    <w:rsid w:val="003249CA"/>
    <w:rsid w:val="003254EB"/>
    <w:rsid w:val="00326CDA"/>
    <w:rsid w:val="00327015"/>
    <w:rsid w:val="0032758E"/>
    <w:rsid w:val="003277CF"/>
    <w:rsid w:val="0032787F"/>
    <w:rsid w:val="0033250E"/>
    <w:rsid w:val="003326DA"/>
    <w:rsid w:val="003333F6"/>
    <w:rsid w:val="00333A47"/>
    <w:rsid w:val="00333F24"/>
    <w:rsid w:val="00334EFC"/>
    <w:rsid w:val="00335412"/>
    <w:rsid w:val="00336206"/>
    <w:rsid w:val="00336592"/>
    <w:rsid w:val="00340533"/>
    <w:rsid w:val="00340A6A"/>
    <w:rsid w:val="00340E84"/>
    <w:rsid w:val="00341F39"/>
    <w:rsid w:val="00342DFD"/>
    <w:rsid w:val="00344C2C"/>
    <w:rsid w:val="00345E35"/>
    <w:rsid w:val="00346DE1"/>
    <w:rsid w:val="003554A1"/>
    <w:rsid w:val="00355E2E"/>
    <w:rsid w:val="003576A4"/>
    <w:rsid w:val="00357872"/>
    <w:rsid w:val="00357C82"/>
    <w:rsid w:val="0036043C"/>
    <w:rsid w:val="003605E1"/>
    <w:rsid w:val="00360E0B"/>
    <w:rsid w:val="003617D5"/>
    <w:rsid w:val="003619C7"/>
    <w:rsid w:val="003624AB"/>
    <w:rsid w:val="00363492"/>
    <w:rsid w:val="00363A86"/>
    <w:rsid w:val="00363FF7"/>
    <w:rsid w:val="003645CD"/>
    <w:rsid w:val="003673CB"/>
    <w:rsid w:val="00367921"/>
    <w:rsid w:val="00367A0E"/>
    <w:rsid w:val="00367D5F"/>
    <w:rsid w:val="003707EF"/>
    <w:rsid w:val="0037122A"/>
    <w:rsid w:val="0037200C"/>
    <w:rsid w:val="003722CE"/>
    <w:rsid w:val="00372FCF"/>
    <w:rsid w:val="00375728"/>
    <w:rsid w:val="00376A44"/>
    <w:rsid w:val="00376B43"/>
    <w:rsid w:val="0038091C"/>
    <w:rsid w:val="0038148B"/>
    <w:rsid w:val="00381B9D"/>
    <w:rsid w:val="003833BB"/>
    <w:rsid w:val="00383DE8"/>
    <w:rsid w:val="00384664"/>
    <w:rsid w:val="00385701"/>
    <w:rsid w:val="00386723"/>
    <w:rsid w:val="00386A4C"/>
    <w:rsid w:val="00386EB5"/>
    <w:rsid w:val="00387776"/>
    <w:rsid w:val="00387E96"/>
    <w:rsid w:val="003904FA"/>
    <w:rsid w:val="00390CE3"/>
    <w:rsid w:val="00392741"/>
    <w:rsid w:val="00392E45"/>
    <w:rsid w:val="00393495"/>
    <w:rsid w:val="003934EB"/>
    <w:rsid w:val="003942DD"/>
    <w:rsid w:val="00394382"/>
    <w:rsid w:val="003954DC"/>
    <w:rsid w:val="003954FE"/>
    <w:rsid w:val="003958F7"/>
    <w:rsid w:val="00396BD8"/>
    <w:rsid w:val="00396F5F"/>
    <w:rsid w:val="003973CE"/>
    <w:rsid w:val="00397AB9"/>
    <w:rsid w:val="00397ED5"/>
    <w:rsid w:val="003A1592"/>
    <w:rsid w:val="003A2040"/>
    <w:rsid w:val="003A2E8F"/>
    <w:rsid w:val="003A33CA"/>
    <w:rsid w:val="003A34FA"/>
    <w:rsid w:val="003A4000"/>
    <w:rsid w:val="003A41B1"/>
    <w:rsid w:val="003A4BC9"/>
    <w:rsid w:val="003A4DF4"/>
    <w:rsid w:val="003A6798"/>
    <w:rsid w:val="003B051C"/>
    <w:rsid w:val="003B085D"/>
    <w:rsid w:val="003B08D8"/>
    <w:rsid w:val="003B0C32"/>
    <w:rsid w:val="003B0C81"/>
    <w:rsid w:val="003B19FD"/>
    <w:rsid w:val="003B24C6"/>
    <w:rsid w:val="003B2E5B"/>
    <w:rsid w:val="003B2EFA"/>
    <w:rsid w:val="003B3BEC"/>
    <w:rsid w:val="003B4575"/>
    <w:rsid w:val="003B4D94"/>
    <w:rsid w:val="003B4DDF"/>
    <w:rsid w:val="003B7DAC"/>
    <w:rsid w:val="003C0F07"/>
    <w:rsid w:val="003C11DC"/>
    <w:rsid w:val="003C1481"/>
    <w:rsid w:val="003C192A"/>
    <w:rsid w:val="003C1965"/>
    <w:rsid w:val="003C1CE2"/>
    <w:rsid w:val="003C1E33"/>
    <w:rsid w:val="003C2A08"/>
    <w:rsid w:val="003C3A36"/>
    <w:rsid w:val="003C4406"/>
    <w:rsid w:val="003C7DAE"/>
    <w:rsid w:val="003C7ED4"/>
    <w:rsid w:val="003D00ED"/>
    <w:rsid w:val="003D1445"/>
    <w:rsid w:val="003D260D"/>
    <w:rsid w:val="003D33FD"/>
    <w:rsid w:val="003D36EC"/>
    <w:rsid w:val="003D4A84"/>
    <w:rsid w:val="003D54F5"/>
    <w:rsid w:val="003D5EFA"/>
    <w:rsid w:val="003D64BB"/>
    <w:rsid w:val="003D7FD3"/>
    <w:rsid w:val="003E029C"/>
    <w:rsid w:val="003E1587"/>
    <w:rsid w:val="003E22EB"/>
    <w:rsid w:val="003E25EF"/>
    <w:rsid w:val="003E28DA"/>
    <w:rsid w:val="003E33CC"/>
    <w:rsid w:val="003E3A29"/>
    <w:rsid w:val="003E3D2E"/>
    <w:rsid w:val="003E3FC9"/>
    <w:rsid w:val="003E4A68"/>
    <w:rsid w:val="003E4ABF"/>
    <w:rsid w:val="003E4F0F"/>
    <w:rsid w:val="003E5EBC"/>
    <w:rsid w:val="003E6ADB"/>
    <w:rsid w:val="003E6F69"/>
    <w:rsid w:val="003F16B0"/>
    <w:rsid w:val="003F2638"/>
    <w:rsid w:val="003F2785"/>
    <w:rsid w:val="003F2947"/>
    <w:rsid w:val="003F2A37"/>
    <w:rsid w:val="003F2AF3"/>
    <w:rsid w:val="003F3261"/>
    <w:rsid w:val="003F34C6"/>
    <w:rsid w:val="003F3695"/>
    <w:rsid w:val="003F5A36"/>
    <w:rsid w:val="003F68C8"/>
    <w:rsid w:val="003F7835"/>
    <w:rsid w:val="0040150F"/>
    <w:rsid w:val="0040231E"/>
    <w:rsid w:val="00402ED9"/>
    <w:rsid w:val="00403556"/>
    <w:rsid w:val="00403F0C"/>
    <w:rsid w:val="00404801"/>
    <w:rsid w:val="00404C6F"/>
    <w:rsid w:val="00404D16"/>
    <w:rsid w:val="00405463"/>
    <w:rsid w:val="00405C92"/>
    <w:rsid w:val="00405DC5"/>
    <w:rsid w:val="00405FA3"/>
    <w:rsid w:val="0040652F"/>
    <w:rsid w:val="004077DA"/>
    <w:rsid w:val="00407E5F"/>
    <w:rsid w:val="00410342"/>
    <w:rsid w:val="00412181"/>
    <w:rsid w:val="0041236A"/>
    <w:rsid w:val="00413A5B"/>
    <w:rsid w:val="00413CF1"/>
    <w:rsid w:val="00413FF5"/>
    <w:rsid w:val="0041547E"/>
    <w:rsid w:val="00417281"/>
    <w:rsid w:val="004201BD"/>
    <w:rsid w:val="00420307"/>
    <w:rsid w:val="004212DF"/>
    <w:rsid w:val="00421475"/>
    <w:rsid w:val="004215B7"/>
    <w:rsid w:val="004224F5"/>
    <w:rsid w:val="00422E93"/>
    <w:rsid w:val="00423040"/>
    <w:rsid w:val="00424119"/>
    <w:rsid w:val="0042476C"/>
    <w:rsid w:val="004253AB"/>
    <w:rsid w:val="00425B78"/>
    <w:rsid w:val="0042639C"/>
    <w:rsid w:val="004264EB"/>
    <w:rsid w:val="004311DA"/>
    <w:rsid w:val="00431405"/>
    <w:rsid w:val="00431DDF"/>
    <w:rsid w:val="00432780"/>
    <w:rsid w:val="00432878"/>
    <w:rsid w:val="00432A2C"/>
    <w:rsid w:val="00433F0C"/>
    <w:rsid w:val="00434806"/>
    <w:rsid w:val="00434EBC"/>
    <w:rsid w:val="00436041"/>
    <w:rsid w:val="0043605D"/>
    <w:rsid w:val="004369E7"/>
    <w:rsid w:val="004369F8"/>
    <w:rsid w:val="00437840"/>
    <w:rsid w:val="00440246"/>
    <w:rsid w:val="00442E38"/>
    <w:rsid w:val="004446C4"/>
    <w:rsid w:val="00444A99"/>
    <w:rsid w:val="0044513D"/>
    <w:rsid w:val="00445337"/>
    <w:rsid w:val="00445779"/>
    <w:rsid w:val="004459E6"/>
    <w:rsid w:val="00446555"/>
    <w:rsid w:val="004467F1"/>
    <w:rsid w:val="00446C65"/>
    <w:rsid w:val="004470BE"/>
    <w:rsid w:val="0044723F"/>
    <w:rsid w:val="00450439"/>
    <w:rsid w:val="004516F9"/>
    <w:rsid w:val="004517B8"/>
    <w:rsid w:val="00454EC5"/>
    <w:rsid w:val="004551BC"/>
    <w:rsid w:val="004555CF"/>
    <w:rsid w:val="00456C5C"/>
    <w:rsid w:val="0046043E"/>
    <w:rsid w:val="00460454"/>
    <w:rsid w:val="0046062C"/>
    <w:rsid w:val="0046078F"/>
    <w:rsid w:val="00460B65"/>
    <w:rsid w:val="00462236"/>
    <w:rsid w:val="004638F8"/>
    <w:rsid w:val="00463B0E"/>
    <w:rsid w:val="00463D35"/>
    <w:rsid w:val="0046451D"/>
    <w:rsid w:val="004646B1"/>
    <w:rsid w:val="00464E60"/>
    <w:rsid w:val="004650EC"/>
    <w:rsid w:val="0046529D"/>
    <w:rsid w:val="0046544B"/>
    <w:rsid w:val="0046554E"/>
    <w:rsid w:val="00465927"/>
    <w:rsid w:val="00465D0D"/>
    <w:rsid w:val="00465DDE"/>
    <w:rsid w:val="004664BB"/>
    <w:rsid w:val="00467644"/>
    <w:rsid w:val="00467817"/>
    <w:rsid w:val="004727C0"/>
    <w:rsid w:val="004728B6"/>
    <w:rsid w:val="00473006"/>
    <w:rsid w:val="00473398"/>
    <w:rsid w:val="004735C6"/>
    <w:rsid w:val="0047406C"/>
    <w:rsid w:val="00474730"/>
    <w:rsid w:val="00474D7B"/>
    <w:rsid w:val="00475706"/>
    <w:rsid w:val="0047589F"/>
    <w:rsid w:val="00475C56"/>
    <w:rsid w:val="004765A2"/>
    <w:rsid w:val="00477E5D"/>
    <w:rsid w:val="00480752"/>
    <w:rsid w:val="00481138"/>
    <w:rsid w:val="00482079"/>
    <w:rsid w:val="0048214A"/>
    <w:rsid w:val="0048289B"/>
    <w:rsid w:val="004828B5"/>
    <w:rsid w:val="0048349A"/>
    <w:rsid w:val="00483A91"/>
    <w:rsid w:val="00483FF6"/>
    <w:rsid w:val="00484E4D"/>
    <w:rsid w:val="00486DB9"/>
    <w:rsid w:val="00487E58"/>
    <w:rsid w:val="004903B3"/>
    <w:rsid w:val="004905D4"/>
    <w:rsid w:val="00490E2B"/>
    <w:rsid w:val="00492047"/>
    <w:rsid w:val="00492394"/>
    <w:rsid w:val="004924A4"/>
    <w:rsid w:val="00492862"/>
    <w:rsid w:val="00493631"/>
    <w:rsid w:val="004959D3"/>
    <w:rsid w:val="004963F0"/>
    <w:rsid w:val="004969D3"/>
    <w:rsid w:val="00496B75"/>
    <w:rsid w:val="00496C22"/>
    <w:rsid w:val="00497196"/>
    <w:rsid w:val="004971D9"/>
    <w:rsid w:val="0049767D"/>
    <w:rsid w:val="00497D7F"/>
    <w:rsid w:val="004A0220"/>
    <w:rsid w:val="004A05A2"/>
    <w:rsid w:val="004A15EC"/>
    <w:rsid w:val="004A167B"/>
    <w:rsid w:val="004A324A"/>
    <w:rsid w:val="004A48F6"/>
    <w:rsid w:val="004A4E3C"/>
    <w:rsid w:val="004A5669"/>
    <w:rsid w:val="004A6A57"/>
    <w:rsid w:val="004B0084"/>
    <w:rsid w:val="004B0817"/>
    <w:rsid w:val="004B1151"/>
    <w:rsid w:val="004B1509"/>
    <w:rsid w:val="004B1FAE"/>
    <w:rsid w:val="004B2B42"/>
    <w:rsid w:val="004B3B28"/>
    <w:rsid w:val="004B70A6"/>
    <w:rsid w:val="004B781C"/>
    <w:rsid w:val="004B7841"/>
    <w:rsid w:val="004B7AF8"/>
    <w:rsid w:val="004C0064"/>
    <w:rsid w:val="004C1DA9"/>
    <w:rsid w:val="004C2365"/>
    <w:rsid w:val="004C23E3"/>
    <w:rsid w:val="004C3A35"/>
    <w:rsid w:val="004C40D7"/>
    <w:rsid w:val="004C4161"/>
    <w:rsid w:val="004C43F7"/>
    <w:rsid w:val="004C6409"/>
    <w:rsid w:val="004C6903"/>
    <w:rsid w:val="004C780A"/>
    <w:rsid w:val="004C79BC"/>
    <w:rsid w:val="004D0312"/>
    <w:rsid w:val="004D0504"/>
    <w:rsid w:val="004D096E"/>
    <w:rsid w:val="004D1172"/>
    <w:rsid w:val="004D22C1"/>
    <w:rsid w:val="004D24E5"/>
    <w:rsid w:val="004D2756"/>
    <w:rsid w:val="004D2AC0"/>
    <w:rsid w:val="004D3D95"/>
    <w:rsid w:val="004D44E6"/>
    <w:rsid w:val="004D4577"/>
    <w:rsid w:val="004D5230"/>
    <w:rsid w:val="004D59A1"/>
    <w:rsid w:val="004D7082"/>
    <w:rsid w:val="004D7335"/>
    <w:rsid w:val="004E0912"/>
    <w:rsid w:val="004E110C"/>
    <w:rsid w:val="004E346D"/>
    <w:rsid w:val="004E3823"/>
    <w:rsid w:val="004E4851"/>
    <w:rsid w:val="004E4869"/>
    <w:rsid w:val="004E4A51"/>
    <w:rsid w:val="004E4BF7"/>
    <w:rsid w:val="004E54C8"/>
    <w:rsid w:val="004E55A3"/>
    <w:rsid w:val="004E5EF4"/>
    <w:rsid w:val="004E68B1"/>
    <w:rsid w:val="004E757C"/>
    <w:rsid w:val="004E75D3"/>
    <w:rsid w:val="004F1573"/>
    <w:rsid w:val="004F2485"/>
    <w:rsid w:val="004F3980"/>
    <w:rsid w:val="004F48CD"/>
    <w:rsid w:val="004F5647"/>
    <w:rsid w:val="004F6978"/>
    <w:rsid w:val="00501605"/>
    <w:rsid w:val="00501ACF"/>
    <w:rsid w:val="005022CF"/>
    <w:rsid w:val="00502AF1"/>
    <w:rsid w:val="00502FB3"/>
    <w:rsid w:val="0050409A"/>
    <w:rsid w:val="00504650"/>
    <w:rsid w:val="00504F08"/>
    <w:rsid w:val="00505346"/>
    <w:rsid w:val="005056EC"/>
    <w:rsid w:val="005070DF"/>
    <w:rsid w:val="00511644"/>
    <w:rsid w:val="00511DE9"/>
    <w:rsid w:val="0051214E"/>
    <w:rsid w:val="00512B1C"/>
    <w:rsid w:val="00513076"/>
    <w:rsid w:val="00514DDD"/>
    <w:rsid w:val="00515653"/>
    <w:rsid w:val="0051636D"/>
    <w:rsid w:val="0051671E"/>
    <w:rsid w:val="0051730F"/>
    <w:rsid w:val="00517990"/>
    <w:rsid w:val="00520047"/>
    <w:rsid w:val="00520A0D"/>
    <w:rsid w:val="00521232"/>
    <w:rsid w:val="005216C6"/>
    <w:rsid w:val="00523390"/>
    <w:rsid w:val="00524494"/>
    <w:rsid w:val="00526CD0"/>
    <w:rsid w:val="00526E63"/>
    <w:rsid w:val="00527076"/>
    <w:rsid w:val="005277D2"/>
    <w:rsid w:val="0053076C"/>
    <w:rsid w:val="00531002"/>
    <w:rsid w:val="00532C4B"/>
    <w:rsid w:val="00533081"/>
    <w:rsid w:val="00533A8F"/>
    <w:rsid w:val="00533B8D"/>
    <w:rsid w:val="00534415"/>
    <w:rsid w:val="0053469C"/>
    <w:rsid w:val="00534A5A"/>
    <w:rsid w:val="00534E1E"/>
    <w:rsid w:val="00537714"/>
    <w:rsid w:val="0053774B"/>
    <w:rsid w:val="005377BF"/>
    <w:rsid w:val="00540752"/>
    <w:rsid w:val="005408CE"/>
    <w:rsid w:val="00540BD5"/>
    <w:rsid w:val="00540CA6"/>
    <w:rsid w:val="0054108D"/>
    <w:rsid w:val="00542168"/>
    <w:rsid w:val="00542AA9"/>
    <w:rsid w:val="005438AD"/>
    <w:rsid w:val="00544C30"/>
    <w:rsid w:val="0054533F"/>
    <w:rsid w:val="0054546F"/>
    <w:rsid w:val="005462C5"/>
    <w:rsid w:val="005467C9"/>
    <w:rsid w:val="005478C5"/>
    <w:rsid w:val="00547B85"/>
    <w:rsid w:val="00547CCF"/>
    <w:rsid w:val="005508B0"/>
    <w:rsid w:val="00550C75"/>
    <w:rsid w:val="0055231E"/>
    <w:rsid w:val="005549FD"/>
    <w:rsid w:val="00554CCF"/>
    <w:rsid w:val="00555FF4"/>
    <w:rsid w:val="00557158"/>
    <w:rsid w:val="0055755A"/>
    <w:rsid w:val="00557875"/>
    <w:rsid w:val="005630AF"/>
    <w:rsid w:val="0056346D"/>
    <w:rsid w:val="00564161"/>
    <w:rsid w:val="00565B67"/>
    <w:rsid w:val="00566C2F"/>
    <w:rsid w:val="005672A1"/>
    <w:rsid w:val="005677D3"/>
    <w:rsid w:val="00571CE5"/>
    <w:rsid w:val="0057204B"/>
    <w:rsid w:val="00572305"/>
    <w:rsid w:val="005724C6"/>
    <w:rsid w:val="00572EC3"/>
    <w:rsid w:val="00573745"/>
    <w:rsid w:val="00573B50"/>
    <w:rsid w:val="00573BAD"/>
    <w:rsid w:val="0057402E"/>
    <w:rsid w:val="00574479"/>
    <w:rsid w:val="005749C7"/>
    <w:rsid w:val="00574FAE"/>
    <w:rsid w:val="0057575D"/>
    <w:rsid w:val="00576CFF"/>
    <w:rsid w:val="00577776"/>
    <w:rsid w:val="00577F6B"/>
    <w:rsid w:val="00580F07"/>
    <w:rsid w:val="005820A3"/>
    <w:rsid w:val="00582E58"/>
    <w:rsid w:val="005838A0"/>
    <w:rsid w:val="005852C1"/>
    <w:rsid w:val="0058572C"/>
    <w:rsid w:val="00585E99"/>
    <w:rsid w:val="00591B52"/>
    <w:rsid w:val="00591F52"/>
    <w:rsid w:val="005926B8"/>
    <w:rsid w:val="0059302A"/>
    <w:rsid w:val="005938E2"/>
    <w:rsid w:val="00594B87"/>
    <w:rsid w:val="00594C0D"/>
    <w:rsid w:val="00595B3C"/>
    <w:rsid w:val="005961AC"/>
    <w:rsid w:val="00596379"/>
    <w:rsid w:val="005964F3"/>
    <w:rsid w:val="00596EB3"/>
    <w:rsid w:val="00596FCF"/>
    <w:rsid w:val="005A0172"/>
    <w:rsid w:val="005A268D"/>
    <w:rsid w:val="005A2CC3"/>
    <w:rsid w:val="005A403C"/>
    <w:rsid w:val="005A47B3"/>
    <w:rsid w:val="005A4BE6"/>
    <w:rsid w:val="005A4F5D"/>
    <w:rsid w:val="005A580B"/>
    <w:rsid w:val="005A61EF"/>
    <w:rsid w:val="005B0A13"/>
    <w:rsid w:val="005B0EBE"/>
    <w:rsid w:val="005B193C"/>
    <w:rsid w:val="005B1C31"/>
    <w:rsid w:val="005B3A5C"/>
    <w:rsid w:val="005B3D86"/>
    <w:rsid w:val="005B4050"/>
    <w:rsid w:val="005B475E"/>
    <w:rsid w:val="005B6473"/>
    <w:rsid w:val="005B6A81"/>
    <w:rsid w:val="005B70C7"/>
    <w:rsid w:val="005C03AC"/>
    <w:rsid w:val="005C0B5D"/>
    <w:rsid w:val="005C0E1C"/>
    <w:rsid w:val="005C1039"/>
    <w:rsid w:val="005C16E5"/>
    <w:rsid w:val="005C36E2"/>
    <w:rsid w:val="005C4618"/>
    <w:rsid w:val="005C54CA"/>
    <w:rsid w:val="005C67FB"/>
    <w:rsid w:val="005D0CE5"/>
    <w:rsid w:val="005D12DD"/>
    <w:rsid w:val="005D14C1"/>
    <w:rsid w:val="005D1823"/>
    <w:rsid w:val="005D1AC9"/>
    <w:rsid w:val="005D4257"/>
    <w:rsid w:val="005D4799"/>
    <w:rsid w:val="005D48E1"/>
    <w:rsid w:val="005D50A6"/>
    <w:rsid w:val="005D5715"/>
    <w:rsid w:val="005D5C21"/>
    <w:rsid w:val="005D749E"/>
    <w:rsid w:val="005D7BD3"/>
    <w:rsid w:val="005E006A"/>
    <w:rsid w:val="005E06F0"/>
    <w:rsid w:val="005E1396"/>
    <w:rsid w:val="005E326D"/>
    <w:rsid w:val="005E3D19"/>
    <w:rsid w:val="005E45D3"/>
    <w:rsid w:val="005E4817"/>
    <w:rsid w:val="005E48EF"/>
    <w:rsid w:val="005E5E5B"/>
    <w:rsid w:val="005E65C2"/>
    <w:rsid w:val="005E6F59"/>
    <w:rsid w:val="005F0684"/>
    <w:rsid w:val="005F0E55"/>
    <w:rsid w:val="005F51FD"/>
    <w:rsid w:val="005F5E97"/>
    <w:rsid w:val="005F6562"/>
    <w:rsid w:val="005F65D0"/>
    <w:rsid w:val="005F7BF2"/>
    <w:rsid w:val="005F7E48"/>
    <w:rsid w:val="005F7EA1"/>
    <w:rsid w:val="00600986"/>
    <w:rsid w:val="006014CD"/>
    <w:rsid w:val="006015FD"/>
    <w:rsid w:val="0060274D"/>
    <w:rsid w:val="00602EAA"/>
    <w:rsid w:val="00605977"/>
    <w:rsid w:val="00605B2B"/>
    <w:rsid w:val="00606278"/>
    <w:rsid w:val="00606BF0"/>
    <w:rsid w:val="006111B4"/>
    <w:rsid w:val="006112C3"/>
    <w:rsid w:val="00611DBD"/>
    <w:rsid w:val="006120D4"/>
    <w:rsid w:val="0061230B"/>
    <w:rsid w:val="00615343"/>
    <w:rsid w:val="0061551F"/>
    <w:rsid w:val="00615A5C"/>
    <w:rsid w:val="00616F7C"/>
    <w:rsid w:val="00617820"/>
    <w:rsid w:val="006210EC"/>
    <w:rsid w:val="006213AB"/>
    <w:rsid w:val="00621C6E"/>
    <w:rsid w:val="00623026"/>
    <w:rsid w:val="006234CC"/>
    <w:rsid w:val="006245D5"/>
    <w:rsid w:val="0062584C"/>
    <w:rsid w:val="006267C5"/>
    <w:rsid w:val="006270EB"/>
    <w:rsid w:val="00627550"/>
    <w:rsid w:val="006278DD"/>
    <w:rsid w:val="00627A7A"/>
    <w:rsid w:val="00627B81"/>
    <w:rsid w:val="00630FBE"/>
    <w:rsid w:val="00633AE8"/>
    <w:rsid w:val="00633DF7"/>
    <w:rsid w:val="00633E3E"/>
    <w:rsid w:val="00634C83"/>
    <w:rsid w:val="006350B6"/>
    <w:rsid w:val="00635837"/>
    <w:rsid w:val="00636E03"/>
    <w:rsid w:val="0063769A"/>
    <w:rsid w:val="006406DD"/>
    <w:rsid w:val="00642552"/>
    <w:rsid w:val="00643245"/>
    <w:rsid w:val="00643986"/>
    <w:rsid w:val="00644555"/>
    <w:rsid w:val="0064508B"/>
    <w:rsid w:val="0064531C"/>
    <w:rsid w:val="006460FC"/>
    <w:rsid w:val="0064621D"/>
    <w:rsid w:val="006468AD"/>
    <w:rsid w:val="00650319"/>
    <w:rsid w:val="0065068C"/>
    <w:rsid w:val="00650AE7"/>
    <w:rsid w:val="00650B4B"/>
    <w:rsid w:val="006510DF"/>
    <w:rsid w:val="006514E5"/>
    <w:rsid w:val="006520A2"/>
    <w:rsid w:val="0065241A"/>
    <w:rsid w:val="00652E27"/>
    <w:rsid w:val="006530A1"/>
    <w:rsid w:val="00653620"/>
    <w:rsid w:val="00653D49"/>
    <w:rsid w:val="00653EF3"/>
    <w:rsid w:val="006541F9"/>
    <w:rsid w:val="0065487A"/>
    <w:rsid w:val="00654EA4"/>
    <w:rsid w:val="006559EC"/>
    <w:rsid w:val="00660D15"/>
    <w:rsid w:val="0066119C"/>
    <w:rsid w:val="006629BF"/>
    <w:rsid w:val="00662D07"/>
    <w:rsid w:val="00665CBF"/>
    <w:rsid w:val="00665E4D"/>
    <w:rsid w:val="00665F92"/>
    <w:rsid w:val="0066651C"/>
    <w:rsid w:val="00670276"/>
    <w:rsid w:val="00670FCF"/>
    <w:rsid w:val="006710C7"/>
    <w:rsid w:val="0067148D"/>
    <w:rsid w:val="00671698"/>
    <w:rsid w:val="00671887"/>
    <w:rsid w:val="00671BBB"/>
    <w:rsid w:val="00671DB9"/>
    <w:rsid w:val="006720AA"/>
    <w:rsid w:val="0067221B"/>
    <w:rsid w:val="00672501"/>
    <w:rsid w:val="0067286C"/>
    <w:rsid w:val="0067409D"/>
    <w:rsid w:val="006745A5"/>
    <w:rsid w:val="00674652"/>
    <w:rsid w:val="00675512"/>
    <w:rsid w:val="00676B1A"/>
    <w:rsid w:val="00677157"/>
    <w:rsid w:val="00677EC4"/>
    <w:rsid w:val="006805F8"/>
    <w:rsid w:val="006809C4"/>
    <w:rsid w:val="006816A4"/>
    <w:rsid w:val="00681FBB"/>
    <w:rsid w:val="006821C9"/>
    <w:rsid w:val="0068524C"/>
    <w:rsid w:val="0068759F"/>
    <w:rsid w:val="006875A6"/>
    <w:rsid w:val="00687746"/>
    <w:rsid w:val="00690CF8"/>
    <w:rsid w:val="00691F48"/>
    <w:rsid w:val="006921B5"/>
    <w:rsid w:val="00693330"/>
    <w:rsid w:val="006934A9"/>
    <w:rsid w:val="006946A0"/>
    <w:rsid w:val="00695189"/>
    <w:rsid w:val="0069576F"/>
    <w:rsid w:val="00696379"/>
    <w:rsid w:val="00696765"/>
    <w:rsid w:val="00696E1D"/>
    <w:rsid w:val="00697C3E"/>
    <w:rsid w:val="006A02EF"/>
    <w:rsid w:val="006A09D6"/>
    <w:rsid w:val="006A0F44"/>
    <w:rsid w:val="006A1346"/>
    <w:rsid w:val="006A1C71"/>
    <w:rsid w:val="006A24BA"/>
    <w:rsid w:val="006A4098"/>
    <w:rsid w:val="006A46B6"/>
    <w:rsid w:val="006A7255"/>
    <w:rsid w:val="006A7428"/>
    <w:rsid w:val="006A74EC"/>
    <w:rsid w:val="006A7B79"/>
    <w:rsid w:val="006B1F9C"/>
    <w:rsid w:val="006B3453"/>
    <w:rsid w:val="006B46C2"/>
    <w:rsid w:val="006B52AD"/>
    <w:rsid w:val="006B6BF3"/>
    <w:rsid w:val="006B711A"/>
    <w:rsid w:val="006B7733"/>
    <w:rsid w:val="006C0751"/>
    <w:rsid w:val="006C12E4"/>
    <w:rsid w:val="006C4765"/>
    <w:rsid w:val="006C50BF"/>
    <w:rsid w:val="006C57CE"/>
    <w:rsid w:val="006C5A83"/>
    <w:rsid w:val="006C6679"/>
    <w:rsid w:val="006C66D2"/>
    <w:rsid w:val="006C6A0D"/>
    <w:rsid w:val="006C6A35"/>
    <w:rsid w:val="006C6B98"/>
    <w:rsid w:val="006C75D3"/>
    <w:rsid w:val="006C79AC"/>
    <w:rsid w:val="006D1EC5"/>
    <w:rsid w:val="006D251C"/>
    <w:rsid w:val="006D3769"/>
    <w:rsid w:val="006D4217"/>
    <w:rsid w:val="006D4858"/>
    <w:rsid w:val="006D6003"/>
    <w:rsid w:val="006D6BC0"/>
    <w:rsid w:val="006D755F"/>
    <w:rsid w:val="006E11CA"/>
    <w:rsid w:val="006E11EA"/>
    <w:rsid w:val="006E1834"/>
    <w:rsid w:val="006E1BC7"/>
    <w:rsid w:val="006E1C4B"/>
    <w:rsid w:val="006E2832"/>
    <w:rsid w:val="006E29DA"/>
    <w:rsid w:val="006E3094"/>
    <w:rsid w:val="006E30B6"/>
    <w:rsid w:val="006E3585"/>
    <w:rsid w:val="006E37AB"/>
    <w:rsid w:val="006E38E9"/>
    <w:rsid w:val="006E3E1E"/>
    <w:rsid w:val="006E3EC3"/>
    <w:rsid w:val="006E3F24"/>
    <w:rsid w:val="006E63BD"/>
    <w:rsid w:val="006E66E5"/>
    <w:rsid w:val="006E675A"/>
    <w:rsid w:val="006E68B3"/>
    <w:rsid w:val="006E6C2D"/>
    <w:rsid w:val="006F04D1"/>
    <w:rsid w:val="006F0739"/>
    <w:rsid w:val="006F0B75"/>
    <w:rsid w:val="006F1273"/>
    <w:rsid w:val="006F21F5"/>
    <w:rsid w:val="006F2377"/>
    <w:rsid w:val="006F2864"/>
    <w:rsid w:val="006F36EF"/>
    <w:rsid w:val="006F4889"/>
    <w:rsid w:val="006F5535"/>
    <w:rsid w:val="006F5A8F"/>
    <w:rsid w:val="006F5B22"/>
    <w:rsid w:val="006F5C57"/>
    <w:rsid w:val="006F70BB"/>
    <w:rsid w:val="006F73B5"/>
    <w:rsid w:val="006F7C8D"/>
    <w:rsid w:val="00700372"/>
    <w:rsid w:val="00700FAD"/>
    <w:rsid w:val="00703186"/>
    <w:rsid w:val="0070439B"/>
    <w:rsid w:val="00704DC3"/>
    <w:rsid w:val="0070563E"/>
    <w:rsid w:val="00705DF8"/>
    <w:rsid w:val="007104D6"/>
    <w:rsid w:val="007106FB"/>
    <w:rsid w:val="00711552"/>
    <w:rsid w:val="007122BB"/>
    <w:rsid w:val="00713EC7"/>
    <w:rsid w:val="007143B1"/>
    <w:rsid w:val="007159C5"/>
    <w:rsid w:val="00716016"/>
    <w:rsid w:val="00716CD0"/>
    <w:rsid w:val="00716D9C"/>
    <w:rsid w:val="007200F8"/>
    <w:rsid w:val="007204B6"/>
    <w:rsid w:val="00720A72"/>
    <w:rsid w:val="00723652"/>
    <w:rsid w:val="0072435F"/>
    <w:rsid w:val="00724AE3"/>
    <w:rsid w:val="007254C1"/>
    <w:rsid w:val="007262C3"/>
    <w:rsid w:val="007266ED"/>
    <w:rsid w:val="00727092"/>
    <w:rsid w:val="0072788E"/>
    <w:rsid w:val="00727E23"/>
    <w:rsid w:val="00730022"/>
    <w:rsid w:val="00730701"/>
    <w:rsid w:val="0073197C"/>
    <w:rsid w:val="00731F09"/>
    <w:rsid w:val="00732D47"/>
    <w:rsid w:val="00732F96"/>
    <w:rsid w:val="00733335"/>
    <w:rsid w:val="00734B04"/>
    <w:rsid w:val="007351A1"/>
    <w:rsid w:val="00735883"/>
    <w:rsid w:val="00735CC3"/>
    <w:rsid w:val="00736A70"/>
    <w:rsid w:val="0073752F"/>
    <w:rsid w:val="00737B44"/>
    <w:rsid w:val="00740A74"/>
    <w:rsid w:val="007414EE"/>
    <w:rsid w:val="00741607"/>
    <w:rsid w:val="00741F24"/>
    <w:rsid w:val="0074207A"/>
    <w:rsid w:val="007428BD"/>
    <w:rsid w:val="0074344C"/>
    <w:rsid w:val="007434BF"/>
    <w:rsid w:val="00743D68"/>
    <w:rsid w:val="00745363"/>
    <w:rsid w:val="007453B1"/>
    <w:rsid w:val="007457D8"/>
    <w:rsid w:val="0074612F"/>
    <w:rsid w:val="00746609"/>
    <w:rsid w:val="00746B9C"/>
    <w:rsid w:val="00746C96"/>
    <w:rsid w:val="00746CE9"/>
    <w:rsid w:val="007473B0"/>
    <w:rsid w:val="007473C7"/>
    <w:rsid w:val="00747AB4"/>
    <w:rsid w:val="00751E2C"/>
    <w:rsid w:val="00752394"/>
    <w:rsid w:val="007528BE"/>
    <w:rsid w:val="00753DB2"/>
    <w:rsid w:val="00753E14"/>
    <w:rsid w:val="00754459"/>
    <w:rsid w:val="00754D2A"/>
    <w:rsid w:val="00754F6D"/>
    <w:rsid w:val="0075605A"/>
    <w:rsid w:val="0075659F"/>
    <w:rsid w:val="00756629"/>
    <w:rsid w:val="00757082"/>
    <w:rsid w:val="00757867"/>
    <w:rsid w:val="00757BA7"/>
    <w:rsid w:val="00760D03"/>
    <w:rsid w:val="00761ED8"/>
    <w:rsid w:val="00761FF1"/>
    <w:rsid w:val="00762973"/>
    <w:rsid w:val="00763310"/>
    <w:rsid w:val="00763991"/>
    <w:rsid w:val="00763B05"/>
    <w:rsid w:val="00764D2E"/>
    <w:rsid w:val="0076503F"/>
    <w:rsid w:val="00770053"/>
    <w:rsid w:val="007717CD"/>
    <w:rsid w:val="007719B5"/>
    <w:rsid w:val="00771E53"/>
    <w:rsid w:val="007723F0"/>
    <w:rsid w:val="00773760"/>
    <w:rsid w:val="007740DB"/>
    <w:rsid w:val="00774928"/>
    <w:rsid w:val="00774E11"/>
    <w:rsid w:val="007761B8"/>
    <w:rsid w:val="00780138"/>
    <w:rsid w:val="00781272"/>
    <w:rsid w:val="0078148A"/>
    <w:rsid w:val="0078198D"/>
    <w:rsid w:val="00781BB5"/>
    <w:rsid w:val="00781CB4"/>
    <w:rsid w:val="00784A0F"/>
    <w:rsid w:val="007851D3"/>
    <w:rsid w:val="00786CD7"/>
    <w:rsid w:val="007877A5"/>
    <w:rsid w:val="007906D3"/>
    <w:rsid w:val="00790D94"/>
    <w:rsid w:val="00791001"/>
    <w:rsid w:val="00791FBB"/>
    <w:rsid w:val="007934CF"/>
    <w:rsid w:val="007944B9"/>
    <w:rsid w:val="007958D5"/>
    <w:rsid w:val="00796B00"/>
    <w:rsid w:val="0079787A"/>
    <w:rsid w:val="007A000A"/>
    <w:rsid w:val="007A0508"/>
    <w:rsid w:val="007A0B61"/>
    <w:rsid w:val="007A1147"/>
    <w:rsid w:val="007A23A2"/>
    <w:rsid w:val="007A46F8"/>
    <w:rsid w:val="007A47FC"/>
    <w:rsid w:val="007A5223"/>
    <w:rsid w:val="007A5E27"/>
    <w:rsid w:val="007A6665"/>
    <w:rsid w:val="007A74A5"/>
    <w:rsid w:val="007A74DF"/>
    <w:rsid w:val="007A7608"/>
    <w:rsid w:val="007A7841"/>
    <w:rsid w:val="007B01BF"/>
    <w:rsid w:val="007B0BE3"/>
    <w:rsid w:val="007B14B9"/>
    <w:rsid w:val="007B2374"/>
    <w:rsid w:val="007B295F"/>
    <w:rsid w:val="007B2E6C"/>
    <w:rsid w:val="007B3EC0"/>
    <w:rsid w:val="007B3F89"/>
    <w:rsid w:val="007B3FE9"/>
    <w:rsid w:val="007B51A2"/>
    <w:rsid w:val="007B5516"/>
    <w:rsid w:val="007B58C0"/>
    <w:rsid w:val="007B6890"/>
    <w:rsid w:val="007B7031"/>
    <w:rsid w:val="007C0FD9"/>
    <w:rsid w:val="007C35F8"/>
    <w:rsid w:val="007C3A36"/>
    <w:rsid w:val="007C42F4"/>
    <w:rsid w:val="007C4D89"/>
    <w:rsid w:val="007C53DA"/>
    <w:rsid w:val="007C6DAF"/>
    <w:rsid w:val="007D28B0"/>
    <w:rsid w:val="007D2BDC"/>
    <w:rsid w:val="007D2CF3"/>
    <w:rsid w:val="007D37D7"/>
    <w:rsid w:val="007D38C3"/>
    <w:rsid w:val="007D3C1C"/>
    <w:rsid w:val="007D4426"/>
    <w:rsid w:val="007D46C9"/>
    <w:rsid w:val="007D4BC1"/>
    <w:rsid w:val="007D564D"/>
    <w:rsid w:val="007D5A7E"/>
    <w:rsid w:val="007D6597"/>
    <w:rsid w:val="007D6DEF"/>
    <w:rsid w:val="007D7758"/>
    <w:rsid w:val="007E0CDD"/>
    <w:rsid w:val="007E367E"/>
    <w:rsid w:val="007E3799"/>
    <w:rsid w:val="007E43BD"/>
    <w:rsid w:val="007E456E"/>
    <w:rsid w:val="007E46AB"/>
    <w:rsid w:val="007E7D45"/>
    <w:rsid w:val="007F05B0"/>
    <w:rsid w:val="007F219C"/>
    <w:rsid w:val="007F396A"/>
    <w:rsid w:val="007F3E9A"/>
    <w:rsid w:val="007F4973"/>
    <w:rsid w:val="007F4BB7"/>
    <w:rsid w:val="007F4E4F"/>
    <w:rsid w:val="007F525E"/>
    <w:rsid w:val="007F7A5E"/>
    <w:rsid w:val="007F7ED0"/>
    <w:rsid w:val="008002A0"/>
    <w:rsid w:val="008011A3"/>
    <w:rsid w:val="00801678"/>
    <w:rsid w:val="00801744"/>
    <w:rsid w:val="00801972"/>
    <w:rsid w:val="00801EE3"/>
    <w:rsid w:val="00803955"/>
    <w:rsid w:val="0080438F"/>
    <w:rsid w:val="008043B1"/>
    <w:rsid w:val="00805B39"/>
    <w:rsid w:val="00805E05"/>
    <w:rsid w:val="00806076"/>
    <w:rsid w:val="008073AB"/>
    <w:rsid w:val="00807DD4"/>
    <w:rsid w:val="0081184B"/>
    <w:rsid w:val="00811C77"/>
    <w:rsid w:val="00812CB4"/>
    <w:rsid w:val="008141C2"/>
    <w:rsid w:val="00814942"/>
    <w:rsid w:val="008160EB"/>
    <w:rsid w:val="00820056"/>
    <w:rsid w:val="008216C2"/>
    <w:rsid w:val="008222AB"/>
    <w:rsid w:val="0082284F"/>
    <w:rsid w:val="00822DCD"/>
    <w:rsid w:val="00823FBC"/>
    <w:rsid w:val="00824268"/>
    <w:rsid w:val="00824C3F"/>
    <w:rsid w:val="00825321"/>
    <w:rsid w:val="00825BF2"/>
    <w:rsid w:val="008268B6"/>
    <w:rsid w:val="00826D5C"/>
    <w:rsid w:val="00826DF2"/>
    <w:rsid w:val="0082763B"/>
    <w:rsid w:val="008276BE"/>
    <w:rsid w:val="00830303"/>
    <w:rsid w:val="008323CA"/>
    <w:rsid w:val="008325DF"/>
    <w:rsid w:val="0083274E"/>
    <w:rsid w:val="008333C5"/>
    <w:rsid w:val="00834210"/>
    <w:rsid w:val="00834615"/>
    <w:rsid w:val="008363A2"/>
    <w:rsid w:val="00836417"/>
    <w:rsid w:val="00836A96"/>
    <w:rsid w:val="0084005B"/>
    <w:rsid w:val="00840CB1"/>
    <w:rsid w:val="0084130E"/>
    <w:rsid w:val="008423E8"/>
    <w:rsid w:val="00842FAB"/>
    <w:rsid w:val="00843807"/>
    <w:rsid w:val="00843F20"/>
    <w:rsid w:val="008443C4"/>
    <w:rsid w:val="00844A86"/>
    <w:rsid w:val="00845810"/>
    <w:rsid w:val="0084592B"/>
    <w:rsid w:val="0084648B"/>
    <w:rsid w:val="00846EB7"/>
    <w:rsid w:val="0085017B"/>
    <w:rsid w:val="00850FA8"/>
    <w:rsid w:val="00851600"/>
    <w:rsid w:val="00852585"/>
    <w:rsid w:val="00852A61"/>
    <w:rsid w:val="00852B7E"/>
    <w:rsid w:val="0085373C"/>
    <w:rsid w:val="008538E5"/>
    <w:rsid w:val="0085446E"/>
    <w:rsid w:val="00854C59"/>
    <w:rsid w:val="00854DFD"/>
    <w:rsid w:val="0085516D"/>
    <w:rsid w:val="00855F9F"/>
    <w:rsid w:val="00856FDD"/>
    <w:rsid w:val="0085727D"/>
    <w:rsid w:val="00860890"/>
    <w:rsid w:val="00860A82"/>
    <w:rsid w:val="0086116A"/>
    <w:rsid w:val="0086124E"/>
    <w:rsid w:val="008621CE"/>
    <w:rsid w:val="00862481"/>
    <w:rsid w:val="00862D56"/>
    <w:rsid w:val="00864586"/>
    <w:rsid w:val="00864A38"/>
    <w:rsid w:val="008657B0"/>
    <w:rsid w:val="008658C1"/>
    <w:rsid w:val="0086608A"/>
    <w:rsid w:val="0086691F"/>
    <w:rsid w:val="00866EFF"/>
    <w:rsid w:val="00866F71"/>
    <w:rsid w:val="00867178"/>
    <w:rsid w:val="00870296"/>
    <w:rsid w:val="00870B8D"/>
    <w:rsid w:val="0087128B"/>
    <w:rsid w:val="008712D2"/>
    <w:rsid w:val="0087148E"/>
    <w:rsid w:val="008717C2"/>
    <w:rsid w:val="00871E37"/>
    <w:rsid w:val="008740F8"/>
    <w:rsid w:val="0087448A"/>
    <w:rsid w:val="008749CF"/>
    <w:rsid w:val="00875941"/>
    <w:rsid w:val="008769B5"/>
    <w:rsid w:val="00876FB9"/>
    <w:rsid w:val="00877259"/>
    <w:rsid w:val="00881809"/>
    <w:rsid w:val="00881B11"/>
    <w:rsid w:val="00881BF7"/>
    <w:rsid w:val="00881E13"/>
    <w:rsid w:val="00882B82"/>
    <w:rsid w:val="00883D32"/>
    <w:rsid w:val="00883F4C"/>
    <w:rsid w:val="00884F38"/>
    <w:rsid w:val="00885246"/>
    <w:rsid w:val="00885E0E"/>
    <w:rsid w:val="0088776D"/>
    <w:rsid w:val="00887834"/>
    <w:rsid w:val="00887DC3"/>
    <w:rsid w:val="0089013F"/>
    <w:rsid w:val="00890EB5"/>
    <w:rsid w:val="008911A7"/>
    <w:rsid w:val="0089133A"/>
    <w:rsid w:val="00891D20"/>
    <w:rsid w:val="008923B6"/>
    <w:rsid w:val="00892422"/>
    <w:rsid w:val="008924CD"/>
    <w:rsid w:val="008927BE"/>
    <w:rsid w:val="00895507"/>
    <w:rsid w:val="008958BA"/>
    <w:rsid w:val="00895CAB"/>
    <w:rsid w:val="00897EA8"/>
    <w:rsid w:val="008A22C2"/>
    <w:rsid w:val="008A32A1"/>
    <w:rsid w:val="008A39AC"/>
    <w:rsid w:val="008A47BE"/>
    <w:rsid w:val="008A4AEC"/>
    <w:rsid w:val="008A5554"/>
    <w:rsid w:val="008A55B5"/>
    <w:rsid w:val="008A5BE7"/>
    <w:rsid w:val="008A61AA"/>
    <w:rsid w:val="008A7BB7"/>
    <w:rsid w:val="008B0040"/>
    <w:rsid w:val="008B183F"/>
    <w:rsid w:val="008B3C16"/>
    <w:rsid w:val="008B3DF6"/>
    <w:rsid w:val="008B4077"/>
    <w:rsid w:val="008B4ACE"/>
    <w:rsid w:val="008B668F"/>
    <w:rsid w:val="008C112D"/>
    <w:rsid w:val="008C163F"/>
    <w:rsid w:val="008C17AA"/>
    <w:rsid w:val="008C21FE"/>
    <w:rsid w:val="008C3066"/>
    <w:rsid w:val="008C36C4"/>
    <w:rsid w:val="008C4E33"/>
    <w:rsid w:val="008C5098"/>
    <w:rsid w:val="008C52EB"/>
    <w:rsid w:val="008C5ABB"/>
    <w:rsid w:val="008C5B58"/>
    <w:rsid w:val="008C61F6"/>
    <w:rsid w:val="008C627A"/>
    <w:rsid w:val="008C721F"/>
    <w:rsid w:val="008C72BE"/>
    <w:rsid w:val="008C7EB0"/>
    <w:rsid w:val="008D000B"/>
    <w:rsid w:val="008D090D"/>
    <w:rsid w:val="008D0F5A"/>
    <w:rsid w:val="008D109B"/>
    <w:rsid w:val="008D3088"/>
    <w:rsid w:val="008D35AA"/>
    <w:rsid w:val="008D3C7C"/>
    <w:rsid w:val="008D4DCF"/>
    <w:rsid w:val="008E01EC"/>
    <w:rsid w:val="008E18C2"/>
    <w:rsid w:val="008E2099"/>
    <w:rsid w:val="008E25C8"/>
    <w:rsid w:val="008E2A39"/>
    <w:rsid w:val="008E2E3E"/>
    <w:rsid w:val="008E3D36"/>
    <w:rsid w:val="008E4E6C"/>
    <w:rsid w:val="008E56C4"/>
    <w:rsid w:val="008E61A2"/>
    <w:rsid w:val="008E6D79"/>
    <w:rsid w:val="008E73F2"/>
    <w:rsid w:val="008F048B"/>
    <w:rsid w:val="008F0850"/>
    <w:rsid w:val="008F1B66"/>
    <w:rsid w:val="008F28E0"/>
    <w:rsid w:val="008F3536"/>
    <w:rsid w:val="008F40EA"/>
    <w:rsid w:val="008F4161"/>
    <w:rsid w:val="008F41C2"/>
    <w:rsid w:val="008F50D7"/>
    <w:rsid w:val="008F54F3"/>
    <w:rsid w:val="008F5AA2"/>
    <w:rsid w:val="008F5E2D"/>
    <w:rsid w:val="008F6142"/>
    <w:rsid w:val="008F70EF"/>
    <w:rsid w:val="00901F51"/>
    <w:rsid w:val="00902E84"/>
    <w:rsid w:val="00903271"/>
    <w:rsid w:val="009034AB"/>
    <w:rsid w:val="00903E11"/>
    <w:rsid w:val="009043A6"/>
    <w:rsid w:val="00905F92"/>
    <w:rsid w:val="00906286"/>
    <w:rsid w:val="00906D4B"/>
    <w:rsid w:val="00907222"/>
    <w:rsid w:val="009100F4"/>
    <w:rsid w:val="00910B64"/>
    <w:rsid w:val="00910C1E"/>
    <w:rsid w:val="00911681"/>
    <w:rsid w:val="00911A91"/>
    <w:rsid w:val="00912679"/>
    <w:rsid w:val="009134CA"/>
    <w:rsid w:val="00913549"/>
    <w:rsid w:val="00914952"/>
    <w:rsid w:val="00916CD2"/>
    <w:rsid w:val="009174E6"/>
    <w:rsid w:val="00920555"/>
    <w:rsid w:val="00922251"/>
    <w:rsid w:val="0092359D"/>
    <w:rsid w:val="00923705"/>
    <w:rsid w:val="00924881"/>
    <w:rsid w:val="009253C6"/>
    <w:rsid w:val="00925DC5"/>
    <w:rsid w:val="009269A7"/>
    <w:rsid w:val="00926D86"/>
    <w:rsid w:val="0092708F"/>
    <w:rsid w:val="00927164"/>
    <w:rsid w:val="00927317"/>
    <w:rsid w:val="0093160E"/>
    <w:rsid w:val="00931B23"/>
    <w:rsid w:val="00931C2A"/>
    <w:rsid w:val="00933F10"/>
    <w:rsid w:val="0093447B"/>
    <w:rsid w:val="0093489E"/>
    <w:rsid w:val="00936654"/>
    <w:rsid w:val="00936C5B"/>
    <w:rsid w:val="009374A7"/>
    <w:rsid w:val="00937B6C"/>
    <w:rsid w:val="00937C6B"/>
    <w:rsid w:val="009401D2"/>
    <w:rsid w:val="009405B6"/>
    <w:rsid w:val="009411BB"/>
    <w:rsid w:val="00941243"/>
    <w:rsid w:val="00941504"/>
    <w:rsid w:val="00941D65"/>
    <w:rsid w:val="00941E28"/>
    <w:rsid w:val="009421A2"/>
    <w:rsid w:val="009434F4"/>
    <w:rsid w:val="009439BC"/>
    <w:rsid w:val="0094582C"/>
    <w:rsid w:val="0094683A"/>
    <w:rsid w:val="00946C0E"/>
    <w:rsid w:val="009472B5"/>
    <w:rsid w:val="00947988"/>
    <w:rsid w:val="00947ACD"/>
    <w:rsid w:val="00950EBB"/>
    <w:rsid w:val="009517DB"/>
    <w:rsid w:val="00951E2C"/>
    <w:rsid w:val="0095242D"/>
    <w:rsid w:val="009534A0"/>
    <w:rsid w:val="0095365E"/>
    <w:rsid w:val="0095661C"/>
    <w:rsid w:val="009568FE"/>
    <w:rsid w:val="00957558"/>
    <w:rsid w:val="009579C7"/>
    <w:rsid w:val="0096043D"/>
    <w:rsid w:val="00960BF6"/>
    <w:rsid w:val="009618F0"/>
    <w:rsid w:val="00961B94"/>
    <w:rsid w:val="00961BC1"/>
    <w:rsid w:val="00961FBE"/>
    <w:rsid w:val="00962394"/>
    <w:rsid w:val="00962B23"/>
    <w:rsid w:val="00965B68"/>
    <w:rsid w:val="00965DEE"/>
    <w:rsid w:val="00966F44"/>
    <w:rsid w:val="00967484"/>
    <w:rsid w:val="0097188A"/>
    <w:rsid w:val="00972A2F"/>
    <w:rsid w:val="00973675"/>
    <w:rsid w:val="0097368C"/>
    <w:rsid w:val="00974AA0"/>
    <w:rsid w:val="00974F20"/>
    <w:rsid w:val="009753E8"/>
    <w:rsid w:val="0097540A"/>
    <w:rsid w:val="009765AF"/>
    <w:rsid w:val="00976FAA"/>
    <w:rsid w:val="00980BB9"/>
    <w:rsid w:val="00981C20"/>
    <w:rsid w:val="0098228F"/>
    <w:rsid w:val="00982B33"/>
    <w:rsid w:val="00982F81"/>
    <w:rsid w:val="00983A01"/>
    <w:rsid w:val="00984B14"/>
    <w:rsid w:val="00986AAA"/>
    <w:rsid w:val="00986E75"/>
    <w:rsid w:val="00987B90"/>
    <w:rsid w:val="00987C80"/>
    <w:rsid w:val="009904C4"/>
    <w:rsid w:val="00991289"/>
    <w:rsid w:val="00991378"/>
    <w:rsid w:val="0099180C"/>
    <w:rsid w:val="00991FF7"/>
    <w:rsid w:val="00993078"/>
    <w:rsid w:val="00993EF4"/>
    <w:rsid w:val="0099410F"/>
    <w:rsid w:val="00994B09"/>
    <w:rsid w:val="009A13AD"/>
    <w:rsid w:val="009A1A2A"/>
    <w:rsid w:val="009A26D5"/>
    <w:rsid w:val="009A387A"/>
    <w:rsid w:val="009A3A2F"/>
    <w:rsid w:val="009A43D8"/>
    <w:rsid w:val="009A45BD"/>
    <w:rsid w:val="009A4D2A"/>
    <w:rsid w:val="009A517D"/>
    <w:rsid w:val="009A67C1"/>
    <w:rsid w:val="009A6B61"/>
    <w:rsid w:val="009A6C18"/>
    <w:rsid w:val="009A767E"/>
    <w:rsid w:val="009A7C35"/>
    <w:rsid w:val="009A7E2C"/>
    <w:rsid w:val="009B10C6"/>
    <w:rsid w:val="009B15C9"/>
    <w:rsid w:val="009B459B"/>
    <w:rsid w:val="009B4B52"/>
    <w:rsid w:val="009B4FBA"/>
    <w:rsid w:val="009B5122"/>
    <w:rsid w:val="009B57C7"/>
    <w:rsid w:val="009B5EAD"/>
    <w:rsid w:val="009C1752"/>
    <w:rsid w:val="009C2390"/>
    <w:rsid w:val="009C2886"/>
    <w:rsid w:val="009C2ACB"/>
    <w:rsid w:val="009C3191"/>
    <w:rsid w:val="009C607A"/>
    <w:rsid w:val="009C67DB"/>
    <w:rsid w:val="009C687B"/>
    <w:rsid w:val="009D0625"/>
    <w:rsid w:val="009D14F8"/>
    <w:rsid w:val="009D154F"/>
    <w:rsid w:val="009D2526"/>
    <w:rsid w:val="009D26CB"/>
    <w:rsid w:val="009D29BA"/>
    <w:rsid w:val="009D37AB"/>
    <w:rsid w:val="009D6967"/>
    <w:rsid w:val="009D72A4"/>
    <w:rsid w:val="009D731E"/>
    <w:rsid w:val="009D7A16"/>
    <w:rsid w:val="009E0BA7"/>
    <w:rsid w:val="009E13EE"/>
    <w:rsid w:val="009E1501"/>
    <w:rsid w:val="009E1B32"/>
    <w:rsid w:val="009E2975"/>
    <w:rsid w:val="009E30B5"/>
    <w:rsid w:val="009E3AF2"/>
    <w:rsid w:val="009E427D"/>
    <w:rsid w:val="009E6372"/>
    <w:rsid w:val="009E6671"/>
    <w:rsid w:val="009E736E"/>
    <w:rsid w:val="009E76EA"/>
    <w:rsid w:val="009E7F13"/>
    <w:rsid w:val="009F152A"/>
    <w:rsid w:val="009F1AEA"/>
    <w:rsid w:val="009F1F1C"/>
    <w:rsid w:val="009F32A0"/>
    <w:rsid w:val="009F3C1C"/>
    <w:rsid w:val="009F4675"/>
    <w:rsid w:val="009F5ECD"/>
    <w:rsid w:val="009F66F3"/>
    <w:rsid w:val="009F7086"/>
    <w:rsid w:val="00A00F3A"/>
    <w:rsid w:val="00A027AF"/>
    <w:rsid w:val="00A03EBD"/>
    <w:rsid w:val="00A03EF3"/>
    <w:rsid w:val="00A04D67"/>
    <w:rsid w:val="00A05168"/>
    <w:rsid w:val="00A056DA"/>
    <w:rsid w:val="00A07208"/>
    <w:rsid w:val="00A07923"/>
    <w:rsid w:val="00A11569"/>
    <w:rsid w:val="00A11D18"/>
    <w:rsid w:val="00A1207F"/>
    <w:rsid w:val="00A13AB7"/>
    <w:rsid w:val="00A13FAF"/>
    <w:rsid w:val="00A156D6"/>
    <w:rsid w:val="00A16ACB"/>
    <w:rsid w:val="00A20824"/>
    <w:rsid w:val="00A20D76"/>
    <w:rsid w:val="00A21B55"/>
    <w:rsid w:val="00A2214E"/>
    <w:rsid w:val="00A226ED"/>
    <w:rsid w:val="00A2328D"/>
    <w:rsid w:val="00A23544"/>
    <w:rsid w:val="00A236AC"/>
    <w:rsid w:val="00A24BCD"/>
    <w:rsid w:val="00A2526C"/>
    <w:rsid w:val="00A2573C"/>
    <w:rsid w:val="00A25819"/>
    <w:rsid w:val="00A260F0"/>
    <w:rsid w:val="00A30E95"/>
    <w:rsid w:val="00A30EAF"/>
    <w:rsid w:val="00A312C4"/>
    <w:rsid w:val="00A3220E"/>
    <w:rsid w:val="00A330DE"/>
    <w:rsid w:val="00A340A3"/>
    <w:rsid w:val="00A347E6"/>
    <w:rsid w:val="00A34E12"/>
    <w:rsid w:val="00A35A3E"/>
    <w:rsid w:val="00A41354"/>
    <w:rsid w:val="00A416C3"/>
    <w:rsid w:val="00A41D9C"/>
    <w:rsid w:val="00A42E2D"/>
    <w:rsid w:val="00A42FA2"/>
    <w:rsid w:val="00A449D7"/>
    <w:rsid w:val="00A44DB5"/>
    <w:rsid w:val="00A4684D"/>
    <w:rsid w:val="00A4687D"/>
    <w:rsid w:val="00A474E3"/>
    <w:rsid w:val="00A47B7F"/>
    <w:rsid w:val="00A47DFB"/>
    <w:rsid w:val="00A50537"/>
    <w:rsid w:val="00A51326"/>
    <w:rsid w:val="00A51D4E"/>
    <w:rsid w:val="00A5237B"/>
    <w:rsid w:val="00A5239C"/>
    <w:rsid w:val="00A53045"/>
    <w:rsid w:val="00A53993"/>
    <w:rsid w:val="00A53D3E"/>
    <w:rsid w:val="00A54277"/>
    <w:rsid w:val="00A54852"/>
    <w:rsid w:val="00A56466"/>
    <w:rsid w:val="00A56514"/>
    <w:rsid w:val="00A566D4"/>
    <w:rsid w:val="00A574EB"/>
    <w:rsid w:val="00A60FFD"/>
    <w:rsid w:val="00A6246F"/>
    <w:rsid w:val="00A628DA"/>
    <w:rsid w:val="00A63509"/>
    <w:rsid w:val="00A63682"/>
    <w:rsid w:val="00A6368B"/>
    <w:rsid w:val="00A638BA"/>
    <w:rsid w:val="00A64F70"/>
    <w:rsid w:val="00A66220"/>
    <w:rsid w:val="00A66233"/>
    <w:rsid w:val="00A663D2"/>
    <w:rsid w:val="00A666E9"/>
    <w:rsid w:val="00A67913"/>
    <w:rsid w:val="00A7220E"/>
    <w:rsid w:val="00A728A8"/>
    <w:rsid w:val="00A72D87"/>
    <w:rsid w:val="00A7325B"/>
    <w:rsid w:val="00A7444A"/>
    <w:rsid w:val="00A7581C"/>
    <w:rsid w:val="00A76669"/>
    <w:rsid w:val="00A76B9E"/>
    <w:rsid w:val="00A80224"/>
    <w:rsid w:val="00A802A8"/>
    <w:rsid w:val="00A8092F"/>
    <w:rsid w:val="00A811FC"/>
    <w:rsid w:val="00A815EE"/>
    <w:rsid w:val="00A81C23"/>
    <w:rsid w:val="00A81F3D"/>
    <w:rsid w:val="00A8248C"/>
    <w:rsid w:val="00A8277F"/>
    <w:rsid w:val="00A83555"/>
    <w:rsid w:val="00A839AF"/>
    <w:rsid w:val="00A84E32"/>
    <w:rsid w:val="00A90231"/>
    <w:rsid w:val="00A91457"/>
    <w:rsid w:val="00A9308B"/>
    <w:rsid w:val="00A93180"/>
    <w:rsid w:val="00A9332D"/>
    <w:rsid w:val="00A93A38"/>
    <w:rsid w:val="00A93B86"/>
    <w:rsid w:val="00A9434C"/>
    <w:rsid w:val="00A94396"/>
    <w:rsid w:val="00A95E60"/>
    <w:rsid w:val="00A96442"/>
    <w:rsid w:val="00A977D9"/>
    <w:rsid w:val="00A97C38"/>
    <w:rsid w:val="00AA08D5"/>
    <w:rsid w:val="00AA0AF7"/>
    <w:rsid w:val="00AA0C8F"/>
    <w:rsid w:val="00AA11F2"/>
    <w:rsid w:val="00AA154B"/>
    <w:rsid w:val="00AA1B55"/>
    <w:rsid w:val="00AA228D"/>
    <w:rsid w:val="00AA26D3"/>
    <w:rsid w:val="00AA2C3D"/>
    <w:rsid w:val="00AA2E08"/>
    <w:rsid w:val="00AA3566"/>
    <w:rsid w:val="00AA4E77"/>
    <w:rsid w:val="00AA5410"/>
    <w:rsid w:val="00AA592D"/>
    <w:rsid w:val="00AA5A50"/>
    <w:rsid w:val="00AA5B8D"/>
    <w:rsid w:val="00AA5E28"/>
    <w:rsid w:val="00AA620D"/>
    <w:rsid w:val="00AA64CE"/>
    <w:rsid w:val="00AA6FC4"/>
    <w:rsid w:val="00AB1345"/>
    <w:rsid w:val="00AB13B5"/>
    <w:rsid w:val="00AB1B1B"/>
    <w:rsid w:val="00AB394D"/>
    <w:rsid w:val="00AB57BF"/>
    <w:rsid w:val="00AB5875"/>
    <w:rsid w:val="00AB5987"/>
    <w:rsid w:val="00AB79F7"/>
    <w:rsid w:val="00AC0287"/>
    <w:rsid w:val="00AC0785"/>
    <w:rsid w:val="00AC159E"/>
    <w:rsid w:val="00AC1C43"/>
    <w:rsid w:val="00AC26BC"/>
    <w:rsid w:val="00AC2E14"/>
    <w:rsid w:val="00AC338B"/>
    <w:rsid w:val="00AC3A32"/>
    <w:rsid w:val="00AC453B"/>
    <w:rsid w:val="00AC4AC2"/>
    <w:rsid w:val="00AC4CAE"/>
    <w:rsid w:val="00AC5158"/>
    <w:rsid w:val="00AC64C2"/>
    <w:rsid w:val="00AC6DCD"/>
    <w:rsid w:val="00AC7869"/>
    <w:rsid w:val="00AC787E"/>
    <w:rsid w:val="00AC79B8"/>
    <w:rsid w:val="00AD001F"/>
    <w:rsid w:val="00AD04EF"/>
    <w:rsid w:val="00AD0926"/>
    <w:rsid w:val="00AD0D0C"/>
    <w:rsid w:val="00AD15F8"/>
    <w:rsid w:val="00AD24AE"/>
    <w:rsid w:val="00AD2D94"/>
    <w:rsid w:val="00AD3041"/>
    <w:rsid w:val="00AD3BE3"/>
    <w:rsid w:val="00AD48AE"/>
    <w:rsid w:val="00AD4BCD"/>
    <w:rsid w:val="00AD753C"/>
    <w:rsid w:val="00AE20BE"/>
    <w:rsid w:val="00AE315A"/>
    <w:rsid w:val="00AE5023"/>
    <w:rsid w:val="00AE5535"/>
    <w:rsid w:val="00AE5F94"/>
    <w:rsid w:val="00AE65D3"/>
    <w:rsid w:val="00AE7092"/>
    <w:rsid w:val="00AF0009"/>
    <w:rsid w:val="00AF0337"/>
    <w:rsid w:val="00AF2149"/>
    <w:rsid w:val="00AF22D6"/>
    <w:rsid w:val="00AF2367"/>
    <w:rsid w:val="00AF241F"/>
    <w:rsid w:val="00AF2D81"/>
    <w:rsid w:val="00AF3122"/>
    <w:rsid w:val="00AF35BC"/>
    <w:rsid w:val="00AF3A5C"/>
    <w:rsid w:val="00AF487F"/>
    <w:rsid w:val="00AF686F"/>
    <w:rsid w:val="00AF699D"/>
    <w:rsid w:val="00AF7B27"/>
    <w:rsid w:val="00B00397"/>
    <w:rsid w:val="00B00A7B"/>
    <w:rsid w:val="00B00CA0"/>
    <w:rsid w:val="00B00D43"/>
    <w:rsid w:val="00B0128F"/>
    <w:rsid w:val="00B0149A"/>
    <w:rsid w:val="00B023B1"/>
    <w:rsid w:val="00B02AF1"/>
    <w:rsid w:val="00B02D80"/>
    <w:rsid w:val="00B039BA"/>
    <w:rsid w:val="00B0463B"/>
    <w:rsid w:val="00B04B44"/>
    <w:rsid w:val="00B04CD4"/>
    <w:rsid w:val="00B05AA0"/>
    <w:rsid w:val="00B05B68"/>
    <w:rsid w:val="00B05B76"/>
    <w:rsid w:val="00B05D11"/>
    <w:rsid w:val="00B06025"/>
    <w:rsid w:val="00B06A71"/>
    <w:rsid w:val="00B06B7C"/>
    <w:rsid w:val="00B07222"/>
    <w:rsid w:val="00B10E75"/>
    <w:rsid w:val="00B11425"/>
    <w:rsid w:val="00B12134"/>
    <w:rsid w:val="00B121A5"/>
    <w:rsid w:val="00B128F8"/>
    <w:rsid w:val="00B135B1"/>
    <w:rsid w:val="00B14FE1"/>
    <w:rsid w:val="00B150D2"/>
    <w:rsid w:val="00B1587E"/>
    <w:rsid w:val="00B1609F"/>
    <w:rsid w:val="00B1612A"/>
    <w:rsid w:val="00B200ED"/>
    <w:rsid w:val="00B20937"/>
    <w:rsid w:val="00B209D7"/>
    <w:rsid w:val="00B20FDC"/>
    <w:rsid w:val="00B21B63"/>
    <w:rsid w:val="00B2238B"/>
    <w:rsid w:val="00B22FE7"/>
    <w:rsid w:val="00B23098"/>
    <w:rsid w:val="00B2386E"/>
    <w:rsid w:val="00B2400D"/>
    <w:rsid w:val="00B24633"/>
    <w:rsid w:val="00B25003"/>
    <w:rsid w:val="00B322A4"/>
    <w:rsid w:val="00B337BB"/>
    <w:rsid w:val="00B3414F"/>
    <w:rsid w:val="00B35129"/>
    <w:rsid w:val="00B354F5"/>
    <w:rsid w:val="00B356B7"/>
    <w:rsid w:val="00B35E16"/>
    <w:rsid w:val="00B369D6"/>
    <w:rsid w:val="00B36CD2"/>
    <w:rsid w:val="00B3743E"/>
    <w:rsid w:val="00B37613"/>
    <w:rsid w:val="00B37BF0"/>
    <w:rsid w:val="00B4028C"/>
    <w:rsid w:val="00B4066C"/>
    <w:rsid w:val="00B4166D"/>
    <w:rsid w:val="00B41EEC"/>
    <w:rsid w:val="00B422E6"/>
    <w:rsid w:val="00B42C61"/>
    <w:rsid w:val="00B43BC0"/>
    <w:rsid w:val="00B45405"/>
    <w:rsid w:val="00B4588D"/>
    <w:rsid w:val="00B459AF"/>
    <w:rsid w:val="00B469E0"/>
    <w:rsid w:val="00B471BC"/>
    <w:rsid w:val="00B5068A"/>
    <w:rsid w:val="00B511D5"/>
    <w:rsid w:val="00B527E1"/>
    <w:rsid w:val="00B52C00"/>
    <w:rsid w:val="00B530A6"/>
    <w:rsid w:val="00B56497"/>
    <w:rsid w:val="00B566B3"/>
    <w:rsid w:val="00B57EB7"/>
    <w:rsid w:val="00B60828"/>
    <w:rsid w:val="00B610A3"/>
    <w:rsid w:val="00B62DBD"/>
    <w:rsid w:val="00B666E7"/>
    <w:rsid w:val="00B66B0F"/>
    <w:rsid w:val="00B67056"/>
    <w:rsid w:val="00B67479"/>
    <w:rsid w:val="00B7014B"/>
    <w:rsid w:val="00B70F22"/>
    <w:rsid w:val="00B71130"/>
    <w:rsid w:val="00B7359D"/>
    <w:rsid w:val="00B74CBE"/>
    <w:rsid w:val="00B75428"/>
    <w:rsid w:val="00B76070"/>
    <w:rsid w:val="00B76C8B"/>
    <w:rsid w:val="00B7725D"/>
    <w:rsid w:val="00B77B1B"/>
    <w:rsid w:val="00B77FDC"/>
    <w:rsid w:val="00B810BC"/>
    <w:rsid w:val="00B8162D"/>
    <w:rsid w:val="00B81B92"/>
    <w:rsid w:val="00B82F93"/>
    <w:rsid w:val="00B8336A"/>
    <w:rsid w:val="00B833DE"/>
    <w:rsid w:val="00B83563"/>
    <w:rsid w:val="00B862A7"/>
    <w:rsid w:val="00B86A7D"/>
    <w:rsid w:val="00B86D27"/>
    <w:rsid w:val="00B870DB"/>
    <w:rsid w:val="00B87189"/>
    <w:rsid w:val="00B91BE8"/>
    <w:rsid w:val="00B9287B"/>
    <w:rsid w:val="00B93071"/>
    <w:rsid w:val="00B93CE8"/>
    <w:rsid w:val="00B93DCC"/>
    <w:rsid w:val="00B948C9"/>
    <w:rsid w:val="00B94B4B"/>
    <w:rsid w:val="00B95A1D"/>
    <w:rsid w:val="00B9694E"/>
    <w:rsid w:val="00B9696B"/>
    <w:rsid w:val="00B97426"/>
    <w:rsid w:val="00BA01E3"/>
    <w:rsid w:val="00BA0565"/>
    <w:rsid w:val="00BA1060"/>
    <w:rsid w:val="00BA2F8E"/>
    <w:rsid w:val="00BA4E5E"/>
    <w:rsid w:val="00BA6A31"/>
    <w:rsid w:val="00BA6E3A"/>
    <w:rsid w:val="00BA72D3"/>
    <w:rsid w:val="00BA7499"/>
    <w:rsid w:val="00BA754C"/>
    <w:rsid w:val="00BA79AD"/>
    <w:rsid w:val="00BB02D6"/>
    <w:rsid w:val="00BB17DD"/>
    <w:rsid w:val="00BB2165"/>
    <w:rsid w:val="00BB28AE"/>
    <w:rsid w:val="00BB2C3A"/>
    <w:rsid w:val="00BB4A5C"/>
    <w:rsid w:val="00BB5991"/>
    <w:rsid w:val="00BB5D10"/>
    <w:rsid w:val="00BB6110"/>
    <w:rsid w:val="00BB718C"/>
    <w:rsid w:val="00BB720B"/>
    <w:rsid w:val="00BB7F3E"/>
    <w:rsid w:val="00BC05E5"/>
    <w:rsid w:val="00BC0A4D"/>
    <w:rsid w:val="00BC0B98"/>
    <w:rsid w:val="00BC1D82"/>
    <w:rsid w:val="00BC2A53"/>
    <w:rsid w:val="00BC475D"/>
    <w:rsid w:val="00BC542E"/>
    <w:rsid w:val="00BC550D"/>
    <w:rsid w:val="00BC5C25"/>
    <w:rsid w:val="00BC602D"/>
    <w:rsid w:val="00BC71D9"/>
    <w:rsid w:val="00BC7B20"/>
    <w:rsid w:val="00BD0050"/>
    <w:rsid w:val="00BD0234"/>
    <w:rsid w:val="00BD135C"/>
    <w:rsid w:val="00BD1D09"/>
    <w:rsid w:val="00BD25B6"/>
    <w:rsid w:val="00BD4697"/>
    <w:rsid w:val="00BD4B73"/>
    <w:rsid w:val="00BD5915"/>
    <w:rsid w:val="00BD618E"/>
    <w:rsid w:val="00BD696C"/>
    <w:rsid w:val="00BD77FF"/>
    <w:rsid w:val="00BE0253"/>
    <w:rsid w:val="00BE15A8"/>
    <w:rsid w:val="00BE18DA"/>
    <w:rsid w:val="00BE2101"/>
    <w:rsid w:val="00BE2150"/>
    <w:rsid w:val="00BE263B"/>
    <w:rsid w:val="00BE26BA"/>
    <w:rsid w:val="00BE2DFB"/>
    <w:rsid w:val="00BE3321"/>
    <w:rsid w:val="00BE3BC3"/>
    <w:rsid w:val="00BE3EAC"/>
    <w:rsid w:val="00BE4144"/>
    <w:rsid w:val="00BE4400"/>
    <w:rsid w:val="00BE545F"/>
    <w:rsid w:val="00BE66E6"/>
    <w:rsid w:val="00BF03C9"/>
    <w:rsid w:val="00BF05CB"/>
    <w:rsid w:val="00BF0A29"/>
    <w:rsid w:val="00BF227E"/>
    <w:rsid w:val="00BF2A40"/>
    <w:rsid w:val="00BF322B"/>
    <w:rsid w:val="00BF4054"/>
    <w:rsid w:val="00BF5140"/>
    <w:rsid w:val="00BF54B9"/>
    <w:rsid w:val="00BF656C"/>
    <w:rsid w:val="00BF67C5"/>
    <w:rsid w:val="00BF78B1"/>
    <w:rsid w:val="00C010D1"/>
    <w:rsid w:val="00C0203B"/>
    <w:rsid w:val="00C0271D"/>
    <w:rsid w:val="00C03289"/>
    <w:rsid w:val="00C040E6"/>
    <w:rsid w:val="00C0467F"/>
    <w:rsid w:val="00C04886"/>
    <w:rsid w:val="00C04FA9"/>
    <w:rsid w:val="00C054FF"/>
    <w:rsid w:val="00C05975"/>
    <w:rsid w:val="00C0678A"/>
    <w:rsid w:val="00C11D1B"/>
    <w:rsid w:val="00C1236F"/>
    <w:rsid w:val="00C123ED"/>
    <w:rsid w:val="00C12971"/>
    <w:rsid w:val="00C1340C"/>
    <w:rsid w:val="00C1362E"/>
    <w:rsid w:val="00C15479"/>
    <w:rsid w:val="00C1549E"/>
    <w:rsid w:val="00C168B7"/>
    <w:rsid w:val="00C16C5B"/>
    <w:rsid w:val="00C176F6"/>
    <w:rsid w:val="00C17F99"/>
    <w:rsid w:val="00C20595"/>
    <w:rsid w:val="00C20970"/>
    <w:rsid w:val="00C20C57"/>
    <w:rsid w:val="00C22388"/>
    <w:rsid w:val="00C22774"/>
    <w:rsid w:val="00C22A9A"/>
    <w:rsid w:val="00C2363D"/>
    <w:rsid w:val="00C24071"/>
    <w:rsid w:val="00C2490E"/>
    <w:rsid w:val="00C24E79"/>
    <w:rsid w:val="00C2560E"/>
    <w:rsid w:val="00C25B88"/>
    <w:rsid w:val="00C26000"/>
    <w:rsid w:val="00C26C3D"/>
    <w:rsid w:val="00C318A6"/>
    <w:rsid w:val="00C32E41"/>
    <w:rsid w:val="00C32E62"/>
    <w:rsid w:val="00C32F7F"/>
    <w:rsid w:val="00C33579"/>
    <w:rsid w:val="00C33BCD"/>
    <w:rsid w:val="00C34536"/>
    <w:rsid w:val="00C3588B"/>
    <w:rsid w:val="00C3632E"/>
    <w:rsid w:val="00C364C0"/>
    <w:rsid w:val="00C3681F"/>
    <w:rsid w:val="00C369EC"/>
    <w:rsid w:val="00C36E6A"/>
    <w:rsid w:val="00C4094E"/>
    <w:rsid w:val="00C41553"/>
    <w:rsid w:val="00C41BE9"/>
    <w:rsid w:val="00C41E3F"/>
    <w:rsid w:val="00C425CD"/>
    <w:rsid w:val="00C44454"/>
    <w:rsid w:val="00C44E2E"/>
    <w:rsid w:val="00C45B74"/>
    <w:rsid w:val="00C45F8B"/>
    <w:rsid w:val="00C45FB1"/>
    <w:rsid w:val="00C4662A"/>
    <w:rsid w:val="00C46A0B"/>
    <w:rsid w:val="00C4768C"/>
    <w:rsid w:val="00C477A6"/>
    <w:rsid w:val="00C51636"/>
    <w:rsid w:val="00C525CE"/>
    <w:rsid w:val="00C52C34"/>
    <w:rsid w:val="00C53574"/>
    <w:rsid w:val="00C53E98"/>
    <w:rsid w:val="00C546C2"/>
    <w:rsid w:val="00C55851"/>
    <w:rsid w:val="00C55F78"/>
    <w:rsid w:val="00C57078"/>
    <w:rsid w:val="00C57126"/>
    <w:rsid w:val="00C57DC0"/>
    <w:rsid w:val="00C57E20"/>
    <w:rsid w:val="00C60A4E"/>
    <w:rsid w:val="00C61435"/>
    <w:rsid w:val="00C618E2"/>
    <w:rsid w:val="00C619FB"/>
    <w:rsid w:val="00C62F50"/>
    <w:rsid w:val="00C633C8"/>
    <w:rsid w:val="00C63699"/>
    <w:rsid w:val="00C65496"/>
    <w:rsid w:val="00C65905"/>
    <w:rsid w:val="00C659CF"/>
    <w:rsid w:val="00C65D1B"/>
    <w:rsid w:val="00C6697B"/>
    <w:rsid w:val="00C66D89"/>
    <w:rsid w:val="00C67730"/>
    <w:rsid w:val="00C7003B"/>
    <w:rsid w:val="00C70077"/>
    <w:rsid w:val="00C70E3B"/>
    <w:rsid w:val="00C71C57"/>
    <w:rsid w:val="00C729E4"/>
    <w:rsid w:val="00C73EFA"/>
    <w:rsid w:val="00C74DAE"/>
    <w:rsid w:val="00C772F0"/>
    <w:rsid w:val="00C77E40"/>
    <w:rsid w:val="00C8002D"/>
    <w:rsid w:val="00C80DC4"/>
    <w:rsid w:val="00C8199A"/>
    <w:rsid w:val="00C84CB4"/>
    <w:rsid w:val="00C84D32"/>
    <w:rsid w:val="00C86006"/>
    <w:rsid w:val="00C8714D"/>
    <w:rsid w:val="00C87216"/>
    <w:rsid w:val="00C8734F"/>
    <w:rsid w:val="00C8786A"/>
    <w:rsid w:val="00C87CAB"/>
    <w:rsid w:val="00C87FD0"/>
    <w:rsid w:val="00C90321"/>
    <w:rsid w:val="00C904B7"/>
    <w:rsid w:val="00C9194C"/>
    <w:rsid w:val="00C923C7"/>
    <w:rsid w:val="00C93A41"/>
    <w:rsid w:val="00C9430C"/>
    <w:rsid w:val="00C94565"/>
    <w:rsid w:val="00C95AA9"/>
    <w:rsid w:val="00C95E1D"/>
    <w:rsid w:val="00C9619C"/>
    <w:rsid w:val="00C964C4"/>
    <w:rsid w:val="00C96575"/>
    <w:rsid w:val="00C96B9D"/>
    <w:rsid w:val="00C96C6F"/>
    <w:rsid w:val="00C97C5B"/>
    <w:rsid w:val="00C97E1E"/>
    <w:rsid w:val="00C97E85"/>
    <w:rsid w:val="00CA0A1F"/>
    <w:rsid w:val="00CA0BB7"/>
    <w:rsid w:val="00CA34DA"/>
    <w:rsid w:val="00CA373C"/>
    <w:rsid w:val="00CA39F1"/>
    <w:rsid w:val="00CA3A2B"/>
    <w:rsid w:val="00CA530F"/>
    <w:rsid w:val="00CA58A7"/>
    <w:rsid w:val="00CA690F"/>
    <w:rsid w:val="00CA74F9"/>
    <w:rsid w:val="00CB022E"/>
    <w:rsid w:val="00CB0985"/>
    <w:rsid w:val="00CB0FE7"/>
    <w:rsid w:val="00CB14BB"/>
    <w:rsid w:val="00CB1FAD"/>
    <w:rsid w:val="00CB21F8"/>
    <w:rsid w:val="00CB2DF3"/>
    <w:rsid w:val="00CB3950"/>
    <w:rsid w:val="00CB3E0E"/>
    <w:rsid w:val="00CB41A8"/>
    <w:rsid w:val="00CB774C"/>
    <w:rsid w:val="00CB79A0"/>
    <w:rsid w:val="00CC062F"/>
    <w:rsid w:val="00CC1680"/>
    <w:rsid w:val="00CC321B"/>
    <w:rsid w:val="00CC3592"/>
    <w:rsid w:val="00CC4920"/>
    <w:rsid w:val="00CC5299"/>
    <w:rsid w:val="00CC6048"/>
    <w:rsid w:val="00CC6C94"/>
    <w:rsid w:val="00CC7322"/>
    <w:rsid w:val="00CC7892"/>
    <w:rsid w:val="00CD24B1"/>
    <w:rsid w:val="00CD2A51"/>
    <w:rsid w:val="00CD3761"/>
    <w:rsid w:val="00CD41F8"/>
    <w:rsid w:val="00CD6AB9"/>
    <w:rsid w:val="00CD6B9A"/>
    <w:rsid w:val="00CD6DAC"/>
    <w:rsid w:val="00CD7502"/>
    <w:rsid w:val="00CE1D00"/>
    <w:rsid w:val="00CE29C9"/>
    <w:rsid w:val="00CE36E7"/>
    <w:rsid w:val="00CE37F5"/>
    <w:rsid w:val="00CE3C8E"/>
    <w:rsid w:val="00CE4899"/>
    <w:rsid w:val="00CE5E11"/>
    <w:rsid w:val="00CE614C"/>
    <w:rsid w:val="00CE62F6"/>
    <w:rsid w:val="00CE7A7B"/>
    <w:rsid w:val="00CF008F"/>
    <w:rsid w:val="00CF00E6"/>
    <w:rsid w:val="00CF01A3"/>
    <w:rsid w:val="00CF036B"/>
    <w:rsid w:val="00CF0AE5"/>
    <w:rsid w:val="00CF0FCF"/>
    <w:rsid w:val="00CF18BB"/>
    <w:rsid w:val="00CF2DE5"/>
    <w:rsid w:val="00CF2E36"/>
    <w:rsid w:val="00CF35D0"/>
    <w:rsid w:val="00CF62DC"/>
    <w:rsid w:val="00CF716C"/>
    <w:rsid w:val="00CF759F"/>
    <w:rsid w:val="00D00488"/>
    <w:rsid w:val="00D004C9"/>
    <w:rsid w:val="00D004E7"/>
    <w:rsid w:val="00D01283"/>
    <w:rsid w:val="00D015C0"/>
    <w:rsid w:val="00D037F1"/>
    <w:rsid w:val="00D03D21"/>
    <w:rsid w:val="00D046C1"/>
    <w:rsid w:val="00D0470C"/>
    <w:rsid w:val="00D0502A"/>
    <w:rsid w:val="00D05BE9"/>
    <w:rsid w:val="00D06103"/>
    <w:rsid w:val="00D06A6C"/>
    <w:rsid w:val="00D06E34"/>
    <w:rsid w:val="00D06EA3"/>
    <w:rsid w:val="00D06F00"/>
    <w:rsid w:val="00D06F06"/>
    <w:rsid w:val="00D07567"/>
    <w:rsid w:val="00D10834"/>
    <w:rsid w:val="00D10DC3"/>
    <w:rsid w:val="00D1225A"/>
    <w:rsid w:val="00D12DDA"/>
    <w:rsid w:val="00D12DF2"/>
    <w:rsid w:val="00D12FDA"/>
    <w:rsid w:val="00D1302D"/>
    <w:rsid w:val="00D13797"/>
    <w:rsid w:val="00D139C3"/>
    <w:rsid w:val="00D14419"/>
    <w:rsid w:val="00D144C4"/>
    <w:rsid w:val="00D14845"/>
    <w:rsid w:val="00D1667D"/>
    <w:rsid w:val="00D1672A"/>
    <w:rsid w:val="00D20218"/>
    <w:rsid w:val="00D20346"/>
    <w:rsid w:val="00D20400"/>
    <w:rsid w:val="00D20EFC"/>
    <w:rsid w:val="00D22078"/>
    <w:rsid w:val="00D22847"/>
    <w:rsid w:val="00D2318E"/>
    <w:rsid w:val="00D23CCA"/>
    <w:rsid w:val="00D23CF4"/>
    <w:rsid w:val="00D2473D"/>
    <w:rsid w:val="00D25059"/>
    <w:rsid w:val="00D2520E"/>
    <w:rsid w:val="00D25FAA"/>
    <w:rsid w:val="00D2664E"/>
    <w:rsid w:val="00D271D0"/>
    <w:rsid w:val="00D273AF"/>
    <w:rsid w:val="00D3092F"/>
    <w:rsid w:val="00D31570"/>
    <w:rsid w:val="00D34722"/>
    <w:rsid w:val="00D34916"/>
    <w:rsid w:val="00D350F6"/>
    <w:rsid w:val="00D3539A"/>
    <w:rsid w:val="00D355BA"/>
    <w:rsid w:val="00D36561"/>
    <w:rsid w:val="00D37576"/>
    <w:rsid w:val="00D37ADC"/>
    <w:rsid w:val="00D40CDC"/>
    <w:rsid w:val="00D412ED"/>
    <w:rsid w:val="00D41393"/>
    <w:rsid w:val="00D43482"/>
    <w:rsid w:val="00D43685"/>
    <w:rsid w:val="00D44104"/>
    <w:rsid w:val="00D44654"/>
    <w:rsid w:val="00D46CEE"/>
    <w:rsid w:val="00D47486"/>
    <w:rsid w:val="00D47605"/>
    <w:rsid w:val="00D4761D"/>
    <w:rsid w:val="00D47751"/>
    <w:rsid w:val="00D50309"/>
    <w:rsid w:val="00D5087F"/>
    <w:rsid w:val="00D5167E"/>
    <w:rsid w:val="00D51831"/>
    <w:rsid w:val="00D52E1A"/>
    <w:rsid w:val="00D5335A"/>
    <w:rsid w:val="00D534A1"/>
    <w:rsid w:val="00D5370C"/>
    <w:rsid w:val="00D53A86"/>
    <w:rsid w:val="00D53F5B"/>
    <w:rsid w:val="00D554F6"/>
    <w:rsid w:val="00D5590C"/>
    <w:rsid w:val="00D562BC"/>
    <w:rsid w:val="00D56357"/>
    <w:rsid w:val="00D56C74"/>
    <w:rsid w:val="00D56F27"/>
    <w:rsid w:val="00D570CE"/>
    <w:rsid w:val="00D607CD"/>
    <w:rsid w:val="00D6091A"/>
    <w:rsid w:val="00D612E0"/>
    <w:rsid w:val="00D61847"/>
    <w:rsid w:val="00D637B4"/>
    <w:rsid w:val="00D64FFE"/>
    <w:rsid w:val="00D651E8"/>
    <w:rsid w:val="00D65801"/>
    <w:rsid w:val="00D65CC5"/>
    <w:rsid w:val="00D66BCF"/>
    <w:rsid w:val="00D679CB"/>
    <w:rsid w:val="00D72A24"/>
    <w:rsid w:val="00D72ADA"/>
    <w:rsid w:val="00D72C25"/>
    <w:rsid w:val="00D73B35"/>
    <w:rsid w:val="00D73B5D"/>
    <w:rsid w:val="00D73B73"/>
    <w:rsid w:val="00D76394"/>
    <w:rsid w:val="00D76990"/>
    <w:rsid w:val="00D76B79"/>
    <w:rsid w:val="00D76F02"/>
    <w:rsid w:val="00D77F00"/>
    <w:rsid w:val="00D8077A"/>
    <w:rsid w:val="00D82679"/>
    <w:rsid w:val="00D82F11"/>
    <w:rsid w:val="00D83205"/>
    <w:rsid w:val="00D838FC"/>
    <w:rsid w:val="00D83BA3"/>
    <w:rsid w:val="00D842CF"/>
    <w:rsid w:val="00D85869"/>
    <w:rsid w:val="00D8612F"/>
    <w:rsid w:val="00D865CF"/>
    <w:rsid w:val="00D86E9F"/>
    <w:rsid w:val="00D92FAF"/>
    <w:rsid w:val="00D9305A"/>
    <w:rsid w:val="00D93886"/>
    <w:rsid w:val="00D93E4A"/>
    <w:rsid w:val="00DA139C"/>
    <w:rsid w:val="00DA165C"/>
    <w:rsid w:val="00DA1C82"/>
    <w:rsid w:val="00DA2198"/>
    <w:rsid w:val="00DA246F"/>
    <w:rsid w:val="00DA2827"/>
    <w:rsid w:val="00DA3492"/>
    <w:rsid w:val="00DA3C06"/>
    <w:rsid w:val="00DA412B"/>
    <w:rsid w:val="00DA54EF"/>
    <w:rsid w:val="00DA5747"/>
    <w:rsid w:val="00DA5C8A"/>
    <w:rsid w:val="00DA74F9"/>
    <w:rsid w:val="00DB0597"/>
    <w:rsid w:val="00DB25E4"/>
    <w:rsid w:val="00DB27E8"/>
    <w:rsid w:val="00DB32B6"/>
    <w:rsid w:val="00DB4508"/>
    <w:rsid w:val="00DB47CE"/>
    <w:rsid w:val="00DB4909"/>
    <w:rsid w:val="00DB501C"/>
    <w:rsid w:val="00DB6063"/>
    <w:rsid w:val="00DB6121"/>
    <w:rsid w:val="00DB666B"/>
    <w:rsid w:val="00DB71BE"/>
    <w:rsid w:val="00DB737A"/>
    <w:rsid w:val="00DB7C19"/>
    <w:rsid w:val="00DB7C61"/>
    <w:rsid w:val="00DB7E14"/>
    <w:rsid w:val="00DB7FDC"/>
    <w:rsid w:val="00DC0063"/>
    <w:rsid w:val="00DC037D"/>
    <w:rsid w:val="00DC0E62"/>
    <w:rsid w:val="00DC1064"/>
    <w:rsid w:val="00DC14A3"/>
    <w:rsid w:val="00DC3713"/>
    <w:rsid w:val="00DC509C"/>
    <w:rsid w:val="00DC63F2"/>
    <w:rsid w:val="00DC6738"/>
    <w:rsid w:val="00DC6A69"/>
    <w:rsid w:val="00DC763F"/>
    <w:rsid w:val="00DD00C1"/>
    <w:rsid w:val="00DD14E7"/>
    <w:rsid w:val="00DD1CD3"/>
    <w:rsid w:val="00DD1ECE"/>
    <w:rsid w:val="00DD2D3A"/>
    <w:rsid w:val="00DD32BB"/>
    <w:rsid w:val="00DD3EA4"/>
    <w:rsid w:val="00DD4BD2"/>
    <w:rsid w:val="00DD5227"/>
    <w:rsid w:val="00DD5971"/>
    <w:rsid w:val="00DD5BF7"/>
    <w:rsid w:val="00DD692D"/>
    <w:rsid w:val="00DD6CB5"/>
    <w:rsid w:val="00DD6CD2"/>
    <w:rsid w:val="00DD7300"/>
    <w:rsid w:val="00DD7576"/>
    <w:rsid w:val="00DD77CD"/>
    <w:rsid w:val="00DE1829"/>
    <w:rsid w:val="00DE1E66"/>
    <w:rsid w:val="00DE2A33"/>
    <w:rsid w:val="00DE3379"/>
    <w:rsid w:val="00DE459C"/>
    <w:rsid w:val="00DE5157"/>
    <w:rsid w:val="00DE584A"/>
    <w:rsid w:val="00DE5D40"/>
    <w:rsid w:val="00DE67DF"/>
    <w:rsid w:val="00DE68F0"/>
    <w:rsid w:val="00DE7401"/>
    <w:rsid w:val="00DF033D"/>
    <w:rsid w:val="00DF0789"/>
    <w:rsid w:val="00DF0A10"/>
    <w:rsid w:val="00DF30BB"/>
    <w:rsid w:val="00DF338D"/>
    <w:rsid w:val="00DF377D"/>
    <w:rsid w:val="00DF498C"/>
    <w:rsid w:val="00DF4CA0"/>
    <w:rsid w:val="00DF5B42"/>
    <w:rsid w:val="00DF646A"/>
    <w:rsid w:val="00DF66AA"/>
    <w:rsid w:val="00DF67D9"/>
    <w:rsid w:val="00DF6F53"/>
    <w:rsid w:val="00DF70F5"/>
    <w:rsid w:val="00DF7647"/>
    <w:rsid w:val="00E00AE8"/>
    <w:rsid w:val="00E0100F"/>
    <w:rsid w:val="00E01849"/>
    <w:rsid w:val="00E02652"/>
    <w:rsid w:val="00E033D7"/>
    <w:rsid w:val="00E034F8"/>
    <w:rsid w:val="00E04369"/>
    <w:rsid w:val="00E05ABB"/>
    <w:rsid w:val="00E06464"/>
    <w:rsid w:val="00E1099F"/>
    <w:rsid w:val="00E10DBE"/>
    <w:rsid w:val="00E10EEE"/>
    <w:rsid w:val="00E12EFD"/>
    <w:rsid w:val="00E14B94"/>
    <w:rsid w:val="00E156CD"/>
    <w:rsid w:val="00E157E8"/>
    <w:rsid w:val="00E1701C"/>
    <w:rsid w:val="00E1741B"/>
    <w:rsid w:val="00E17B53"/>
    <w:rsid w:val="00E20161"/>
    <w:rsid w:val="00E206F6"/>
    <w:rsid w:val="00E2189F"/>
    <w:rsid w:val="00E219D0"/>
    <w:rsid w:val="00E22A4F"/>
    <w:rsid w:val="00E22BA8"/>
    <w:rsid w:val="00E22BBE"/>
    <w:rsid w:val="00E22BE8"/>
    <w:rsid w:val="00E22D91"/>
    <w:rsid w:val="00E243AF"/>
    <w:rsid w:val="00E24885"/>
    <w:rsid w:val="00E24889"/>
    <w:rsid w:val="00E263F3"/>
    <w:rsid w:val="00E26598"/>
    <w:rsid w:val="00E26B30"/>
    <w:rsid w:val="00E2743E"/>
    <w:rsid w:val="00E276FB"/>
    <w:rsid w:val="00E310ED"/>
    <w:rsid w:val="00E3172B"/>
    <w:rsid w:val="00E32323"/>
    <w:rsid w:val="00E325E7"/>
    <w:rsid w:val="00E32848"/>
    <w:rsid w:val="00E32A13"/>
    <w:rsid w:val="00E3457B"/>
    <w:rsid w:val="00E34E24"/>
    <w:rsid w:val="00E35E73"/>
    <w:rsid w:val="00E360C4"/>
    <w:rsid w:val="00E36CA2"/>
    <w:rsid w:val="00E37C19"/>
    <w:rsid w:val="00E41FE4"/>
    <w:rsid w:val="00E420BB"/>
    <w:rsid w:val="00E425BB"/>
    <w:rsid w:val="00E435C7"/>
    <w:rsid w:val="00E441BF"/>
    <w:rsid w:val="00E4473A"/>
    <w:rsid w:val="00E46A69"/>
    <w:rsid w:val="00E474EE"/>
    <w:rsid w:val="00E479AA"/>
    <w:rsid w:val="00E504DD"/>
    <w:rsid w:val="00E50B42"/>
    <w:rsid w:val="00E50B95"/>
    <w:rsid w:val="00E50B9C"/>
    <w:rsid w:val="00E52D68"/>
    <w:rsid w:val="00E53186"/>
    <w:rsid w:val="00E5439D"/>
    <w:rsid w:val="00E54F86"/>
    <w:rsid w:val="00E5511D"/>
    <w:rsid w:val="00E562F6"/>
    <w:rsid w:val="00E5773C"/>
    <w:rsid w:val="00E57889"/>
    <w:rsid w:val="00E57A20"/>
    <w:rsid w:val="00E57D4F"/>
    <w:rsid w:val="00E60527"/>
    <w:rsid w:val="00E61CCA"/>
    <w:rsid w:val="00E61DE0"/>
    <w:rsid w:val="00E61DF2"/>
    <w:rsid w:val="00E62B26"/>
    <w:rsid w:val="00E638B4"/>
    <w:rsid w:val="00E63E06"/>
    <w:rsid w:val="00E63FB4"/>
    <w:rsid w:val="00E6637A"/>
    <w:rsid w:val="00E665AD"/>
    <w:rsid w:val="00E66A45"/>
    <w:rsid w:val="00E66C35"/>
    <w:rsid w:val="00E6754A"/>
    <w:rsid w:val="00E67985"/>
    <w:rsid w:val="00E7031E"/>
    <w:rsid w:val="00E708D7"/>
    <w:rsid w:val="00E713DB"/>
    <w:rsid w:val="00E71449"/>
    <w:rsid w:val="00E719D9"/>
    <w:rsid w:val="00E71AF0"/>
    <w:rsid w:val="00E7208A"/>
    <w:rsid w:val="00E72CDA"/>
    <w:rsid w:val="00E74150"/>
    <w:rsid w:val="00E75967"/>
    <w:rsid w:val="00E76664"/>
    <w:rsid w:val="00E769DA"/>
    <w:rsid w:val="00E76A6C"/>
    <w:rsid w:val="00E7772E"/>
    <w:rsid w:val="00E807FB"/>
    <w:rsid w:val="00E80E57"/>
    <w:rsid w:val="00E82901"/>
    <w:rsid w:val="00E83885"/>
    <w:rsid w:val="00E84993"/>
    <w:rsid w:val="00E85E17"/>
    <w:rsid w:val="00E86328"/>
    <w:rsid w:val="00E86D8C"/>
    <w:rsid w:val="00E8749C"/>
    <w:rsid w:val="00E90067"/>
    <w:rsid w:val="00E9076C"/>
    <w:rsid w:val="00E908A9"/>
    <w:rsid w:val="00E91423"/>
    <w:rsid w:val="00E92156"/>
    <w:rsid w:val="00E926C0"/>
    <w:rsid w:val="00E93E4F"/>
    <w:rsid w:val="00E94B15"/>
    <w:rsid w:val="00E94C7F"/>
    <w:rsid w:val="00E94D2C"/>
    <w:rsid w:val="00E95A3B"/>
    <w:rsid w:val="00E95B8C"/>
    <w:rsid w:val="00E96525"/>
    <w:rsid w:val="00E96628"/>
    <w:rsid w:val="00E96A52"/>
    <w:rsid w:val="00E96AA9"/>
    <w:rsid w:val="00E96BC5"/>
    <w:rsid w:val="00E97053"/>
    <w:rsid w:val="00E978A1"/>
    <w:rsid w:val="00E978D5"/>
    <w:rsid w:val="00E97C22"/>
    <w:rsid w:val="00EA07B9"/>
    <w:rsid w:val="00EA0E75"/>
    <w:rsid w:val="00EA4027"/>
    <w:rsid w:val="00EA5310"/>
    <w:rsid w:val="00EA5E84"/>
    <w:rsid w:val="00EA624C"/>
    <w:rsid w:val="00EA6C04"/>
    <w:rsid w:val="00EA6E99"/>
    <w:rsid w:val="00EA7FFE"/>
    <w:rsid w:val="00EB05BA"/>
    <w:rsid w:val="00EB0798"/>
    <w:rsid w:val="00EB0B6E"/>
    <w:rsid w:val="00EB1D19"/>
    <w:rsid w:val="00EB2749"/>
    <w:rsid w:val="00EB3248"/>
    <w:rsid w:val="00EB34F3"/>
    <w:rsid w:val="00EB3838"/>
    <w:rsid w:val="00EB38DF"/>
    <w:rsid w:val="00EB3D1B"/>
    <w:rsid w:val="00EB439F"/>
    <w:rsid w:val="00EB4C15"/>
    <w:rsid w:val="00EB693D"/>
    <w:rsid w:val="00EB74AE"/>
    <w:rsid w:val="00EC1099"/>
    <w:rsid w:val="00EC1BA4"/>
    <w:rsid w:val="00EC1F86"/>
    <w:rsid w:val="00EC2B11"/>
    <w:rsid w:val="00EC2BAF"/>
    <w:rsid w:val="00EC2BC0"/>
    <w:rsid w:val="00EC308B"/>
    <w:rsid w:val="00EC3540"/>
    <w:rsid w:val="00EC4127"/>
    <w:rsid w:val="00EC47BD"/>
    <w:rsid w:val="00EC5754"/>
    <w:rsid w:val="00EC57BE"/>
    <w:rsid w:val="00EC6284"/>
    <w:rsid w:val="00EC6919"/>
    <w:rsid w:val="00EC7788"/>
    <w:rsid w:val="00ED06F3"/>
    <w:rsid w:val="00ED077E"/>
    <w:rsid w:val="00ED0991"/>
    <w:rsid w:val="00ED0DC3"/>
    <w:rsid w:val="00ED10BB"/>
    <w:rsid w:val="00ED475F"/>
    <w:rsid w:val="00ED4DA6"/>
    <w:rsid w:val="00ED4DFD"/>
    <w:rsid w:val="00ED5170"/>
    <w:rsid w:val="00ED5254"/>
    <w:rsid w:val="00ED69FD"/>
    <w:rsid w:val="00ED73FA"/>
    <w:rsid w:val="00ED76CF"/>
    <w:rsid w:val="00ED795E"/>
    <w:rsid w:val="00ED7997"/>
    <w:rsid w:val="00EE092F"/>
    <w:rsid w:val="00EE0E70"/>
    <w:rsid w:val="00EE471C"/>
    <w:rsid w:val="00EE4791"/>
    <w:rsid w:val="00EE480E"/>
    <w:rsid w:val="00EE548E"/>
    <w:rsid w:val="00EE653B"/>
    <w:rsid w:val="00EF2A16"/>
    <w:rsid w:val="00EF3291"/>
    <w:rsid w:val="00EF51F5"/>
    <w:rsid w:val="00EF5BBA"/>
    <w:rsid w:val="00EF5ECE"/>
    <w:rsid w:val="00EF64E2"/>
    <w:rsid w:val="00F00480"/>
    <w:rsid w:val="00F004C6"/>
    <w:rsid w:val="00F005DA"/>
    <w:rsid w:val="00F009A0"/>
    <w:rsid w:val="00F00ECA"/>
    <w:rsid w:val="00F01371"/>
    <w:rsid w:val="00F04511"/>
    <w:rsid w:val="00F04A78"/>
    <w:rsid w:val="00F04C41"/>
    <w:rsid w:val="00F06B94"/>
    <w:rsid w:val="00F070A4"/>
    <w:rsid w:val="00F07626"/>
    <w:rsid w:val="00F1087C"/>
    <w:rsid w:val="00F11659"/>
    <w:rsid w:val="00F11939"/>
    <w:rsid w:val="00F11AF0"/>
    <w:rsid w:val="00F11FFB"/>
    <w:rsid w:val="00F1229E"/>
    <w:rsid w:val="00F12A1C"/>
    <w:rsid w:val="00F13935"/>
    <w:rsid w:val="00F13AB5"/>
    <w:rsid w:val="00F1455C"/>
    <w:rsid w:val="00F148EB"/>
    <w:rsid w:val="00F15E67"/>
    <w:rsid w:val="00F20B67"/>
    <w:rsid w:val="00F214E3"/>
    <w:rsid w:val="00F22C03"/>
    <w:rsid w:val="00F22D24"/>
    <w:rsid w:val="00F22EE7"/>
    <w:rsid w:val="00F230F5"/>
    <w:rsid w:val="00F23461"/>
    <w:rsid w:val="00F24D26"/>
    <w:rsid w:val="00F251F4"/>
    <w:rsid w:val="00F261DF"/>
    <w:rsid w:val="00F2717D"/>
    <w:rsid w:val="00F274F0"/>
    <w:rsid w:val="00F30EC7"/>
    <w:rsid w:val="00F315AC"/>
    <w:rsid w:val="00F32D40"/>
    <w:rsid w:val="00F3303F"/>
    <w:rsid w:val="00F33186"/>
    <w:rsid w:val="00F33949"/>
    <w:rsid w:val="00F35490"/>
    <w:rsid w:val="00F36CB6"/>
    <w:rsid w:val="00F37214"/>
    <w:rsid w:val="00F376E2"/>
    <w:rsid w:val="00F376FF"/>
    <w:rsid w:val="00F40A53"/>
    <w:rsid w:val="00F41C9D"/>
    <w:rsid w:val="00F41DCA"/>
    <w:rsid w:val="00F42C93"/>
    <w:rsid w:val="00F42EDD"/>
    <w:rsid w:val="00F433D9"/>
    <w:rsid w:val="00F440D2"/>
    <w:rsid w:val="00F44853"/>
    <w:rsid w:val="00F452BF"/>
    <w:rsid w:val="00F46365"/>
    <w:rsid w:val="00F46CDA"/>
    <w:rsid w:val="00F47603"/>
    <w:rsid w:val="00F47A6B"/>
    <w:rsid w:val="00F47FC5"/>
    <w:rsid w:val="00F52869"/>
    <w:rsid w:val="00F52C29"/>
    <w:rsid w:val="00F55371"/>
    <w:rsid w:val="00F56F2A"/>
    <w:rsid w:val="00F57248"/>
    <w:rsid w:val="00F60340"/>
    <w:rsid w:val="00F60C01"/>
    <w:rsid w:val="00F611B5"/>
    <w:rsid w:val="00F621B1"/>
    <w:rsid w:val="00F6249C"/>
    <w:rsid w:val="00F62FE5"/>
    <w:rsid w:val="00F63DF7"/>
    <w:rsid w:val="00F65A31"/>
    <w:rsid w:val="00F669FF"/>
    <w:rsid w:val="00F66FA8"/>
    <w:rsid w:val="00F7053C"/>
    <w:rsid w:val="00F70C85"/>
    <w:rsid w:val="00F718F7"/>
    <w:rsid w:val="00F71B5D"/>
    <w:rsid w:val="00F7277A"/>
    <w:rsid w:val="00F728F0"/>
    <w:rsid w:val="00F72AF5"/>
    <w:rsid w:val="00F72BC1"/>
    <w:rsid w:val="00F72E6F"/>
    <w:rsid w:val="00F73665"/>
    <w:rsid w:val="00F73E49"/>
    <w:rsid w:val="00F7410B"/>
    <w:rsid w:val="00F74253"/>
    <w:rsid w:val="00F74370"/>
    <w:rsid w:val="00F757C4"/>
    <w:rsid w:val="00F76C7C"/>
    <w:rsid w:val="00F800D5"/>
    <w:rsid w:val="00F8072D"/>
    <w:rsid w:val="00F816E0"/>
    <w:rsid w:val="00F81F8F"/>
    <w:rsid w:val="00F831A8"/>
    <w:rsid w:val="00F8362E"/>
    <w:rsid w:val="00F843B0"/>
    <w:rsid w:val="00F849F2"/>
    <w:rsid w:val="00F84F15"/>
    <w:rsid w:val="00F858C7"/>
    <w:rsid w:val="00F862C6"/>
    <w:rsid w:val="00F874FE"/>
    <w:rsid w:val="00F87619"/>
    <w:rsid w:val="00F901D1"/>
    <w:rsid w:val="00F91E6E"/>
    <w:rsid w:val="00F92A33"/>
    <w:rsid w:val="00F930B3"/>
    <w:rsid w:val="00F9460D"/>
    <w:rsid w:val="00F94AA5"/>
    <w:rsid w:val="00F94B34"/>
    <w:rsid w:val="00F94FD0"/>
    <w:rsid w:val="00F957D5"/>
    <w:rsid w:val="00F96691"/>
    <w:rsid w:val="00F9676A"/>
    <w:rsid w:val="00F968CF"/>
    <w:rsid w:val="00F96AFA"/>
    <w:rsid w:val="00F96CAD"/>
    <w:rsid w:val="00FA0D3D"/>
    <w:rsid w:val="00FA3B03"/>
    <w:rsid w:val="00FA4625"/>
    <w:rsid w:val="00FA4909"/>
    <w:rsid w:val="00FA760F"/>
    <w:rsid w:val="00FA7C55"/>
    <w:rsid w:val="00FB0247"/>
    <w:rsid w:val="00FB3279"/>
    <w:rsid w:val="00FB515C"/>
    <w:rsid w:val="00FB51CE"/>
    <w:rsid w:val="00FB5D49"/>
    <w:rsid w:val="00FB69DC"/>
    <w:rsid w:val="00FB6BD0"/>
    <w:rsid w:val="00FC0058"/>
    <w:rsid w:val="00FC007D"/>
    <w:rsid w:val="00FC0903"/>
    <w:rsid w:val="00FC1525"/>
    <w:rsid w:val="00FC1652"/>
    <w:rsid w:val="00FC2523"/>
    <w:rsid w:val="00FC363C"/>
    <w:rsid w:val="00FC3803"/>
    <w:rsid w:val="00FC3BA0"/>
    <w:rsid w:val="00FC4866"/>
    <w:rsid w:val="00FC4A85"/>
    <w:rsid w:val="00FC4B6C"/>
    <w:rsid w:val="00FC5683"/>
    <w:rsid w:val="00FD03B0"/>
    <w:rsid w:val="00FD0918"/>
    <w:rsid w:val="00FD0FE9"/>
    <w:rsid w:val="00FD1A40"/>
    <w:rsid w:val="00FD2ABD"/>
    <w:rsid w:val="00FD30F2"/>
    <w:rsid w:val="00FD35F2"/>
    <w:rsid w:val="00FD3ACD"/>
    <w:rsid w:val="00FD41E1"/>
    <w:rsid w:val="00FD47D7"/>
    <w:rsid w:val="00FD5362"/>
    <w:rsid w:val="00FD6593"/>
    <w:rsid w:val="00FD692E"/>
    <w:rsid w:val="00FD6BE2"/>
    <w:rsid w:val="00FD7710"/>
    <w:rsid w:val="00FD7FC2"/>
    <w:rsid w:val="00FE044C"/>
    <w:rsid w:val="00FE0F1D"/>
    <w:rsid w:val="00FE1594"/>
    <w:rsid w:val="00FE1A10"/>
    <w:rsid w:val="00FE1E0B"/>
    <w:rsid w:val="00FE45E7"/>
    <w:rsid w:val="00FE555A"/>
    <w:rsid w:val="00FE6640"/>
    <w:rsid w:val="00FE747F"/>
    <w:rsid w:val="00FE7CC7"/>
    <w:rsid w:val="00FF02EE"/>
    <w:rsid w:val="00FF1D89"/>
    <w:rsid w:val="00FF2B0D"/>
    <w:rsid w:val="00FF3028"/>
    <w:rsid w:val="00FF32F2"/>
    <w:rsid w:val="00FF34E0"/>
    <w:rsid w:val="00FF364B"/>
    <w:rsid w:val="00FF3B48"/>
    <w:rsid w:val="00FF4410"/>
    <w:rsid w:val="00FF45C2"/>
    <w:rsid w:val="00FF4B67"/>
    <w:rsid w:val="00FF4BBF"/>
    <w:rsid w:val="00FF50B7"/>
    <w:rsid w:val="00FF5148"/>
    <w:rsid w:val="00FF5FE5"/>
    <w:rsid w:val="00FF6338"/>
    <w:rsid w:val="00FF7829"/>
    <w:rsid w:val="01B23EA3"/>
    <w:rsid w:val="02326741"/>
    <w:rsid w:val="027C16B8"/>
    <w:rsid w:val="027F2AB8"/>
    <w:rsid w:val="029B3C51"/>
    <w:rsid w:val="02C00088"/>
    <w:rsid w:val="03443C49"/>
    <w:rsid w:val="036E0ED5"/>
    <w:rsid w:val="03824AAC"/>
    <w:rsid w:val="040E7AB2"/>
    <w:rsid w:val="04847243"/>
    <w:rsid w:val="04940CCF"/>
    <w:rsid w:val="049D1AC7"/>
    <w:rsid w:val="04A96B08"/>
    <w:rsid w:val="04C5285F"/>
    <w:rsid w:val="05013CF1"/>
    <w:rsid w:val="05320B39"/>
    <w:rsid w:val="054C55B4"/>
    <w:rsid w:val="057B79B7"/>
    <w:rsid w:val="05B93461"/>
    <w:rsid w:val="05FF11B4"/>
    <w:rsid w:val="070F3698"/>
    <w:rsid w:val="072C5CFA"/>
    <w:rsid w:val="0742058B"/>
    <w:rsid w:val="07D160FA"/>
    <w:rsid w:val="08061381"/>
    <w:rsid w:val="08371C7D"/>
    <w:rsid w:val="085253B7"/>
    <w:rsid w:val="087E7353"/>
    <w:rsid w:val="08F847B9"/>
    <w:rsid w:val="09151860"/>
    <w:rsid w:val="091661CC"/>
    <w:rsid w:val="094F4608"/>
    <w:rsid w:val="0952593D"/>
    <w:rsid w:val="09785887"/>
    <w:rsid w:val="09833A25"/>
    <w:rsid w:val="09AC0F77"/>
    <w:rsid w:val="0A544CC8"/>
    <w:rsid w:val="0A594161"/>
    <w:rsid w:val="0A696342"/>
    <w:rsid w:val="0ABC725A"/>
    <w:rsid w:val="0B177FE6"/>
    <w:rsid w:val="0B9F7F18"/>
    <w:rsid w:val="0BC07168"/>
    <w:rsid w:val="0BD13BA5"/>
    <w:rsid w:val="0C397D10"/>
    <w:rsid w:val="0C4A71B8"/>
    <w:rsid w:val="0C7577E2"/>
    <w:rsid w:val="0D5122E6"/>
    <w:rsid w:val="0DDB7028"/>
    <w:rsid w:val="0DF4586F"/>
    <w:rsid w:val="0E41063C"/>
    <w:rsid w:val="0E650A21"/>
    <w:rsid w:val="0EC32B09"/>
    <w:rsid w:val="0EEA5BFB"/>
    <w:rsid w:val="0EEF3295"/>
    <w:rsid w:val="0F28025F"/>
    <w:rsid w:val="0F320714"/>
    <w:rsid w:val="0F37750B"/>
    <w:rsid w:val="0F416BF5"/>
    <w:rsid w:val="0F5F1554"/>
    <w:rsid w:val="0F756CC0"/>
    <w:rsid w:val="0FAA2443"/>
    <w:rsid w:val="0FC67709"/>
    <w:rsid w:val="10C25810"/>
    <w:rsid w:val="10C51EC1"/>
    <w:rsid w:val="10D0705D"/>
    <w:rsid w:val="10D547DD"/>
    <w:rsid w:val="11FF551A"/>
    <w:rsid w:val="122F07F4"/>
    <w:rsid w:val="12326E37"/>
    <w:rsid w:val="12827E73"/>
    <w:rsid w:val="13073558"/>
    <w:rsid w:val="130B4223"/>
    <w:rsid w:val="133F2D1A"/>
    <w:rsid w:val="13D46607"/>
    <w:rsid w:val="13F623CA"/>
    <w:rsid w:val="1458343E"/>
    <w:rsid w:val="1474073A"/>
    <w:rsid w:val="1486625E"/>
    <w:rsid w:val="15012719"/>
    <w:rsid w:val="1516409C"/>
    <w:rsid w:val="157510B1"/>
    <w:rsid w:val="165C66CF"/>
    <w:rsid w:val="16674304"/>
    <w:rsid w:val="16675B25"/>
    <w:rsid w:val="16AC0234"/>
    <w:rsid w:val="16C75101"/>
    <w:rsid w:val="16D11CA1"/>
    <w:rsid w:val="171B01C6"/>
    <w:rsid w:val="173819E7"/>
    <w:rsid w:val="17520991"/>
    <w:rsid w:val="176876F5"/>
    <w:rsid w:val="18420F7D"/>
    <w:rsid w:val="1847094C"/>
    <w:rsid w:val="18CB7230"/>
    <w:rsid w:val="1A7F412A"/>
    <w:rsid w:val="1A891562"/>
    <w:rsid w:val="1AB75C3F"/>
    <w:rsid w:val="1AF41A30"/>
    <w:rsid w:val="1BA25B47"/>
    <w:rsid w:val="1C1A253D"/>
    <w:rsid w:val="1C9D7044"/>
    <w:rsid w:val="1CC525CA"/>
    <w:rsid w:val="1D216526"/>
    <w:rsid w:val="1D3F1E0A"/>
    <w:rsid w:val="1D645F5B"/>
    <w:rsid w:val="1D6A6C06"/>
    <w:rsid w:val="1D7A22E8"/>
    <w:rsid w:val="1D8F31D4"/>
    <w:rsid w:val="1E097DA3"/>
    <w:rsid w:val="1E6F3280"/>
    <w:rsid w:val="1E952FA0"/>
    <w:rsid w:val="1EF51027"/>
    <w:rsid w:val="1F4F2FA2"/>
    <w:rsid w:val="1F4F43E9"/>
    <w:rsid w:val="1F822422"/>
    <w:rsid w:val="1F887C89"/>
    <w:rsid w:val="1FA94802"/>
    <w:rsid w:val="1FFA0E34"/>
    <w:rsid w:val="200476A7"/>
    <w:rsid w:val="20222673"/>
    <w:rsid w:val="20277F52"/>
    <w:rsid w:val="202D10C5"/>
    <w:rsid w:val="20567C8D"/>
    <w:rsid w:val="20643240"/>
    <w:rsid w:val="2064679F"/>
    <w:rsid w:val="207B4534"/>
    <w:rsid w:val="211E7B18"/>
    <w:rsid w:val="21417CE3"/>
    <w:rsid w:val="217D62DB"/>
    <w:rsid w:val="219340A2"/>
    <w:rsid w:val="21F91F85"/>
    <w:rsid w:val="222773FF"/>
    <w:rsid w:val="22562C9B"/>
    <w:rsid w:val="225B3E19"/>
    <w:rsid w:val="22BA2A8A"/>
    <w:rsid w:val="230D68FE"/>
    <w:rsid w:val="23682C23"/>
    <w:rsid w:val="23B33F49"/>
    <w:rsid w:val="23D90F29"/>
    <w:rsid w:val="24661728"/>
    <w:rsid w:val="24A50258"/>
    <w:rsid w:val="25345217"/>
    <w:rsid w:val="254554E2"/>
    <w:rsid w:val="26025181"/>
    <w:rsid w:val="263D763B"/>
    <w:rsid w:val="268A6BC2"/>
    <w:rsid w:val="26991E24"/>
    <w:rsid w:val="26CB2522"/>
    <w:rsid w:val="27912C60"/>
    <w:rsid w:val="27BE289E"/>
    <w:rsid w:val="27EB3F00"/>
    <w:rsid w:val="283169E4"/>
    <w:rsid w:val="28517174"/>
    <w:rsid w:val="28810796"/>
    <w:rsid w:val="28B2696F"/>
    <w:rsid w:val="293A0933"/>
    <w:rsid w:val="294545E2"/>
    <w:rsid w:val="29E358ED"/>
    <w:rsid w:val="29E73CD3"/>
    <w:rsid w:val="2A001DF3"/>
    <w:rsid w:val="2A043BEE"/>
    <w:rsid w:val="2A753BC9"/>
    <w:rsid w:val="2A946C3A"/>
    <w:rsid w:val="2AAD12D3"/>
    <w:rsid w:val="2AC90160"/>
    <w:rsid w:val="2B1F1D1C"/>
    <w:rsid w:val="2BB478A0"/>
    <w:rsid w:val="2BBA5DB5"/>
    <w:rsid w:val="2C3A3893"/>
    <w:rsid w:val="2CC567B5"/>
    <w:rsid w:val="2CC63844"/>
    <w:rsid w:val="2CEA2175"/>
    <w:rsid w:val="2D074738"/>
    <w:rsid w:val="2D6E78E7"/>
    <w:rsid w:val="2DAE7F2A"/>
    <w:rsid w:val="2DBC38E8"/>
    <w:rsid w:val="2E3063D5"/>
    <w:rsid w:val="2E3538A9"/>
    <w:rsid w:val="2E6A157E"/>
    <w:rsid w:val="2E766BB3"/>
    <w:rsid w:val="2ED57B00"/>
    <w:rsid w:val="2F3309F7"/>
    <w:rsid w:val="2F3F4616"/>
    <w:rsid w:val="2F4E3995"/>
    <w:rsid w:val="30321311"/>
    <w:rsid w:val="30AA27E5"/>
    <w:rsid w:val="31323614"/>
    <w:rsid w:val="31532125"/>
    <w:rsid w:val="320D00D1"/>
    <w:rsid w:val="325320C4"/>
    <w:rsid w:val="327F1DF0"/>
    <w:rsid w:val="32A6571B"/>
    <w:rsid w:val="32B36BD6"/>
    <w:rsid w:val="32DE6C3F"/>
    <w:rsid w:val="32E20CC1"/>
    <w:rsid w:val="32EE39D0"/>
    <w:rsid w:val="32FF0540"/>
    <w:rsid w:val="330D1FF1"/>
    <w:rsid w:val="332D7CE1"/>
    <w:rsid w:val="333749A7"/>
    <w:rsid w:val="3383445F"/>
    <w:rsid w:val="33B505CA"/>
    <w:rsid w:val="33E01AE2"/>
    <w:rsid w:val="34054E69"/>
    <w:rsid w:val="34126C3A"/>
    <w:rsid w:val="35C12962"/>
    <w:rsid w:val="36096D3E"/>
    <w:rsid w:val="36284B5A"/>
    <w:rsid w:val="366D0E58"/>
    <w:rsid w:val="369C4AD5"/>
    <w:rsid w:val="36C17515"/>
    <w:rsid w:val="37361815"/>
    <w:rsid w:val="37403D5B"/>
    <w:rsid w:val="37524E8D"/>
    <w:rsid w:val="37AF11C3"/>
    <w:rsid w:val="3822304D"/>
    <w:rsid w:val="38664A20"/>
    <w:rsid w:val="38B227A2"/>
    <w:rsid w:val="38D01AAC"/>
    <w:rsid w:val="38D92ADE"/>
    <w:rsid w:val="390D5544"/>
    <w:rsid w:val="3934169D"/>
    <w:rsid w:val="3A4C4AB0"/>
    <w:rsid w:val="3A5F3D00"/>
    <w:rsid w:val="3A612EE4"/>
    <w:rsid w:val="3AD056D3"/>
    <w:rsid w:val="3AD25FF8"/>
    <w:rsid w:val="3B0C632A"/>
    <w:rsid w:val="3B277070"/>
    <w:rsid w:val="3B291D0B"/>
    <w:rsid w:val="3B416206"/>
    <w:rsid w:val="3B492282"/>
    <w:rsid w:val="3B80204A"/>
    <w:rsid w:val="3C2A77F8"/>
    <w:rsid w:val="3C32019A"/>
    <w:rsid w:val="3C8D0241"/>
    <w:rsid w:val="3CBD0C92"/>
    <w:rsid w:val="3D1A6EB0"/>
    <w:rsid w:val="3D1E00AC"/>
    <w:rsid w:val="3DCC1C2A"/>
    <w:rsid w:val="3DEB3104"/>
    <w:rsid w:val="3E026B07"/>
    <w:rsid w:val="3E294607"/>
    <w:rsid w:val="3E4464B5"/>
    <w:rsid w:val="3E51489A"/>
    <w:rsid w:val="3E957A34"/>
    <w:rsid w:val="3F326E8F"/>
    <w:rsid w:val="3F9F477C"/>
    <w:rsid w:val="3FB7352D"/>
    <w:rsid w:val="3FE41C02"/>
    <w:rsid w:val="40663EA5"/>
    <w:rsid w:val="407C5E04"/>
    <w:rsid w:val="408908EE"/>
    <w:rsid w:val="40960ACC"/>
    <w:rsid w:val="40B76412"/>
    <w:rsid w:val="40D67A7A"/>
    <w:rsid w:val="4124333B"/>
    <w:rsid w:val="422F6EA6"/>
    <w:rsid w:val="42396685"/>
    <w:rsid w:val="42856EC6"/>
    <w:rsid w:val="428C190D"/>
    <w:rsid w:val="42A40547"/>
    <w:rsid w:val="43644F25"/>
    <w:rsid w:val="437F2680"/>
    <w:rsid w:val="43866E46"/>
    <w:rsid w:val="43B81DDC"/>
    <w:rsid w:val="43B9234A"/>
    <w:rsid w:val="43BA12B1"/>
    <w:rsid w:val="4407799C"/>
    <w:rsid w:val="446C68E3"/>
    <w:rsid w:val="449B6F2D"/>
    <w:rsid w:val="44EB09A1"/>
    <w:rsid w:val="451A4706"/>
    <w:rsid w:val="45D26F7E"/>
    <w:rsid w:val="45E65C90"/>
    <w:rsid w:val="46CC68F9"/>
    <w:rsid w:val="473E02B7"/>
    <w:rsid w:val="478B2B50"/>
    <w:rsid w:val="47C97F40"/>
    <w:rsid w:val="47EB7EB4"/>
    <w:rsid w:val="47F504FD"/>
    <w:rsid w:val="48974BA1"/>
    <w:rsid w:val="48A80F4E"/>
    <w:rsid w:val="48BF3B3D"/>
    <w:rsid w:val="48E45194"/>
    <w:rsid w:val="48F06FBA"/>
    <w:rsid w:val="49470F79"/>
    <w:rsid w:val="496103D8"/>
    <w:rsid w:val="49F32F00"/>
    <w:rsid w:val="49FA4D3C"/>
    <w:rsid w:val="4A224D54"/>
    <w:rsid w:val="4A5707C7"/>
    <w:rsid w:val="4A843A2C"/>
    <w:rsid w:val="4B02602C"/>
    <w:rsid w:val="4B824B9D"/>
    <w:rsid w:val="4B8775C9"/>
    <w:rsid w:val="4BAF63DD"/>
    <w:rsid w:val="4BB2089D"/>
    <w:rsid w:val="4BBA1024"/>
    <w:rsid w:val="4C9B5746"/>
    <w:rsid w:val="4CD53F9A"/>
    <w:rsid w:val="4D3777B6"/>
    <w:rsid w:val="4E052385"/>
    <w:rsid w:val="4E4434EA"/>
    <w:rsid w:val="4EF55C8F"/>
    <w:rsid w:val="4F3D14B5"/>
    <w:rsid w:val="4F915F9E"/>
    <w:rsid w:val="4F9E7CE9"/>
    <w:rsid w:val="507A7515"/>
    <w:rsid w:val="50FF0CAC"/>
    <w:rsid w:val="51037C2D"/>
    <w:rsid w:val="513E6911"/>
    <w:rsid w:val="51820EFE"/>
    <w:rsid w:val="51A61C2D"/>
    <w:rsid w:val="52107936"/>
    <w:rsid w:val="5217170E"/>
    <w:rsid w:val="521B11F1"/>
    <w:rsid w:val="521C0250"/>
    <w:rsid w:val="525936D6"/>
    <w:rsid w:val="526C73B1"/>
    <w:rsid w:val="52DA4CB6"/>
    <w:rsid w:val="53176B7B"/>
    <w:rsid w:val="534049B3"/>
    <w:rsid w:val="53437781"/>
    <w:rsid w:val="54257E8A"/>
    <w:rsid w:val="54777202"/>
    <w:rsid w:val="54B737C7"/>
    <w:rsid w:val="55961159"/>
    <w:rsid w:val="55A253A2"/>
    <w:rsid w:val="55B75D3A"/>
    <w:rsid w:val="55D93514"/>
    <w:rsid w:val="56007D95"/>
    <w:rsid w:val="561F652F"/>
    <w:rsid w:val="56266D7D"/>
    <w:rsid w:val="56735E20"/>
    <w:rsid w:val="567F3400"/>
    <w:rsid w:val="5694764D"/>
    <w:rsid w:val="56C06BE5"/>
    <w:rsid w:val="56C82454"/>
    <w:rsid w:val="57C9435B"/>
    <w:rsid w:val="586865E5"/>
    <w:rsid w:val="589561AD"/>
    <w:rsid w:val="58B22E55"/>
    <w:rsid w:val="58DD04EA"/>
    <w:rsid w:val="596C2D9C"/>
    <w:rsid w:val="59B82BE2"/>
    <w:rsid w:val="59C75C52"/>
    <w:rsid w:val="59EC0E37"/>
    <w:rsid w:val="59FD1E72"/>
    <w:rsid w:val="5A516E95"/>
    <w:rsid w:val="5A671258"/>
    <w:rsid w:val="5AC02E7C"/>
    <w:rsid w:val="5AC66B3C"/>
    <w:rsid w:val="5ADD7D74"/>
    <w:rsid w:val="5B0B0C28"/>
    <w:rsid w:val="5B8772CB"/>
    <w:rsid w:val="5B9A7376"/>
    <w:rsid w:val="5BB6539F"/>
    <w:rsid w:val="5C6D6EAF"/>
    <w:rsid w:val="5D0C5698"/>
    <w:rsid w:val="5DA97090"/>
    <w:rsid w:val="5DCC33F0"/>
    <w:rsid w:val="5DEB5F1F"/>
    <w:rsid w:val="5E242682"/>
    <w:rsid w:val="5E6E2DD8"/>
    <w:rsid w:val="5F311E1F"/>
    <w:rsid w:val="5F754F76"/>
    <w:rsid w:val="5FA95820"/>
    <w:rsid w:val="5FB3171A"/>
    <w:rsid w:val="5FCE4022"/>
    <w:rsid w:val="6042451C"/>
    <w:rsid w:val="604638F4"/>
    <w:rsid w:val="60EA29C8"/>
    <w:rsid w:val="60F50F77"/>
    <w:rsid w:val="6159776F"/>
    <w:rsid w:val="61BA389A"/>
    <w:rsid w:val="61C07FE0"/>
    <w:rsid w:val="61D63FCE"/>
    <w:rsid w:val="61EA78B2"/>
    <w:rsid w:val="62214E70"/>
    <w:rsid w:val="62434B54"/>
    <w:rsid w:val="624E5F29"/>
    <w:rsid w:val="627E58ED"/>
    <w:rsid w:val="62A82630"/>
    <w:rsid w:val="62CE02E9"/>
    <w:rsid w:val="635166D5"/>
    <w:rsid w:val="63D628A3"/>
    <w:rsid w:val="63D7166E"/>
    <w:rsid w:val="643E635C"/>
    <w:rsid w:val="64B11C70"/>
    <w:rsid w:val="64F1786C"/>
    <w:rsid w:val="65584C15"/>
    <w:rsid w:val="65BA282E"/>
    <w:rsid w:val="661C6E51"/>
    <w:rsid w:val="6636567D"/>
    <w:rsid w:val="664E6F7C"/>
    <w:rsid w:val="66602281"/>
    <w:rsid w:val="66CE1934"/>
    <w:rsid w:val="66D9234D"/>
    <w:rsid w:val="675B7057"/>
    <w:rsid w:val="67620BCE"/>
    <w:rsid w:val="67672EA9"/>
    <w:rsid w:val="676B327F"/>
    <w:rsid w:val="67843E59"/>
    <w:rsid w:val="67B74556"/>
    <w:rsid w:val="67BD3BCE"/>
    <w:rsid w:val="67F05D6F"/>
    <w:rsid w:val="67FE132A"/>
    <w:rsid w:val="68054565"/>
    <w:rsid w:val="68A96C61"/>
    <w:rsid w:val="690600B1"/>
    <w:rsid w:val="694003CF"/>
    <w:rsid w:val="697A05C4"/>
    <w:rsid w:val="69804647"/>
    <w:rsid w:val="69AE677E"/>
    <w:rsid w:val="69FA37C9"/>
    <w:rsid w:val="6A0F2F87"/>
    <w:rsid w:val="6A4A0562"/>
    <w:rsid w:val="6A9E4617"/>
    <w:rsid w:val="6B6B258D"/>
    <w:rsid w:val="6B82156E"/>
    <w:rsid w:val="6BF215B0"/>
    <w:rsid w:val="6D402C08"/>
    <w:rsid w:val="6D730510"/>
    <w:rsid w:val="6DE066F9"/>
    <w:rsid w:val="6E81109E"/>
    <w:rsid w:val="6E9C10FD"/>
    <w:rsid w:val="6ECF34B8"/>
    <w:rsid w:val="6EF52D7D"/>
    <w:rsid w:val="6F0B3B59"/>
    <w:rsid w:val="6F1730C2"/>
    <w:rsid w:val="6F510929"/>
    <w:rsid w:val="6F5E7EB3"/>
    <w:rsid w:val="6F8A3BF1"/>
    <w:rsid w:val="701E205C"/>
    <w:rsid w:val="706B71FF"/>
    <w:rsid w:val="712357EE"/>
    <w:rsid w:val="71784D0A"/>
    <w:rsid w:val="71A14F80"/>
    <w:rsid w:val="71A47514"/>
    <w:rsid w:val="71C72535"/>
    <w:rsid w:val="73417C26"/>
    <w:rsid w:val="73546066"/>
    <w:rsid w:val="739660AD"/>
    <w:rsid w:val="73C21CCE"/>
    <w:rsid w:val="73D573EA"/>
    <w:rsid w:val="74164F1A"/>
    <w:rsid w:val="745A502B"/>
    <w:rsid w:val="74931DB4"/>
    <w:rsid w:val="749F3251"/>
    <w:rsid w:val="74FF7928"/>
    <w:rsid w:val="75132823"/>
    <w:rsid w:val="7574332B"/>
    <w:rsid w:val="762E7E56"/>
    <w:rsid w:val="763D68E6"/>
    <w:rsid w:val="765E777E"/>
    <w:rsid w:val="76895BA9"/>
    <w:rsid w:val="76AC0967"/>
    <w:rsid w:val="77351D01"/>
    <w:rsid w:val="77490EAB"/>
    <w:rsid w:val="777D095C"/>
    <w:rsid w:val="77FF4320"/>
    <w:rsid w:val="793E0163"/>
    <w:rsid w:val="79752E28"/>
    <w:rsid w:val="79927E13"/>
    <w:rsid w:val="79FD2065"/>
    <w:rsid w:val="7A0B02EC"/>
    <w:rsid w:val="7A48645C"/>
    <w:rsid w:val="7A7B167D"/>
    <w:rsid w:val="7AF90032"/>
    <w:rsid w:val="7BE75B20"/>
    <w:rsid w:val="7BEC794A"/>
    <w:rsid w:val="7BFA6A17"/>
    <w:rsid w:val="7C377661"/>
    <w:rsid w:val="7C4E68C3"/>
    <w:rsid w:val="7C9A32E1"/>
    <w:rsid w:val="7CAF35CC"/>
    <w:rsid w:val="7CB5315D"/>
    <w:rsid w:val="7CD13A42"/>
    <w:rsid w:val="7D585DC7"/>
    <w:rsid w:val="7E506436"/>
    <w:rsid w:val="7EA321D2"/>
    <w:rsid w:val="7EF26FE4"/>
    <w:rsid w:val="7EFC03A2"/>
    <w:rsid w:val="7F4775F2"/>
    <w:rsid w:val="7F7E037B"/>
    <w:rsid w:val="7FE067F1"/>
    <w:rsid w:val="7FE15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Theme="minorEastAsia" w:cstheme="minorBidi"/>
      <w:kern w:val="2"/>
      <w:sz w:val="24"/>
      <w:szCs w:val="22"/>
      <w:lang w:val="en-US" w:eastAsia="zh-CN" w:bidi="ar-SA"/>
    </w:rPr>
  </w:style>
  <w:style w:type="paragraph" w:styleId="4">
    <w:name w:val="heading 1"/>
    <w:basedOn w:val="1"/>
    <w:next w:val="1"/>
    <w:link w:val="48"/>
    <w:qFormat/>
    <w:uiPriority w:val="9"/>
    <w:pPr>
      <w:keepNext/>
      <w:keepLines/>
      <w:jc w:val="center"/>
      <w:outlineLvl w:val="0"/>
    </w:pPr>
    <w:rPr>
      <w:rFonts w:eastAsia="华文宋体"/>
      <w:b/>
      <w:bCs/>
      <w:kern w:val="44"/>
      <w:sz w:val="32"/>
      <w:szCs w:val="44"/>
    </w:rPr>
  </w:style>
  <w:style w:type="paragraph" w:styleId="5">
    <w:name w:val="heading 2"/>
    <w:basedOn w:val="1"/>
    <w:next w:val="1"/>
    <w:link w:val="49"/>
    <w:unhideWhenUsed/>
    <w:qFormat/>
    <w:uiPriority w:val="9"/>
    <w:pPr>
      <w:keepNext/>
      <w:keepLines/>
      <w:spacing w:before="50" w:beforeLines="50" w:after="50" w:afterLines="50"/>
      <w:jc w:val="center"/>
      <w:outlineLvl w:val="1"/>
    </w:pPr>
    <w:rPr>
      <w:rFonts w:eastAsia="宋体" w:cstheme="majorBidi"/>
      <w:b/>
      <w:bCs/>
      <w:szCs w:val="32"/>
    </w:rPr>
  </w:style>
  <w:style w:type="paragraph" w:styleId="6">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7"/>
    <w:unhideWhenUsed/>
    <w:qFormat/>
    <w:uiPriority w:val="9"/>
    <w:pPr>
      <w:keepNext/>
      <w:keepLines/>
      <w:spacing w:before="40" w:after="40"/>
      <w:outlineLvl w:val="3"/>
    </w:pPr>
    <w:rPr>
      <w:rFonts w:asciiTheme="majorHAnsi" w:hAnsiTheme="majorHAnsi" w:eastAsiaTheme="majorEastAsia" w:cstheme="majorBidi"/>
      <w:b/>
      <w:bCs/>
      <w:szCs w:val="28"/>
    </w:rPr>
  </w:style>
  <w:style w:type="paragraph" w:styleId="8">
    <w:name w:val="heading 5"/>
    <w:next w:val="1"/>
    <w:link w:val="50"/>
    <w:unhideWhenUsed/>
    <w:qFormat/>
    <w:uiPriority w:val="9"/>
    <w:pPr>
      <w:keepNext/>
      <w:keepLines/>
      <w:ind w:firstLine="510"/>
      <w:outlineLvl w:val="4"/>
    </w:pPr>
    <w:rPr>
      <w:rFonts w:eastAsia="华文新魏" w:asciiTheme="minorHAnsi" w:hAnsiTheme="minorHAnsi" w:cstheme="minorBidi"/>
      <w:bCs/>
      <w:kern w:val="2"/>
      <w:sz w:val="21"/>
      <w:szCs w:val="28"/>
      <w:lang w:val="en-US" w:eastAsia="zh-CN" w:bidi="ar-SA"/>
    </w:rPr>
  </w:style>
  <w:style w:type="paragraph" w:styleId="9">
    <w:name w:val="heading 6"/>
    <w:basedOn w:val="1"/>
    <w:next w:val="1"/>
    <w:link w:val="60"/>
    <w:qFormat/>
    <w:uiPriority w:val="9"/>
    <w:pPr>
      <w:widowControl/>
      <w:snapToGrid w:val="0"/>
      <w:spacing w:beforeLines="50" w:afterLines="50"/>
      <w:ind w:left="1151"/>
      <w:jc w:val="center"/>
      <w:outlineLvl w:val="5"/>
    </w:pPr>
    <w:rPr>
      <w:rFonts w:ascii="Cambria" w:hAnsi="Cambria" w:eastAsia="宋体" w:cs="Times New Roman"/>
      <w:caps/>
      <w:color w:val="943634"/>
      <w:spacing w:val="10"/>
      <w:kern w:val="0"/>
      <w:lang w:eastAsia="en-US" w:bidi="en-US"/>
    </w:rPr>
  </w:style>
  <w:style w:type="paragraph" w:styleId="10">
    <w:name w:val="heading 7"/>
    <w:basedOn w:val="1"/>
    <w:next w:val="1"/>
    <w:link w:val="61"/>
    <w:qFormat/>
    <w:uiPriority w:val="9"/>
    <w:pPr>
      <w:widowControl/>
      <w:snapToGrid w:val="0"/>
      <w:spacing w:beforeLines="50" w:afterLines="50"/>
      <w:ind w:left="1296"/>
      <w:jc w:val="center"/>
      <w:outlineLvl w:val="6"/>
    </w:pPr>
    <w:rPr>
      <w:rFonts w:ascii="Cambria" w:hAnsi="Cambria" w:eastAsia="宋体" w:cs="Times New Roman"/>
      <w:i/>
      <w:iCs/>
      <w:caps/>
      <w:color w:val="943634"/>
      <w:spacing w:val="10"/>
      <w:kern w:val="0"/>
      <w:lang w:eastAsia="en-US" w:bidi="en-US"/>
    </w:rPr>
  </w:style>
  <w:style w:type="paragraph" w:styleId="11">
    <w:name w:val="heading 8"/>
    <w:basedOn w:val="1"/>
    <w:next w:val="1"/>
    <w:link w:val="62"/>
    <w:qFormat/>
    <w:uiPriority w:val="9"/>
    <w:pPr>
      <w:widowControl/>
      <w:snapToGrid w:val="0"/>
      <w:spacing w:beforeLines="50" w:afterLines="50"/>
      <w:ind w:left="1440"/>
      <w:jc w:val="center"/>
      <w:outlineLvl w:val="7"/>
    </w:pPr>
    <w:rPr>
      <w:rFonts w:ascii="Cambria" w:hAnsi="Cambria" w:eastAsia="宋体" w:cs="Times New Roman"/>
      <w:caps/>
      <w:spacing w:val="10"/>
      <w:kern w:val="0"/>
      <w:sz w:val="20"/>
      <w:szCs w:val="20"/>
      <w:lang w:eastAsia="en-US" w:bidi="en-US"/>
    </w:rPr>
  </w:style>
  <w:style w:type="paragraph" w:styleId="12">
    <w:name w:val="heading 9"/>
    <w:basedOn w:val="1"/>
    <w:next w:val="1"/>
    <w:link w:val="63"/>
    <w:qFormat/>
    <w:uiPriority w:val="9"/>
    <w:pPr>
      <w:widowControl/>
      <w:snapToGrid w:val="0"/>
      <w:spacing w:beforeLines="50" w:afterLines="50"/>
      <w:ind w:left="1583"/>
      <w:jc w:val="center"/>
      <w:outlineLvl w:val="8"/>
    </w:pPr>
    <w:rPr>
      <w:rFonts w:ascii="Cambria" w:hAnsi="Cambria" w:eastAsia="宋体" w:cs="Times New Roman"/>
      <w:i/>
      <w:iCs/>
      <w:caps/>
      <w:spacing w:val="10"/>
      <w:kern w:val="0"/>
      <w:sz w:val="20"/>
      <w:szCs w:val="20"/>
      <w:lang w:eastAsia="en-US" w:bidi="en-US"/>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lang w:eastAsia="zh-CN"/>
    </w:rPr>
  </w:style>
  <w:style w:type="paragraph" w:styleId="3">
    <w:name w:val="Body Text"/>
    <w:basedOn w:val="1"/>
    <w:next w:val="1"/>
    <w:link w:val="46"/>
    <w:qFormat/>
    <w:uiPriority w:val="1"/>
    <w:pPr>
      <w:ind w:left="120" w:firstLine="419"/>
      <w:jc w:val="left"/>
    </w:pPr>
    <w:rPr>
      <w:rFonts w:ascii="宋体" w:hAnsi="宋体" w:eastAsia="宋体"/>
      <w:kern w:val="0"/>
      <w:szCs w:val="21"/>
      <w:lang w:eastAsia="en-US"/>
    </w:rPr>
  </w:style>
  <w:style w:type="paragraph" w:styleId="13">
    <w:name w:val="caption"/>
    <w:basedOn w:val="1"/>
    <w:next w:val="1"/>
    <w:unhideWhenUsed/>
    <w:qFormat/>
    <w:uiPriority w:val="35"/>
    <w:pPr>
      <w:widowControl/>
      <w:ind w:left="240" w:right="240" w:firstLine="469" w:firstLineChars="213"/>
      <w:jc w:val="left"/>
    </w:pPr>
    <w:rPr>
      <w:rFonts w:ascii="Calibri Light" w:hAnsi="Calibri Light" w:eastAsia="黑体" w:cs="Times New Roman"/>
      <w:color w:val="000000"/>
      <w:kern w:val="0"/>
      <w:sz w:val="20"/>
      <w:szCs w:val="20"/>
      <w:lang w:val="zh-CN"/>
    </w:rPr>
  </w:style>
  <w:style w:type="paragraph" w:styleId="14">
    <w:name w:val="annotation text"/>
    <w:basedOn w:val="1"/>
    <w:link w:val="85"/>
    <w:unhideWhenUsed/>
    <w:qFormat/>
    <w:uiPriority w:val="99"/>
    <w:pPr>
      <w:jc w:val="left"/>
    </w:pPr>
    <w:rPr>
      <w:rFonts w:ascii="Calibri" w:hAnsi="Calibri" w:eastAsia="宋体" w:cs="Times New Roman"/>
    </w:rPr>
  </w:style>
  <w:style w:type="paragraph" w:styleId="15">
    <w:name w:val="Body Text Indent"/>
    <w:basedOn w:val="1"/>
    <w:qFormat/>
    <w:uiPriority w:val="0"/>
    <w:pPr>
      <w:tabs>
        <w:tab w:val="left" w:pos="673"/>
      </w:tabs>
      <w:ind w:firstLine="560"/>
    </w:pPr>
    <w:rPr>
      <w:sz w:val="28"/>
    </w:rPr>
  </w:style>
  <w:style w:type="paragraph" w:styleId="16">
    <w:name w:val="toc 3"/>
    <w:basedOn w:val="1"/>
    <w:next w:val="1"/>
    <w:semiHidden/>
    <w:unhideWhenUsed/>
    <w:qFormat/>
    <w:uiPriority w:val="39"/>
    <w:pPr>
      <w:ind w:left="840" w:leftChars="400"/>
    </w:pPr>
  </w:style>
  <w:style w:type="paragraph" w:styleId="17">
    <w:name w:val="Date"/>
    <w:basedOn w:val="1"/>
    <w:next w:val="1"/>
    <w:link w:val="41"/>
    <w:unhideWhenUsed/>
    <w:qFormat/>
    <w:uiPriority w:val="99"/>
    <w:pPr>
      <w:ind w:left="100" w:leftChars="2500"/>
    </w:pPr>
  </w:style>
  <w:style w:type="paragraph" w:styleId="18">
    <w:name w:val="Body Text Indent 2"/>
    <w:basedOn w:val="1"/>
    <w:unhideWhenUsed/>
    <w:qFormat/>
    <w:uiPriority w:val="99"/>
    <w:pPr>
      <w:spacing w:after="120" w:line="480" w:lineRule="auto"/>
      <w:ind w:left="420" w:leftChars="200"/>
    </w:pPr>
    <w:rPr>
      <w:rFonts w:ascii="Calibri" w:hAnsi="Calibri"/>
    </w:rPr>
  </w:style>
  <w:style w:type="paragraph" w:styleId="19">
    <w:name w:val="Balloon Text"/>
    <w:basedOn w:val="1"/>
    <w:link w:val="70"/>
    <w:unhideWhenUsed/>
    <w:qFormat/>
    <w:uiPriority w:val="99"/>
    <w:rPr>
      <w:rFonts w:ascii="Calibri" w:hAnsi="Calibri" w:eastAsia="宋体" w:cs="Times New Roman"/>
      <w:sz w:val="18"/>
      <w:szCs w:val="18"/>
    </w:rPr>
  </w:style>
  <w:style w:type="paragraph" w:styleId="20">
    <w:name w:val="footer"/>
    <w:basedOn w:val="1"/>
    <w:link w:val="39"/>
    <w:unhideWhenUsed/>
    <w:qFormat/>
    <w:uiPriority w:val="99"/>
    <w:pPr>
      <w:tabs>
        <w:tab w:val="center" w:pos="4153"/>
        <w:tab w:val="right" w:pos="8306"/>
      </w:tabs>
      <w:snapToGrid w:val="0"/>
      <w:jc w:val="left"/>
    </w:pPr>
    <w:rPr>
      <w:sz w:val="18"/>
      <w:szCs w:val="18"/>
    </w:rPr>
  </w:style>
  <w:style w:type="paragraph" w:styleId="21">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296"/>
      </w:tabs>
      <w:jc w:val="center"/>
    </w:pPr>
    <w:rPr>
      <w:b/>
      <w:szCs w:val="32"/>
    </w:rPr>
  </w:style>
  <w:style w:type="paragraph" w:styleId="23">
    <w:name w:val="footnote text"/>
    <w:basedOn w:val="1"/>
    <w:link w:val="69"/>
    <w:unhideWhenUsed/>
    <w:qFormat/>
    <w:uiPriority w:val="99"/>
    <w:pPr>
      <w:widowControl/>
      <w:snapToGrid w:val="0"/>
      <w:ind w:firstLine="200" w:firstLineChars="200"/>
      <w:jc w:val="left"/>
    </w:pPr>
    <w:rPr>
      <w:rFonts w:ascii="宋体" w:hAnsi="宋体" w:eastAsia="宋体" w:cs="Times New Roman"/>
      <w:kern w:val="0"/>
      <w:sz w:val="18"/>
      <w:szCs w:val="18"/>
    </w:rPr>
  </w:style>
  <w:style w:type="paragraph" w:styleId="24">
    <w:name w:val="toc 2"/>
    <w:basedOn w:val="1"/>
    <w:next w:val="1"/>
    <w:unhideWhenUsed/>
    <w:qFormat/>
    <w:uiPriority w:val="39"/>
    <w:pPr>
      <w:ind w:left="420" w:leftChars="200"/>
    </w:pPr>
  </w:style>
  <w:style w:type="paragraph" w:styleId="25">
    <w:name w:val="Normal (Web)"/>
    <w:basedOn w:val="1"/>
    <w:unhideWhenUsed/>
    <w:qFormat/>
    <w:uiPriority w:val="99"/>
    <w:rPr>
      <w:rFonts w:ascii="Calibri" w:hAnsi="Calibri" w:eastAsia="宋体" w:cs="Times New Roman"/>
    </w:rPr>
  </w:style>
  <w:style w:type="paragraph" w:styleId="26">
    <w:name w:val="Title"/>
    <w:basedOn w:val="1"/>
    <w:next w:val="1"/>
    <w:link w:val="89"/>
    <w:qFormat/>
    <w:uiPriority w:val="0"/>
    <w:pPr>
      <w:spacing w:before="240" w:after="60"/>
      <w:jc w:val="center"/>
      <w:outlineLvl w:val="0"/>
    </w:pPr>
    <w:rPr>
      <w:rFonts w:ascii="Cambria" w:hAnsi="Cambria" w:eastAsia="宋体" w:cs="Times New Roman"/>
      <w:b/>
      <w:bCs/>
      <w:sz w:val="32"/>
      <w:szCs w:val="32"/>
    </w:rPr>
  </w:style>
  <w:style w:type="paragraph" w:styleId="27">
    <w:name w:val="annotation subject"/>
    <w:basedOn w:val="14"/>
    <w:next w:val="14"/>
    <w:link w:val="87"/>
    <w:semiHidden/>
    <w:unhideWhenUsed/>
    <w:qFormat/>
    <w:uiPriority w:val="99"/>
    <w:rPr>
      <w:b/>
      <w:bCs/>
    </w:rPr>
  </w:style>
  <w:style w:type="paragraph" w:styleId="28">
    <w:name w:val="Body Text First Indent 2"/>
    <w:basedOn w:val="15"/>
    <w:qFormat/>
    <w:uiPriority w:val="0"/>
    <w:pPr>
      <w:ind w:firstLine="420" w:firstLineChars="200"/>
    </w:p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rPr>
  </w:style>
  <w:style w:type="character" w:styleId="33">
    <w:name w:val="page number"/>
    <w:basedOn w:val="31"/>
    <w:unhideWhenUsed/>
    <w:qFormat/>
    <w:uiPriority w:val="0"/>
    <w:rPr>
      <w:rFonts w:ascii="Times New Roman" w:hAnsi="Times New Roman" w:eastAsia="宋体"/>
      <w:sz w:val="18"/>
      <w:szCs w:val="20"/>
    </w:rPr>
  </w:style>
  <w:style w:type="character" w:styleId="34">
    <w:name w:val="Emphasis"/>
    <w:qFormat/>
    <w:uiPriority w:val="99"/>
    <w:rPr>
      <w:rFonts w:eastAsia="宋体"/>
      <w:iCs/>
      <w:sz w:val="21"/>
    </w:rPr>
  </w:style>
  <w:style w:type="character" w:styleId="35">
    <w:name w:val="Hyperlink"/>
    <w:basedOn w:val="31"/>
    <w:unhideWhenUsed/>
    <w:qFormat/>
    <w:uiPriority w:val="99"/>
    <w:rPr>
      <w:color w:val="0563C1" w:themeColor="hyperlink"/>
      <w:u w:val="single"/>
      <w14:textFill>
        <w14:solidFill>
          <w14:schemeClr w14:val="hlink"/>
        </w14:solidFill>
      </w14:textFill>
    </w:rPr>
  </w:style>
  <w:style w:type="character" w:styleId="36">
    <w:name w:val="annotation reference"/>
    <w:basedOn w:val="31"/>
    <w:semiHidden/>
    <w:unhideWhenUsed/>
    <w:qFormat/>
    <w:uiPriority w:val="99"/>
    <w:rPr>
      <w:sz w:val="21"/>
      <w:szCs w:val="21"/>
    </w:rPr>
  </w:style>
  <w:style w:type="character" w:styleId="37">
    <w:name w:val="footnote reference"/>
    <w:unhideWhenUsed/>
    <w:qFormat/>
    <w:uiPriority w:val="99"/>
    <w:rPr>
      <w:vertAlign w:val="superscript"/>
    </w:rPr>
  </w:style>
  <w:style w:type="character" w:customStyle="1" w:styleId="38">
    <w:name w:val="页眉 字符"/>
    <w:basedOn w:val="31"/>
    <w:link w:val="21"/>
    <w:qFormat/>
    <w:uiPriority w:val="99"/>
    <w:rPr>
      <w:sz w:val="18"/>
      <w:szCs w:val="18"/>
    </w:rPr>
  </w:style>
  <w:style w:type="character" w:customStyle="1" w:styleId="39">
    <w:name w:val="页脚 字符"/>
    <w:basedOn w:val="31"/>
    <w:link w:val="20"/>
    <w:qFormat/>
    <w:uiPriority w:val="99"/>
    <w:rPr>
      <w:sz w:val="18"/>
      <w:szCs w:val="18"/>
    </w:rPr>
  </w:style>
  <w:style w:type="paragraph" w:customStyle="1" w:styleId="40">
    <w:name w:val="条文"/>
    <w:qFormat/>
    <w:uiPriority w:val="0"/>
    <w:pPr>
      <w:numPr>
        <w:ilvl w:val="2"/>
        <w:numId w:val="1"/>
      </w:numPr>
      <w:tabs>
        <w:tab w:val="left" w:pos="337"/>
      </w:tabs>
      <w:spacing w:line="360" w:lineRule="auto"/>
    </w:pPr>
    <w:rPr>
      <w:rFonts w:ascii="Calibri" w:hAnsi="Calibri" w:eastAsia="宋体" w:cs="黑体"/>
      <w:kern w:val="2"/>
      <w:sz w:val="21"/>
      <w:szCs w:val="22"/>
      <w:lang w:val="en-US" w:eastAsia="zh-CN" w:bidi="ar-SA"/>
    </w:rPr>
  </w:style>
  <w:style w:type="character" w:customStyle="1" w:styleId="41">
    <w:name w:val="日期 字符"/>
    <w:basedOn w:val="31"/>
    <w:link w:val="17"/>
    <w:semiHidden/>
    <w:qFormat/>
    <w:uiPriority w:val="99"/>
  </w:style>
  <w:style w:type="character" w:customStyle="1" w:styleId="42">
    <w:name w:val="标题 3 字符"/>
    <w:basedOn w:val="31"/>
    <w:link w:val="6"/>
    <w:qFormat/>
    <w:uiPriority w:val="9"/>
    <w:rPr>
      <w:b/>
      <w:bCs/>
      <w:sz w:val="32"/>
      <w:szCs w:val="32"/>
    </w:rPr>
  </w:style>
  <w:style w:type="paragraph" w:customStyle="1" w:styleId="43">
    <w:name w:val="条文说明"/>
    <w:basedOn w:val="1"/>
    <w:next w:val="3"/>
    <w:link w:val="44"/>
    <w:qFormat/>
    <w:uiPriority w:val="99"/>
    <w:pPr>
      <w:jc w:val="left"/>
    </w:pPr>
    <w:rPr>
      <w:rFonts w:eastAsia="宋体" w:cs="Times New Roman"/>
    </w:rPr>
  </w:style>
  <w:style w:type="character" w:customStyle="1" w:styleId="44">
    <w:name w:val="条文说明 字符"/>
    <w:basedOn w:val="31"/>
    <w:link w:val="43"/>
    <w:qFormat/>
    <w:locked/>
    <w:uiPriority w:val="99"/>
    <w:rPr>
      <w:rFonts w:ascii="Times New Roman" w:hAnsi="Times New Roman" w:eastAsia="宋体" w:cs="Times New Roman"/>
      <w:u w:val="none"/>
    </w:rPr>
  </w:style>
  <w:style w:type="paragraph" w:customStyle="1" w:styleId="45">
    <w:name w:val="内容1"/>
    <w:basedOn w:val="1"/>
    <w:next w:val="1"/>
    <w:qFormat/>
    <w:uiPriority w:val="99"/>
    <w:pPr>
      <w:jc w:val="left"/>
    </w:pPr>
    <w:rPr>
      <w:rFonts w:eastAsia="宋体" w:cs="Times New Roman"/>
      <w:szCs w:val="28"/>
    </w:rPr>
  </w:style>
  <w:style w:type="character" w:customStyle="1" w:styleId="46">
    <w:name w:val="正文文本 字符"/>
    <w:basedOn w:val="31"/>
    <w:link w:val="3"/>
    <w:qFormat/>
    <w:uiPriority w:val="1"/>
    <w:rPr>
      <w:rFonts w:ascii="宋体" w:hAnsi="宋体" w:eastAsia="宋体"/>
      <w:kern w:val="0"/>
      <w:szCs w:val="21"/>
      <w:lang w:eastAsia="en-US"/>
    </w:rPr>
  </w:style>
  <w:style w:type="character" w:customStyle="1" w:styleId="47">
    <w:name w:val="标题 4 字符"/>
    <w:basedOn w:val="31"/>
    <w:link w:val="7"/>
    <w:qFormat/>
    <w:uiPriority w:val="9"/>
    <w:rPr>
      <w:rFonts w:asciiTheme="majorHAnsi" w:hAnsiTheme="majorHAnsi" w:eastAsiaTheme="majorEastAsia" w:cstheme="majorBidi"/>
      <w:b/>
      <w:bCs/>
      <w:sz w:val="24"/>
      <w:szCs w:val="28"/>
    </w:rPr>
  </w:style>
  <w:style w:type="character" w:customStyle="1" w:styleId="48">
    <w:name w:val="标题 1 字符"/>
    <w:basedOn w:val="31"/>
    <w:link w:val="4"/>
    <w:qFormat/>
    <w:uiPriority w:val="9"/>
    <w:rPr>
      <w:rFonts w:ascii="Times New Roman" w:hAnsi="Times New Roman" w:eastAsia="华文宋体"/>
      <w:b/>
      <w:bCs/>
      <w:kern w:val="44"/>
      <w:sz w:val="32"/>
      <w:szCs w:val="44"/>
    </w:rPr>
  </w:style>
  <w:style w:type="character" w:customStyle="1" w:styleId="49">
    <w:name w:val="标题 2 字符"/>
    <w:basedOn w:val="31"/>
    <w:link w:val="5"/>
    <w:qFormat/>
    <w:uiPriority w:val="9"/>
    <w:rPr>
      <w:rFonts w:ascii="Times New Roman" w:hAnsi="Times New Roman" w:eastAsia="宋体" w:cstheme="majorBidi"/>
      <w:b/>
      <w:bCs/>
      <w:sz w:val="24"/>
      <w:szCs w:val="32"/>
    </w:rPr>
  </w:style>
  <w:style w:type="character" w:customStyle="1" w:styleId="50">
    <w:name w:val="标题 5 字符"/>
    <w:basedOn w:val="31"/>
    <w:link w:val="8"/>
    <w:qFormat/>
    <w:uiPriority w:val="9"/>
    <w:rPr>
      <w:rFonts w:eastAsia="华文新魏"/>
      <w:bCs/>
      <w:szCs w:val="28"/>
    </w:rPr>
  </w:style>
  <w:style w:type="paragraph" w:customStyle="1" w:styleId="51">
    <w:name w:val="表格居中"/>
    <w:next w:val="1"/>
    <w:link w:val="52"/>
    <w:qFormat/>
    <w:uiPriority w:val="0"/>
    <w:pPr>
      <w:spacing w:line="360" w:lineRule="auto"/>
      <w:jc w:val="center"/>
    </w:pPr>
    <w:rPr>
      <w:rFonts w:eastAsia="宋体" w:asciiTheme="minorHAnsi" w:hAnsiTheme="minorHAnsi" w:cstheme="minorBidi"/>
      <w:kern w:val="2"/>
      <w:sz w:val="21"/>
      <w:szCs w:val="22"/>
      <w:lang w:val="en-US" w:eastAsia="zh-CN" w:bidi="ar-SA"/>
    </w:rPr>
  </w:style>
  <w:style w:type="character" w:customStyle="1" w:styleId="52">
    <w:name w:val="表格居中 Char"/>
    <w:basedOn w:val="31"/>
    <w:link w:val="51"/>
    <w:qFormat/>
    <w:uiPriority w:val="0"/>
    <w:rPr>
      <w:rFonts w:eastAsia="宋体"/>
    </w:rPr>
  </w:style>
  <w:style w:type="character" w:customStyle="1" w:styleId="53">
    <w:name w:val="正文编号 Char"/>
    <w:link w:val="54"/>
    <w:qFormat/>
    <w:uiPriority w:val="0"/>
    <w:rPr>
      <w:rFonts w:ascii="宋体" w:hAnsi="宋体"/>
      <w:sz w:val="24"/>
      <w:szCs w:val="24"/>
    </w:rPr>
  </w:style>
  <w:style w:type="paragraph" w:customStyle="1" w:styleId="54">
    <w:name w:val="正文编号"/>
    <w:link w:val="53"/>
    <w:qFormat/>
    <w:uiPriority w:val="0"/>
    <w:pPr>
      <w:snapToGrid w:val="0"/>
      <w:spacing w:beforeLines="50" w:afterLines="50" w:line="288" w:lineRule="auto"/>
      <w:ind w:left="420"/>
    </w:pPr>
    <w:rPr>
      <w:rFonts w:ascii="宋体" w:hAnsi="宋体" w:eastAsia="宋体" w:cs="Times New Roman"/>
      <w:szCs w:val="24"/>
      <w:lang w:val="en-US" w:eastAsia="zh-CN" w:bidi="ar-SA"/>
    </w:rPr>
  </w:style>
  <w:style w:type="paragraph" w:customStyle="1" w:styleId="55">
    <w:name w:val="表格文字"/>
    <w:qFormat/>
    <w:uiPriority w:val="0"/>
    <w:pPr>
      <w:spacing w:line="360" w:lineRule="auto"/>
    </w:pPr>
    <w:rPr>
      <w:rFonts w:ascii="Calibri" w:hAnsi="Calibri" w:eastAsia="宋体" w:cs="黑体"/>
      <w:kern w:val="2"/>
      <w:sz w:val="18"/>
      <w:szCs w:val="22"/>
      <w:lang w:val="en-US" w:eastAsia="zh-CN" w:bidi="ar-SA"/>
    </w:rPr>
  </w:style>
  <w:style w:type="paragraph" w:customStyle="1" w:styleId="56">
    <w:name w:val="表头格式"/>
    <w:basedOn w:val="1"/>
    <w:qFormat/>
    <w:uiPriority w:val="99"/>
    <w:pPr>
      <w:jc w:val="center"/>
      <w:outlineLvl w:val="3"/>
    </w:pPr>
    <w:rPr>
      <w:rFonts w:eastAsia="宋体" w:cs="Times New Roman"/>
      <w:b/>
      <w:szCs w:val="28"/>
    </w:rPr>
  </w:style>
  <w:style w:type="paragraph" w:customStyle="1" w:styleId="57">
    <w:name w:val="表题与图题"/>
    <w:next w:val="1"/>
    <w:qFormat/>
    <w:uiPriority w:val="0"/>
    <w:pPr>
      <w:spacing w:line="400" w:lineRule="exact"/>
      <w:jc w:val="center"/>
    </w:pPr>
    <w:rPr>
      <w:rFonts w:ascii="Times New Roman" w:hAnsi="Times New Roman" w:eastAsia="宋体" w:cs="Times New Roman"/>
      <w:b/>
      <w:sz w:val="21"/>
      <w:lang w:val="en-US" w:eastAsia="zh-CN" w:bidi="ar-SA"/>
    </w:rPr>
  </w:style>
  <w:style w:type="character" w:customStyle="1" w:styleId="58">
    <w:name w:val="列出段落 Char"/>
    <w:link w:val="59"/>
    <w:qFormat/>
    <w:uiPriority w:val="34"/>
    <w:rPr>
      <w:rFonts w:cs="黑体"/>
    </w:rPr>
  </w:style>
  <w:style w:type="paragraph" w:customStyle="1" w:styleId="59">
    <w:name w:val="列出段落1"/>
    <w:basedOn w:val="1"/>
    <w:link w:val="58"/>
    <w:qFormat/>
    <w:uiPriority w:val="34"/>
    <w:pPr>
      <w:ind w:firstLine="420" w:firstLineChars="200"/>
    </w:pPr>
    <w:rPr>
      <w:rFonts w:cs="黑体"/>
    </w:rPr>
  </w:style>
  <w:style w:type="character" w:customStyle="1" w:styleId="60">
    <w:name w:val="标题 6 字符"/>
    <w:basedOn w:val="31"/>
    <w:link w:val="9"/>
    <w:qFormat/>
    <w:uiPriority w:val="9"/>
    <w:rPr>
      <w:rFonts w:ascii="Cambria" w:hAnsi="Cambria" w:eastAsia="宋体" w:cs="Times New Roman"/>
      <w:caps/>
      <w:color w:val="943634"/>
      <w:spacing w:val="10"/>
      <w:kern w:val="0"/>
      <w:sz w:val="24"/>
      <w:lang w:eastAsia="en-US" w:bidi="en-US"/>
    </w:rPr>
  </w:style>
  <w:style w:type="character" w:customStyle="1" w:styleId="61">
    <w:name w:val="标题 7 字符"/>
    <w:basedOn w:val="31"/>
    <w:link w:val="10"/>
    <w:qFormat/>
    <w:uiPriority w:val="9"/>
    <w:rPr>
      <w:rFonts w:ascii="Cambria" w:hAnsi="Cambria" w:eastAsia="宋体" w:cs="Times New Roman"/>
      <w:i/>
      <w:iCs/>
      <w:caps/>
      <w:color w:val="943634"/>
      <w:spacing w:val="10"/>
      <w:kern w:val="0"/>
      <w:sz w:val="24"/>
      <w:lang w:eastAsia="en-US" w:bidi="en-US"/>
    </w:rPr>
  </w:style>
  <w:style w:type="character" w:customStyle="1" w:styleId="62">
    <w:name w:val="标题 8 字符"/>
    <w:basedOn w:val="31"/>
    <w:link w:val="11"/>
    <w:qFormat/>
    <w:uiPriority w:val="9"/>
    <w:rPr>
      <w:rFonts w:ascii="Cambria" w:hAnsi="Cambria" w:eastAsia="宋体" w:cs="Times New Roman"/>
      <w:caps/>
      <w:spacing w:val="10"/>
      <w:kern w:val="0"/>
      <w:sz w:val="20"/>
      <w:szCs w:val="20"/>
      <w:lang w:eastAsia="en-US" w:bidi="en-US"/>
    </w:rPr>
  </w:style>
  <w:style w:type="character" w:customStyle="1" w:styleId="63">
    <w:name w:val="标题 9 字符"/>
    <w:basedOn w:val="31"/>
    <w:link w:val="12"/>
    <w:qFormat/>
    <w:uiPriority w:val="9"/>
    <w:rPr>
      <w:rFonts w:ascii="Cambria" w:hAnsi="Cambria" w:eastAsia="宋体" w:cs="Times New Roman"/>
      <w:i/>
      <w:iCs/>
      <w:caps/>
      <w:spacing w:val="10"/>
      <w:kern w:val="0"/>
      <w:sz w:val="20"/>
      <w:szCs w:val="20"/>
      <w:lang w:eastAsia="en-US" w:bidi="en-US"/>
    </w:rPr>
  </w:style>
  <w:style w:type="character" w:customStyle="1" w:styleId="64">
    <w:name w:val="标题 1 Char1"/>
    <w:basedOn w:val="31"/>
    <w:qFormat/>
    <w:uiPriority w:val="9"/>
    <w:rPr>
      <w:rFonts w:ascii="宋体" w:hAnsi="宋体" w:eastAsia="宋体" w:cs="Times New Roman"/>
      <w:b/>
      <w:bCs/>
      <w:kern w:val="44"/>
      <w:sz w:val="36"/>
      <w:szCs w:val="44"/>
    </w:rPr>
  </w:style>
  <w:style w:type="character" w:customStyle="1" w:styleId="65">
    <w:name w:val="标题 2 Char1"/>
    <w:basedOn w:val="31"/>
    <w:qFormat/>
    <w:uiPriority w:val="9"/>
    <w:rPr>
      <w:rFonts w:ascii="宋体" w:hAnsi="宋体" w:eastAsia="宋体" w:cs="Times New Roman"/>
      <w:b/>
      <w:bCs/>
      <w:kern w:val="0"/>
      <w:sz w:val="30"/>
      <w:szCs w:val="32"/>
    </w:rPr>
  </w:style>
  <w:style w:type="paragraph" w:customStyle="1" w:styleId="66">
    <w:name w:val="条文分条"/>
    <w:basedOn w:val="40"/>
    <w:qFormat/>
    <w:uiPriority w:val="0"/>
    <w:pPr>
      <w:numPr>
        <w:ilvl w:val="0"/>
        <w:numId w:val="2"/>
      </w:numPr>
    </w:pPr>
  </w:style>
  <w:style w:type="character" w:customStyle="1" w:styleId="67">
    <w:name w:val="页眉 Char1"/>
    <w:basedOn w:val="31"/>
    <w:qFormat/>
    <w:uiPriority w:val="99"/>
    <w:rPr>
      <w:sz w:val="18"/>
      <w:szCs w:val="18"/>
    </w:rPr>
  </w:style>
  <w:style w:type="character" w:customStyle="1" w:styleId="68">
    <w:name w:val="页脚 Char1"/>
    <w:basedOn w:val="31"/>
    <w:qFormat/>
    <w:uiPriority w:val="99"/>
    <w:rPr>
      <w:sz w:val="18"/>
      <w:szCs w:val="18"/>
    </w:rPr>
  </w:style>
  <w:style w:type="character" w:customStyle="1" w:styleId="69">
    <w:name w:val="脚注文本 字符"/>
    <w:basedOn w:val="31"/>
    <w:link w:val="23"/>
    <w:qFormat/>
    <w:uiPriority w:val="99"/>
    <w:rPr>
      <w:rFonts w:ascii="宋体" w:hAnsi="宋体" w:eastAsia="宋体" w:cs="Times New Roman"/>
      <w:kern w:val="0"/>
      <w:sz w:val="18"/>
      <w:szCs w:val="18"/>
    </w:rPr>
  </w:style>
  <w:style w:type="character" w:customStyle="1" w:styleId="70">
    <w:name w:val="批注框文本 字符1"/>
    <w:basedOn w:val="31"/>
    <w:link w:val="19"/>
    <w:qFormat/>
    <w:uiPriority w:val="99"/>
    <w:rPr>
      <w:rFonts w:ascii="Calibri" w:hAnsi="Calibri" w:eastAsia="宋体" w:cs="Times New Roman"/>
      <w:sz w:val="18"/>
      <w:szCs w:val="18"/>
    </w:rPr>
  </w:style>
  <w:style w:type="character" w:customStyle="1" w:styleId="71">
    <w:name w:val="批注框文本 字符"/>
    <w:basedOn w:val="31"/>
    <w:semiHidden/>
    <w:qFormat/>
    <w:uiPriority w:val="99"/>
    <w:rPr>
      <w:sz w:val="18"/>
      <w:szCs w:val="18"/>
    </w:rPr>
  </w:style>
  <w:style w:type="paragraph" w:customStyle="1" w:styleId="72">
    <w:name w:val="条文说明表格"/>
    <w:next w:val="1"/>
    <w:link w:val="73"/>
    <w:qFormat/>
    <w:uiPriority w:val="0"/>
    <w:rPr>
      <w:rFonts w:ascii="宋体" w:hAnsi="宋体" w:eastAsia="宋体" w:cs="Arial Unicode MS"/>
      <w:i/>
      <w:color w:val="000000"/>
      <w:sz w:val="18"/>
      <w:szCs w:val="21"/>
      <w:lang w:val="zh-CN" w:eastAsia="zh-CN" w:bidi="ar-SA"/>
    </w:rPr>
  </w:style>
  <w:style w:type="character" w:customStyle="1" w:styleId="73">
    <w:name w:val="条文说明表格 Char"/>
    <w:link w:val="72"/>
    <w:qFormat/>
    <w:uiPriority w:val="0"/>
    <w:rPr>
      <w:rFonts w:ascii="宋体" w:hAnsi="宋体" w:eastAsia="宋体" w:cs="Arial Unicode MS"/>
      <w:i/>
      <w:color w:val="000000"/>
      <w:kern w:val="0"/>
      <w:sz w:val="18"/>
      <w:szCs w:val="21"/>
      <w:lang w:val="zh-CN"/>
    </w:rPr>
  </w:style>
  <w:style w:type="paragraph" w:customStyle="1" w:styleId="74">
    <w:name w:val="封面一致性程度标识"/>
    <w:qFormat/>
    <w:uiPriority w:val="0"/>
    <w:pPr>
      <w:spacing w:before="440" w:line="400" w:lineRule="exact"/>
      <w:jc w:val="center"/>
    </w:pPr>
    <w:rPr>
      <w:rFonts w:ascii="宋体" w:hAnsi="Times New Roman" w:eastAsia="宋体" w:cs="Times New Roman"/>
      <w:sz w:val="28"/>
      <w:szCs w:val="22"/>
      <w:lang w:val="en-US" w:eastAsia="zh-CN" w:bidi="ar-SA"/>
    </w:rPr>
  </w:style>
  <w:style w:type="paragraph" w:customStyle="1" w:styleId="75">
    <w:name w:val="标准书眉一"/>
    <w:qFormat/>
    <w:uiPriority w:val="0"/>
    <w:pPr>
      <w:jc w:val="both"/>
    </w:pPr>
    <w:rPr>
      <w:rFonts w:ascii="Times New Roman" w:hAnsi="Times New Roman" w:eastAsia="宋体" w:cs="Times New Roman"/>
      <w:sz w:val="21"/>
      <w:szCs w:val="22"/>
      <w:lang w:val="en-US" w:eastAsia="zh-CN" w:bidi="ar-SA"/>
    </w:rPr>
  </w:style>
  <w:style w:type="paragraph" w:customStyle="1" w:styleId="76">
    <w:name w:val="封面标准英文名称"/>
    <w:qFormat/>
    <w:uiPriority w:val="0"/>
    <w:pPr>
      <w:widowControl w:val="0"/>
      <w:spacing w:before="370" w:line="400" w:lineRule="exact"/>
      <w:jc w:val="center"/>
    </w:pPr>
    <w:rPr>
      <w:rFonts w:ascii="Times New Roman" w:hAnsi="Times New Roman" w:eastAsia="宋体" w:cs="Times New Roman"/>
      <w:sz w:val="28"/>
      <w:szCs w:val="22"/>
      <w:lang w:val="en-US" w:eastAsia="zh-CN" w:bidi="ar-SA"/>
    </w:rPr>
  </w:style>
  <w:style w:type="paragraph" w:customStyle="1" w:styleId="77">
    <w:name w:val="标准书脚_奇数页"/>
    <w:qFormat/>
    <w:uiPriority w:val="0"/>
    <w:pPr>
      <w:spacing w:before="120"/>
      <w:jc w:val="right"/>
    </w:pPr>
    <w:rPr>
      <w:rFonts w:ascii="Times New Roman" w:hAnsi="Times New Roman" w:eastAsia="宋体" w:cs="Times New Roman"/>
      <w:sz w:val="18"/>
      <w:szCs w:val="22"/>
      <w:lang w:val="en-US" w:eastAsia="zh-CN" w:bidi="ar-SA"/>
    </w:rPr>
  </w:style>
  <w:style w:type="paragraph" w:customStyle="1" w:styleId="78">
    <w:name w:val="TOC 标题1"/>
    <w:basedOn w:val="4"/>
    <w:next w:val="1"/>
    <w:unhideWhenUsed/>
    <w:qFormat/>
    <w:uiPriority w:val="39"/>
    <w:pPr>
      <w:widowControl/>
      <w:spacing w:before="240" w:line="259" w:lineRule="auto"/>
      <w:jc w:val="left"/>
      <w:outlineLvl w:val="9"/>
    </w:pPr>
    <w:rPr>
      <w:rFonts w:ascii="Calibri Light" w:hAnsi="Calibri Light" w:eastAsia="宋体" w:cs="Times New Roman"/>
      <w:b w:val="0"/>
      <w:bCs w:val="0"/>
      <w:color w:val="2E74B5"/>
      <w:kern w:val="0"/>
      <w:szCs w:val="32"/>
    </w:rPr>
  </w:style>
  <w:style w:type="paragraph" w:customStyle="1" w:styleId="79">
    <w:name w:val="表格正文"/>
    <w:basedOn w:val="1"/>
    <w:link w:val="80"/>
    <w:qFormat/>
    <w:uiPriority w:val="0"/>
    <w:pPr>
      <w:widowControl/>
      <w:ind w:left="31" w:leftChars="15"/>
      <w:jc w:val="left"/>
    </w:pPr>
    <w:rPr>
      <w:rFonts w:ascii="宋体" w:hAnsi="宋体" w:eastAsia="宋体" w:cs="Arial Unicode MS"/>
      <w:color w:val="000000"/>
      <w:kern w:val="0"/>
      <w:szCs w:val="21"/>
      <w:lang w:val="zh-CN"/>
    </w:rPr>
  </w:style>
  <w:style w:type="character" w:customStyle="1" w:styleId="80">
    <w:name w:val="表格正文 Char"/>
    <w:link w:val="79"/>
    <w:qFormat/>
    <w:uiPriority w:val="0"/>
    <w:rPr>
      <w:rFonts w:ascii="宋体" w:hAnsi="宋体" w:eastAsia="宋体" w:cs="Arial Unicode MS"/>
      <w:color w:val="000000"/>
      <w:kern w:val="0"/>
      <w:szCs w:val="21"/>
      <w:lang w:val="zh-CN"/>
    </w:rPr>
  </w:style>
  <w:style w:type="paragraph" w:customStyle="1" w:styleId="81">
    <w:name w:val="章节标题"/>
    <w:basedOn w:val="1"/>
    <w:next w:val="1"/>
    <w:qFormat/>
    <w:uiPriority w:val="0"/>
    <w:pPr>
      <w:widowControl/>
      <w:spacing w:before="120" w:after="120"/>
      <w:ind w:right="240"/>
      <w:jc w:val="center"/>
    </w:pPr>
    <w:rPr>
      <w:rFonts w:ascii="黑体" w:hAnsi="黑体" w:eastAsia="黑体" w:cs="Arial Unicode MS"/>
      <w:color w:val="000000"/>
      <w:kern w:val="0"/>
      <w:szCs w:val="28"/>
      <w:lang w:val="zh-CN"/>
    </w:rPr>
  </w:style>
  <w:style w:type="paragraph" w:customStyle="1" w:styleId="82">
    <w:name w:val="编号章节标题"/>
    <w:basedOn w:val="81"/>
    <w:next w:val="81"/>
    <w:qFormat/>
    <w:uiPriority w:val="0"/>
    <w:pPr>
      <w:spacing w:beforeLines="50" w:afterLines="150" w:line="240" w:lineRule="auto"/>
      <w:ind w:right="0"/>
    </w:pPr>
    <w:rPr>
      <w:rFonts w:eastAsia="宋体" w:cs="Times New Roman"/>
      <w:sz w:val="28"/>
    </w:rPr>
  </w:style>
  <w:style w:type="paragraph" w:customStyle="1" w:styleId="83">
    <w:name w:val="编号正文"/>
    <w:basedOn w:val="1"/>
    <w:link w:val="84"/>
    <w:qFormat/>
    <w:uiPriority w:val="0"/>
    <w:pPr>
      <w:widowControl/>
      <w:numPr>
        <w:ilvl w:val="2"/>
        <w:numId w:val="3"/>
      </w:numPr>
      <w:ind w:right="229" w:rightChars="109"/>
      <w:jc w:val="left"/>
    </w:pPr>
    <w:rPr>
      <w:rFonts w:ascii="宋体" w:hAnsi="宋体" w:eastAsia="宋体" w:cs="Times New Roman"/>
      <w:color w:val="000000"/>
      <w:kern w:val="0"/>
      <w:lang w:val="zh-CN"/>
    </w:rPr>
  </w:style>
  <w:style w:type="character" w:customStyle="1" w:styleId="84">
    <w:name w:val="编号正文 Char"/>
    <w:link w:val="83"/>
    <w:qFormat/>
    <w:uiPriority w:val="0"/>
    <w:rPr>
      <w:rFonts w:ascii="宋体" w:hAnsi="宋体" w:eastAsia="宋体" w:cs="Times New Roman"/>
      <w:color w:val="000000"/>
      <w:kern w:val="0"/>
      <w:lang w:val="zh-CN"/>
    </w:rPr>
  </w:style>
  <w:style w:type="character" w:customStyle="1" w:styleId="85">
    <w:name w:val="批注文字 字符1"/>
    <w:basedOn w:val="31"/>
    <w:link w:val="14"/>
    <w:qFormat/>
    <w:uiPriority w:val="99"/>
    <w:rPr>
      <w:rFonts w:ascii="Calibri" w:hAnsi="Calibri" w:eastAsia="宋体" w:cs="Times New Roman"/>
    </w:rPr>
  </w:style>
  <w:style w:type="character" w:customStyle="1" w:styleId="86">
    <w:name w:val="批注文字 字符"/>
    <w:basedOn w:val="31"/>
    <w:semiHidden/>
    <w:qFormat/>
    <w:uiPriority w:val="99"/>
  </w:style>
  <w:style w:type="character" w:customStyle="1" w:styleId="87">
    <w:name w:val="批注主题 字符1"/>
    <w:basedOn w:val="85"/>
    <w:link w:val="27"/>
    <w:semiHidden/>
    <w:qFormat/>
    <w:uiPriority w:val="99"/>
    <w:rPr>
      <w:rFonts w:ascii="Calibri" w:hAnsi="Calibri" w:eastAsia="宋体" w:cs="Times New Roman"/>
      <w:b/>
      <w:bCs/>
    </w:rPr>
  </w:style>
  <w:style w:type="character" w:customStyle="1" w:styleId="88">
    <w:name w:val="批注主题 字符"/>
    <w:basedOn w:val="86"/>
    <w:semiHidden/>
    <w:qFormat/>
    <w:uiPriority w:val="99"/>
    <w:rPr>
      <w:b/>
      <w:bCs/>
    </w:rPr>
  </w:style>
  <w:style w:type="character" w:customStyle="1" w:styleId="89">
    <w:name w:val="标题 字符"/>
    <w:link w:val="26"/>
    <w:qFormat/>
    <w:uiPriority w:val="0"/>
    <w:rPr>
      <w:rFonts w:ascii="Cambria" w:hAnsi="Cambria" w:eastAsia="宋体" w:cs="Times New Roman"/>
      <w:b/>
      <w:bCs/>
      <w:sz w:val="32"/>
      <w:szCs w:val="32"/>
    </w:rPr>
  </w:style>
  <w:style w:type="character" w:customStyle="1" w:styleId="90">
    <w:name w:val="标题 Char1"/>
    <w:basedOn w:val="31"/>
    <w:qFormat/>
    <w:uiPriority w:val="10"/>
    <w:rPr>
      <w:rFonts w:eastAsia="宋体" w:asciiTheme="majorHAnsi" w:hAnsiTheme="majorHAnsi" w:cstheme="majorBidi"/>
      <w:b/>
      <w:bCs/>
      <w:sz w:val="32"/>
      <w:szCs w:val="32"/>
    </w:rPr>
  </w:style>
  <w:style w:type="paragraph" w:customStyle="1" w:styleId="91">
    <w:name w:val="标准条文"/>
    <w:qFormat/>
    <w:uiPriority w:val="0"/>
    <w:pPr>
      <w:spacing w:beforeLines="50" w:line="400" w:lineRule="exact"/>
      <w:jc w:val="both"/>
    </w:pPr>
    <w:rPr>
      <w:rFonts w:ascii="Times New Roman" w:hAnsi="Times New Roman" w:eastAsia="宋体" w:cstheme="minorBidi"/>
      <w:kern w:val="2"/>
      <w:sz w:val="24"/>
      <w:szCs w:val="24"/>
      <w:lang w:val="en-US" w:eastAsia="zh-CN" w:bidi="ar-SA"/>
    </w:rPr>
  </w:style>
  <w:style w:type="paragraph" w:customStyle="1" w:styleId="92">
    <w:name w:val="表标题"/>
    <w:qFormat/>
    <w:uiPriority w:val="0"/>
    <w:pPr>
      <w:spacing w:beforeLines="50" w:afterLines="50" w:line="240" w:lineRule="atLeast"/>
      <w:jc w:val="center"/>
    </w:pPr>
    <w:rPr>
      <w:rFonts w:ascii="Times New Roman" w:hAnsi="Times New Roman" w:eastAsia="黑体" w:cstheme="minorBidi"/>
      <w:color w:val="000000" w:themeColor="text1"/>
      <w:kern w:val="2"/>
      <w:sz w:val="21"/>
      <w:szCs w:val="21"/>
      <w:lang w:val="en-US" w:eastAsia="zh-CN" w:bidi="ar-SA"/>
      <w14:textFill>
        <w14:solidFill>
          <w14:schemeClr w14:val="tx1"/>
        </w14:solidFill>
      </w14:textFill>
    </w:rPr>
  </w:style>
  <w:style w:type="paragraph" w:customStyle="1" w:styleId="93">
    <w:name w:val="表字居中"/>
    <w:qFormat/>
    <w:uiPriority w:val="0"/>
    <w:pPr>
      <w:jc w:val="center"/>
    </w:pPr>
    <w:rPr>
      <w:rFonts w:ascii="Calibri" w:hAnsi="Calibri" w:eastAsia="宋体" w:cs="黑体"/>
      <w:kern w:val="2"/>
      <w:sz w:val="21"/>
      <w:szCs w:val="22"/>
      <w:lang w:val="en-US" w:eastAsia="zh-CN" w:bidi="ar-SA"/>
    </w:rPr>
  </w:style>
  <w:style w:type="paragraph" w:customStyle="1" w:styleId="94">
    <w:name w:val="表格内容"/>
    <w:basedOn w:val="1"/>
    <w:qFormat/>
    <w:uiPriority w:val="0"/>
    <w:pPr>
      <w:autoSpaceDE w:val="0"/>
      <w:autoSpaceDN w:val="0"/>
      <w:adjustRightInd w:val="0"/>
      <w:ind w:firstLine="100" w:firstLineChars="100"/>
    </w:pPr>
  </w:style>
  <w:style w:type="paragraph" w:customStyle="1" w:styleId="95">
    <w:name w:val="表内分条"/>
    <w:qFormat/>
    <w:uiPriority w:val="0"/>
    <w:pPr>
      <w:ind w:firstLine="100" w:firstLineChars="100"/>
      <w:jc w:val="both"/>
    </w:pPr>
    <w:rPr>
      <w:rFonts w:ascii="Calibri" w:hAnsi="Calibri" w:eastAsia="宋体" w:cs="黑体"/>
      <w:kern w:val="2"/>
      <w:sz w:val="21"/>
      <w:szCs w:val="22"/>
      <w:lang w:val="en-US" w:eastAsia="zh-CN" w:bidi="ar-SA"/>
    </w:rPr>
  </w:style>
  <w:style w:type="paragraph" w:customStyle="1" w:styleId="96">
    <w:name w:val="WPSOffice手动目录 1"/>
    <w:qFormat/>
    <w:uiPriority w:val="0"/>
    <w:rPr>
      <w:rFonts w:asciiTheme="minorHAnsi" w:hAnsiTheme="minorHAnsi" w:eastAsiaTheme="minorEastAsia" w:cstheme="minorBidi"/>
      <w:lang w:val="en-US" w:eastAsia="zh-CN" w:bidi="ar-SA"/>
    </w:rPr>
  </w:style>
  <w:style w:type="paragraph" w:customStyle="1" w:styleId="9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9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9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0">
    <w:name w:val="+正文"/>
    <w:basedOn w:val="1"/>
    <w:qFormat/>
    <w:uiPriority w:val="99"/>
    <w:pPr>
      <w:widowControl/>
      <w:ind w:firstLine="200" w:firstLineChars="200"/>
      <w:jc w:val="left"/>
    </w:pPr>
    <w:rPr>
      <w:rFonts w:ascii="Calibri" w:hAnsi="Calibri"/>
      <w:kern w:val="0"/>
      <w:szCs w:val="28"/>
      <w:lang w:val="zh-CN" w:eastAsia="en-US" w:bidi="en-US"/>
    </w:rPr>
  </w:style>
  <w:style w:type="paragraph" w:customStyle="1" w:styleId="101">
    <w:name w:val="正文文字"/>
    <w:basedOn w:val="1"/>
    <w:qFormat/>
    <w:uiPriority w:val="0"/>
    <w:pPr>
      <w:spacing w:line="240" w:lineRule="auto"/>
    </w:pPr>
    <w:rPr>
      <w:sz w:val="28"/>
      <w:szCs w:val="28"/>
    </w:rPr>
  </w:style>
  <w:style w:type="paragraph" w:customStyle="1" w:styleId="102">
    <w:name w:val="一级标题"/>
    <w:basedOn w:val="4"/>
    <w:qFormat/>
    <w:uiPriority w:val="0"/>
    <w:pPr>
      <w:spacing w:line="480" w:lineRule="auto"/>
    </w:pPr>
    <w:rPr>
      <w:rFonts w:ascii="等线" w:hAnsi="等线" w:cs="Times New Roman"/>
      <w:b w:val="0"/>
      <w:sz w:val="36"/>
    </w:rPr>
  </w:style>
  <w:style w:type="paragraph" w:customStyle="1" w:styleId="103">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104">
    <w:name w:val="正文条款-首行缩进"/>
    <w:basedOn w:val="1"/>
    <w:next w:val="1"/>
    <w:unhideWhenUsed/>
    <w:qFormat/>
    <w:uiPriority w:val="39"/>
    <w:pPr>
      <w:widowControl/>
      <w:adjustRightInd w:val="0"/>
      <w:snapToGrid w:val="0"/>
      <w:ind w:firstLine="200" w:firstLineChars="200"/>
      <w:jc w:val="left"/>
    </w:pPr>
    <w:rPr>
      <w:rFonts w:cstheme="majorBidi"/>
      <w:kern w:val="0"/>
      <w:szCs w:val="28"/>
    </w:rPr>
  </w:style>
  <w:style w:type="paragraph" w:customStyle="1" w:styleId="105">
    <w:name w:val="图表名-居中"/>
    <w:basedOn w:val="1"/>
    <w:next w:val="1"/>
    <w:qFormat/>
    <w:uiPriority w:val="0"/>
    <w:pPr>
      <w:contextualSpacing/>
      <w:jc w:val="center"/>
    </w:pPr>
    <w:rPr>
      <w:b/>
      <w:sz w:val="21"/>
    </w:rPr>
  </w:style>
  <w:style w:type="paragraph" w:customStyle="1" w:styleId="106">
    <w:name w:val="图表内容-居中"/>
    <w:basedOn w:val="1"/>
    <w:next w:val="1"/>
    <w:qFormat/>
    <w:uiPriority w:val="0"/>
    <w:pPr>
      <w:adjustRightInd w:val="0"/>
      <w:snapToGrid w:val="0"/>
      <w:spacing w:line="240" w:lineRule="auto"/>
      <w:jc w:val="center"/>
    </w:pPr>
    <w:rPr>
      <w:bCs/>
      <w:sz w:val="21"/>
    </w:rPr>
  </w:style>
  <w:style w:type="table" w:customStyle="1" w:styleId="107">
    <w:name w:val="Table Normal1"/>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08">
    <w:name w:val="图表脚注说明"/>
    <w:basedOn w:val="1"/>
    <w:qFormat/>
    <w:uiPriority w:val="0"/>
    <w:pPr>
      <w:numPr>
        <w:ilvl w:val="0"/>
        <w:numId w:val="4"/>
      </w:numPr>
      <w:spacing w:line="240" w:lineRule="auto"/>
      <w:ind w:left="0" w:firstLine="1044" w:firstLineChars="200"/>
    </w:pPr>
    <w:rPr>
      <w:sz w:val="21"/>
      <w:szCs w:val="18"/>
    </w:rPr>
  </w:style>
  <w:style w:type="paragraph" w:customStyle="1" w:styleId="109">
    <w:name w:val="修订1"/>
    <w:hidden/>
    <w:semiHidden/>
    <w:qFormat/>
    <w:uiPriority w:val="99"/>
    <w:rPr>
      <w:rFonts w:ascii="Times New Roman" w:hAnsi="Times New Roman" w:eastAsiaTheme="minorEastAsia" w:cstheme="minorBidi"/>
      <w:kern w:val="2"/>
      <w:sz w:val="24"/>
      <w:szCs w:val="22"/>
      <w:lang w:val="en-US" w:eastAsia="zh-CN" w:bidi="ar-SA"/>
    </w:rPr>
  </w:style>
  <w:style w:type="paragraph" w:styleId="1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jpeg"/><Relationship Id="rId22" Type="http://schemas.openxmlformats.org/officeDocument/2006/relationships/oleObject" Target="embeddings/oleObject2.bin"/><Relationship Id="rId21" Type="http://schemas.openxmlformats.org/officeDocument/2006/relationships/image" Target="media/image2.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2.xml"/><Relationship Id="rId14" Type="http://schemas.openxmlformats.org/officeDocument/2006/relationships/footer" Target="footer9.xml"/><Relationship Id="rId13" Type="http://schemas.openxmlformats.org/officeDocument/2006/relationships/header" Target="header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6CB45-02EE-478F-A559-DBA5D1A1F8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6516</Words>
  <Characters>8847</Characters>
  <Lines>292</Lines>
  <Paragraphs>82</Paragraphs>
  <TotalTime>79</TotalTime>
  <ScaleCrop>false</ScaleCrop>
  <LinksUpToDate>false</LinksUpToDate>
  <CharactersWithSpaces>9798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2023-08-26T12:58:00Z</dcterms:created>
  <dc:creator>Administrator</dc:creator>
  <cp:lastModifiedBy>ZGS</cp:lastModifiedBy>
  <cp:lastPrinted>2020-05-14T06:45:00Z</cp:lastPrinted>
  <dcterms:modified xsi:type="dcterms:W3CDTF">2025-08-01T09:10:25Z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11A5D4FFBE2747149D8389D0E9488F24_13</vt:lpwstr>
  </property>
  <property fmtid="{D5CDD505-2E9C-101B-9397-08002B2CF9AE}" pid="4" name="KSOTemplateDocerSaveRecord">
    <vt:lpwstr>eyJoZGlkIjoiMWU3NzRmYWY1MTc5MWM2YWE5MzEyYmFiNDMzYjk5MGUiLCJ1c2VySWQiOiI1MDUzNTE0OTEifQ==</vt:lpwstr>
  </property>
</Properties>
</file>