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40"/>
        </w:tabs>
        <w:ind w:firstLine="320" w:firstLineChars="1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fldChar w:fldCharType="begin">
          <w:fldData xml:space="preserve">ZQBKAHoAdABYAFEAMQAwAFYATgBXAGQAdgAyADkAbQBNAGoATwA1AGgAQgBKAEgAcABUAEcASQBq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</w:fldData>
        </w:fldChar>
      </w:r>
      <w:r>
        <w:rPr>
          <w:rFonts w:eastAsia="黑体"/>
          <w:color w:val="000000" w:themeColor="text1"/>
          <w:sz w:val="32"/>
          <w:szCs w:val="32"/>
          <w14:textFill>
            <w14:solidFill>
              <w14:schemeClr w14:val="tx1"/>
            </w14:solidFill>
          </w14:textFill>
        </w:rPr>
        <w:instrText xml:space="preserve">ADDIN CNKISM.UserStyle</w:instrText>
      </w:r>
      <w:r>
        <w:rPr>
          <w:rFonts w:eastAsia="黑体"/>
          <w:color w:val="000000" w:themeColor="text1"/>
          <w:sz w:val="32"/>
          <w:szCs w:val="32"/>
          <w14:textFill>
            <w14:solidFill>
              <w14:schemeClr w14:val="tx1"/>
            </w14:solidFill>
          </w14:textFill>
        </w:rPr>
        <w:fldChar w:fldCharType="separate"/>
      </w:r>
      <w:r>
        <w:rPr>
          <w:rFonts w:eastAsia="黑体"/>
          <w:color w:val="000000" w:themeColor="text1"/>
          <w:sz w:val="32"/>
          <w:szCs w:val="32"/>
          <w14:textFill>
            <w14:solidFill>
              <w14:schemeClr w14:val="tx1"/>
            </w14:solidFill>
          </w14:textFill>
        </w:rPr>
        <w:fldChar w:fldCharType="end"/>
      </w:r>
      <w:r>
        <w:rPr>
          <w:rFonts w:cs="Microsoft JhengHei"/>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page">
              <wp:posOffset>4733925</wp:posOffset>
            </wp:positionH>
            <wp:positionV relativeFrom="page">
              <wp:posOffset>968375</wp:posOffset>
            </wp:positionV>
            <wp:extent cx="1720215" cy="800100"/>
            <wp:effectExtent l="0" t="0" r="0" b="0"/>
            <wp:wrapNone/>
            <wp:docPr id="321571541" name="图片 1" descr="说明: G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1571541" name="图片 1" descr="说明: GD"/>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720215" cy="800100"/>
                    </a:xfrm>
                    <a:prstGeom prst="rect">
                      <a:avLst/>
                    </a:prstGeom>
                    <a:noFill/>
                    <a:ln>
                      <a:noFill/>
                    </a:ln>
                  </pic:spPr>
                </pic:pic>
              </a:graphicData>
            </a:graphic>
          </wp:anchor>
        </w:drawing>
      </w:r>
      <w:r>
        <w:rPr>
          <w:rFonts w:hint="eastAsia" w:eastAsia="黑体"/>
          <w:color w:val="000000" w:themeColor="text1"/>
          <w:sz w:val="32"/>
          <w:szCs w:val="32"/>
          <w14:textFill>
            <w14:solidFill>
              <w14:schemeClr w14:val="tx1"/>
            </w14:solidFill>
          </w14:textFill>
        </w:rPr>
        <w:t xml:space="preserve">         </w:t>
      </w:r>
    </w:p>
    <w:p>
      <w:pPr>
        <w:rPr>
          <w:rFonts w:eastAsia="MS Gothic"/>
          <w:b/>
          <w:color w:val="000000" w:themeColor="text1"/>
          <w:sz w:val="84"/>
          <w:szCs w:val="84"/>
          <w14:textFill>
            <w14:solidFill>
              <w14:schemeClr w14:val="tx1"/>
            </w14:solidFill>
          </w14:textFill>
        </w:rPr>
      </w:pPr>
      <w:r>
        <w:rPr>
          <w:rFonts w:hint="eastAsia" w:eastAsia="黑体"/>
          <w:color w:val="000000" w:themeColor="text1"/>
          <w:sz w:val="32"/>
          <w:szCs w:val="32"/>
          <w14:textFill>
            <w14:solidFill>
              <w14:schemeClr w14:val="tx1"/>
            </w14:solidFill>
          </w14:textFill>
        </w:rPr>
        <w:t xml:space="preserve">         </w:t>
      </w:r>
      <w:r>
        <w:rPr>
          <w:rFonts w:eastAsia="黑体"/>
          <w:color w:val="000000" w:themeColor="text1"/>
          <w:spacing w:val="28"/>
          <w:sz w:val="48"/>
          <w:szCs w:val="48"/>
          <w14:textFill>
            <w14:solidFill>
              <w14:schemeClr w14:val="tx1"/>
            </w14:solidFill>
          </w14:textFill>
        </w:rPr>
        <w:t>广东省标准</w:t>
      </w:r>
      <w:r>
        <w:rPr>
          <w:rFonts w:eastAsia="黑体"/>
          <w:color w:val="000000" w:themeColor="text1"/>
          <w:sz w:val="32"/>
          <w:szCs w:val="32"/>
          <w14:textFill>
            <w14:solidFill>
              <w14:schemeClr w14:val="tx1"/>
            </w14:solidFill>
          </w14:textFill>
        </w:rPr>
        <w:t xml:space="preserve">            </w:t>
      </w:r>
      <w:r>
        <w:rPr>
          <w:rFonts w:hint="eastAsia"/>
          <w:color w:val="000000" w:themeColor="text1"/>
          <w:sz w:val="52"/>
          <w14:textFill>
            <w14:solidFill>
              <w14:schemeClr w14:val="tx1"/>
            </w14:solidFill>
          </w14:textFill>
        </w:rPr>
        <w:t xml:space="preserve">   </w:t>
      </w:r>
    </w:p>
    <w:p>
      <w:pPr>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Start w:id="0" w:name="_Toc337542810"/>
      <w:r>
        <w:rPr>
          <w:rFonts w:hint="eastAsia"/>
          <w:color w:val="000000" w:themeColor="text1"/>
          <w14:textFill>
            <w14:solidFill>
              <w14:schemeClr w14:val="tx1"/>
            </w14:solidFill>
          </w14:textFill>
        </w:rPr>
        <w:t xml:space="preserve">                                                        </w:t>
      </w:r>
    </w:p>
    <w:p>
      <w:pPr>
        <w:spacing w:line="400" w:lineRule="exact"/>
        <w:rPr>
          <w:rFonts w:eastAsia="宋体"/>
          <w:color w:val="000000" w:themeColor="text1"/>
          <w:spacing w:val="17"/>
          <w:sz w:val="30"/>
          <w:szCs w:val="30"/>
          <w14:textFill>
            <w14:solidFill>
              <w14:schemeClr w14:val="tx1"/>
            </w14:solidFill>
          </w14:textFill>
        </w:rPr>
      </w:pPr>
      <w:r>
        <w:rPr>
          <w:rFonts w:hint="eastAsia"/>
          <w:color w:val="000000" w:themeColor="text1"/>
          <w14:textFill>
            <w14:solidFill>
              <w14:schemeClr w14:val="tx1"/>
            </w14:solidFill>
          </w14:textFill>
        </w:rPr>
        <w:t xml:space="preserve">                                                               </w:t>
      </w:r>
      <w:bookmarkStart w:id="1" w:name="_Hlk201062442"/>
      <w:r>
        <w:rPr>
          <w:color w:val="000000" w:themeColor="text1"/>
          <w:spacing w:val="23"/>
          <w:sz w:val="30"/>
          <w:szCs w:val="30"/>
          <w14:textFill>
            <w14:solidFill>
              <w14:schemeClr w14:val="tx1"/>
            </w14:solidFill>
          </w14:textFill>
        </w:rPr>
        <w:t>DBJ</w:t>
      </w:r>
      <w:r>
        <w:rPr>
          <w:rFonts w:hint="eastAsia"/>
          <w:color w:val="000000" w:themeColor="text1"/>
          <w:spacing w:val="23"/>
          <w:sz w:val="30"/>
          <w:szCs w:val="30"/>
          <w14:textFill>
            <w14:solidFill>
              <w14:schemeClr w14:val="tx1"/>
            </w14:solidFill>
          </w14:textFill>
        </w:rPr>
        <w:t>/T 15</w:t>
      </w:r>
      <w:r>
        <w:rPr>
          <w:color w:val="000000" w:themeColor="text1"/>
          <w:spacing w:val="23"/>
          <w:sz w:val="30"/>
          <w:szCs w:val="30"/>
          <w14:textFill>
            <w14:solidFill>
              <w14:schemeClr w14:val="tx1"/>
            </w14:solidFill>
          </w14:textFill>
        </w:rPr>
        <w:t>-</w:t>
      </w:r>
      <w:r>
        <w:rPr>
          <w:rFonts w:hint="eastAsia" w:ascii="黑体" w:hAnsi="黑体" w:eastAsia="黑体"/>
          <w:color w:val="000000" w:themeColor="text1"/>
          <w:szCs w:val="28"/>
          <w14:textFill>
            <w14:solidFill>
              <w14:schemeClr w14:val="tx1"/>
            </w14:solidFill>
          </w14:textFill>
        </w:rPr>
        <w:t>XX</w:t>
      </w:r>
      <w:r>
        <w:rPr>
          <w:color w:val="000000" w:themeColor="text1"/>
          <w:spacing w:val="23"/>
          <w:sz w:val="30"/>
          <w:szCs w:val="30"/>
          <w14:textFill>
            <w14:solidFill>
              <w14:schemeClr w14:val="tx1"/>
            </w14:solidFill>
          </w14:textFill>
        </w:rPr>
        <w:t>-</w:t>
      </w:r>
      <w:bookmarkEnd w:id="0"/>
      <w:r>
        <w:rPr>
          <w:color w:val="000000" w:themeColor="text1"/>
          <w:sz w:val="30"/>
          <w:szCs w:val="30"/>
          <w14:textFill>
            <w14:solidFill>
              <w14:schemeClr w14:val="tx1"/>
            </w14:solidFill>
          </w14:textFill>
        </w:rPr>
        <w:t>20</w:t>
      </w:r>
      <w:r>
        <w:rPr>
          <w:rFonts w:hint="eastAsia" w:ascii="黑体" w:hAnsi="黑体" w:eastAsia="黑体"/>
          <w:color w:val="000000" w:themeColor="text1"/>
          <w:szCs w:val="28"/>
          <w14:textFill>
            <w14:solidFill>
              <w14:schemeClr w14:val="tx1"/>
            </w14:solidFill>
          </w14:textFill>
        </w:rPr>
        <w:t>XX</w:t>
      </w:r>
      <w:bookmarkEnd w:id="1"/>
    </w:p>
    <w:p>
      <w:pPr>
        <w:spacing w:line="400" w:lineRule="exact"/>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26035</wp:posOffset>
                </wp:positionH>
                <wp:positionV relativeFrom="paragraph">
                  <wp:posOffset>359410</wp:posOffset>
                </wp:positionV>
                <wp:extent cx="5486400" cy="41910"/>
                <wp:effectExtent l="6985" t="11430" r="12065" b="13335"/>
                <wp:wrapNone/>
                <wp:docPr id="580427792" name="直线 3"/>
                <wp:cNvGraphicFramePr/>
                <a:graphic xmlns:a="http://schemas.openxmlformats.org/drawingml/2006/main">
                  <a:graphicData uri="http://schemas.microsoft.com/office/word/2010/wordprocessingShape">
                    <wps:wsp>
                      <wps:cNvCnPr>
                        <a:cxnSpLocks noChangeShapeType="true"/>
                      </wps:cNvCnPr>
                      <wps:spPr bwMode="auto">
                        <a:xfrm flipV="true">
                          <a:off x="0" y="0"/>
                          <a:ext cx="5486400" cy="41910"/>
                        </a:xfrm>
                        <a:prstGeom prst="line">
                          <a:avLst/>
                        </a:prstGeom>
                        <a:noFill/>
                        <a:ln w="9525">
                          <a:solidFill>
                            <a:srgbClr val="000000"/>
                          </a:solidFill>
                          <a:round/>
                        </a:ln>
                      </wps:spPr>
                      <wps:bodyPr/>
                    </wps:wsp>
                  </a:graphicData>
                </a:graphic>
              </wp:anchor>
            </w:drawing>
          </mc:Choice>
          <mc:Fallback>
            <w:pict>
              <v:line id="直线 3" o:spid="_x0000_s1026" o:spt="20" style="position:absolute;left:0pt;flip:y;margin-left:2.05pt;margin-top:28.3pt;height:3.3pt;width:432pt;z-index:251664384;mso-width-relative:page;mso-height-relative:page;" filled="f" stroked="t" coordsize="21600,21600" o:gfxdata="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2xaSdQAAAAH&#10;AQAADwAAAAAAAAABACAAAAA4AAAAZHJzL2Rvd25yZXYueG1sUEsBAhQAFAAAAAgAh07iQL51VszR&#10;AQAAbwMAAA4AAAAAAAAAAQAgAAAAOQEAAGRycy9lMm9Eb2MueG1sUEsFBgAAAAAGAAYAWQEAAHwF&#10;AAAAAA==&#10;">
                <v:fill on="f" focussize="0,0"/>
                <v:stroke color="#000000" joinstyle="round"/>
                <v:imagedata o:title=""/>
                <o:lock v:ext="edit" aspectratio="f"/>
              </v:line>
            </w:pict>
          </mc:Fallback>
        </mc:AlternateContent>
      </w:r>
      <w:r>
        <w:rPr>
          <w:rFonts w:hint="eastAsia"/>
          <w:color w:val="000000" w:themeColor="text1"/>
          <w:szCs w:val="28"/>
          <w14:textFill>
            <w14:solidFill>
              <w14:schemeClr w14:val="tx1"/>
            </w14:solidFill>
          </w14:textFill>
        </w:rPr>
        <w:t xml:space="preserve">                                                               </w:t>
      </w:r>
      <w:r>
        <w:rPr>
          <w:rFonts w:hint="eastAsia" w:ascii="黑体" w:hAnsi="黑体" w:eastAsia="黑体"/>
          <w:color w:val="000000" w:themeColor="text1"/>
          <w:szCs w:val="28"/>
          <w14:textFill>
            <w14:solidFill>
              <w14:schemeClr w14:val="tx1"/>
            </w14:solidFill>
          </w14:textFill>
        </w:rPr>
        <w:t>备案号 J XXXXX-20XX</w:t>
      </w:r>
    </w:p>
    <w:p>
      <w:pPr>
        <w:rPr>
          <w:rFonts w:ascii="宋体" w:hAnsi="宋体"/>
          <w:b/>
          <w:color w:val="000000" w:themeColor="text1"/>
          <w:sz w:val="48"/>
          <w:szCs w:val="48"/>
          <w14:textFill>
            <w14:solidFill>
              <w14:schemeClr w14:val="tx1"/>
            </w14:solidFill>
          </w14:textFill>
        </w:rPr>
      </w:pPr>
    </w:p>
    <w:p>
      <w:pPr>
        <w:rPr>
          <w:color w:val="000000" w:themeColor="text1"/>
          <w14:textFill>
            <w14:solidFill>
              <w14:schemeClr w14:val="tx1"/>
            </w14:solidFill>
          </w14:textFill>
        </w:rPr>
      </w:pPr>
      <w:bookmarkStart w:id="2" w:name="_Toc375640674"/>
    </w:p>
    <w:bookmarkEnd w:id="2"/>
    <w:p>
      <w:pPr>
        <w:jc w:val="center"/>
        <w:rPr>
          <w:rFonts w:ascii="宋体" w:hAnsi="宋体" w:eastAsia="宋体"/>
          <w:b/>
          <w:bCs/>
          <w:color w:val="000000" w:themeColor="text1"/>
          <w:sz w:val="48"/>
          <w:szCs w:val="48"/>
          <w14:textFill>
            <w14:solidFill>
              <w14:schemeClr w14:val="tx1"/>
            </w14:solidFill>
          </w14:textFill>
        </w:rPr>
      </w:pPr>
      <w:r>
        <w:rPr>
          <w:rFonts w:hint="eastAsia" w:ascii="宋体" w:hAnsi="宋体" w:eastAsia="宋体"/>
          <w:b/>
          <w:bCs/>
          <w:color w:val="000000" w:themeColor="text1"/>
          <w:sz w:val="48"/>
          <w:szCs w:val="48"/>
          <w14:textFill>
            <w14:solidFill>
              <w14:schemeClr w14:val="tx1"/>
            </w14:solidFill>
          </w14:textFill>
        </w:rPr>
        <w:t>城市特大洪涝灾害链综合风险图编制</w:t>
      </w:r>
    </w:p>
    <w:p>
      <w:pPr>
        <w:jc w:val="center"/>
        <w:outlineLvl w:val="0"/>
        <w:rPr>
          <w:rFonts w:ascii="宋体" w:hAnsi="宋体" w:eastAsia="宋体"/>
          <w:b/>
          <w:bCs/>
          <w:color w:val="000000" w:themeColor="text1"/>
          <w:sz w:val="48"/>
          <w:szCs w:val="48"/>
          <w14:textFill>
            <w14:solidFill>
              <w14:schemeClr w14:val="tx1"/>
            </w14:solidFill>
          </w14:textFill>
        </w:rPr>
      </w:pPr>
      <w:bookmarkStart w:id="3" w:name="_Toc201078640"/>
      <w:bookmarkStart w:id="4" w:name="_Toc201743658"/>
      <w:bookmarkStart w:id="5" w:name="_Toc201743607"/>
      <w:bookmarkStart w:id="6" w:name="_Toc200474074"/>
      <w:bookmarkStart w:id="7" w:name="_Toc201743709"/>
      <w:bookmarkStart w:id="8" w:name="_Toc201745733"/>
      <w:bookmarkStart w:id="9" w:name="_Toc200465418"/>
      <w:bookmarkStart w:id="10" w:name="_Toc201223955"/>
      <w:bookmarkStart w:id="11" w:name="_Toc32435"/>
      <w:bookmarkStart w:id="12" w:name="_Toc200474108"/>
      <w:r>
        <w:rPr>
          <w:rFonts w:hint="eastAsia" w:ascii="宋体" w:hAnsi="宋体" w:eastAsia="宋体"/>
          <w:b/>
          <w:bCs/>
          <w:color w:val="000000" w:themeColor="text1"/>
          <w:sz w:val="48"/>
          <w:szCs w:val="48"/>
          <w14:textFill>
            <w14:solidFill>
              <w14:schemeClr w14:val="tx1"/>
            </w14:solidFill>
          </w14:textFill>
        </w:rPr>
        <w:t>标准</w:t>
      </w:r>
      <w:bookmarkEnd w:id="3"/>
      <w:bookmarkEnd w:id="4"/>
      <w:bookmarkEnd w:id="5"/>
      <w:bookmarkEnd w:id="6"/>
      <w:bookmarkEnd w:id="7"/>
      <w:bookmarkEnd w:id="8"/>
      <w:bookmarkEnd w:id="9"/>
      <w:bookmarkEnd w:id="10"/>
      <w:bookmarkEnd w:id="11"/>
      <w:bookmarkEnd w:id="12"/>
    </w:p>
    <w:p>
      <w:pPr>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Standards for </w:t>
      </w:r>
      <w:r>
        <w:rPr>
          <w:rFonts w:hint="eastAsia" w:ascii="Times New Roman" w:hAnsi="Times New Roman" w:cs="Times New Roman"/>
          <w:b/>
          <w:bCs/>
          <w:color w:val="000000" w:themeColor="text1"/>
          <w14:textFill>
            <w14:solidFill>
              <w14:schemeClr w14:val="tx1"/>
            </w14:solidFill>
          </w14:textFill>
        </w:rPr>
        <w:t>c</w:t>
      </w:r>
      <w:r>
        <w:rPr>
          <w:rFonts w:ascii="Times New Roman" w:hAnsi="Times New Roman" w:cs="Times New Roman"/>
          <w:b/>
          <w:bCs/>
          <w:color w:val="000000" w:themeColor="text1"/>
          <w14:textFill>
            <w14:solidFill>
              <w14:schemeClr w14:val="tx1"/>
            </w14:solidFill>
          </w14:textFill>
        </w:rPr>
        <w:t xml:space="preserve">ompiling </w:t>
      </w:r>
      <w:r>
        <w:rPr>
          <w:rFonts w:hint="eastAsia" w:ascii="Times New Roman" w:hAnsi="Times New Roman" w:cs="Times New Roman"/>
          <w:b/>
          <w:bCs/>
          <w:color w:val="000000" w:themeColor="text1"/>
          <w14:textFill>
            <w14:solidFill>
              <w14:schemeClr w14:val="tx1"/>
            </w14:solidFill>
          </w14:textFill>
        </w:rPr>
        <w:t>c</w:t>
      </w:r>
      <w:r>
        <w:rPr>
          <w:rFonts w:ascii="Times New Roman" w:hAnsi="Times New Roman" w:cs="Times New Roman"/>
          <w:b/>
          <w:bCs/>
          <w:color w:val="000000" w:themeColor="text1"/>
          <w14:textFill>
            <w14:solidFill>
              <w14:schemeClr w14:val="tx1"/>
            </w14:solidFill>
          </w14:textFill>
        </w:rPr>
        <w:t xml:space="preserve">omprehensive </w:t>
      </w:r>
      <w:r>
        <w:rPr>
          <w:rFonts w:hint="eastAsia" w:ascii="Times New Roman" w:hAnsi="Times New Roman" w:cs="Times New Roman"/>
          <w:b/>
          <w:bCs/>
          <w:color w:val="000000" w:themeColor="text1"/>
          <w14:textFill>
            <w14:solidFill>
              <w14:schemeClr w14:val="tx1"/>
            </w14:solidFill>
          </w14:textFill>
        </w:rPr>
        <w:t>r</w:t>
      </w:r>
      <w:r>
        <w:rPr>
          <w:rFonts w:ascii="Times New Roman" w:hAnsi="Times New Roman" w:cs="Times New Roman"/>
          <w:b/>
          <w:bCs/>
          <w:color w:val="000000" w:themeColor="text1"/>
          <w14:textFill>
            <w14:solidFill>
              <w14:schemeClr w14:val="tx1"/>
            </w14:solidFill>
          </w14:textFill>
        </w:rPr>
        <w:t xml:space="preserve">isk </w:t>
      </w:r>
      <w:r>
        <w:rPr>
          <w:rFonts w:hint="eastAsia" w:ascii="Times New Roman" w:hAnsi="Times New Roman" w:cs="Times New Roman"/>
          <w:b/>
          <w:bCs/>
          <w:color w:val="000000" w:themeColor="text1"/>
          <w14:textFill>
            <w14:solidFill>
              <w14:schemeClr w14:val="tx1"/>
            </w14:solidFill>
          </w14:textFill>
        </w:rPr>
        <w:t>m</w:t>
      </w:r>
      <w:r>
        <w:rPr>
          <w:rFonts w:ascii="Times New Roman" w:hAnsi="Times New Roman" w:cs="Times New Roman"/>
          <w:b/>
          <w:bCs/>
          <w:color w:val="000000" w:themeColor="text1"/>
          <w14:textFill>
            <w14:solidFill>
              <w14:schemeClr w14:val="tx1"/>
            </w14:solidFill>
          </w14:textFill>
        </w:rPr>
        <w:t xml:space="preserve">aps of </w:t>
      </w:r>
      <w:r>
        <w:rPr>
          <w:rFonts w:hint="eastAsia" w:ascii="Times New Roman" w:hAnsi="Times New Roman" w:cs="Times New Roman"/>
          <w:b/>
          <w:bCs/>
          <w:color w:val="000000" w:themeColor="text1"/>
          <w14:textFill>
            <w14:solidFill>
              <w14:schemeClr w14:val="tx1"/>
            </w14:solidFill>
          </w14:textFill>
        </w:rPr>
        <w:t>u</w:t>
      </w:r>
      <w:r>
        <w:rPr>
          <w:rFonts w:ascii="Times New Roman" w:hAnsi="Times New Roman" w:cs="Times New Roman"/>
          <w:b/>
          <w:bCs/>
          <w:color w:val="000000" w:themeColor="text1"/>
          <w14:textFill>
            <w14:solidFill>
              <w14:schemeClr w14:val="tx1"/>
            </w14:solidFill>
          </w14:textFill>
        </w:rPr>
        <w:t xml:space="preserve">rban extreme </w:t>
      </w:r>
      <w:r>
        <w:rPr>
          <w:rFonts w:hint="eastAsia" w:ascii="Times New Roman" w:hAnsi="Times New Roman" w:cs="Times New Roman"/>
          <w:b/>
          <w:bCs/>
          <w:color w:val="000000" w:themeColor="text1"/>
          <w14:textFill>
            <w14:solidFill>
              <w14:schemeClr w14:val="tx1"/>
            </w14:solidFill>
          </w14:textFill>
        </w:rPr>
        <w:t>f</w:t>
      </w:r>
      <w:r>
        <w:rPr>
          <w:rFonts w:ascii="Times New Roman" w:hAnsi="Times New Roman" w:cs="Times New Roman"/>
          <w:b/>
          <w:bCs/>
          <w:color w:val="000000" w:themeColor="text1"/>
          <w14:textFill>
            <w14:solidFill>
              <w14:schemeClr w14:val="tx1"/>
            </w14:solidFill>
          </w14:textFill>
        </w:rPr>
        <w:t xml:space="preserve">lood </w:t>
      </w:r>
      <w:r>
        <w:rPr>
          <w:rFonts w:hint="eastAsia" w:ascii="Times New Roman" w:hAnsi="Times New Roman" w:cs="Times New Roman"/>
          <w:b/>
          <w:bCs/>
          <w:color w:val="000000" w:themeColor="text1"/>
          <w14:textFill>
            <w14:solidFill>
              <w14:schemeClr w14:val="tx1"/>
            </w14:solidFill>
          </w14:textFill>
        </w:rPr>
        <w:t>d</w:t>
      </w:r>
      <w:r>
        <w:rPr>
          <w:rFonts w:ascii="Times New Roman" w:hAnsi="Times New Roman" w:cs="Times New Roman"/>
          <w:b/>
          <w:bCs/>
          <w:color w:val="000000" w:themeColor="text1"/>
          <w14:textFill>
            <w14:solidFill>
              <w14:schemeClr w14:val="tx1"/>
            </w14:solidFill>
          </w14:textFill>
        </w:rPr>
        <w:t xml:space="preserve">isaster </w:t>
      </w:r>
      <w:r>
        <w:rPr>
          <w:rFonts w:hint="eastAsia" w:ascii="Times New Roman" w:hAnsi="Times New Roman" w:cs="Times New Roman"/>
          <w:b/>
          <w:bCs/>
          <w:color w:val="000000" w:themeColor="text1"/>
          <w14:textFill>
            <w14:solidFill>
              <w14:schemeClr w14:val="tx1"/>
            </w14:solidFill>
          </w14:textFill>
        </w:rPr>
        <w:t>c</w:t>
      </w:r>
      <w:r>
        <w:rPr>
          <w:rFonts w:ascii="Times New Roman" w:hAnsi="Times New Roman" w:cs="Times New Roman"/>
          <w:b/>
          <w:bCs/>
          <w:color w:val="000000" w:themeColor="text1"/>
          <w14:textFill>
            <w14:solidFill>
              <w14:schemeClr w14:val="tx1"/>
            </w14:solidFill>
          </w14:textFill>
        </w:rPr>
        <w:t>hains</w:t>
      </w:r>
    </w:p>
    <w:p>
      <w:pPr>
        <w:jc w:val="center"/>
        <w:rPr>
          <w:b/>
          <w:color w:val="000000" w:themeColor="text1"/>
          <w:szCs w:val="28"/>
          <w14:textFill>
            <w14:solidFill>
              <w14:schemeClr w14:val="tx1"/>
            </w14:solidFill>
          </w14:textFill>
        </w:rPr>
      </w:pPr>
    </w:p>
    <w:p>
      <w:pPr>
        <w:jc w:val="center"/>
        <w:rPr>
          <w:rFonts w:ascii="宋体" w:hAnsi="宋体" w:eastAsia="宋体" w:cs="Times New Roman"/>
          <w:b/>
          <w:color w:val="000000" w:themeColor="text1"/>
          <w:sz w:val="30"/>
          <w:szCs w:val="30"/>
          <w14:textFill>
            <w14:solidFill>
              <w14:schemeClr w14:val="tx1"/>
            </w14:solidFill>
          </w14:textFill>
        </w:rPr>
      </w:pPr>
      <w:r>
        <w:rPr>
          <w:rFonts w:ascii="宋体" w:hAnsi="宋体" w:eastAsia="宋体" w:cs="Times New Roman"/>
          <w:b/>
          <w:color w:val="000000" w:themeColor="text1"/>
          <w:sz w:val="30"/>
          <w:szCs w:val="30"/>
          <w14:textFill>
            <w14:solidFill>
              <w14:schemeClr w14:val="tx1"/>
            </w14:solidFill>
          </w14:textFill>
        </w:rPr>
        <w:t>(征求意见稿)</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eastAsia="黑体"/>
          <w:color w:val="000000" w:themeColor="text1"/>
          <w:szCs w:val="28"/>
          <w14:textFill>
            <w14:solidFill>
              <w14:schemeClr w14:val="tx1"/>
            </w14:solidFill>
          </w14:textFill>
        </w:rPr>
      </w:pPr>
      <w:r>
        <w:rPr>
          <w:b/>
          <w:bCs/>
          <w:color w:val="000000" w:themeColor="text1"/>
          <w:sz w:val="32"/>
          <w14:textFill>
            <w14:solidFill>
              <w14:schemeClr w14:val="tx1"/>
            </w14:solidFill>
          </w14:textFill>
        </w:rPr>
        <w:t xml:space="preserve">  </w:t>
      </w:r>
      <w:r>
        <w:rPr>
          <w:rFonts w:eastAsia="黑体"/>
          <w:color w:val="000000" w:themeColor="text1"/>
          <w:szCs w:val="28"/>
          <w14:textFill>
            <w14:solidFill>
              <w14:schemeClr w14:val="tx1"/>
            </w14:solidFill>
          </w14:textFill>
        </w:rPr>
        <w:t>202</w:t>
      </w:r>
      <w:r>
        <w:rPr>
          <w:rFonts w:hint="eastAsia" w:eastAsia="黑体"/>
          <w:color w:val="000000" w:themeColor="text1"/>
          <w:szCs w:val="28"/>
          <w14:textFill>
            <w14:solidFill>
              <w14:schemeClr w14:val="tx1"/>
            </w14:solidFill>
          </w14:textFill>
        </w:rPr>
        <w:t>5</w:t>
      </w:r>
      <w:r>
        <w:rPr>
          <w:rFonts w:eastAsia="黑体"/>
          <w:color w:val="000000" w:themeColor="text1"/>
          <w:szCs w:val="28"/>
          <w14:textFill>
            <w14:solidFill>
              <w14:schemeClr w14:val="tx1"/>
            </w14:solidFill>
          </w14:textFill>
        </w:rPr>
        <w:t>-</w:t>
      </w:r>
      <w:r>
        <w:rPr>
          <w:rFonts w:hint="eastAsia" w:ascii="黑体" w:hAnsi="黑体" w:eastAsia="黑体"/>
          <w:color w:val="000000" w:themeColor="text1"/>
          <w:szCs w:val="28"/>
          <w14:textFill>
            <w14:solidFill>
              <w14:schemeClr w14:val="tx1"/>
            </w14:solidFill>
          </w14:textFill>
        </w:rPr>
        <w:t>XX</w:t>
      </w:r>
      <w:r>
        <w:rPr>
          <w:rFonts w:eastAsia="黑体"/>
          <w:color w:val="000000" w:themeColor="text1"/>
          <w:szCs w:val="28"/>
          <w14:textFill>
            <w14:solidFill>
              <w14:schemeClr w14:val="tx1"/>
            </w14:solidFill>
          </w14:textFill>
        </w:rPr>
        <w:t>-</w:t>
      </w:r>
      <w:r>
        <w:rPr>
          <w:rFonts w:hint="eastAsia" w:ascii="黑体" w:hAnsi="黑体" w:eastAsia="黑体"/>
          <w:color w:val="000000" w:themeColor="text1"/>
          <w:szCs w:val="28"/>
          <w14:textFill>
            <w14:solidFill>
              <w14:schemeClr w14:val="tx1"/>
            </w14:solidFill>
          </w14:textFill>
        </w:rPr>
        <w:t>XX</w:t>
      </w:r>
      <w:r>
        <w:rPr>
          <w:rFonts w:eastAsia="黑体"/>
          <w:color w:val="000000" w:themeColor="text1"/>
          <w:szCs w:val="28"/>
          <w14:textFill>
            <w14:solidFill>
              <w14:schemeClr w14:val="tx1"/>
            </w14:solidFill>
          </w14:textFill>
        </w:rPr>
        <w:t xml:space="preserve">  发布         </w:t>
      </w:r>
      <w:r>
        <w:rPr>
          <w:rFonts w:hint="eastAsia" w:eastAsia="黑体"/>
          <w:color w:val="000000" w:themeColor="text1"/>
          <w:szCs w:val="28"/>
          <w14:textFill>
            <w14:solidFill>
              <w14:schemeClr w14:val="tx1"/>
            </w14:solidFill>
          </w14:textFill>
        </w:rPr>
        <w:t xml:space="preserve">                    </w:t>
      </w:r>
      <w:r>
        <w:rPr>
          <w:rFonts w:eastAsia="黑体"/>
          <w:color w:val="000000" w:themeColor="text1"/>
          <w:szCs w:val="28"/>
          <w14:textFill>
            <w14:solidFill>
              <w14:schemeClr w14:val="tx1"/>
            </w14:solidFill>
          </w14:textFill>
        </w:rPr>
        <w:t xml:space="preserve">          202</w:t>
      </w:r>
      <w:r>
        <w:rPr>
          <w:rFonts w:hint="eastAsia" w:eastAsia="黑体"/>
          <w:color w:val="000000" w:themeColor="text1"/>
          <w:szCs w:val="28"/>
          <w14:textFill>
            <w14:solidFill>
              <w14:schemeClr w14:val="tx1"/>
            </w14:solidFill>
          </w14:textFill>
        </w:rPr>
        <w:t>6</w:t>
      </w:r>
      <w:r>
        <w:rPr>
          <w:rFonts w:eastAsia="黑体"/>
          <w:color w:val="000000" w:themeColor="text1"/>
          <w:szCs w:val="28"/>
          <w14:textFill>
            <w14:solidFill>
              <w14:schemeClr w14:val="tx1"/>
            </w14:solidFill>
          </w14:textFill>
        </w:rPr>
        <w:t>-</w:t>
      </w:r>
      <w:r>
        <w:rPr>
          <w:rFonts w:hint="eastAsia" w:ascii="黑体" w:hAnsi="黑体" w:eastAsia="黑体"/>
          <w:color w:val="000000" w:themeColor="text1"/>
          <w:szCs w:val="28"/>
          <w14:textFill>
            <w14:solidFill>
              <w14:schemeClr w14:val="tx1"/>
            </w14:solidFill>
          </w14:textFill>
        </w:rPr>
        <w:t>XX</w:t>
      </w:r>
      <w:r>
        <w:rPr>
          <w:rFonts w:eastAsia="黑体"/>
          <w:color w:val="000000" w:themeColor="text1"/>
          <w:szCs w:val="28"/>
          <w14:textFill>
            <w14:solidFill>
              <w14:schemeClr w14:val="tx1"/>
            </w14:solidFill>
          </w14:textFill>
        </w:rPr>
        <w:t>-</w:t>
      </w:r>
      <w:r>
        <w:rPr>
          <w:rFonts w:hint="eastAsia" w:ascii="黑体" w:hAnsi="黑体" w:eastAsia="黑体"/>
          <w:color w:val="000000" w:themeColor="text1"/>
          <w:szCs w:val="28"/>
          <w14:textFill>
            <w14:solidFill>
              <w14:schemeClr w14:val="tx1"/>
            </w14:solidFill>
          </w14:textFill>
        </w:rPr>
        <w:t>XX</w:t>
      </w:r>
      <w:r>
        <w:rPr>
          <w:rFonts w:hint="eastAsia" w:eastAsia="黑体"/>
          <w:color w:val="000000" w:themeColor="text1"/>
          <w:szCs w:val="28"/>
          <w14:textFill>
            <w14:solidFill>
              <w14:schemeClr w14:val="tx1"/>
            </w14:solidFill>
          </w14:textFill>
        </w:rPr>
        <w:t xml:space="preserve">  </w:t>
      </w:r>
      <w:r>
        <w:rPr>
          <w:rFonts w:eastAsia="黑体"/>
          <w:color w:val="000000" w:themeColor="text1"/>
          <w:szCs w:val="28"/>
          <w14:textFill>
            <w14:solidFill>
              <w14:schemeClr w14:val="tx1"/>
            </w14:solidFill>
          </w14:textFill>
        </w:rPr>
        <w:t>实施</w:t>
      </w:r>
    </w:p>
    <w:p>
      <w:pPr>
        <w:tabs>
          <w:tab w:val="left" w:pos="8235"/>
        </w:tabs>
        <w:rPr>
          <w:rFonts w:eastAsia="黑体"/>
          <w:b/>
          <w:color w:val="000000" w:themeColor="text1"/>
          <w:szCs w:val="28"/>
          <w14:textFill>
            <w14:solidFill>
              <w14:schemeClr w14:val="tx1"/>
            </w14:solidFill>
          </w14:textFill>
        </w:rPr>
      </w:pPr>
      <w:r>
        <w:rPr>
          <w:rFonts w:hint="eastAsia" w:eastAsia="黑体"/>
          <w:b/>
          <w:color w:val="000000" w:themeColor="text1"/>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55880</wp:posOffset>
                </wp:positionV>
                <wp:extent cx="5600700" cy="26670"/>
                <wp:effectExtent l="9525" t="13335" r="9525" b="7620"/>
                <wp:wrapNone/>
                <wp:docPr id="1341519588" name="直线 4"/>
                <wp:cNvGraphicFramePr/>
                <a:graphic xmlns:a="http://schemas.openxmlformats.org/drawingml/2006/main">
                  <a:graphicData uri="http://schemas.microsoft.com/office/word/2010/wordprocessingShape">
                    <wps:wsp>
                      <wps:cNvCnPr>
                        <a:cxnSpLocks noChangeShapeType="true"/>
                      </wps:cNvCnPr>
                      <wps:spPr bwMode="auto">
                        <a:xfrm>
                          <a:off x="0" y="0"/>
                          <a:ext cx="5600700" cy="26670"/>
                        </a:xfrm>
                        <a:prstGeom prst="line">
                          <a:avLst/>
                        </a:prstGeom>
                        <a:noFill/>
                        <a:ln w="9525">
                          <a:solidFill>
                            <a:srgbClr val="000000"/>
                          </a:solidFill>
                          <a:round/>
                        </a:ln>
                      </wps:spPr>
                      <wps:bodyPr/>
                    </wps:wsp>
                  </a:graphicData>
                </a:graphic>
              </wp:anchor>
            </w:drawing>
          </mc:Choice>
          <mc:Fallback>
            <w:pict>
              <v:line id="直线 4" o:spid="_x0000_s1026" o:spt="20" style="position:absolute;left:0pt;margin-left:0pt;margin-top:4.4pt;height:2.1pt;width:441pt;z-index:251665408;mso-width-relative:page;mso-height-relative:page;" filled="f" stroked="t" coordsize="21600,21600" o:gfxdata="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JNKKr7SAAAABQEAAA8AAAAA&#10;AAAAAQAgAAAAOAAAAGRycy9kb3ducmV2LnhtbFBLAQIUABQAAAAIAIdO4kA4R2i/ywEAAGMDAAAO&#10;AAAAAAAAAAEAIAAAADcBAABkcnMvZTJvRG9jLnhtbFBLBQYAAAAABgAGAFkBAAB0BQAAAAA=&#10;">
                <v:fill on="f" focussize="0,0"/>
                <v:stroke color="#000000" joinstyle="round"/>
                <v:imagedata o:title=""/>
                <o:lock v:ext="edit" aspectratio="f"/>
              </v:line>
            </w:pict>
          </mc:Fallback>
        </mc:AlternateContent>
      </w:r>
      <w:r>
        <w:rPr>
          <w:rFonts w:eastAsia="黑体"/>
          <w:b/>
          <w:color w:val="000000" w:themeColor="text1"/>
          <w:szCs w:val="28"/>
          <w14:textFill>
            <w14:solidFill>
              <w14:schemeClr w14:val="tx1"/>
            </w14:solidFill>
          </w14:textFill>
        </w:rPr>
        <w:tab/>
      </w:r>
    </w:p>
    <w:p>
      <w:pPr>
        <w:jc w:val="center"/>
        <w:rPr>
          <w:rFonts w:eastAsia="黑体"/>
          <w:spacing w:val="20"/>
          <w:sz w:val="32"/>
          <w:szCs w:val="32"/>
        </w:rPr>
      </w:pPr>
      <w:r>
        <w:rPr>
          <w:rFonts w:eastAsia="黑体"/>
          <w:sz w:val="32"/>
          <w:szCs w:val="32"/>
        </w:rPr>
        <w:t>广东省住房和城乡建设厅</w:t>
      </w:r>
      <w:r>
        <w:rPr>
          <w:rFonts w:eastAsia="黑体"/>
          <w:spacing w:val="20"/>
          <w:szCs w:val="28"/>
        </w:rPr>
        <w:t xml:space="preserve">  </w:t>
      </w:r>
      <w:r>
        <w:rPr>
          <w:rFonts w:eastAsia="黑体"/>
          <w:spacing w:val="20"/>
          <w:sz w:val="32"/>
          <w:szCs w:val="32"/>
        </w:rPr>
        <w:t>发布</w:t>
      </w:r>
    </w:p>
    <w:tbl>
      <w:tblPr>
        <w:tblStyle w:val="26"/>
        <w:tblpPr w:leftFromText="180" w:rightFromText="180" w:vertAnchor="text" w:horzAnchor="page" w:tblpX="8231" w:tblpY="4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32" w:type="dxa"/>
            <w:vAlign w:val="center"/>
          </w:tcPr>
          <w:p>
            <w:pPr>
              <w:jc w:val="center"/>
              <w:rPr>
                <w:rFonts w:ascii="宋体" w:hAnsi="宋体" w:eastAsia="宋体"/>
                <w:sz w:val="21"/>
                <w:szCs w:val="21"/>
              </w:rPr>
            </w:pPr>
            <w:r>
              <w:rPr>
                <w:rFonts w:hint="eastAsia" w:ascii="宋体" w:hAnsi="宋体" w:eastAsia="宋体"/>
                <w:sz w:val="21"/>
                <w:szCs w:val="21"/>
              </w:rPr>
              <w:t>本标准不涉及专利</w:t>
            </w:r>
          </w:p>
        </w:tc>
      </w:tr>
    </w:tbl>
    <w:p>
      <w:pPr>
        <w:spacing w:line="360" w:lineRule="auto"/>
        <w:jc w:val="center"/>
        <w:rPr>
          <w:rFonts w:ascii="黑体" w:hAnsi="黑体" w:eastAsia="黑体" w:cs="黑体"/>
          <w:sz w:val="32"/>
          <w:szCs w:val="32"/>
        </w:rPr>
      </w:pPr>
      <w:bookmarkStart w:id="13" w:name="_Toc201078641"/>
      <w:bookmarkStart w:id="14" w:name="_Toc201223956"/>
      <w:bookmarkStart w:id="15" w:name="_Toc25848"/>
      <w:r>
        <w:rPr>
          <w:color w:val="000000" w:themeColor="text1"/>
          <w:kern w:val="44"/>
          <w:sz w:val="30"/>
          <w:szCs w:val="20"/>
          <w14:textFill>
            <w14:solidFill>
              <w14:schemeClr w14:val="tx1"/>
            </w14:solidFill>
          </w14:textFill>
        </w:rPr>
        <w:br w:type="page"/>
      </w:r>
      <w:bookmarkStart w:id="16" w:name="_Toc27900"/>
      <w:bookmarkStart w:id="17" w:name="_Toc32219"/>
      <w:bookmarkStart w:id="18" w:name="_Toc9314"/>
      <w:bookmarkStart w:id="19" w:name="_Toc9069"/>
      <w:bookmarkStart w:id="20" w:name="_Toc22559"/>
      <w:bookmarkStart w:id="21" w:name="_Toc22430"/>
      <w:bookmarkStart w:id="22" w:name="_Toc19742"/>
      <w:bookmarkStart w:id="23" w:name="_Toc27960"/>
      <w:bookmarkStart w:id="24" w:name="_Toc25680"/>
      <w:bookmarkStart w:id="25" w:name="_Toc17977"/>
      <w:bookmarkStart w:id="26" w:name="_Toc19129"/>
      <w:bookmarkStart w:id="27" w:name="_Toc32556"/>
      <w:r>
        <w:rPr>
          <w:rFonts w:hint="eastAsia" w:ascii="黑体" w:hAnsi="黑体" w:eastAsia="黑体" w:cs="黑体"/>
          <w:sz w:val="32"/>
          <w:szCs w:val="32"/>
        </w:rPr>
        <w:t>广东省住房和城乡建设厅关于发布广东省标准</w:t>
      </w:r>
      <w:bookmarkEnd w:id="16"/>
      <w:bookmarkEnd w:id="17"/>
      <w:bookmarkEnd w:id="18"/>
      <w:bookmarkEnd w:id="19"/>
      <w:bookmarkEnd w:id="20"/>
      <w:bookmarkEnd w:id="21"/>
      <w:bookmarkEnd w:id="22"/>
      <w:bookmarkEnd w:id="23"/>
      <w:bookmarkEnd w:id="24"/>
      <w:bookmarkEnd w:id="25"/>
      <w:bookmarkEnd w:id="26"/>
      <w:bookmarkEnd w:id="27"/>
    </w:p>
    <w:p>
      <w:pPr>
        <w:spacing w:after="312" w:afterLines="100" w:line="360" w:lineRule="auto"/>
        <w:jc w:val="center"/>
        <w:rPr>
          <w:rFonts w:ascii="黑体" w:hAnsi="黑体" w:eastAsia="黑体" w:cs="黑体"/>
          <w:sz w:val="32"/>
          <w:szCs w:val="32"/>
        </w:rPr>
      </w:pPr>
      <w:bookmarkStart w:id="28" w:name="_Toc12721"/>
      <w:bookmarkStart w:id="29" w:name="_Toc22650"/>
      <w:bookmarkStart w:id="30" w:name="_Toc16574"/>
      <w:bookmarkStart w:id="31" w:name="_Toc30630"/>
      <w:bookmarkStart w:id="32" w:name="_Toc2055"/>
      <w:bookmarkStart w:id="33" w:name="_Toc7372"/>
      <w:bookmarkStart w:id="34" w:name="_Toc31448"/>
      <w:bookmarkStart w:id="35" w:name="_Toc23564"/>
      <w:bookmarkStart w:id="36" w:name="_Toc7238"/>
      <w:bookmarkStart w:id="37" w:name="_Toc22083"/>
      <w:bookmarkStart w:id="38" w:name="_Toc13494"/>
      <w:bookmarkStart w:id="39" w:name="_Toc1176"/>
      <w:r>
        <w:rPr>
          <w:rFonts w:hint="eastAsia" w:ascii="黑体" w:hAnsi="黑体" w:eastAsia="黑体" w:cs="黑体"/>
          <w:sz w:val="32"/>
          <w:szCs w:val="32"/>
        </w:rPr>
        <w:t>《城市特大洪涝灾害链综合风险图编制标准》的公告</w:t>
      </w:r>
      <w:bookmarkEnd w:id="28"/>
      <w:bookmarkEnd w:id="29"/>
      <w:bookmarkEnd w:id="30"/>
      <w:bookmarkEnd w:id="31"/>
      <w:bookmarkEnd w:id="32"/>
      <w:bookmarkEnd w:id="33"/>
      <w:bookmarkEnd w:id="34"/>
      <w:bookmarkEnd w:id="35"/>
      <w:bookmarkEnd w:id="36"/>
      <w:bookmarkEnd w:id="37"/>
      <w:bookmarkEnd w:id="38"/>
      <w:bookmarkEnd w:id="39"/>
    </w:p>
    <w:p>
      <w:pPr>
        <w:spacing w:after="312" w:afterLines="100" w:line="360" w:lineRule="auto"/>
        <w:jc w:val="center"/>
        <w:rPr>
          <w:rFonts w:ascii="宋体" w:hAnsi="宋体"/>
        </w:rPr>
      </w:pPr>
      <w:r>
        <w:rPr>
          <w:rFonts w:hint="eastAsia" w:ascii="宋体" w:hAnsi="宋体" w:eastAsia="宋体" w:cs="宋体"/>
          <w:sz w:val="21"/>
          <w:szCs w:val="21"/>
        </w:rPr>
        <w:t>粤建公告</w:t>
      </w:r>
      <w:r>
        <w:rPr>
          <w:rFonts w:hint="eastAsia" w:ascii="宋体" w:hAnsi="宋体" w:eastAsia="宋体" w:cs="宋体"/>
          <w:color w:val="333333"/>
          <w:sz w:val="21"/>
          <w:szCs w:val="21"/>
          <w:shd w:val="clear" w:color="auto" w:fill="FFFFFF"/>
        </w:rPr>
        <w:t>〔202</w:t>
      </w:r>
      <w:r>
        <w:rPr>
          <w:rFonts w:hint="eastAsia" w:ascii="宋体" w:hAnsi="宋体" w:eastAsia="宋体" w:cs="宋体"/>
          <w:sz w:val="21"/>
          <w:szCs w:val="21"/>
        </w:rPr>
        <w:t>X</w:t>
      </w:r>
      <w:r>
        <w:rPr>
          <w:rFonts w:hint="eastAsia" w:ascii="宋体" w:hAnsi="宋体" w:eastAsia="宋体" w:cs="宋体"/>
          <w:color w:val="333333"/>
          <w:sz w:val="21"/>
          <w:szCs w:val="21"/>
          <w:shd w:val="clear" w:color="auto" w:fill="FFFFFF"/>
        </w:rPr>
        <w:t>〕</w:t>
      </w:r>
      <w:r>
        <w:rPr>
          <w:rFonts w:hint="eastAsia" w:ascii="宋体" w:hAnsi="宋体" w:eastAsia="宋体" w:cs="宋体"/>
          <w:sz w:val="21"/>
          <w:szCs w:val="21"/>
        </w:rPr>
        <w:t xml:space="preserve"> XX号</w:t>
      </w:r>
    </w:p>
    <w:p>
      <w:pPr>
        <w:spacing w:line="560" w:lineRule="exact"/>
        <w:ind w:firstLine="480" w:firstLineChars="200"/>
        <w:rPr>
          <w:rFonts w:ascii="宋体" w:hAnsi="宋体" w:eastAsia="宋体" w:cs="宋体"/>
          <w:sz w:val="24"/>
        </w:rPr>
      </w:pPr>
      <w:r>
        <w:rPr>
          <w:rFonts w:hint="eastAsia" w:ascii="宋体" w:hAnsi="宋体" w:eastAsia="宋体" w:cs="宋体"/>
          <w:sz w:val="24"/>
        </w:rPr>
        <w:t>经组织专家委员会审查，现批准《城市特大洪涝灾害链综合风险图编制标准》为广东省地方标准，编号为 DBJ/T 15-XX-20XX。本标准自202X年X月X日起实施。</w:t>
      </w:r>
    </w:p>
    <w:p>
      <w:pPr>
        <w:spacing w:line="560" w:lineRule="exact"/>
        <w:ind w:firstLine="480" w:firstLineChars="200"/>
        <w:rPr>
          <w:rFonts w:ascii="宋体" w:hAnsi="宋体" w:eastAsia="宋体" w:cs="宋体"/>
          <w:sz w:val="24"/>
        </w:rPr>
      </w:pPr>
      <w:r>
        <w:rPr>
          <w:rFonts w:hint="eastAsia" w:ascii="宋体" w:hAnsi="宋体" w:eastAsia="宋体" w:cs="宋体"/>
          <w:sz w:val="24"/>
        </w:rPr>
        <w:t>本标准由广东省住房和城乡建设厅负责管理，由主编单位负责具体技术内容的解释，在广东省住房和城乡建设厅门户网站(http://zfcxjst.gd.gov.cn)公开。</w:t>
      </w:r>
    </w:p>
    <w:p>
      <w:pPr>
        <w:pStyle w:val="99"/>
        <w:widowControl w:val="0"/>
        <w:numPr>
          <w:ilvl w:val="0"/>
          <w:numId w:val="0"/>
        </w:numPr>
        <w:spacing w:before="156" w:after="156" w:line="560" w:lineRule="exact"/>
        <w:outlineLvl w:val="9"/>
        <w:rPr>
          <w:rFonts w:ascii="Times New Roman"/>
          <w:sz w:val="24"/>
          <w:szCs w:val="24"/>
        </w:rPr>
      </w:pPr>
    </w:p>
    <w:p>
      <w:pPr>
        <w:pStyle w:val="99"/>
        <w:widowControl w:val="0"/>
        <w:numPr>
          <w:ilvl w:val="0"/>
          <w:numId w:val="0"/>
        </w:numPr>
        <w:spacing w:before="156" w:after="156" w:line="560" w:lineRule="exact"/>
        <w:outlineLvl w:val="9"/>
        <w:rPr>
          <w:rFonts w:ascii="Times New Roman"/>
          <w:sz w:val="24"/>
          <w:szCs w:val="24"/>
        </w:rPr>
      </w:pPr>
    </w:p>
    <w:p>
      <w:pPr>
        <w:pStyle w:val="99"/>
        <w:widowControl w:val="0"/>
        <w:numPr>
          <w:ilvl w:val="0"/>
          <w:numId w:val="0"/>
        </w:numPr>
        <w:spacing w:before="156" w:after="156" w:line="560" w:lineRule="exact"/>
        <w:jc w:val="right"/>
        <w:outlineLvl w:val="9"/>
        <w:rPr>
          <w:rFonts w:ascii="Times New Roman"/>
          <w:sz w:val="24"/>
          <w:szCs w:val="24"/>
        </w:rPr>
      </w:pPr>
      <w:bookmarkStart w:id="40" w:name="_Toc18430"/>
      <w:bookmarkStart w:id="41" w:name="_Toc31369"/>
      <w:bookmarkStart w:id="42" w:name="_Toc11018"/>
      <w:bookmarkStart w:id="43" w:name="_Toc19823"/>
      <w:bookmarkStart w:id="44" w:name="_Toc30176"/>
      <w:bookmarkStart w:id="45" w:name="_Toc20951"/>
      <w:bookmarkStart w:id="46" w:name="_Toc12612"/>
      <w:bookmarkStart w:id="47" w:name="_Toc14222"/>
      <w:bookmarkStart w:id="48" w:name="_Toc12069"/>
      <w:bookmarkStart w:id="49" w:name="_Toc1879"/>
      <w:bookmarkStart w:id="50" w:name="_Toc2797"/>
      <w:bookmarkStart w:id="51" w:name="_Toc6924"/>
      <w:r>
        <w:rPr>
          <w:rFonts w:hint="eastAsia" w:ascii="Times New Roman"/>
          <w:sz w:val="24"/>
          <w:szCs w:val="24"/>
        </w:rPr>
        <w:t>广东省住房和城乡建设厅</w:t>
      </w:r>
      <w:bookmarkEnd w:id="40"/>
      <w:bookmarkEnd w:id="41"/>
      <w:bookmarkEnd w:id="42"/>
      <w:bookmarkEnd w:id="43"/>
      <w:bookmarkEnd w:id="44"/>
      <w:bookmarkEnd w:id="45"/>
      <w:bookmarkEnd w:id="46"/>
      <w:bookmarkEnd w:id="47"/>
      <w:bookmarkEnd w:id="48"/>
      <w:bookmarkEnd w:id="49"/>
      <w:bookmarkEnd w:id="50"/>
      <w:bookmarkEnd w:id="51"/>
    </w:p>
    <w:p>
      <w:pPr>
        <w:pStyle w:val="99"/>
        <w:widowControl w:val="0"/>
        <w:numPr>
          <w:ilvl w:val="0"/>
          <w:numId w:val="0"/>
        </w:numPr>
        <w:spacing w:before="156" w:after="156" w:line="560" w:lineRule="exact"/>
        <w:jc w:val="right"/>
        <w:outlineLvl w:val="9"/>
        <w:rPr>
          <w:rFonts w:ascii="Times New Roman"/>
          <w:sz w:val="24"/>
          <w:szCs w:val="24"/>
        </w:rPr>
      </w:pPr>
      <w:bookmarkStart w:id="52" w:name="_Toc20341"/>
      <w:bookmarkStart w:id="53" w:name="_Toc12406"/>
      <w:bookmarkStart w:id="54" w:name="_Toc3418"/>
      <w:bookmarkStart w:id="55" w:name="_Toc11234"/>
      <w:bookmarkStart w:id="56" w:name="_Toc4873"/>
      <w:bookmarkStart w:id="57" w:name="_Toc17363"/>
      <w:bookmarkStart w:id="58" w:name="_Toc18831"/>
      <w:bookmarkStart w:id="59" w:name="_Toc3303"/>
      <w:bookmarkStart w:id="60" w:name="_Toc14507"/>
      <w:bookmarkStart w:id="61" w:name="_Toc18387"/>
      <w:bookmarkStart w:id="62" w:name="_Toc31447"/>
      <w:bookmarkStart w:id="63" w:name="_Toc8659"/>
      <w:r>
        <w:rPr>
          <w:rFonts w:ascii="Times New Roman"/>
          <w:sz w:val="24"/>
          <w:szCs w:val="24"/>
        </w:rPr>
        <w:t>202X</w:t>
      </w:r>
      <w:r>
        <w:rPr>
          <w:rFonts w:hint="eastAsia" w:ascii="Times New Roman"/>
          <w:sz w:val="24"/>
          <w:szCs w:val="24"/>
        </w:rPr>
        <w:t>年</w:t>
      </w:r>
      <w:r>
        <w:rPr>
          <w:rFonts w:ascii="Times New Roman"/>
          <w:sz w:val="24"/>
          <w:szCs w:val="24"/>
        </w:rPr>
        <w:t>X</w:t>
      </w:r>
      <w:r>
        <w:rPr>
          <w:rFonts w:hint="eastAsia" w:ascii="Times New Roman"/>
          <w:sz w:val="24"/>
          <w:szCs w:val="24"/>
        </w:rPr>
        <w:t>月</w:t>
      </w:r>
      <w:r>
        <w:rPr>
          <w:rFonts w:ascii="Times New Roman"/>
          <w:sz w:val="24"/>
          <w:szCs w:val="24"/>
        </w:rPr>
        <w:t>X</w:t>
      </w:r>
      <w:r>
        <w:rPr>
          <w:rFonts w:hint="eastAsia" w:ascii="Times New Roman"/>
          <w:sz w:val="24"/>
          <w:szCs w:val="24"/>
        </w:rPr>
        <w:t>日</w:t>
      </w:r>
      <w:bookmarkEnd w:id="52"/>
      <w:bookmarkEnd w:id="53"/>
      <w:bookmarkEnd w:id="54"/>
      <w:bookmarkEnd w:id="55"/>
      <w:bookmarkEnd w:id="56"/>
      <w:bookmarkEnd w:id="57"/>
      <w:bookmarkEnd w:id="58"/>
      <w:bookmarkEnd w:id="59"/>
      <w:bookmarkEnd w:id="60"/>
      <w:bookmarkEnd w:id="61"/>
      <w:bookmarkEnd w:id="62"/>
      <w:bookmarkEnd w:id="63"/>
    </w:p>
    <w:p>
      <w:pPr>
        <w:widowControl/>
        <w:jc w:val="left"/>
        <w:rPr>
          <w:rFonts w:ascii="Times New Roman" w:hAnsi="Times New Roman" w:eastAsia="宋体" w:cs="Times New Roman"/>
          <w:b/>
          <w:color w:val="000000" w:themeColor="text1"/>
          <w:kern w:val="44"/>
          <w:sz w:val="30"/>
          <w:szCs w:val="20"/>
          <w14:textFill>
            <w14:solidFill>
              <w14:schemeClr w14:val="tx1"/>
            </w14:solidFill>
          </w14:textFill>
        </w:rPr>
      </w:pPr>
      <w:r>
        <w:rPr>
          <w:rFonts w:ascii="Times New Roman" w:hAnsi="Times New Roman" w:eastAsia="宋体" w:cs="Times New Roman"/>
          <w:b/>
          <w:color w:val="000000" w:themeColor="text1"/>
          <w:kern w:val="44"/>
          <w:sz w:val="30"/>
          <w:szCs w:val="20"/>
          <w14:textFill>
            <w14:solidFill>
              <w14:schemeClr w14:val="tx1"/>
            </w14:solidFill>
          </w14:textFill>
        </w:rPr>
        <w:br w:type="page"/>
      </w:r>
    </w:p>
    <w:p>
      <w:pPr>
        <w:widowControl/>
        <w:jc w:val="left"/>
        <w:rPr>
          <w:rFonts w:ascii="Times New Roman" w:hAnsi="Times New Roman" w:eastAsia="宋体" w:cs="Times New Roman"/>
          <w:b/>
          <w:color w:val="000000" w:themeColor="text1"/>
          <w:kern w:val="44"/>
          <w:sz w:val="30"/>
          <w:szCs w:val="20"/>
          <w14:textFill>
            <w14:solidFill>
              <w14:schemeClr w14:val="tx1"/>
            </w14:solidFill>
          </w14:textFill>
        </w:rPr>
      </w:pPr>
    </w:p>
    <w:p>
      <w:pPr>
        <w:pStyle w:val="2"/>
        <w:numPr>
          <w:ilvl w:val="0"/>
          <w:numId w:val="0"/>
        </w:numPr>
        <w:spacing w:before="340" w:beforeLines="0" w:after="330" w:afterLines="0" w:line="578" w:lineRule="auto"/>
        <w:rPr>
          <w:color w:val="000000" w:themeColor="text1"/>
          <w:spacing w:val="0"/>
          <w:kern w:val="44"/>
          <w:sz w:val="30"/>
          <w:szCs w:val="20"/>
          <w14:textFill>
            <w14:solidFill>
              <w14:schemeClr w14:val="tx1"/>
            </w14:solidFill>
          </w14:textFill>
        </w:rPr>
      </w:pPr>
      <w:bookmarkStart w:id="64" w:name="_Toc201743710"/>
      <w:bookmarkStart w:id="65" w:name="_Toc201743659"/>
      <w:bookmarkStart w:id="66" w:name="_Toc201743608"/>
      <w:bookmarkStart w:id="67" w:name="_Toc201745734"/>
      <w:r>
        <w:rPr>
          <w:rFonts w:hint="eastAsia"/>
          <w:color w:val="000000" w:themeColor="text1"/>
          <w:spacing w:val="0"/>
          <w:kern w:val="44"/>
          <w:sz w:val="30"/>
          <w:szCs w:val="20"/>
          <w14:textFill>
            <w14:solidFill>
              <w14:schemeClr w14:val="tx1"/>
            </w14:solidFill>
          </w14:textFill>
        </w:rPr>
        <w:t xml:space="preserve">前 </w:t>
      </w:r>
      <w:r>
        <w:rPr>
          <w:color w:val="000000" w:themeColor="text1"/>
          <w:spacing w:val="0"/>
          <w:kern w:val="44"/>
          <w:sz w:val="30"/>
          <w:szCs w:val="20"/>
          <w14:textFill>
            <w14:solidFill>
              <w14:schemeClr w14:val="tx1"/>
            </w14:solidFill>
          </w14:textFill>
        </w:rPr>
        <w:t xml:space="preserve"> </w:t>
      </w:r>
      <w:r>
        <w:rPr>
          <w:rFonts w:hint="eastAsia"/>
          <w:color w:val="000000" w:themeColor="text1"/>
          <w:spacing w:val="0"/>
          <w:kern w:val="44"/>
          <w:sz w:val="30"/>
          <w:szCs w:val="20"/>
          <w14:textFill>
            <w14:solidFill>
              <w14:schemeClr w14:val="tx1"/>
            </w14:solidFill>
          </w14:textFill>
        </w:rPr>
        <w:t>言</w:t>
      </w:r>
      <w:bookmarkEnd w:id="13"/>
      <w:bookmarkEnd w:id="14"/>
      <w:bookmarkEnd w:id="15"/>
      <w:bookmarkEnd w:id="64"/>
      <w:bookmarkEnd w:id="65"/>
      <w:bookmarkEnd w:id="66"/>
      <w:bookmarkEnd w:id="67"/>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根据《广东省住房和城乡建设厅关于发布&lt;2024年广东省工程建设标准制订修订计划&gt;的通知》(粤建科</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2024</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229号)的要求，</w:t>
      </w:r>
      <w:bookmarkStart w:id="68" w:name="_Hlk201062544"/>
      <w:r>
        <w:rPr>
          <w:rFonts w:hint="eastAsia" w:ascii="Times New Roman" w:hAnsi="Times New Roman" w:eastAsia="宋体" w:cs="Times New Roman"/>
          <w:color w:val="000000" w:themeColor="text1"/>
          <w:sz w:val="24"/>
          <w:szCs w:val="24"/>
          <w14:textFill>
            <w14:solidFill>
              <w14:schemeClr w14:val="tx1"/>
            </w14:solidFill>
          </w14:textFill>
        </w:rPr>
        <w:t>标准编制组经广泛调查研究，认真总结实践经验，参考国内外相关标准规程，在广泛征求意见的基础上，编制了本标准。</w:t>
      </w:r>
    </w:p>
    <w:bookmarkEnd w:id="68"/>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本标准的主要技术内容是：1 总则、2 术语、3 洪涝积水风险评估、4 洪涝灾害链综合风险评估、5 洪涝灾害链综合风险数字化管理、6 风险图绘制。</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本标准不涉及专利。</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广东省住房和城乡建设厅负责本标准的管理，广东省住房城乡建设高质量发展研究与安全监测中心（广东省建设工程标准定额站）、中规院（北京）规划设计有限公司和中国水利水电科学研究院负责具体技术内容的解释，执行过程中，如有意见或建议，请寄送广东省住房城乡建设高质量发展研究与安全监测中心（广东省建设工程标准定额站）（地址：广州市越秀区豪贤路102号汇德大厦7楼，邮编：510055）。</w:t>
      </w:r>
    </w:p>
    <w:p>
      <w:pPr>
        <w:widowControl/>
        <w:adjustRightInd w:val="0"/>
        <w:snapToGrid w:val="0"/>
        <w:spacing w:line="360" w:lineRule="auto"/>
        <w:ind w:left="2396" w:leftChars="170" w:hanging="1920" w:hangingChars="8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本标准主编单位：广东省住房城乡建设高质量发展研究与安全监测中心（广东省建设工程标准定额站）</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中规院（北京）规划设计有限公司</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中国水利水电科学研究院</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本标准参编单位：清华大学</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广东省建筑设计研究院有限公司</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广州市市政工程设计研究总院有限公司</w:t>
      </w:r>
    </w:p>
    <w:p>
      <w:pPr>
        <w:widowControl/>
        <w:adjustRightInd w:val="0"/>
        <w:snapToGrid w:val="0"/>
        <w:spacing w:line="360" w:lineRule="auto"/>
        <w:ind w:firstLine="2400" w:firstLineChars="10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深圳市水务规划设计院股份有限公司</w:t>
      </w:r>
    </w:p>
    <w:p>
      <w:pPr>
        <w:widowControl/>
        <w:adjustRightInd w:val="0"/>
        <w:snapToGrid w:val="0"/>
        <w:spacing w:line="360" w:lineRule="auto"/>
        <w:ind w:firstLine="2400" w:firstLineChars="10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佛山市城市规划设计研究院有限公司</w:t>
      </w:r>
    </w:p>
    <w:p>
      <w:pPr>
        <w:widowControl/>
        <w:adjustRightInd w:val="0"/>
        <w:snapToGrid w:val="0"/>
        <w:spacing w:line="360" w:lineRule="auto"/>
        <w:ind w:firstLine="2400" w:firstLineChars="10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珠海市规划设计研究院</w:t>
      </w:r>
    </w:p>
    <w:p>
      <w:pPr>
        <w:widowControl/>
        <w:adjustRightInd w:val="0"/>
        <w:snapToGrid w:val="0"/>
        <w:spacing w:line="360" w:lineRule="auto"/>
        <w:ind w:firstLine="2400" w:firstLineChars="10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广州中工水务信息科技有限公司</w:t>
      </w:r>
    </w:p>
    <w:p>
      <w:pPr>
        <w:widowControl/>
        <w:adjustRightInd w:val="0"/>
        <w:snapToGrid w:val="0"/>
        <w:spacing w:line="360" w:lineRule="auto"/>
        <w:ind w:firstLine="2400" w:firstLineChars="10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深圳市城市公共安全技术研究院有限公司</w:t>
      </w:r>
    </w:p>
    <w:p>
      <w:pPr>
        <w:widowControl/>
        <w:adjustRightInd w:val="0"/>
        <w:snapToGrid w:val="0"/>
        <w:spacing w:line="360" w:lineRule="auto"/>
        <w:ind w:firstLine="2400" w:firstLineChars="10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广州市城市排水有限公司</w:t>
      </w:r>
    </w:p>
    <w:p>
      <w:pPr>
        <w:widowControl/>
        <w:adjustRightInd w:val="0"/>
        <w:snapToGrid w:val="0"/>
        <w:spacing w:line="360" w:lineRule="auto"/>
        <w:ind w:left="2876" w:leftChars="170" w:hanging="2400" w:hangingChars="10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本标准主要起草人员：陈辅淳 王家卓 王晨 刘家宏 倪广恒 阮镇江 胡筱 </w:t>
      </w:r>
    </w:p>
    <w:p>
      <w:pPr>
        <w:widowControl/>
        <w:adjustRightInd w:val="0"/>
        <w:snapToGrid w:val="0"/>
        <w:spacing w:line="360" w:lineRule="auto"/>
        <w:ind w:left="2856" w:leftChars="102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张慧君 李文涛 陈纯山 盛旺 朱玉玺 李天兵 </w:t>
      </w:r>
    </w:p>
    <w:p>
      <w:pPr>
        <w:widowControl/>
        <w:adjustRightInd w:val="0"/>
        <w:snapToGrid w:val="0"/>
        <w:spacing w:line="360" w:lineRule="auto"/>
        <w:ind w:left="2856" w:leftChars="102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习树峰 袁嵘 梅超 李瑞栋 邱维 魏泽彪 罗良丰 </w:t>
      </w:r>
    </w:p>
    <w:p>
      <w:pPr>
        <w:widowControl/>
        <w:adjustRightInd w:val="0"/>
        <w:snapToGrid w:val="0"/>
        <w:spacing w:line="360" w:lineRule="auto"/>
        <w:ind w:left="2856" w:leftChars="102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徐大用 陈柱良</w:t>
      </w:r>
    </w:p>
    <w:p>
      <w:pPr>
        <w:widowControl/>
        <w:adjustRightInd w:val="0"/>
        <w:snapToGrid w:val="0"/>
        <w:spacing w:line="360" w:lineRule="auto"/>
        <w:ind w:left="2876" w:leftChars="170" w:hanging="2400" w:hangingChars="1000"/>
        <w:rPr>
          <w:rFonts w:ascii="Times New Roman" w:hAnsi="Times New Roman" w:eastAsia="宋体" w:cs="Times New Roman"/>
          <w:color w:val="000000" w:themeColor="text1"/>
          <w:sz w:val="24"/>
          <w:szCs w:val="24"/>
          <w14:textFill>
            <w14:solidFill>
              <w14:schemeClr w14:val="tx1"/>
            </w14:solidFill>
          </w14:textFill>
        </w:rPr>
        <w:sectPr>
          <w:footerReference r:id="rId3" w:type="even"/>
          <w:pgSz w:w="11906" w:h="16838"/>
          <w:pgMar w:top="1440" w:right="1800" w:bottom="1440" w:left="1800" w:header="851" w:footer="992" w:gutter="0"/>
          <w:cols w:space="720" w:num="1"/>
          <w:docGrid w:type="lines" w:linePitch="312" w:charSpace="0"/>
        </w:sectPr>
      </w:pPr>
      <w:r>
        <w:rPr>
          <w:rFonts w:hint="eastAsia" w:ascii="Times New Roman" w:hAnsi="Times New Roman" w:eastAsia="宋体" w:cs="Times New Roman"/>
          <w:color w:val="000000" w:themeColor="text1"/>
          <w:sz w:val="24"/>
          <w:szCs w:val="24"/>
          <w14:textFill>
            <w14:solidFill>
              <w14:schemeClr w14:val="tx1"/>
            </w14:solidFill>
          </w14:textFill>
        </w:rPr>
        <w:t>本标准主要审查人员：</w:t>
      </w:r>
      <w:r>
        <w:rPr>
          <w:rFonts w:hint="eastAsia" w:ascii="Times New Roman" w:hAnsi="Times New Roman" w:eastAsia="宋体" w:cs="Times New Roman"/>
          <w:color w:val="EE0000"/>
          <w:sz w:val="24"/>
          <w:szCs w:val="24"/>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w:t>
      </w:r>
    </w:p>
    <w:sdt>
      <w:sdtPr>
        <w:rPr>
          <w:rFonts w:eastAsia="仿宋" w:asciiTheme="minorHAnsi" w:hAnsiTheme="minorHAnsi" w:cstheme="minorBidi"/>
          <w:b/>
          <w:color w:val="000000" w:themeColor="text1"/>
          <w:kern w:val="2"/>
          <w:sz w:val="28"/>
          <w:szCs w:val="22"/>
          <w:lang w:val="zh-CN"/>
          <w14:textFill>
            <w14:solidFill>
              <w14:schemeClr w14:val="tx1"/>
            </w14:solidFill>
          </w14:textFill>
        </w:rPr>
        <w:id w:val="1637058976"/>
        <w:docPartObj>
          <w:docPartGallery w:val="Table of Contents"/>
          <w:docPartUnique/>
        </w:docPartObj>
      </w:sdtPr>
      <w:sdtEndPr>
        <w:rPr>
          <w:rFonts w:eastAsia="宋体" w:asciiTheme="minorHAnsi" w:hAnsiTheme="minorHAnsi" w:cstheme="minorBidi"/>
          <w:b/>
          <w:bCs/>
          <w:color w:val="000000" w:themeColor="text1"/>
          <w:kern w:val="2"/>
          <w:sz w:val="24"/>
          <w:szCs w:val="22"/>
          <w:lang w:val="zh-CN"/>
          <w14:textFill>
            <w14:solidFill>
              <w14:schemeClr w14:val="tx1"/>
            </w14:solidFill>
          </w14:textFill>
        </w:rPr>
      </w:sdtEndPr>
      <w:sdtContent>
        <w:p>
          <w:pPr>
            <w:pStyle w:val="79"/>
            <w:jc w:val="center"/>
            <w:outlineLvl w:val="0"/>
            <w:rPr>
              <w:rFonts w:ascii="Times New Roman" w:hAnsi="Times New Roman" w:cs="Times New Roman"/>
              <w:b/>
              <w:bCs/>
              <w:color w:val="000000" w:themeColor="text1"/>
              <w14:textFill>
                <w14:solidFill>
                  <w14:schemeClr w14:val="tx1"/>
                </w14:solidFill>
              </w14:textFill>
            </w:rPr>
          </w:pPr>
          <w:bookmarkStart w:id="69" w:name="_Toc200465419"/>
          <w:bookmarkStart w:id="70" w:name="_Toc200474109"/>
          <w:bookmarkStart w:id="71" w:name="_Toc200474075"/>
          <w:bookmarkStart w:id="72" w:name="_Toc201745735"/>
          <w:bookmarkStart w:id="73" w:name="_Toc201743609"/>
          <w:bookmarkStart w:id="74" w:name="_Toc201743711"/>
          <w:bookmarkStart w:id="75" w:name="_Toc5887"/>
          <w:bookmarkStart w:id="76" w:name="_Toc201223957"/>
          <w:bookmarkStart w:id="77" w:name="_Toc201743660"/>
          <w:bookmarkStart w:id="78" w:name="_Toc201078642"/>
          <w:bookmarkStart w:id="79" w:name="_Toc523728564"/>
          <w:bookmarkStart w:id="80" w:name="_Toc49164193"/>
          <w:r>
            <w:rPr>
              <w:rFonts w:ascii="Times New Roman" w:hAnsi="Times New Roman" w:cs="Times New Roman"/>
              <w:b/>
              <w:bCs/>
              <w:color w:val="000000" w:themeColor="text1"/>
              <w:lang w:val="zh-CN"/>
              <w14:textFill>
                <w14:solidFill>
                  <w14:schemeClr w14:val="tx1"/>
                </w14:solidFill>
              </w14:textFill>
            </w:rPr>
            <w:t xml:space="preserve">目  </w:t>
          </w:r>
          <w:bookmarkEnd w:id="69"/>
          <w:bookmarkEnd w:id="70"/>
          <w:bookmarkEnd w:id="71"/>
          <w:r>
            <w:rPr>
              <w:rFonts w:ascii="Times New Roman" w:hAnsi="Times New Roman" w:cs="Times New Roman"/>
              <w:b/>
              <w:bCs/>
              <w:color w:val="000000" w:themeColor="text1"/>
              <w:lang w:val="zh-CN"/>
              <w14:textFill>
                <w14:solidFill>
                  <w14:schemeClr w14:val="tx1"/>
                </w14:solidFill>
              </w14:textFill>
            </w:rPr>
            <w:t>次</w:t>
          </w:r>
          <w:bookmarkEnd w:id="72"/>
          <w:bookmarkEnd w:id="73"/>
          <w:bookmarkEnd w:id="74"/>
          <w:bookmarkEnd w:id="75"/>
          <w:bookmarkEnd w:id="76"/>
          <w:bookmarkEnd w:id="77"/>
          <w:bookmarkEnd w:id="78"/>
        </w:p>
        <w:p>
          <w:pPr>
            <w:pStyle w:val="18"/>
            <w:tabs>
              <w:tab w:val="right" w:leader="dot" w:pos="8302"/>
            </w:tabs>
            <w:ind w:left="241" w:hanging="240" w:hangingChars="100"/>
            <w:rPr>
              <w:rFonts w:ascii="Times New Roman" w:hAnsi="Times New Roman" w:cs="Times New Roman" w:eastAsiaTheme="minorEastAsia"/>
              <w:b w:val="0"/>
              <w:sz w:val="21"/>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"1-2" \h \z \u </w:instrText>
          </w:r>
          <w:r>
            <w:rPr>
              <w:rFonts w:ascii="Times New Roman" w:hAnsi="Times New Roman" w:cs="Times New Roman"/>
              <w:color w:val="000000" w:themeColor="text1"/>
              <w14:textFill>
                <w14:solidFill>
                  <w14:schemeClr w14:val="tx1"/>
                </w14:solidFill>
              </w14:textFill>
            </w:rPr>
            <w:fldChar w:fldCharType="separate"/>
          </w:r>
          <w:r>
            <w:fldChar w:fldCharType="begin"/>
          </w:r>
          <w:r>
            <w:instrText xml:space="preserve"> HYPERLINK \l "_Toc201743611" </w:instrText>
          </w:r>
          <w:r>
            <w:fldChar w:fldCharType="separate"/>
          </w:r>
          <w:r>
            <w:rPr>
              <w:rStyle w:val="32"/>
              <w:rFonts w:ascii="Times New Roman" w:hAnsi="Times New Roman" w:cs="Times New Roman"/>
              <w:kern w:val="44"/>
            </w:rPr>
            <w:t>1总  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_Toc201743611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"_Toc201743612" </w:instrText>
          </w:r>
          <w:r>
            <w:fldChar w:fldCharType="separate"/>
          </w:r>
          <w:r>
            <w:rPr>
              <w:rStyle w:val="32"/>
              <w:rFonts w:ascii="Times New Roman" w:hAnsi="Times New Roman" w:cs="Times New Roman"/>
              <w:kern w:val="44"/>
            </w:rPr>
            <w:t>2术  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_Toc201743612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"_Toc201743613" </w:instrText>
          </w:r>
          <w:r>
            <w:fldChar w:fldCharType="separate"/>
          </w:r>
          <w:r>
            <w:rPr>
              <w:rStyle w:val="32"/>
              <w:rFonts w:ascii="Times New Roman" w:hAnsi="Times New Roman" w:cs="Times New Roman"/>
              <w:kern w:val="44"/>
            </w:rPr>
            <w:t>3洪涝积水风险评估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_Toc201743613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21"/>
            <w:tabs>
              <w:tab w:val="left" w:pos="1260"/>
              <w:tab w:val="right" w:leader="dot" w:pos="8302"/>
            </w:tabs>
            <w:ind w:left="280"/>
            <w:rPr>
              <w:rFonts w:eastAsiaTheme="minorEastAsia"/>
              <w:sz w:val="21"/>
            </w:rPr>
          </w:pPr>
          <w:r>
            <w:fldChar w:fldCharType="begin"/>
          </w:r>
          <w:r>
            <w:instrText xml:space="preserve"> HYPERLINK \l "_Toc201743614" </w:instrText>
          </w:r>
          <w:r>
            <w:fldChar w:fldCharType="separate"/>
          </w:r>
          <w:r>
            <w:rPr>
              <w:rStyle w:val="32"/>
            </w:rPr>
            <w:t>3.1一 般 规 定</w:t>
          </w:r>
          <w:r>
            <w:tab/>
          </w:r>
          <w:r>
            <w:fldChar w:fldCharType="begin"/>
          </w:r>
          <w:r>
            <w:instrText xml:space="preserve"> PAGEREF _Toc201743614 \h </w:instrText>
          </w:r>
          <w:r>
            <w:fldChar w:fldCharType="separate"/>
          </w:r>
          <w:r>
            <w:t>4</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"_Toc201743615" </w:instrText>
          </w:r>
          <w:r>
            <w:fldChar w:fldCharType="separate"/>
          </w:r>
          <w:r>
            <w:rPr>
              <w:rStyle w:val="32"/>
            </w:rPr>
            <w:t>3.2评 估 方 法</w:t>
          </w:r>
          <w:r>
            <w:tab/>
          </w:r>
          <w:r>
            <w:fldChar w:fldCharType="begin"/>
          </w:r>
          <w:r>
            <w:instrText xml:space="preserve"> PAGEREF _Toc201743615 \h </w:instrText>
          </w:r>
          <w:r>
            <w:fldChar w:fldCharType="separate"/>
          </w:r>
          <w:r>
            <w:t>5</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"_Toc201743616" </w:instrText>
          </w:r>
          <w:r>
            <w:fldChar w:fldCharType="separate"/>
          </w:r>
          <w:r>
            <w:rPr>
              <w:rStyle w:val="32"/>
            </w:rPr>
            <w:t>3.3计 算 方 案</w:t>
          </w:r>
          <w:r>
            <w:tab/>
          </w:r>
          <w:r>
            <w:fldChar w:fldCharType="begin"/>
          </w:r>
          <w:r>
            <w:instrText xml:space="preserve"> PAGEREF _Toc201743616 \h </w:instrText>
          </w:r>
          <w:r>
            <w:fldChar w:fldCharType="separate"/>
          </w:r>
          <w:r>
            <w:t>6</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"_Toc201743617" </w:instrText>
          </w:r>
          <w:r>
            <w:fldChar w:fldCharType="separate"/>
          </w:r>
          <w:r>
            <w:rPr>
              <w:rStyle w:val="32"/>
            </w:rPr>
            <w:t>3.4模 拟 评 估</w:t>
          </w:r>
          <w:r>
            <w:tab/>
          </w:r>
          <w:r>
            <w:fldChar w:fldCharType="begin"/>
          </w:r>
          <w:r>
            <w:instrText xml:space="preserve"> PAGEREF _Toc201743617 \h </w:instrText>
          </w:r>
          <w:r>
            <w:fldChar w:fldCharType="separate"/>
          </w:r>
          <w:r>
            <w:t>8</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"_Toc201743618" </w:instrText>
          </w:r>
          <w:r>
            <w:fldChar w:fldCharType="separate"/>
          </w:r>
          <w:r>
            <w:rPr>
              <w:rStyle w:val="32"/>
            </w:rPr>
            <w:t>3.5风 险 区 划</w:t>
          </w:r>
          <w:r>
            <w:tab/>
          </w:r>
          <w:r>
            <w:fldChar w:fldCharType="begin"/>
          </w:r>
          <w:r>
            <w:instrText xml:space="preserve"> PAGEREF _Toc201743618 \h </w:instrText>
          </w:r>
          <w:r>
            <w:fldChar w:fldCharType="separate"/>
          </w:r>
          <w:r>
            <w:t>10</w:t>
          </w:r>
          <w:r>
            <w:fldChar w:fldCharType="end"/>
          </w:r>
          <w: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"_Toc201743619" </w:instrText>
          </w:r>
          <w:r>
            <w:fldChar w:fldCharType="separate"/>
          </w:r>
          <w:r>
            <w:rPr>
              <w:rStyle w:val="32"/>
              <w:rFonts w:ascii="Times New Roman" w:hAnsi="Times New Roman" w:cs="Times New Roman"/>
              <w:kern w:val="44"/>
            </w:rPr>
            <w:t>4洪涝灾害链综合风险评估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_Toc201743619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2"/>
            </w:tabs>
            <w:ind w:left="280"/>
            <w:rPr>
              <w:rFonts w:eastAsiaTheme="minorEastAsia"/>
              <w:sz w:val="21"/>
            </w:rPr>
          </w:pPr>
          <w:r>
            <w:fldChar w:fldCharType="begin"/>
          </w:r>
          <w:r>
            <w:instrText xml:space="preserve"> HYPERLINK \l "_Toc201743620" </w:instrText>
          </w:r>
          <w:r>
            <w:fldChar w:fldCharType="separate"/>
          </w:r>
          <w:r>
            <w:rPr>
              <w:rStyle w:val="32"/>
            </w:rPr>
            <w:t>4.1一 般 规 定</w:t>
          </w:r>
          <w:r>
            <w:tab/>
          </w:r>
          <w:r>
            <w:fldChar w:fldCharType="begin"/>
          </w:r>
          <w:r>
            <w:instrText xml:space="preserve"> PAGEREF _Toc201743620 \h </w:instrText>
          </w:r>
          <w:r>
            <w:fldChar w:fldCharType="separate"/>
          </w:r>
          <w:r>
            <w:t>12</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"_Toc201743621" </w:instrText>
          </w:r>
          <w:r>
            <w:fldChar w:fldCharType="separate"/>
          </w:r>
          <w:r>
            <w:rPr>
              <w:rStyle w:val="32"/>
            </w:rPr>
            <w:t>4.2评 估 指 标</w:t>
          </w:r>
          <w:r>
            <w:tab/>
          </w:r>
          <w:r>
            <w:fldChar w:fldCharType="begin"/>
          </w:r>
          <w:r>
            <w:instrText xml:space="preserve"> PAGEREF _Toc201743621 \h </w:instrText>
          </w:r>
          <w:r>
            <w:fldChar w:fldCharType="separate"/>
          </w:r>
          <w:r>
            <w:t>12</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"_Toc201743622" </w:instrText>
          </w:r>
          <w:r>
            <w:fldChar w:fldCharType="separate"/>
          </w:r>
          <w:r>
            <w:rPr>
              <w:rStyle w:val="32"/>
            </w:rPr>
            <w:t>4.3城市洪涝脆弱性风险评估与区划</w:t>
          </w:r>
          <w:r>
            <w:tab/>
          </w:r>
          <w:r>
            <w:fldChar w:fldCharType="begin"/>
          </w:r>
          <w:r>
            <w:instrText xml:space="preserve"> PAGEREF _Toc201743622 \h </w:instrText>
          </w:r>
          <w:r>
            <w:fldChar w:fldCharType="separate"/>
          </w:r>
          <w:r>
            <w:t>14</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"_Toc201743623" </w:instrText>
          </w:r>
          <w:r>
            <w:fldChar w:fldCharType="separate"/>
          </w:r>
          <w:r>
            <w:rPr>
              <w:rStyle w:val="32"/>
            </w:rPr>
            <w:t>4.4洪涝灾害链综合风险评估与区划</w:t>
          </w:r>
          <w:r>
            <w:tab/>
          </w:r>
          <w:r>
            <w:fldChar w:fldCharType="begin"/>
          </w:r>
          <w:r>
            <w:instrText xml:space="preserve"> PAGEREF _Toc201743623 \h </w:instrText>
          </w:r>
          <w:r>
            <w:fldChar w:fldCharType="separate"/>
          </w:r>
          <w:r>
            <w:t>15</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"_Toc201743624" </w:instrText>
          </w:r>
          <w:r>
            <w:fldChar w:fldCharType="separate"/>
          </w:r>
          <w:r>
            <w:rPr>
              <w:rStyle w:val="32"/>
            </w:rPr>
            <w:t>4.5承灾体受淹风险评估</w:t>
          </w:r>
          <w:r>
            <w:tab/>
          </w:r>
          <w:r>
            <w:fldChar w:fldCharType="begin"/>
          </w:r>
          <w:r>
            <w:instrText xml:space="preserve"> PAGEREF _Toc201743624 \h </w:instrText>
          </w:r>
          <w:r>
            <w:fldChar w:fldCharType="separate"/>
          </w:r>
          <w:r>
            <w:t>17</w:t>
          </w:r>
          <w:r>
            <w:fldChar w:fldCharType="end"/>
          </w:r>
          <w:r>
            <w:fldChar w:fldCharType="end"/>
          </w:r>
        </w:p>
        <w:p>
          <w:pPr>
            <w:pStyle w:val="18"/>
            <w:tabs>
              <w:tab w:val="left" w:pos="1260"/>
              <w:tab w:val="right" w:leader="dot" w:pos="8302"/>
            </w:tabs>
            <w:rPr>
              <w:rFonts w:ascii="Times New Roman" w:hAnsi="Times New Roman" w:cs="Times New Roman" w:eastAsiaTheme="minorEastAsia"/>
              <w:b w:val="0"/>
              <w:sz w:val="21"/>
            </w:rPr>
          </w:pPr>
          <w:r>
            <w:fldChar w:fldCharType="begin"/>
          </w:r>
          <w:r>
            <w:instrText xml:space="preserve"> HYPERLINK \l "_Toc201743625" </w:instrText>
          </w:r>
          <w:r>
            <w:fldChar w:fldCharType="separate"/>
          </w:r>
          <w:r>
            <w:rPr>
              <w:rStyle w:val="32"/>
              <w:rFonts w:ascii="Times New Roman" w:hAnsi="Times New Roman" w:cs="Times New Roman"/>
              <w:kern w:val="44"/>
            </w:rPr>
            <w:t>5洪涝灾害链综合风险数字化管理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_Toc201743625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8"/>
            <w:tabs>
              <w:tab w:val="left" w:pos="1260"/>
              <w:tab w:val="right" w:leader="dot" w:pos="8302"/>
            </w:tabs>
            <w:rPr>
              <w:rFonts w:ascii="Times New Roman" w:hAnsi="Times New Roman" w:cs="Times New Roman" w:eastAsiaTheme="minorEastAsia"/>
              <w:b w:val="0"/>
              <w:sz w:val="21"/>
            </w:rPr>
          </w:pPr>
          <w:r>
            <w:fldChar w:fldCharType="begin"/>
          </w:r>
          <w:r>
            <w:instrText xml:space="preserve"> HYPERLINK \l "_Toc201743626" </w:instrText>
          </w:r>
          <w:r>
            <w:fldChar w:fldCharType="separate"/>
          </w:r>
          <w:r>
            <w:rPr>
              <w:rStyle w:val="32"/>
              <w:rFonts w:ascii="Times New Roman" w:hAnsi="Times New Roman" w:cs="Times New Roman"/>
              <w:kern w:val="44"/>
            </w:rPr>
            <w:t>6风险图绘制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_Toc201743626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2"/>
            </w:tabs>
            <w:ind w:left="280"/>
            <w:rPr>
              <w:rFonts w:eastAsiaTheme="minorEastAsia"/>
              <w:sz w:val="21"/>
            </w:rPr>
          </w:pPr>
          <w:r>
            <w:fldChar w:fldCharType="begin"/>
          </w:r>
          <w:r>
            <w:instrText xml:space="preserve"> HYPERLINK \l "_Toc201743627" </w:instrText>
          </w:r>
          <w:r>
            <w:fldChar w:fldCharType="separate"/>
          </w:r>
          <w:r>
            <w:rPr>
              <w:rStyle w:val="32"/>
            </w:rPr>
            <w:t>6.1资 料 收 集</w:t>
          </w:r>
          <w:r>
            <w:tab/>
          </w:r>
          <w:r>
            <w:fldChar w:fldCharType="begin"/>
          </w:r>
          <w:r>
            <w:instrText xml:space="preserve"> PAGEREF _Toc201743627 \h </w:instrText>
          </w:r>
          <w:r>
            <w:fldChar w:fldCharType="separate"/>
          </w:r>
          <w:r>
            <w:t>19</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"_Toc201743628" </w:instrText>
          </w:r>
          <w:r>
            <w:fldChar w:fldCharType="separate"/>
          </w:r>
          <w:r>
            <w:rPr>
              <w:rStyle w:val="32"/>
            </w:rPr>
            <w:t>6.2制 图 流 程</w:t>
          </w:r>
          <w:r>
            <w:tab/>
          </w:r>
          <w:r>
            <w:fldChar w:fldCharType="begin"/>
          </w:r>
          <w:r>
            <w:instrText xml:space="preserve"> PAGEREF _Toc201743628 \h </w:instrText>
          </w:r>
          <w:r>
            <w:fldChar w:fldCharType="separate"/>
          </w:r>
          <w:r>
            <w:t>21</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"_Toc201743629" </w:instrText>
          </w:r>
          <w:r>
            <w:fldChar w:fldCharType="separate"/>
          </w:r>
          <w:r>
            <w:rPr>
              <w:rStyle w:val="32"/>
            </w:rPr>
            <w:t>6.3风险图体系及命名规则</w:t>
          </w:r>
          <w:r>
            <w:tab/>
          </w:r>
          <w:r>
            <w:fldChar w:fldCharType="begin"/>
          </w:r>
          <w:r>
            <w:instrText xml:space="preserve"> PAGEREF _Toc201743629 \h </w:instrText>
          </w:r>
          <w:r>
            <w:fldChar w:fldCharType="separate"/>
          </w:r>
          <w:r>
            <w:t>23</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"_Toc201743630" </w:instrText>
          </w:r>
          <w:r>
            <w:fldChar w:fldCharType="separate"/>
          </w:r>
          <w:r>
            <w:rPr>
              <w:rStyle w:val="32"/>
            </w:rPr>
            <w:t>6.4图 纸 表 达</w:t>
          </w:r>
          <w:r>
            <w:tab/>
          </w:r>
          <w:r>
            <w:fldChar w:fldCharType="begin"/>
          </w:r>
          <w:r>
            <w:instrText xml:space="preserve"> PAGEREF _Toc201743630 \h </w:instrText>
          </w:r>
          <w:r>
            <w:fldChar w:fldCharType="separate"/>
          </w:r>
          <w:r>
            <w:t>23</w:t>
          </w:r>
          <w:r>
            <w:fldChar w:fldCharType="end"/>
          </w:r>
          <w: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"_Toc201743631" </w:instrText>
          </w:r>
          <w:r>
            <w:fldChar w:fldCharType="separate"/>
          </w:r>
          <w:r>
            <w:rPr>
              <w:rStyle w:val="32"/>
              <w:rFonts w:ascii="Times New Roman" w:hAnsi="Times New Roman" w:cs="Times New Roman"/>
            </w:rPr>
            <w:t>附录A  广东省城市防洪及排涝标准一览表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_Toc201743631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"_Toc201743632" </w:instrText>
          </w:r>
          <w:r>
            <w:fldChar w:fldCharType="separate"/>
          </w:r>
          <w:r>
            <w:rPr>
              <w:rStyle w:val="32"/>
              <w:rFonts w:ascii="Times New Roman" w:hAnsi="Times New Roman" w:cs="Times New Roman"/>
            </w:rPr>
            <w:t>附录B  资料收集表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_Toc201743632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"_Toc201743633" </w:instrText>
          </w:r>
          <w:r>
            <w:fldChar w:fldCharType="separate"/>
          </w:r>
          <w:r>
            <w:rPr>
              <w:rStyle w:val="32"/>
              <w:rFonts w:ascii="Times New Roman" w:hAnsi="Times New Roman" w:cs="Times New Roman"/>
            </w:rPr>
            <w:t>附录C  自然断点分级法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_Toc201743633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"_Toc201743634" </w:instrText>
          </w:r>
          <w:r>
            <w:fldChar w:fldCharType="separate"/>
          </w:r>
          <w:r>
            <w:rPr>
              <w:rStyle w:val="32"/>
              <w:rFonts w:ascii="Times New Roman" w:hAnsi="Times New Roman" w:cs="Times New Roman"/>
            </w:rPr>
            <w:t>附录D  遇水反应化学品名单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_Toc201743634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"_Toc201743635" </w:instrText>
          </w:r>
          <w:r>
            <w:fldChar w:fldCharType="separate"/>
          </w:r>
          <w:r>
            <w:rPr>
              <w:rStyle w:val="32"/>
              <w:rFonts w:ascii="Times New Roman" w:hAnsi="Times New Roman" w:cs="Times New Roman"/>
            </w:rPr>
            <w:t>附录E  绘制流程图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_Toc201743635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"_Toc201743636" </w:instrText>
          </w:r>
          <w:r>
            <w:fldChar w:fldCharType="separate"/>
          </w:r>
          <w:r>
            <w:rPr>
              <w:rStyle w:val="32"/>
              <w:rFonts w:ascii="Times New Roman" w:hAnsi="Times New Roman" w:cs="Times New Roman"/>
            </w:rPr>
            <w:t>附录F  图 式 要 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_Toc201743636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"_Toc201743637" </w:instrText>
          </w:r>
          <w:r>
            <w:fldChar w:fldCharType="separate"/>
          </w:r>
          <w:r>
            <w:rPr>
              <w:rStyle w:val="32"/>
              <w:rFonts w:ascii="Times New Roman" w:hAnsi="Times New Roman" w:cs="Times New Roman"/>
            </w:rPr>
            <w:t>附录G  参 考 样 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_Toc201743637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"_Toc201743638" </w:instrText>
          </w:r>
          <w:r>
            <w:fldChar w:fldCharType="separate"/>
          </w:r>
          <w:r>
            <w:rPr>
              <w:rStyle w:val="32"/>
              <w:rFonts w:ascii="Times New Roman" w:hAnsi="Times New Roman" w:cs="Times New Roman"/>
            </w:rPr>
            <w:t>本标准用词说明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_Toc201743638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"_Toc201743639" </w:instrText>
          </w:r>
          <w:r>
            <w:fldChar w:fldCharType="separate"/>
          </w:r>
          <w:r>
            <w:rPr>
              <w:rStyle w:val="32"/>
              <w:rFonts w:ascii="Times New Roman" w:hAnsi="Times New Roman" w:cs="Times New Roman"/>
            </w:rPr>
            <w:t>引用标准名录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_Toc201743639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rPr>
              <w:rStyle w:val="32"/>
              <w:rFonts w:ascii="Times New Roman" w:hAnsi="Times New Roman" w:cs="Times New Roman"/>
              <w:color w:val="auto"/>
              <w:u w:val="none"/>
            </w:rPr>
            <w:t>附：</w:t>
          </w:r>
          <w:r>
            <w:fldChar w:fldCharType="begin"/>
          </w:r>
          <w:r>
            <w:instrText xml:space="preserve"> HYPERLINK \l "_Toc201743640" </w:instrText>
          </w:r>
          <w:r>
            <w:fldChar w:fldCharType="separate"/>
          </w:r>
          <w:r>
            <w:rPr>
              <w:rStyle w:val="32"/>
              <w:rFonts w:ascii="Times New Roman" w:hAnsi="Times New Roman" w:cs="Times New Roman"/>
              <w:bCs/>
              <w:kern w:val="0"/>
            </w:rPr>
            <w:t>条 文 说 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_Toc201743640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eastAsiaTheme="minorEastAsia"/>
              <w:b w:val="0"/>
              <w:color w:val="000000" w:themeColor="text1"/>
              <w:sz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end"/>
          </w:r>
        </w:p>
        <w:p>
          <w:pPr>
            <w:pStyle w:val="18"/>
            <w:tabs>
              <w:tab w:val="right" w:leader="dot" w:pos="9347"/>
            </w:tabs>
            <w:rPr>
              <w:rFonts w:eastAsiaTheme="minorEastAsia"/>
              <w:b w:val="0"/>
              <w:color w:val="000000" w:themeColor="text1"/>
              <w:sz w:val="21"/>
              <w14:textFill>
                <w14:solidFill>
                  <w14:schemeClr w14:val="tx1"/>
                </w14:solidFill>
              </w14:textFill>
            </w:rPr>
          </w:pPr>
        </w:p>
      </w:sdtContent>
    </w:sdt>
    <w:p>
      <w:pPr>
        <w:tabs>
          <w:tab w:val="center" w:pos="4156"/>
        </w:tabs>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sdt>
      <w:sdtPr>
        <w:rPr>
          <w:rFonts w:eastAsia="仿宋" w:asciiTheme="minorHAnsi" w:hAnsiTheme="minorHAnsi" w:cstheme="minorBidi"/>
          <w:b/>
          <w:color w:val="000000" w:themeColor="text1"/>
          <w:kern w:val="2"/>
          <w:sz w:val="28"/>
          <w:szCs w:val="22"/>
          <w:lang w:val="zh-CN"/>
          <w14:textFill>
            <w14:solidFill>
              <w14:schemeClr w14:val="tx1"/>
            </w14:solidFill>
          </w14:textFill>
        </w:rPr>
        <w:id w:val="-1724208468"/>
        <w:docPartObj>
          <w:docPartGallery w:val="Table of Contents"/>
          <w:docPartUnique/>
        </w:docPartObj>
      </w:sdtPr>
      <w:sdtEndPr>
        <w:rPr>
          <w:rFonts w:eastAsia="宋体" w:asciiTheme="minorHAnsi" w:hAnsiTheme="minorHAnsi" w:cstheme="minorBidi"/>
          <w:b/>
          <w:bCs/>
          <w:color w:val="000000" w:themeColor="text1"/>
          <w:kern w:val="2"/>
          <w:sz w:val="24"/>
          <w:szCs w:val="22"/>
          <w:lang w:val="zh-CN"/>
          <w14:textFill>
            <w14:solidFill>
              <w14:schemeClr w14:val="tx1"/>
            </w14:solidFill>
          </w14:textFill>
        </w:rPr>
      </w:sdtEndPr>
      <w:sdtContent>
        <w:p>
          <w:pPr>
            <w:pStyle w:val="79"/>
            <w:jc w:val="center"/>
            <w:outlineLvl w:val="0"/>
            <w:rPr>
              <w:rFonts w:ascii="Times New Roman" w:hAnsi="Times New Roman" w:cs="Times New Roman"/>
              <w:b/>
              <w:bCs/>
              <w:color w:val="000000" w:themeColor="text1"/>
              <w14:textFill>
                <w14:solidFill>
                  <w14:schemeClr w14:val="tx1"/>
                </w14:solidFill>
              </w14:textFill>
            </w:rPr>
          </w:pPr>
          <w:bookmarkStart w:id="81" w:name="_Toc201078643"/>
          <w:bookmarkStart w:id="82" w:name="_Toc201743712"/>
          <w:bookmarkStart w:id="83" w:name="_Toc21586"/>
          <w:bookmarkStart w:id="84" w:name="_Toc201743610"/>
          <w:bookmarkStart w:id="85" w:name="_Toc201223958"/>
          <w:bookmarkStart w:id="86" w:name="_Toc200474076"/>
          <w:bookmarkStart w:id="87" w:name="_Toc201745736"/>
          <w:bookmarkStart w:id="88" w:name="_Toc201743661"/>
          <w:bookmarkStart w:id="89" w:name="_Toc200474110"/>
          <w:r>
            <w:rPr>
              <w:rFonts w:ascii="Times New Roman" w:hAnsi="Times New Roman" w:eastAsia="仿宋" w:cs="Times New Roman"/>
              <w:b/>
              <w:color w:val="000000" w:themeColor="text1"/>
              <w:kern w:val="2"/>
              <w:sz w:val="28"/>
              <w:szCs w:val="22"/>
              <w:lang w:val="zh-CN"/>
              <w14:textFill>
                <w14:solidFill>
                  <w14:schemeClr w14:val="tx1"/>
                </w14:solidFill>
              </w14:textFill>
            </w:rPr>
            <w:t>Contents</w:t>
          </w:r>
          <w:bookmarkEnd w:id="81"/>
          <w:bookmarkEnd w:id="82"/>
          <w:bookmarkEnd w:id="83"/>
          <w:bookmarkEnd w:id="84"/>
          <w:bookmarkEnd w:id="85"/>
          <w:bookmarkEnd w:id="86"/>
          <w:bookmarkEnd w:id="87"/>
          <w:bookmarkEnd w:id="88"/>
          <w:bookmarkEnd w:id="89"/>
        </w:p>
        <w:p>
          <w:pPr>
            <w:pStyle w:val="18"/>
            <w:tabs>
              <w:tab w:val="right" w:leader="dot" w:pos="8302"/>
            </w:tabs>
            <w:ind w:left="241" w:hanging="240" w:hangingChars="100"/>
            <w:rPr>
              <w:rFonts w:ascii="Times New Roman" w:hAnsi="Times New Roman" w:cs="Times New Roman" w:eastAsiaTheme="minorEastAsia"/>
              <w:b w:val="0"/>
              <w:sz w:val="21"/>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"1-2" \h \z \u </w:instrText>
          </w:r>
          <w:r>
            <w:rPr>
              <w:rFonts w:ascii="Times New Roman" w:hAnsi="Times New Roman" w:cs="Times New Roman"/>
              <w:color w:val="000000" w:themeColor="text1"/>
              <w14:textFill>
                <w14:solidFill>
                  <w14:schemeClr w14:val="tx1"/>
                </w14:solidFill>
              </w14:textFill>
            </w:rPr>
            <w:fldChar w:fldCharType="separate"/>
          </w:r>
          <w:r>
            <w:fldChar w:fldCharType="begin"/>
          </w:r>
          <w:r>
            <w:instrText xml:space="preserve"> HYPERLINK \l "_Toc201743662" </w:instrText>
          </w:r>
          <w:r>
            <w:fldChar w:fldCharType="separate"/>
          </w:r>
          <w:r>
            <w:rPr>
              <w:rStyle w:val="32"/>
              <w:rFonts w:ascii="Times New Roman" w:hAnsi="Times New Roman" w:cs="Times New Roman"/>
              <w:kern w:val="44"/>
            </w:rPr>
            <w:t>1</w:t>
          </w:r>
          <w:r>
            <w:rPr>
              <w:rFonts w:ascii="Times New Roman" w:hAnsi="Times New Roman" w:cs="Times New Roman" w:eastAsiaTheme="minorEastAsia"/>
              <w:b w:val="0"/>
              <w:sz w:val="21"/>
            </w:rPr>
            <w:tab/>
          </w:r>
          <w:r>
            <w:rPr>
              <w:rStyle w:val="32"/>
              <w:rFonts w:ascii="Times New Roman" w:hAnsi="Times New Roman" w:cs="Times New Roman"/>
              <w:kern w:val="44"/>
            </w:rPr>
            <w:t>General provisions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_Toc201743662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8"/>
            <w:tabs>
              <w:tab w:val="left" w:pos="299"/>
              <w:tab w:val="right" w:leader="dot" w:pos="8302"/>
            </w:tabs>
            <w:rPr>
              <w:rFonts w:ascii="Times New Roman" w:hAnsi="Times New Roman" w:cs="Times New Roman" w:eastAsiaTheme="minorEastAsia"/>
              <w:b w:val="0"/>
              <w:sz w:val="21"/>
            </w:rPr>
          </w:pPr>
          <w:r>
            <w:fldChar w:fldCharType="begin"/>
          </w:r>
          <w:r>
            <w:instrText xml:space="preserve"> HYPERLINK \l "_Toc201743663" </w:instrText>
          </w:r>
          <w:r>
            <w:fldChar w:fldCharType="separate"/>
          </w:r>
          <w:r>
            <w:rPr>
              <w:rStyle w:val="32"/>
              <w:rFonts w:ascii="Times New Roman" w:hAnsi="Times New Roman" w:cs="Times New Roman"/>
              <w:kern w:val="44"/>
            </w:rPr>
            <w:t>2</w:t>
          </w:r>
          <w:r>
            <w:rPr>
              <w:rFonts w:ascii="Times New Roman" w:hAnsi="Times New Roman" w:cs="Times New Roman" w:eastAsiaTheme="minorEastAsia"/>
              <w:b w:val="0"/>
              <w:sz w:val="21"/>
            </w:rPr>
            <w:tab/>
          </w:r>
          <w:r>
            <w:rPr>
              <w:rStyle w:val="32"/>
              <w:rFonts w:ascii="Times New Roman" w:hAnsi="Times New Roman" w:cs="Times New Roman"/>
              <w:kern w:val="44"/>
            </w:rPr>
            <w:t>Terms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_Toc201743663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8"/>
            <w:tabs>
              <w:tab w:val="left" w:pos="299"/>
              <w:tab w:val="right" w:leader="dot" w:pos="8302"/>
            </w:tabs>
            <w:rPr>
              <w:rFonts w:ascii="Times New Roman" w:hAnsi="Times New Roman" w:cs="Times New Roman" w:eastAsiaTheme="minorEastAsia"/>
              <w:b w:val="0"/>
              <w:sz w:val="21"/>
            </w:rPr>
          </w:pPr>
          <w:r>
            <w:fldChar w:fldCharType="begin"/>
          </w:r>
          <w:r>
            <w:instrText xml:space="preserve"> HYPERLINK \l "_Toc201743664" </w:instrText>
          </w:r>
          <w:r>
            <w:fldChar w:fldCharType="separate"/>
          </w:r>
          <w:r>
            <w:rPr>
              <w:rStyle w:val="32"/>
              <w:rFonts w:ascii="Times New Roman" w:hAnsi="Times New Roman" w:cs="Times New Roman"/>
              <w:kern w:val="44"/>
            </w:rPr>
            <w:t>3</w:t>
          </w:r>
          <w:r>
            <w:rPr>
              <w:rFonts w:ascii="Times New Roman" w:hAnsi="Times New Roman" w:cs="Times New Roman" w:eastAsiaTheme="minorEastAsia"/>
              <w:b w:val="0"/>
              <w:sz w:val="21"/>
            </w:rPr>
            <w:tab/>
          </w:r>
          <w:r>
            <w:rPr>
              <w:rStyle w:val="32"/>
              <w:rFonts w:ascii="Times New Roman" w:hAnsi="Times New Roman" w:cs="Times New Roman"/>
              <w:kern w:val="44"/>
            </w:rPr>
            <w:t>Urban flood risk assessment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_Toc201743664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"_Toc201743665" </w:instrText>
          </w:r>
          <w:r>
            <w:fldChar w:fldCharType="separate"/>
          </w:r>
          <w:r>
            <w:rPr>
              <w:rStyle w:val="32"/>
            </w:rPr>
            <w:t>3.1</w:t>
          </w:r>
          <w:r>
            <w:rPr>
              <w:rFonts w:eastAsiaTheme="minorEastAsia"/>
              <w:sz w:val="21"/>
            </w:rPr>
            <w:tab/>
          </w:r>
          <w:r>
            <w:rPr>
              <w:rStyle w:val="32"/>
            </w:rPr>
            <w:t>General requirements</w:t>
          </w:r>
          <w:r>
            <w:tab/>
          </w:r>
          <w:r>
            <w:fldChar w:fldCharType="begin"/>
          </w:r>
          <w:r>
            <w:instrText xml:space="preserve"> PAGEREF _Toc201743665 \h </w:instrText>
          </w:r>
          <w:r>
            <w:fldChar w:fldCharType="separate"/>
          </w:r>
          <w:r>
            <w:t>4</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"_Toc201743666" </w:instrText>
          </w:r>
          <w:r>
            <w:fldChar w:fldCharType="separate"/>
          </w:r>
          <w:r>
            <w:rPr>
              <w:rStyle w:val="32"/>
            </w:rPr>
            <w:t>3.2</w:t>
          </w:r>
          <w:r>
            <w:rPr>
              <w:rFonts w:eastAsiaTheme="minorEastAsia"/>
              <w:sz w:val="21"/>
            </w:rPr>
            <w:tab/>
          </w:r>
          <w:r>
            <w:rPr>
              <w:rStyle w:val="32"/>
            </w:rPr>
            <w:t>Assessment methods</w:t>
          </w:r>
          <w:r>
            <w:tab/>
          </w:r>
          <w:r>
            <w:fldChar w:fldCharType="begin"/>
          </w:r>
          <w:r>
            <w:instrText xml:space="preserve"> PAGEREF _Toc201743666 \h </w:instrText>
          </w:r>
          <w:r>
            <w:fldChar w:fldCharType="separate"/>
          </w:r>
          <w:r>
            <w:t>5</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"_Toc201743667" </w:instrText>
          </w:r>
          <w:r>
            <w:fldChar w:fldCharType="separate"/>
          </w:r>
          <w:r>
            <w:rPr>
              <w:rStyle w:val="32"/>
            </w:rPr>
            <w:t>3.3</w:t>
          </w:r>
          <w:r>
            <w:rPr>
              <w:rFonts w:eastAsiaTheme="minorEastAsia"/>
              <w:sz w:val="21"/>
            </w:rPr>
            <w:tab/>
          </w:r>
          <w:r>
            <w:rPr>
              <w:rStyle w:val="32"/>
            </w:rPr>
            <w:t>Calculation schemes</w:t>
          </w:r>
          <w:r>
            <w:tab/>
          </w:r>
          <w:r>
            <w:fldChar w:fldCharType="begin"/>
          </w:r>
          <w:r>
            <w:instrText xml:space="preserve"> PAGEREF _Toc201743667 \h </w:instrText>
          </w:r>
          <w:r>
            <w:fldChar w:fldCharType="separate"/>
          </w:r>
          <w:r>
            <w:t>6</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"_Toc201743668" </w:instrText>
          </w:r>
          <w:r>
            <w:fldChar w:fldCharType="separate"/>
          </w:r>
          <w:r>
            <w:rPr>
              <w:rStyle w:val="32"/>
            </w:rPr>
            <w:t>3.4</w:t>
          </w:r>
          <w:r>
            <w:rPr>
              <w:rFonts w:eastAsiaTheme="minorEastAsia"/>
              <w:sz w:val="21"/>
            </w:rPr>
            <w:tab/>
          </w:r>
          <w:r>
            <w:rPr>
              <w:rStyle w:val="32"/>
            </w:rPr>
            <w:t>Simulation assessment</w:t>
          </w:r>
          <w:r>
            <w:tab/>
          </w:r>
          <w:r>
            <w:fldChar w:fldCharType="begin"/>
          </w:r>
          <w:r>
            <w:instrText xml:space="preserve"> PAGEREF _Toc201743668 \h </w:instrText>
          </w:r>
          <w:r>
            <w:fldChar w:fldCharType="separate"/>
          </w:r>
          <w:r>
            <w:t>8</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"_Toc201743669" </w:instrText>
          </w:r>
          <w:r>
            <w:fldChar w:fldCharType="separate"/>
          </w:r>
          <w:r>
            <w:rPr>
              <w:rStyle w:val="32"/>
            </w:rPr>
            <w:t>3.5</w:t>
          </w:r>
          <w:r>
            <w:rPr>
              <w:rFonts w:eastAsiaTheme="minorEastAsia"/>
              <w:sz w:val="21"/>
            </w:rPr>
            <w:tab/>
          </w:r>
          <w:r>
            <w:rPr>
              <w:rStyle w:val="32"/>
            </w:rPr>
            <w:t>Risk zoning</w:t>
          </w:r>
          <w:r>
            <w:tab/>
          </w:r>
          <w:r>
            <w:fldChar w:fldCharType="begin"/>
          </w:r>
          <w:r>
            <w:instrText xml:space="preserve"> PAGEREF _Toc201743669 \h </w:instrText>
          </w:r>
          <w:r>
            <w:fldChar w:fldCharType="separate"/>
          </w:r>
          <w:r>
            <w:t>10</w:t>
          </w:r>
          <w:r>
            <w:fldChar w:fldCharType="end"/>
          </w:r>
          <w:r>
            <w:fldChar w:fldCharType="end"/>
          </w:r>
        </w:p>
        <w:p>
          <w:pPr>
            <w:pStyle w:val="18"/>
            <w:tabs>
              <w:tab w:val="left" w:pos="299"/>
              <w:tab w:val="right" w:leader="dot" w:pos="8302"/>
            </w:tabs>
            <w:rPr>
              <w:rFonts w:ascii="Times New Roman" w:hAnsi="Times New Roman" w:cs="Times New Roman" w:eastAsiaTheme="minorEastAsia"/>
              <w:b w:val="0"/>
              <w:sz w:val="21"/>
            </w:rPr>
          </w:pPr>
          <w:r>
            <w:fldChar w:fldCharType="begin"/>
          </w:r>
          <w:r>
            <w:instrText xml:space="preserve"> HYPERLINK \l "_Toc201743670" </w:instrText>
          </w:r>
          <w:r>
            <w:fldChar w:fldCharType="separate"/>
          </w:r>
          <w:r>
            <w:rPr>
              <w:rStyle w:val="32"/>
              <w:rFonts w:ascii="Times New Roman" w:hAnsi="Times New Roman" w:cs="Times New Roman"/>
              <w:kern w:val="44"/>
            </w:rPr>
            <w:t>4</w:t>
          </w:r>
          <w:r>
            <w:rPr>
              <w:rFonts w:ascii="Times New Roman" w:hAnsi="Times New Roman" w:cs="Times New Roman" w:eastAsiaTheme="minorEastAsia"/>
              <w:b w:val="0"/>
              <w:sz w:val="21"/>
            </w:rPr>
            <w:tab/>
          </w:r>
          <w:r>
            <w:rPr>
              <w:rStyle w:val="32"/>
              <w:rFonts w:ascii="Times New Roman" w:hAnsi="Times New Roman" w:cs="Times New Roman"/>
              <w:kern w:val="44"/>
            </w:rPr>
            <w:t>Comprehensive risk assessment of urban flood disaster chains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_Toc201743670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"_Toc201743671" </w:instrText>
          </w:r>
          <w:r>
            <w:fldChar w:fldCharType="separate"/>
          </w:r>
          <w:r>
            <w:rPr>
              <w:rStyle w:val="32"/>
            </w:rPr>
            <w:t>4.1</w:t>
          </w:r>
          <w:r>
            <w:rPr>
              <w:rFonts w:eastAsiaTheme="minorEastAsia"/>
              <w:sz w:val="21"/>
            </w:rPr>
            <w:tab/>
          </w:r>
          <w:r>
            <w:rPr>
              <w:rStyle w:val="32"/>
            </w:rPr>
            <w:t>General requirements</w:t>
          </w:r>
          <w:r>
            <w:tab/>
          </w:r>
          <w:r>
            <w:fldChar w:fldCharType="begin"/>
          </w:r>
          <w:r>
            <w:instrText xml:space="preserve"> PAGEREF _Toc201743671 \h </w:instrText>
          </w:r>
          <w:r>
            <w:fldChar w:fldCharType="separate"/>
          </w:r>
          <w:r>
            <w:t>12</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"_Toc201743672" </w:instrText>
          </w:r>
          <w:r>
            <w:fldChar w:fldCharType="separate"/>
          </w:r>
          <w:r>
            <w:rPr>
              <w:rStyle w:val="32"/>
            </w:rPr>
            <w:t>4.2</w:t>
          </w:r>
          <w:r>
            <w:rPr>
              <w:rFonts w:eastAsiaTheme="minorEastAsia"/>
              <w:sz w:val="21"/>
            </w:rPr>
            <w:tab/>
          </w:r>
          <w:r>
            <w:rPr>
              <w:rStyle w:val="32"/>
            </w:rPr>
            <w:t>Selection and calculation of assessment indicators</w:t>
          </w:r>
          <w:r>
            <w:tab/>
          </w:r>
          <w:r>
            <w:fldChar w:fldCharType="begin"/>
          </w:r>
          <w:r>
            <w:instrText xml:space="preserve"> PAGEREF _Toc201743672 \h </w:instrText>
          </w:r>
          <w:r>
            <w:fldChar w:fldCharType="separate"/>
          </w:r>
          <w:r>
            <w:t>12</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"_Toc201743673" </w:instrText>
          </w:r>
          <w:r>
            <w:fldChar w:fldCharType="separate"/>
          </w:r>
          <w:r>
            <w:rPr>
              <w:rStyle w:val="32"/>
            </w:rPr>
            <w:t>4.3</w:t>
          </w:r>
          <w:r>
            <w:rPr>
              <w:rFonts w:eastAsiaTheme="minorEastAsia"/>
              <w:sz w:val="21"/>
            </w:rPr>
            <w:tab/>
          </w:r>
          <w:r>
            <w:rPr>
              <w:rStyle w:val="32"/>
            </w:rPr>
            <w:t>Vulnerability risk assessment and zoning of urban flood</w:t>
          </w:r>
          <w:r>
            <w:tab/>
          </w:r>
          <w:r>
            <w:fldChar w:fldCharType="begin"/>
          </w:r>
          <w:r>
            <w:instrText xml:space="preserve"> PAGEREF _Toc201743673 \h </w:instrText>
          </w:r>
          <w:r>
            <w:fldChar w:fldCharType="separate"/>
          </w:r>
          <w:r>
            <w:t>14</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"_Toc201743674" </w:instrText>
          </w:r>
          <w:r>
            <w:fldChar w:fldCharType="separate"/>
          </w:r>
          <w:r>
            <w:rPr>
              <w:rStyle w:val="32"/>
            </w:rPr>
            <w:t>4.4</w:t>
          </w:r>
          <w:r>
            <w:rPr>
              <w:rFonts w:eastAsiaTheme="minorEastAsia"/>
              <w:sz w:val="21"/>
            </w:rPr>
            <w:tab/>
          </w:r>
          <w:r>
            <w:rPr>
              <w:rStyle w:val="32"/>
            </w:rPr>
            <w:t>Comprehensive risk asse</w:t>
          </w:r>
          <w:bookmarkStart w:id="460" w:name="_GoBack"/>
          <w:bookmarkEnd w:id="460"/>
          <w:r>
            <w:rPr>
              <w:rStyle w:val="32"/>
            </w:rPr>
            <w:t>ssment and zoning of urban flood disaster chains</w:t>
          </w:r>
          <w:r>
            <w:tab/>
          </w:r>
          <w:r>
            <w:fldChar w:fldCharType="begin"/>
          </w:r>
          <w:r>
            <w:instrText xml:space="preserve"> PAGEREF _Toc201743674 \h </w:instrText>
          </w:r>
          <w:r>
            <w:fldChar w:fldCharType="separate"/>
          </w:r>
          <w:r>
            <w:t>15</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"_Toc201743675" </w:instrText>
          </w:r>
          <w:r>
            <w:fldChar w:fldCharType="separate"/>
          </w:r>
          <w:r>
            <w:rPr>
              <w:rStyle w:val="32"/>
            </w:rPr>
            <w:t>4.5</w:t>
          </w:r>
          <w:r>
            <w:rPr>
              <w:rFonts w:eastAsiaTheme="minorEastAsia"/>
              <w:sz w:val="21"/>
            </w:rPr>
            <w:tab/>
          </w:r>
          <w:r>
            <w:rPr>
              <w:rStyle w:val="32"/>
            </w:rPr>
            <w:t>Submersion risk assessment of disaster-bearing body</w:t>
          </w:r>
          <w:r>
            <w:tab/>
          </w:r>
          <w:r>
            <w:fldChar w:fldCharType="begin"/>
          </w:r>
          <w:r>
            <w:instrText xml:space="preserve"> PAGEREF _Toc201743675 \h </w:instrText>
          </w:r>
          <w:r>
            <w:fldChar w:fldCharType="separate"/>
          </w:r>
          <w:r>
            <w:t>17</w:t>
          </w:r>
          <w:r>
            <w:fldChar w:fldCharType="end"/>
          </w:r>
          <w:r>
            <w:fldChar w:fldCharType="end"/>
          </w:r>
        </w:p>
        <w:p>
          <w:pPr>
            <w:pStyle w:val="18"/>
            <w:tabs>
              <w:tab w:val="left" w:pos="299"/>
              <w:tab w:val="right" w:leader="dot" w:pos="8302"/>
            </w:tabs>
            <w:rPr>
              <w:rFonts w:ascii="Times New Roman" w:hAnsi="Times New Roman" w:cs="Times New Roman" w:eastAsiaTheme="minorEastAsia"/>
              <w:b w:val="0"/>
              <w:sz w:val="21"/>
            </w:rPr>
          </w:pPr>
          <w:r>
            <w:fldChar w:fldCharType="begin"/>
          </w:r>
          <w:r>
            <w:instrText xml:space="preserve"> HYPERLINK \l "_Toc201743676" </w:instrText>
          </w:r>
          <w:r>
            <w:fldChar w:fldCharType="separate"/>
          </w:r>
          <w:r>
            <w:rPr>
              <w:rStyle w:val="32"/>
              <w:rFonts w:ascii="Times New Roman" w:hAnsi="Times New Roman" w:cs="Times New Roman"/>
              <w:kern w:val="44"/>
            </w:rPr>
            <w:t>5</w:t>
          </w:r>
          <w:r>
            <w:rPr>
              <w:rFonts w:ascii="Times New Roman" w:hAnsi="Times New Roman" w:cs="Times New Roman" w:eastAsiaTheme="minorEastAsia"/>
              <w:b w:val="0"/>
              <w:sz w:val="21"/>
            </w:rPr>
            <w:tab/>
          </w:r>
          <w:r>
            <w:rPr>
              <w:rStyle w:val="32"/>
              <w:rFonts w:ascii="Times New Roman" w:hAnsi="Times New Roman" w:cs="Times New Roman"/>
              <w:kern w:val="44"/>
            </w:rPr>
            <w:t>Digital management of comprehensive risks of urban flood disaster chains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_Toc201743676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8"/>
            <w:tabs>
              <w:tab w:val="left" w:pos="299"/>
              <w:tab w:val="right" w:leader="dot" w:pos="8302"/>
            </w:tabs>
            <w:rPr>
              <w:rFonts w:ascii="Times New Roman" w:hAnsi="Times New Roman" w:cs="Times New Roman" w:eastAsiaTheme="minorEastAsia"/>
              <w:b w:val="0"/>
              <w:sz w:val="21"/>
            </w:rPr>
          </w:pPr>
          <w:r>
            <w:fldChar w:fldCharType="begin"/>
          </w:r>
          <w:r>
            <w:instrText xml:space="preserve"> HYPERLINK \l "_Toc201743677" </w:instrText>
          </w:r>
          <w:r>
            <w:fldChar w:fldCharType="separate"/>
          </w:r>
          <w:r>
            <w:rPr>
              <w:rStyle w:val="32"/>
              <w:rFonts w:ascii="Times New Roman" w:hAnsi="Times New Roman" w:cs="Times New Roman"/>
              <w:kern w:val="44"/>
            </w:rPr>
            <w:t>6</w:t>
          </w:r>
          <w:r>
            <w:rPr>
              <w:rFonts w:ascii="Times New Roman" w:hAnsi="Times New Roman" w:cs="Times New Roman" w:eastAsiaTheme="minorEastAsia"/>
              <w:b w:val="0"/>
              <w:sz w:val="21"/>
            </w:rPr>
            <w:tab/>
          </w:r>
          <w:r>
            <w:rPr>
              <w:rStyle w:val="32"/>
              <w:rFonts w:ascii="Times New Roman" w:hAnsi="Times New Roman" w:cs="Times New Roman"/>
              <w:kern w:val="44"/>
            </w:rPr>
            <w:t>Risk map drawing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_Toc201743677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"_Toc201743678" </w:instrText>
          </w:r>
          <w:r>
            <w:fldChar w:fldCharType="separate"/>
          </w:r>
          <w:r>
            <w:rPr>
              <w:rStyle w:val="32"/>
            </w:rPr>
            <w:t>6.1</w:t>
          </w:r>
          <w:r>
            <w:rPr>
              <w:rFonts w:eastAsiaTheme="minorEastAsia"/>
              <w:sz w:val="21"/>
            </w:rPr>
            <w:tab/>
          </w:r>
          <w:r>
            <w:rPr>
              <w:rStyle w:val="32"/>
            </w:rPr>
            <w:t>Data collection</w:t>
          </w:r>
          <w:r>
            <w:tab/>
          </w:r>
          <w:r>
            <w:fldChar w:fldCharType="begin"/>
          </w:r>
          <w:r>
            <w:instrText xml:space="preserve"> PAGEREF _Toc201743678 \h </w:instrText>
          </w:r>
          <w:r>
            <w:fldChar w:fldCharType="separate"/>
          </w:r>
          <w:r>
            <w:t>19</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"_Toc201743679" </w:instrText>
          </w:r>
          <w:r>
            <w:fldChar w:fldCharType="separate"/>
          </w:r>
          <w:r>
            <w:rPr>
              <w:rStyle w:val="32"/>
            </w:rPr>
            <w:t>6.2</w:t>
          </w:r>
          <w:r>
            <w:rPr>
              <w:rFonts w:eastAsiaTheme="minorEastAsia"/>
              <w:sz w:val="21"/>
            </w:rPr>
            <w:tab/>
          </w:r>
          <w:r>
            <w:rPr>
              <w:rStyle w:val="32"/>
            </w:rPr>
            <w:t>Mapping process</w:t>
          </w:r>
          <w:r>
            <w:tab/>
          </w:r>
          <w:r>
            <w:fldChar w:fldCharType="begin"/>
          </w:r>
          <w:r>
            <w:instrText xml:space="preserve"> PAGEREF _Toc201743679 \h </w:instrText>
          </w:r>
          <w:r>
            <w:fldChar w:fldCharType="separate"/>
          </w:r>
          <w:r>
            <w:t>21</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"_Toc201743680" </w:instrText>
          </w:r>
          <w:r>
            <w:fldChar w:fldCharType="separate"/>
          </w:r>
          <w:r>
            <w:rPr>
              <w:rStyle w:val="32"/>
            </w:rPr>
            <w:t>6.3</w:t>
          </w:r>
          <w:r>
            <w:rPr>
              <w:rFonts w:eastAsiaTheme="minorEastAsia"/>
              <w:sz w:val="21"/>
            </w:rPr>
            <w:tab/>
          </w:r>
          <w:r>
            <w:rPr>
              <w:rStyle w:val="32"/>
            </w:rPr>
            <w:t>Risk map system and naming rules</w:t>
          </w:r>
          <w:r>
            <w:tab/>
          </w:r>
          <w:r>
            <w:fldChar w:fldCharType="begin"/>
          </w:r>
          <w:r>
            <w:instrText xml:space="preserve"> PAGEREF _Toc201743680 \h </w:instrText>
          </w:r>
          <w:r>
            <w:fldChar w:fldCharType="separate"/>
          </w:r>
          <w:r>
            <w:t>23</w:t>
          </w:r>
          <w:r>
            <w:fldChar w:fldCharType="end"/>
          </w:r>
          <w:r>
            <w:fldChar w:fldCharType="end"/>
          </w:r>
        </w:p>
        <w:p>
          <w:pPr>
            <w:pStyle w:val="21"/>
            <w:tabs>
              <w:tab w:val="left" w:pos="780"/>
              <w:tab w:val="right" w:leader="dot" w:pos="8302"/>
            </w:tabs>
            <w:ind w:left="280"/>
            <w:rPr>
              <w:rFonts w:eastAsiaTheme="minorEastAsia"/>
              <w:sz w:val="21"/>
            </w:rPr>
          </w:pPr>
          <w:r>
            <w:fldChar w:fldCharType="begin"/>
          </w:r>
          <w:r>
            <w:instrText xml:space="preserve"> HYPERLINK \l "_Toc201743681" </w:instrText>
          </w:r>
          <w:r>
            <w:fldChar w:fldCharType="separate"/>
          </w:r>
          <w:r>
            <w:rPr>
              <w:rStyle w:val="32"/>
            </w:rPr>
            <w:t>6.4</w:t>
          </w:r>
          <w:r>
            <w:rPr>
              <w:rFonts w:eastAsiaTheme="minorEastAsia"/>
              <w:sz w:val="21"/>
            </w:rPr>
            <w:tab/>
          </w:r>
          <w:r>
            <w:rPr>
              <w:rStyle w:val="32"/>
            </w:rPr>
            <w:t>Drawing expression</w:t>
          </w:r>
          <w:r>
            <w:tab/>
          </w:r>
          <w:r>
            <w:fldChar w:fldCharType="begin"/>
          </w:r>
          <w:r>
            <w:instrText xml:space="preserve"> PAGEREF _Toc201743681 \h </w:instrText>
          </w:r>
          <w:r>
            <w:fldChar w:fldCharType="separate"/>
          </w:r>
          <w:r>
            <w:t>23</w:t>
          </w:r>
          <w:r>
            <w:fldChar w:fldCharType="end"/>
          </w:r>
          <w: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"_Toc201743682" </w:instrText>
          </w:r>
          <w:r>
            <w:fldChar w:fldCharType="separate"/>
          </w:r>
          <w:r>
            <w:rPr>
              <w:rStyle w:val="32"/>
              <w:rFonts w:ascii="Times New Roman" w:hAnsi="Times New Roman" w:cs="Times New Roman"/>
            </w:rPr>
            <w:t>Appendix A  Table of urban flood control and drainage standards in Guangdong province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_Toc201743682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"_Toc201743683" </w:instrText>
          </w:r>
          <w:r>
            <w:fldChar w:fldCharType="separate"/>
          </w:r>
          <w:r>
            <w:rPr>
              <w:rStyle w:val="32"/>
              <w:rFonts w:ascii="Times New Roman" w:hAnsi="Times New Roman" w:cs="Times New Roman"/>
            </w:rPr>
            <w:t>Appendix B  Data collection form</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_Toc201743683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"_Toc201743684" </w:instrText>
          </w:r>
          <w:r>
            <w:fldChar w:fldCharType="separate"/>
          </w:r>
          <w:r>
            <w:rPr>
              <w:rStyle w:val="32"/>
              <w:rFonts w:ascii="Times New Roman" w:hAnsi="Times New Roman" w:cs="Times New Roman"/>
            </w:rPr>
            <w:t>Appendix C  Natural break classification method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_Toc201743684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"_Toc201743685" </w:instrText>
          </w:r>
          <w:r>
            <w:fldChar w:fldCharType="separate"/>
          </w:r>
          <w:r>
            <w:rPr>
              <w:rStyle w:val="32"/>
              <w:rFonts w:ascii="Times New Roman" w:hAnsi="Times New Roman" w:cs="Times New Roman"/>
            </w:rPr>
            <w:t>Appendix D  List of chemicals reacting with water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_Toc201743685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"_Toc201743686" </w:instrText>
          </w:r>
          <w:r>
            <w:fldChar w:fldCharType="separate"/>
          </w:r>
          <w:r>
            <w:rPr>
              <w:rStyle w:val="32"/>
              <w:rFonts w:ascii="Times New Roman" w:hAnsi="Times New Roman" w:cs="Times New Roman"/>
            </w:rPr>
            <w:t>Appendix E  Drawing flow chart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_Toc201743686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"_Toc201743687" </w:instrText>
          </w:r>
          <w:r>
            <w:fldChar w:fldCharType="separate"/>
          </w:r>
          <w:r>
            <w:rPr>
              <w:rStyle w:val="32"/>
              <w:rFonts w:ascii="Times New Roman" w:hAnsi="Times New Roman" w:cs="Times New Roman"/>
            </w:rPr>
            <w:t>Appendix F  Schema requirements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_Toc201743687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"_Toc201743688" </w:instrText>
          </w:r>
          <w:r>
            <w:fldChar w:fldCharType="separate"/>
          </w:r>
          <w:r>
            <w:rPr>
              <w:rStyle w:val="32"/>
              <w:rFonts w:ascii="Times New Roman" w:hAnsi="Times New Roman" w:cs="Times New Roman"/>
            </w:rPr>
            <w:t>Appendix G  Reference sample maps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_Toc201743688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"_Toc201743689" </w:instrText>
          </w:r>
          <w:r>
            <w:fldChar w:fldCharType="separate"/>
          </w:r>
          <w:r>
            <w:rPr>
              <w:rStyle w:val="32"/>
              <w:rFonts w:ascii="Times New Roman" w:hAnsi="Times New Roman" w:cs="Times New Roman"/>
            </w:rPr>
            <w:t>Explanation of Vocabulary in this Standard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_Toc201743689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color w:val="000000" w:themeColor="text1"/>
              <w:sz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end"/>
          </w:r>
          <w:r>
            <w:fldChar w:fldCharType="begin"/>
          </w:r>
          <w:r>
            <w:instrText xml:space="preserve"> HYPERLINK "file:///E:\\2025%20中规院%20实习\\2025%20灾害链课题\\20250617-城市特大洪涝灾害链综合风险图编制标准-格式2.docx" \l "_Toc200474139" </w:instrText>
          </w:r>
          <w:r>
            <w:fldChar w:fldCharType="separate"/>
          </w:r>
          <w:r>
            <w:rPr>
              <w:rStyle w:val="32"/>
              <w:rFonts w:ascii="Times New Roman" w:hAnsi="Times New Roman" w:eastAsia="PingFang SC" w:cs="Times New Roman"/>
              <w:color w:val="000000" w:themeColor="text1"/>
              <w:u w:val="none"/>
              <w:shd w:val="clear" w:color="auto" w:fill="FFFFFF"/>
              <w14:textFill>
                <w14:solidFill>
                  <w14:schemeClr w14:val="tx1"/>
                </w14:solidFill>
              </w14:textFill>
            </w:rPr>
            <w:t>Reference Standard Directory</w:t>
          </w:r>
          <w:r>
            <w:rPr>
              <w:rStyle w:val="32"/>
              <w:rFonts w:ascii="Times New Roman" w:hAnsi="Times New Roman" w:cs="Times New Roman"/>
              <w:color w:val="000000" w:themeColor="text1"/>
              <w:u w:val="none"/>
              <w14:textFill>
                <w14:solidFill>
                  <w14:schemeClr w14:val="tx1"/>
                </w14:solidFill>
              </w14:textFill>
            </w:rPr>
            <w:tab/>
          </w:r>
          <w:r>
            <w:rPr>
              <w:rStyle w:val="32"/>
              <w:rFonts w:ascii="Times New Roman" w:hAnsi="Times New Roman" w:cs="Times New Roman"/>
              <w:color w:val="000000" w:themeColor="text1"/>
              <w:u w:val="none"/>
              <w14:textFill>
                <w14:solidFill>
                  <w14:schemeClr w14:val="tx1"/>
                </w14:solidFill>
              </w14:textFill>
            </w:rPr>
            <w:t>46</w:t>
          </w:r>
          <w:r>
            <w:rPr>
              <w:rStyle w:val="32"/>
              <w:rFonts w:ascii="Times New Roman" w:hAnsi="Times New Roman" w:cs="Times New Roman"/>
              <w:color w:val="000000" w:themeColor="text1"/>
              <w:u w:val="none"/>
              <w14:textFill>
                <w14:solidFill>
                  <w14:schemeClr w14:val="tx1"/>
                </w14:solidFill>
              </w14:textFill>
            </w:rPr>
            <w:fldChar w:fldCharType="end"/>
          </w:r>
        </w:p>
        <w:p>
          <w:pPr>
            <w:pStyle w:val="18"/>
            <w:tabs>
              <w:tab w:val="right" w:leader="dot" w:pos="8302"/>
            </w:tabs>
            <w:sectPr>
              <w:footerReference r:id="rId4" w:type="default"/>
              <w:pgSz w:w="11906" w:h="16838"/>
              <w:pgMar w:top="1440" w:right="1797" w:bottom="1440" w:left="1797" w:header="851" w:footer="283" w:gutter="0"/>
              <w:pgNumType w:start="1"/>
              <w:cols w:space="425" w:num="1"/>
              <w:docGrid w:type="lines" w:linePitch="381" w:charSpace="0"/>
            </w:sectPr>
          </w:pPr>
          <w:r>
            <w:fldChar w:fldCharType="begin"/>
          </w:r>
          <w:r>
            <w:instrText xml:space="preserve"> HYPERLINK "file:///E:\\2025%20中规院%20实习\\2025%20灾害链课题\\20250617-城市特大洪涝灾害链综合风险图编制标准-格式2.docx" \l "_Toc200474139" </w:instrText>
          </w:r>
          <w:r>
            <w:fldChar w:fldCharType="separate"/>
          </w:r>
          <w:r>
            <w:rPr>
              <w:rStyle w:val="32"/>
              <w:rFonts w:ascii="Times New Roman" w:hAnsi="Times New Roman" w:eastAsia="PingFang SC" w:cs="Times New Roman"/>
              <w:color w:val="000000" w:themeColor="text1"/>
              <w:u w:val="none"/>
              <w:shd w:val="clear" w:color="auto" w:fill="FFFFFF"/>
              <w14:textFill>
                <w14:solidFill>
                  <w14:schemeClr w14:val="tx1"/>
                </w14:solidFill>
              </w14:textFill>
            </w:rPr>
            <w:t>Addition</w:t>
          </w:r>
          <w:r>
            <w:rPr>
              <w:rStyle w:val="32"/>
              <w:rFonts w:ascii="Times New Roman" w:hAnsi="Times New Roman" w:cs="Times New Roman"/>
              <w:color w:val="000000" w:themeColor="text1"/>
              <w:u w:val="none"/>
              <w:shd w:val="clear" w:color="auto" w:fill="FFFFFF"/>
              <w14:textFill>
                <w14:solidFill>
                  <w14:schemeClr w14:val="tx1"/>
                </w14:solidFill>
              </w14:textFill>
            </w:rPr>
            <w:t>：</w:t>
          </w:r>
          <w:r>
            <w:rPr>
              <w:rStyle w:val="32"/>
              <w:rFonts w:ascii="Times New Roman" w:hAnsi="Times New Roman" w:eastAsia="PingFang SC" w:cs="Times New Roman"/>
              <w:color w:val="000000" w:themeColor="text1"/>
              <w:u w:val="none"/>
              <w:shd w:val="clear" w:color="auto" w:fill="FFFFFF"/>
              <w14:textFill>
                <w14:solidFill>
                  <w14:schemeClr w14:val="tx1"/>
                </w14:solidFill>
              </w14:textFill>
            </w:rPr>
            <w:t>Explanarion of Provisions</w:t>
          </w:r>
          <w:r>
            <w:rPr>
              <w:rStyle w:val="32"/>
              <w:rFonts w:ascii="Times New Roman" w:hAnsi="Times New Roman" w:cs="Times New Roman"/>
              <w:color w:val="000000" w:themeColor="text1"/>
              <w:u w:val="none"/>
              <w14:textFill>
                <w14:solidFill>
                  <w14:schemeClr w14:val="tx1"/>
                </w14:solidFill>
              </w14:textFill>
            </w:rPr>
            <w:tab/>
          </w:r>
          <w:r>
            <w:rPr>
              <w:rStyle w:val="32"/>
              <w:rFonts w:ascii="Times New Roman" w:hAnsi="Times New Roman" w:cs="Times New Roman"/>
              <w:color w:val="000000" w:themeColor="text1"/>
              <w:u w:val="none"/>
              <w14:textFill>
                <w14:solidFill>
                  <w14:schemeClr w14:val="tx1"/>
                </w14:solidFill>
              </w14:textFill>
            </w:rPr>
            <w:t>47</w:t>
          </w:r>
          <w:r>
            <w:rPr>
              <w:rStyle w:val="32"/>
              <w:rFonts w:ascii="Times New Roman" w:hAnsi="Times New Roman" w:cs="Times New Roman"/>
              <w:color w:val="000000" w:themeColor="text1"/>
              <w:u w:val="none"/>
              <w14:textFill>
                <w14:solidFill>
                  <w14:schemeClr w14:val="tx1"/>
                </w14:solidFill>
              </w14:textFill>
            </w:rPr>
            <w:fldChar w:fldCharType="end"/>
          </w:r>
        </w:p>
      </w:sdtContent>
    </w:sdt>
    <w:p>
      <w:pPr>
        <w:pStyle w:val="2"/>
        <w:spacing w:before="340" w:beforeLines="0" w:after="330" w:afterLines="0" w:line="578" w:lineRule="auto"/>
        <w:rPr>
          <w:color w:val="000000" w:themeColor="text1"/>
          <w:spacing w:val="0"/>
          <w:kern w:val="44"/>
          <w:sz w:val="30"/>
          <w:szCs w:val="20"/>
          <w14:textFill>
            <w14:solidFill>
              <w14:schemeClr w14:val="tx1"/>
            </w14:solidFill>
          </w14:textFill>
        </w:rPr>
      </w:pPr>
      <w:bookmarkStart w:id="90" w:name="_Toc201078644"/>
      <w:bookmarkStart w:id="91" w:name="_Toc201223959"/>
      <w:r>
        <w:rPr>
          <w:color w:val="000000" w:themeColor="text1"/>
          <w:spacing w:val="0"/>
          <w:kern w:val="44"/>
          <w:sz w:val="30"/>
          <w:szCs w:val="20"/>
          <w14:textFill>
            <w14:solidFill>
              <w14:schemeClr w14:val="tx1"/>
            </w14:solidFill>
          </w14:textFill>
        </w:rPr>
        <w:t xml:space="preserve"> </w:t>
      </w:r>
      <w:r>
        <w:rPr>
          <w:rFonts w:hint="eastAsia"/>
          <w:color w:val="000000" w:themeColor="text1"/>
          <w:spacing w:val="0"/>
          <w:kern w:val="44"/>
          <w:sz w:val="30"/>
          <w:szCs w:val="20"/>
          <w14:textFill>
            <w14:solidFill>
              <w14:schemeClr w14:val="tx1"/>
            </w14:solidFill>
          </w14:textFill>
        </w:rPr>
        <w:t xml:space="preserve"> </w:t>
      </w:r>
      <w:bookmarkStart w:id="92" w:name="_Toc201743662"/>
      <w:bookmarkStart w:id="93" w:name="_Toc201743611"/>
      <w:bookmarkStart w:id="94" w:name="_Toc201745737"/>
      <w:bookmarkStart w:id="95" w:name="_Toc201743713"/>
      <w:r>
        <w:rPr>
          <w:color w:val="000000" w:themeColor="text1"/>
          <w:spacing w:val="0"/>
          <w:kern w:val="44"/>
          <w:sz w:val="30"/>
          <w:szCs w:val="20"/>
          <w14:textFill>
            <w14:solidFill>
              <w14:schemeClr w14:val="tx1"/>
            </w14:solidFill>
          </w14:textFill>
        </w:rPr>
        <w:t>总</w:t>
      </w:r>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则</w:t>
      </w:r>
      <w:bookmarkEnd w:id="79"/>
      <w:bookmarkEnd w:id="80"/>
      <w:bookmarkEnd w:id="90"/>
      <w:bookmarkEnd w:id="91"/>
      <w:bookmarkEnd w:id="92"/>
      <w:bookmarkEnd w:id="93"/>
      <w:bookmarkEnd w:id="94"/>
      <w:bookmarkEnd w:id="95"/>
    </w:p>
    <w:p>
      <w:pPr>
        <w:numPr>
          <w:ilvl w:val="2"/>
          <w:numId w:val="4"/>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为</w:t>
      </w:r>
      <w:r>
        <w:rPr>
          <w:rFonts w:hint="eastAsia" w:ascii="Times New Roman" w:hAnsi="Times New Roman" w:eastAsia="宋体" w:cs="Times New Roman"/>
          <w:color w:val="000000" w:themeColor="text1"/>
          <w:sz w:val="24"/>
          <w:szCs w:val="24"/>
          <w14:textFill>
            <w14:solidFill>
              <w14:schemeClr w14:val="tx1"/>
            </w14:solidFill>
          </w14:textFill>
        </w:rPr>
        <w:t>实现城市内涝应急管理向风险管理的思路转变，更好适应</w:t>
      </w:r>
      <w:r>
        <w:rPr>
          <w:rFonts w:ascii="Times New Roman" w:hAnsi="Times New Roman" w:eastAsia="宋体" w:cs="Times New Roman"/>
          <w:color w:val="000000" w:themeColor="text1"/>
          <w:sz w:val="24"/>
          <w:szCs w:val="24"/>
          <w14:textFill>
            <w14:solidFill>
              <w14:schemeClr w14:val="tx1"/>
            </w14:solidFill>
          </w14:textFill>
        </w:rPr>
        <w:t>极端降雨增多</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城市特大洪涝灾害风险增加</w:t>
      </w:r>
      <w:r>
        <w:rPr>
          <w:rFonts w:hint="eastAsia" w:ascii="Times New Roman" w:hAnsi="Times New Roman" w:eastAsia="宋体" w:cs="Times New Roman"/>
          <w:color w:val="000000" w:themeColor="text1"/>
          <w:sz w:val="24"/>
          <w:szCs w:val="24"/>
          <w14:textFill>
            <w14:solidFill>
              <w14:schemeClr w14:val="tx1"/>
            </w14:solidFill>
          </w14:textFill>
        </w:rPr>
        <w:t>现状趋势，规范洪涝灾害链综合评估与风险图编制工作，提升城市洪涝灾害应对能力</w:t>
      </w:r>
      <w:r>
        <w:rPr>
          <w:rFonts w:ascii="Times New Roman" w:hAnsi="Times New Roman" w:eastAsia="宋体" w:cs="Times New Roman"/>
          <w:color w:val="000000" w:themeColor="text1"/>
          <w:sz w:val="24"/>
          <w:szCs w:val="24"/>
          <w14:textFill>
            <w14:solidFill>
              <w14:schemeClr w14:val="tx1"/>
            </w14:solidFill>
          </w14:textFill>
        </w:rPr>
        <w:t>，制定本标准。</w:t>
      </w:r>
    </w:p>
    <w:p>
      <w:pPr>
        <w:numPr>
          <w:ilvl w:val="2"/>
          <w:numId w:val="5"/>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本标准</w:t>
      </w:r>
      <w:bookmarkStart w:id="96" w:name="_Hlk171088929"/>
      <w:r>
        <w:rPr>
          <w:rFonts w:hint="eastAsia" w:ascii="Times New Roman" w:hAnsi="Times New Roman" w:eastAsia="宋体" w:cs="Times New Roman"/>
          <w:color w:val="000000" w:themeColor="text1"/>
          <w:sz w:val="24"/>
          <w:szCs w:val="24"/>
          <w14:textFill>
            <w14:solidFill>
              <w14:schemeClr w14:val="tx1"/>
            </w14:solidFill>
          </w14:textFill>
        </w:rPr>
        <w:t>适用于</w:t>
      </w:r>
      <w:r>
        <w:rPr>
          <w:rFonts w:ascii="Times New Roman" w:hAnsi="Times New Roman" w:eastAsia="宋体" w:cs="Times New Roman"/>
          <w:color w:val="000000" w:themeColor="text1"/>
          <w:sz w:val="24"/>
          <w:szCs w:val="24"/>
          <w14:textFill>
            <w14:solidFill>
              <w14:schemeClr w14:val="tx1"/>
            </w14:solidFill>
          </w14:textFill>
        </w:rPr>
        <w:t>广东省行政管辖范围内县级及以上行政单元</w:t>
      </w:r>
      <w:r>
        <w:rPr>
          <w:rFonts w:hint="eastAsia" w:ascii="Times New Roman" w:hAnsi="Times New Roman" w:eastAsia="宋体" w:cs="Times New Roman"/>
          <w:color w:val="000000" w:themeColor="text1"/>
          <w:sz w:val="24"/>
          <w:szCs w:val="24"/>
          <w14:textFill>
            <w14:solidFill>
              <w14:schemeClr w14:val="tx1"/>
            </w14:solidFill>
          </w14:textFill>
        </w:rPr>
        <w:t>的城市洪涝灾害链综合风险评估与风险图绘制，指导技术单位开展编制工作。规定了的</w:t>
      </w:r>
      <w:r>
        <w:rPr>
          <w:rFonts w:ascii="Times New Roman" w:hAnsi="Times New Roman" w:eastAsia="宋体" w:cs="Times New Roman"/>
          <w:color w:val="000000" w:themeColor="text1"/>
          <w:sz w:val="24"/>
          <w:szCs w:val="24"/>
          <w14:textFill>
            <w14:solidFill>
              <w14:schemeClr w14:val="tx1"/>
            </w14:solidFill>
          </w14:textFill>
        </w:rPr>
        <w:t>城市特大洪涝灾害链综合风险图</w:t>
      </w:r>
      <w:bookmarkEnd w:id="96"/>
      <w:r>
        <w:rPr>
          <w:rFonts w:hint="eastAsia" w:ascii="Times New Roman" w:hAnsi="Times New Roman" w:eastAsia="宋体" w:cs="Times New Roman"/>
          <w:color w:val="000000" w:themeColor="text1"/>
          <w:sz w:val="24"/>
          <w:szCs w:val="24"/>
          <w14:textFill>
            <w14:solidFill>
              <w14:schemeClr w14:val="tx1"/>
            </w14:solidFill>
          </w14:textFill>
        </w:rPr>
        <w:t>编制的基本要求和基本流程，包括资料收集、风险评估、风险图绘制等主要阶段的方法和要求。</w:t>
      </w:r>
    </w:p>
    <w:p>
      <w:pPr>
        <w:numPr>
          <w:ilvl w:val="2"/>
          <w:numId w:val="5"/>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当</w:t>
      </w:r>
      <w:r>
        <w:rPr>
          <w:rFonts w:ascii="Times New Roman" w:hAnsi="Times New Roman" w:eastAsia="宋体" w:cs="Times New Roman"/>
          <w:color w:val="000000" w:themeColor="text1"/>
          <w:sz w:val="24"/>
          <w:szCs w:val="24"/>
          <w14:textFill>
            <w14:solidFill>
              <w14:schemeClr w14:val="tx1"/>
            </w14:solidFill>
          </w14:textFill>
        </w:rPr>
        <w:t>城市建设和社会经济发展等导致城市特大洪涝灾害风险发生变化</w:t>
      </w:r>
      <w:r>
        <w:rPr>
          <w:rFonts w:hint="eastAsia" w:ascii="Times New Roman" w:hAnsi="Times New Roman" w:eastAsia="宋体" w:cs="Times New Roman"/>
          <w:color w:val="000000" w:themeColor="text1"/>
          <w:sz w:val="24"/>
          <w:szCs w:val="24"/>
          <w14:textFill>
            <w14:solidFill>
              <w14:schemeClr w14:val="tx1"/>
            </w14:solidFill>
          </w14:textFill>
        </w:rPr>
        <w:t>时</w:t>
      </w:r>
      <w:r>
        <w:rPr>
          <w:rFonts w:ascii="Times New Roman" w:hAnsi="Times New Roman" w:eastAsia="宋体" w:cs="Times New Roman"/>
          <w:color w:val="000000" w:themeColor="text1"/>
          <w:sz w:val="24"/>
          <w:szCs w:val="24"/>
          <w14:textFill>
            <w14:solidFill>
              <w14:schemeClr w14:val="tx1"/>
            </w14:solidFill>
          </w14:textFill>
        </w:rPr>
        <w:t>，应及时修订或更新城市特大洪涝灾害链综合风险图，以准确反应城市特大洪涝灾害风险。</w:t>
      </w:r>
    </w:p>
    <w:p>
      <w:pPr>
        <w:numPr>
          <w:ilvl w:val="2"/>
          <w:numId w:val="5"/>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各城市及管理区域应基于区域流域防洪排涝现状及规划，因地制宜，根据洪涝灾害成因、特点和洪涝灾害防御实际需要，科学研究和准确确定特大洪涝灾害标准及以下各等级标准和范围。</w:t>
      </w:r>
    </w:p>
    <w:p>
      <w:pPr>
        <w:numPr>
          <w:ilvl w:val="2"/>
          <w:numId w:val="5"/>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城市特大洪涝灾害链综合风险图</w:t>
      </w:r>
      <w:r>
        <w:rPr>
          <w:rFonts w:hint="eastAsia" w:ascii="Times New Roman" w:hAnsi="Times New Roman" w:eastAsia="宋体" w:cs="Times New Roman"/>
          <w:color w:val="000000" w:themeColor="text1"/>
          <w:sz w:val="24"/>
          <w:szCs w:val="24"/>
          <w14:textFill>
            <w14:solidFill>
              <w14:schemeClr w14:val="tx1"/>
            </w14:solidFill>
          </w14:textFill>
        </w:rPr>
        <w:t>编制除应执行本标准外，尚应符合国家、行业现行有关标准的规定。</w:t>
      </w: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sectPr>
          <w:pgSz w:w="11906" w:h="16838"/>
          <w:pgMar w:top="1440" w:right="1797" w:bottom="1440" w:left="1797" w:header="851" w:footer="283" w:gutter="0"/>
          <w:pgNumType w:start="1"/>
          <w:cols w:space="425" w:num="1"/>
          <w:docGrid w:type="lines" w:linePitch="381" w:charSpace="0"/>
        </w:sectPr>
      </w:pPr>
    </w:p>
    <w:p>
      <w:pPr>
        <w:pStyle w:val="2"/>
        <w:spacing w:before="340" w:beforeLines="0" w:after="330" w:afterLines="0" w:line="578" w:lineRule="auto"/>
        <w:rPr>
          <w:color w:val="000000" w:themeColor="text1"/>
          <w:spacing w:val="0"/>
          <w:kern w:val="44"/>
          <w:sz w:val="30"/>
          <w:szCs w:val="20"/>
          <w14:textFill>
            <w14:solidFill>
              <w14:schemeClr w14:val="tx1"/>
            </w14:solidFill>
          </w14:textFill>
        </w:rPr>
      </w:pPr>
      <w:bookmarkStart w:id="97" w:name="_Toc201078645"/>
      <w:bookmarkStart w:id="98" w:name="_Toc49164194"/>
      <w:bookmarkStart w:id="99" w:name="_Toc201223960"/>
      <w:bookmarkStart w:id="100" w:name="_Toc523728565"/>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w:t>
      </w:r>
      <w:bookmarkStart w:id="101" w:name="_Toc201743714"/>
      <w:bookmarkStart w:id="102" w:name="_Toc201745738"/>
      <w:bookmarkStart w:id="103" w:name="_Toc201743612"/>
      <w:bookmarkStart w:id="104" w:name="_Toc201743663"/>
      <w:r>
        <w:rPr>
          <w:color w:val="000000" w:themeColor="text1"/>
          <w:spacing w:val="0"/>
          <w:kern w:val="44"/>
          <w:sz w:val="30"/>
          <w:szCs w:val="20"/>
          <w14:textFill>
            <w14:solidFill>
              <w14:schemeClr w14:val="tx1"/>
            </w14:solidFill>
          </w14:textFill>
        </w:rPr>
        <w:t>术</w:t>
      </w:r>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语</w:t>
      </w:r>
      <w:bookmarkEnd w:id="97"/>
      <w:bookmarkEnd w:id="98"/>
      <w:bookmarkEnd w:id="99"/>
      <w:bookmarkEnd w:id="100"/>
      <w:bookmarkEnd w:id="101"/>
      <w:bookmarkEnd w:id="102"/>
      <w:bookmarkEnd w:id="103"/>
      <w:bookmarkEnd w:id="104"/>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城市特大洪涝灾害 </w:t>
      </w:r>
      <w:r>
        <w:rPr>
          <w:rFonts w:ascii="Times New Roman" w:hAnsi="Times New Roman" w:eastAsia="宋体" w:cs="Times New Roman"/>
          <w:color w:val="000000" w:themeColor="text1"/>
          <w:sz w:val="24"/>
          <w:szCs w:val="24"/>
          <w14:textFill>
            <w14:solidFill>
              <w14:schemeClr w14:val="tx1"/>
            </w14:solidFill>
          </w14:textFill>
        </w:rPr>
        <w:t xml:space="preserve">   urban extreme flood disaster</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由持续性暴雨或流域性洪水（风暴潮）或两者叠加作用等自然因素</w:t>
      </w:r>
      <w:r>
        <w:rPr>
          <w:rFonts w:ascii="Times New Roman" w:hAnsi="Times New Roman" w:eastAsia="宋体" w:cs="Times New Roman"/>
          <w:color w:val="000000" w:themeColor="text1"/>
          <w:sz w:val="24"/>
          <w:szCs w:val="24"/>
          <w14:textFill>
            <w14:solidFill>
              <w14:schemeClr w14:val="tx1"/>
            </w14:solidFill>
          </w14:textFill>
        </w:rPr>
        <w:t>引致</w:t>
      </w:r>
      <w:r>
        <w:rPr>
          <w:rFonts w:hint="eastAsia" w:ascii="Times New Roman" w:hAnsi="Times New Roman" w:eastAsia="宋体" w:cs="Times New Roman"/>
          <w:color w:val="000000" w:themeColor="text1"/>
          <w:sz w:val="24"/>
          <w:szCs w:val="24"/>
          <w14:textFill>
            <w14:solidFill>
              <w14:schemeClr w14:val="tx1"/>
            </w14:solidFill>
          </w14:textFill>
        </w:rPr>
        <w:t>，超过了城市防洪标准或内涝防治标准，较长历时内在较大范围对城市造成严重破坏、损失的洪涝灾害。</w:t>
      </w:r>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城市特大洪涝灾害链综合风险评估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c</w:t>
      </w:r>
      <w:r>
        <w:rPr>
          <w:rFonts w:ascii="Times New Roman" w:hAnsi="Times New Roman" w:eastAsia="宋体" w:cs="Times New Roman"/>
          <w:color w:val="000000" w:themeColor="text1"/>
          <w:sz w:val="24"/>
          <w:szCs w:val="24"/>
          <w14:textFill>
            <w14:solidFill>
              <w14:schemeClr w14:val="tx1"/>
            </w14:solidFill>
          </w14:textFill>
        </w:rPr>
        <w:t xml:space="preserve">omprehensive </w:t>
      </w:r>
      <w:r>
        <w:rPr>
          <w:rFonts w:hint="eastAsia"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14:textFill>
            <w14:solidFill>
              <w14:schemeClr w14:val="tx1"/>
            </w14:solidFill>
          </w14:textFill>
        </w:rPr>
        <w:t xml:space="preserve">isk </w:t>
      </w:r>
      <w:r>
        <w:rPr>
          <w:rFonts w:hint="eastAsia" w:ascii="Times New Roman" w:hAnsi="Times New Roman" w:eastAsia="宋体" w:cs="Times New Roman"/>
          <w:color w:val="000000" w:themeColor="text1"/>
          <w:sz w:val="24"/>
          <w:szCs w:val="24"/>
          <w14:textFill>
            <w14:solidFill>
              <w14:schemeClr w14:val="tx1"/>
            </w14:solidFill>
          </w14:textFill>
        </w:rPr>
        <w:t>a</w:t>
      </w:r>
      <w:r>
        <w:rPr>
          <w:rFonts w:ascii="Times New Roman" w:hAnsi="Times New Roman" w:eastAsia="宋体" w:cs="Times New Roman"/>
          <w:color w:val="000000" w:themeColor="text1"/>
          <w:sz w:val="24"/>
          <w:szCs w:val="24"/>
          <w14:textFill>
            <w14:solidFill>
              <w14:schemeClr w14:val="tx1"/>
            </w14:solidFill>
          </w14:textFill>
        </w:rPr>
        <w:t xml:space="preserve">ssessment of </w:t>
      </w:r>
      <w:r>
        <w:rPr>
          <w:rFonts w:hint="eastAsia" w:ascii="Times New Roman" w:hAnsi="Times New Roman" w:eastAsia="宋体" w:cs="Times New Roman"/>
          <w:color w:val="000000" w:themeColor="text1"/>
          <w:sz w:val="24"/>
          <w:szCs w:val="24"/>
          <w14:textFill>
            <w14:solidFill>
              <w14:schemeClr w14:val="tx1"/>
            </w14:solidFill>
          </w14:textFill>
        </w:rPr>
        <w:t>u</w:t>
      </w:r>
      <w:r>
        <w:rPr>
          <w:rFonts w:ascii="Times New Roman" w:hAnsi="Times New Roman" w:eastAsia="宋体" w:cs="Times New Roman"/>
          <w:color w:val="000000" w:themeColor="text1"/>
          <w:sz w:val="24"/>
          <w:szCs w:val="24"/>
          <w14:textFill>
            <w14:solidFill>
              <w14:schemeClr w14:val="tx1"/>
            </w14:solidFill>
          </w14:textFill>
        </w:rPr>
        <w:t xml:space="preserve">rban </w:t>
      </w:r>
      <w:r>
        <w:rPr>
          <w:rFonts w:hint="eastAsia" w:ascii="Times New Roman" w:hAnsi="Times New Roman" w:eastAsia="宋体" w:cs="Times New Roman"/>
          <w:color w:val="000000" w:themeColor="text1"/>
          <w:sz w:val="24"/>
          <w:szCs w:val="24"/>
          <w14:textFill>
            <w14:solidFill>
              <w14:schemeClr w14:val="tx1"/>
            </w14:solidFill>
          </w14:textFill>
        </w:rPr>
        <w:t>e</w:t>
      </w:r>
      <w:r>
        <w:rPr>
          <w:rFonts w:ascii="Times New Roman" w:hAnsi="Times New Roman" w:eastAsia="宋体" w:cs="Times New Roman"/>
          <w:color w:val="000000" w:themeColor="text1"/>
          <w:sz w:val="24"/>
          <w:szCs w:val="24"/>
          <w14:textFill>
            <w14:solidFill>
              <w14:schemeClr w14:val="tx1"/>
            </w14:solidFill>
          </w14:textFill>
        </w:rPr>
        <w:t xml:space="preserve">xtreme </w:t>
      </w:r>
      <w:r>
        <w:rPr>
          <w:rFonts w:hint="eastAsia" w:ascii="Times New Roman" w:hAnsi="Times New Roman" w:eastAsia="宋体" w:cs="Times New Roman"/>
          <w:color w:val="000000" w:themeColor="text1"/>
          <w:sz w:val="24"/>
          <w:szCs w:val="24"/>
          <w14:textFill>
            <w14:solidFill>
              <w14:schemeClr w14:val="tx1"/>
            </w14:solidFill>
          </w14:textFill>
        </w:rPr>
        <w:t>f</w:t>
      </w:r>
      <w:r>
        <w:rPr>
          <w:rFonts w:ascii="Times New Roman" w:hAnsi="Times New Roman" w:eastAsia="宋体" w:cs="Times New Roman"/>
          <w:color w:val="000000" w:themeColor="text1"/>
          <w:sz w:val="24"/>
          <w:szCs w:val="24"/>
          <w14:textFill>
            <w14:solidFill>
              <w14:schemeClr w14:val="tx1"/>
            </w14:solidFill>
          </w14:textFill>
        </w:rPr>
        <w:t xml:space="preserve">lood </w:t>
      </w:r>
      <w:r>
        <w:rPr>
          <w:rFonts w:hint="eastAsia" w:ascii="Times New Roman" w:hAnsi="Times New Roman" w:eastAsia="宋体" w:cs="Times New Roman"/>
          <w:color w:val="000000" w:themeColor="text1"/>
          <w:sz w:val="24"/>
          <w:szCs w:val="24"/>
          <w14:textFill>
            <w14:solidFill>
              <w14:schemeClr w14:val="tx1"/>
            </w14:solidFill>
          </w14:textFill>
        </w:rPr>
        <w:t>d</w:t>
      </w:r>
      <w:r>
        <w:rPr>
          <w:rFonts w:ascii="Times New Roman" w:hAnsi="Times New Roman" w:eastAsia="宋体" w:cs="Times New Roman"/>
          <w:color w:val="000000" w:themeColor="text1"/>
          <w:sz w:val="24"/>
          <w:szCs w:val="24"/>
          <w14:textFill>
            <w14:solidFill>
              <w14:schemeClr w14:val="tx1"/>
            </w14:solidFill>
          </w14:textFill>
        </w:rPr>
        <w:t xml:space="preserve">isaster </w:t>
      </w:r>
      <w:r>
        <w:rPr>
          <w:rFonts w:hint="eastAsia" w:ascii="Times New Roman" w:hAnsi="Times New Roman" w:eastAsia="宋体" w:cs="Times New Roman"/>
          <w:color w:val="000000" w:themeColor="text1"/>
          <w:sz w:val="24"/>
          <w:szCs w:val="24"/>
          <w14:textFill>
            <w14:solidFill>
              <w14:schemeClr w14:val="tx1"/>
            </w14:solidFill>
          </w14:textFill>
        </w:rPr>
        <w:t>c</w:t>
      </w:r>
      <w:r>
        <w:rPr>
          <w:rFonts w:ascii="Times New Roman" w:hAnsi="Times New Roman" w:eastAsia="宋体" w:cs="Times New Roman"/>
          <w:color w:val="000000" w:themeColor="text1"/>
          <w:sz w:val="24"/>
          <w:szCs w:val="24"/>
          <w14:textFill>
            <w14:solidFill>
              <w14:schemeClr w14:val="tx1"/>
            </w14:solidFill>
          </w14:textFill>
        </w:rPr>
        <w:t>hains</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所在地区历史上发生过的极端灾害情况和模拟分析结果，综合考虑致灾因子危险性、孕灾环境敏感性和承灾体脆弱性等，对城市特大洪涝灾害及其链生灾害风险进行评价的过程。本标准规定的评估内容包括洪涝积水风险评估、城市洪涝脆弱性评估、洪涝灾害链综合风险评估和承灾体受淹风险评估。</w:t>
      </w:r>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城市特大洪涝灾害链综合风险图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c</w:t>
      </w:r>
      <w:r>
        <w:rPr>
          <w:rFonts w:ascii="Times New Roman" w:hAnsi="Times New Roman" w:eastAsia="宋体" w:cs="Times New Roman"/>
          <w:color w:val="000000" w:themeColor="text1"/>
          <w:sz w:val="24"/>
          <w:szCs w:val="24"/>
          <w14:textFill>
            <w14:solidFill>
              <w14:schemeClr w14:val="tx1"/>
            </w14:solidFill>
          </w14:textFill>
        </w:rPr>
        <w:t xml:space="preserve">omprehensive </w:t>
      </w:r>
      <w:r>
        <w:rPr>
          <w:rFonts w:hint="eastAsia" w:ascii="Times New Roman" w:hAnsi="Times New Roman" w:eastAsia="宋体" w:cs="Times New Roman"/>
          <w:color w:val="000000" w:themeColor="text1"/>
          <w:sz w:val="24"/>
          <w:szCs w:val="24"/>
          <w14:textFill>
            <w14:solidFill>
              <w14:schemeClr w14:val="tx1"/>
            </w14:solidFill>
          </w14:textFill>
        </w:rPr>
        <w:t>r</w:t>
      </w:r>
      <w:r>
        <w:rPr>
          <w:rFonts w:ascii="Times New Roman" w:hAnsi="Times New Roman" w:eastAsia="宋体" w:cs="Times New Roman"/>
          <w:color w:val="000000" w:themeColor="text1"/>
          <w:sz w:val="24"/>
          <w:szCs w:val="24"/>
          <w14:textFill>
            <w14:solidFill>
              <w14:schemeClr w14:val="tx1"/>
            </w14:solidFill>
          </w14:textFill>
        </w:rPr>
        <w:t xml:space="preserve">isk </w:t>
      </w:r>
      <w:r>
        <w:rPr>
          <w:rFonts w:hint="eastAsia"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14:textFill>
            <w14:solidFill>
              <w14:schemeClr w14:val="tx1"/>
            </w14:solidFill>
          </w14:textFill>
        </w:rPr>
        <w:t xml:space="preserve">ap of </w:t>
      </w:r>
      <w:r>
        <w:rPr>
          <w:rFonts w:hint="eastAsia" w:ascii="Times New Roman" w:hAnsi="Times New Roman" w:eastAsia="宋体" w:cs="Times New Roman"/>
          <w:color w:val="000000" w:themeColor="text1"/>
          <w:sz w:val="24"/>
          <w:szCs w:val="24"/>
          <w14:textFill>
            <w14:solidFill>
              <w14:schemeClr w14:val="tx1"/>
            </w14:solidFill>
          </w14:textFill>
        </w:rPr>
        <w:t>u</w:t>
      </w:r>
      <w:r>
        <w:rPr>
          <w:rFonts w:ascii="Times New Roman" w:hAnsi="Times New Roman" w:eastAsia="宋体" w:cs="Times New Roman"/>
          <w:color w:val="000000" w:themeColor="text1"/>
          <w:sz w:val="24"/>
          <w:szCs w:val="24"/>
          <w14:textFill>
            <w14:solidFill>
              <w14:schemeClr w14:val="tx1"/>
            </w14:solidFill>
          </w14:textFill>
        </w:rPr>
        <w:t xml:space="preserve">rban </w:t>
      </w:r>
      <w:r>
        <w:rPr>
          <w:rFonts w:hint="eastAsia" w:ascii="Times New Roman" w:hAnsi="Times New Roman" w:eastAsia="宋体" w:cs="Times New Roman"/>
          <w:color w:val="000000" w:themeColor="text1"/>
          <w:sz w:val="24"/>
          <w:szCs w:val="24"/>
          <w14:textFill>
            <w14:solidFill>
              <w14:schemeClr w14:val="tx1"/>
            </w14:solidFill>
          </w14:textFill>
        </w:rPr>
        <w:t>e</w:t>
      </w:r>
      <w:r>
        <w:rPr>
          <w:rFonts w:ascii="Times New Roman" w:hAnsi="Times New Roman" w:eastAsia="宋体" w:cs="Times New Roman"/>
          <w:color w:val="000000" w:themeColor="text1"/>
          <w:sz w:val="24"/>
          <w:szCs w:val="24"/>
          <w14:textFill>
            <w14:solidFill>
              <w14:schemeClr w14:val="tx1"/>
            </w14:solidFill>
          </w14:textFill>
        </w:rPr>
        <w:t xml:space="preserve">xtreme </w:t>
      </w:r>
      <w:r>
        <w:rPr>
          <w:rFonts w:hint="eastAsia" w:ascii="Times New Roman" w:hAnsi="Times New Roman" w:eastAsia="宋体" w:cs="Times New Roman"/>
          <w:color w:val="000000" w:themeColor="text1"/>
          <w:sz w:val="24"/>
          <w:szCs w:val="24"/>
          <w14:textFill>
            <w14:solidFill>
              <w14:schemeClr w14:val="tx1"/>
            </w14:solidFill>
          </w14:textFill>
        </w:rPr>
        <w:t>f</w:t>
      </w:r>
      <w:r>
        <w:rPr>
          <w:rFonts w:ascii="Times New Roman" w:hAnsi="Times New Roman" w:eastAsia="宋体" w:cs="Times New Roman"/>
          <w:color w:val="000000" w:themeColor="text1"/>
          <w:sz w:val="24"/>
          <w:szCs w:val="24"/>
          <w14:textFill>
            <w14:solidFill>
              <w14:schemeClr w14:val="tx1"/>
            </w14:solidFill>
          </w14:textFill>
        </w:rPr>
        <w:t xml:space="preserve">lood </w:t>
      </w:r>
      <w:r>
        <w:rPr>
          <w:rFonts w:hint="eastAsia" w:ascii="Times New Roman" w:hAnsi="Times New Roman" w:eastAsia="宋体" w:cs="Times New Roman"/>
          <w:color w:val="000000" w:themeColor="text1"/>
          <w:sz w:val="24"/>
          <w:szCs w:val="24"/>
          <w14:textFill>
            <w14:solidFill>
              <w14:schemeClr w14:val="tx1"/>
            </w14:solidFill>
          </w14:textFill>
        </w:rPr>
        <w:t>d</w:t>
      </w:r>
      <w:r>
        <w:rPr>
          <w:rFonts w:ascii="Times New Roman" w:hAnsi="Times New Roman" w:eastAsia="宋体" w:cs="Times New Roman"/>
          <w:color w:val="000000" w:themeColor="text1"/>
          <w:sz w:val="24"/>
          <w:szCs w:val="24"/>
          <w14:textFill>
            <w14:solidFill>
              <w14:schemeClr w14:val="tx1"/>
            </w14:solidFill>
          </w14:textFill>
        </w:rPr>
        <w:t xml:space="preserve">isaster </w:t>
      </w:r>
      <w:r>
        <w:rPr>
          <w:rFonts w:hint="eastAsia" w:ascii="Times New Roman" w:hAnsi="Times New Roman" w:eastAsia="宋体" w:cs="Times New Roman"/>
          <w:color w:val="000000" w:themeColor="text1"/>
          <w:sz w:val="24"/>
          <w:szCs w:val="24"/>
          <w14:textFill>
            <w14:solidFill>
              <w14:schemeClr w14:val="tx1"/>
            </w14:solidFill>
          </w14:textFill>
        </w:rPr>
        <w:t>c</w:t>
      </w:r>
      <w:r>
        <w:rPr>
          <w:rFonts w:ascii="Times New Roman" w:hAnsi="Times New Roman" w:eastAsia="宋体" w:cs="Times New Roman"/>
          <w:color w:val="000000" w:themeColor="text1"/>
          <w:sz w:val="24"/>
          <w:szCs w:val="24"/>
          <w14:textFill>
            <w14:solidFill>
              <w14:schemeClr w14:val="tx1"/>
            </w14:solidFill>
          </w14:textFill>
        </w:rPr>
        <w:t>hains</w:t>
      </w:r>
    </w:p>
    <w:p>
      <w:pPr>
        <w:widowControl/>
        <w:adjustRightInd w:val="0"/>
        <w:snapToGrid w:val="0"/>
        <w:spacing w:line="360" w:lineRule="auto"/>
        <w:ind w:firstLine="480" w:firstLineChars="200"/>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表征某一地区城市特大洪涝灾害链综合风险程度高低分级的专题地图，本标准规定的风险图包括洪涝积水风险图、城市洪涝脆弱性风险图、洪涝灾害链综合风险图和承灾体受淹风险图四部分内容。</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城镇内涝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urban flooding</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城镇范围内的强降雨或连续性降雨超过城镇雨水设施消纳能力，导致城镇地面产生积水灾害的现象。</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洪涝风险评估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urban flood</w:t>
      </w:r>
      <w:r>
        <w:rPr>
          <w:rFonts w:ascii="Times New Roman" w:hAnsi="Times New Roman" w:eastAsia="宋体" w:cs="Times New Roman"/>
          <w:color w:val="000000" w:themeColor="text1"/>
          <w:sz w:val="24"/>
          <w:szCs w:val="24"/>
          <w14:textFill>
            <w14:solidFill>
              <w14:schemeClr w14:val="tx1"/>
            </w14:solidFill>
          </w14:textFill>
        </w:rPr>
        <w:t xml:space="preserve"> risk assessment</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基于历史记录数据与模型模拟等手段，分析计算不同降雨条件下，洪涝灾害影响下的城市积水风险要素（淹没范围、淹没水深、洪水流速、淹没历时/退水时间</w:t>
      </w:r>
      <w:r>
        <w:rPr>
          <w:rFonts w:hint="eastAsia" w:ascii="Times New Roman" w:hAnsi="Times New Roman" w:eastAsia="宋体" w:cs="Times New Roman"/>
          <w:color w:val="000000" w:themeColor="text1"/>
          <w:sz w:val="24"/>
          <w:szCs w:val="24"/>
          <w14:textFill>
            <w14:solidFill>
              <w14:schemeClr w14:val="tx1"/>
            </w14:solidFill>
          </w14:textFill>
        </w:rPr>
        <w:t>等</w:t>
      </w:r>
      <w:r>
        <w:rPr>
          <w:rFonts w:ascii="Times New Roman" w:hAnsi="Times New Roman" w:eastAsia="宋体" w:cs="Times New Roman"/>
          <w:color w:val="000000" w:themeColor="text1"/>
          <w:sz w:val="24"/>
          <w:szCs w:val="24"/>
          <w14:textFill>
            <w14:solidFill>
              <w14:schemeClr w14:val="tx1"/>
            </w14:solidFill>
          </w14:textFill>
        </w:rPr>
        <w:t>）的演变特征情况</w:t>
      </w:r>
      <w:r>
        <w:rPr>
          <w:rFonts w:hint="eastAsia" w:ascii="Times New Roman" w:hAnsi="Times New Roman" w:eastAsia="宋体" w:cs="Times New Roman"/>
          <w:color w:val="000000" w:themeColor="text1"/>
          <w:sz w:val="24"/>
          <w:szCs w:val="24"/>
          <w14:textFill>
            <w14:solidFill>
              <w14:schemeClr w14:val="tx1"/>
            </w14:solidFill>
          </w14:textFill>
        </w:rPr>
        <w:t>。</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洪涝风险等级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urban flood</w:t>
      </w:r>
      <w:r>
        <w:rPr>
          <w:rFonts w:ascii="Times New Roman" w:hAnsi="Times New Roman" w:eastAsia="宋体" w:cs="Times New Roman"/>
          <w:color w:val="000000" w:themeColor="text1"/>
          <w:sz w:val="24"/>
          <w:szCs w:val="24"/>
          <w14:textFill>
            <w14:solidFill>
              <w14:schemeClr w14:val="tx1"/>
            </w14:solidFill>
          </w14:textFill>
        </w:rPr>
        <w:t xml:space="preserve"> risk level</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针对洪涝灾害影响下，根据城市洪涝危害程度和影响范围（通过积水深度和退水时间等指标）来评估城市洪涝所带来的风险等级。</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bookmarkStart w:id="105" w:name="_Toc30058526"/>
      <w:bookmarkEnd w:id="105"/>
      <w:bookmarkStart w:id="106" w:name="_Toc30058525"/>
      <w:bookmarkEnd w:id="106"/>
      <w:bookmarkStart w:id="107" w:name="_Toc30058527"/>
      <w:bookmarkEnd w:id="107"/>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洪涝风险区划</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urban flood</w:t>
      </w:r>
      <w:r>
        <w:rPr>
          <w:rFonts w:ascii="Times New Roman" w:hAnsi="Times New Roman" w:eastAsia="宋体" w:cs="Times New Roman"/>
          <w:color w:val="000000" w:themeColor="text1"/>
          <w:sz w:val="24"/>
          <w:szCs w:val="24"/>
          <w14:textFill>
            <w14:solidFill>
              <w14:schemeClr w14:val="tx1"/>
            </w14:solidFill>
          </w14:textFill>
        </w:rPr>
        <w:t xml:space="preserve"> risk zone</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利用卫星遥感等地理空间信息技术、水文水动力机理数学模型、大数据分析等手段对下垫面、地形地貌、水系、河道、水文、气象及地下管网等多因素进行综合分析，基于自然灾害风险程度和承灾体应保护程度，将城市区域划分为不同的洪涝积水风险单元，并确定不同风险等级。</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风险普查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risk investigation</w:t>
      </w:r>
    </w:p>
    <w:p>
      <w:pPr>
        <w:adjustRightInd w:val="0"/>
        <w:snapToGrid w:val="0"/>
        <w:spacing w:line="360" w:lineRule="auto"/>
        <w:ind w:firstLine="600" w:firstLineChars="2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对洪涝灾害风险产生的致灾因子及其危害性、承灾体及其脆弱性、防灾减灾能力等相关重要信息的收集与调查。</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生命线工程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 lifeline engineering</w:t>
      </w:r>
    </w:p>
    <w:p>
      <w:pPr>
        <w:widowControl/>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维系城市与区域的经济、社会功能的基础性工程设施与系统，主要包括电力、交通、通信、给排水、燃气热力、供油等系统。</w:t>
      </w:r>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特大洪涝灾害链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extreme flood disaster</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chain</w:t>
      </w:r>
    </w:p>
    <w:p>
      <w:pPr>
        <w:adjustRightInd w:val="0"/>
        <w:snapToGrid w:val="0"/>
        <w:spacing w:line="360" w:lineRule="auto"/>
        <w:ind w:firstLine="480" w:firstLineChars="200"/>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由持续性暴雨或流域性洪水（风暴潮）或两者叠加作用等自然因素</w:t>
      </w:r>
      <w:r>
        <w:rPr>
          <w:rFonts w:ascii="Times New Roman" w:hAnsi="Times New Roman" w:eastAsia="宋体" w:cs="Times New Roman"/>
          <w:color w:val="000000" w:themeColor="text1"/>
          <w:sz w:val="24"/>
          <w:szCs w:val="24"/>
          <w14:textFill>
            <w14:solidFill>
              <w14:schemeClr w14:val="tx1"/>
            </w14:solidFill>
          </w14:textFill>
        </w:rPr>
        <w:t>引致</w:t>
      </w:r>
      <w:r>
        <w:rPr>
          <w:rFonts w:hint="eastAsia" w:ascii="Times New Roman" w:hAnsi="Times New Roman" w:eastAsia="宋体" w:cs="Times New Roman"/>
          <w:color w:val="000000" w:themeColor="text1"/>
          <w:sz w:val="24"/>
          <w:szCs w:val="24"/>
          <w14:textFill>
            <w14:solidFill>
              <w14:schemeClr w14:val="tx1"/>
            </w14:solidFill>
          </w14:textFill>
        </w:rPr>
        <w:t>，超过了城市防洪标准或内涝防治标准，较长历时内在较大范围对城市造成严重破坏、损失的洪涝灾害</w:t>
      </w:r>
      <w:r>
        <w:rPr>
          <w:rFonts w:ascii="Times New Roman" w:hAnsi="Times New Roman" w:eastAsia="宋体" w:cs="Times New Roman"/>
          <w:color w:val="000000" w:themeColor="text1"/>
          <w:spacing w:val="8"/>
          <w:kern w:val="0"/>
          <w:sz w:val="24"/>
          <w:szCs w:val="24"/>
          <w14:textFill>
            <w14:solidFill>
              <w14:schemeClr w14:val="tx1"/>
            </w14:solidFill>
          </w14:textFill>
        </w:rPr>
        <w:t>及其引起的一种或多种次生灾害所构成的灾害演化过程。多种灾害叠加可能引发群发性灾害或链式传递效应。本标准仅针对由城市</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特大</w:t>
      </w:r>
      <w:r>
        <w:rPr>
          <w:rFonts w:ascii="Times New Roman" w:hAnsi="Times New Roman" w:eastAsia="宋体" w:cs="Times New Roman"/>
          <w:color w:val="000000" w:themeColor="text1"/>
          <w:spacing w:val="8"/>
          <w:kern w:val="0"/>
          <w:sz w:val="24"/>
          <w:szCs w:val="24"/>
          <w14:textFill>
            <w14:solidFill>
              <w14:schemeClr w14:val="tx1"/>
            </w14:solidFill>
          </w14:textFill>
        </w:rPr>
        <w:t>洪涝</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灾害</w:t>
      </w:r>
      <w:r>
        <w:rPr>
          <w:rFonts w:ascii="Times New Roman" w:hAnsi="Times New Roman" w:eastAsia="宋体" w:cs="Times New Roman"/>
          <w:color w:val="000000" w:themeColor="text1"/>
          <w:spacing w:val="8"/>
          <w:kern w:val="0"/>
          <w:sz w:val="24"/>
          <w:szCs w:val="24"/>
          <w14:textFill>
            <w14:solidFill>
              <w14:schemeClr w14:val="tx1"/>
            </w14:solidFill>
          </w14:textFill>
        </w:rPr>
        <w:t>引发的</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地质灾害、地下空间受淹、生命线</w:t>
      </w:r>
      <w:r>
        <w:rPr>
          <w:rFonts w:ascii="Times New Roman" w:hAnsi="Times New Roman" w:eastAsia="宋体" w:cs="Times New Roman"/>
          <w:color w:val="000000" w:themeColor="text1"/>
          <w:spacing w:val="8"/>
          <w:kern w:val="0"/>
          <w:sz w:val="24"/>
          <w:szCs w:val="24"/>
          <w14:textFill>
            <w14:solidFill>
              <w14:schemeClr w14:val="tx1"/>
            </w14:solidFill>
          </w14:textFill>
        </w:rPr>
        <w:t>基础设施</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受淹</w:t>
      </w:r>
      <w:r>
        <w:rPr>
          <w:rFonts w:ascii="Times New Roman" w:hAnsi="Times New Roman" w:eastAsia="宋体" w:cs="Times New Roman"/>
          <w:color w:val="000000" w:themeColor="text1"/>
          <w:spacing w:val="8"/>
          <w:kern w:val="0"/>
          <w:sz w:val="24"/>
          <w:szCs w:val="24"/>
          <w14:textFill>
            <w14:solidFill>
              <w14:schemeClr w14:val="tx1"/>
            </w14:solidFill>
          </w14:textFill>
        </w:rPr>
        <w:t>、</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遇水反应</w:t>
      </w:r>
      <w:r>
        <w:rPr>
          <w:rFonts w:ascii="Times New Roman" w:hAnsi="Times New Roman" w:eastAsia="宋体" w:cs="Times New Roman"/>
          <w:color w:val="000000" w:themeColor="text1"/>
          <w:spacing w:val="8"/>
          <w:kern w:val="0"/>
          <w:sz w:val="24"/>
          <w:szCs w:val="24"/>
          <w14:textFill>
            <w14:solidFill>
              <w14:schemeClr w14:val="tx1"/>
            </w14:solidFill>
          </w14:textFill>
        </w:rPr>
        <w:t>化工品</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受淹</w:t>
      </w:r>
      <w:r>
        <w:rPr>
          <w:rFonts w:ascii="Times New Roman" w:hAnsi="Times New Roman" w:eastAsia="宋体" w:cs="Times New Roman"/>
          <w:color w:val="000000" w:themeColor="text1"/>
          <w:spacing w:val="8"/>
          <w:kern w:val="0"/>
          <w:sz w:val="24"/>
          <w:szCs w:val="24"/>
          <w14:textFill>
            <w14:solidFill>
              <w14:schemeClr w14:val="tx1"/>
            </w14:solidFill>
          </w14:textFill>
        </w:rPr>
        <w:t>等链生灾害进行规定。</w:t>
      </w:r>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孕灾环境</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disaster-formative environment</w:t>
      </w:r>
    </w:p>
    <w:p>
      <w:pPr>
        <w:adjustRightInd w:val="0"/>
        <w:snapToGrid w:val="0"/>
        <w:spacing w:line="360" w:lineRule="auto"/>
        <w:ind w:firstLine="512" w:firstLineChars="200"/>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pacing w:val="8"/>
          <w:kern w:val="0"/>
          <w:sz w:val="24"/>
          <w:szCs w:val="24"/>
          <w14:textFill>
            <w14:solidFill>
              <w14:schemeClr w14:val="tx1"/>
            </w14:solidFill>
          </w14:textFill>
        </w:rPr>
        <w:t>由自然与人文环境所组成的综合地球表层环境以及在此环境中的一系列物质循环、能量流动以及信息与价值流动的过程一响应关系。</w:t>
      </w:r>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致灾因子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disaster-causing factors</w:t>
      </w:r>
    </w:p>
    <w:p>
      <w:pPr>
        <w:adjustRightInd w:val="0"/>
        <w:snapToGrid w:val="0"/>
        <w:spacing w:line="360" w:lineRule="auto"/>
        <w:ind w:firstLine="512" w:firstLineChars="200"/>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可能引发城市特大洪涝灾害，并导致人员伤亡、</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经济</w:t>
      </w:r>
      <w:r>
        <w:rPr>
          <w:rFonts w:ascii="Times New Roman" w:hAnsi="Times New Roman" w:eastAsia="宋体" w:cs="Times New Roman"/>
          <w:color w:val="000000" w:themeColor="text1"/>
          <w:spacing w:val="8"/>
          <w:kern w:val="0"/>
          <w:sz w:val="24"/>
          <w:szCs w:val="24"/>
          <w14:textFill>
            <w14:solidFill>
              <w14:schemeClr w14:val="tx1"/>
            </w14:solidFill>
          </w14:textFill>
        </w:rPr>
        <w:t>损失、资源破坏和社会功能紊乱的风险因素。</w:t>
      </w:r>
    </w:p>
    <w:p>
      <w:pPr>
        <w:widowControl/>
        <w:numPr>
          <w:ilvl w:val="2"/>
          <w:numId w:val="1"/>
        </w:numPr>
        <w:adjustRightInd w:val="0"/>
        <w:snapToGrid w:val="0"/>
        <w:spacing w:line="360" w:lineRule="auto"/>
        <w:rPr>
          <w:rFonts w:ascii="Times New Roman" w:hAnsi="Times New Roman" w:eastAsia="宋体" w:cs="Times New Roman"/>
          <w:color w:val="000000" w:themeColor="text1"/>
          <w:spacing w:val="8"/>
          <w:kern w:val="0"/>
          <w:sz w:val="24"/>
          <w:szCs w:val="24"/>
          <w14:textFill>
            <w14:solidFill>
              <w14:schemeClr w14:val="tx1"/>
            </w14:solidFill>
          </w14:textFill>
        </w:rPr>
      </w:pP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w:t>
      </w:r>
      <w:r>
        <w:rPr>
          <w:rFonts w:hint="eastAsia" w:ascii="Times New Roman" w:hAnsi="Times New Roman" w:eastAsia="宋体" w:cs="Times New Roman"/>
          <w:color w:val="000000" w:themeColor="text1"/>
          <w:spacing w:val="8"/>
          <w:kern w:val="0"/>
          <w:sz w:val="24"/>
          <w:szCs w:val="24"/>
          <w14:textFill>
            <w14:solidFill>
              <w14:schemeClr w14:val="tx1"/>
            </w14:solidFill>
          </w14:textFill>
        </w:rPr>
        <w:t xml:space="preserve">承灾体 </w:t>
      </w:r>
      <w:r>
        <w:rPr>
          <w:rFonts w:ascii="Times New Roman" w:hAnsi="Times New Roman" w:eastAsia="宋体" w:cs="Times New Roman"/>
          <w:color w:val="000000" w:themeColor="text1"/>
          <w:spacing w:val="8"/>
          <w:kern w:val="0"/>
          <w:sz w:val="24"/>
          <w:szCs w:val="24"/>
          <w14:textFill>
            <w14:solidFill>
              <w14:schemeClr w14:val="tx1"/>
            </w14:solidFill>
          </w14:textFill>
        </w:rPr>
        <w:t xml:space="preserve">   disaster-bearing body</w:t>
      </w:r>
    </w:p>
    <w:p>
      <w:pPr>
        <w:adjustRightInd w:val="0"/>
        <w:snapToGrid w:val="0"/>
        <w:spacing w:line="360" w:lineRule="auto"/>
        <w:ind w:firstLine="512" w:firstLineChars="200"/>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受灾区域内直接受到灾害影响的对象，包括城市系统、环境、生态、人口、基础设施等。</w:t>
      </w:r>
    </w:p>
    <w:p>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6" w:h="16838"/>
          <w:pgMar w:top="1440" w:right="1797" w:bottom="1440" w:left="1797" w:header="851" w:footer="283" w:gutter="0"/>
          <w:cols w:space="425" w:num="1"/>
          <w:docGrid w:type="lines" w:linePitch="381" w:charSpace="0"/>
        </w:sectPr>
      </w:pPr>
    </w:p>
    <w:p>
      <w:pPr>
        <w:pStyle w:val="2"/>
        <w:spacing w:before="340" w:beforeLines="0" w:after="330" w:afterLines="0" w:line="578" w:lineRule="auto"/>
        <w:rPr>
          <w:color w:val="000000" w:themeColor="text1"/>
          <w:spacing w:val="0"/>
          <w:kern w:val="44"/>
          <w:sz w:val="30"/>
          <w:szCs w:val="20"/>
          <w14:textFill>
            <w14:solidFill>
              <w14:schemeClr w14:val="tx1"/>
            </w14:solidFill>
          </w14:textFill>
        </w:rPr>
      </w:pPr>
      <w:bookmarkStart w:id="108" w:name="_Toc201078646"/>
      <w:bookmarkStart w:id="109" w:name="_Toc201223961"/>
      <w:bookmarkStart w:id="110" w:name="_Toc49783209"/>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w:t>
      </w:r>
      <w:bookmarkStart w:id="111" w:name="_Toc201743613"/>
      <w:bookmarkStart w:id="112" w:name="_Toc201745739"/>
      <w:bookmarkStart w:id="113" w:name="_Toc201743715"/>
      <w:bookmarkStart w:id="114" w:name="_Toc201743664"/>
      <w:r>
        <w:rPr>
          <w:rFonts w:hint="eastAsia"/>
          <w:color w:val="000000" w:themeColor="text1"/>
          <w:spacing w:val="0"/>
          <w:kern w:val="44"/>
          <w:sz w:val="30"/>
          <w:szCs w:val="20"/>
          <w14:textFill>
            <w14:solidFill>
              <w14:schemeClr w14:val="tx1"/>
            </w14:solidFill>
          </w14:textFill>
        </w:rPr>
        <w:t>洪涝</w:t>
      </w:r>
      <w:r>
        <w:rPr>
          <w:color w:val="000000" w:themeColor="text1"/>
          <w:spacing w:val="0"/>
          <w:kern w:val="44"/>
          <w:sz w:val="30"/>
          <w:szCs w:val="20"/>
          <w14:textFill>
            <w14:solidFill>
              <w14:schemeClr w14:val="tx1"/>
            </w14:solidFill>
          </w14:textFill>
        </w:rPr>
        <w:t>积水风险评</w:t>
      </w:r>
      <w:r>
        <w:rPr>
          <w:rFonts w:hint="eastAsia"/>
          <w:color w:val="000000" w:themeColor="text1"/>
          <w:spacing w:val="0"/>
          <w:kern w:val="44"/>
          <w:sz w:val="30"/>
          <w:szCs w:val="20"/>
          <w14:textFill>
            <w14:solidFill>
              <w14:schemeClr w14:val="tx1"/>
            </w14:solidFill>
          </w14:textFill>
        </w:rPr>
        <w:t>估</w:t>
      </w:r>
      <w:bookmarkEnd w:id="108"/>
      <w:bookmarkEnd w:id="109"/>
      <w:bookmarkEnd w:id="111"/>
      <w:bookmarkEnd w:id="112"/>
      <w:bookmarkEnd w:id="113"/>
      <w:bookmarkEnd w:id="114"/>
    </w:p>
    <w:p>
      <w:pPr>
        <w:pStyle w:val="3"/>
        <w:numPr>
          <w:ilvl w:val="1"/>
          <w:numId w:val="6"/>
        </w:numPr>
        <w:rPr>
          <w:color w:val="000000" w:themeColor="text1"/>
          <w14:textFill>
            <w14:solidFill>
              <w14:schemeClr w14:val="tx1"/>
            </w14:solidFill>
          </w14:textFill>
        </w:rPr>
      </w:pPr>
      <w:bookmarkStart w:id="115" w:name="_Toc194301562"/>
      <w:bookmarkStart w:id="116" w:name="_Toc201078647"/>
      <w:bookmarkStart w:id="117" w:name="_Toc201223962"/>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18" w:name="_Toc201743614"/>
      <w:bookmarkStart w:id="119" w:name="_Toc201745740"/>
      <w:bookmarkStart w:id="120" w:name="_Toc201743665"/>
      <w:bookmarkStart w:id="121" w:name="_Toc201743716"/>
      <w:r>
        <w:rPr>
          <w:rFonts w:hint="eastAsia"/>
          <w:color w:val="000000" w:themeColor="text1"/>
          <w14:textFill>
            <w14:solidFill>
              <w14:schemeClr w14:val="tx1"/>
            </w14:solidFill>
          </w14:textFill>
        </w:rPr>
        <w:t xml:space="preserve">一 般 </w:t>
      </w:r>
      <w:r>
        <w:rPr>
          <w:color w:val="000000" w:themeColor="text1"/>
          <w14:textFill>
            <w14:solidFill>
              <w14:schemeClr w14:val="tx1"/>
            </w14:solidFill>
          </w14:textFill>
        </w:rPr>
        <w:t>规</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定</w:t>
      </w:r>
      <w:bookmarkEnd w:id="115"/>
      <w:bookmarkEnd w:id="116"/>
      <w:bookmarkEnd w:id="117"/>
      <w:bookmarkEnd w:id="118"/>
      <w:bookmarkEnd w:id="119"/>
      <w:bookmarkEnd w:id="120"/>
      <w:bookmarkEnd w:id="121"/>
      <w:bookmarkStart w:id="122" w:name="_Toc33627311"/>
      <w:bookmarkStart w:id="123" w:name="_Hlk39079851"/>
      <w:bookmarkStart w:id="124" w:name="_Toc33627750"/>
      <w:bookmarkStart w:id="125" w:name="_Toc33623404"/>
    </w:p>
    <w:bookmarkEnd w:id="122"/>
    <w:bookmarkEnd w:id="123"/>
    <w:bookmarkEnd w:id="124"/>
    <w:bookmarkEnd w:id="125"/>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bookmarkStart w:id="126" w:name="_Toc35348203"/>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洪涝风险分析对象层级划分，按照研究尺度不同，结合各类边界条件对洪涝灾害的影响，应符合下列规定：</w:t>
      </w:r>
    </w:p>
    <w:p>
      <w:pPr>
        <w:pStyle w:val="10"/>
        <w:widowControl/>
        <w:numPr>
          <w:ilvl w:val="0"/>
          <w:numId w:val="7"/>
        </w:numPr>
        <w:snapToGrid w:val="0"/>
        <w:spacing w:after="0" w:line="360" w:lineRule="auto"/>
        <w:ind w:left="0" w:firstLine="360" w:firstLineChars="150"/>
        <w:rPr>
          <w:rFonts w:ascii="宋体" w:hAnsi="宋体" w:cs="宋体"/>
          <w:color w:val="000000" w:themeColor="text1"/>
          <w:kern w:val="0"/>
          <w:sz w:val="24"/>
          <w:lang w:bidi="ar"/>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区域流域层级：</w:t>
      </w:r>
      <w:r>
        <w:rPr>
          <w:rFonts w:ascii="宋体" w:hAnsi="宋体" w:cs="宋体"/>
          <w:color w:val="000000" w:themeColor="text1"/>
          <w:kern w:val="0"/>
          <w:sz w:val="24"/>
          <w:lang w:bidi="ar"/>
          <w14:textFill>
            <w14:solidFill>
              <w14:schemeClr w14:val="tx1"/>
            </w14:solidFill>
          </w14:textFill>
        </w:rPr>
        <w:t>城市建成区所在的区域流域，对城市产汇流有影响的范围，包括上游汇入的山洪，下游受纳水体</w:t>
      </w:r>
      <w:r>
        <w:rPr>
          <w:rFonts w:hint="eastAsia" w:ascii="宋体" w:hAnsi="宋体" w:cs="宋体"/>
          <w:color w:val="000000" w:themeColor="text1"/>
          <w:kern w:val="0"/>
          <w:sz w:val="24"/>
          <w:lang w:bidi="ar"/>
          <w14:textFill>
            <w14:solidFill>
              <w14:schemeClr w14:val="tx1"/>
            </w14:solidFill>
          </w14:textFill>
        </w:rPr>
        <w:t>；</w:t>
      </w:r>
    </w:p>
    <w:p>
      <w:pPr>
        <w:pStyle w:val="10"/>
        <w:widowControl/>
        <w:numPr>
          <w:ilvl w:val="0"/>
          <w:numId w:val="7"/>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城市层级：根据城市所在区域流域特征，划分为平原河网、滨海临江、山地丘陵等；所在下垫面情况，包括地形标高、用地情况、可渗透空间、蓄水空间等；城市排水设施情况，包括内河水系、排水管网、排涝泵站、排涝水闸等；</w:t>
      </w:r>
    </w:p>
    <w:p>
      <w:pPr>
        <w:pStyle w:val="10"/>
        <w:widowControl/>
        <w:numPr>
          <w:ilvl w:val="0"/>
          <w:numId w:val="7"/>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排水分区层级：根据排水管网、河涌水系分布，划分城市内部的排水分区，形成完整的汇水分区；</w:t>
      </w:r>
    </w:p>
    <w:p>
      <w:pPr>
        <w:pStyle w:val="10"/>
        <w:widowControl/>
        <w:numPr>
          <w:ilvl w:val="0"/>
          <w:numId w:val="7"/>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社区层级：以网格化管理为划分单元。</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洪涝积水风险区划的编制过程包括确定编制范围、资料收集与数据处理、选择风险评估方法、计算方案设定、风险评估指标计算、风险等级划分、区划图编制等内容。</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洪涝积水风险区划的编制范围应为城市建成区（图</w:t>
      </w:r>
      <w:r>
        <w:rPr>
          <w:rFonts w:ascii="Times New Roman" w:hAnsi="Times New Roman" w:eastAsia="宋体" w:cs="Times New Roman"/>
          <w:color w:val="000000" w:themeColor="text1"/>
          <w:sz w:val="24"/>
          <w:szCs w:val="24"/>
          <w14:textFill>
            <w14:solidFill>
              <w14:schemeClr w14:val="tx1"/>
            </w14:solidFill>
          </w14:textFill>
        </w:rPr>
        <w:t>3.1.3</w:t>
      </w:r>
      <w:r>
        <w:rPr>
          <w:rFonts w:hint="eastAsia" w:ascii="Times New Roman" w:hAnsi="Times New Roman" w:eastAsia="宋体" w:cs="Times New Roman"/>
          <w:color w:val="000000" w:themeColor="text1"/>
          <w:sz w:val="24"/>
          <w:szCs w:val="24"/>
          <w14:textFill>
            <w14:solidFill>
              <w14:schemeClr w14:val="tx1"/>
            </w14:solidFill>
          </w14:textFill>
        </w:rPr>
        <w:t>），计算对象包含编制区域内的河道、调蓄空间、地下排水管网等排水防涝设施。</w:t>
      </w:r>
    </w:p>
    <w:p>
      <w:pPr>
        <w:pStyle w:val="49"/>
        <w:keepNext/>
        <w:snapToGrid w:val="0"/>
        <w:spacing w:before="0" w:after="0" w:line="240" w:lineRule="auto"/>
        <w:ind w:firstLine="0"/>
        <w:jc w:val="center"/>
        <w:outlineLvl w:val="9"/>
        <w:rPr>
          <w:color w:val="000000" w:themeColor="text1"/>
          <w14:textFill>
            <w14:solidFill>
              <w14:schemeClr w14:val="tx1"/>
            </w14:solidFill>
          </w14:textFill>
        </w:rPr>
      </w:pPr>
      <w:r>
        <w:drawing>
          <wp:inline distT="0" distB="0" distL="0" distR="0">
            <wp:extent cx="4174490" cy="2541905"/>
            <wp:effectExtent l="0" t="0" r="0"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0"/>
                    <a:stretch>
                      <a:fillRect/>
                    </a:stretch>
                  </pic:blipFill>
                  <pic:spPr>
                    <a:xfrm>
                      <a:off x="0" y="0"/>
                      <a:ext cx="4174490" cy="2541905"/>
                    </a:xfrm>
                    <a:prstGeom prst="rect">
                      <a:avLst/>
                    </a:prstGeom>
                  </pic:spPr>
                </pic:pic>
              </a:graphicData>
            </a:graphic>
          </wp:inline>
        </w:drawing>
      </w:r>
    </w:p>
    <w:p>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洪涝积水风险区划编制范围</w:t>
      </w:r>
    </w:p>
    <w:p>
      <w:pPr>
        <w:jc w:val="center"/>
        <w:rPr>
          <w:sz w:val="21"/>
          <w:szCs w:val="21"/>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—建成区范围线；</w:t>
      </w:r>
      <w:r>
        <w:rPr>
          <w:rFonts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—山区汇流；</w:t>
      </w:r>
      <w:r>
        <w:rPr>
          <w:rFonts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—入流边界；</w:t>
      </w:r>
      <w:r>
        <w:rPr>
          <w:rFonts w:ascii="Times New Roman" w:hAnsi="Times New Roman" w:eastAsia="宋体" w:cs="Times New Roman"/>
          <w:color w:val="000000" w:themeColor="text1"/>
          <w:sz w:val="21"/>
          <w:szCs w:val="21"/>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—降雨输入；</w:t>
      </w:r>
      <w:r>
        <w:rPr>
          <w:rFonts w:ascii="Times New Roman" w:hAnsi="Times New Roman" w:eastAsia="宋体" w:cs="Times New Roman"/>
          <w:color w:val="000000" w:themeColor="text1"/>
          <w:sz w:val="21"/>
          <w:szCs w:val="21"/>
          <w14:textFill>
            <w14:solidFill>
              <w14:schemeClr w14:val="tx1"/>
            </w14:solidFill>
          </w14:textFill>
        </w:rPr>
        <w:t>5</w:t>
      </w:r>
      <w:r>
        <w:rPr>
          <w:rFonts w:hint="eastAsia" w:ascii="Times New Roman" w:hAnsi="Times New Roman" w:eastAsia="宋体" w:cs="Times New Roman"/>
          <w:color w:val="000000" w:themeColor="text1"/>
          <w:sz w:val="21"/>
          <w:szCs w:val="21"/>
          <w14:textFill>
            <w14:solidFill>
              <w14:schemeClr w14:val="tx1"/>
            </w14:solidFill>
          </w14:textFill>
        </w:rPr>
        <w:t>—排水；</w:t>
      </w:r>
      <w:r>
        <w:rPr>
          <w:rFonts w:ascii="Times New Roman" w:hAnsi="Times New Roman" w:eastAsia="宋体" w:cs="Times New Roman"/>
          <w:color w:val="000000" w:themeColor="text1"/>
          <w:sz w:val="21"/>
          <w:szCs w:val="21"/>
          <w14:textFill>
            <w14:solidFill>
              <w14:schemeClr w14:val="tx1"/>
            </w14:solidFill>
          </w14:textFill>
        </w:rPr>
        <w:t>6</w:t>
      </w:r>
      <w:r>
        <w:rPr>
          <w:rFonts w:hint="eastAsia" w:ascii="Times New Roman" w:hAnsi="Times New Roman" w:eastAsia="宋体" w:cs="Times New Roman"/>
          <w:color w:val="000000" w:themeColor="text1"/>
          <w:sz w:val="21"/>
          <w:szCs w:val="21"/>
          <w14:textFill>
            <w14:solidFill>
              <w14:schemeClr w14:val="tx1"/>
            </w14:solidFill>
          </w14:textFill>
        </w:rPr>
        <w:t>—编制区域；</w:t>
      </w:r>
      <w:r>
        <w:rPr>
          <w:rFonts w:ascii="Times New Roman" w:hAnsi="Times New Roman" w:eastAsia="宋体" w:cs="Times New Roman"/>
          <w:color w:val="000000" w:themeColor="text1"/>
          <w:sz w:val="21"/>
          <w:szCs w:val="21"/>
          <w14:textFill>
            <w14:solidFill>
              <w14:schemeClr w14:val="tx1"/>
            </w14:solidFill>
          </w14:textFill>
        </w:rPr>
        <w:t>7</w:t>
      </w:r>
      <w:r>
        <w:rPr>
          <w:rFonts w:hint="eastAsia" w:ascii="Times New Roman" w:hAnsi="Times New Roman" w:eastAsia="宋体" w:cs="Times New Roman"/>
          <w:color w:val="000000" w:themeColor="text1"/>
          <w:sz w:val="21"/>
          <w:szCs w:val="21"/>
          <w14:textFill>
            <w14:solidFill>
              <w14:schemeClr w14:val="tx1"/>
            </w14:solidFill>
          </w14:textFill>
        </w:rPr>
        <w:t>—控制断面；</w:t>
      </w:r>
      <w:r>
        <w:rPr>
          <w:rFonts w:ascii="Times New Roman" w:hAnsi="Times New Roman" w:eastAsia="宋体" w:cs="Times New Roman"/>
          <w:color w:val="000000" w:themeColor="text1"/>
          <w:sz w:val="21"/>
          <w:szCs w:val="21"/>
          <w14:textFill>
            <w14:solidFill>
              <w14:schemeClr w14:val="tx1"/>
            </w14:solidFill>
          </w14:textFill>
        </w:rPr>
        <w:t>8</w:t>
      </w:r>
      <w:r>
        <w:rPr>
          <w:rFonts w:hint="eastAsia" w:ascii="Times New Roman" w:hAnsi="Times New Roman" w:eastAsia="宋体" w:cs="Times New Roman"/>
          <w:color w:val="000000" w:themeColor="text1"/>
          <w:sz w:val="21"/>
          <w:szCs w:val="21"/>
          <w14:textFill>
            <w14:solidFill>
              <w14:schemeClr w14:val="tx1"/>
            </w14:solidFill>
          </w14:textFill>
        </w:rPr>
        <w:t>—出流边界</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洪涝积水风险评估除应考虑暴雨导致的内涝外，还应考虑城市外洪影响。受风暴潮影响的城市，还应进行风暴潮分析。</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洪涝风险分析计算宜采用数值模型的方法，模型边界条件的确定应符合下列规定：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降雨输入应为设计或实测暴雨过程，入流边界应为模拟区域上游外部入流等，出流边界条件应为外排河道出流控制断面的水位、水位</w:t>
      </w:r>
      <w:r>
        <w:rPr>
          <w:rFonts w:ascii="Times New Roman" w:hAnsi="Times New Roman" w:eastAsia="宋体" w:cs="Times New Roman"/>
          <w:color w:val="000000" w:themeColor="text1"/>
          <w:sz w:val="24"/>
          <w:szCs w:val="24"/>
          <w14:textFill>
            <w14:solidFill>
              <w14:schemeClr w14:val="tx1"/>
            </w14:solidFill>
          </w14:textFill>
        </w:rPr>
        <w:t>-流量关系或下游控制性工程的出流计算公式</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如编制区域内的来水包括周边山丘区或坡面汇流时，计算范围应包括相应集水区域，该区域宜采用水文学方法进行产汇流计算，并与建成区地表模型通过流量边界进行耦合；</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如编制区域为沿海城市，出流边界应为设计或实测潮位过程，或承泄区（江河、湖海等）洪涝潮组合确定的相应频率的设计潮位。</w:t>
      </w:r>
    </w:p>
    <w:bookmarkEnd w:id="126"/>
    <w:p>
      <w:pPr>
        <w:pStyle w:val="3"/>
        <w:rPr>
          <w:color w:val="000000" w:themeColor="text1"/>
          <w14:textFill>
            <w14:solidFill>
              <w14:schemeClr w14:val="tx1"/>
            </w14:solidFill>
          </w14:textFill>
        </w:rPr>
      </w:pPr>
      <w:bookmarkStart w:id="127" w:name="_Toc201078648"/>
      <w:bookmarkStart w:id="128" w:name="_Toc201223963"/>
      <w:bookmarkStart w:id="129" w:name="_Toc194301563"/>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30" w:name="_Toc201743717"/>
      <w:bookmarkStart w:id="131" w:name="_Toc201745741"/>
      <w:bookmarkStart w:id="132" w:name="_Toc201743615"/>
      <w:bookmarkStart w:id="133" w:name="_Toc201743666"/>
      <w:r>
        <w:rPr>
          <w:rFonts w:hint="eastAsia"/>
          <w:color w:val="000000" w:themeColor="text1"/>
          <w14:textFill>
            <w14:solidFill>
              <w14:schemeClr w14:val="tx1"/>
            </w14:solidFill>
          </w14:textFill>
        </w:rPr>
        <w:t>评 估 方 法</w:t>
      </w:r>
      <w:bookmarkEnd w:id="127"/>
      <w:bookmarkEnd w:id="128"/>
      <w:bookmarkEnd w:id="129"/>
      <w:bookmarkEnd w:id="130"/>
      <w:bookmarkEnd w:id="131"/>
      <w:bookmarkEnd w:id="132"/>
      <w:bookmarkEnd w:id="133"/>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城市洪涝灾害风险评估与区划研究可采用历史灾害数理统计法、情景模拟分析法、遥感影像与地理信息系统（GIS）耦合法和指标体系法等方法。</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在实际应用中，应根据不同城市的实际情况，充分考虑空间和时间尺度的大小，以及对评估结果的精准度和时效性要求，选择单独的或者不同模型耦合的风险评估方法。</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情景模拟分析法考虑地表产汇流的动态过程，以及城市排水管渠实际排水能力及地表排水的交互作用，是进行城市洪涝积水风险评估的主要方法。本标准重点阐述情景模拟分析法的计算方法。</w:t>
      </w:r>
    </w:p>
    <w:p>
      <w:pPr>
        <w:pStyle w:val="3"/>
        <w:rPr>
          <w:color w:val="000000" w:themeColor="text1"/>
          <w14:textFill>
            <w14:solidFill>
              <w14:schemeClr w14:val="tx1"/>
            </w14:solidFill>
          </w14:textFill>
        </w:rPr>
      </w:pPr>
      <w:bookmarkStart w:id="134" w:name="_Toc194301564"/>
      <w:bookmarkStart w:id="135" w:name="_Toc201223964"/>
      <w:bookmarkStart w:id="136" w:name="_Toc201078649"/>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37" w:name="_Toc201745742"/>
      <w:bookmarkStart w:id="138" w:name="_Toc201743667"/>
      <w:bookmarkStart w:id="139" w:name="_Toc201743616"/>
      <w:bookmarkStart w:id="140" w:name="_Toc201743718"/>
      <w:r>
        <w:rPr>
          <w:rFonts w:hint="eastAsia"/>
          <w:color w:val="000000" w:themeColor="text1"/>
          <w14:textFill>
            <w14:solidFill>
              <w14:schemeClr w14:val="tx1"/>
            </w14:solidFill>
          </w14:textFill>
        </w:rPr>
        <w:t>计 算 方 案</w:t>
      </w:r>
      <w:bookmarkEnd w:id="134"/>
      <w:bookmarkEnd w:id="135"/>
      <w:bookmarkEnd w:id="136"/>
      <w:bookmarkEnd w:id="137"/>
      <w:bookmarkEnd w:id="138"/>
      <w:bookmarkEnd w:id="139"/>
      <w:bookmarkEnd w:id="140"/>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采用数据模型进行城市洪涝积水风险模型模拟评估时，应考虑城市洪涝组合情景，即城市外部河道洪水叠加城市内部暴雨的内涝组合情景造成城市积水的过程。</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根据城市类型不同，洪涝风险模拟分析边界条件可按表3.3.2确定并符合下列规定：</w:t>
      </w:r>
    </w:p>
    <w:p>
      <w:pPr>
        <w:pStyle w:val="10"/>
        <w:widowControl/>
        <w:numPr>
          <w:ilvl w:val="0"/>
          <w:numId w:val="8"/>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对于山水相依河谷区域，根据城区是否有山地按平原型城市（无山）和山地型城市（有山）考虑边界条件；</w:t>
      </w:r>
    </w:p>
    <w:p>
      <w:pPr>
        <w:pStyle w:val="10"/>
        <w:widowControl/>
        <w:numPr>
          <w:ilvl w:val="0"/>
          <w:numId w:val="8"/>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对于河网密布平原区域，按平原型城市和滨海型城市考虑边界条件；</w:t>
      </w:r>
    </w:p>
    <w:p>
      <w:pPr>
        <w:pStyle w:val="10"/>
        <w:widowControl/>
        <w:numPr>
          <w:ilvl w:val="0"/>
          <w:numId w:val="8"/>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对于滨海台地丘陵区域，按滨海型城市考虑边界条件。</w:t>
      </w:r>
    </w:p>
    <w:p>
      <w:pPr>
        <w:pStyle w:val="7"/>
        <w:keepNext/>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.2 城</w:t>
      </w:r>
      <w:r>
        <w:rPr>
          <w:rFonts w:hint="eastAsia"/>
          <w:color w:val="000000" w:themeColor="text1"/>
          <w14:textFill>
            <w14:solidFill>
              <w14:schemeClr w14:val="tx1"/>
            </w14:solidFill>
          </w14:textFill>
        </w:rPr>
        <w:t>市洪涝组合边界条件设置</w:t>
      </w:r>
    </w:p>
    <w:tbl>
      <w:tblPr>
        <w:tblStyle w:val="95"/>
        <w:tblW w:w="84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757"/>
        <w:gridCol w:w="1758"/>
        <w:gridCol w:w="1757"/>
        <w:gridCol w:w="1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7" w:type="dxa"/>
            <w:vMerge w:val="restar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城市类型</w:t>
            </w:r>
          </w:p>
        </w:tc>
        <w:tc>
          <w:tcPr>
            <w:tcW w:w="3515" w:type="dxa"/>
            <w:gridSpan w:val="2"/>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河道边界条件</w:t>
            </w:r>
          </w:p>
        </w:tc>
        <w:tc>
          <w:tcPr>
            <w:tcW w:w="3515" w:type="dxa"/>
            <w:gridSpan w:val="2"/>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地表边界条件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7" w:type="dxa"/>
            <w:vMerge w:val="continue"/>
            <w:vAlign w:val="center"/>
          </w:tcPr>
          <w:p>
            <w:pPr>
              <w:pStyle w:val="10"/>
              <w:spacing w:after="0" w:line="240" w:lineRule="auto"/>
              <w:jc w:val="center"/>
              <w:rPr>
                <w:color w:val="000000" w:themeColor="text1"/>
                <w:sz w:val="21"/>
                <w:szCs w:val="21"/>
                <w14:textFill>
                  <w14:solidFill>
                    <w14:schemeClr w14:val="tx1"/>
                  </w14:solidFill>
                </w14:textFill>
              </w:rPr>
            </w:pPr>
          </w:p>
        </w:tc>
        <w:tc>
          <w:tcPr>
            <w:tcW w:w="175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入流边界</w:t>
            </w: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出流边界</w:t>
            </w:r>
          </w:p>
        </w:tc>
        <w:tc>
          <w:tcPr>
            <w:tcW w:w="175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降雨输入</w:t>
            </w: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外边界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平原型城市</w:t>
            </w:r>
          </w:p>
        </w:tc>
        <w:tc>
          <w:tcPr>
            <w:tcW w:w="1757" w:type="dxa"/>
            <w:vMerge w:val="restar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外洪流量过程</w:t>
            </w: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水位或流量等</w:t>
            </w:r>
          </w:p>
        </w:tc>
        <w:tc>
          <w:tcPr>
            <w:tcW w:w="1757" w:type="dxa"/>
            <w:vMerge w:val="restar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降雨过程</w:t>
            </w: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固壁边界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山地型城市</w:t>
            </w:r>
          </w:p>
        </w:tc>
        <w:tc>
          <w:tcPr>
            <w:tcW w:w="1757" w:type="dxa"/>
            <w:vMerge w:val="continue"/>
            <w:vAlign w:val="center"/>
          </w:tcPr>
          <w:p>
            <w:pPr>
              <w:pStyle w:val="10"/>
              <w:spacing w:after="0" w:line="240" w:lineRule="auto"/>
              <w:jc w:val="center"/>
              <w:rPr>
                <w:color w:val="000000" w:themeColor="text1"/>
                <w:sz w:val="21"/>
                <w:szCs w:val="21"/>
                <w14:textFill>
                  <w14:solidFill>
                    <w14:schemeClr w14:val="tx1"/>
                  </w14:solidFill>
                </w14:textFill>
              </w:rPr>
            </w:pP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水位或流量等</w:t>
            </w:r>
          </w:p>
        </w:tc>
        <w:tc>
          <w:tcPr>
            <w:tcW w:w="1757" w:type="dxa"/>
            <w:vMerge w:val="continue"/>
            <w:vAlign w:val="center"/>
          </w:tcPr>
          <w:p>
            <w:pPr>
              <w:pStyle w:val="10"/>
              <w:spacing w:after="0" w:line="240" w:lineRule="auto"/>
              <w:jc w:val="center"/>
              <w:rPr>
                <w:color w:val="000000" w:themeColor="text1"/>
                <w:sz w:val="21"/>
                <w:szCs w:val="21"/>
                <w14:textFill>
                  <w14:solidFill>
                    <w14:schemeClr w14:val="tx1"/>
                  </w14:solidFill>
                </w14:textFill>
              </w:rPr>
            </w:pP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山洪流量过程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滨海型城市</w:t>
            </w:r>
          </w:p>
        </w:tc>
        <w:tc>
          <w:tcPr>
            <w:tcW w:w="1757" w:type="dxa"/>
            <w:vMerge w:val="continue"/>
            <w:vAlign w:val="center"/>
          </w:tcPr>
          <w:p>
            <w:pPr>
              <w:pStyle w:val="10"/>
              <w:spacing w:after="0" w:line="240" w:lineRule="auto"/>
              <w:jc w:val="center"/>
              <w:rPr>
                <w:color w:val="000000" w:themeColor="text1"/>
                <w:sz w:val="21"/>
                <w:szCs w:val="21"/>
                <w14:textFill>
                  <w14:solidFill>
                    <w14:schemeClr w14:val="tx1"/>
                  </w14:solidFill>
                </w14:textFill>
              </w:rPr>
            </w:pP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潮位过程</w:t>
            </w:r>
          </w:p>
        </w:tc>
        <w:tc>
          <w:tcPr>
            <w:tcW w:w="1757" w:type="dxa"/>
            <w:vMerge w:val="continue"/>
            <w:vAlign w:val="center"/>
          </w:tcPr>
          <w:p>
            <w:pPr>
              <w:pStyle w:val="10"/>
              <w:spacing w:after="0" w:line="240" w:lineRule="auto"/>
              <w:jc w:val="center"/>
              <w:rPr>
                <w:color w:val="000000" w:themeColor="text1"/>
                <w:sz w:val="21"/>
                <w:szCs w:val="21"/>
                <w14:textFill>
                  <w14:solidFill>
                    <w14:schemeClr w14:val="tx1"/>
                  </w14:solidFill>
                </w14:textFill>
              </w:rPr>
            </w:pPr>
          </w:p>
        </w:tc>
        <w:tc>
          <w:tcPr>
            <w:tcW w:w="175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固壁边界</w:t>
            </w:r>
          </w:p>
        </w:tc>
      </w:tr>
    </w:tbl>
    <w:p>
      <w:pPr>
        <w:pStyle w:val="10"/>
        <w:widowControl/>
        <w:snapToGrid w:val="0"/>
        <w:spacing w:after="0" w:line="360" w:lineRule="auto"/>
        <w:ind w:left="480"/>
        <w:rPr>
          <w:bCs/>
          <w:color w:val="000000" w:themeColor="text1"/>
          <w:sz w:val="24"/>
          <w14:textFill>
            <w14:solidFill>
              <w14:schemeClr w14:val="tx1"/>
            </w14:solidFill>
          </w14:textFill>
        </w:rPr>
      </w:pP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河道模型边界条件的确定方法应符合下列规定：</w:t>
      </w:r>
    </w:p>
    <w:p>
      <w:pPr>
        <w:pStyle w:val="10"/>
        <w:widowControl/>
        <w:numPr>
          <w:ilvl w:val="0"/>
          <w:numId w:val="9"/>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对于城市内部河道，可采用恒定流作为入流边界条件。如河道上游有控制性工程如水库，可采用水库的泄流过程作为计算边界条件；</w:t>
      </w:r>
    </w:p>
    <w:p>
      <w:pPr>
        <w:pStyle w:val="10"/>
        <w:widowControl/>
        <w:numPr>
          <w:ilvl w:val="0"/>
          <w:numId w:val="9"/>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对于城市外部河道，可采用模拟情景对应的外洪流量过程作为入流边界条件。</w:t>
      </w:r>
      <w:r>
        <w:rPr>
          <w:rFonts w:hint="eastAsia"/>
          <w:color w:val="000000" w:themeColor="text1"/>
          <w:sz w:val="24"/>
          <w14:textFill>
            <w14:solidFill>
              <w14:schemeClr w14:val="tx1"/>
            </w14:solidFill>
          </w14:textFill>
        </w:rPr>
        <w:t>取设计或实测洪水过程，设计洪水等级根据城市河道防洪标准，取超标准洪水（超过城市防洪标准，如100年和200年</w:t>
      </w:r>
      <w:r>
        <w:rPr>
          <w:color w:val="000000" w:themeColor="text1"/>
          <w:sz w:val="24"/>
          <w14:textFill>
            <w14:solidFill>
              <w14:schemeClr w14:val="tx1"/>
            </w14:solidFill>
          </w14:textFill>
        </w:rPr>
        <w:t>）和极端洪水（500年及以上）</w:t>
      </w:r>
      <w:r>
        <w:rPr>
          <w:rFonts w:hint="eastAsia"/>
          <w:color w:val="000000" w:themeColor="text1"/>
          <w:sz w:val="24"/>
          <w14:textFill>
            <w14:solidFill>
              <w14:schemeClr w14:val="tx1"/>
            </w14:solidFill>
          </w14:textFill>
        </w:rPr>
        <w:t>,</w:t>
      </w:r>
      <w:r>
        <w:rPr>
          <w:rFonts w:hint="eastAsia"/>
        </w:rPr>
        <w:t xml:space="preserve"> </w:t>
      </w:r>
      <w:r>
        <w:rPr>
          <w:rFonts w:hint="eastAsia"/>
          <w:color w:val="000000" w:themeColor="text1"/>
          <w:sz w:val="24"/>
          <w14:textFill>
            <w14:solidFill>
              <w14:schemeClr w14:val="tx1"/>
            </w14:solidFill>
          </w14:textFill>
        </w:rPr>
        <w:t>各城市防洪标准</w:t>
      </w:r>
      <w:r>
        <w:rPr>
          <w:color w:val="000000" w:themeColor="text1"/>
          <w:sz w:val="24"/>
          <w14:textFill>
            <w14:solidFill>
              <w14:schemeClr w14:val="tx1"/>
            </w14:solidFill>
          </w14:textFill>
        </w:rPr>
        <w:t>符合本标准附录A的规定</w:t>
      </w:r>
      <w:r>
        <w:rPr>
          <w:rFonts w:hint="eastAsia"/>
          <w:color w:val="000000" w:themeColor="text1"/>
          <w:sz w:val="24"/>
          <w14:textFill>
            <w14:solidFill>
              <w14:schemeClr w14:val="tx1"/>
            </w14:solidFill>
          </w14:textFill>
        </w:rPr>
        <w:t>；</w:t>
      </w:r>
    </w:p>
    <w:p>
      <w:pPr>
        <w:pStyle w:val="10"/>
        <w:widowControl/>
        <w:numPr>
          <w:ilvl w:val="0"/>
          <w:numId w:val="9"/>
        </w:numPr>
        <w:snapToGrid w:val="0"/>
        <w:spacing w:after="0" w:line="360" w:lineRule="auto"/>
        <w:ind w:left="0" w:firstLine="360" w:firstLine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出流边界条件应为外排河道出流控制断面的水位、水位</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流量关系或下游控制性工程的出流计算公式，如为滨海型城市，下游应取潮位过程。</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地表模型边界条件的确定方法应符合下列规定：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采用设计或实测暴雨过程作为降雨边界条件进行计算。如为山地型城市，网格外边界为山洪流量过程；</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2   </w:t>
      </w:r>
      <w:r>
        <w:rPr>
          <w:rFonts w:hint="eastAsia" w:ascii="Times New Roman" w:hAnsi="Times New Roman" w:eastAsia="宋体" w:cs="Times New Roman"/>
          <w:color w:val="000000" w:themeColor="text1"/>
          <w:sz w:val="24"/>
          <w:szCs w:val="24"/>
          <w14:textFill>
            <w14:solidFill>
              <w14:schemeClr w14:val="tx1"/>
            </w14:solidFill>
          </w14:textFill>
        </w:rPr>
        <w:t>考虑到形成洪水时的暴雨强度较大，因此设计暴雨重现期等级宜取超标准降雨（超过城市排水防涝标准，如100年一遇和200年一遇</w:t>
      </w:r>
      <w:r>
        <w:rPr>
          <w:rFonts w:ascii="Times New Roman" w:hAnsi="Times New Roman" w:eastAsia="宋体" w:cs="Times New Roman"/>
          <w:color w:val="000000" w:themeColor="text1"/>
          <w:sz w:val="24"/>
          <w:szCs w:val="24"/>
          <w14:textFill>
            <w14:solidFill>
              <w14:schemeClr w14:val="tx1"/>
            </w14:solidFill>
          </w14:textFill>
        </w:rPr>
        <w:t>）和极端降雨（500年</w:t>
      </w:r>
      <w:r>
        <w:rPr>
          <w:rFonts w:hint="eastAsia" w:ascii="Times New Roman" w:hAnsi="Times New Roman" w:eastAsia="宋体" w:cs="Times New Roman"/>
          <w:color w:val="000000" w:themeColor="text1"/>
          <w:sz w:val="24"/>
          <w:szCs w:val="24"/>
          <w14:textFill>
            <w14:solidFill>
              <w14:schemeClr w14:val="tx1"/>
            </w14:solidFill>
          </w14:textFill>
        </w:rPr>
        <w:t>一遇</w:t>
      </w:r>
      <w:r>
        <w:rPr>
          <w:rFonts w:ascii="Times New Roman" w:hAnsi="Times New Roman" w:eastAsia="宋体" w:cs="Times New Roman"/>
          <w:color w:val="000000" w:themeColor="text1"/>
          <w:sz w:val="24"/>
          <w:szCs w:val="24"/>
          <w14:textFill>
            <w14:solidFill>
              <w14:schemeClr w14:val="tx1"/>
            </w14:solidFill>
          </w14:textFill>
        </w:rPr>
        <w:t>及以上）</w:t>
      </w:r>
      <w:r>
        <w:rPr>
          <w:rFonts w:hint="eastAsia" w:ascii="Times New Roman" w:hAnsi="Times New Roman" w:eastAsia="宋体" w:cs="Times New Roman"/>
          <w:color w:val="000000" w:themeColor="text1"/>
          <w:sz w:val="24"/>
          <w:szCs w:val="24"/>
          <w14:textFill>
            <w14:solidFill>
              <w14:schemeClr w14:val="tx1"/>
            </w14:solidFill>
          </w14:textFill>
        </w:rPr>
        <w:t>，各城市排水防涝标准符合本标准附录</w:t>
      </w:r>
      <w:r>
        <w:rPr>
          <w:rFonts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eastAsia="宋体" w:cs="Times New Roman"/>
          <w:color w:val="000000" w:themeColor="text1"/>
          <w:sz w:val="24"/>
          <w:szCs w:val="24"/>
          <w14:textFill>
            <w14:solidFill>
              <w14:schemeClr w14:val="tx1"/>
            </w14:solidFill>
          </w14:textFill>
        </w:rPr>
        <w:t>的规定。</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洪涝组合情景设置应符合下列规定：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在时间组合上，如为历史发生的洪涝组合灾害，可</w:t>
      </w:r>
      <w:r>
        <w:rPr>
          <w:rFonts w:ascii="Times New Roman" w:hAnsi="Times New Roman" w:eastAsia="宋体" w:cs="Times New Roman"/>
          <w:color w:val="000000" w:themeColor="text1"/>
          <w:sz w:val="24"/>
          <w:szCs w:val="24"/>
          <w14:textFill>
            <w14:solidFill>
              <w14:schemeClr w14:val="tx1"/>
            </w14:solidFill>
          </w14:textFill>
        </w:rPr>
        <w:t>按表3.3.5</w:t>
      </w:r>
      <w:r>
        <w:rPr>
          <w:rFonts w:hint="eastAsia" w:ascii="Times New Roman" w:hAnsi="Times New Roman" w:eastAsia="宋体" w:cs="Times New Roman"/>
          <w:color w:val="000000" w:themeColor="text1"/>
          <w:sz w:val="24"/>
          <w:szCs w:val="24"/>
          <w14:textFill>
            <w14:solidFill>
              <w14:schemeClr w14:val="tx1"/>
            </w14:solidFill>
          </w14:textFill>
        </w:rPr>
        <w:t>确定实测流量过程和实测暴雨过程进行组合；</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如</w:t>
      </w:r>
      <w:r>
        <w:rPr>
          <w:rFonts w:ascii="Times New Roman" w:hAnsi="Times New Roman" w:eastAsia="宋体" w:cs="Times New Roman"/>
          <w:color w:val="000000" w:themeColor="text1"/>
          <w:sz w:val="24"/>
          <w:szCs w:val="24"/>
          <w14:textFill>
            <w14:solidFill>
              <w14:schemeClr w14:val="tx1"/>
            </w14:solidFill>
          </w14:textFill>
        </w:rPr>
        <w:t>按表3.3.5</w:t>
      </w:r>
      <w:r>
        <w:rPr>
          <w:rFonts w:hint="eastAsia" w:ascii="Times New Roman" w:hAnsi="Times New Roman" w:eastAsia="宋体" w:cs="Times New Roman"/>
          <w:color w:val="000000" w:themeColor="text1"/>
          <w:sz w:val="24"/>
          <w:szCs w:val="24"/>
          <w14:textFill>
            <w14:solidFill>
              <w14:schemeClr w14:val="tx1"/>
            </w14:solidFill>
          </w14:textFill>
        </w:rPr>
        <w:t>采取设计情景进行洪涝组合，对于超过城市排水防涝标准的设计暴雨，外洪内涝宜采用相同降雨重现期。洪水等级与暴雨等级可采用峰峰（洪峰与雨峰）叠加方式，按最不利情况进行不同等级的相应组合；</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在空间组合上，由于山洪入城以及洪水漫堤导致的河水漫溢入城，应与同一空间地表降雨造成的内涝叠加。根据山洪入城的位置，或河水漫堤的位置确定洪涝空间耦合点（图</w:t>
      </w:r>
      <w:r>
        <w:rPr>
          <w:rFonts w:ascii="Times New Roman" w:hAnsi="Times New Roman" w:eastAsia="宋体" w:cs="Times New Roman"/>
          <w:color w:val="000000" w:themeColor="text1"/>
          <w:sz w:val="24"/>
          <w:szCs w:val="24"/>
          <w14:textFill>
            <w14:solidFill>
              <w14:schemeClr w14:val="tx1"/>
            </w14:solidFill>
          </w14:textFill>
        </w:rPr>
        <w:t>3.3.5</w:t>
      </w:r>
      <w:r>
        <w:rPr>
          <w:rFonts w:hint="eastAsia" w:ascii="Times New Roman" w:hAnsi="Times New Roman" w:eastAsia="宋体" w:cs="Times New Roman"/>
          <w:color w:val="000000" w:themeColor="text1"/>
          <w:sz w:val="24"/>
          <w:szCs w:val="24"/>
          <w14:textFill>
            <w14:solidFill>
              <w14:schemeClr w14:val="tx1"/>
            </w14:solidFill>
          </w14:textFill>
        </w:rPr>
        <w:t>）。如存在河道溃坝导致的洪水入城，应根据洪水风险图成果叠加内涝结果进行风险分析。</w:t>
      </w:r>
    </w:p>
    <w:p>
      <w:pPr>
        <w:pStyle w:val="7"/>
        <w:keepNext/>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.5</w:t>
      </w:r>
      <w:r>
        <w:rPr>
          <w:rFonts w:cs="Times New Roman"/>
          <w:color w:val="000000" w:themeColor="text1"/>
          <w:szCs w:val="21"/>
          <w14:textFill>
            <w14:solidFill>
              <w14:schemeClr w14:val="tx1"/>
            </w14:solidFill>
          </w14:textFill>
        </w:rPr>
        <w:t>城</w:t>
      </w:r>
      <w:r>
        <w:rPr>
          <w:rFonts w:hint="eastAsia" w:cs="Times New Roman"/>
          <w:color w:val="000000" w:themeColor="text1"/>
          <w:szCs w:val="21"/>
          <w14:textFill>
            <w14:solidFill>
              <w14:schemeClr w14:val="tx1"/>
            </w14:solidFill>
          </w14:textFill>
        </w:rPr>
        <w:t>市洪涝组合情景设置</w:t>
      </w:r>
    </w:p>
    <w:tbl>
      <w:tblPr>
        <w:tblStyle w:val="27"/>
        <w:tblW w:w="87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515"/>
        <w:gridCol w:w="3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情景</w:t>
            </w:r>
          </w:p>
        </w:tc>
        <w:tc>
          <w:tcPr>
            <w:tcW w:w="3515" w:type="dxa"/>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洪水等级</w:t>
            </w:r>
          </w:p>
        </w:tc>
        <w:tc>
          <w:tcPr>
            <w:tcW w:w="3798" w:type="dxa"/>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暴雨等级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超标准组合</w:t>
            </w:r>
          </w:p>
        </w:tc>
        <w:tc>
          <w:tcPr>
            <w:tcW w:w="3515"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超标准洪水（超过城市防洪标准）</w:t>
            </w:r>
          </w:p>
        </w:tc>
        <w:tc>
          <w:tcPr>
            <w:tcW w:w="379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超标准降雨（超过城市排水防涝标准）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极端组合</w:t>
            </w:r>
          </w:p>
        </w:tc>
        <w:tc>
          <w:tcPr>
            <w:tcW w:w="3515"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极端洪水（500年及以上）</w:t>
            </w:r>
          </w:p>
        </w:tc>
        <w:tc>
          <w:tcPr>
            <w:tcW w:w="379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极端降雨（500年及以上）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实测组合</w:t>
            </w:r>
          </w:p>
        </w:tc>
        <w:tc>
          <w:tcPr>
            <w:tcW w:w="3515"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实测洪水过程</w:t>
            </w:r>
          </w:p>
        </w:tc>
        <w:tc>
          <w:tcPr>
            <w:tcW w:w="3798" w:type="dxa"/>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实测暴雨过程</w:t>
            </w:r>
          </w:p>
        </w:tc>
      </w:tr>
    </w:tbl>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jc w:val="center"/>
        <w:rPr>
          <w:color w:val="000000" w:themeColor="text1"/>
          <w14:textFill>
            <w14:solidFill>
              <w14:schemeClr w14:val="tx1"/>
            </w14:solidFill>
          </w14:textFill>
        </w:rPr>
      </w:pPr>
      <w:r>
        <w:drawing>
          <wp:inline distT="0" distB="0" distL="0" distR="0">
            <wp:extent cx="4735195" cy="2412365"/>
            <wp:effectExtent l="0" t="0" r="1905" b="63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1"/>
                    <a:stretch>
                      <a:fillRect/>
                    </a:stretch>
                  </pic:blipFill>
                  <pic:spPr>
                    <a:xfrm>
                      <a:off x="0" y="0"/>
                      <a:ext cx="4761041" cy="2425803"/>
                    </a:xfrm>
                    <a:prstGeom prst="rect">
                      <a:avLst/>
                    </a:prstGeom>
                  </pic:spPr>
                </pic:pic>
              </a:graphicData>
            </a:graphic>
          </wp:inline>
        </w:drawing>
      </w:r>
    </w:p>
    <w:p>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.5 洪涝</w:t>
      </w:r>
      <w:r>
        <w:rPr>
          <w:rFonts w:hint="eastAsia"/>
          <w:color w:val="000000" w:themeColor="text1"/>
          <w14:textFill>
            <w14:solidFill>
              <w14:schemeClr w14:val="tx1"/>
            </w14:solidFill>
          </w14:textFill>
        </w:rPr>
        <w:t>组合边界划定示意图</w:t>
      </w:r>
    </w:p>
    <w:p>
      <w:pPr>
        <w:jc w:val="center"/>
        <w:rPr>
          <w:rFonts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1—上边界条件：内河恒定流；2—上边界条件：外洪流量过程；3—集水区范围线；4—降雨边界条件；5—外边界流量过程；6—编制区域；7—堤防漫溢；8—控制断面；9—下边界条件：水位—流量关系</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对于沿海城市，应考虑洪涝潮组合对城市内涝造成的影响。可利用Copula函数构建洪水、降雨和潮位的联合概率分布函数，确定雨洪潮的联合风险概率和同现风险概率，从而确定风险分析的潮位重现期。</w:t>
      </w:r>
    </w:p>
    <w:p>
      <w:pPr>
        <w:pStyle w:val="3"/>
        <w:rPr>
          <w:color w:val="000000" w:themeColor="text1"/>
          <w14:textFill>
            <w14:solidFill>
              <w14:schemeClr w14:val="tx1"/>
            </w14:solidFill>
          </w14:textFill>
        </w:rPr>
      </w:pPr>
      <w:bookmarkStart w:id="141" w:name="_Toc201223965"/>
      <w:bookmarkStart w:id="142" w:name="_Toc201078650"/>
      <w:bookmarkStart w:id="143" w:name="_Toc194301565"/>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44" w:name="_Toc201743617"/>
      <w:bookmarkStart w:id="145" w:name="_Toc201745743"/>
      <w:bookmarkStart w:id="146" w:name="_Toc201743719"/>
      <w:bookmarkStart w:id="147" w:name="_Toc201743668"/>
      <w:r>
        <w:rPr>
          <w:rFonts w:hint="eastAsia"/>
          <w:color w:val="000000" w:themeColor="text1"/>
          <w14:textFill>
            <w14:solidFill>
              <w14:schemeClr w14:val="tx1"/>
            </w14:solidFill>
          </w14:textFill>
        </w:rPr>
        <w:t>模 拟 评 估</w:t>
      </w:r>
      <w:bookmarkEnd w:id="141"/>
      <w:bookmarkEnd w:id="142"/>
      <w:bookmarkEnd w:id="143"/>
      <w:bookmarkEnd w:id="144"/>
      <w:bookmarkEnd w:id="145"/>
      <w:bookmarkEnd w:id="146"/>
      <w:bookmarkEnd w:id="147"/>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洪涝积水风险评估模型构建应包含基础数据收集、计算范围确定、分析方法确定、参数率定与验证、情景模拟、结果分析等。</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基础数据资料应包括基础地形数据（如高程、土地利用、影像图等）、涉水工程数据（如河道、堤防、闸坝、蓄滞洪区等）、排水工程数据（如排水管网、检查井、雨水口、排河口、泵站等）气象水文数据（如降雨、水位、流量、潮汐等）、社会经济资料、洪涝灾害资料等。具体内容和要求符合本标准附录</w:t>
      </w:r>
      <w:r>
        <w:rPr>
          <w:rFonts w:ascii="Times New Roman" w:hAnsi="Times New Roman" w:eastAsia="宋体" w:cs="Times New Roman"/>
          <w:color w:val="000000" w:themeColor="text1"/>
          <w:sz w:val="24"/>
          <w:szCs w:val="24"/>
          <w14:textFill>
            <w14:solidFill>
              <w14:schemeClr w14:val="tx1"/>
            </w14:solidFill>
          </w14:textFill>
        </w:rPr>
        <w:t>B</w:t>
      </w:r>
      <w:r>
        <w:rPr>
          <w:rFonts w:hint="eastAsia" w:ascii="Times New Roman" w:hAnsi="Times New Roman" w:eastAsia="宋体" w:cs="Times New Roman"/>
          <w:color w:val="000000" w:themeColor="text1"/>
          <w:sz w:val="24"/>
          <w:szCs w:val="24"/>
          <w14:textFill>
            <w14:solidFill>
              <w14:schemeClr w14:val="tx1"/>
            </w14:solidFill>
          </w14:textFill>
        </w:rPr>
        <w:t>的规定。</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模型计算范围应覆盖风险图拟编制范围，并依据自然地理与管渠设施的汇流分析、历史洪涝灾害等因素综合考虑，取拟编制范围和洪涝潮组合影响下最大范围的包络线。</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模型分析方法应符合下列规定：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计算模块应包括地表产汇流模型、管网水力模型、河道水力模型和地表漫溢模型；</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产汇流模型可根据资料情况和实际需求采用水文学或水力学方法；</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应采用水力学方法构建河道和管网一维模型以及地表二维漫溢模型；</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4   </w:t>
      </w:r>
      <w:r>
        <w:rPr>
          <w:rFonts w:hint="eastAsia" w:ascii="Times New Roman" w:hAnsi="Times New Roman" w:eastAsia="宋体" w:cs="Times New Roman"/>
          <w:color w:val="000000" w:themeColor="text1"/>
          <w:sz w:val="24"/>
          <w:szCs w:val="24"/>
          <w14:textFill>
            <w14:solidFill>
              <w14:schemeClr w14:val="tx1"/>
            </w14:solidFill>
          </w14:textFill>
        </w:rPr>
        <w:t>构建管网模型时，当具备实测排水管网数据时，应考虑管网汇流过程。当不具备实测排水管网数据时，经论证后可采用等效排水法等简化算法。</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模型参数率定与验证应满足下列规定：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宜采用历史降雨监测数据和对应的水文流量数据、积水深度和范围数据等测量数据；</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2   </w:t>
      </w:r>
      <w:r>
        <w:rPr>
          <w:rFonts w:hint="eastAsia" w:ascii="Times New Roman" w:hAnsi="Times New Roman" w:eastAsia="宋体" w:cs="Times New Roman"/>
          <w:color w:val="000000" w:themeColor="text1"/>
          <w:sz w:val="24"/>
          <w:szCs w:val="24"/>
          <w14:textFill>
            <w14:solidFill>
              <w14:schemeClr w14:val="tx1"/>
            </w14:solidFill>
          </w14:textFill>
        </w:rPr>
        <w:t>参数率定和模型验证应采用相互独立的实测数据，至少宜采用3套独立降雨事情的实测数据作为基础，实测数据和模拟结果偏差应满足相应规范要求。</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情景模拟分析包括静态风险评估与动态风险评估。根据设计降雨制作内涝风险图可采用静态风险评估方法，根据预报降雨构建内涝预警体系可采用动态评估方法。其中，动态风险评估应满足下列规定：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动态风险评估模型宜采取并行计算技术，提升精细模型应用于多种情景组合分析的计算效率。当洪涝分析计算效率无法满足要求时，可进一步通过采用分区模拟、统计回归分析、削减非关键网格数量等技术手段提高模型计算效率；</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2   </w:t>
      </w:r>
      <w:r>
        <w:rPr>
          <w:rFonts w:hint="eastAsia" w:ascii="Times New Roman" w:hAnsi="Times New Roman" w:eastAsia="宋体" w:cs="Times New Roman"/>
          <w:color w:val="000000" w:themeColor="text1"/>
          <w:sz w:val="24"/>
          <w:szCs w:val="24"/>
          <w14:textFill>
            <w14:solidFill>
              <w14:schemeClr w14:val="tx1"/>
            </w14:solidFill>
          </w14:textFill>
        </w:rPr>
        <w:t>动态风险评估的实时推演与动态展示系统功能应包含模型数据预处理、模拟分析、计算资源调度、模拟结果后处理、结果展示，以及方案管理、模型管理、用户管理等功能。</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通过情景模拟可得到城市地表的积水深度、水流速度、积水时间、积水范围等结果，用于进行洪涝积水风险评估。</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洪涝积水风险评估指标选取应满足下列规定：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对于采用城市排水防涝标准内的设计降雨情景模拟的内涝结果，</w:t>
      </w:r>
      <w:r>
        <w:rPr>
          <w:rFonts w:ascii="Times New Roman" w:hAnsi="Times New Roman" w:eastAsia="宋体" w:cs="Times New Roman"/>
          <w:color w:val="000000" w:themeColor="text1"/>
          <w:sz w:val="24"/>
          <w:szCs w:val="24"/>
          <w14:textFill>
            <w14:solidFill>
              <w14:schemeClr w14:val="tx1"/>
            </w14:solidFill>
          </w14:textFill>
        </w:rPr>
        <w:t>可根据</w:t>
      </w:r>
      <w:r>
        <w:rPr>
          <w:rFonts w:hint="eastAsia" w:ascii="Times New Roman" w:hAnsi="Times New Roman" w:eastAsia="宋体" w:cs="Times New Roman"/>
          <w:color w:val="000000" w:themeColor="text1"/>
          <w:sz w:val="24"/>
          <w:szCs w:val="24"/>
          <w14:textFill>
            <w14:solidFill>
              <w14:schemeClr w14:val="tx1"/>
            </w14:solidFill>
          </w14:textFill>
        </w:rPr>
        <w:t>积水深度和积水历时等信息，采用单一指标或多个指标叠加综合评估城镇内涝灾害的危险性；</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2   </w:t>
      </w:r>
      <w:r>
        <w:rPr>
          <w:rFonts w:hint="eastAsia" w:ascii="Times New Roman" w:hAnsi="Times New Roman" w:eastAsia="宋体" w:cs="Times New Roman"/>
          <w:color w:val="000000" w:themeColor="text1"/>
          <w:sz w:val="24"/>
          <w:szCs w:val="24"/>
          <w14:textFill>
            <w14:solidFill>
              <w14:schemeClr w14:val="tx1"/>
            </w14:solidFill>
          </w14:textFill>
        </w:rPr>
        <w:t>对于采用超标准降雨和极端降雨情景模拟的内涝结果，可采用风险评估因子对编制范围的洪涝积水风险进行定量评估。风险评估因子应按下式计算：</w:t>
      </w:r>
    </w:p>
    <w:p>
      <w:pPr>
        <w:pStyle w:val="97"/>
        <w:jc w:val="right"/>
      </w:pPr>
      <w:r>
        <w:rPr>
          <w:iCs/>
        </w:rPr>
        <w:tab/>
      </w:r>
      <m:oMath>
        <m:r>
          <m:rPr/>
          <w:rPr>
            <w:rFonts w:ascii="Cambria Math" w:hAnsi="Cambria Math"/>
          </w:rPr>
          <m:t>F</m:t>
        </m:r>
        <m:r>
          <m:rPr>
            <m:sty m:val="p"/>
          </m:rPr>
          <w:rPr>
            <w:rFonts w:ascii="Cambria Math" w:hAnsi="Cambria Math"/>
          </w:rPr>
          <m:t>=</m:t>
        </m:r>
        <m:sSub>
          <m:sSubPr>
            <m:ctrlPr>
              <w:rPr>
                <w:rFonts w:ascii="Cambria Math" w:hAnsi="Cambria Math" w:eastAsia="MS Gothic" w:cs="MS Gothic"/>
              </w:rPr>
            </m:ctrlPr>
          </m:sSubPr>
          <m:e>
            <m:r>
              <m:rPr/>
              <w:rPr>
                <w:rFonts w:ascii="Cambria Math" w:hAnsi="Cambria Math" w:eastAsia="MS Gothic" w:cs="MS Gothic"/>
              </w:rPr>
              <m:t>H</m:t>
            </m:r>
            <m:ctrlPr>
              <w:rPr>
                <w:rFonts w:ascii="Cambria Math" w:hAnsi="Cambria Math" w:eastAsia="MS Gothic" w:cs="MS Gothic"/>
              </w:rPr>
            </m:ctrlPr>
          </m:e>
          <m:sub>
            <m:r>
              <m:rPr/>
              <w:rPr>
                <w:rFonts w:hint="eastAsia" w:ascii="Cambria Math" w:hAnsi="Cambria Math"/>
              </w:rPr>
              <m:t>max</m:t>
            </m:r>
            <m:ctrlPr>
              <w:rPr>
                <w:rFonts w:ascii="Cambria Math" w:hAnsi="Cambria Math" w:eastAsia="MS Gothic" w:cs="MS Gothic"/>
              </w:rPr>
            </m:ctrlPr>
          </m:sub>
        </m:sSub>
        <m:r>
          <m:rPr>
            <m:sty m:val="p"/>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max</m:t>
            </m:r>
            <m:ctrlPr>
              <w:rPr>
                <w:rFonts w:ascii="Cambria Math" w:hAnsi="Cambria Math"/>
              </w:rPr>
            </m:ctrlPr>
          </m:sub>
        </m:sSub>
      </m:oMath>
      <w:r>
        <w:tab/>
      </w:r>
      <w:r>
        <w:rPr>
          <w:rFonts w:hint="eastAsia"/>
        </w:rPr>
        <w:t>（</w:t>
      </w:r>
      <w:r>
        <w:t>3.4.8</w:t>
      </w:r>
      <w:r>
        <w:rPr>
          <w:rFonts w:hint="eastAsia"/>
        </w:rPr>
        <w:t>）</w:t>
      </w:r>
    </w:p>
    <w:p>
      <w:pPr>
        <w:adjustRightInd w:val="0"/>
        <w:snapToGri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式中：</w:t>
      </w:r>
      <m:oMath>
        <m:r>
          <m:rPr/>
          <w:rPr>
            <w:rFonts w:ascii="Cambria Math" w:hAnsi="Cambria Math"/>
            <w:color w:val="000000" w:themeColor="text1"/>
            <w:sz w:val="24"/>
            <w:szCs w:val="24"/>
            <w14:textFill>
              <w14:solidFill>
                <w14:schemeClr w14:val="tx1"/>
              </w14:solidFill>
            </w14:textFill>
          </w:rPr>
          <m:t>F</m:t>
        </m:r>
      </m:oMath>
      <w:r>
        <w:rPr>
          <w:rFonts w:hint="eastAsia"/>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风险评估因子，单位为m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/s；</w:t>
      </w:r>
    </w:p>
    <w:p>
      <w:pPr>
        <w:tabs>
          <w:tab w:val="left" w:pos="336"/>
        </w:tabs>
        <w:adjustRightInd w:val="0"/>
        <w:snapToGri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m:oMath>
        <m:sSub>
          <m:sSubPr>
            <m:ctrlPr>
              <w:rPr>
                <w:rFonts w:ascii="Cambria Math" w:hAnsi="MS Gothic" w:eastAsia="MS Gothic" w:cs="MS Gothic"/>
                <w:i/>
                <w:color w:val="000000" w:themeColor="text1"/>
                <w:sz w:val="24"/>
                <w:szCs w:val="24"/>
                <w14:textFill>
                  <w14:solidFill>
                    <w14:schemeClr w14:val="tx1"/>
                  </w14:solidFill>
                </w14:textFill>
              </w:rPr>
            </m:ctrlPr>
          </m:sSubPr>
          <m:e>
            <m:r>
              <m:rPr/>
              <w:rPr>
                <w:rFonts w:ascii="Cambria Math" w:hAnsi="MS Gothic" w:eastAsia="MS Gothic" w:cs="MS Gothic"/>
                <w:color w:val="000000" w:themeColor="text1"/>
                <w:sz w:val="24"/>
                <w:szCs w:val="24"/>
                <w14:textFill>
                  <w14:solidFill>
                    <w14:schemeClr w14:val="tx1"/>
                  </w14:solidFill>
                </w14:textFill>
              </w:rPr>
              <m:t>H</m:t>
            </m:r>
            <m:ctrlPr>
              <w:rPr>
                <w:rFonts w:ascii="Cambria Math" w:hAnsi="MS Gothic" w:eastAsia="MS Gothic" w:cs="MS Gothic"/>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max</m:t>
            </m:r>
            <m:ctrlPr>
              <w:rPr>
                <w:rFonts w:ascii="Cambria Math" w:hAnsi="MS Gothic" w:eastAsia="MS Gothic" w:cs="MS Gothic"/>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网格淹没最大水深，单位为m；</w:t>
      </w:r>
    </w:p>
    <w:p>
      <w:pPr>
        <w:tabs>
          <w:tab w:val="left" w:pos="336"/>
        </w:tabs>
        <w:adjustRightInd w:val="0"/>
        <w:snapToGri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V</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max</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网格淹没最大流速，单位为m/s。</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城市洪涝的承灾体包括道路、房屋，以及地下空间等，进行城市洪涝承灾体受淹风险模拟分析时，应符合下列规定：</w:t>
      </w:r>
    </w:p>
    <w:p>
      <w:pPr>
        <w:pStyle w:val="10"/>
        <w:widowControl/>
        <w:snapToGrid w:val="0"/>
        <w:spacing w:after="0" w:line="360" w:lineRule="auto"/>
        <w:ind w:firstLine="361" w:firstLineChars="150"/>
        <w:rPr>
          <w:bCs/>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1   </w:t>
      </w:r>
      <w:r>
        <w:rPr>
          <w:rFonts w:hint="eastAsia"/>
          <w:bCs/>
          <w:color w:val="000000" w:themeColor="text1"/>
          <w:sz w:val="24"/>
          <w14:textFill>
            <w14:solidFill>
              <w14:schemeClr w14:val="tx1"/>
            </w14:solidFill>
          </w14:textFill>
        </w:rPr>
        <w:t>对于道路、房屋等可根据实际情况按照本标准第</w:t>
      </w:r>
      <w:r>
        <w:rPr>
          <w:bCs/>
          <w:color w:val="000000" w:themeColor="text1"/>
          <w:sz w:val="24"/>
          <w14:textFill>
            <w14:solidFill>
              <w14:schemeClr w14:val="tx1"/>
            </w14:solidFill>
          </w14:textFill>
        </w:rPr>
        <w:t>3.2</w:t>
      </w:r>
      <w:r>
        <w:rPr>
          <w:rFonts w:hint="eastAsia"/>
          <w:bCs/>
          <w:color w:val="000000" w:themeColor="text1"/>
          <w:sz w:val="24"/>
          <w14:textFill>
            <w14:solidFill>
              <w14:schemeClr w14:val="tx1"/>
            </w14:solidFill>
          </w14:textFill>
        </w:rPr>
        <w:t>节介绍的四种方法之一，分析评估风险大小；</w:t>
      </w:r>
    </w:p>
    <w:p>
      <w:pPr>
        <w:pStyle w:val="10"/>
        <w:widowControl/>
        <w:snapToGrid w:val="0"/>
        <w:spacing w:after="0" w:line="360" w:lineRule="auto"/>
        <w:ind w:firstLine="361" w:firstLineChars="150"/>
        <w:rPr>
          <w:bCs/>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2   </w:t>
      </w:r>
      <w:r>
        <w:rPr>
          <w:rFonts w:hint="eastAsia"/>
          <w:bCs/>
          <w:color w:val="000000" w:themeColor="text1"/>
          <w:sz w:val="24"/>
          <w14:textFill>
            <w14:solidFill>
              <w14:schemeClr w14:val="tx1"/>
            </w14:solidFill>
          </w14:textFill>
        </w:rPr>
        <w:t>对于地下空间，可利用情景模拟分析法，通过构建数值模型，对地铁口、地下室停车场入口等地上地下空间“径流交互”的重要耦合点进行充分考虑，设置合理的灾害情景进行模拟，并提取不同情景下被淹的地下空间设施信息</w:t>
      </w:r>
      <w:r>
        <w:rPr>
          <w:rFonts w:hint="eastAsia"/>
          <w:color w:val="000000" w:themeColor="text1"/>
          <w:sz w:val="24"/>
          <w14:textFill>
            <w14:solidFill>
              <w14:schemeClr w14:val="tx1"/>
            </w14:solidFill>
          </w14:textFill>
        </w:rPr>
        <w:t>。</w:t>
      </w:r>
    </w:p>
    <w:p>
      <w:pPr>
        <w:pStyle w:val="3"/>
        <w:rPr>
          <w:color w:val="000000" w:themeColor="text1"/>
          <w14:textFill>
            <w14:solidFill>
              <w14:schemeClr w14:val="tx1"/>
            </w14:solidFill>
          </w14:textFill>
        </w:rPr>
      </w:pPr>
      <w:bookmarkStart w:id="148" w:name="_Toc201078651"/>
      <w:bookmarkStart w:id="149" w:name="_Toc194301566"/>
      <w:bookmarkStart w:id="150" w:name="_Toc201223966"/>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51" w:name="_Toc201745744"/>
      <w:bookmarkStart w:id="152" w:name="_Toc201743669"/>
      <w:bookmarkStart w:id="153" w:name="_Toc201743618"/>
      <w:bookmarkStart w:id="154" w:name="_Toc201743720"/>
      <w:r>
        <w:rPr>
          <w:rFonts w:hint="eastAsia"/>
          <w:color w:val="000000" w:themeColor="text1"/>
          <w14:textFill>
            <w14:solidFill>
              <w14:schemeClr w14:val="tx1"/>
            </w14:solidFill>
          </w14:textFill>
        </w:rPr>
        <w:t>风 险 区 划</w:t>
      </w:r>
      <w:bookmarkEnd w:id="148"/>
      <w:bookmarkEnd w:id="149"/>
      <w:bookmarkEnd w:id="150"/>
      <w:bookmarkEnd w:id="151"/>
      <w:bookmarkEnd w:id="152"/>
      <w:bookmarkEnd w:id="153"/>
      <w:bookmarkEnd w:id="154"/>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洪涝积水风险区划包括风险区划情景划定，风险评估等级划分和管控单元风险分析。</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根据模型降雨情景设置，可划定内涝防治标准内、超标准降雨、极端降雨等情景。</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风险评估等级划分应满足下列要求：</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1   </w:t>
      </w:r>
      <w:r>
        <w:rPr>
          <w:rFonts w:hint="eastAsia" w:ascii="Times New Roman" w:hAnsi="Times New Roman" w:eastAsia="宋体" w:cs="Times New Roman"/>
          <w:color w:val="000000" w:themeColor="text1"/>
          <w:sz w:val="24"/>
          <w:szCs w:val="24"/>
          <w14:textFill>
            <w14:solidFill>
              <w14:schemeClr w14:val="tx1"/>
            </w14:solidFill>
          </w14:textFill>
        </w:rPr>
        <w:t>对于建成区内涝风险模拟结果，按照现行国家标准《室外排水设计标准》</w:t>
      </w:r>
      <w:r>
        <w:rPr>
          <w:rFonts w:ascii="Times New Roman" w:hAnsi="Times New Roman" w:eastAsia="宋体" w:cs="Times New Roman"/>
          <w:color w:val="000000" w:themeColor="text1"/>
          <w:sz w:val="24"/>
          <w:szCs w:val="24"/>
          <w14:textFill>
            <w14:solidFill>
              <w14:schemeClr w14:val="tx1"/>
            </w14:solidFill>
          </w14:textFill>
        </w:rPr>
        <w:t>GB50014对城市</w:t>
      </w:r>
      <w:r>
        <w:rPr>
          <w:rFonts w:hint="eastAsia" w:ascii="Times New Roman" w:hAnsi="Times New Roman" w:eastAsia="宋体" w:cs="Times New Roman"/>
          <w:color w:val="000000" w:themeColor="text1"/>
          <w:sz w:val="24"/>
          <w:szCs w:val="24"/>
          <w14:textFill>
            <w14:solidFill>
              <w14:schemeClr w14:val="tx1"/>
            </w14:solidFill>
          </w14:textFill>
        </w:rPr>
        <w:t>内涝</w:t>
      </w:r>
      <w:r>
        <w:rPr>
          <w:rFonts w:ascii="Times New Roman" w:hAnsi="Times New Roman" w:eastAsia="宋体" w:cs="Times New Roman"/>
          <w:color w:val="000000" w:themeColor="text1"/>
          <w:sz w:val="24"/>
          <w:szCs w:val="24"/>
          <w14:textFill>
            <w14:solidFill>
              <w14:schemeClr w14:val="tx1"/>
            </w14:solidFill>
          </w14:textFill>
        </w:rPr>
        <w:t>水深阈值的界定，</w:t>
      </w:r>
      <w:r>
        <w:rPr>
          <w:rFonts w:hint="eastAsia" w:ascii="Times New Roman" w:hAnsi="Times New Roman" w:eastAsia="宋体" w:cs="Times New Roman"/>
          <w:color w:val="000000" w:themeColor="text1"/>
          <w:sz w:val="24"/>
          <w:szCs w:val="24"/>
          <w14:textFill>
            <w14:solidFill>
              <w14:schemeClr w14:val="tx1"/>
            </w14:solidFill>
          </w14:textFill>
        </w:rPr>
        <w:t>应</w:t>
      </w:r>
      <w:r>
        <w:rPr>
          <w:rFonts w:ascii="Times New Roman" w:hAnsi="Times New Roman" w:eastAsia="宋体" w:cs="Times New Roman"/>
          <w:color w:val="000000" w:themeColor="text1"/>
          <w:sz w:val="24"/>
          <w:szCs w:val="24"/>
          <w14:textFill>
            <w14:solidFill>
              <w14:schemeClr w14:val="tx1"/>
            </w14:solidFill>
          </w14:textFill>
        </w:rPr>
        <w:t>提取不同重现期下计算结果中大于0.15m的所有网格，进行风险评估</w:t>
      </w:r>
      <w:r>
        <w:rPr>
          <w:rFonts w:hint="eastAsia" w:ascii="Times New Roman" w:hAnsi="Times New Roman" w:eastAsia="宋体" w:cs="Times New Roman"/>
          <w:color w:val="000000" w:themeColor="text1"/>
          <w:sz w:val="24"/>
          <w:szCs w:val="24"/>
          <w14:textFill>
            <w14:solidFill>
              <w14:schemeClr w14:val="tx1"/>
            </w14:solidFill>
          </w14:textFill>
        </w:rPr>
        <w:t>等级划分；</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2   </w:t>
      </w:r>
      <w:r>
        <w:rPr>
          <w:rFonts w:hint="eastAsia" w:ascii="Times New Roman" w:hAnsi="Times New Roman" w:eastAsia="宋体" w:cs="Times New Roman"/>
          <w:color w:val="000000" w:themeColor="text1"/>
          <w:sz w:val="24"/>
          <w:szCs w:val="24"/>
          <w14:textFill>
            <w14:solidFill>
              <w14:schemeClr w14:val="tx1"/>
            </w14:solidFill>
          </w14:textFill>
        </w:rPr>
        <w:t>对于采用城市排水防涝标准内的设计降雨情景模拟的内涝结果，</w:t>
      </w:r>
      <w:r>
        <w:rPr>
          <w:rFonts w:ascii="Times New Roman" w:hAnsi="Times New Roman" w:eastAsia="宋体" w:cs="Times New Roman"/>
          <w:color w:val="000000" w:themeColor="text1"/>
          <w:sz w:val="24"/>
          <w:szCs w:val="24"/>
          <w14:textFill>
            <w14:solidFill>
              <w14:schemeClr w14:val="tx1"/>
            </w14:solidFill>
          </w14:textFill>
        </w:rPr>
        <w:t>可根据</w:t>
      </w:r>
      <w:r>
        <w:rPr>
          <w:rFonts w:hint="eastAsia" w:ascii="Times New Roman" w:hAnsi="Times New Roman" w:eastAsia="宋体" w:cs="Times New Roman"/>
          <w:color w:val="000000" w:themeColor="text1"/>
          <w:sz w:val="24"/>
          <w:szCs w:val="24"/>
          <w14:textFill>
            <w14:solidFill>
              <w14:schemeClr w14:val="tx1"/>
            </w14:solidFill>
          </w14:textFill>
        </w:rPr>
        <w:t>积水深度和积水历时等信息，结合城镇区域的重要性和敏感性，对城镇进行内涝等级划分；</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3   </w:t>
      </w:r>
      <w:r>
        <w:rPr>
          <w:rFonts w:hint="eastAsia" w:ascii="Times New Roman" w:hAnsi="Times New Roman" w:eastAsia="宋体" w:cs="Times New Roman"/>
          <w:color w:val="000000" w:themeColor="text1"/>
          <w:sz w:val="24"/>
          <w:szCs w:val="24"/>
          <w14:textFill>
            <w14:solidFill>
              <w14:schemeClr w14:val="tx1"/>
            </w14:solidFill>
          </w14:textFill>
        </w:rPr>
        <w:t>对于采用超标准降雨和极端降雨情景模拟的内涝结果，可根据风险评估因子进行风险等级划分。风险等级可分为低风险（蓝Ⅳ）、中风险（黄Ⅲ）、较高风险（橙Ⅱ）、高风险（红Ⅰ）</w:t>
      </w:r>
      <w:r>
        <w:rPr>
          <w:rFonts w:ascii="Times New Roman" w:hAnsi="Times New Roman" w:eastAsia="宋体" w:cs="Times New Roman"/>
          <w:color w:val="000000" w:themeColor="text1"/>
          <w:sz w:val="24"/>
          <w:szCs w:val="24"/>
          <w14:textFill>
            <w14:solidFill>
              <w14:schemeClr w14:val="tx1"/>
            </w14:solidFill>
          </w14:textFill>
        </w:rPr>
        <w:t>4个级别</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其中，F</w:t>
      </w:r>
      <w:r>
        <w:rPr>
          <w:rFonts w:hint="eastAsia" w:ascii="Times New Roman" w:hAnsi="Times New Roman" w:eastAsia="宋体" w:cs="Times New Roman"/>
          <w:color w:val="000000" w:themeColor="text1"/>
          <w:sz w:val="24"/>
          <w:szCs w:val="24"/>
          <w14:textFill>
            <w14:solidFill>
              <w14:schemeClr w14:val="tx1"/>
            </w14:solidFill>
          </w14:textFill>
        </w:rPr>
        <w:t>小于</w:t>
      </w:r>
      <w:r>
        <w:rPr>
          <w:rFonts w:ascii="Times New Roman" w:hAnsi="Times New Roman" w:eastAsia="宋体" w:cs="Times New Roman"/>
          <w:color w:val="000000" w:themeColor="text1"/>
          <w:sz w:val="24"/>
          <w:szCs w:val="24"/>
          <w14:textFill>
            <w14:solidFill>
              <w14:schemeClr w14:val="tx1"/>
            </w14:solidFill>
          </w14:textFill>
        </w:rPr>
        <w:t>0.05为</w:t>
      </w:r>
      <w:r>
        <w:rPr>
          <w:rFonts w:ascii="宋体" w:hAnsi="宋体" w:eastAsia="宋体" w:cs="Times New Roman"/>
          <w:color w:val="000000" w:themeColor="text1"/>
          <w:sz w:val="24"/>
          <w:szCs w:val="24"/>
          <w14:textFill>
            <w14:solidFill>
              <w14:schemeClr w14:val="tx1"/>
            </w14:solidFill>
          </w14:textFill>
        </w:rPr>
        <w:t>“低风险”</w:t>
      </w:r>
      <w:r>
        <w:rPr>
          <w:rFonts w:ascii="Times New Roman" w:hAnsi="Times New Roman" w:eastAsia="宋体" w:cs="Times New Roman"/>
          <w:color w:val="000000" w:themeColor="text1"/>
          <w:sz w:val="24"/>
          <w:szCs w:val="24"/>
          <w14:textFill>
            <w14:solidFill>
              <w14:schemeClr w14:val="tx1"/>
            </w14:solidFill>
          </w14:textFill>
        </w:rPr>
        <w:t>，0.05</w:t>
      </w:r>
      <w:r>
        <w:rPr>
          <w:rFonts w:hint="eastAsia" w:ascii="Times New Roman" w:hAnsi="Times New Roman" w:eastAsia="宋体" w:cs="Times New Roman"/>
          <w:color w:val="000000" w:themeColor="text1"/>
          <w:sz w:val="24"/>
          <w:szCs w:val="24"/>
          <w14:textFill>
            <w14:solidFill>
              <w14:schemeClr w14:val="tx1"/>
            </w14:solidFill>
          </w14:textFill>
        </w:rPr>
        <w:t>小于等于</w:t>
      </w:r>
      <w:r>
        <w:rPr>
          <w:rFonts w:ascii="Times New Roman" w:hAnsi="Times New Roman" w:eastAsia="宋体" w:cs="Times New Roman"/>
          <w:color w:val="000000" w:themeColor="text1"/>
          <w:sz w:val="24"/>
          <w:szCs w:val="24"/>
          <w14:textFill>
            <w14:solidFill>
              <w14:schemeClr w14:val="tx1"/>
            </w14:solidFill>
          </w14:textFill>
        </w:rPr>
        <w:t>F</w:t>
      </w:r>
      <w:r>
        <w:rPr>
          <w:rFonts w:hint="eastAsia" w:ascii="Times New Roman" w:hAnsi="Times New Roman" w:eastAsia="宋体" w:cs="Times New Roman"/>
          <w:color w:val="000000" w:themeColor="text1"/>
          <w:sz w:val="24"/>
          <w:szCs w:val="24"/>
          <w14:textFill>
            <w14:solidFill>
              <w14:schemeClr w14:val="tx1"/>
            </w14:solidFill>
          </w14:textFill>
        </w:rPr>
        <w:t>小于</w:t>
      </w:r>
      <w:r>
        <w:rPr>
          <w:rFonts w:ascii="Times New Roman" w:hAnsi="Times New Roman" w:eastAsia="宋体" w:cs="Times New Roman"/>
          <w:color w:val="000000" w:themeColor="text1"/>
          <w:sz w:val="24"/>
          <w:szCs w:val="24"/>
          <w14:textFill>
            <w14:solidFill>
              <w14:schemeClr w14:val="tx1"/>
            </w14:solidFill>
          </w14:textFill>
        </w:rPr>
        <w:t>0.25为</w:t>
      </w:r>
      <w:r>
        <w:rPr>
          <w:rFonts w:ascii="宋体" w:hAnsi="宋体" w:eastAsia="宋体" w:cs="Times New Roman"/>
          <w:color w:val="000000" w:themeColor="text1"/>
          <w:sz w:val="24"/>
          <w:szCs w:val="24"/>
          <w14:textFill>
            <w14:solidFill>
              <w14:schemeClr w14:val="tx1"/>
            </w14:solidFill>
          </w14:textFill>
        </w:rPr>
        <w:t>“中风险”</w:t>
      </w:r>
      <w:r>
        <w:rPr>
          <w:rFonts w:ascii="Times New Roman" w:hAnsi="Times New Roman" w:eastAsia="宋体" w:cs="Times New Roman"/>
          <w:color w:val="000000" w:themeColor="text1"/>
          <w:sz w:val="24"/>
          <w:szCs w:val="24"/>
          <w14:textFill>
            <w14:solidFill>
              <w14:schemeClr w14:val="tx1"/>
            </w14:solidFill>
          </w14:textFill>
        </w:rPr>
        <w:t>，0.25</w:t>
      </w:r>
      <w:r>
        <w:rPr>
          <w:rFonts w:hint="eastAsia" w:ascii="Times New Roman" w:hAnsi="Times New Roman" w:eastAsia="宋体" w:cs="Times New Roman"/>
          <w:color w:val="000000" w:themeColor="text1"/>
          <w:sz w:val="24"/>
          <w:szCs w:val="24"/>
          <w14:textFill>
            <w14:solidFill>
              <w14:schemeClr w14:val="tx1"/>
            </w14:solidFill>
          </w14:textFill>
        </w:rPr>
        <w:t>小于等于</w:t>
      </w:r>
      <w:r>
        <w:rPr>
          <w:rFonts w:ascii="Times New Roman" w:hAnsi="Times New Roman" w:eastAsia="宋体" w:cs="Times New Roman"/>
          <w:color w:val="000000" w:themeColor="text1"/>
          <w:sz w:val="24"/>
          <w:szCs w:val="24"/>
          <w14:textFill>
            <w14:solidFill>
              <w14:schemeClr w14:val="tx1"/>
            </w14:solidFill>
          </w14:textFill>
        </w:rPr>
        <w:t>F</w:t>
      </w:r>
      <w:r>
        <w:rPr>
          <w:rFonts w:hint="eastAsia" w:ascii="Times New Roman" w:hAnsi="Times New Roman" w:eastAsia="宋体" w:cs="Times New Roman"/>
          <w:color w:val="000000" w:themeColor="text1"/>
          <w:sz w:val="24"/>
          <w:szCs w:val="24"/>
          <w14:textFill>
            <w14:solidFill>
              <w14:schemeClr w14:val="tx1"/>
            </w14:solidFill>
          </w14:textFill>
        </w:rPr>
        <w:t>小于</w:t>
      </w:r>
      <w:r>
        <w:rPr>
          <w:rFonts w:ascii="Times New Roman" w:hAnsi="Times New Roman" w:eastAsia="宋体" w:cs="Times New Roman"/>
          <w:color w:val="000000" w:themeColor="text1"/>
          <w:sz w:val="24"/>
          <w:szCs w:val="24"/>
          <w14:textFill>
            <w14:solidFill>
              <w14:schemeClr w14:val="tx1"/>
            </w14:solidFill>
          </w14:textFill>
        </w:rPr>
        <w:t>0.5为</w:t>
      </w:r>
      <w:r>
        <w:rPr>
          <w:rFonts w:ascii="宋体" w:hAnsi="宋体" w:eastAsia="宋体" w:cs="Times New Roman"/>
          <w:color w:val="000000" w:themeColor="text1"/>
          <w:sz w:val="24"/>
          <w:szCs w:val="24"/>
          <w14:textFill>
            <w14:solidFill>
              <w14:schemeClr w14:val="tx1"/>
            </w14:solidFill>
          </w14:textFill>
        </w:rPr>
        <w:t>“较高风险”</w:t>
      </w:r>
      <w:r>
        <w:rPr>
          <w:rFonts w:ascii="Times New Roman" w:hAnsi="Times New Roman" w:eastAsia="宋体" w:cs="Times New Roman"/>
          <w:color w:val="000000" w:themeColor="text1"/>
          <w:sz w:val="24"/>
          <w:szCs w:val="24"/>
          <w14:textFill>
            <w14:solidFill>
              <w14:schemeClr w14:val="tx1"/>
            </w14:solidFill>
          </w14:textFill>
        </w:rPr>
        <w:t>，F</w:t>
      </w:r>
      <w:r>
        <w:rPr>
          <w:rFonts w:hint="eastAsia" w:ascii="Times New Roman" w:hAnsi="Times New Roman" w:eastAsia="宋体" w:cs="Times New Roman"/>
          <w:color w:val="000000" w:themeColor="text1"/>
          <w:sz w:val="24"/>
          <w:szCs w:val="24"/>
          <w14:textFill>
            <w14:solidFill>
              <w14:schemeClr w14:val="tx1"/>
            </w14:solidFill>
          </w14:textFill>
        </w:rPr>
        <w:t>大于等于</w:t>
      </w:r>
      <w:r>
        <w:rPr>
          <w:rFonts w:ascii="Times New Roman" w:hAnsi="Times New Roman" w:eastAsia="宋体" w:cs="Times New Roman"/>
          <w:color w:val="000000" w:themeColor="text1"/>
          <w:sz w:val="24"/>
          <w:szCs w:val="24"/>
          <w14:textFill>
            <w14:solidFill>
              <w14:schemeClr w14:val="tx1"/>
            </w14:solidFill>
          </w14:textFill>
        </w:rPr>
        <w:t>0.5为</w:t>
      </w:r>
      <w:r>
        <w:rPr>
          <w:rFonts w:ascii="宋体" w:hAnsi="宋体" w:eastAsia="宋体" w:cs="Times New Roman"/>
          <w:color w:val="000000" w:themeColor="text1"/>
          <w:sz w:val="24"/>
          <w:szCs w:val="24"/>
          <w14:textFill>
            <w14:solidFill>
              <w14:schemeClr w14:val="tx1"/>
            </w14:solidFill>
          </w14:textFill>
        </w:rPr>
        <w:t>“高风险”</w:t>
      </w:r>
      <w:r>
        <w:rPr>
          <w:rFonts w:ascii="Times New Roman" w:hAnsi="Times New Roman" w:eastAsia="宋体" w:cs="Times New Roman"/>
          <w:color w:val="000000" w:themeColor="text1"/>
          <w:sz w:val="24"/>
          <w:szCs w:val="24"/>
          <w14:textFill>
            <w14:solidFill>
              <w14:schemeClr w14:val="tx1"/>
            </w14:solidFill>
          </w14:textFill>
        </w:rPr>
        <w:t>。</w:t>
      </w:r>
    </w:p>
    <w:p>
      <w:pPr>
        <w:pStyle w:val="41"/>
        <w:numPr>
          <w:ilvl w:val="2"/>
          <w:numId w:val="1"/>
        </w:numPr>
        <w:spacing w:line="360" w:lineRule="auto"/>
        <w:ind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进行管控单元风险分析时，应将编制区域划分为边长不大于1千米的正方形格网（图</w:t>
      </w:r>
      <w:r>
        <w:rPr>
          <w:rFonts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格网范围应比编制区域范围大，并与不同降雨重现期下风险评估因子的计算结果在空间上取交集，得到每个管控单元的风险信息</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49"/>
        <w:spacing w:before="0" w:after="0" w:line="360" w:lineRule="auto"/>
        <w:ind w:firstLine="0"/>
        <w:jc w:val="center"/>
        <w:outlineLvl w:val="9"/>
        <w:rPr>
          <w:color w:val="000000" w:themeColor="text1"/>
          <w:kern w:val="0"/>
          <w:szCs w:val="28"/>
          <w14:textFill>
            <w14:solidFill>
              <w14:schemeClr w14:val="tx1"/>
            </w14:solidFill>
          </w14:textFill>
        </w:rPr>
      </w:pPr>
      <w:r>
        <w:drawing>
          <wp:inline distT="0" distB="0" distL="0" distR="0">
            <wp:extent cx="2917825" cy="3098165"/>
            <wp:effectExtent l="0" t="0" r="3175" b="63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2"/>
                    <a:stretch>
                      <a:fillRect/>
                    </a:stretch>
                  </pic:blipFill>
                  <pic:spPr>
                    <a:xfrm>
                      <a:off x="0" y="0"/>
                      <a:ext cx="2917825" cy="3098165"/>
                    </a:xfrm>
                    <a:prstGeom prst="rect">
                      <a:avLst/>
                    </a:prstGeom>
                  </pic:spPr>
                </pic:pic>
              </a:graphicData>
            </a:graphic>
          </wp:inline>
        </w:drawing>
      </w:r>
    </w:p>
    <w:p>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管控单元格网划分示意图</w:t>
      </w:r>
    </w:p>
    <w:p>
      <w:pPr>
        <w:pStyle w:val="49"/>
        <w:spacing w:before="0" w:after="0" w:line="360" w:lineRule="auto"/>
        <w:ind w:firstLine="0"/>
        <w:jc w:val="center"/>
        <w:outlineLvl w:val="9"/>
        <w:rPr>
          <w:bCs w:val="0"/>
          <w:color w:val="000000" w:themeColor="text1"/>
          <w:sz w:val="24"/>
          <w:szCs w:val="24"/>
          <w14:textFill>
            <w14:solidFill>
              <w14:schemeClr w14:val="tx1"/>
            </w14:solidFill>
          </w14:textFill>
        </w:rPr>
      </w:pPr>
      <w:r>
        <w:rPr>
          <w:rFonts w:hint="eastAsia"/>
          <w:color w:val="000000" w:themeColor="text1"/>
          <w:sz w:val="21"/>
          <w:szCs w:val="21"/>
          <w14:textFill>
            <w14:solidFill>
              <w14:schemeClr w14:val="tx1"/>
            </w14:solidFill>
          </w14:textFill>
        </w:rPr>
        <w:t>1—编制区域范围线；2—管控单元格网划分，边长不大于</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千米</w:t>
      </w:r>
    </w:p>
    <w:bookmarkEnd w:id="110"/>
    <w:p>
      <w:pPr>
        <w:pStyle w:val="54"/>
        <w:spacing w:line="360" w:lineRule="auto"/>
        <w:jc w:val="both"/>
        <w:rPr>
          <w:rFonts w:ascii="Times New Roman" w:hAnsi="Times New Roman"/>
          <w:b/>
          <w:color w:val="000000" w:themeColor="text1"/>
          <w:spacing w:val="8"/>
          <w:szCs w:val="28"/>
          <w14:textFill>
            <w14:solidFill>
              <w14:schemeClr w14:val="tx1"/>
            </w14:solidFill>
          </w14:textFill>
        </w:rPr>
      </w:pPr>
      <w:bookmarkStart w:id="155" w:name="_Toc49783214"/>
      <w:bookmarkEnd w:id="155"/>
      <w:bookmarkStart w:id="156" w:name="_Toc49783212"/>
      <w:bookmarkEnd w:id="156"/>
    </w:p>
    <w:p>
      <w:pPr>
        <w:pStyle w:val="54"/>
        <w:spacing w:line="360" w:lineRule="auto"/>
        <w:jc w:val="both"/>
        <w:rPr>
          <w:rFonts w:ascii="Times New Roman" w:hAnsi="Times New Roman"/>
          <w:b/>
          <w:color w:val="000000" w:themeColor="text1"/>
          <w:spacing w:val="8"/>
          <w:szCs w:val="28"/>
          <w14:textFill>
            <w14:solidFill>
              <w14:schemeClr w14:val="tx1"/>
            </w14:solidFill>
          </w14:textFill>
        </w:rPr>
        <w:sectPr>
          <w:pgSz w:w="11906" w:h="16838"/>
          <w:pgMar w:top="1440" w:right="1800" w:bottom="1440" w:left="1800" w:header="851" w:footer="340" w:gutter="0"/>
          <w:cols w:space="425" w:num="1"/>
          <w:docGrid w:type="lines" w:linePitch="381" w:charSpace="0"/>
        </w:sectPr>
      </w:pPr>
    </w:p>
    <w:p>
      <w:pPr>
        <w:pStyle w:val="2"/>
        <w:spacing w:before="340" w:beforeLines="0" w:after="330" w:afterLines="0" w:line="578" w:lineRule="auto"/>
        <w:rPr>
          <w:color w:val="000000" w:themeColor="text1"/>
          <w:spacing w:val="0"/>
          <w:kern w:val="44"/>
          <w:sz w:val="30"/>
          <w:szCs w:val="20"/>
          <w14:textFill>
            <w14:solidFill>
              <w14:schemeClr w14:val="tx1"/>
            </w14:solidFill>
          </w14:textFill>
        </w:rPr>
      </w:pPr>
      <w:bookmarkStart w:id="157" w:name="_Toc201078652"/>
      <w:bookmarkStart w:id="158" w:name="_Toc50486992"/>
      <w:bookmarkStart w:id="159" w:name="_Toc201223967"/>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w:t>
      </w:r>
      <w:bookmarkStart w:id="160" w:name="_Toc201743619"/>
      <w:bookmarkStart w:id="161" w:name="_Toc201743721"/>
      <w:bookmarkStart w:id="162" w:name="_Toc201743670"/>
      <w:bookmarkStart w:id="163" w:name="_Toc201745745"/>
      <w:r>
        <w:rPr>
          <w:rFonts w:hint="eastAsia"/>
          <w:color w:val="000000" w:themeColor="text1"/>
          <w:spacing w:val="0"/>
          <w:kern w:val="44"/>
          <w:sz w:val="30"/>
          <w:szCs w:val="20"/>
          <w14:textFill>
            <w14:solidFill>
              <w14:schemeClr w14:val="tx1"/>
            </w14:solidFill>
          </w14:textFill>
        </w:rPr>
        <w:t>洪涝灾害链综合风险评估</w:t>
      </w:r>
      <w:bookmarkEnd w:id="157"/>
      <w:bookmarkEnd w:id="158"/>
      <w:bookmarkEnd w:id="159"/>
      <w:bookmarkEnd w:id="160"/>
      <w:bookmarkEnd w:id="161"/>
      <w:bookmarkEnd w:id="162"/>
      <w:bookmarkEnd w:id="163"/>
    </w:p>
    <w:p>
      <w:pPr>
        <w:pStyle w:val="3"/>
        <w:numPr>
          <w:ilvl w:val="1"/>
          <w:numId w:val="10"/>
        </w:numPr>
        <w:rPr>
          <w:color w:val="000000" w:themeColor="text1"/>
          <w14:textFill>
            <w14:solidFill>
              <w14:schemeClr w14:val="tx1"/>
            </w14:solidFill>
          </w14:textFill>
        </w:rPr>
      </w:pPr>
      <w:bookmarkStart w:id="164" w:name="_Toc201078653"/>
      <w:bookmarkStart w:id="165" w:name="_Toc50486993"/>
      <w:bookmarkStart w:id="166" w:name="_Toc201223968"/>
      <w:bookmarkStart w:id="167" w:name="_Toc49164543"/>
      <w:bookmarkStart w:id="168" w:name="_Toc50486994"/>
      <w:bookmarkStart w:id="169" w:name="_Toc46480437"/>
      <w:bookmarkStart w:id="170" w:name="_Toc35348264"/>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71" w:name="_Toc201745746"/>
      <w:bookmarkStart w:id="172" w:name="_Toc201743620"/>
      <w:bookmarkStart w:id="173" w:name="_Toc201743722"/>
      <w:bookmarkStart w:id="174" w:name="_Toc201743671"/>
      <w:r>
        <w:rPr>
          <w:color w:val="000000" w:themeColor="text1"/>
          <w14:textFill>
            <w14:solidFill>
              <w14:schemeClr w14:val="tx1"/>
            </w14:solidFill>
          </w14:textFill>
        </w:rPr>
        <w:t>一</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般</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规</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定</w:t>
      </w:r>
      <w:bookmarkEnd w:id="164"/>
      <w:bookmarkEnd w:id="165"/>
      <w:bookmarkEnd w:id="166"/>
      <w:bookmarkEnd w:id="171"/>
      <w:bookmarkEnd w:id="172"/>
      <w:bookmarkEnd w:id="173"/>
      <w:bookmarkEnd w:id="174"/>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洪涝灾害链综合风险评估应遵循自然灾害风险系统理论，从致灾因子危险性、孕灾环境敏感性、承灾体脆弱性等方面综合评估洪涝灾害链风险的地区差异。</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w:r>
        <w:rPr>
          <w:rFonts w:ascii="Times New Roman" w:hAnsi="Times New Roman" w:eastAsia="宋体" w:cs="Times New Roman"/>
          <w:color w:val="000000" w:themeColor="text1"/>
          <w:sz w:val="24"/>
          <w:szCs w:val="24"/>
          <w14:textFill>
            <w14:solidFill>
              <w14:schemeClr w14:val="tx1"/>
            </w14:solidFill>
          </w14:textFill>
        </w:rPr>
        <w:t xml:space="preserve">    洪涝灾害链综合风险评估指标体系应从致灾因子危险性、孕灾环境敏感性、承灾体脆弱性三个维度构建，</w:t>
      </w:r>
      <w:r>
        <w:rPr>
          <w:rFonts w:hint="eastAsia" w:ascii="Times New Roman" w:hAnsi="Times New Roman" w:eastAsia="宋体" w:cs="Times New Roman"/>
          <w:color w:val="000000" w:themeColor="text1"/>
          <w:sz w:val="24"/>
          <w:szCs w:val="24"/>
          <w14:textFill>
            <w14:solidFill>
              <w14:schemeClr w14:val="tx1"/>
            </w14:solidFill>
          </w14:textFill>
        </w:rPr>
        <w:t>并</w:t>
      </w:r>
      <w:r>
        <w:rPr>
          <w:rFonts w:ascii="Times New Roman" w:hAnsi="Times New Roman" w:eastAsia="宋体" w:cs="Times New Roman"/>
          <w:color w:val="000000" w:themeColor="text1"/>
          <w:sz w:val="24"/>
          <w:szCs w:val="24"/>
          <w14:textFill>
            <w14:solidFill>
              <w14:schemeClr w14:val="tx1"/>
            </w14:solidFill>
          </w14:textFill>
        </w:rPr>
        <w:t>符合下列规定</w:t>
      </w:r>
      <w:r>
        <w:rPr>
          <w:rFonts w:hint="eastAsia" w:ascii="Times New Roman" w:hAnsi="Times New Roman" w:eastAsia="宋体" w:cs="Times New Roman"/>
          <w:color w:val="000000" w:themeColor="text1"/>
          <w:sz w:val="24"/>
          <w:szCs w:val="24"/>
          <w14:textFill>
            <w14:solidFill>
              <w14:schemeClr w14:val="tx1"/>
            </w14:solidFill>
          </w14:textFill>
        </w:rPr>
        <w:t>：</w:t>
      </w:r>
    </w:p>
    <w:p>
      <w:pPr>
        <w:widowControl/>
        <w:numPr>
          <w:ilvl w:val="0"/>
          <w:numId w:val="11"/>
        </w:numPr>
        <w:shd w:val="clear" w:color="auto" w:fill="FCFCFC"/>
        <w:spacing w:line="360" w:lineRule="auto"/>
        <w:ind w:left="0" w:firstLine="360" w:firstLineChars="150"/>
        <w:textAlignment w:val="baseline"/>
        <w:rPr>
          <w:rFonts w:ascii="宋体" w:hAnsi="宋体" w:eastAsia="宋体" w:cs="宋体"/>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kern w:val="0"/>
          <w:sz w:val="24"/>
          <w:szCs w:val="24"/>
          <w14:textFill>
            <w14:solidFill>
              <w14:schemeClr w14:val="tx1"/>
            </w14:solidFill>
          </w14:textFill>
        </w:rPr>
        <w:t>应评估城市洪涝脆弱性，评估洪涝灾害易感性及其对公众和城市基础设施运行的影响程度，受孕灾环境敏感性和承灾体脆弱性两个维度相互作用</w:t>
      </w:r>
      <w:r>
        <w:rPr>
          <w:rFonts w:hint="eastAsia" w:ascii="宋体" w:hAnsi="宋体" w:eastAsia="宋体" w:cs="宋体"/>
          <w:color w:val="000000" w:themeColor="text1"/>
          <w:kern w:val="0"/>
          <w:sz w:val="24"/>
          <w:szCs w:val="24"/>
          <w14:textFill>
            <w14:solidFill>
              <w14:schemeClr w14:val="tx1"/>
            </w14:solidFill>
          </w14:textFill>
        </w:rPr>
        <w:t>；</w:t>
      </w:r>
    </w:p>
    <w:p>
      <w:pPr>
        <w:widowControl/>
        <w:numPr>
          <w:ilvl w:val="0"/>
          <w:numId w:val="11"/>
        </w:numPr>
        <w:shd w:val="clear" w:color="auto" w:fill="FCFCFC"/>
        <w:spacing w:line="360" w:lineRule="auto"/>
        <w:ind w:left="0" w:firstLine="360" w:firstLineChars="150"/>
        <w:textAlignment w:val="baseline"/>
        <w:rPr>
          <w:rFonts w:ascii="宋体" w:hAnsi="宋体" w:eastAsia="宋体" w:cs="宋体"/>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kern w:val="0"/>
          <w:sz w:val="24"/>
          <w:szCs w:val="24"/>
          <w14:textFill>
            <w14:solidFill>
              <w14:schemeClr w14:val="tx1"/>
            </w14:solidFill>
          </w14:textFill>
        </w:rPr>
        <w:t>应评估灾害链综合风险</w:t>
      </w:r>
      <w:r>
        <w:rPr>
          <w:rFonts w:hint="eastAsia" w:ascii="宋体" w:hAnsi="宋体" w:eastAsia="宋体" w:cs="宋体"/>
          <w:color w:val="000000" w:themeColor="text1"/>
          <w:kern w:val="0"/>
          <w:sz w:val="24"/>
          <w:szCs w:val="24"/>
          <w14:textFill>
            <w14:solidFill>
              <w14:schemeClr w14:val="tx1"/>
            </w14:solidFill>
          </w14:textFill>
        </w:rPr>
        <w:t>，</w:t>
      </w:r>
      <w:r>
        <w:rPr>
          <w:rFonts w:ascii="宋体" w:hAnsi="宋体" w:eastAsia="宋体" w:cs="宋体"/>
          <w:color w:val="000000" w:themeColor="text1"/>
          <w:kern w:val="0"/>
          <w:sz w:val="24"/>
          <w:szCs w:val="24"/>
          <w14:textFill>
            <w14:solidFill>
              <w14:schemeClr w14:val="tx1"/>
            </w14:solidFill>
          </w14:textFill>
        </w:rPr>
        <w:t>综合考虑空间和时间叠加，致灾因子、孕灾环境和承灾体叠加，评估灾害链式演变过程所带来的风险，受致灾因子危险性、孕灾环境敏感性和承灾体脆弱性三个维度相互作用</w:t>
      </w:r>
      <w:r>
        <w:rPr>
          <w:rFonts w:hint="eastAsia" w:ascii="宋体" w:hAnsi="宋体" w:eastAsia="宋体" w:cs="宋体"/>
          <w:color w:val="000000" w:themeColor="text1"/>
          <w:kern w:val="0"/>
          <w:sz w:val="24"/>
          <w:szCs w:val="24"/>
          <w14:textFill>
            <w14:solidFill>
              <w14:schemeClr w14:val="tx1"/>
            </w14:solidFill>
          </w14:textFill>
        </w:rPr>
        <w:t>；</w:t>
      </w:r>
    </w:p>
    <w:p>
      <w:pPr>
        <w:widowControl/>
        <w:numPr>
          <w:ilvl w:val="0"/>
          <w:numId w:val="11"/>
        </w:numPr>
        <w:shd w:val="clear" w:color="auto" w:fill="FCFCFC"/>
        <w:spacing w:line="360" w:lineRule="auto"/>
        <w:ind w:left="0" w:firstLine="360" w:firstLineChars="150"/>
        <w:textAlignment w:val="baseline"/>
        <w:rPr>
          <w:rFonts w:ascii="宋体" w:hAnsi="宋体" w:eastAsia="宋体" w:cs="宋体"/>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kern w:val="0"/>
          <w:sz w:val="24"/>
          <w:szCs w:val="24"/>
          <w14:textFill>
            <w14:solidFill>
              <w14:schemeClr w14:val="tx1"/>
            </w14:solidFill>
          </w14:textFill>
        </w:rPr>
        <w:t>应评估承灾体受淹</w:t>
      </w:r>
      <w:r>
        <w:rPr>
          <w:rFonts w:hint="eastAsia" w:ascii="宋体" w:hAnsi="宋体" w:eastAsia="宋体" w:cs="宋体"/>
          <w:color w:val="000000" w:themeColor="text1"/>
          <w:kern w:val="0"/>
          <w:sz w:val="24"/>
          <w:szCs w:val="24"/>
          <w14:textFill>
            <w14:solidFill>
              <w14:schemeClr w14:val="tx1"/>
            </w14:solidFill>
          </w14:textFill>
        </w:rPr>
        <w:t>风险</w:t>
      </w:r>
      <w:r>
        <w:rPr>
          <w:rFonts w:ascii="宋体" w:hAnsi="宋体" w:eastAsia="宋体" w:cs="宋体"/>
          <w:color w:val="000000" w:themeColor="text1"/>
          <w:kern w:val="0"/>
          <w:sz w:val="24"/>
          <w:szCs w:val="24"/>
          <w14:textFill>
            <w14:solidFill>
              <w14:schemeClr w14:val="tx1"/>
            </w14:solidFill>
          </w14:textFill>
        </w:rPr>
        <w:t>，评估不同降雨情境下，生命线基础设施和遇水反应化工品点位受洪涝积水影响，各设施和点位淹没情况，受致灾因子危险性和承灾体脆弱性两个维度相互作用</w:t>
      </w:r>
      <w:r>
        <w:rPr>
          <w:rFonts w:hint="eastAsia" w:ascii="宋体" w:hAnsi="宋体" w:eastAsia="宋体" w:cs="宋体"/>
          <w:color w:val="000000" w:themeColor="text1"/>
          <w:kern w:val="0"/>
          <w:sz w:val="24"/>
          <w:szCs w:val="24"/>
          <w14:textFill>
            <w14:solidFill>
              <w14:schemeClr w14:val="tx1"/>
            </w14:solidFill>
          </w14:textFill>
        </w:rPr>
        <w:t>。</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ab/>
      </w:r>
      <w:r>
        <w:rPr>
          <w:rFonts w:ascii="Times New Roman" w:hAnsi="Times New Roman" w:eastAsia="宋体" w:cs="Times New Roman"/>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kern w:val="0"/>
          <w:sz w:val="24"/>
          <w:szCs w:val="24"/>
          <w14:textFill>
            <w14:solidFill>
              <w14:schemeClr w14:val="tx1"/>
            </w14:solidFill>
          </w14:textFill>
        </w:rPr>
        <w:t>城市洪涝脆弱性评估和洪涝灾害链综合风险评估对象</w:t>
      </w:r>
      <w:r>
        <w:rPr>
          <w:rFonts w:hint="eastAsia" w:ascii="宋体" w:hAnsi="宋体" w:eastAsia="宋体" w:cs="宋体"/>
          <w:color w:val="000000" w:themeColor="text1"/>
          <w:kern w:val="0"/>
          <w:sz w:val="24"/>
          <w:szCs w:val="24"/>
          <w14:textFill>
            <w14:solidFill>
              <w14:schemeClr w14:val="tx1"/>
            </w14:solidFill>
          </w14:textFill>
        </w:rPr>
        <w:t>应</w:t>
      </w:r>
      <w:r>
        <w:rPr>
          <w:rFonts w:ascii="宋体" w:hAnsi="宋体" w:eastAsia="宋体" w:cs="宋体"/>
          <w:color w:val="000000" w:themeColor="text1"/>
          <w:kern w:val="0"/>
          <w:sz w:val="24"/>
          <w:szCs w:val="24"/>
          <w14:textFill>
            <w14:solidFill>
              <w14:schemeClr w14:val="tx1"/>
            </w14:solidFill>
          </w14:textFill>
        </w:rPr>
        <w:t>为城市建成区，评估基本单元宜为城市管理单元网格，各城市可根据建成区规模、流域特征及管理需求，对城市管理单元网格进行细化</w:t>
      </w:r>
      <w:r>
        <w:rPr>
          <w:rFonts w:hint="eastAsia" w:ascii="Times New Roman" w:hAnsi="Times New Roman" w:eastAsia="宋体" w:cs="Times New Roman"/>
          <w:color w:val="000000" w:themeColor="text1"/>
          <w:sz w:val="24"/>
          <w:szCs w:val="24"/>
          <w14:textFill>
            <w14:solidFill>
              <w14:schemeClr w14:val="tx1"/>
            </w14:solidFill>
          </w14:textFill>
        </w:rPr>
        <w:t>。</w:t>
      </w:r>
    </w:p>
    <w:bookmarkEnd w:id="167"/>
    <w:bookmarkEnd w:id="168"/>
    <w:bookmarkEnd w:id="169"/>
    <w:bookmarkEnd w:id="170"/>
    <w:p>
      <w:pPr>
        <w:pStyle w:val="3"/>
        <w:rPr>
          <w:color w:val="000000" w:themeColor="text1"/>
          <w14:textFill>
            <w14:solidFill>
              <w14:schemeClr w14:val="tx1"/>
            </w14:solidFill>
          </w14:textFill>
        </w:rPr>
      </w:pPr>
      <w:bookmarkStart w:id="175" w:name="_Toc201223969"/>
      <w:bookmarkStart w:id="176" w:name="_Toc201078654"/>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77" w:name="_Toc201743621"/>
      <w:bookmarkStart w:id="178" w:name="_Toc201743672"/>
      <w:bookmarkStart w:id="179" w:name="_Toc201745747"/>
      <w:bookmarkStart w:id="180" w:name="_Toc201743723"/>
      <w:r>
        <w:rPr>
          <w:rFonts w:hint="eastAsia"/>
          <w:color w:val="000000" w:themeColor="text1"/>
          <w14:textFill>
            <w14:solidFill>
              <w14:schemeClr w14:val="tx1"/>
            </w14:solidFill>
          </w14:textFill>
        </w:rPr>
        <w:t>评 估 指 标</w:t>
      </w:r>
      <w:bookmarkEnd w:id="175"/>
      <w:bookmarkEnd w:id="176"/>
      <w:bookmarkEnd w:id="177"/>
      <w:bookmarkEnd w:id="178"/>
      <w:bookmarkEnd w:id="179"/>
      <w:bookmarkEnd w:id="180"/>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bookmarkStart w:id="181" w:name="_Toc49783219"/>
      <w:bookmarkEnd w:id="181"/>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洪涝灾害链风险</w:t>
      </w:r>
      <w:r>
        <w:rPr>
          <w:rFonts w:hint="eastAsia" w:ascii="Times New Roman" w:hAnsi="Times New Roman" w:eastAsia="宋体" w:cs="Times New Roman"/>
          <w:color w:val="000000" w:themeColor="text1"/>
          <w:sz w:val="24"/>
          <w:szCs w:val="24"/>
          <w14:textFill>
            <w14:solidFill>
              <w14:schemeClr w14:val="tx1"/>
            </w14:solidFill>
          </w14:textFill>
        </w:rPr>
        <w:t>评估指标体系由致灾因子、孕灾环境、承灾体三部分构成，应满足表4.2.1的要求。</w:t>
      </w:r>
      <w:r>
        <w:rPr>
          <w:rFonts w:ascii="Times New Roman" w:hAnsi="Times New Roman" w:eastAsia="宋体" w:cs="Times New Roman"/>
          <w:color w:val="000000" w:themeColor="text1"/>
          <w:sz w:val="24"/>
          <w:szCs w:val="24"/>
          <w14:textFill>
            <w14:solidFill>
              <w14:schemeClr w14:val="tx1"/>
            </w14:solidFill>
          </w14:textFill>
        </w:rPr>
        <w:t>各城市可</w:t>
      </w:r>
      <w:r>
        <w:rPr>
          <w:rFonts w:hint="eastAsia" w:ascii="Times New Roman" w:hAnsi="Times New Roman" w:eastAsia="宋体" w:cs="Times New Roman"/>
          <w:color w:val="000000" w:themeColor="text1"/>
          <w:sz w:val="24"/>
          <w:szCs w:val="24"/>
          <w14:textFill>
            <w14:solidFill>
              <w14:schemeClr w14:val="tx1"/>
            </w14:solidFill>
          </w14:textFill>
        </w:rPr>
        <w:t>通过</w:t>
      </w:r>
      <w:r>
        <w:rPr>
          <w:rFonts w:ascii="Times New Roman" w:hAnsi="Times New Roman" w:eastAsia="宋体" w:cs="Times New Roman"/>
          <w:color w:val="000000" w:themeColor="text1"/>
          <w:sz w:val="24"/>
          <w:szCs w:val="24"/>
          <w14:textFill>
            <w14:solidFill>
              <w14:schemeClr w14:val="tx1"/>
            </w14:solidFill>
          </w14:textFill>
        </w:rPr>
        <w:t>专家论证等方式，</w:t>
      </w:r>
      <w:r>
        <w:rPr>
          <w:rFonts w:hint="eastAsia" w:ascii="Times New Roman" w:hAnsi="Times New Roman" w:eastAsia="宋体" w:cs="Times New Roman"/>
          <w:color w:val="000000" w:themeColor="text1"/>
          <w:sz w:val="24"/>
          <w:szCs w:val="24"/>
          <w14:textFill>
            <w14:solidFill>
              <w14:schemeClr w14:val="tx1"/>
            </w14:solidFill>
          </w14:textFill>
        </w:rPr>
        <w:t>结合本地实际情况，</w:t>
      </w:r>
      <w:r>
        <w:rPr>
          <w:rFonts w:ascii="Times New Roman" w:hAnsi="Times New Roman" w:eastAsia="宋体" w:cs="Times New Roman"/>
          <w:color w:val="000000" w:themeColor="text1"/>
          <w:sz w:val="24"/>
          <w:szCs w:val="24"/>
          <w14:textFill>
            <w14:solidFill>
              <w14:schemeClr w14:val="tx1"/>
            </w14:solidFill>
          </w14:textFill>
        </w:rPr>
        <w:t>增加</w:t>
      </w:r>
      <w:r>
        <w:rPr>
          <w:rFonts w:hint="eastAsia" w:ascii="Times New Roman" w:hAnsi="Times New Roman" w:eastAsia="宋体" w:cs="Times New Roman"/>
          <w:color w:val="000000" w:themeColor="text1"/>
          <w:sz w:val="24"/>
          <w:szCs w:val="24"/>
          <w14:textFill>
            <w14:solidFill>
              <w14:schemeClr w14:val="tx1"/>
            </w14:solidFill>
          </w14:textFill>
        </w:rPr>
        <w:t>评估</w:t>
      </w:r>
      <w:r>
        <w:rPr>
          <w:rFonts w:ascii="Times New Roman" w:hAnsi="Times New Roman" w:eastAsia="宋体" w:cs="Times New Roman"/>
          <w:color w:val="000000" w:themeColor="text1"/>
          <w:sz w:val="24"/>
          <w:szCs w:val="24"/>
          <w14:textFill>
            <w14:solidFill>
              <w14:schemeClr w14:val="tx1"/>
            </w14:solidFill>
          </w14:textFill>
        </w:rPr>
        <w:t>指标。</w:t>
      </w: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p>
    <w:p>
      <w:pPr>
        <w:pStyle w:val="7"/>
        <w:keepNext/>
        <w:rPr>
          <w:rFonts w:cs="Times New Roman"/>
          <w:b w:val="0"/>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 xml:space="preserve">表 </w:t>
      </w:r>
      <w:r>
        <w:rPr>
          <w:rFonts w:cs="Times New Roman"/>
          <w:bCs/>
          <w:color w:val="000000" w:themeColor="text1"/>
          <w:szCs w:val="21"/>
          <w14:textFill>
            <w14:solidFill>
              <w14:schemeClr w14:val="tx1"/>
            </w14:solidFill>
          </w14:textFill>
        </w:rPr>
        <w:fldChar w:fldCharType="begin"/>
      </w:r>
      <w:r>
        <w:rPr>
          <w:rFonts w:cs="Times New Roman"/>
          <w:bCs/>
          <w:color w:val="000000" w:themeColor="text1"/>
          <w:szCs w:val="21"/>
          <w14:textFill>
            <w14:solidFill>
              <w14:schemeClr w14:val="tx1"/>
            </w14:solidFill>
          </w14:textFill>
        </w:rPr>
        <w:instrText xml:space="preserve"> STYLEREF 2 \s </w:instrText>
      </w:r>
      <w:r>
        <w:rPr>
          <w:rFonts w:cs="Times New Roman"/>
          <w:bCs/>
          <w:color w:val="000000" w:themeColor="text1"/>
          <w:szCs w:val="21"/>
          <w14:textFill>
            <w14:solidFill>
              <w14:schemeClr w14:val="tx1"/>
            </w14:solidFill>
          </w14:textFill>
        </w:rPr>
        <w:fldChar w:fldCharType="separate"/>
      </w:r>
      <w:r>
        <w:rPr>
          <w:rFonts w:cs="Times New Roman"/>
          <w:bCs/>
          <w:color w:val="000000" w:themeColor="text1"/>
          <w:szCs w:val="21"/>
          <w14:textFill>
            <w14:solidFill>
              <w14:schemeClr w14:val="tx1"/>
            </w14:solidFill>
          </w14:textFill>
        </w:rPr>
        <w:t>4.2</w:t>
      </w:r>
      <w:r>
        <w:rPr>
          <w:rFonts w:cs="Times New Roman"/>
          <w:bCs/>
          <w:color w:val="000000" w:themeColor="text1"/>
          <w:szCs w:val="21"/>
          <w14:textFill>
            <w14:solidFill>
              <w14:schemeClr w14:val="tx1"/>
            </w14:solidFill>
          </w14:textFill>
        </w:rPr>
        <w:fldChar w:fldCharType="end"/>
      </w:r>
      <w:r>
        <w:rPr>
          <w:rFonts w:cs="Times New Roman"/>
          <w:bCs/>
          <w:color w:val="000000" w:themeColor="text1"/>
          <w:szCs w:val="21"/>
          <w14:textFill>
            <w14:solidFill>
              <w14:schemeClr w14:val="tx1"/>
            </w14:solidFill>
          </w14:textFill>
        </w:rPr>
        <w:t>.</w:t>
      </w:r>
      <w:r>
        <w:rPr>
          <w:rFonts w:cs="Times New Roman"/>
          <w:bCs/>
          <w:color w:val="000000" w:themeColor="text1"/>
          <w:szCs w:val="21"/>
          <w14:textFill>
            <w14:solidFill>
              <w14:schemeClr w14:val="tx1"/>
            </w14:solidFill>
          </w14:textFill>
        </w:rPr>
        <w:fldChar w:fldCharType="begin"/>
      </w:r>
      <w:r>
        <w:rPr>
          <w:rFonts w:cs="Times New Roman"/>
          <w:bCs/>
          <w:color w:val="000000" w:themeColor="text1"/>
          <w:szCs w:val="21"/>
          <w14:textFill>
            <w14:solidFill>
              <w14:schemeClr w14:val="tx1"/>
            </w14:solidFill>
          </w14:textFill>
        </w:rPr>
        <w:instrText xml:space="preserve"> SEQ 表 \* ARABIC \s 2 </w:instrText>
      </w:r>
      <w:r>
        <w:rPr>
          <w:rFonts w:cs="Times New Roman"/>
          <w:bCs/>
          <w:color w:val="000000" w:themeColor="text1"/>
          <w:szCs w:val="21"/>
          <w14:textFill>
            <w14:solidFill>
              <w14:schemeClr w14:val="tx1"/>
            </w14:solidFill>
          </w14:textFill>
        </w:rPr>
        <w:fldChar w:fldCharType="separate"/>
      </w:r>
      <w:r>
        <w:rPr>
          <w:rFonts w:cs="Times New Roman"/>
          <w:bCs/>
          <w:color w:val="000000" w:themeColor="text1"/>
          <w:szCs w:val="21"/>
          <w14:textFill>
            <w14:solidFill>
              <w14:schemeClr w14:val="tx1"/>
            </w14:solidFill>
          </w14:textFill>
        </w:rPr>
        <w:t>1</w:t>
      </w:r>
      <w:r>
        <w:rPr>
          <w:rFonts w:cs="Times New Roman"/>
          <w:bCs/>
          <w:color w:val="000000" w:themeColor="text1"/>
          <w:szCs w:val="21"/>
          <w14:textFill>
            <w14:solidFill>
              <w14:schemeClr w14:val="tx1"/>
            </w14:solidFill>
          </w14:textFill>
        </w:rPr>
        <w:fldChar w:fldCharType="end"/>
      </w:r>
      <w:r>
        <w:rPr>
          <w:rFonts w:cs="Times New Roman"/>
          <w:bCs/>
          <w:color w:val="000000" w:themeColor="text1"/>
          <w:szCs w:val="21"/>
          <w14:textFill>
            <w14:solidFill>
              <w14:schemeClr w14:val="tx1"/>
            </w14:solidFill>
          </w14:textFill>
        </w:rPr>
        <w:t xml:space="preserve"> 洪涝灾害链风险评估指标体系</w:t>
      </w:r>
    </w:p>
    <w:tbl>
      <w:tblPr>
        <w:tblStyle w:val="7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099"/>
        <w:gridCol w:w="1530"/>
        <w:gridCol w:w="3944"/>
        <w:gridCol w:w="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89"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目标层</w:t>
            </w:r>
          </w:p>
        </w:tc>
        <w:tc>
          <w:tcPr>
            <w:tcW w:w="644" w:type="pct"/>
            <w:noWrap/>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准则层</w:t>
            </w: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指标</w:t>
            </w:r>
            <w:r>
              <w:rPr>
                <w:rFonts w:hint="eastAsia" w:ascii="Times New Roman" w:hAnsi="Times New Roman" w:eastAsia="宋体" w:cs="Times New Roman"/>
                <w:color w:val="000000" w:themeColor="text1"/>
                <w:kern w:val="0"/>
                <w:sz w:val="21"/>
                <w:szCs w:val="21"/>
                <w14:textFill>
                  <w14:solidFill>
                    <w14:schemeClr w14:val="tx1"/>
                  </w14:solidFill>
                </w14:textFill>
              </w:rPr>
              <w:t>层</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定义</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指标属性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589" w:type="pct"/>
            <w:vMerge w:val="restar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洪涝灾害链风险评估</w:t>
            </w:r>
          </w:p>
        </w:tc>
        <w:tc>
          <w:tcPr>
            <w:tcW w:w="644" w:type="pct"/>
            <w:noWrap/>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致灾因子</w:t>
            </w:r>
            <w:r>
              <w:rPr>
                <w:rFonts w:hint="eastAsia" w:ascii="Times New Roman" w:hAnsi="Times New Roman" w:eastAsia="宋体" w:cs="Times New Roman"/>
                <w:color w:val="000000" w:themeColor="text1"/>
                <w:kern w:val="0"/>
                <w:sz w:val="21"/>
                <w:szCs w:val="21"/>
                <w14:textFill>
                  <w14:solidFill>
                    <w14:schemeClr w14:val="tx1"/>
                  </w14:solidFill>
                </w14:textFill>
              </w:rPr>
              <w:t>（</w:t>
            </w:r>
            <m:oMath>
              <m:r>
                <m:rPr/>
                <w:rPr>
                  <w:rFonts w:hint="eastAsia" w:ascii="Cambria Math" w:hAnsi="Cambria Math" w:eastAsia="宋体" w:cs="Times New Roman"/>
                  <w:color w:val="000000" w:themeColor="text1"/>
                  <w:kern w:val="0"/>
                  <w:sz w:val="21"/>
                  <w:szCs w:val="21"/>
                  <w14:textFill>
                    <w14:solidFill>
                      <w14:schemeClr w14:val="tx1"/>
                    </w14:solidFill>
                  </w14:textFill>
                </w:rPr>
                <m:t>F</m:t>
              </m:r>
            </m:oMath>
            <w:r>
              <w:rPr>
                <w:rFonts w:hint="eastAsia" w:ascii="Times New Roman" w:hAnsi="Times New Roman" w:eastAsia="宋体" w:cs="Times New Roman"/>
                <w:color w:val="000000" w:themeColor="text1"/>
                <w:kern w:val="0"/>
                <w:sz w:val="21"/>
                <w:szCs w:val="21"/>
                <w14:textFill>
                  <w14:solidFill>
                    <w14:schemeClr w14:val="tx1"/>
                  </w14:solidFill>
                </w14:textFill>
              </w:rPr>
              <w:t>）</w:t>
            </w: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洪涝积水</w:t>
            </w:r>
            <w:r>
              <w:rPr>
                <w:rFonts w:ascii="Times New Roman" w:hAnsi="Times New Roman" w:eastAsia="宋体" w:cs="Times New Roman"/>
                <w:color w:val="000000" w:themeColor="text1"/>
                <w:kern w:val="0"/>
                <w:sz w:val="21"/>
                <w:szCs w:val="21"/>
                <w14:textFill>
                  <w14:solidFill>
                    <w14:schemeClr w14:val="tx1"/>
                  </w14:solidFill>
                </w14:textFill>
              </w:rPr>
              <w:t>风险评估因子（F）</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洪涝积水风险等级</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restart"/>
            <w:noWrap/>
            <w:vAlign w:val="center"/>
          </w:tcPr>
          <w:p>
            <w:pPr>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孕灾</w:t>
            </w:r>
            <w:r>
              <w:rPr>
                <w:rFonts w:hint="eastAsia" w:ascii="Times New Roman" w:hAnsi="Times New Roman" w:eastAsia="宋体" w:cs="Times New Roman"/>
                <w:color w:val="000000" w:themeColor="text1"/>
                <w:kern w:val="0"/>
                <w:sz w:val="21"/>
                <w:szCs w:val="21"/>
                <w14:textFill>
                  <w14:solidFill>
                    <w14:schemeClr w14:val="tx1"/>
                  </w14:solidFill>
                </w14:textFill>
              </w:rPr>
              <w:t>环境（</w:t>
            </w:r>
            <m:oMath>
              <m:r>
                <m:rPr/>
                <w:rPr>
                  <w:rFonts w:hint="eastAsia" w:ascii="Cambria Math" w:hAnsi="Cambria Math" w:eastAsia="宋体" w:cs="Times New Roman"/>
                  <w:color w:val="000000" w:themeColor="text1"/>
                  <w:kern w:val="0"/>
                  <w:sz w:val="21"/>
                  <w:szCs w:val="21"/>
                  <w14:textFill>
                    <w14:solidFill>
                      <w14:schemeClr w14:val="tx1"/>
                    </w14:solidFill>
                  </w14:textFill>
                </w:rPr>
                <m:t>E</m:t>
              </m:r>
            </m:oMath>
            <w:r>
              <w:rPr>
                <w:rFonts w:hint="eastAsia" w:ascii="Times New Roman" w:hAnsi="Times New Roman" w:eastAsia="宋体" w:cs="Times New Roman"/>
                <w:color w:val="000000" w:themeColor="text1"/>
                <w:kern w:val="0"/>
                <w:sz w:val="21"/>
                <w:szCs w:val="21"/>
                <w14:textFill>
                  <w14:solidFill>
                    <w14:schemeClr w14:val="tx1"/>
                  </w14:solidFill>
                </w14:textFill>
              </w:rPr>
              <w:t>）</w:t>
            </w: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高程</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海拔高度</w:t>
            </w:r>
            <w:r>
              <w:rPr>
                <w:rFonts w:hint="eastAsia" w:ascii="Times New Roman" w:hAnsi="Times New Roman" w:eastAsia="宋体" w:cs="Times New Roman"/>
                <w:color w:val="000000" w:themeColor="text1"/>
                <w:kern w:val="0"/>
                <w:sz w:val="21"/>
                <w:szCs w:val="21"/>
                <w14:textFill>
                  <w14:solidFill>
                    <w14:schemeClr w14:val="tx1"/>
                  </w14:solidFill>
                </w14:textFill>
              </w:rPr>
              <w:t>（m）</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负向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noWrap/>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坡度</w:t>
            </w:r>
          </w:p>
        </w:tc>
        <w:tc>
          <w:tcPr>
            <w:tcW w:w="2312" w:type="pct"/>
            <w:vAlign w:val="center"/>
          </w:tcPr>
          <w:p>
            <w:pPr>
              <w:widowControl/>
              <w:spacing w:line="240" w:lineRule="auto"/>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地表倾斜度（°）</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负向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Style w:val="34"/>
                <w:rFonts w:ascii="宋体" w:hAnsi="宋体" w:eastAsia="宋体"/>
                <w:color w:val="000000" w:themeColor="text1"/>
                <w14:textFill>
                  <w14:solidFill>
                    <w14:schemeClr w14:val="tx1"/>
                  </w14:solidFill>
                </w14:textFill>
              </w:rPr>
            </w:pPr>
            <w:r>
              <w:rPr>
                <w:rStyle w:val="34"/>
                <w:rFonts w:hint="eastAsia" w:ascii="宋体" w:hAnsi="宋体" w:eastAsia="宋体"/>
                <w:color w:val="000000" w:themeColor="text1"/>
                <w14:textFill>
                  <w14:solidFill>
                    <w14:schemeClr w14:val="tx1"/>
                  </w14:solidFill>
                </w14:textFill>
              </w:rPr>
              <w:t>水面率</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区域内水域面积和区域总面积的比值</w:t>
            </w:r>
            <w:r>
              <w:rPr>
                <w:rFonts w:ascii="Times New Roman" w:hAnsi="Times New Roman" w:eastAsia="宋体" w:cs="Times New Roman"/>
                <w:color w:val="000000" w:themeColor="text1"/>
                <w:kern w:val="0"/>
                <w:sz w:val="21"/>
                <w:szCs w:val="21"/>
                <w14:textFill>
                  <w14:solidFill>
                    <w14:schemeClr w14:val="tx1"/>
                  </w14:solidFill>
                </w14:textFill>
              </w:rPr>
              <w:t>（km²/km²）</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负向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shd w:val="pct10" w:color="auto" w:fill="FFFFFF"/>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径流系数</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不同土地利用</w:t>
            </w:r>
            <w:r>
              <w:rPr>
                <w:rFonts w:ascii="Times New Roman" w:hAnsi="Times New Roman" w:eastAsia="宋体" w:cs="Times New Roman"/>
                <w:color w:val="000000" w:themeColor="text1"/>
                <w:kern w:val="0"/>
                <w:sz w:val="21"/>
                <w:szCs w:val="21"/>
                <w14:textFill>
                  <w14:solidFill>
                    <w14:schemeClr w14:val="tx1"/>
                  </w14:solidFill>
                </w14:textFill>
              </w:rPr>
              <w:t>类别</w:t>
            </w:r>
            <w:r>
              <w:rPr>
                <w:rFonts w:hint="eastAsia" w:ascii="Times New Roman" w:hAnsi="Times New Roman" w:eastAsia="宋体" w:cs="Times New Roman"/>
                <w:color w:val="000000" w:themeColor="text1"/>
                <w:kern w:val="0"/>
                <w:sz w:val="21"/>
                <w:szCs w:val="21"/>
                <w14:textFill>
                  <w14:solidFill>
                    <w14:schemeClr w14:val="tx1"/>
                  </w14:solidFill>
                </w14:textFill>
              </w:rPr>
              <w:t>的径流系数</w:t>
            </w:r>
            <w:r>
              <w:rPr>
                <w:rFonts w:ascii="Times New Roman" w:hAnsi="Times New Roman" w:eastAsia="宋体" w:cs="Times New Roman"/>
                <w:color w:val="000000" w:themeColor="text1"/>
                <w:kern w:val="0"/>
                <w:sz w:val="21"/>
                <w:szCs w:val="21"/>
                <w14:textFill>
                  <w14:solidFill>
                    <w14:schemeClr w14:val="tx1"/>
                  </w14:solidFill>
                </w14:textFill>
              </w:rPr>
              <w:t>（如建成区、农田、绿地）</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36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spacing w:line="36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土壤渗透系数</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衡量土壤透水能力的参数</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负向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主</w:t>
            </w:r>
            <w:r>
              <w:rPr>
                <w:rFonts w:ascii="Times New Roman" w:hAnsi="Times New Roman" w:eastAsia="宋体" w:cs="Times New Roman"/>
                <w:color w:val="000000" w:themeColor="text1"/>
                <w:kern w:val="0"/>
                <w:sz w:val="21"/>
                <w:szCs w:val="21"/>
                <w14:textFill>
                  <w14:solidFill>
                    <w14:schemeClr w14:val="tx1"/>
                  </w14:solidFill>
                </w14:textFill>
              </w:rPr>
              <w:t>次</w:t>
            </w:r>
            <w:r>
              <w:rPr>
                <w:rFonts w:hint="eastAsia" w:ascii="Times New Roman" w:hAnsi="Times New Roman" w:eastAsia="宋体" w:cs="Times New Roman"/>
                <w:color w:val="000000" w:themeColor="text1"/>
                <w:kern w:val="0"/>
                <w:sz w:val="21"/>
                <w:szCs w:val="21"/>
                <w14:textFill>
                  <w14:solidFill>
                    <w14:schemeClr w14:val="tx1"/>
                  </w14:solidFill>
                </w14:textFill>
              </w:rPr>
              <w:t>干道密度</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单位面积</w:t>
            </w:r>
            <w:r>
              <w:rPr>
                <w:rFonts w:ascii="Times New Roman" w:hAnsi="Times New Roman" w:eastAsia="宋体" w:cs="Times New Roman"/>
                <w:color w:val="000000" w:themeColor="text1"/>
                <w:kern w:val="0"/>
                <w:sz w:val="21"/>
                <w:szCs w:val="21"/>
                <w14:textFill>
                  <w14:solidFill>
                    <w14:schemeClr w14:val="tx1"/>
                  </w14:solidFill>
                </w14:textFill>
              </w:rPr>
              <w:t>内的主次干道长度（km/km</w:t>
            </w:r>
            <w:r>
              <w:rPr>
                <w:rFonts w:ascii="Times New Roman" w:hAnsi="Times New Roman" w:eastAsia="宋体" w:cs="Times New Roman"/>
                <w:color w:val="000000" w:themeColor="text1"/>
                <w:kern w:val="0"/>
                <w:sz w:val="21"/>
                <w:szCs w:val="21"/>
                <w:vertAlign w:val="superscript"/>
                <w14:textFill>
                  <w14:solidFill>
                    <w14:schemeClr w14:val="tx1"/>
                  </w14:solidFill>
                </w14:textFill>
              </w:rPr>
              <w:t>2</w:t>
            </w:r>
            <w:r>
              <w:rPr>
                <w:rFonts w:ascii="Times New Roman" w:hAnsi="Times New Roman" w:eastAsia="宋体" w:cs="Times New Roman"/>
                <w:color w:val="000000" w:themeColor="text1"/>
                <w:kern w:val="0"/>
                <w:sz w:val="21"/>
                <w:szCs w:val="21"/>
                <w14:textFill>
                  <w14:solidFill>
                    <w14:schemeClr w14:val="tx1"/>
                  </w14:solidFill>
                </w14:textFill>
              </w:rPr>
              <w:t>）</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城区类型</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中心区或非中心区</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36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tcBorders>
              <w:bottom w:val="single" w:color="auto" w:sz="6" w:space="0"/>
            </w:tcBorders>
            <w:vAlign w:val="center"/>
          </w:tcPr>
          <w:p>
            <w:pPr>
              <w:spacing w:line="36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雨水管渠设计重现期达标率</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建成区内满足现行设计标准的城市市政雨水管渠（含合流制管渠）长度占城市市政雨水管渠（含合流制管渠）总长度的比例（km/km）</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负向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restart"/>
            <w:tcBorders>
              <w:top w:val="single" w:color="auto" w:sz="6" w:space="0"/>
            </w:tcBorders>
            <w:noWrap/>
            <w:vAlign w:val="center"/>
          </w:tcPr>
          <w:p>
            <w:pPr>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承灾体（</w:t>
            </w:r>
            <m:oMath>
              <m:r>
                <m:rPr/>
                <w:rPr>
                  <w:rFonts w:hint="eastAsia" w:ascii="Cambria Math" w:hAnsi="Cambria Math" w:eastAsia="宋体" w:cs="Times New Roman"/>
                  <w:color w:val="000000" w:themeColor="text1"/>
                  <w:kern w:val="0"/>
                  <w:sz w:val="21"/>
                  <w:szCs w:val="21"/>
                  <w14:textFill>
                    <w14:solidFill>
                      <w14:schemeClr w14:val="tx1"/>
                    </w14:solidFill>
                  </w14:textFill>
                </w:rPr>
                <m:t>V</m:t>
              </m:r>
            </m:oMath>
            <w:r>
              <w:rPr>
                <w:rFonts w:hint="eastAsia" w:ascii="Times New Roman" w:hAnsi="Times New Roman" w:eastAsia="宋体" w:cs="Times New Roman"/>
                <w:color w:val="000000" w:themeColor="text1"/>
                <w:kern w:val="0"/>
                <w:sz w:val="21"/>
                <w:szCs w:val="21"/>
                <w14:textFill>
                  <w14:solidFill>
                    <w14:schemeClr w14:val="tx1"/>
                  </w14:solidFill>
                </w14:textFill>
              </w:rPr>
              <w:t>）</w:t>
            </w: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人口密度</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单位面积人口数（人/km²）</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地下空间出入口密度</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单位面积地下空间地面连通口数量</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644"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生命线</w:t>
            </w:r>
            <w:r>
              <w:rPr>
                <w:rFonts w:hint="eastAsia" w:ascii="Times New Roman" w:hAnsi="Times New Roman" w:eastAsia="宋体" w:cs="Times New Roman"/>
                <w:color w:val="000000" w:themeColor="text1"/>
                <w:kern w:val="0"/>
                <w:sz w:val="21"/>
                <w:szCs w:val="21"/>
                <w14:textFill>
                  <w14:solidFill>
                    <w14:schemeClr w14:val="tx1"/>
                  </w14:solidFill>
                </w14:textFill>
              </w:rPr>
              <w:t>设施密度</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单位面积</w:t>
            </w:r>
            <w:r>
              <w:rPr>
                <w:rFonts w:ascii="Times New Roman" w:hAnsi="Times New Roman" w:eastAsia="宋体" w:cs="Times New Roman"/>
                <w:color w:val="000000" w:themeColor="text1"/>
                <w:kern w:val="0"/>
                <w:sz w:val="21"/>
                <w:szCs w:val="21"/>
                <w14:textFill>
                  <w14:solidFill>
                    <w14:schemeClr w14:val="tx1"/>
                  </w14:solidFill>
                </w14:textFill>
              </w:rPr>
              <w:t>维持城市基本运行的</w:t>
            </w:r>
            <w:r>
              <w:rPr>
                <w:rFonts w:hint="eastAsia" w:ascii="Times New Roman" w:hAnsi="Times New Roman" w:eastAsia="宋体" w:cs="Times New Roman"/>
                <w:color w:val="000000" w:themeColor="text1"/>
                <w:kern w:val="0"/>
                <w:sz w:val="21"/>
                <w:szCs w:val="21"/>
                <w14:textFill>
                  <w14:solidFill>
                    <w14:schemeClr w14:val="tx1"/>
                  </w14:solidFill>
                </w14:textFill>
              </w:rPr>
              <w:t>燃气、供电、供水、排水、供热、</w:t>
            </w:r>
            <w:r>
              <w:rPr>
                <w:rFonts w:ascii="Times New Roman" w:hAnsi="Times New Roman" w:eastAsia="宋体" w:cs="Times New Roman"/>
                <w:color w:val="000000" w:themeColor="text1"/>
                <w:kern w:val="0"/>
                <w:sz w:val="21"/>
                <w:szCs w:val="21"/>
                <w14:textFill>
                  <w14:solidFill>
                    <w14:schemeClr w14:val="tx1"/>
                  </w14:solidFill>
                </w14:textFill>
              </w:rPr>
              <w:t>通信</w:t>
            </w:r>
            <w:r>
              <w:rPr>
                <w:rFonts w:hint="eastAsia" w:ascii="Times New Roman" w:hAnsi="Times New Roman" w:eastAsia="宋体" w:cs="Times New Roman"/>
                <w:color w:val="000000" w:themeColor="text1"/>
                <w:kern w:val="0"/>
                <w:sz w:val="21"/>
                <w:szCs w:val="21"/>
                <w14:textFill>
                  <w14:solidFill>
                    <w14:schemeClr w14:val="tx1"/>
                  </w14:solidFill>
                </w14:textFill>
              </w:rPr>
              <w:t>等</w:t>
            </w:r>
            <w:r>
              <w:rPr>
                <w:rFonts w:ascii="Times New Roman" w:hAnsi="Times New Roman" w:eastAsia="宋体" w:cs="Times New Roman"/>
                <w:color w:val="000000" w:themeColor="text1"/>
                <w:kern w:val="0"/>
                <w:sz w:val="21"/>
                <w:szCs w:val="21"/>
                <w14:textFill>
                  <w14:solidFill>
                    <w14:schemeClr w14:val="tx1"/>
                  </w14:solidFill>
                </w14:textFill>
              </w:rPr>
              <w:t>设施</w:t>
            </w:r>
            <w:r>
              <w:rPr>
                <w:rFonts w:hint="eastAsia" w:ascii="Times New Roman" w:hAnsi="Times New Roman" w:eastAsia="宋体" w:cs="Times New Roman"/>
                <w:color w:val="000000" w:themeColor="text1"/>
                <w:kern w:val="0"/>
                <w:sz w:val="21"/>
                <w:szCs w:val="21"/>
                <w14:textFill>
                  <w14:solidFill>
                    <w14:schemeClr w14:val="tx1"/>
                  </w14:solidFill>
                </w14:textFill>
              </w:rPr>
              <w:t>数量</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9"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bookmarkStart w:id="182" w:name="_Hlk195727945"/>
          </w:p>
        </w:tc>
        <w:tc>
          <w:tcPr>
            <w:tcW w:w="644"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89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易发链生灾害</w:t>
            </w:r>
            <w:r>
              <w:rPr>
                <w:rFonts w:ascii="Times New Roman" w:hAnsi="Times New Roman" w:eastAsia="宋体" w:cs="Times New Roman"/>
                <w:color w:val="000000" w:themeColor="text1"/>
                <w:kern w:val="0"/>
                <w:sz w:val="21"/>
                <w:szCs w:val="21"/>
                <w14:textFill>
                  <w14:solidFill>
                    <w14:schemeClr w14:val="tx1"/>
                  </w14:solidFill>
                </w14:textFill>
              </w:rPr>
              <w:t>点位</w:t>
            </w:r>
            <w:r>
              <w:rPr>
                <w:rFonts w:hint="eastAsia" w:ascii="Times New Roman" w:hAnsi="Times New Roman" w:eastAsia="宋体" w:cs="Times New Roman"/>
                <w:color w:val="000000" w:themeColor="text1"/>
                <w:kern w:val="0"/>
                <w:sz w:val="21"/>
                <w:szCs w:val="21"/>
                <w14:textFill>
                  <w14:solidFill>
                    <w14:schemeClr w14:val="tx1"/>
                  </w14:solidFill>
                </w14:textFill>
              </w:rPr>
              <w:t>密度</w:t>
            </w:r>
          </w:p>
        </w:tc>
        <w:tc>
          <w:tcPr>
            <w:tcW w:w="231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单位面积地质灾害、遇水反应</w:t>
            </w:r>
            <w:r>
              <w:rPr>
                <w:rFonts w:ascii="Times New Roman" w:hAnsi="Times New Roman" w:eastAsia="宋体" w:cs="Times New Roman"/>
                <w:color w:val="000000" w:themeColor="text1"/>
                <w:kern w:val="0"/>
                <w:sz w:val="21"/>
                <w:szCs w:val="21"/>
                <w14:textFill>
                  <w14:solidFill>
                    <w14:schemeClr w14:val="tx1"/>
                  </w14:solidFill>
                </w14:textFill>
              </w:rPr>
              <w:t>化学品储存</w:t>
            </w:r>
            <w:r>
              <w:rPr>
                <w:rFonts w:hint="eastAsia" w:ascii="Times New Roman" w:hAnsi="Times New Roman" w:eastAsia="宋体" w:cs="Times New Roman"/>
                <w:color w:val="000000" w:themeColor="text1"/>
                <w:kern w:val="0"/>
                <w:sz w:val="21"/>
                <w:szCs w:val="21"/>
                <w14:textFill>
                  <w14:solidFill>
                    <w14:schemeClr w14:val="tx1"/>
                  </w14:solidFill>
                </w14:textFill>
              </w:rPr>
              <w:t>生产等点位数量</w:t>
            </w:r>
          </w:p>
        </w:tc>
        <w:tc>
          <w:tcPr>
            <w:tcW w:w="557"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正向</w:t>
            </w:r>
          </w:p>
        </w:tc>
      </w:tr>
      <w:bookmarkEnd w:id="182"/>
    </w:tbl>
    <w:p>
      <w:pPr>
        <w:adjustRightInd w:val="0"/>
        <w:snapToGrid w:val="0"/>
        <w:spacing w:line="360" w:lineRule="auto"/>
        <w:rPr>
          <w:rFonts w:ascii="Times New Roman" w:hAnsi="Times New Roman" w:eastAsia="宋体" w:cs="Times New Roman"/>
          <w:color w:val="000000" w:themeColor="text1"/>
          <w:sz w:val="21"/>
          <w:szCs w:val="21"/>
          <w14:textFill>
            <w14:solidFill>
              <w14:schemeClr w14:val="tx1"/>
            </w14:solidFill>
          </w14:textFill>
        </w:rPr>
      </w:pP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 xml:space="preserve"> </w:t>
      </w:r>
      <w:r>
        <w:rPr>
          <w:rFonts w:ascii="Times New Roman" w:hAnsi="Times New Roman" w:eastAsia="宋体" w:cs="Times New Roman"/>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各项指标获取方式应符合表4.2.2的要求。</w:t>
      </w:r>
    </w:p>
    <w:p>
      <w:pPr>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 xml:space="preserve">表 </w:t>
      </w:r>
      <w:r>
        <w:rPr>
          <w:rFonts w:ascii="Times New Roman" w:hAnsi="Times New Roman" w:eastAsia="宋体" w:cs="Times New Roman"/>
          <w:b/>
          <w:bCs/>
          <w:color w:val="000000" w:themeColor="text1"/>
          <w:sz w:val="21"/>
          <w:szCs w:val="21"/>
          <w14:textFill>
            <w14:solidFill>
              <w14:schemeClr w14:val="tx1"/>
            </w14:solidFill>
          </w14:textFill>
        </w:rPr>
        <w:fldChar w:fldCharType="begin"/>
      </w:r>
      <w:r>
        <w:rPr>
          <w:rFonts w:ascii="Times New Roman" w:hAnsi="Times New Roman" w:eastAsia="宋体" w:cs="Times New Roman"/>
          <w:b/>
          <w:bCs/>
          <w:color w:val="000000" w:themeColor="text1"/>
          <w:sz w:val="21"/>
          <w:szCs w:val="21"/>
          <w14:textFill>
            <w14:solidFill>
              <w14:schemeClr w14:val="tx1"/>
            </w14:solidFill>
          </w14:textFill>
        </w:rPr>
        <w:instrText xml:space="preserve"> STYLEREF 2 \s </w:instrText>
      </w:r>
      <w:r>
        <w:rPr>
          <w:rFonts w:ascii="Times New Roman" w:hAnsi="Times New Roman" w:eastAsia="宋体" w:cs="Times New Roman"/>
          <w:b/>
          <w:bCs/>
          <w:color w:val="000000" w:themeColor="text1"/>
          <w:sz w:val="21"/>
          <w:szCs w:val="21"/>
          <w14:textFill>
            <w14:solidFill>
              <w14:schemeClr w14:val="tx1"/>
            </w14:solidFill>
          </w14:textFill>
        </w:rPr>
        <w:fldChar w:fldCharType="separate"/>
      </w:r>
      <w:r>
        <w:rPr>
          <w:rFonts w:ascii="Times New Roman" w:hAnsi="Times New Roman" w:eastAsia="宋体" w:cs="Times New Roman"/>
          <w:b/>
          <w:bCs/>
          <w:color w:val="000000" w:themeColor="text1"/>
          <w:sz w:val="21"/>
          <w:szCs w:val="21"/>
          <w14:textFill>
            <w14:solidFill>
              <w14:schemeClr w14:val="tx1"/>
            </w14:solidFill>
          </w14:textFill>
        </w:rPr>
        <w:t>4.2</w:t>
      </w:r>
      <w:r>
        <w:rPr>
          <w:rFonts w:ascii="Times New Roman" w:hAnsi="Times New Roman" w:eastAsia="宋体" w:cs="Times New Roman"/>
          <w:b/>
          <w:bCs/>
          <w:color w:val="000000" w:themeColor="text1"/>
          <w:sz w:val="21"/>
          <w:szCs w:val="21"/>
          <w14:textFill>
            <w14:solidFill>
              <w14:schemeClr w14:val="tx1"/>
            </w14:solidFill>
          </w14:textFill>
        </w:rPr>
        <w:fldChar w:fldCharType="end"/>
      </w:r>
      <w:r>
        <w:rPr>
          <w:rFonts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14:textFill>
            <w14:solidFill>
              <w14:schemeClr w14:val="tx1"/>
            </w14:solidFill>
          </w14:textFill>
        </w:rPr>
        <w:t>2</w:t>
      </w:r>
      <w:r>
        <w:rPr>
          <w:rFonts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14:textFill>
            <w14:solidFill>
              <w14:schemeClr w14:val="tx1"/>
            </w14:solidFill>
          </w14:textFill>
        </w:rPr>
        <w:t>评估指标获取方式统计表</w:t>
      </w:r>
    </w:p>
    <w:tbl>
      <w:tblPr>
        <w:tblStyle w:val="7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6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96"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指标名称</w:t>
            </w:r>
          </w:p>
        </w:tc>
        <w:tc>
          <w:tcPr>
            <w:tcW w:w="4004"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获取方式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洪涝积水风险评估因子（F）</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通过模拟计算得出，计算方法</w:t>
            </w:r>
            <w:r>
              <w:rPr>
                <w:rFonts w:hint="eastAsia" w:ascii="Times New Roman" w:hAnsi="Times New Roman" w:eastAsia="宋体" w:cs="Times New Roman"/>
                <w:color w:val="000000" w:themeColor="text1"/>
                <w:kern w:val="0"/>
                <w:sz w:val="21"/>
                <w:szCs w:val="21"/>
                <w14:textFill>
                  <w14:solidFill>
                    <w14:schemeClr w14:val="tx1"/>
                  </w14:solidFill>
                </w14:textFill>
              </w:rPr>
              <w:t>应符合本标准第3章“</w:t>
            </w:r>
            <w:r>
              <w:rPr>
                <w:rFonts w:ascii="Times New Roman" w:hAnsi="Times New Roman" w:eastAsia="宋体" w:cs="Times New Roman"/>
                <w:color w:val="000000" w:themeColor="text1"/>
                <w:kern w:val="0"/>
                <w:sz w:val="21"/>
                <w:szCs w:val="21"/>
                <w14:textFill>
                  <w14:solidFill>
                    <w14:schemeClr w14:val="tx1"/>
                  </w14:solidFill>
                </w14:textFill>
              </w:rPr>
              <w:t>洪涝积水风险评估”</w:t>
            </w:r>
            <w:r>
              <w:rPr>
                <w:rFonts w:hint="eastAsia" w:ascii="Times New Roman" w:hAnsi="Times New Roman" w:eastAsia="宋体" w:cs="Times New Roman"/>
                <w:color w:val="000000" w:themeColor="text1"/>
                <w:kern w:val="0"/>
                <w:sz w:val="21"/>
                <w:szCs w:val="21"/>
                <w14:textFill>
                  <w14:solidFill>
                    <w14:schemeClr w14:val="tx1"/>
                  </w14:solidFill>
                </w14:textFill>
              </w:rPr>
              <w:t>的规定</w:t>
            </w:r>
            <w:r>
              <w:rPr>
                <w:rFonts w:ascii="Times New Roman" w:hAnsi="Times New Roman" w:eastAsia="宋体" w:cs="Times New Roman"/>
                <w:color w:val="000000" w:themeColor="text1"/>
                <w:kern w:val="0"/>
                <w:sz w:val="21"/>
                <w:szCs w:val="21"/>
                <w14:textFill>
                  <w14:solidFill>
                    <w14:schemeClr w14:val="tx1"/>
                  </w14:solidFill>
                </w14:textFill>
              </w:rPr>
              <w:t>。</w:t>
            </w:r>
          </w:p>
        </w:tc>
      </w:tr>
    </w:tbl>
    <w:p>
      <w:pPr>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p>
      <w:pPr>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p>
      <w:pPr>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p>
      <w:pPr>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续表 </w:t>
      </w:r>
      <w:r>
        <w:rPr>
          <w:rFonts w:ascii="Times New Roman" w:hAnsi="Times New Roman" w:eastAsia="宋体" w:cs="Times New Roman"/>
          <w:b/>
          <w:bCs/>
          <w:color w:val="000000" w:themeColor="text1"/>
          <w:sz w:val="21"/>
          <w:szCs w:val="21"/>
          <w14:textFill>
            <w14:solidFill>
              <w14:schemeClr w14:val="tx1"/>
            </w14:solidFill>
          </w14:textFill>
        </w:rPr>
        <w:t>4.2.2</w:t>
      </w:r>
    </w:p>
    <w:tbl>
      <w:tblPr>
        <w:tblStyle w:val="7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6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指标名称</w:t>
            </w:r>
          </w:p>
        </w:tc>
        <w:tc>
          <w:tcPr>
            <w:tcW w:w="4004"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获取方式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高程</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可通过卫星遥感技术获取，也可从国家地理信息公共服务平台（天地图）等公开渠道获取。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坡度</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kern w:val="0"/>
                <w:sz w:val="21"/>
                <w:szCs w:val="21"/>
                <w14:textFill>
                  <w14:solidFill>
                    <w14:schemeClr w14:val="tx1"/>
                  </w14:solidFill>
                </w14:textFill>
              </w:rPr>
              <w:t>通过高程数据计算地面高度差异确定坡度。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Style w:val="34"/>
                <w:rFonts w:ascii="Times New Roman" w:hAnsi="Times New Roman" w:eastAsia="宋体" w:cs="Times New Roman"/>
                <w:color w:val="000000" w:themeColor="text1"/>
                <w14:textFill>
                  <w14:solidFill>
                    <w14:schemeClr w14:val="tx1"/>
                  </w14:solidFill>
                </w14:textFill>
              </w:rPr>
            </w:pPr>
            <w:r>
              <w:rPr>
                <w:rStyle w:val="34"/>
                <w:rFonts w:ascii="Times New Roman" w:hAnsi="Times New Roman" w:eastAsia="宋体" w:cs="Times New Roman"/>
                <w:color w:val="000000" w:themeColor="text1"/>
                <w14:textFill>
                  <w14:solidFill>
                    <w14:schemeClr w14:val="tx1"/>
                  </w14:solidFill>
                </w14:textFill>
              </w:rPr>
              <w:t>水面率</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sz w:val="21"/>
                <w14:textFill>
                  <w14:solidFill>
                    <w14:schemeClr w14:val="tx1"/>
                  </w14:solidFill>
                </w14:textFill>
              </w:rPr>
              <w:t>通过遥感影像解译、水利部门水系普查数据或地理信息数据库，提取区域内水域（河流、湖泊、水库、坑塘等）的面积，再除以区域总面积计算获取。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shd w:val="pct10" w:color="auto" w:fill="FFFFFF"/>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径流系数</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sz w:val="21"/>
                <w14:textFill>
                  <w14:solidFill>
                    <w14:schemeClr w14:val="tx1"/>
                  </w14:solidFill>
                </w14:textFill>
              </w:rPr>
              <w:t>利用土地利用类型数据、降水量数据和地面覆盖特征，通过 GIS 工具分析不同</w:t>
            </w:r>
            <w:r>
              <w:rPr>
                <w:rFonts w:hint="eastAsia" w:ascii="Times New Roman" w:hAnsi="Times New Roman" w:eastAsia="宋体" w:cs="Times New Roman"/>
                <w:color w:val="000000" w:themeColor="text1"/>
                <w:sz w:val="21"/>
                <w14:textFill>
                  <w14:solidFill>
                    <w14:schemeClr w14:val="tx1"/>
                  </w14:solidFill>
                </w14:textFill>
              </w:rPr>
              <w:t>下垫面</w:t>
            </w:r>
            <w:r>
              <w:rPr>
                <w:rFonts w:ascii="Times New Roman" w:hAnsi="Times New Roman" w:eastAsia="宋体" w:cs="Times New Roman"/>
                <w:color w:val="000000" w:themeColor="text1"/>
                <w:sz w:val="21"/>
                <w14:textFill>
                  <w14:solidFill>
                    <w14:schemeClr w14:val="tx1"/>
                  </w14:solidFill>
                </w14:textFill>
              </w:rPr>
              <w:t>，结合降水数据计算；或根据土地利用分类图和地表类型信息分配径流系数值，按区域土地利用比例计算平均径流系数。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土壤渗透系数</w:t>
            </w:r>
          </w:p>
        </w:tc>
        <w:tc>
          <w:tcPr>
            <w:tcW w:w="4004" w:type="pct"/>
            <w:vAlign w:val="center"/>
          </w:tcPr>
          <w:p>
            <w:pPr>
              <w:widowControl/>
              <w:spacing w:line="240" w:lineRule="auto"/>
              <w:jc w:val="left"/>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土壤类型可通过城市土壤分类图等确定分布。各类型土壤渗透系数应根据实测资料确定，当无实测资料时，可参考相关标准。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主次干道密度</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sz w:val="21"/>
                <w14:textFill>
                  <w14:solidFill>
                    <w14:schemeClr w14:val="tx1"/>
                  </w14:solidFill>
                </w14:textFill>
              </w:rPr>
              <w:t>借助城市交通规划数据、道路网络数据，利用 GIS 工具分析城市道路网络，计算主干道与次干道的长度或面积比例。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城区类型</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sz w:val="21"/>
                <w14:textFill>
                  <w14:solidFill>
                    <w14:schemeClr w14:val="tx1"/>
                  </w14:solidFill>
                </w14:textFill>
              </w:rPr>
              <w:t>通过城市规划数据和相关土地利用分类图划定城市功能区，识别城区类型。</w:t>
            </w:r>
          </w:p>
        </w:tc>
      </w:tr>
      <w:tr>
        <w:tblPrEx>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雨水管渠设计重现期达标率</w:t>
            </w:r>
          </w:p>
        </w:tc>
        <w:tc>
          <w:tcPr>
            <w:tcW w:w="4004" w:type="pct"/>
            <w:vAlign w:val="center"/>
          </w:tcPr>
          <w:p>
            <w:pPr>
              <w:widowControl/>
              <w:spacing w:line="240" w:lineRule="auto"/>
              <w:jc w:val="left"/>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可通过各地城市排水防涝专项体检自评估结果获取。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人口密度</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kern w:val="0"/>
                <w:sz w:val="21"/>
                <w:szCs w:val="21"/>
                <w14:textFill>
                  <w14:solidFill>
                    <w14:schemeClr w14:val="tx1"/>
                  </w14:solidFill>
                </w14:textFill>
              </w:rPr>
              <w:t>通过统计部门发布的最新人口普查数据结合行政区划边界确定区域总人口，再除以区域面积计算得出。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地下空间出入口密度</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sz w:val="21"/>
                <w14:textFill>
                  <w14:solidFill>
                    <w14:schemeClr w14:val="tx1"/>
                  </w14:solidFill>
                </w14:textFill>
              </w:rPr>
              <w:t>通过城市地下空间规划图纸、住建部门建筑登记档案获取地下空间分布及出入口位置数据，统计单位面积内出入口数量计算得出，可结合实地勘测或遥感影像修正。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生命线设施密度</w:t>
            </w:r>
          </w:p>
        </w:tc>
        <w:tc>
          <w:tcPr>
            <w:tcW w:w="4004"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Times New Roman" w:hAnsi="Times New Roman" w:eastAsia="宋体" w:cs="Times New Roman"/>
                <w:color w:val="000000" w:themeColor="text1"/>
                <w:sz w:val="21"/>
                <w14:textFill>
                  <w14:solidFill>
                    <w14:schemeClr w14:val="tx1"/>
                  </w14:solidFill>
                </w14:textFill>
              </w:rPr>
              <w:t>依据城市基础设施规划图、行业主管部门数据，提取生命线设施位置，统计单位面积内设施数量或线路长度，结合 GIS 空间分析生成密度指标。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vAlign w:val="center"/>
          </w:tcPr>
          <w:p>
            <w:pPr>
              <w:widowControl/>
              <w:spacing w:line="240" w:lineRule="auto"/>
              <w:jc w:val="left"/>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易发链生灾害点位密度</w:t>
            </w:r>
          </w:p>
        </w:tc>
        <w:tc>
          <w:tcPr>
            <w:tcW w:w="4004" w:type="pct"/>
            <w:vAlign w:val="center"/>
          </w:tcPr>
          <w:p>
            <w:pPr>
              <w:widowControl/>
              <w:spacing w:line="240" w:lineRule="auto"/>
              <w:jc w:val="left"/>
              <w:rPr>
                <w:rFonts w:ascii="宋体" w:hAnsi="宋体"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宋体" w:hAnsi="宋体" w:eastAsia="宋体"/>
                <w:color w:val="000000" w:themeColor="text1"/>
                <w:sz w:val="21"/>
                <w:szCs w:val="21"/>
                <w14:textFill>
                  <w14:solidFill>
                    <w14:schemeClr w14:val="tx1"/>
                  </w14:solidFill>
                </w14:textFill>
              </w:rPr>
              <w:t>整合多源数据，包括住建、应急管理、自然资源等部门档案（如化工品储存使用企业登记、地质灾害隐患点台账），结合附录D遇水反应化工品名单，识别建成区遇水反应化工品点位；</w:t>
            </w:r>
            <w:r>
              <w:rPr>
                <w:rFonts w:hint="eastAsia" w:ascii="Times New Roman" w:hAnsi="Times New Roman" w:eastAsia="宋体" w:cs="Times New Roman"/>
                <w:color w:val="000000" w:themeColor="text1"/>
                <w:kern w:val="0"/>
                <w:sz w:val="21"/>
                <w:szCs w:val="21"/>
                <w14:textFill>
                  <w14:solidFill>
                    <w14:schemeClr w14:val="tx1"/>
                  </w14:solidFill>
                </w14:textFill>
              </w:rPr>
              <w:t>可</w:t>
            </w:r>
            <w:r>
              <w:rPr>
                <w:rFonts w:ascii="宋体" w:hAnsi="宋体" w:eastAsia="宋体"/>
                <w:color w:val="000000" w:themeColor="text1"/>
                <w:sz w:val="21"/>
                <w:szCs w:val="21"/>
                <w14:textFill>
                  <w14:solidFill>
                    <w14:schemeClr w14:val="tx1"/>
                  </w14:solidFill>
                </w14:textFill>
              </w:rPr>
              <w:t>依据地质灾害调查成果，提取降雨引发的崩塌、滑坡等地质灾害点位。</w:t>
            </w:r>
          </w:p>
        </w:tc>
      </w:tr>
    </w:tbl>
    <w:p>
      <w:pPr>
        <w:adjustRightInd w:val="0"/>
        <w:snapToGri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p>
    <w:p>
      <w:pPr>
        <w:numPr>
          <w:ilvl w:val="2"/>
          <w:numId w:val="1"/>
        </w:numPr>
        <w:adjustRightInd w:val="0"/>
        <w:snapToGrid w:val="0"/>
        <w:spacing w:line="360" w:lineRule="auto"/>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可利用自然断点法、百分位法</w:t>
      </w:r>
      <w:r>
        <w:rPr>
          <w:rFonts w:hint="eastAsia" w:ascii="Times New Roman" w:hAnsi="Times New Roman" w:eastAsia="宋体" w:cs="Times New Roman"/>
          <w:color w:val="000000" w:themeColor="text1"/>
          <w:sz w:val="24"/>
          <w:szCs w:val="24"/>
          <w14:textFill>
            <w14:solidFill>
              <w14:schemeClr w14:val="tx1"/>
            </w14:solidFill>
          </w14:textFill>
        </w:rPr>
        <w:t>划分指标</w:t>
      </w:r>
      <w:r>
        <w:rPr>
          <w:rFonts w:ascii="Times New Roman" w:hAnsi="Times New Roman" w:eastAsia="宋体" w:cs="Times New Roman"/>
          <w:color w:val="000000" w:themeColor="text1"/>
          <w:sz w:val="24"/>
          <w:szCs w:val="24"/>
          <w14:textFill>
            <w14:solidFill>
              <w14:schemeClr w14:val="tx1"/>
            </w14:solidFill>
          </w14:textFill>
        </w:rPr>
        <w:t>等级。</w:t>
      </w:r>
      <w:r>
        <w:rPr>
          <w:rFonts w:hint="eastAsia" w:ascii="Times New Roman" w:hAnsi="Times New Roman" w:eastAsia="宋体" w:cs="Times New Roman"/>
          <w:color w:val="000000" w:themeColor="text1"/>
          <w:kern w:val="0"/>
          <w:sz w:val="24"/>
          <w:szCs w:val="24"/>
          <w14:textFill>
            <w14:solidFill>
              <w14:schemeClr w14:val="tx1"/>
            </w14:solidFill>
          </w14:textFill>
        </w:rPr>
        <w:t>正向指标表征该指标数值越大，风险越大，分级时按数值从低到高，取值分别为1、2、3、4。负向指标表征该指标数值越大，风险越小，分级时按数值从低到高，取值分别为4、3、2、1。</w:t>
      </w:r>
    </w:p>
    <w:p>
      <w:pPr>
        <w:pStyle w:val="3"/>
        <w:rPr>
          <w:color w:val="000000" w:themeColor="text1"/>
          <w14:textFill>
            <w14:solidFill>
              <w14:schemeClr w14:val="tx1"/>
            </w14:solidFill>
          </w14:textFill>
        </w:rPr>
      </w:pPr>
      <w:bookmarkStart w:id="183" w:name="_Hlk195634488"/>
      <w:bookmarkStart w:id="184" w:name="_Toc201223970"/>
      <w:bookmarkStart w:id="185" w:name="_Toc201078655"/>
      <w:bookmarkStart w:id="186" w:name="_Toc35348279"/>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87" w:name="_Toc201743724"/>
      <w:bookmarkStart w:id="188" w:name="_Toc201745748"/>
      <w:bookmarkStart w:id="189" w:name="_Toc201743622"/>
      <w:bookmarkStart w:id="190" w:name="_Toc201743673"/>
      <w:r>
        <w:rPr>
          <w:rFonts w:hint="eastAsia"/>
          <w:color w:val="000000" w:themeColor="text1"/>
          <w14:textFill>
            <w14:solidFill>
              <w14:schemeClr w14:val="tx1"/>
            </w14:solidFill>
          </w14:textFill>
        </w:rPr>
        <w:t>城市洪涝脆弱性</w:t>
      </w:r>
      <w:bookmarkEnd w:id="183"/>
      <w:r>
        <w:rPr>
          <w:rFonts w:hint="eastAsia"/>
          <w:color w:val="000000" w:themeColor="text1"/>
          <w14:textFill>
            <w14:solidFill>
              <w14:schemeClr w14:val="tx1"/>
            </w14:solidFill>
          </w14:textFill>
        </w:rPr>
        <w:t>风险评估与区划</w:t>
      </w:r>
      <w:bookmarkEnd w:id="184"/>
      <w:bookmarkEnd w:id="185"/>
      <w:bookmarkEnd w:id="187"/>
      <w:bookmarkEnd w:id="188"/>
      <w:bookmarkEnd w:id="189"/>
      <w:bookmarkEnd w:id="190"/>
    </w:p>
    <w:p>
      <w:pPr>
        <w:widowControl/>
        <w:numPr>
          <w:ilvl w:val="2"/>
          <w:numId w:val="1"/>
        </w:numPr>
        <w:shd w:val="clear" w:color="auto" w:fill="FCFCFC"/>
        <w:adjustRightInd w:val="0"/>
        <w:snapToGrid w:val="0"/>
        <w:spacing w:line="360" w:lineRule="auto"/>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建立</w:t>
      </w:r>
      <w:r>
        <w:rPr>
          <w:rFonts w:ascii="Times New Roman" w:hAnsi="Times New Roman" w:eastAsia="宋体" w:cs="Times New Roman"/>
          <w:color w:val="000000" w:themeColor="text1"/>
          <w:sz w:val="24"/>
          <w:szCs w:val="24"/>
          <w14:textFill>
            <w14:solidFill>
              <w14:schemeClr w14:val="tx1"/>
            </w14:solidFill>
          </w14:textFill>
        </w:rPr>
        <w:t>城市洪涝脆弱性</w:t>
      </w:r>
      <w:r>
        <w:rPr>
          <w:rFonts w:hint="eastAsia" w:ascii="Times New Roman" w:hAnsi="Times New Roman" w:eastAsia="宋体" w:cs="Times New Roman"/>
          <w:color w:val="000000" w:themeColor="text1"/>
          <w:sz w:val="24"/>
          <w:szCs w:val="24"/>
          <w14:textFill>
            <w14:solidFill>
              <w14:schemeClr w14:val="tx1"/>
            </w14:solidFill>
          </w14:textFill>
        </w:rPr>
        <w:t>（</w:t>
      </w:r>
      <m:oMath>
        <m:sSub>
          <m:sSubPr>
            <m:ctrlPr>
              <w:rPr>
                <w:rFonts w:ascii="Cambria Math" w:hAnsi="Cambria Math" w:eastAsia="PingFang SC"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PingFang SC" w:cs="Times New Roman"/>
                <w:color w:val="000000" w:themeColor="text1"/>
                <w:kern w:val="0"/>
                <w:sz w:val="24"/>
                <w:szCs w:val="24"/>
                <w:shd w:val="clear" w:color="auto" w:fill="FCFCFC"/>
                <w14:textFill>
                  <w14:solidFill>
                    <w14:schemeClr w14:val="tx1"/>
                  </w14:solidFill>
                </w14:textFill>
              </w:rPr>
              <m:t>S</m:t>
            </m:r>
            <m:ctrlPr>
              <w:rPr>
                <w:rFonts w:ascii="Cambria Math" w:hAnsi="Cambria Math" w:eastAsia="PingFang SC" w:cs="Times New Roman"/>
                <w:i/>
                <w:iCs/>
                <w:color w:val="000000" w:themeColor="text1"/>
                <w:kern w:val="0"/>
                <w:sz w:val="24"/>
                <w:szCs w:val="24"/>
                <w:shd w:val="clear" w:color="auto" w:fill="FCFCFC"/>
                <w14:textFill>
                  <w14:solidFill>
                    <w14:schemeClr w14:val="tx1"/>
                  </w14:solidFill>
                </w14:textFill>
              </w:rPr>
            </m:ctrlPr>
          </m:e>
          <m:sub>
            <m:r>
              <m:rPr/>
              <w:rPr>
                <w:rFonts w:hint="eastAsia" w:ascii="Cambria Math" w:hAnsi="Cambria Math" w:eastAsia="PingFang SC" w:cs="Times New Roman"/>
                <w:color w:val="000000" w:themeColor="text1"/>
                <w:kern w:val="0"/>
                <w:sz w:val="24"/>
                <w:szCs w:val="24"/>
                <w:shd w:val="clear" w:color="auto" w:fill="FCFCFC"/>
                <w14:textFill>
                  <w14:solidFill>
                    <w14:schemeClr w14:val="tx1"/>
                  </w14:solidFill>
                </w14:textFill>
              </w:rPr>
              <m:t>City</m:t>
            </m:r>
            <m:ctrlPr>
              <w:rPr>
                <w:rFonts w:ascii="Cambria Math" w:hAnsi="Cambria Math" w:eastAsia="PingFang SC" w:cs="Times New Roman"/>
                <w:i/>
                <w:iCs/>
                <w:color w:val="000000" w:themeColor="text1"/>
                <w:kern w:val="0"/>
                <w:sz w:val="24"/>
                <w:szCs w:val="24"/>
                <w:shd w:val="clear" w:color="auto" w:fill="FCFCFC"/>
                <w14:textFill>
                  <w14:solidFill>
                    <w14:schemeClr w14:val="tx1"/>
                  </w14:solidFill>
                </w14:textFill>
              </w:rPr>
            </m:ctrlPr>
          </m:sub>
        </m:sSub>
      </m:oMath>
      <w:r>
        <w:rPr>
          <w:rFonts w:hint="eastAsia" w:ascii="Times New Roman" w:hAnsi="Times New Roman" w:eastAsia="宋体" w:cs="Times New Roman"/>
          <w:color w:val="000000" w:themeColor="text1"/>
          <w:sz w:val="24"/>
          <w:szCs w:val="24"/>
          <w14:textFill>
            <w14:solidFill>
              <w14:schemeClr w14:val="tx1"/>
            </w14:solidFill>
          </w14:textFill>
        </w:rPr>
        <w:t>）风险评估指数模型，分别确定</w:t>
      </w:r>
      <w:r>
        <w:rPr>
          <w:rFonts w:hint="eastAsia" w:ascii="宋体" w:hAnsi="宋体" w:eastAsia="宋体" w:cs="宋体"/>
          <w:color w:val="000000" w:themeColor="text1"/>
          <w:kern w:val="0"/>
          <w:sz w:val="24"/>
          <w:szCs w:val="24"/>
          <w14:textFill>
            <w14:solidFill>
              <w14:schemeClr w14:val="tx1"/>
            </w14:solidFill>
          </w14:textFill>
        </w:rPr>
        <w:t>孕灾环境敏感性和承灾体脆弱性</w:t>
      </w:r>
      <w:r>
        <w:rPr>
          <w:rFonts w:hint="eastAsia" w:ascii="Times New Roman" w:hAnsi="Times New Roman" w:eastAsia="宋体" w:cs="Times New Roman"/>
          <w:color w:val="000000" w:themeColor="text1"/>
          <w:sz w:val="24"/>
          <w:szCs w:val="24"/>
          <w14:textFill>
            <w14:solidFill>
              <w14:schemeClr w14:val="tx1"/>
            </w14:solidFill>
          </w14:textFill>
        </w:rPr>
        <w:t>每个评估指标的等级及权重，权重可通过层次分析法，专家打分进行确定。风险评估可采用多因素加权法，将孕灾环境敏感性（</w:t>
      </w:r>
      <m:oMath>
        <m:r>
          <m:rPr/>
          <w:rPr>
            <w:rFonts w:ascii="Cambria Math" w:hAnsi="Cambria Math" w:eastAsia="PingFang SC" w:cs="Times New Roman"/>
            <w:color w:val="000000" w:themeColor="text1"/>
            <w:kern w:val="0"/>
            <w:sz w:val="24"/>
            <w:szCs w:val="24"/>
            <w:shd w:val="clear" w:color="auto" w:fill="FCFCFC"/>
            <w14:textFill>
              <w14:solidFill>
                <w14:schemeClr w14:val="tx1"/>
              </w14:solidFill>
            </w14:textFill>
          </w:rPr>
          <m:t>E</m:t>
        </m:r>
      </m:oMath>
      <w:r>
        <w:rPr>
          <w:rFonts w:hint="eastAsia" w:ascii="Times New Roman" w:hAnsi="Times New Roman" w:eastAsia="宋体" w:cs="Times New Roman"/>
          <w:color w:val="000000" w:themeColor="text1"/>
          <w:sz w:val="24"/>
          <w:szCs w:val="24"/>
          <w14:textFill>
            <w14:solidFill>
              <w14:schemeClr w14:val="tx1"/>
            </w14:solidFill>
          </w14:textFill>
        </w:rPr>
        <w:t>）评估结果与承灾体脆弱度（</w:t>
      </w:r>
      <m:oMath>
        <m:r>
          <m:rPr/>
          <w:rPr>
            <w:rFonts w:ascii="Cambria Math" w:hAnsi="Cambria Math" w:eastAsia="PingFang SC" w:cs="Times New Roman"/>
            <w:color w:val="000000" w:themeColor="text1"/>
            <w:kern w:val="0"/>
            <w:sz w:val="24"/>
            <w:szCs w:val="24"/>
            <w:shd w:val="clear" w:color="auto" w:fill="FCFCFC"/>
            <w14:textFill>
              <w14:solidFill>
                <w14:schemeClr w14:val="tx1"/>
              </w14:solidFill>
            </w14:textFill>
          </w:rPr>
          <m:t>V</m:t>
        </m:r>
      </m:oMath>
      <w:r>
        <w:rPr>
          <w:rFonts w:hint="eastAsia" w:ascii="Times New Roman" w:hAnsi="Times New Roman" w:eastAsia="宋体" w:cs="Times New Roman"/>
          <w:color w:val="000000" w:themeColor="text1"/>
          <w:sz w:val="24"/>
          <w:szCs w:val="24"/>
          <w14:textFill>
            <w14:solidFill>
              <w14:schemeClr w14:val="tx1"/>
            </w14:solidFill>
          </w14:textFill>
        </w:rPr>
        <w:t>）评估结果进行空间叠加计算得到评估结果，</w:t>
      </w:r>
      <w:r>
        <w:rPr>
          <w:rFonts w:ascii="Times New Roman" w:hAnsi="Times New Roman" w:eastAsia="宋体" w:cs="Times New Roman"/>
          <w:color w:val="000000" w:themeColor="text1"/>
          <w:sz w:val="24"/>
          <w:szCs w:val="24"/>
          <w14:textFill>
            <w14:solidFill>
              <w14:schemeClr w14:val="tx1"/>
            </w14:solidFill>
          </w14:textFill>
        </w:rPr>
        <w:t>城市洪涝脆弱性</w:t>
      </w:r>
      <w:r>
        <w:rPr>
          <w:rFonts w:hint="eastAsia" w:ascii="Times New Roman" w:hAnsi="Times New Roman" w:eastAsia="宋体" w:cs="Times New Roman"/>
          <w:color w:val="000000" w:themeColor="text1"/>
          <w:sz w:val="24"/>
          <w:szCs w:val="24"/>
          <w14:textFill>
            <w14:solidFill>
              <w14:schemeClr w14:val="tx1"/>
            </w14:solidFill>
          </w14:textFill>
        </w:rPr>
        <w:t>风险评估指数可按下式计算：</w:t>
      </w:r>
    </w:p>
    <w:p>
      <w:pPr>
        <w:pStyle w:val="97"/>
        <w:jc w:val="right"/>
        <w:rPr>
          <w:rFonts w:ascii="宋体" w:hAnsi="宋体" w:cs="宋体"/>
          <w:iCs/>
        </w:rPr>
      </w:pPr>
      <w:r>
        <w:rPr>
          <w:iCs/>
          <w:shd w:val="clear" w:color="auto" w:fill="FCFCFC"/>
        </w:rPr>
        <w:tab/>
      </w:r>
      <m:oMath>
        <m:sSub>
          <m:sSubPr>
            <m:ctrlPr>
              <w:rPr>
                <w:rFonts w:ascii="Cambria Math" w:hAnsi="Cambria Math" w:eastAsia="PingFang SC"/>
                <w:iCs/>
                <w:shd w:val="clear" w:color="auto" w:fill="FCFCFC"/>
              </w:rPr>
            </m:ctrlPr>
          </m:sSubPr>
          <m:e>
            <m:r>
              <m:rPr/>
              <w:rPr>
                <w:rFonts w:ascii="Cambria Math" w:hAnsi="Cambria Math" w:eastAsia="PingFang SC"/>
                <w:shd w:val="clear" w:color="auto" w:fill="FCFCFC"/>
              </w:rPr>
              <m:t>S</m:t>
            </m:r>
            <m:ctrlPr>
              <w:rPr>
                <w:rFonts w:ascii="Cambria Math" w:hAnsi="Cambria Math" w:eastAsia="PingFang SC"/>
                <w:iCs/>
                <w:shd w:val="clear" w:color="auto" w:fill="FCFCFC"/>
              </w:rPr>
            </m:ctrlPr>
          </m:e>
          <m:sub>
            <m:r>
              <m:rPr/>
              <w:rPr>
                <w:rFonts w:hint="eastAsia" w:ascii="Cambria Math" w:hAnsi="Cambria Math" w:eastAsia="PingFang SC"/>
                <w:shd w:val="clear" w:color="auto" w:fill="FCFCFC"/>
              </w:rPr>
              <m:t>City</m:t>
            </m:r>
            <m:ctrlPr>
              <w:rPr>
                <w:rFonts w:ascii="Cambria Math" w:hAnsi="Cambria Math" w:eastAsia="PingFang SC"/>
                <w:iCs/>
                <w:shd w:val="clear" w:color="auto" w:fill="FCFCFC"/>
              </w:rPr>
            </m:ctrlPr>
          </m:sub>
        </m:sSub>
        <m:r>
          <m:rPr>
            <m:sty m:val="p"/>
          </m:rPr>
          <w:rPr>
            <w:rFonts w:ascii="Cambria Math" w:hAnsi="Cambria Math"/>
            <w:shd w:val="clear" w:color="auto" w:fill="FCFCFC"/>
          </w:rPr>
          <m:t>=</m:t>
        </m:r>
        <m:nary>
          <m:naryPr>
            <m:chr m:val="∑"/>
            <m:ctrlPr>
              <w:rPr>
                <w:rFonts w:ascii="Cambria Math" w:hAnsi="Cambria Math"/>
                <w:iCs/>
                <w:shd w:val="clear" w:color="auto" w:fill="FCFCFC"/>
              </w:rPr>
            </m:ctrlPr>
          </m:naryPr>
          <m:sub>
            <m:r>
              <m:rPr/>
              <w:rPr>
                <w:rFonts w:ascii="Cambria Math" w:hAnsi="Cambria Math"/>
                <w:shd w:val="clear" w:color="auto" w:fill="FCFCFC"/>
              </w:rPr>
              <m:t>i</m:t>
            </m:r>
            <m:r>
              <m:rPr>
                <m:sty m:val="p"/>
              </m:rPr>
              <w:rPr>
                <w:rFonts w:ascii="Cambria Math" w:hAnsi="Cambria Math"/>
                <w:shd w:val="clear" w:color="auto" w:fill="FCFCFC"/>
              </w:rPr>
              <m:t>=1</m:t>
            </m:r>
            <m:ctrlPr>
              <w:rPr>
                <w:rFonts w:ascii="Cambria Math" w:hAnsi="Cambria Math"/>
                <w:iCs/>
                <w:shd w:val="clear" w:color="auto" w:fill="FCFCFC"/>
              </w:rPr>
            </m:ctrlPr>
          </m:sub>
          <m:sup>
            <m:r>
              <m:rPr/>
              <w:rPr>
                <w:rFonts w:ascii="Cambria Math" w:hAnsi="Cambria Math"/>
                <w:shd w:val="clear" w:color="auto" w:fill="FCFCFC"/>
              </w:rPr>
              <m:t>n</m:t>
            </m:r>
            <m:ctrlPr>
              <w:rPr>
                <w:rFonts w:ascii="Cambria Math" w:hAnsi="Cambria Math"/>
                <w:iCs/>
                <w:shd w:val="clear" w:color="auto" w:fill="FCFCFC"/>
              </w:rPr>
            </m:ctrlPr>
          </m:sup>
          <m:e>
            <m:d>
              <m:dPr>
                <m:ctrlPr>
                  <w:rPr>
                    <w:rFonts w:ascii="Cambria Math" w:hAnsi="Cambria Math"/>
                    <w:iCs/>
                    <w:shd w:val="clear" w:color="auto" w:fill="FCFCFC"/>
                  </w:rPr>
                </m:ctrlPr>
              </m:dPr>
              <m:e>
                <m:sSub>
                  <m:sSubPr>
                    <m:ctrlPr>
                      <w:rPr>
                        <w:rFonts w:ascii="Cambria Math" w:hAnsi="Cambria Math"/>
                        <w:iCs/>
                        <w:shd w:val="clear" w:color="auto" w:fill="FCFCFC"/>
                      </w:rPr>
                    </m:ctrlPr>
                  </m:sSubPr>
                  <m:e>
                    <m:r>
                      <m:rPr/>
                      <w:rPr>
                        <w:rFonts w:ascii="Cambria Math" w:hAnsi="Cambria Math"/>
                        <w:shd w:val="clear" w:color="auto" w:fill="FCFCFC"/>
                      </w:rPr>
                      <m:t>w</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r>
                  <m:rPr>
                    <m:sty m:val="p"/>
                  </m:rPr>
                  <w:rPr>
                    <w:rFonts w:hint="eastAsia" w:ascii="Cambria Math" w:hAnsi="Cambria Math"/>
                    <w:shd w:val="clear" w:color="auto" w:fill="FCFCFC"/>
                  </w:rPr>
                  <m:t>×</m:t>
                </m:r>
                <m:sSub>
                  <m:sSubPr>
                    <m:ctrlPr>
                      <w:rPr>
                        <w:rFonts w:ascii="Cambria Math" w:hAnsi="Cambria Math"/>
                        <w:iCs/>
                        <w:shd w:val="clear" w:color="auto" w:fill="FCFCFC"/>
                      </w:rPr>
                    </m:ctrlPr>
                  </m:sSubPr>
                  <m:e>
                    <m:r>
                      <m:rPr/>
                      <w:rPr>
                        <w:rFonts w:ascii="Cambria Math" w:hAnsi="Cambria Math"/>
                        <w:shd w:val="clear" w:color="auto" w:fill="FCFCFC"/>
                      </w:rPr>
                      <m:t>E</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ctrlPr>
                  <w:rPr>
                    <w:rFonts w:ascii="Cambria Math" w:hAnsi="Cambria Math"/>
                    <w:iCs/>
                    <w:shd w:val="clear" w:color="auto" w:fill="FCFCFC"/>
                  </w:rPr>
                </m:ctrlPr>
              </m:e>
            </m:d>
            <m:r>
              <m:rPr>
                <m:sty m:val="p"/>
              </m:rPr>
              <w:rPr>
                <w:rFonts w:ascii="Cambria Math" w:hAnsi="Cambria Math"/>
                <w:shd w:val="clear" w:color="auto" w:fill="FCFCFC"/>
              </w:rPr>
              <m:t>+</m:t>
            </m:r>
            <m:nary>
              <m:naryPr>
                <m:chr m:val="∑"/>
                <m:ctrlPr>
                  <w:rPr>
                    <w:rFonts w:ascii="Cambria Math" w:hAnsi="Cambria Math"/>
                    <w:iCs/>
                    <w:shd w:val="clear" w:color="auto" w:fill="FCFCFC"/>
                  </w:rPr>
                </m:ctrlPr>
              </m:naryPr>
              <m:sub>
                <m:r>
                  <m:rPr/>
                  <w:rPr>
                    <w:rFonts w:ascii="Cambria Math" w:hAnsi="Cambria Math"/>
                    <w:shd w:val="clear" w:color="auto" w:fill="FCFCFC"/>
                  </w:rPr>
                  <m:t>i</m:t>
                </m:r>
                <m:r>
                  <m:rPr>
                    <m:sty m:val="p"/>
                  </m:rPr>
                  <w:rPr>
                    <w:rFonts w:ascii="Cambria Math" w:hAnsi="Cambria Math"/>
                    <w:shd w:val="clear" w:color="auto" w:fill="FCFCFC"/>
                  </w:rPr>
                  <m:t>=1</m:t>
                </m:r>
                <m:ctrlPr>
                  <w:rPr>
                    <w:rFonts w:ascii="Cambria Math" w:hAnsi="Cambria Math"/>
                    <w:iCs/>
                    <w:shd w:val="clear" w:color="auto" w:fill="FCFCFC"/>
                  </w:rPr>
                </m:ctrlPr>
              </m:sub>
              <m:sup>
                <m:r>
                  <m:rPr/>
                  <w:rPr>
                    <w:rFonts w:ascii="Cambria Math" w:hAnsi="Cambria Math"/>
                    <w:shd w:val="clear" w:color="auto" w:fill="FCFCFC"/>
                  </w:rPr>
                  <m:t>n</m:t>
                </m:r>
                <m:ctrlPr>
                  <w:rPr>
                    <w:rFonts w:ascii="Cambria Math" w:hAnsi="Cambria Math"/>
                    <w:iCs/>
                    <w:shd w:val="clear" w:color="auto" w:fill="FCFCFC"/>
                  </w:rPr>
                </m:ctrlPr>
              </m:sup>
              <m:e>
                <m:d>
                  <m:dPr>
                    <m:ctrlPr>
                      <w:rPr>
                        <w:rFonts w:ascii="Cambria Math" w:hAnsi="Cambria Math"/>
                        <w:iCs/>
                        <w:shd w:val="clear" w:color="auto" w:fill="FCFCFC"/>
                      </w:rPr>
                    </m:ctrlPr>
                  </m:dPr>
                  <m:e>
                    <m:sSub>
                      <m:sSubPr>
                        <m:ctrlPr>
                          <w:rPr>
                            <w:rFonts w:ascii="Cambria Math" w:hAnsi="Cambria Math"/>
                            <w:iCs/>
                            <w:shd w:val="clear" w:color="auto" w:fill="FCFCFC"/>
                          </w:rPr>
                        </m:ctrlPr>
                      </m:sSubPr>
                      <m:e>
                        <m:r>
                          <m:rPr/>
                          <w:rPr>
                            <w:rFonts w:ascii="Cambria Math" w:hAnsi="Cambria Math"/>
                            <w:shd w:val="clear" w:color="auto" w:fill="FCFCFC"/>
                          </w:rPr>
                          <m:t>w</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r>
                      <m:rPr>
                        <m:sty m:val="p"/>
                      </m:rPr>
                      <w:rPr>
                        <w:rFonts w:hint="eastAsia" w:ascii="Cambria Math" w:hAnsi="Cambria Math"/>
                        <w:shd w:val="clear" w:color="auto" w:fill="FCFCFC"/>
                      </w:rPr>
                      <m:t>×</m:t>
                    </m:r>
                    <m:sSub>
                      <m:sSubPr>
                        <m:ctrlPr>
                          <w:rPr>
                            <w:rFonts w:ascii="Cambria Math" w:hAnsi="Cambria Math"/>
                            <w:iCs/>
                            <w:shd w:val="clear" w:color="auto" w:fill="FCFCFC"/>
                          </w:rPr>
                        </m:ctrlPr>
                      </m:sSubPr>
                      <m:e>
                        <m:r>
                          <m:rPr/>
                          <w:rPr>
                            <w:rFonts w:ascii="Cambria Math" w:hAnsi="Cambria Math"/>
                            <w:shd w:val="clear" w:color="auto" w:fill="FCFCFC"/>
                          </w:rPr>
                          <m:t>V</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ctrlPr>
                      <w:rPr>
                        <w:rFonts w:ascii="Cambria Math" w:hAnsi="Cambria Math"/>
                        <w:iCs/>
                        <w:shd w:val="clear" w:color="auto" w:fill="FCFCFC"/>
                      </w:rPr>
                    </m:ctrlPr>
                  </m:e>
                </m:d>
                <m:ctrlPr>
                  <w:rPr>
                    <w:rFonts w:ascii="Cambria Math" w:hAnsi="Cambria Math"/>
                    <w:iCs/>
                    <w:shd w:val="clear" w:color="auto" w:fill="FCFCFC"/>
                  </w:rPr>
                </m:ctrlPr>
              </m:e>
            </m:nary>
            <m:ctrlPr>
              <w:rPr>
                <w:rFonts w:ascii="Cambria Math" w:hAnsi="Cambria Math"/>
                <w:iCs/>
                <w:shd w:val="clear" w:color="auto" w:fill="FCFCFC"/>
              </w:rPr>
            </m:ctrlPr>
          </m:e>
        </m:nary>
      </m:oMath>
      <w:r>
        <w:rPr>
          <w:iCs/>
          <w:shd w:val="clear" w:color="auto" w:fill="FCFCFC"/>
        </w:rPr>
        <w:tab/>
      </w:r>
      <w:r>
        <w:t>（4.3.1）</w:t>
      </w:r>
    </w:p>
    <w:p>
      <w:pPr>
        <w:widowControl/>
        <w:shd w:val="clear" w:color="auto" w:fill="FCFCFC"/>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inherit" w:hAnsi="inherit" w:eastAsia="宋体" w:cs="Segoe UI"/>
          <w:color w:val="000000" w:themeColor="text1"/>
          <w:kern w:val="0"/>
          <w:sz w:val="24"/>
          <w:szCs w:val="24"/>
          <w14:textFill>
            <w14:solidFill>
              <w14:schemeClr w14:val="tx1"/>
            </w14:solidFill>
          </w14:textFill>
        </w:rPr>
        <w:t>式中</w:t>
      </w:r>
      <w:r>
        <w:rPr>
          <w:rFonts w:ascii="Segoe UI" w:hAnsi="Segoe UI" w:eastAsia="宋体" w:cs="Segoe UI"/>
          <w:color w:val="000000" w:themeColor="text1"/>
          <w:kern w:val="0"/>
          <w:sz w:val="24"/>
          <w:szCs w:val="24"/>
          <w14:textFill>
            <w14:solidFill>
              <w14:schemeClr w14:val="tx1"/>
            </w14:solidFill>
          </w14:textFill>
        </w:rPr>
        <w:t>：</w:t>
      </w:r>
      <m:oMath>
        <m:sSub>
          <m:sSubPr>
            <m:ctrlPr>
              <w:rPr>
                <w:rFonts w:ascii="Cambria Math" w:hAnsi="Cambria Math" w:eastAsia="PingFang SC"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PingFang SC" w:cs="Times New Roman"/>
                <w:color w:val="000000" w:themeColor="text1"/>
                <w:kern w:val="0"/>
                <w:sz w:val="24"/>
                <w:szCs w:val="24"/>
                <w:shd w:val="clear" w:color="auto" w:fill="FCFCFC"/>
                <w14:textFill>
                  <w14:solidFill>
                    <w14:schemeClr w14:val="tx1"/>
                  </w14:solidFill>
                </w14:textFill>
              </w:rPr>
              <m:t>S</m:t>
            </m:r>
            <m:ctrlPr>
              <w:rPr>
                <w:rFonts w:ascii="Cambria Math" w:hAnsi="Cambria Math" w:eastAsia="PingFang SC" w:cs="Times New Roman"/>
                <w:i/>
                <w:iCs/>
                <w:color w:val="000000" w:themeColor="text1"/>
                <w:kern w:val="0"/>
                <w:sz w:val="24"/>
                <w:szCs w:val="24"/>
                <w:shd w:val="clear" w:color="auto" w:fill="FCFCFC"/>
                <w14:textFill>
                  <w14:solidFill>
                    <w14:schemeClr w14:val="tx1"/>
                  </w14:solidFill>
                </w14:textFill>
              </w:rPr>
            </m:ctrlPr>
          </m:e>
          <m:sub>
            <m:r>
              <m:rPr/>
              <w:rPr>
                <w:rFonts w:hint="eastAsia" w:ascii="Cambria Math" w:hAnsi="Cambria Math" w:eastAsia="PingFang SC" w:cs="Times New Roman"/>
                <w:color w:val="000000" w:themeColor="text1"/>
                <w:kern w:val="0"/>
                <w:sz w:val="24"/>
                <w:szCs w:val="24"/>
                <w:shd w:val="clear" w:color="auto" w:fill="FCFCFC"/>
                <w14:textFill>
                  <w14:solidFill>
                    <w14:schemeClr w14:val="tx1"/>
                  </w14:solidFill>
                </w14:textFill>
              </w:rPr>
              <m:t>City</m:t>
            </m:r>
            <m:ctrlPr>
              <w:rPr>
                <w:rFonts w:ascii="Cambria Math" w:hAnsi="Cambria Math" w:eastAsia="PingFang SC" w:cs="Times New Roman"/>
                <w:i/>
                <w:iCs/>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城市洪涝脆弱性</w:t>
      </w:r>
      <w:r>
        <w:rPr>
          <w:rFonts w:hint="eastAsia" w:ascii="Times New Roman" w:hAnsi="Times New Roman" w:eastAsia="宋体" w:cs="Times New Roman"/>
          <w:color w:val="000000" w:themeColor="text1"/>
          <w:sz w:val="24"/>
          <w:szCs w:val="24"/>
          <w14:textFill>
            <w14:solidFill>
              <w14:schemeClr w14:val="tx1"/>
            </w14:solidFill>
          </w14:textFill>
        </w:rPr>
        <w:t>风险评估指数；</w:t>
      </w:r>
    </w:p>
    <w:p>
      <w:pPr>
        <w:widowControl/>
        <w:shd w:val="clear" w:color="auto" w:fill="FCFCFC"/>
        <w:tabs>
          <w:tab w:val="left" w:pos="980"/>
        </w:tabs>
        <w:spacing w:line="360" w:lineRule="auto"/>
        <w:ind w:left="980" w:leftChars="350"/>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Segoe UI" w:hAnsi="Segoe UI" w:eastAsia="宋体" w:cs="Segoe UI"/>
          <w:iCs/>
          <w:color w:val="000000" w:themeColor="text1"/>
          <w:kern w:val="0"/>
          <w:sz w:val="24"/>
          <w:szCs w:val="24"/>
          <w:shd w:val="clear" w:color="auto" w:fill="FCFCFC"/>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E</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第</w:t>
      </w:r>
      <m:oMath>
        <m:r>
          <m:rPr/>
          <w:rPr>
            <w:rFonts w:ascii="Cambria Math" w:hAnsi="Cambria Math" w:eastAsia="宋体" w:cs="Times New Roman"/>
            <w:color w:val="000000" w:themeColor="text1"/>
            <w:kern w:val="0"/>
            <w:sz w:val="29"/>
            <w:szCs w:val="29"/>
            <w14:textFill>
              <w14:solidFill>
                <w14:schemeClr w14:val="tx1"/>
              </w14:solidFill>
            </w14:textFill>
          </w:rPr>
          <m:t>i</m:t>
        </m:r>
      </m:oMath>
      <w:r>
        <w:rPr>
          <w:rFonts w:ascii="Times New Roman" w:hAnsi="Times New Roman" w:eastAsia="宋体" w:cs="Times New Roman"/>
          <w:color w:val="000000" w:themeColor="text1"/>
          <w:kern w:val="0"/>
          <w:sz w:val="24"/>
          <w:szCs w:val="24"/>
          <w14:textFill>
            <w14:solidFill>
              <w14:schemeClr w14:val="tx1"/>
            </w14:solidFill>
          </w14:textFill>
        </w:rPr>
        <w:t>个</w:t>
      </w:r>
      <w:r>
        <w:rPr>
          <w:rFonts w:hint="eastAsia" w:ascii="Times New Roman" w:hAnsi="Times New Roman" w:eastAsia="宋体" w:cs="Times New Roman"/>
          <w:color w:val="000000" w:themeColor="text1"/>
          <w:kern w:val="0"/>
          <w:sz w:val="24"/>
          <w:szCs w:val="24"/>
          <w14:textFill>
            <w14:solidFill>
              <w14:schemeClr w14:val="tx1"/>
            </w14:solidFill>
          </w14:textFill>
        </w:rPr>
        <w:t>孕灾环境</w:t>
      </w:r>
      <w:r>
        <w:rPr>
          <w:rFonts w:ascii="Times New Roman" w:hAnsi="Times New Roman" w:eastAsia="宋体" w:cs="Times New Roman"/>
          <w:color w:val="000000" w:themeColor="text1"/>
          <w:kern w:val="0"/>
          <w:sz w:val="24"/>
          <w:szCs w:val="24"/>
          <w14:textFill>
            <w14:solidFill>
              <w14:schemeClr w14:val="tx1"/>
            </w14:solidFill>
          </w14:textFill>
        </w:rPr>
        <w:t>的等级值</w:t>
      </w:r>
      <w:r>
        <w:rPr>
          <w:rFonts w:hint="eastAsia" w:ascii="Times New Roman" w:hAnsi="Times New Roman" w:eastAsia="宋体" w:cs="Times New Roman"/>
          <w:color w:val="000000" w:themeColor="text1"/>
          <w:kern w:val="0"/>
          <w:sz w:val="24"/>
          <w:szCs w:val="24"/>
          <w14:textFill>
            <w14:solidFill>
              <w14:schemeClr w14:val="tx1"/>
            </w14:solidFill>
          </w14:textFill>
        </w:rPr>
        <w:t>，各指标等级计算方法详见本标准第</w:t>
      </w:r>
    </w:p>
    <w:p>
      <w:pPr>
        <w:widowControl/>
        <w:shd w:val="clear" w:color="auto" w:fill="FCFCFC"/>
        <w:tabs>
          <w:tab w:val="left" w:pos="1843"/>
        </w:tabs>
        <w:spacing w:line="360" w:lineRule="auto"/>
        <w:ind w:firstLine="1"/>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ab/>
      </w:r>
      <w:r>
        <w:rPr>
          <w:rFonts w:hint="eastAsia" w:ascii="Times New Roman" w:hAnsi="Times New Roman" w:eastAsia="宋体" w:cs="Times New Roman"/>
          <w:color w:val="000000" w:themeColor="text1"/>
          <w:kern w:val="0"/>
          <w:sz w:val="24"/>
          <w:szCs w:val="24"/>
          <w14:textFill>
            <w14:solidFill>
              <w14:schemeClr w14:val="tx1"/>
            </w14:solidFill>
          </w14:textFill>
        </w:rPr>
        <w:t>4.2节；</w:t>
      </w:r>
    </w:p>
    <w:p>
      <w:pPr>
        <w:widowControl/>
        <w:shd w:val="clear" w:color="auto" w:fill="FCFCFC"/>
        <w:tabs>
          <w:tab w:val="left" w:pos="993"/>
        </w:tabs>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shd w:val="clear" w:color="auto" w:fill="FCFCFC"/>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V</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第</w:t>
      </w:r>
      <m:oMath>
        <m:r>
          <m:rPr/>
          <w:rPr>
            <w:rFonts w:ascii="Cambria Math" w:hAnsi="Cambria Math" w:eastAsia="宋体" w:cs="Times New Roman"/>
            <w:color w:val="000000" w:themeColor="text1"/>
            <w:kern w:val="0"/>
            <w:sz w:val="29"/>
            <w:szCs w:val="29"/>
            <w14:textFill>
              <w14:solidFill>
                <w14:schemeClr w14:val="tx1"/>
              </w14:solidFill>
            </w14:textFill>
          </w:rPr>
          <m:t>i</m:t>
        </m:r>
      </m:oMath>
      <w:r>
        <w:rPr>
          <w:rFonts w:ascii="Times New Roman" w:hAnsi="Times New Roman" w:eastAsia="宋体" w:cs="Times New Roman"/>
          <w:color w:val="000000" w:themeColor="text1"/>
          <w:kern w:val="0"/>
          <w:sz w:val="24"/>
          <w:szCs w:val="24"/>
          <w14:textFill>
            <w14:solidFill>
              <w14:schemeClr w14:val="tx1"/>
            </w14:solidFill>
          </w14:textFill>
        </w:rPr>
        <w:t>个</w:t>
      </w:r>
      <w:r>
        <w:rPr>
          <w:rFonts w:hint="eastAsia" w:ascii="Times New Roman" w:hAnsi="Times New Roman" w:eastAsia="宋体" w:cs="Times New Roman"/>
          <w:color w:val="000000" w:themeColor="text1"/>
          <w:kern w:val="0"/>
          <w:sz w:val="24"/>
          <w:szCs w:val="24"/>
          <w14:textFill>
            <w14:solidFill>
              <w14:schemeClr w14:val="tx1"/>
            </w14:solidFill>
          </w14:textFill>
        </w:rPr>
        <w:t>承灾体</w:t>
      </w:r>
      <w:r>
        <w:rPr>
          <w:rFonts w:ascii="Times New Roman" w:hAnsi="Times New Roman" w:eastAsia="宋体" w:cs="Times New Roman"/>
          <w:color w:val="000000" w:themeColor="text1"/>
          <w:kern w:val="0"/>
          <w:sz w:val="24"/>
          <w:szCs w:val="24"/>
          <w14:textFill>
            <w14:solidFill>
              <w14:schemeClr w14:val="tx1"/>
            </w14:solidFill>
          </w14:textFill>
        </w:rPr>
        <w:t>指标的等级值</w:t>
      </w:r>
      <w:r>
        <w:rPr>
          <w:rFonts w:hint="eastAsia" w:ascii="Times New Roman" w:hAnsi="Times New Roman" w:eastAsia="宋体" w:cs="Times New Roman"/>
          <w:color w:val="000000" w:themeColor="text1"/>
          <w:kern w:val="0"/>
          <w:sz w:val="24"/>
          <w:szCs w:val="24"/>
          <w14:textFill>
            <w14:solidFill>
              <w14:schemeClr w14:val="tx1"/>
            </w14:solidFill>
          </w14:textFill>
        </w:rPr>
        <w:t>，各指标等级计算方法详见本标准</w:t>
      </w:r>
    </w:p>
    <w:p>
      <w:pPr>
        <w:widowControl/>
        <w:shd w:val="clear" w:color="auto" w:fill="FCFCFC"/>
        <w:tabs>
          <w:tab w:val="left" w:pos="1764"/>
        </w:tabs>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ab/>
      </w:r>
      <w:r>
        <w:rPr>
          <w:rFonts w:hint="eastAsia" w:ascii="Times New Roman" w:hAnsi="Times New Roman" w:eastAsia="宋体" w:cs="Times New Roman"/>
          <w:color w:val="000000" w:themeColor="text1"/>
          <w:kern w:val="0"/>
          <w:sz w:val="24"/>
          <w:szCs w:val="24"/>
          <w14:textFill>
            <w14:solidFill>
              <w14:schemeClr w14:val="tx1"/>
            </w14:solidFill>
          </w14:textFill>
        </w:rPr>
        <w:t>第4.2节；</w:t>
      </w:r>
    </w:p>
    <w:p>
      <w:pPr>
        <w:widowControl/>
        <w:shd w:val="clear" w:color="auto" w:fill="FCFCFC"/>
        <w:tabs>
          <w:tab w:val="left" w:pos="993"/>
        </w:tabs>
        <w:spacing w:line="360" w:lineRule="auto"/>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shd w:val="clear" w:color="auto" w:fill="FCFCFC"/>
          <w14:textFill>
            <w14:solidFill>
              <w14:schemeClr w14:val="tx1"/>
            </w14:solidFill>
          </w14:textFill>
        </w:rPr>
        <w:tab/>
      </w:r>
      <m:oMath>
        <m:sSub>
          <m:sSubPr>
            <m:ctrlPr>
              <w:rPr>
                <w:rFonts w:ascii="Cambria Math" w:hAnsi="Cambria Math" w:eastAsia="宋体" w:cs="Times New Roman"/>
                <w:i/>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w</m:t>
            </m:r>
            <m:ctrlPr>
              <w:rPr>
                <w:rFonts w:ascii="Cambria Math" w:hAnsi="Cambria Math" w:eastAsia="宋体" w:cs="Times New Roman"/>
                <w:i/>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Segoe UI" w:hAnsi="Segoe UI" w:eastAsia="宋体" w:cs="Segoe UI"/>
          <w:color w:val="000000" w:themeColor="text1"/>
          <w:kern w:val="0"/>
          <w:sz w:val="24"/>
          <w:szCs w:val="24"/>
          <w14:textFill>
            <w14:solidFill>
              <w14:schemeClr w14:val="tx1"/>
            </w14:solidFill>
          </w14:textFill>
        </w:rPr>
        <w:t>指标</w:t>
      </w:r>
      <m:oMath>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E</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r>
          <m:rPr/>
          <w:rPr>
            <w:rFonts w:hint="eastAsia" w:ascii="Cambria Math" w:hAnsi="Cambria Math" w:eastAsia="宋体" w:cs="Times New Roman"/>
            <w:color w:val="000000" w:themeColor="text1"/>
            <w:kern w:val="0"/>
            <w:sz w:val="24"/>
            <w:szCs w:val="24"/>
            <w:shd w:val="clear" w:color="auto" w:fill="FCFCFC"/>
            <w14:textFill>
              <w14:solidFill>
                <w14:schemeClr w14:val="tx1"/>
              </w14:solidFill>
            </w14:textFill>
          </w:rPr>
          <m:t>，</m:t>
        </m:r>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V</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oMath>
      <w:r>
        <w:rPr>
          <w:rFonts w:ascii="inherit" w:hAnsi="inherit" w:eastAsia="宋体" w:cs="Times New Roman"/>
          <w:color w:val="000000" w:themeColor="text1"/>
          <w:kern w:val="0"/>
          <w:sz w:val="2"/>
          <w:szCs w:val="2"/>
          <w14:textFill>
            <w14:solidFill>
              <w14:schemeClr w14:val="tx1"/>
            </w14:solidFill>
          </w14:textFill>
        </w:rPr>
        <w:t>​</w:t>
      </w:r>
      <w:r>
        <w:rPr>
          <w:rFonts w:ascii="Segoe UI" w:hAnsi="Segoe UI" w:eastAsia="宋体" w:cs="Segoe UI"/>
          <w:color w:val="000000" w:themeColor="text1"/>
          <w:kern w:val="0"/>
          <w:sz w:val="24"/>
          <w:szCs w:val="24"/>
          <w14:textFill>
            <w14:solidFill>
              <w14:schemeClr w14:val="tx1"/>
            </w14:solidFill>
          </w14:textFill>
        </w:rPr>
        <w:t>的权重</w:t>
      </w:r>
      <w:r>
        <w:rPr>
          <w:rFonts w:hint="eastAsia" w:ascii="Segoe UI" w:hAnsi="Segoe UI" w:eastAsia="宋体" w:cs="Segoe UI"/>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可以通过层次分析法、专家打分法等方法</w:t>
      </w:r>
    </w:p>
    <w:p>
      <w:pPr>
        <w:widowControl/>
        <w:shd w:val="clear" w:color="auto" w:fill="FCFCFC"/>
        <w:tabs>
          <w:tab w:val="left" w:pos="1820"/>
        </w:tabs>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进行确定</w:t>
      </w:r>
      <w:r>
        <w:rPr>
          <w:rFonts w:hint="eastAsia" w:ascii="Segoe UI" w:hAnsi="Segoe UI" w:eastAsia="宋体" w:cs="Segoe UI"/>
          <w:color w:val="000000" w:themeColor="text1"/>
          <w:kern w:val="0"/>
          <w:sz w:val="24"/>
          <w:szCs w:val="24"/>
          <w14:textFill>
            <w14:solidFill>
              <w14:schemeClr w14:val="tx1"/>
            </w14:solidFill>
          </w14:textFill>
        </w:rPr>
        <w:t>。</w:t>
      </w:r>
    </w:p>
    <w:p>
      <w:pPr>
        <w:widowControl/>
        <w:shd w:val="clear" w:color="auto" w:fill="FCFCFC"/>
        <w:spacing w:line="360" w:lineRule="auto"/>
        <w:ind w:left="1131" w:leftChars="51" w:hanging="988" w:hangingChars="412"/>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Segoe UI" w:hAnsi="Segoe UI" w:eastAsia="宋体" w:cs="Segoe UI"/>
          <w:color w:val="000000" w:themeColor="text1"/>
          <w:kern w:val="0"/>
          <w:sz w:val="24"/>
          <w:szCs w:val="24"/>
          <w14:textFill>
            <w14:solidFill>
              <w14:schemeClr w14:val="tx1"/>
            </w14:solidFill>
          </w14:textFill>
        </w:rPr>
        <w:tab/>
      </w:r>
      <m:oMath>
        <m:r>
          <m:rPr/>
          <w:rPr>
            <w:rFonts w:ascii="Cambria Math" w:hAnsi="Cambria Math" w:eastAsia="宋体" w:cs="Times New Roman"/>
            <w:color w:val="000000" w:themeColor="text1"/>
            <w:kern w:val="0"/>
            <w:sz w:val="24"/>
            <w:szCs w:val="24"/>
            <w14:textFill>
              <w14:solidFill>
                <w14:schemeClr w14:val="tx1"/>
              </w14:solidFill>
            </w14:textFill>
          </w:rPr>
          <m:t>n</m:t>
        </m:r>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评价指标数量，城市洪涝脆弱性评价考虑孕灾环境8个指标，</w:t>
      </w:r>
    </w:p>
    <w:p>
      <w:pPr>
        <w:widowControl/>
        <w:shd w:val="clear" w:color="auto" w:fill="FCFCFC"/>
        <w:tabs>
          <w:tab w:val="left" w:pos="2127"/>
        </w:tabs>
        <w:spacing w:line="360" w:lineRule="auto"/>
        <w:ind w:left="1842" w:leftChars="305" w:hanging="988" w:hangingChars="412"/>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ab/>
      </w:r>
      <w:r>
        <w:rPr>
          <w:rFonts w:ascii="Times New Roman" w:hAnsi="Times New Roman" w:eastAsia="宋体" w:cs="Times New Roman"/>
          <w:color w:val="000000" w:themeColor="text1"/>
          <w:kern w:val="0"/>
          <w:sz w:val="24"/>
          <w:szCs w:val="24"/>
          <w14:textFill>
            <w14:solidFill>
              <w14:schemeClr w14:val="tx1"/>
            </w14:solidFill>
          </w14:textFill>
        </w:rPr>
        <w:t>分别为高程、坡度、水面率、径流系数、土壤渗透系数、主次干道密度、城区类型、雨水管渠重现期达标率；考虑承灾体4个指标，分别为人口密度、地下空间出入口密度、生命线设施密度、易发链生灾害点位密度。各地区开展评估工作时可依据当地实际情况进行调整。</w:t>
      </w:r>
    </w:p>
    <w:p>
      <w:pPr>
        <w:widowControl/>
        <w:numPr>
          <w:ilvl w:val="2"/>
          <w:numId w:val="1"/>
        </w:numPr>
        <w:shd w:val="clear" w:color="auto" w:fill="FCFCFC"/>
        <w:adjustRightInd w:val="0"/>
        <w:snapToGrid w:val="0"/>
        <w:spacing w:line="360" w:lineRule="auto"/>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依据</w:t>
      </w:r>
      <w:r>
        <w:rPr>
          <w:rFonts w:ascii="Times New Roman" w:hAnsi="Times New Roman" w:eastAsia="宋体" w:cs="Times New Roman"/>
          <w:color w:val="000000" w:themeColor="text1"/>
          <w:sz w:val="24"/>
          <w:szCs w:val="24"/>
          <w14:textFill>
            <w14:solidFill>
              <w14:schemeClr w14:val="tx1"/>
            </w14:solidFill>
          </w14:textFill>
        </w:rPr>
        <w:t>城市洪涝脆弱性</w:t>
      </w:r>
      <w:r>
        <w:rPr>
          <w:rFonts w:hint="eastAsia" w:ascii="Times New Roman" w:hAnsi="Times New Roman" w:eastAsia="宋体" w:cs="Times New Roman"/>
          <w:color w:val="000000" w:themeColor="text1"/>
          <w:sz w:val="24"/>
          <w:szCs w:val="24"/>
          <w14:textFill>
            <w14:solidFill>
              <w14:schemeClr w14:val="tx1"/>
            </w14:solidFill>
          </w14:textFill>
        </w:rPr>
        <w:t>风险指数大小，按自然断点法，将</w:t>
      </w:r>
      <w:r>
        <w:rPr>
          <w:rFonts w:ascii="Times New Roman" w:hAnsi="Times New Roman" w:eastAsia="宋体" w:cs="Times New Roman"/>
          <w:color w:val="000000" w:themeColor="text1"/>
          <w:sz w:val="24"/>
          <w:szCs w:val="24"/>
          <w14:textFill>
            <w14:solidFill>
              <w14:schemeClr w14:val="tx1"/>
            </w14:solidFill>
          </w14:textFill>
        </w:rPr>
        <w:t>城市洪涝脆弱性</w:t>
      </w:r>
      <w:r>
        <w:rPr>
          <w:rFonts w:hint="eastAsia" w:ascii="Times New Roman" w:hAnsi="Times New Roman" w:eastAsia="宋体" w:cs="Times New Roman"/>
          <w:color w:val="000000" w:themeColor="text1"/>
          <w:sz w:val="24"/>
          <w:szCs w:val="24"/>
          <w14:textFill>
            <w14:solidFill>
              <w14:schemeClr w14:val="tx1"/>
            </w14:solidFill>
          </w14:textFill>
        </w:rPr>
        <w:t>风险分为4个等级，各等级色系参见本标准第6.4节。自然断点法应符合本标准附录</w:t>
      </w: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的规定。</w:t>
      </w:r>
    </w:p>
    <w:p>
      <w:pPr>
        <w:pStyle w:val="3"/>
        <w:rPr>
          <w:color w:val="000000" w:themeColor="text1"/>
          <w14:textFill>
            <w14:solidFill>
              <w14:schemeClr w14:val="tx1"/>
            </w14:solidFill>
          </w14:textFill>
        </w:rPr>
      </w:pPr>
      <w:bookmarkStart w:id="191" w:name="_Toc201078656"/>
      <w:bookmarkStart w:id="192" w:name="_Toc201223971"/>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93" w:name="_Toc201743725"/>
      <w:bookmarkStart w:id="194" w:name="_Toc201743674"/>
      <w:bookmarkStart w:id="195" w:name="_Toc201745749"/>
      <w:bookmarkStart w:id="196" w:name="_Toc201743623"/>
      <w:r>
        <w:rPr>
          <w:rFonts w:hint="eastAsia"/>
          <w:color w:val="000000" w:themeColor="text1"/>
          <w14:textFill>
            <w14:solidFill>
              <w14:schemeClr w14:val="tx1"/>
            </w14:solidFill>
          </w14:textFill>
        </w:rPr>
        <w:t>洪涝灾害链综合风险评估与区划</w:t>
      </w:r>
      <w:bookmarkEnd w:id="191"/>
      <w:bookmarkEnd w:id="192"/>
      <w:bookmarkEnd w:id="193"/>
      <w:bookmarkEnd w:id="194"/>
      <w:bookmarkEnd w:id="195"/>
      <w:bookmarkEnd w:id="196"/>
    </w:p>
    <w:p>
      <w:pPr>
        <w:widowControl/>
        <w:numPr>
          <w:ilvl w:val="2"/>
          <w:numId w:val="1"/>
        </w:numPr>
        <w:shd w:val="clear" w:color="auto" w:fill="FCFCFC"/>
        <w:adjustRightInd w:val="0"/>
        <w:snapToGrid w:val="0"/>
        <w:spacing w:line="360" w:lineRule="auto"/>
        <w:textAlignment w:val="baseline"/>
        <w:rPr>
          <w:rStyle w:val="82"/>
          <w:rFonts w:hint="eastAsia" w:ascii="KaTeX_Math" w:hAnsi="KaTeX_Math" w:eastAsia="黑体" w:cs="Times New Roman"/>
          <w:b/>
          <w:bCs/>
          <w:i/>
          <w:color w:val="000000" w:themeColor="text1"/>
          <w:sz w:val="29"/>
          <w:szCs w:val="29"/>
          <w:shd w:val="clear" w:color="auto" w:fill="FCFCFC"/>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建立洪涝灾害链综合风险评估指数模型，分别确定致灾因子危险性、孕灾环境敏感性和承灾体脆弱性每个评估指标的等级及权重，权重可以通过层次分析法，专家打分进行确定。风险评估可采用多因素加权法，将洪水积水风险（</w:t>
      </w:r>
      <m:oMath>
        <m:r>
          <m:rPr/>
          <w:rPr>
            <w:rFonts w:ascii="Cambria Math" w:hAnsi="Cambria Math" w:eastAsia="宋体" w:cs="Times New Roman"/>
            <w:color w:val="000000" w:themeColor="text1"/>
            <w:sz w:val="24"/>
            <w:szCs w:val="24"/>
            <w14:textFill>
              <w14:solidFill>
                <w14:schemeClr w14:val="tx1"/>
              </w14:solidFill>
            </w14:textFill>
          </w:rPr>
          <m:t>F</m:t>
        </m:r>
      </m:oMath>
      <w:r>
        <w:rPr>
          <w:rFonts w:hint="eastAsia" w:ascii="Times New Roman" w:hAnsi="Times New Roman" w:eastAsia="宋体" w:cs="Times New Roman"/>
          <w:color w:val="000000" w:themeColor="text1"/>
          <w:sz w:val="24"/>
          <w:szCs w:val="24"/>
          <w14:textFill>
            <w14:solidFill>
              <w14:schemeClr w14:val="tx1"/>
            </w14:solidFill>
          </w14:textFill>
        </w:rPr>
        <w:t>）、孕灾环境敏感性（</w:t>
      </w:r>
      <m:oMath>
        <m:r>
          <m:rPr/>
          <w:rPr>
            <w:rFonts w:ascii="Cambria Math" w:hAnsi="Cambria Math" w:eastAsia="宋体" w:cs="Times New Roman"/>
            <w:color w:val="000000" w:themeColor="text1"/>
            <w:sz w:val="24"/>
            <w:szCs w:val="24"/>
            <w14:textFill>
              <w14:solidFill>
                <w14:schemeClr w14:val="tx1"/>
              </w14:solidFill>
            </w14:textFill>
          </w:rPr>
          <m:t>E</m:t>
        </m:r>
      </m:oMath>
      <w:r>
        <w:rPr>
          <w:rFonts w:hint="eastAsia" w:ascii="Times New Roman" w:hAnsi="Times New Roman" w:eastAsia="宋体" w:cs="Times New Roman"/>
          <w:color w:val="000000" w:themeColor="text1"/>
          <w:sz w:val="24"/>
          <w:szCs w:val="24"/>
          <w14:textFill>
            <w14:solidFill>
              <w14:schemeClr w14:val="tx1"/>
            </w14:solidFill>
          </w14:textFill>
        </w:rPr>
        <w:t>）与承灾体脆弱度（</w:t>
      </w:r>
      <m:oMath>
        <m:r>
          <m:rPr/>
          <w:rPr>
            <w:rFonts w:ascii="Cambria Math" w:hAnsi="Cambria Math" w:eastAsia="宋体" w:cs="Times New Roman"/>
            <w:color w:val="000000" w:themeColor="text1"/>
            <w:sz w:val="24"/>
            <w:szCs w:val="24"/>
            <w14:textFill>
              <w14:solidFill>
                <w14:schemeClr w14:val="tx1"/>
              </w14:solidFill>
            </w14:textFill>
          </w:rPr>
          <m:t>V</m:t>
        </m:r>
      </m:oMath>
      <w:r>
        <w:rPr>
          <w:rFonts w:hint="eastAsia" w:ascii="Times New Roman" w:hAnsi="Times New Roman" w:eastAsia="宋体" w:cs="Times New Roman"/>
          <w:color w:val="000000" w:themeColor="text1"/>
          <w:sz w:val="24"/>
          <w:szCs w:val="24"/>
          <w14:textFill>
            <w14:solidFill>
              <w14:schemeClr w14:val="tx1"/>
            </w14:solidFill>
          </w14:textFill>
        </w:rPr>
        <w:t>）评估结果进行空间叠加计算得到评估结果，灾害链综合风险评估指数可按下式计算：</w:t>
      </w:r>
    </w:p>
    <w:p>
      <w:pPr>
        <w:pStyle w:val="97"/>
        <w:jc w:val="right"/>
        <w:rPr>
          <w:rStyle w:val="82"/>
          <w:rFonts w:hint="eastAsia" w:ascii="KaTeX_Math" w:hAnsi="KaTeX_Math"/>
          <w:i/>
          <w:sz w:val="29"/>
          <w:szCs w:val="29"/>
          <w:shd w:val="clear" w:color="auto" w:fill="FCFCFC"/>
        </w:rPr>
      </w:pPr>
      <w:r>
        <w:rPr>
          <w:rStyle w:val="82"/>
          <w:rFonts w:ascii="KaTeX_Math" w:hAnsi="KaTeX_Math" w:eastAsia="仿宋"/>
          <w:i/>
          <w:shd w:val="clear" w:color="auto" w:fill="FCFCFC"/>
        </w:rPr>
        <w:tab/>
      </w:r>
      <m:oMath>
        <m:r>
          <m:rPr/>
          <w:rPr>
            <w:rStyle w:val="82"/>
            <w:rFonts w:ascii="Cambria Math" w:hAnsi="Cambria Math"/>
            <w:shd w:val="clear" w:color="auto" w:fill="FCFCFC"/>
          </w:rPr>
          <m:t>R</m:t>
        </m:r>
        <m:r>
          <m:rPr/>
          <w:rPr>
            <w:rStyle w:val="83"/>
            <w:rFonts w:ascii="Cambria Math" w:hAnsi="Cambria Math"/>
            <w:shd w:val="clear" w:color="auto" w:fill="FCFCFC"/>
          </w:rPr>
          <m:t>=</m:t>
        </m:r>
        <m:sSub>
          <m:sSubPr>
            <m:ctrlPr>
              <w:rPr>
                <w:rFonts w:ascii="Cambria Math" w:hAnsi="Cambria Math"/>
                <w:iCs/>
                <w:shd w:val="clear" w:color="auto" w:fill="FCFCFC"/>
              </w:rPr>
            </m:ctrlPr>
          </m:sSubPr>
          <m:e>
            <m:r>
              <m:rPr/>
              <w:rPr>
                <w:rFonts w:ascii="Cambria Math" w:hAnsi="Cambria Math"/>
                <w:shd w:val="clear" w:color="auto" w:fill="FCFCFC"/>
              </w:rPr>
              <m:t>w</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r>
          <m:rPr/>
          <w:rPr>
            <w:rStyle w:val="87"/>
            <w:rFonts w:hint="eastAsia" w:ascii="Cambria Math" w:hAnsi="Cambria Math" w:eastAsia="MS Gothic" w:cs="MS Gothic"/>
            <w:shd w:val="clear" w:color="auto" w:fill="FCFCFC"/>
          </w:rPr>
          <m:t>⋅</m:t>
        </m:r>
        <m:r>
          <m:rPr/>
          <w:rPr>
            <w:rStyle w:val="82"/>
            <w:rFonts w:ascii="Cambria Math" w:hAnsi="Cambria Math"/>
            <w:shd w:val="clear" w:color="auto" w:fill="FCFCFC"/>
          </w:rPr>
          <m:t>F</m:t>
        </m:r>
        <m:r>
          <m:rPr/>
          <w:rPr>
            <w:rStyle w:val="87"/>
            <w:rFonts w:ascii="Cambria Math" w:hAnsi="Cambria Math"/>
            <w:shd w:val="clear" w:color="auto" w:fill="FCFCFC"/>
          </w:rPr>
          <m:t>+</m:t>
        </m:r>
        <m:nary>
          <m:naryPr>
            <m:chr m:val="∑"/>
            <m:ctrlPr>
              <w:rPr>
                <w:rFonts w:ascii="Cambria Math" w:hAnsi="Cambria Math"/>
                <w:iCs/>
                <w:shd w:val="clear" w:color="auto" w:fill="FCFCFC"/>
              </w:rPr>
            </m:ctrlPr>
          </m:naryPr>
          <m:sub>
            <m:r>
              <m:rPr/>
              <w:rPr>
                <w:rFonts w:ascii="Cambria Math" w:hAnsi="Cambria Math"/>
                <w:shd w:val="clear" w:color="auto" w:fill="FCFCFC"/>
              </w:rPr>
              <m:t>i</m:t>
            </m:r>
            <m:r>
              <m:rPr>
                <m:sty m:val="p"/>
              </m:rPr>
              <w:rPr>
                <w:rFonts w:ascii="Cambria Math" w:hAnsi="Cambria Math"/>
                <w:shd w:val="clear" w:color="auto" w:fill="FCFCFC"/>
              </w:rPr>
              <m:t>=1</m:t>
            </m:r>
            <m:ctrlPr>
              <w:rPr>
                <w:rFonts w:ascii="Cambria Math" w:hAnsi="Cambria Math"/>
                <w:iCs/>
                <w:shd w:val="clear" w:color="auto" w:fill="FCFCFC"/>
              </w:rPr>
            </m:ctrlPr>
          </m:sub>
          <m:sup>
            <m:r>
              <m:rPr/>
              <w:rPr>
                <w:rFonts w:ascii="Cambria Math" w:hAnsi="Cambria Math"/>
                <w:shd w:val="clear" w:color="auto" w:fill="FCFCFC"/>
              </w:rPr>
              <m:t>n</m:t>
            </m:r>
            <m:ctrlPr>
              <w:rPr>
                <w:rFonts w:ascii="Cambria Math" w:hAnsi="Cambria Math"/>
                <w:iCs/>
                <w:shd w:val="clear" w:color="auto" w:fill="FCFCFC"/>
              </w:rPr>
            </m:ctrlPr>
          </m:sup>
          <m:e>
            <m:d>
              <m:dPr>
                <m:ctrlPr>
                  <w:rPr>
                    <w:rFonts w:ascii="Cambria Math" w:hAnsi="Cambria Math"/>
                    <w:iCs/>
                    <w:shd w:val="clear" w:color="auto" w:fill="FCFCFC"/>
                  </w:rPr>
                </m:ctrlPr>
              </m:dPr>
              <m:e>
                <m:sSub>
                  <m:sSubPr>
                    <m:ctrlPr>
                      <w:rPr>
                        <w:rFonts w:ascii="Cambria Math" w:hAnsi="Cambria Math"/>
                        <w:iCs/>
                        <w:shd w:val="clear" w:color="auto" w:fill="FCFCFC"/>
                      </w:rPr>
                    </m:ctrlPr>
                  </m:sSubPr>
                  <m:e>
                    <m:r>
                      <m:rPr/>
                      <w:rPr>
                        <w:rFonts w:ascii="Cambria Math" w:hAnsi="Cambria Math"/>
                        <w:shd w:val="clear" w:color="auto" w:fill="FCFCFC"/>
                      </w:rPr>
                      <m:t>w</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r>
                  <m:rPr>
                    <m:sty m:val="p"/>
                  </m:rPr>
                  <w:rPr>
                    <w:rFonts w:hint="eastAsia" w:ascii="Cambria Math" w:hAnsi="Cambria Math"/>
                    <w:shd w:val="clear" w:color="auto" w:fill="FCFCFC"/>
                  </w:rPr>
                  <m:t>×</m:t>
                </m:r>
                <m:sSub>
                  <m:sSubPr>
                    <m:ctrlPr>
                      <w:rPr>
                        <w:rFonts w:ascii="Cambria Math" w:hAnsi="Cambria Math"/>
                        <w:iCs/>
                        <w:shd w:val="clear" w:color="auto" w:fill="FCFCFC"/>
                      </w:rPr>
                    </m:ctrlPr>
                  </m:sSubPr>
                  <m:e>
                    <m:r>
                      <m:rPr/>
                      <w:rPr>
                        <w:rFonts w:ascii="Cambria Math" w:hAnsi="Cambria Math"/>
                        <w:shd w:val="clear" w:color="auto" w:fill="FCFCFC"/>
                      </w:rPr>
                      <m:t>E</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ctrlPr>
                  <w:rPr>
                    <w:rFonts w:ascii="Cambria Math" w:hAnsi="Cambria Math"/>
                    <w:iCs/>
                    <w:shd w:val="clear" w:color="auto" w:fill="FCFCFC"/>
                  </w:rPr>
                </m:ctrlPr>
              </m:e>
            </m:d>
            <m:ctrlPr>
              <w:rPr>
                <w:rFonts w:ascii="Cambria Math" w:hAnsi="Cambria Math"/>
                <w:iCs/>
                <w:shd w:val="clear" w:color="auto" w:fill="FCFCFC"/>
              </w:rPr>
            </m:ctrlPr>
          </m:e>
        </m:nary>
        <m:r>
          <m:rPr>
            <m:sty m:val="p"/>
          </m:rPr>
          <w:rPr>
            <w:rFonts w:ascii="Cambria Math" w:hAnsi="Cambria Math" w:eastAsia="PingFang SC"/>
            <w:shd w:val="clear" w:color="auto" w:fill="FCFCFC"/>
          </w:rPr>
          <m:t>+</m:t>
        </m:r>
        <m:nary>
          <m:naryPr>
            <m:chr m:val="∑"/>
            <m:ctrlPr>
              <w:rPr>
                <w:rFonts w:ascii="Cambria Math" w:hAnsi="Cambria Math"/>
                <w:iCs/>
                <w:shd w:val="clear" w:color="auto" w:fill="FCFCFC"/>
              </w:rPr>
            </m:ctrlPr>
          </m:naryPr>
          <m:sub>
            <m:r>
              <m:rPr/>
              <w:rPr>
                <w:rFonts w:ascii="Cambria Math" w:hAnsi="Cambria Math"/>
                <w:shd w:val="clear" w:color="auto" w:fill="FCFCFC"/>
              </w:rPr>
              <m:t>i</m:t>
            </m:r>
            <m:r>
              <m:rPr>
                <m:sty m:val="p"/>
              </m:rPr>
              <w:rPr>
                <w:rFonts w:ascii="Cambria Math" w:hAnsi="Cambria Math"/>
                <w:shd w:val="clear" w:color="auto" w:fill="FCFCFC"/>
              </w:rPr>
              <m:t>=1</m:t>
            </m:r>
            <m:ctrlPr>
              <w:rPr>
                <w:rFonts w:ascii="Cambria Math" w:hAnsi="Cambria Math"/>
                <w:iCs/>
                <w:shd w:val="clear" w:color="auto" w:fill="FCFCFC"/>
              </w:rPr>
            </m:ctrlPr>
          </m:sub>
          <m:sup>
            <m:r>
              <m:rPr/>
              <w:rPr>
                <w:rFonts w:ascii="Cambria Math" w:hAnsi="Cambria Math"/>
                <w:shd w:val="clear" w:color="auto" w:fill="FCFCFC"/>
              </w:rPr>
              <m:t>n</m:t>
            </m:r>
            <m:ctrlPr>
              <w:rPr>
                <w:rFonts w:ascii="Cambria Math" w:hAnsi="Cambria Math"/>
                <w:iCs/>
                <w:shd w:val="clear" w:color="auto" w:fill="FCFCFC"/>
              </w:rPr>
            </m:ctrlPr>
          </m:sup>
          <m:e>
            <m:d>
              <m:dPr>
                <m:ctrlPr>
                  <w:rPr>
                    <w:rFonts w:ascii="Cambria Math" w:hAnsi="Cambria Math"/>
                    <w:iCs/>
                    <w:shd w:val="clear" w:color="auto" w:fill="FCFCFC"/>
                  </w:rPr>
                </m:ctrlPr>
              </m:dPr>
              <m:e>
                <m:sSub>
                  <m:sSubPr>
                    <m:ctrlPr>
                      <w:rPr>
                        <w:rFonts w:ascii="Cambria Math" w:hAnsi="Cambria Math"/>
                        <w:iCs/>
                        <w:shd w:val="clear" w:color="auto" w:fill="FCFCFC"/>
                      </w:rPr>
                    </m:ctrlPr>
                  </m:sSubPr>
                  <m:e>
                    <m:r>
                      <m:rPr/>
                      <w:rPr>
                        <w:rFonts w:ascii="Cambria Math" w:hAnsi="Cambria Math"/>
                        <w:shd w:val="clear" w:color="auto" w:fill="FCFCFC"/>
                      </w:rPr>
                      <m:t>w</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r>
                  <m:rPr>
                    <m:sty m:val="p"/>
                  </m:rPr>
                  <w:rPr>
                    <w:rFonts w:hint="eastAsia" w:ascii="Cambria Math" w:hAnsi="Cambria Math"/>
                    <w:shd w:val="clear" w:color="auto" w:fill="FCFCFC"/>
                  </w:rPr>
                  <m:t>×</m:t>
                </m:r>
                <m:sSub>
                  <m:sSubPr>
                    <m:ctrlPr>
                      <w:rPr>
                        <w:rFonts w:ascii="Cambria Math" w:hAnsi="Cambria Math"/>
                        <w:iCs/>
                        <w:shd w:val="clear" w:color="auto" w:fill="FCFCFC"/>
                      </w:rPr>
                    </m:ctrlPr>
                  </m:sSubPr>
                  <m:e>
                    <m:r>
                      <m:rPr/>
                      <w:rPr>
                        <w:rFonts w:ascii="Cambria Math" w:hAnsi="Cambria Math"/>
                        <w:shd w:val="clear" w:color="auto" w:fill="FCFCFC"/>
                      </w:rPr>
                      <m:t>V</m:t>
                    </m:r>
                    <m:ctrlPr>
                      <w:rPr>
                        <w:rFonts w:ascii="Cambria Math" w:hAnsi="Cambria Math"/>
                        <w:iCs/>
                        <w:shd w:val="clear" w:color="auto" w:fill="FCFCFC"/>
                      </w:rPr>
                    </m:ctrlPr>
                  </m:e>
                  <m:sub>
                    <m:r>
                      <m:rPr/>
                      <w:rPr>
                        <w:rFonts w:ascii="Cambria Math" w:hAnsi="Cambria Math"/>
                        <w:shd w:val="clear" w:color="auto" w:fill="FCFCFC"/>
                      </w:rPr>
                      <m:t>i</m:t>
                    </m:r>
                    <m:ctrlPr>
                      <w:rPr>
                        <w:rFonts w:ascii="Cambria Math" w:hAnsi="Cambria Math"/>
                        <w:iCs/>
                        <w:shd w:val="clear" w:color="auto" w:fill="FCFCFC"/>
                      </w:rPr>
                    </m:ctrlPr>
                  </m:sub>
                </m:sSub>
                <m:ctrlPr>
                  <w:rPr>
                    <w:rFonts w:ascii="Cambria Math" w:hAnsi="Cambria Math"/>
                    <w:iCs/>
                    <w:shd w:val="clear" w:color="auto" w:fill="FCFCFC"/>
                  </w:rPr>
                </m:ctrlPr>
              </m:e>
            </m:d>
            <m:ctrlPr>
              <w:rPr>
                <w:rFonts w:ascii="Cambria Math" w:hAnsi="Cambria Math"/>
                <w:iCs/>
                <w:shd w:val="clear" w:color="auto" w:fill="FCFCFC"/>
              </w:rPr>
            </m:ctrlPr>
          </m:e>
        </m:nary>
      </m:oMath>
      <w:r>
        <w:rPr>
          <w:iCs/>
          <w:shd w:val="clear" w:color="auto" w:fill="FCFCFC"/>
        </w:rPr>
        <w:tab/>
      </w:r>
      <w:r>
        <w:t>（4.4.1）</w:t>
      </w:r>
    </w:p>
    <w:p>
      <w:pPr>
        <w:rPr>
          <w:rFonts w:ascii="Times New Roman" w:hAnsi="Times New Roman" w:eastAsia="宋体" w:cs="Times New Roman"/>
          <w:color w:val="000000" w:themeColor="text1"/>
          <w:sz w:val="24"/>
          <w:szCs w:val="24"/>
          <w:shd w:val="clear" w:color="auto" w:fill="FCFCFC"/>
          <w14:textFill>
            <w14:solidFill>
              <w14:schemeClr w14:val="tx1"/>
            </w14:solidFill>
          </w14:textFill>
        </w:rPr>
      </w:pPr>
      <w:r>
        <w:rPr>
          <w:rFonts w:hint="eastAsia" w:ascii="Times New Roman" w:hAnsi="Times New Roman" w:eastAsia="宋体" w:cs="Times New Roman"/>
          <w:color w:val="000000" w:themeColor="text1"/>
          <w:sz w:val="24"/>
          <w:szCs w:val="24"/>
          <w:shd w:val="clear" w:color="auto" w:fill="FCFCFC"/>
          <w14:textFill>
            <w14:solidFill>
              <w14:schemeClr w14:val="tx1"/>
            </w14:solidFill>
          </w14:textFill>
        </w:rPr>
        <w:t>式中：</w:t>
      </w:r>
      <m:oMath>
        <m:r>
          <m:rPr/>
          <w:rPr>
            <w:rStyle w:val="82"/>
            <w:rFonts w:ascii="Cambria Math" w:hAnsi="Cambria Math" w:cs="Times New Roman"/>
            <w:color w:val="000000" w:themeColor="text1"/>
            <w:sz w:val="24"/>
            <w:szCs w:val="24"/>
            <w:shd w:val="clear" w:color="auto" w:fill="FCFCFC"/>
            <w14:textFill>
              <w14:solidFill>
                <w14:schemeClr w14:val="tx1"/>
              </w14:solidFill>
            </w14:textFill>
          </w:rPr>
          <m:t>R</m:t>
        </m:r>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灾害链综合风险评估指数；</w:t>
      </w:r>
    </w:p>
    <w:p>
      <w:pPr>
        <w:spacing w:line="360" w:lineRule="auto"/>
        <w:ind w:left="426" w:leftChars="152" w:firstLine="280" w:firstLineChars="117"/>
        <w:rPr>
          <w:rFonts w:ascii="Times New Roman" w:hAnsi="Times New Roman" w:eastAsia="宋体" w:cs="Times New Roman"/>
          <w:color w:val="000000" w:themeColor="text1"/>
          <w:sz w:val="24"/>
          <w:szCs w:val="24"/>
          <w14:textFill>
            <w14:solidFill>
              <w14:schemeClr w14:val="tx1"/>
            </w14:solidFill>
          </w14:textFill>
        </w:rPr>
      </w:pPr>
      <w:r>
        <w:rPr>
          <w:rStyle w:val="82"/>
          <w:rFonts w:ascii="Times New Roman" w:hAnsi="Times New Roman" w:eastAsia="宋体" w:cs="Times New Roman"/>
          <w:i/>
          <w:iCs/>
          <w:color w:val="000000" w:themeColor="text1"/>
          <w:sz w:val="24"/>
          <w:szCs w:val="24"/>
          <w:shd w:val="clear" w:color="auto" w:fill="FCFCFC"/>
          <w14:textFill>
            <w14:solidFill>
              <w14:schemeClr w14:val="tx1"/>
            </w14:solidFill>
          </w14:textFill>
        </w:rPr>
        <w:t>F</w:t>
      </w:r>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Style w:val="92"/>
          <w:rFonts w:hint="eastAsia" w:ascii="Times New Roman" w:hAnsi="Times New Roman" w:eastAsia="宋体" w:cs="Times New Roman"/>
          <w:color w:val="000000" w:themeColor="text1"/>
          <w:sz w:val="24"/>
          <w:szCs w:val="24"/>
          <w:shd w:val="clear" w:color="auto" w:fill="FCFCFC"/>
          <w14:textFill>
            <w14:solidFill>
              <w14:schemeClr w14:val="tx1"/>
            </w14:solidFill>
          </w14:textFill>
        </w:rPr>
        <w:t>洪涝积水风险区划的指数，</w:t>
      </w:r>
      <w:r>
        <w:rPr>
          <w:rFonts w:hint="eastAsia" w:ascii="Times New Roman" w:hAnsi="Times New Roman" w:eastAsia="宋体" w:cs="Times New Roman"/>
          <w:color w:val="000000" w:themeColor="text1"/>
          <w:sz w:val="24"/>
          <w:szCs w:val="24"/>
          <w14:textFill>
            <w14:solidFill>
              <w14:schemeClr w14:val="tx1"/>
            </w14:solidFill>
          </w14:textFill>
        </w:rPr>
        <w:t>通过模拟计算得出，计算方法详见本</w:t>
      </w:r>
    </w:p>
    <w:p>
      <w:pPr>
        <w:spacing w:line="360" w:lineRule="auto"/>
        <w:ind w:left="1134" w:leftChars="405" w:firstLine="280" w:firstLineChars="117"/>
        <w:rPr>
          <w:rStyle w:val="92"/>
          <w:rFonts w:ascii="Times New Roman" w:hAnsi="Times New Roman" w:eastAsia="宋体" w:cs="Times New Roman"/>
          <w:color w:val="000000" w:themeColor="text1"/>
          <w:sz w:val="24"/>
          <w:szCs w:val="24"/>
          <w:shd w:val="clear" w:color="auto" w:fill="FCFCFC"/>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标准第3.4节</w:t>
      </w:r>
      <w:r>
        <w:rPr>
          <w:rStyle w:val="92"/>
          <w:rFonts w:hint="eastAsia" w:ascii="Times New Roman" w:hAnsi="Times New Roman" w:eastAsia="宋体" w:cs="Times New Roman"/>
          <w:color w:val="000000" w:themeColor="text1"/>
          <w:sz w:val="24"/>
          <w:szCs w:val="24"/>
          <w:shd w:val="clear" w:color="auto" w:fill="FCFCFC"/>
          <w14:textFill>
            <w14:solidFill>
              <w14:schemeClr w14:val="tx1"/>
            </w14:solidFill>
          </w14:textFill>
        </w:rPr>
        <w:t>；</w:t>
      </w:r>
    </w:p>
    <w:p>
      <w:pPr>
        <w:widowControl/>
        <w:shd w:val="clear" w:color="auto" w:fill="FCFCFC"/>
        <w:spacing w:line="360" w:lineRule="auto"/>
        <w:ind w:firstLine="708" w:firstLineChars="295"/>
        <w:textAlignment w:val="baseline"/>
        <w:rPr>
          <w:rFonts w:ascii="Times New Roman" w:hAnsi="Times New Roman" w:eastAsia="宋体" w:cs="Times New Roman"/>
          <w:color w:val="000000" w:themeColor="text1"/>
          <w:kern w:val="0"/>
          <w:sz w:val="24"/>
          <w:szCs w:val="24"/>
          <w14:textFill>
            <w14:solidFill>
              <w14:schemeClr w14:val="tx1"/>
            </w14:solidFill>
          </w14:textFill>
        </w:rPr>
      </w:pPr>
      <m:oMath>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E</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第</w:t>
      </w:r>
      <m:oMath>
        <m:r>
          <m:rPr/>
          <w:rPr>
            <w:rFonts w:ascii="Cambria Math" w:hAnsi="Cambria Math" w:eastAsia="宋体" w:cs="Times New Roman"/>
            <w:color w:val="000000" w:themeColor="text1"/>
            <w:kern w:val="0"/>
            <w:sz w:val="29"/>
            <w:szCs w:val="29"/>
            <w14:textFill>
              <w14:solidFill>
                <w14:schemeClr w14:val="tx1"/>
              </w14:solidFill>
            </w14:textFill>
          </w:rPr>
          <m:t>i</m:t>
        </m:r>
      </m:oMath>
      <w:r>
        <w:rPr>
          <w:rFonts w:ascii="Times New Roman" w:hAnsi="Times New Roman" w:eastAsia="宋体" w:cs="Times New Roman"/>
          <w:color w:val="000000" w:themeColor="text1"/>
          <w:kern w:val="0"/>
          <w:sz w:val="24"/>
          <w:szCs w:val="24"/>
          <w14:textFill>
            <w14:solidFill>
              <w14:schemeClr w14:val="tx1"/>
            </w14:solidFill>
          </w14:textFill>
        </w:rPr>
        <w:t>个</w:t>
      </w:r>
      <w:r>
        <w:rPr>
          <w:rFonts w:hint="eastAsia" w:ascii="Times New Roman" w:hAnsi="Times New Roman" w:eastAsia="宋体" w:cs="Times New Roman"/>
          <w:color w:val="000000" w:themeColor="text1"/>
          <w:kern w:val="0"/>
          <w:sz w:val="24"/>
          <w:szCs w:val="24"/>
          <w14:textFill>
            <w14:solidFill>
              <w14:schemeClr w14:val="tx1"/>
            </w14:solidFill>
          </w14:textFill>
        </w:rPr>
        <w:t>孕灾环境</w:t>
      </w:r>
      <w:r>
        <w:rPr>
          <w:rFonts w:ascii="Times New Roman" w:hAnsi="Times New Roman" w:eastAsia="宋体" w:cs="Times New Roman"/>
          <w:color w:val="000000" w:themeColor="text1"/>
          <w:kern w:val="0"/>
          <w:sz w:val="24"/>
          <w:szCs w:val="24"/>
          <w14:textFill>
            <w14:solidFill>
              <w14:schemeClr w14:val="tx1"/>
            </w14:solidFill>
          </w14:textFill>
        </w:rPr>
        <w:t>的等级值，</w:t>
      </w:r>
      <w:r>
        <w:rPr>
          <w:rFonts w:hint="eastAsia" w:ascii="Times New Roman" w:hAnsi="Times New Roman" w:eastAsia="宋体" w:cs="Times New Roman"/>
          <w:color w:val="000000" w:themeColor="text1"/>
          <w:kern w:val="0"/>
          <w:sz w:val="24"/>
          <w:szCs w:val="24"/>
          <w14:textFill>
            <w14:solidFill>
              <w14:schemeClr w14:val="tx1"/>
            </w14:solidFill>
          </w14:textFill>
        </w:rPr>
        <w:t>各指标等级计算方法详见</w:t>
      </w:r>
      <w:r>
        <w:rPr>
          <w:rFonts w:hint="eastAsia" w:ascii="Times New Roman" w:hAnsi="Times New Roman" w:eastAsia="宋体" w:cs="Times New Roman"/>
          <w:color w:val="000000" w:themeColor="text1"/>
          <w:sz w:val="24"/>
          <w:szCs w:val="24"/>
          <w14:textFill>
            <w14:solidFill>
              <w14:schemeClr w14:val="tx1"/>
            </w14:solidFill>
          </w14:textFill>
        </w:rPr>
        <w:t>本标准第</w:t>
      </w:r>
      <w:r>
        <w:rPr>
          <w:rFonts w:hint="eastAsia" w:ascii="Times New Roman" w:hAnsi="Times New Roman" w:eastAsia="宋体" w:cs="Times New Roman"/>
          <w:color w:val="000000" w:themeColor="text1"/>
          <w:kern w:val="0"/>
          <w:sz w:val="24"/>
          <w:szCs w:val="24"/>
          <w14:textFill>
            <w14:solidFill>
              <w14:schemeClr w14:val="tx1"/>
            </w14:solidFill>
          </w14:textFill>
        </w:rPr>
        <w:t>4.2</w:t>
      </w:r>
    </w:p>
    <w:p>
      <w:pPr>
        <w:widowControl/>
        <w:shd w:val="clear" w:color="auto" w:fill="FCFCFC"/>
        <w:tabs>
          <w:tab w:val="left" w:pos="1484"/>
        </w:tabs>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节</w:t>
      </w:r>
      <w:r>
        <w:rPr>
          <w:rFonts w:hint="eastAsia"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CFCFC"/>
        <w:spacing w:line="360" w:lineRule="auto"/>
        <w:ind w:firstLine="708" w:firstLineChars="295"/>
        <w:textAlignment w:val="baseline"/>
        <w:rPr>
          <w:rFonts w:ascii="Times New Roman" w:hAnsi="Times New Roman" w:eastAsia="宋体" w:cs="Times New Roman"/>
          <w:color w:val="000000" w:themeColor="text1"/>
          <w:sz w:val="24"/>
          <w:szCs w:val="24"/>
          <w14:textFill>
            <w14:solidFill>
              <w14:schemeClr w14:val="tx1"/>
            </w14:solidFill>
          </w14:textFill>
        </w:rPr>
      </w:pPr>
      <m:oMath>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V</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第</w:t>
      </w:r>
      <m:oMath>
        <m:r>
          <m:rPr/>
          <w:rPr>
            <w:rFonts w:ascii="Cambria Math" w:hAnsi="Cambria Math" w:eastAsia="宋体" w:cs="Times New Roman"/>
            <w:color w:val="000000" w:themeColor="text1"/>
            <w:kern w:val="0"/>
            <w:sz w:val="29"/>
            <w:szCs w:val="29"/>
            <w14:textFill>
              <w14:solidFill>
                <w14:schemeClr w14:val="tx1"/>
              </w14:solidFill>
            </w14:textFill>
          </w:rPr>
          <m:t>i</m:t>
        </m:r>
      </m:oMath>
      <w:r>
        <w:rPr>
          <w:rFonts w:ascii="Times New Roman" w:hAnsi="Times New Roman" w:eastAsia="宋体" w:cs="Times New Roman"/>
          <w:color w:val="000000" w:themeColor="text1"/>
          <w:kern w:val="0"/>
          <w:sz w:val="24"/>
          <w:szCs w:val="24"/>
          <w14:textFill>
            <w14:solidFill>
              <w14:schemeClr w14:val="tx1"/>
            </w14:solidFill>
          </w14:textFill>
        </w:rPr>
        <w:t>个</w:t>
      </w:r>
      <w:r>
        <w:rPr>
          <w:rFonts w:hint="eastAsia" w:ascii="Times New Roman" w:hAnsi="Times New Roman" w:eastAsia="宋体" w:cs="Times New Roman"/>
          <w:color w:val="000000" w:themeColor="text1"/>
          <w:kern w:val="0"/>
          <w:sz w:val="24"/>
          <w:szCs w:val="24"/>
          <w14:textFill>
            <w14:solidFill>
              <w14:schemeClr w14:val="tx1"/>
            </w14:solidFill>
          </w14:textFill>
        </w:rPr>
        <w:t>承灾体</w:t>
      </w:r>
      <w:r>
        <w:rPr>
          <w:rFonts w:ascii="Times New Roman" w:hAnsi="Times New Roman" w:eastAsia="宋体" w:cs="Times New Roman"/>
          <w:color w:val="000000" w:themeColor="text1"/>
          <w:kern w:val="0"/>
          <w:sz w:val="24"/>
          <w:szCs w:val="24"/>
          <w14:textFill>
            <w14:solidFill>
              <w14:schemeClr w14:val="tx1"/>
            </w14:solidFill>
          </w14:textFill>
        </w:rPr>
        <w:t>指标的等级值，</w:t>
      </w:r>
      <w:r>
        <w:rPr>
          <w:rFonts w:hint="eastAsia" w:ascii="Times New Roman" w:hAnsi="Times New Roman" w:eastAsia="宋体" w:cs="Times New Roman"/>
          <w:color w:val="000000" w:themeColor="text1"/>
          <w:kern w:val="0"/>
          <w:sz w:val="24"/>
          <w:szCs w:val="24"/>
          <w14:textFill>
            <w14:solidFill>
              <w14:schemeClr w14:val="tx1"/>
            </w14:solidFill>
          </w14:textFill>
        </w:rPr>
        <w:t>各指标等级计算方法详见</w:t>
      </w:r>
      <w:r>
        <w:rPr>
          <w:rFonts w:hint="eastAsia" w:ascii="Times New Roman" w:hAnsi="Times New Roman" w:eastAsia="宋体" w:cs="Times New Roman"/>
          <w:color w:val="000000" w:themeColor="text1"/>
          <w:sz w:val="24"/>
          <w:szCs w:val="24"/>
          <w14:textFill>
            <w14:solidFill>
              <w14:schemeClr w14:val="tx1"/>
            </w14:solidFill>
          </w14:textFill>
        </w:rPr>
        <w:t>本标准第</w:t>
      </w:r>
    </w:p>
    <w:p>
      <w:pPr>
        <w:widowControl/>
        <w:shd w:val="clear" w:color="auto" w:fill="FCFCFC"/>
        <w:tabs>
          <w:tab w:val="left" w:pos="1484"/>
        </w:tabs>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ab/>
      </w:r>
      <w:r>
        <w:rPr>
          <w:rFonts w:hint="eastAsia" w:ascii="Times New Roman" w:hAnsi="Times New Roman" w:eastAsia="宋体" w:cs="Times New Roman"/>
          <w:color w:val="000000" w:themeColor="text1"/>
          <w:kern w:val="0"/>
          <w:sz w:val="24"/>
          <w:szCs w:val="24"/>
          <w14:textFill>
            <w14:solidFill>
              <w14:schemeClr w14:val="tx1"/>
            </w14:solidFill>
          </w14:textFill>
        </w:rPr>
        <w:t>4.2</w:t>
      </w:r>
      <w:r>
        <w:rPr>
          <w:rFonts w:hint="eastAsia" w:ascii="Times New Roman" w:hAnsi="Times New Roman" w:eastAsia="宋体" w:cs="Times New Roman"/>
          <w:color w:val="000000" w:themeColor="text1"/>
          <w:sz w:val="24"/>
          <w:szCs w:val="24"/>
          <w14:textFill>
            <w14:solidFill>
              <w14:schemeClr w14:val="tx1"/>
            </w14:solidFill>
          </w14:textFill>
        </w:rPr>
        <w:t>节</w:t>
      </w:r>
      <w:r>
        <w:rPr>
          <w:rFonts w:hint="eastAsia"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CFCFC"/>
        <w:adjustRightInd w:val="0"/>
        <w:snapToGrid w:val="0"/>
        <w:spacing w:line="360" w:lineRule="auto"/>
        <w:ind w:firstLine="708" w:firstLineChars="295"/>
        <w:textAlignment w:val="baseline"/>
        <w:rPr>
          <w:rFonts w:ascii="Times New Roman" w:hAnsi="Times New Roman" w:eastAsia="宋体" w:cs="Times New Roman"/>
          <w:color w:val="000000" w:themeColor="text1"/>
          <w:sz w:val="24"/>
          <w:szCs w:val="24"/>
          <w14:textFill>
            <w14:solidFill>
              <w14:schemeClr w14:val="tx1"/>
            </w14:solidFill>
          </w14:textFill>
        </w:rPr>
      </w:pPr>
      <m:oMath>
        <m:sSub>
          <m:sSubPr>
            <m:ctrlPr>
              <w:rPr>
                <w:rFonts w:ascii="Cambria Math" w:hAnsi="Cambria Math" w:eastAsia="宋体" w:cs="Times New Roman"/>
                <w:i/>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w</m:t>
            </m:r>
            <m:ctrlPr>
              <w:rPr>
                <w:rFonts w:ascii="Cambria Math" w:hAnsi="Cambria Math" w:eastAsia="宋体" w:cs="Times New Roman"/>
                <w:i/>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color w:val="000000" w:themeColor="text1"/>
                <w:kern w:val="0"/>
                <w:sz w:val="24"/>
                <w:szCs w:val="24"/>
                <w:shd w:val="clear" w:color="auto" w:fill="FCFCFC"/>
                <w14:textFill>
                  <w14:solidFill>
                    <w14:schemeClr w14:val="tx1"/>
                  </w14:solidFill>
                </w14:textFill>
              </w:rPr>
            </m:ctrlPr>
          </m:sub>
        </m:sSub>
      </m:oMath>
      <w:r>
        <w:rPr>
          <w:rStyle w:val="82"/>
          <w:rFonts w:hint="eastAsia" w:ascii="Times New Roman" w:hAnsi="Times New Roman" w:eastAsia="宋体" w:cs="Times New Roman"/>
          <w:iCs/>
          <w:color w:val="000000" w:themeColor="text1"/>
          <w:sz w:val="29"/>
          <w:szCs w:val="29"/>
          <w:shd w:val="clear" w:color="auto" w:fill="FCFCFC"/>
          <w14:textFill>
            <w14:solidFill>
              <w14:schemeClr w14:val="tx1"/>
            </w14:solidFill>
          </w14:textFill>
        </w:rPr>
        <w:t>——</w:t>
      </w:r>
      <w:r>
        <w:rPr>
          <w:rFonts w:ascii="Segoe UI" w:hAnsi="Segoe UI" w:eastAsia="宋体" w:cs="Segoe UI"/>
          <w:color w:val="000000" w:themeColor="text1"/>
          <w:kern w:val="0"/>
          <w:sz w:val="24"/>
          <w:szCs w:val="24"/>
          <w14:textFill>
            <w14:solidFill>
              <w14:schemeClr w14:val="tx1"/>
            </w14:solidFill>
          </w14:textFill>
        </w:rPr>
        <w:t>指标</w:t>
      </w:r>
      <m:oMath>
        <m:r>
          <m:rPr/>
          <w:rPr>
            <w:rStyle w:val="82"/>
            <w:rFonts w:ascii="Cambria Math" w:hAnsi="Cambria Math" w:eastAsia="宋体" w:cs="Times New Roman"/>
            <w:color w:val="000000" w:themeColor="text1"/>
            <w:sz w:val="24"/>
            <w:szCs w:val="24"/>
            <w:shd w:val="clear" w:color="auto" w:fill="FCFCFC"/>
            <w14:textFill>
              <w14:solidFill>
                <w14:schemeClr w14:val="tx1"/>
              </w14:solidFill>
            </w14:textFill>
          </w:rPr>
          <m:t>F</m:t>
        </m:r>
        <m:r>
          <m:rPr/>
          <w:rPr>
            <w:rStyle w:val="82"/>
            <w:rFonts w:hint="eastAsia" w:ascii="Cambria Math" w:hAnsi="Times New Roman" w:eastAsia="宋体" w:cs="Times New Roman"/>
            <w:color w:val="000000" w:themeColor="text1"/>
            <w:sz w:val="24"/>
            <w:szCs w:val="24"/>
            <w:shd w:val="clear" w:color="auto" w:fill="FCFCFC"/>
            <w14:textFill>
              <w14:solidFill>
                <w14:schemeClr w14:val="tx1"/>
              </w14:solidFill>
            </w14:textFill>
          </w:rPr>
          <m:t>、</m:t>
        </m:r>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E</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r>
          <m:rPr/>
          <w:rPr>
            <w:rFonts w:hint="eastAsia" w:ascii="Cambria Math" w:hAnsi="Cambria Math" w:eastAsia="宋体" w:cs="Times New Roman"/>
            <w:color w:val="000000" w:themeColor="text1"/>
            <w:kern w:val="0"/>
            <w:sz w:val="24"/>
            <w:szCs w:val="24"/>
            <w:shd w:val="clear" w:color="auto" w:fill="FCFCFC"/>
            <w14:textFill>
              <w14:solidFill>
                <w14:schemeClr w14:val="tx1"/>
              </w14:solidFill>
            </w14:textFill>
          </w:rPr>
          <m:t>、</m:t>
        </m:r>
        <m:sSub>
          <m:sSubP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SubPr>
          <m:e>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V</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e>
          <m:sub>
            <m:r>
              <m:rPr/>
              <w:rPr>
                <w:rFonts w:ascii="Cambria Math" w:hAnsi="Cambria Math" w:eastAsia="宋体" w:cs="Times New Roman"/>
                <w:color w:val="000000" w:themeColor="text1"/>
                <w:kern w:val="0"/>
                <w:sz w:val="24"/>
                <w:szCs w:val="24"/>
                <w:shd w:val="clear" w:color="auto" w:fill="FCFCFC"/>
                <w14:textFill>
                  <w14:solidFill>
                    <w14:schemeClr w14:val="tx1"/>
                  </w14:solidFill>
                </w14:textFill>
              </w:rPr>
              <m:t>i</m:t>
            </m:r>
            <m:ctrlPr>
              <w:rPr>
                <w:rFonts w:ascii="Cambria Math" w:hAnsi="Cambria Math" w:eastAsia="宋体" w:cs="Times New Roman"/>
                <w:i/>
                <w:iCs/>
                <w:color w:val="000000" w:themeColor="text1"/>
                <w:kern w:val="0"/>
                <w:sz w:val="24"/>
                <w:szCs w:val="24"/>
                <w:shd w:val="clear" w:color="auto" w:fill="FCFCFC"/>
                <w14:textFill>
                  <w14:solidFill>
                    <w14:schemeClr w14:val="tx1"/>
                  </w14:solidFill>
                </w14:textFill>
              </w:rPr>
            </m:ctrlPr>
          </m:sub>
        </m:sSub>
      </m:oMath>
      <w:r>
        <w:rPr>
          <w:rFonts w:ascii="inherit" w:hAnsi="inherit" w:eastAsia="宋体" w:cs="Times New Roman"/>
          <w:color w:val="000000" w:themeColor="text1"/>
          <w:kern w:val="0"/>
          <w:sz w:val="2"/>
          <w:szCs w:val="2"/>
          <w14:textFill>
            <w14:solidFill>
              <w14:schemeClr w14:val="tx1"/>
            </w14:solidFill>
          </w14:textFill>
        </w:rPr>
        <w:t>​</w:t>
      </w:r>
      <w:r>
        <w:rPr>
          <w:rFonts w:ascii="Segoe UI" w:hAnsi="Segoe UI" w:eastAsia="宋体" w:cs="Segoe UI"/>
          <w:color w:val="000000" w:themeColor="text1"/>
          <w:kern w:val="0"/>
          <w:sz w:val="24"/>
          <w:szCs w:val="24"/>
          <w14:textFill>
            <w14:solidFill>
              <w14:schemeClr w14:val="tx1"/>
            </w14:solidFill>
          </w14:textFill>
        </w:rPr>
        <w:t>的权重</w:t>
      </w:r>
      <w:r>
        <w:rPr>
          <w:rFonts w:hint="eastAsia" w:ascii="Segoe UI" w:hAnsi="Segoe UI" w:eastAsia="宋体" w:cs="Segoe UI"/>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可以通过层次分析法、专家打分法等方</w:t>
      </w:r>
    </w:p>
    <w:p>
      <w:pPr>
        <w:widowControl/>
        <w:shd w:val="clear" w:color="auto" w:fill="FCFCFC"/>
        <w:tabs>
          <w:tab w:val="left" w:pos="1512"/>
        </w:tabs>
        <w:adjustRightInd w:val="0"/>
        <w:snapToGrid w:val="0"/>
        <w:spacing w:line="360" w:lineRule="auto"/>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法进行确定</w:t>
      </w:r>
      <w:r>
        <w:rPr>
          <w:rFonts w:hint="eastAsia" w:ascii="Segoe UI" w:hAnsi="Segoe UI" w:eastAsia="宋体" w:cs="Segoe UI"/>
          <w:color w:val="000000" w:themeColor="text1"/>
          <w:kern w:val="0"/>
          <w:sz w:val="24"/>
          <w:szCs w:val="24"/>
          <w14:textFill>
            <w14:solidFill>
              <w14:schemeClr w14:val="tx1"/>
            </w14:solidFill>
          </w14:textFill>
        </w:rPr>
        <w:t>。</w:t>
      </w:r>
    </w:p>
    <w:p>
      <w:pPr>
        <w:widowControl/>
        <w:numPr>
          <w:ilvl w:val="2"/>
          <w:numId w:val="1"/>
        </w:numPr>
        <w:shd w:val="clear" w:color="auto" w:fill="FCFCFC"/>
        <w:adjustRightInd w:val="0"/>
        <w:snapToGrid w:val="0"/>
        <w:spacing w:line="360" w:lineRule="auto"/>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依据洪涝灾害链综合风险指数大小，按自然断点法，将洪涝灾害链综合风险分为4个等级，各等级色系参见本标准第6.4节。自然断点法应符合本标准附录</w:t>
      </w: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的规定。</w:t>
      </w:r>
    </w:p>
    <w:p>
      <w:pPr>
        <w:widowControl/>
        <w:numPr>
          <w:ilvl w:val="2"/>
          <w:numId w:val="1"/>
        </w:numPr>
        <w:shd w:val="clear" w:color="auto" w:fill="FCFCFC"/>
        <w:adjustRightInd w:val="0"/>
        <w:snapToGrid w:val="0"/>
        <w:spacing w:line="360" w:lineRule="auto"/>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应分别划定内涝防治标准、100年一遇、200年一遇、极端降雨情景下的洪涝灾害链综合风险区划。</w:t>
      </w:r>
    </w:p>
    <w:p>
      <w:pPr>
        <w:widowControl/>
        <w:numPr>
          <w:ilvl w:val="2"/>
          <w:numId w:val="1"/>
        </w:numPr>
        <w:shd w:val="clear" w:color="auto" w:fill="FCFCFC"/>
        <w:adjustRightInd w:val="0"/>
        <w:snapToGrid w:val="0"/>
        <w:spacing w:line="360" w:lineRule="auto"/>
        <w:textAlignment w:val="baseline"/>
        <w:rPr>
          <w:bCs/>
          <w:color w:val="000000" w:themeColor="text1"/>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应在洪涝灾害链综合风险图上标注链生灾害位置、灾害链触发机制等信息，以更好指导断链减灾。链生灾害识别可基于历史案例，构建灾害链情景，利用贝叶斯网络模型等工具，结合洪涝积水风险评估模型推进洪涝灾害演进过程，识别连锁反应路径。有条件的城市，可建立洪涝灾害链情景库，并进行洪涝灾害链情景推演，绘制洪涝灾害链动态风险图。不同类型城市宜重点评估的链生灾害可参考表4.4.4。</w:t>
      </w:r>
    </w:p>
    <w:p>
      <w:pPr>
        <w:pStyle w:val="41"/>
        <w:adjustRightInd w:val="0"/>
        <w:snapToGrid w:val="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 xml:space="preserve">表 </w:t>
      </w:r>
      <w:r>
        <w:rPr>
          <w:rFonts w:ascii="Times New Roman" w:hAnsi="Times New Roman" w:eastAsia="宋体" w:cs="Times New Roman"/>
          <w:b/>
          <w:bCs/>
          <w:color w:val="000000" w:themeColor="text1"/>
          <w:sz w:val="21"/>
          <w:szCs w:val="21"/>
          <w14:textFill>
            <w14:solidFill>
              <w14:schemeClr w14:val="tx1"/>
            </w14:solidFill>
          </w14:textFill>
        </w:rPr>
        <w:fldChar w:fldCharType="begin"/>
      </w:r>
      <w:r>
        <w:rPr>
          <w:rFonts w:ascii="Times New Roman" w:hAnsi="Times New Roman" w:eastAsia="宋体" w:cs="Times New Roman"/>
          <w:b/>
          <w:bCs/>
          <w:color w:val="000000" w:themeColor="text1"/>
          <w:sz w:val="21"/>
          <w:szCs w:val="21"/>
          <w14:textFill>
            <w14:solidFill>
              <w14:schemeClr w14:val="tx1"/>
            </w14:solidFill>
          </w14:textFill>
        </w:rPr>
        <w:instrText xml:space="preserve"> STYLEREF 2 \s </w:instrText>
      </w:r>
      <w:r>
        <w:rPr>
          <w:rFonts w:ascii="Times New Roman" w:hAnsi="Times New Roman" w:eastAsia="宋体" w:cs="Times New Roman"/>
          <w:b/>
          <w:bCs/>
          <w:color w:val="000000" w:themeColor="text1"/>
          <w:sz w:val="21"/>
          <w:szCs w:val="21"/>
          <w14:textFill>
            <w14:solidFill>
              <w14:schemeClr w14:val="tx1"/>
            </w14:solidFill>
          </w14:textFill>
        </w:rPr>
        <w:fldChar w:fldCharType="separate"/>
      </w:r>
      <w:r>
        <w:rPr>
          <w:rFonts w:ascii="Times New Roman" w:hAnsi="Times New Roman" w:eastAsia="宋体" w:cs="Times New Roman"/>
          <w:b/>
          <w:bCs/>
          <w:color w:val="000000" w:themeColor="text1"/>
          <w:sz w:val="21"/>
          <w:szCs w:val="21"/>
          <w14:textFill>
            <w14:solidFill>
              <w14:schemeClr w14:val="tx1"/>
            </w14:solidFill>
          </w14:textFill>
        </w:rPr>
        <w:t>4.4</w:t>
      </w:r>
      <w:r>
        <w:rPr>
          <w:rFonts w:ascii="Times New Roman" w:hAnsi="Times New Roman" w:eastAsia="宋体" w:cs="Times New Roman"/>
          <w:b/>
          <w:bCs/>
          <w:color w:val="000000" w:themeColor="text1"/>
          <w:sz w:val="21"/>
          <w:szCs w:val="21"/>
          <w14:textFill>
            <w14:solidFill>
              <w14:schemeClr w14:val="tx1"/>
            </w14:solidFill>
          </w14:textFill>
        </w:rPr>
        <w:fldChar w:fldCharType="end"/>
      </w:r>
      <w:r>
        <w:rPr>
          <w:rFonts w:ascii="Times New Roman" w:hAnsi="Times New Roman" w:eastAsia="宋体" w:cs="Times New Roman"/>
          <w:b/>
          <w:bCs/>
          <w:color w:val="000000" w:themeColor="text1"/>
          <w:sz w:val="21"/>
          <w:szCs w:val="21"/>
          <w14:textFill>
            <w14:solidFill>
              <w14:schemeClr w14:val="tx1"/>
            </w14:solidFill>
          </w14:textFill>
        </w:rPr>
        <w:t>.4</w:t>
      </w:r>
      <w:r>
        <w:rPr>
          <w:rFonts w:hint="eastAsia" w:ascii="Times New Roman" w:hAnsi="Times New Roman" w:eastAsia="宋体" w:cs="Times New Roman"/>
          <w:b/>
          <w:bCs/>
          <w:color w:val="000000" w:themeColor="text1"/>
          <w:sz w:val="21"/>
          <w:szCs w:val="21"/>
          <w14:textFill>
            <w14:solidFill>
              <w14:schemeClr w14:val="tx1"/>
            </w14:solidFill>
          </w14:textFill>
        </w:rPr>
        <w:t>不同类型城市宜重点评估的链生灾害</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2413"/>
        <w:gridCol w:w="52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1415"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城市类型</w:t>
            </w:r>
          </w:p>
        </w:tc>
        <w:tc>
          <w:tcPr>
            <w:tcW w:w="3081"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链生灾害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415"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沿海城市</w:t>
            </w:r>
          </w:p>
        </w:tc>
        <w:tc>
          <w:tcPr>
            <w:tcW w:w="3081"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海水倒灌、港口事故等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415"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山地城市</w:t>
            </w:r>
          </w:p>
        </w:tc>
        <w:tc>
          <w:tcPr>
            <w:tcW w:w="3081"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山体滑坡、泥石流、水库溃坝等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415"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平原城市</w:t>
            </w:r>
          </w:p>
        </w:tc>
        <w:tc>
          <w:tcPr>
            <w:tcW w:w="3081"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漫堤、地下空间受淹等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415"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工业城市</w:t>
            </w:r>
          </w:p>
        </w:tc>
        <w:tc>
          <w:tcPr>
            <w:tcW w:w="3081"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危化品泄露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415"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超大城市</w:t>
            </w:r>
          </w:p>
        </w:tc>
        <w:tc>
          <w:tcPr>
            <w:tcW w:w="3081"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供电、供水等生命线工程无法维持正常运行</w:t>
            </w:r>
          </w:p>
        </w:tc>
      </w:tr>
    </w:tbl>
    <w:p>
      <w:pPr>
        <w:pStyle w:val="3"/>
        <w:rPr>
          <w:color w:val="000000" w:themeColor="text1"/>
          <w14:textFill>
            <w14:solidFill>
              <w14:schemeClr w14:val="tx1"/>
            </w14:solidFill>
          </w14:textFill>
        </w:rPr>
      </w:pPr>
      <w:bookmarkStart w:id="197" w:name="_Toc201078657"/>
      <w:bookmarkStart w:id="198" w:name="_Toc201223972"/>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199" w:name="_Toc201743624"/>
      <w:bookmarkStart w:id="200" w:name="_Toc201743675"/>
      <w:bookmarkStart w:id="201" w:name="_Toc201743726"/>
      <w:bookmarkStart w:id="202" w:name="_Toc201745750"/>
      <w:r>
        <w:rPr>
          <w:rFonts w:hint="eastAsia"/>
          <w:color w:val="000000" w:themeColor="text1"/>
          <w14:textFill>
            <w14:solidFill>
              <w14:schemeClr w14:val="tx1"/>
            </w14:solidFill>
          </w14:textFill>
        </w:rPr>
        <w:t>承灾体受淹风险评估</w:t>
      </w:r>
      <w:bookmarkEnd w:id="197"/>
      <w:bookmarkEnd w:id="198"/>
      <w:bookmarkEnd w:id="199"/>
      <w:bookmarkEnd w:id="200"/>
      <w:bookmarkEnd w:id="201"/>
      <w:bookmarkEnd w:id="202"/>
    </w:p>
    <w:p>
      <w:pPr>
        <w:pStyle w:val="41"/>
        <w:numPr>
          <w:ilvl w:val="2"/>
          <w:numId w:val="1"/>
        </w:numPr>
        <w:adjustRightInd w:val="0"/>
        <w:snapToGrid w:val="0"/>
        <w:spacing w:line="360" w:lineRule="auto"/>
        <w:ind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基于洪涝积水风险评估模型，应对</w:t>
      </w:r>
      <w:r>
        <w:rPr>
          <w:rFonts w:hint="eastAsia" w:ascii="Times New Roman" w:hAnsi="Times New Roman" w:eastAsia="宋体" w:cs="Times New Roman"/>
          <w:color w:val="000000" w:themeColor="text1"/>
          <w:sz w:val="24"/>
          <w:szCs w:val="24"/>
          <w14:textFill>
            <w14:solidFill>
              <w14:schemeClr w14:val="tx1"/>
            </w14:solidFill>
          </w14:textFill>
        </w:rPr>
        <w:t>内涝防治标准、100年一遇、200年一遇、极端降雨情景下的</w:t>
      </w:r>
      <w:r>
        <w:rPr>
          <w:rFonts w:hint="eastAsia" w:ascii="宋体" w:hAnsi="宋体" w:eastAsia="宋体" w:cs="宋体"/>
          <w:color w:val="000000" w:themeColor="text1"/>
          <w:kern w:val="0"/>
          <w:sz w:val="24"/>
          <w:szCs w:val="24"/>
          <w14:textFill>
            <w14:solidFill>
              <w14:schemeClr w14:val="tx1"/>
            </w14:solidFill>
          </w14:textFill>
        </w:rPr>
        <w:t>生命线基础设施和遇水反应化工品点位受淹没情况进行模拟评估。评估对象应符合下列要求：</w:t>
      </w:r>
    </w:p>
    <w:p>
      <w:pPr>
        <w:pStyle w:val="41"/>
        <w:numPr>
          <w:ilvl w:val="3"/>
          <w:numId w:val="12"/>
        </w:numPr>
        <w:adjustRightInd w:val="0"/>
        <w:snapToGrid w:val="0"/>
        <w:spacing w:line="360" w:lineRule="auto"/>
        <w:ind w:left="0" w:firstLine="360"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生命线基础设施包括</w:t>
      </w:r>
      <w:r>
        <w:rPr>
          <w:rFonts w:hint="eastAsia" w:ascii="Times New Roman" w:hAnsi="Times New Roman" w:eastAsia="宋体" w:cs="Times New Roman"/>
          <w:color w:val="000000" w:themeColor="text1"/>
          <w:sz w:val="24"/>
          <w:szCs w:val="24"/>
          <w14:textFill>
            <w14:solidFill>
              <w14:schemeClr w14:val="tx1"/>
            </w14:solidFill>
          </w14:textFill>
        </w:rPr>
        <w:t>燃气门站、储配站、调压站、电厂、各级变电站、给水厂及泵站、污水厂及泵站、通信机房、光纤到户通信设施、热源厂和热力站</w:t>
      </w:r>
      <w:r>
        <w:rPr>
          <w:rFonts w:ascii="Times New Roman" w:hAnsi="Times New Roman" w:eastAsia="宋体" w:cs="Times New Roman"/>
          <w:color w:val="000000" w:themeColor="text1"/>
          <w:sz w:val="24"/>
          <w:szCs w:val="24"/>
          <w14:textFill>
            <w14:solidFill>
              <w14:schemeClr w14:val="tx1"/>
            </w14:solidFill>
          </w14:textFill>
        </w:rPr>
        <w:t>等</w:t>
      </w:r>
      <w:r>
        <w:rPr>
          <w:rFonts w:hint="eastAsia" w:ascii="Times New Roman" w:hAnsi="Times New Roman" w:eastAsia="宋体" w:cs="Times New Roman"/>
          <w:color w:val="000000" w:themeColor="text1"/>
          <w:sz w:val="24"/>
          <w:szCs w:val="24"/>
          <w14:textFill>
            <w14:solidFill>
              <w14:schemeClr w14:val="tx1"/>
            </w14:solidFill>
          </w14:textFill>
        </w:rPr>
        <w:t>，各地可因地制宜增加评估对象；</w:t>
      </w:r>
    </w:p>
    <w:p>
      <w:pPr>
        <w:pStyle w:val="41"/>
        <w:numPr>
          <w:ilvl w:val="3"/>
          <w:numId w:val="12"/>
        </w:numPr>
        <w:adjustRightInd w:val="0"/>
        <w:snapToGrid w:val="0"/>
        <w:spacing w:line="360" w:lineRule="auto"/>
        <w:ind w:left="0" w:firstLine="360"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遇水反应化工品包括遇水反应有爆炸危险的物质、遇水反应有燃烧危险的物质、遇水反应有中毒危险的物质和遇水反应产生氯化氢的物质，共计118种化工品，详细名单可参考本标准附录D；</w:t>
      </w:r>
    </w:p>
    <w:p>
      <w:pPr>
        <w:pStyle w:val="41"/>
        <w:numPr>
          <w:ilvl w:val="3"/>
          <w:numId w:val="12"/>
        </w:numPr>
        <w:adjustRightInd w:val="0"/>
        <w:snapToGrid w:val="0"/>
        <w:spacing w:line="360" w:lineRule="auto"/>
        <w:ind w:left="0" w:firstLine="360"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基于排水分区和社区层级的洪涝积水风险评估模型，各地可结合模型范围，因地制宜增加社区或建筑物生命线工程相关基础设施作为评估对象。</w:t>
      </w:r>
    </w:p>
    <w:p>
      <w:pPr>
        <w:pStyle w:val="41"/>
        <w:numPr>
          <w:ilvl w:val="2"/>
          <w:numId w:val="1"/>
        </w:numPr>
        <w:adjustRightInd w:val="0"/>
        <w:snapToGrid w:val="0"/>
        <w:spacing w:line="360" w:lineRule="auto"/>
        <w:ind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当生命线基础设施和遇水反应化工品点位的设计内涝水位与安全超高之和，仍低于洪涝积水风险评估中该点位水位线时，说明该点位存在受淹风险</w:t>
      </w:r>
      <w:r>
        <w:rPr>
          <w:rFonts w:ascii="Times New Roman" w:hAnsi="Times New Roman" w:eastAsia="宋体" w:cs="Times New Roman"/>
          <w:color w:val="000000" w:themeColor="text1"/>
          <w:sz w:val="24"/>
          <w:szCs w:val="24"/>
          <w14:textFill>
            <w14:solidFill>
              <w14:schemeClr w14:val="tx1"/>
            </w14:solidFill>
          </w14:textFill>
        </w:rPr>
        <w:t>。</w:t>
      </w:r>
    </w:p>
    <w:p>
      <w:pPr>
        <w:pStyle w:val="41"/>
        <w:numPr>
          <w:ilvl w:val="2"/>
          <w:numId w:val="1"/>
        </w:numPr>
        <w:adjustRightInd w:val="0"/>
        <w:snapToGrid w:val="0"/>
        <w:spacing w:line="360" w:lineRule="auto"/>
        <w:ind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对于存在受淹风险的承灾体，应通过模拟评估，获得对应降雨情景下，该点位服务范围、点位淹没深度及持续时间。</w:t>
      </w:r>
    </w:p>
    <w:p>
      <w:pPr>
        <w:widowControl/>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br w:type="page"/>
      </w:r>
    </w:p>
    <w:p>
      <w:pPr>
        <w:pStyle w:val="2"/>
        <w:spacing w:before="340" w:beforeLines="0" w:after="330" w:afterLines="0" w:line="578" w:lineRule="auto"/>
        <w:rPr>
          <w:color w:val="000000" w:themeColor="text1"/>
          <w:spacing w:val="0"/>
          <w:kern w:val="44"/>
          <w:sz w:val="30"/>
          <w:szCs w:val="20"/>
          <w14:textFill>
            <w14:solidFill>
              <w14:schemeClr w14:val="tx1"/>
            </w14:solidFill>
          </w14:textFill>
        </w:rPr>
      </w:pPr>
      <w:bookmarkStart w:id="203" w:name="_Toc201078658"/>
      <w:bookmarkStart w:id="204" w:name="_Toc201223973"/>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w:t>
      </w:r>
      <w:bookmarkStart w:id="205" w:name="_Toc201743727"/>
      <w:bookmarkStart w:id="206" w:name="_Toc201743676"/>
      <w:bookmarkStart w:id="207" w:name="_Toc201745751"/>
      <w:bookmarkStart w:id="208" w:name="_Toc201743625"/>
      <w:r>
        <w:rPr>
          <w:rFonts w:hint="eastAsia"/>
          <w:color w:val="000000" w:themeColor="text1"/>
          <w:spacing w:val="0"/>
          <w:kern w:val="44"/>
          <w:sz w:val="30"/>
          <w:szCs w:val="20"/>
          <w14:textFill>
            <w14:solidFill>
              <w14:schemeClr w14:val="tx1"/>
            </w14:solidFill>
          </w14:textFill>
        </w:rPr>
        <w:t>洪涝灾害链综合风险数字化管理</w:t>
      </w:r>
      <w:bookmarkEnd w:id="203"/>
      <w:bookmarkEnd w:id="204"/>
      <w:bookmarkEnd w:id="205"/>
      <w:bookmarkEnd w:id="206"/>
      <w:bookmarkEnd w:id="207"/>
      <w:bookmarkEnd w:id="208"/>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各地宜建立城市洪涝灾害智慧系统，接入城市特大洪涝灾害链综合风险数据库，作为城市综合防灾减灾平台的子系统，或水务、应急信息平台扩展模块，实现数字化管理。</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城市洪涝灾害智慧平台信息与水务、住建、交通、应急等部门进行共享，并通过社交媒体及时对外界发布。</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城市洪涝灾害智慧系统应接入积水点监测、下穿桥隧道等重要节点监测、排涝泵站、水闸、堤防监测设施等数据，通过预测模型输出泵站水闸运行、交通封控等决策辅助信息。</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洪涝灾害智慧系统宜具备风险评估预警、应急决策、动态更新、灾后复盘等功能。</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城市洪涝灾害链风险数据库设计应遵循结构可扩充性、拓扑可维护性、数据完整性、空间与属性关联性、空间数据多源性和数据安全性等原则，并应采用地理信息系统技术。</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城市洪涝灾害链风险数据库应根据数据使用权限提供信息共享接口，应包括各种数据和属性数据的创建、删除和更新，并应满足属性数据的批量修改、多种格式数据的导入导出等要求。</w:t>
      </w:r>
    </w:p>
    <w:p>
      <w:pPr>
        <w:rPr>
          <w:color w:val="000000" w:themeColor="text1"/>
          <w14:textFill>
            <w14:solidFill>
              <w14:schemeClr w14:val="tx1"/>
            </w14:solidFill>
          </w14:textFill>
        </w:rPr>
      </w:pPr>
    </w:p>
    <w:p>
      <w:pPr>
        <w:widowControl/>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340" w:beforeLines="0" w:after="330" w:afterLines="0" w:line="578" w:lineRule="auto"/>
        <w:rPr>
          <w:color w:val="000000" w:themeColor="text1"/>
          <w:spacing w:val="0"/>
          <w:kern w:val="44"/>
          <w:sz w:val="30"/>
          <w:szCs w:val="20"/>
          <w14:textFill>
            <w14:solidFill>
              <w14:schemeClr w14:val="tx1"/>
            </w14:solidFill>
          </w14:textFill>
        </w:rPr>
      </w:pPr>
      <w:bookmarkStart w:id="209" w:name="_Toc201223974"/>
      <w:bookmarkStart w:id="210" w:name="_Toc201078659"/>
      <w:r>
        <w:rPr>
          <w:rFonts w:hint="eastAsia"/>
          <w:color w:val="000000" w:themeColor="text1"/>
          <w:spacing w:val="0"/>
          <w:kern w:val="44"/>
          <w:sz w:val="30"/>
          <w:szCs w:val="20"/>
          <w14:textFill>
            <w14:solidFill>
              <w14:schemeClr w14:val="tx1"/>
            </w14:solidFill>
          </w14:textFill>
        </w:rPr>
        <w:t xml:space="preserve"> </w:t>
      </w:r>
      <w:r>
        <w:rPr>
          <w:color w:val="000000" w:themeColor="text1"/>
          <w:spacing w:val="0"/>
          <w:kern w:val="44"/>
          <w:sz w:val="30"/>
          <w:szCs w:val="20"/>
          <w14:textFill>
            <w14:solidFill>
              <w14:schemeClr w14:val="tx1"/>
            </w14:solidFill>
          </w14:textFill>
        </w:rPr>
        <w:t xml:space="preserve"> </w:t>
      </w:r>
      <w:bookmarkStart w:id="211" w:name="_Toc201743728"/>
      <w:bookmarkStart w:id="212" w:name="_Toc201743677"/>
      <w:bookmarkStart w:id="213" w:name="_Toc201745752"/>
      <w:bookmarkStart w:id="214" w:name="_Toc201743626"/>
      <w:r>
        <w:rPr>
          <w:rFonts w:hint="eastAsia"/>
          <w:color w:val="000000" w:themeColor="text1"/>
          <w:spacing w:val="0"/>
          <w:kern w:val="44"/>
          <w:sz w:val="30"/>
          <w:szCs w:val="20"/>
          <w14:textFill>
            <w14:solidFill>
              <w14:schemeClr w14:val="tx1"/>
            </w14:solidFill>
          </w14:textFill>
        </w:rPr>
        <w:t>风险图绘制</w:t>
      </w:r>
      <w:bookmarkEnd w:id="209"/>
      <w:bookmarkEnd w:id="210"/>
      <w:bookmarkEnd w:id="211"/>
      <w:bookmarkEnd w:id="212"/>
      <w:bookmarkEnd w:id="213"/>
      <w:bookmarkEnd w:id="214"/>
    </w:p>
    <w:p>
      <w:pPr>
        <w:pStyle w:val="3"/>
        <w:numPr>
          <w:ilvl w:val="1"/>
          <w:numId w:val="13"/>
        </w:numPr>
        <w:rPr>
          <w:color w:val="000000" w:themeColor="text1"/>
          <w14:textFill>
            <w14:solidFill>
              <w14:schemeClr w14:val="tx1"/>
            </w14:solidFill>
          </w14:textFill>
        </w:rPr>
      </w:pPr>
      <w:bookmarkStart w:id="215" w:name="_Toc201078660"/>
      <w:bookmarkStart w:id="216" w:name="_Toc201223975"/>
      <w:bookmarkStart w:id="217" w:name="_Toc49164197"/>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218" w:name="_Toc201743729"/>
      <w:bookmarkStart w:id="219" w:name="_Toc201745753"/>
      <w:bookmarkStart w:id="220" w:name="_Toc201743627"/>
      <w:bookmarkStart w:id="221" w:name="_Toc201743678"/>
      <w:r>
        <w:rPr>
          <w:rFonts w:hint="eastAsia"/>
          <w:color w:val="000000" w:themeColor="text1"/>
          <w14:textFill>
            <w14:solidFill>
              <w14:schemeClr w14:val="tx1"/>
            </w14:solidFill>
          </w14:textFill>
        </w:rPr>
        <w:t>资 料 收 集</w:t>
      </w:r>
      <w:bookmarkEnd w:id="215"/>
      <w:bookmarkEnd w:id="216"/>
      <w:bookmarkEnd w:id="218"/>
      <w:bookmarkEnd w:id="219"/>
      <w:bookmarkEnd w:id="220"/>
      <w:bookmarkEnd w:id="221"/>
    </w:p>
    <w:p>
      <w:pPr>
        <w:pStyle w:val="4"/>
        <w:widowControl/>
        <w:spacing w:before="120" w:after="120" w:line="360" w:lineRule="auto"/>
        <w:jc w:val="center"/>
        <w:rPr>
          <w:rFonts w:ascii="仿宋" w:hAnsi="仿宋"/>
          <w:b w:val="0"/>
          <w:color w:val="000000" w:themeColor="text1"/>
          <w:sz w:val="28"/>
          <w14:textFill>
            <w14:solidFill>
              <w14:schemeClr w14:val="tx1"/>
            </w14:solidFill>
          </w14:textFill>
        </w:rPr>
      </w:pPr>
      <w:bookmarkStart w:id="222" w:name="_Toc49164198"/>
      <w:r>
        <w:rPr>
          <w:rFonts w:hint="eastAsia" w:ascii="仿宋" w:hAnsi="仿宋"/>
          <w:b w:val="0"/>
          <w:color w:val="000000" w:themeColor="text1"/>
          <w:sz w:val="28"/>
          <w14:textFill>
            <w14:solidFill>
              <w14:schemeClr w14:val="tx1"/>
            </w14:solidFill>
          </w14:textFill>
        </w:rPr>
        <w:t>I</w:t>
      </w:r>
      <w:r>
        <w:rPr>
          <w:rFonts w:ascii="仿宋" w:hAnsi="仿宋"/>
          <w:b w:val="0"/>
          <w:color w:val="000000" w:themeColor="text1"/>
          <w:sz w:val="28"/>
          <w14:textFill>
            <w14:solidFill>
              <w14:schemeClr w14:val="tx1"/>
            </w14:solidFill>
          </w14:textFill>
        </w:rPr>
        <w:t xml:space="preserve"> </w:t>
      </w:r>
      <w:r>
        <w:rPr>
          <w:rFonts w:hint="eastAsia" w:ascii="仿宋" w:hAnsi="仿宋"/>
          <w:b w:val="0"/>
          <w:color w:val="000000" w:themeColor="text1"/>
          <w:sz w:val="28"/>
          <w14:textFill>
            <w14:solidFill>
              <w14:schemeClr w14:val="tx1"/>
            </w14:solidFill>
          </w14:textFill>
        </w:rPr>
        <w:t xml:space="preserve"> 洪涝积水风险区划图</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基础地理资料应符合本标准附录B的规定并应符合下列要求：</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收集编制范围内的河道水系三线范围、河道纵横断面图、断面高程信息、土壤地质、地形高程信息、土地使用性质等基础信息；</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收集编制范围内的重点低洼路段、下凹桥区、地下通道、地铁等易涝点数据；</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基础地理资料应满足现实性和时效性要求。</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地形高程数据应符合下列规定：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地形高程信息应为城市最新高精度矢量数据，总体精度不低于1:2000，高程点间距在</w:t>
      </w:r>
      <w:r>
        <w:rPr>
          <w:rFonts w:ascii="Times New Roman" w:hAnsi="Times New Roman" w:eastAsia="宋体" w:cs="Times New Roman"/>
          <w:color w:val="000000" w:themeColor="text1"/>
          <w:sz w:val="24"/>
          <w:szCs w:val="24"/>
          <w14:textFill>
            <w14:solidFill>
              <w14:schemeClr w14:val="tx1"/>
            </w14:solidFill>
          </w14:textFill>
        </w:rPr>
        <w:t>5m~20m之间，</w:t>
      </w:r>
      <w:r>
        <w:rPr>
          <w:rFonts w:hint="eastAsia" w:ascii="Times New Roman" w:hAnsi="Times New Roman" w:eastAsia="宋体" w:cs="Times New Roman"/>
          <w:color w:val="000000" w:themeColor="text1"/>
          <w:sz w:val="24"/>
          <w:szCs w:val="24"/>
          <w14:textFill>
            <w14:solidFill>
              <w14:schemeClr w14:val="tx1"/>
            </w14:solidFill>
          </w14:textFill>
        </w:rPr>
        <w:t>重要区域的DEM分辨率不高于2m~5m，</w:t>
      </w:r>
      <w:r>
        <w:rPr>
          <w:rFonts w:ascii="Times New Roman" w:hAnsi="Times New Roman" w:eastAsia="宋体" w:cs="Times New Roman"/>
          <w:color w:val="000000" w:themeColor="text1"/>
          <w:sz w:val="24"/>
          <w:szCs w:val="24"/>
          <w14:textFill>
            <w14:solidFill>
              <w14:schemeClr w14:val="tx1"/>
            </w14:solidFill>
          </w14:textFill>
        </w:rPr>
        <w:t>应采用国家测绘出版的成果。如果地理信息地图未能反应区域下垫面显著变化，应进一步收集相关资料或者现场调查进行补充和修正，确有必要时可专门测绘</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土地利用资料的比例尺不小于1：2000，遥感影像的分辨率不低于2m。</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河道断面数据应符合下列规定：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收集编制范围内河道各断面中心点的位置坐标，每一断面各测点的高程及其与测量起点的距离等；</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每个断面测点个数不少于</w:t>
      </w:r>
      <w:r>
        <w:rPr>
          <w:rFonts w:ascii="Times New Roman" w:hAnsi="Times New Roman" w:eastAsia="宋体" w:cs="Times New Roman"/>
          <w:color w:val="000000" w:themeColor="text1"/>
          <w:sz w:val="24"/>
          <w:szCs w:val="24"/>
          <w14:textFill>
            <w14:solidFill>
              <w14:schemeClr w14:val="tx1"/>
            </w14:solidFill>
          </w14:textFill>
        </w:rPr>
        <w:t>4个，每两个断面间距在50m~200m之间。</w:t>
      </w:r>
      <w:r>
        <w:rPr>
          <w:rFonts w:hint="eastAsia" w:ascii="Times New Roman" w:hAnsi="Times New Roman" w:eastAsia="宋体" w:cs="Times New Roman"/>
          <w:color w:val="000000" w:themeColor="text1"/>
          <w:sz w:val="24"/>
          <w:szCs w:val="24"/>
          <w14:textFill>
            <w14:solidFill>
              <w14:schemeClr w14:val="tx1"/>
            </w14:solidFill>
          </w14:textFill>
        </w:rPr>
        <w:t>水工建筑物前后、河道断面形状变化较大区段应增加采样密度</w:t>
      </w:r>
      <w:r>
        <w:rPr>
          <w:rFonts w:ascii="Times New Roman" w:hAnsi="Times New Roman" w:eastAsia="宋体" w:cs="Times New Roman"/>
          <w:color w:val="000000" w:themeColor="text1"/>
          <w:sz w:val="24"/>
          <w:szCs w:val="24"/>
          <w14:textFill>
            <w14:solidFill>
              <w14:schemeClr w14:val="tx1"/>
            </w14:solidFill>
          </w14:textFill>
        </w:rPr>
        <w:t>。</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防洪排涝工程应收集以下资料：</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涉水工程应收集编制范围内涉及的水库、堤防、闸坝、阻水桥梁、涵洞、蓄滞空间等的基本参数和调度预案；</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排涝工程应收集编制范围内涉及的管网、泵站、调蓄池等的基本参数和调度预案。</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防洪工程资料应符合下列规定：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水库应包括水位</w:t>
      </w:r>
      <w:r>
        <w:rPr>
          <w:rFonts w:ascii="Times New Roman" w:hAnsi="Times New Roman" w:eastAsia="宋体" w:cs="Times New Roman"/>
          <w:color w:val="000000" w:themeColor="text1"/>
          <w:sz w:val="24"/>
          <w:szCs w:val="24"/>
          <w14:textFill>
            <w14:solidFill>
              <w14:schemeClr w14:val="tx1"/>
            </w14:solidFill>
          </w14:textFill>
        </w:rPr>
        <w:t>-库容关系、水位-泄量关系曲线等资料；堤防应包括堤顶高程、溃口信息等资料；水闸应包含闸孔个数、闸门尺寸、闸底板高程、设计过流能力、调度预案等资料；橡胶坝应包括水坝尺寸、长度、坝顶高程、调度预案等资料；蓄滞空间应包含蓄滞洪区容积、蓄洪水位、分洪运用条件及调度预案等资料</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防洪工程及构筑物资料应满足现实性、时效性和准确性要求，洪水调度方案及工程调度规则应满足时效性和权威性要求</w:t>
      </w:r>
      <w:r>
        <w:rPr>
          <w:rFonts w:ascii="Times New Roman" w:hAnsi="Times New Roman" w:eastAsia="宋体" w:cs="Times New Roman"/>
          <w:color w:val="000000" w:themeColor="text1"/>
          <w:sz w:val="24"/>
          <w:szCs w:val="24"/>
          <w14:textFill>
            <w14:solidFill>
              <w14:schemeClr w14:val="tx1"/>
            </w14:solidFill>
          </w14:textFill>
        </w:rPr>
        <w:t>。</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排涝工程资料应符合下列规定：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管线应包括上下游节点信息、类型（雨水、污水、合流）、形状（圆管</w:t>
      </w:r>
      <w:r>
        <w:rPr>
          <w:rFonts w:ascii="Times New Roman" w:hAnsi="Times New Roman" w:eastAsia="宋体" w:cs="Times New Roman"/>
          <w:color w:val="000000" w:themeColor="text1"/>
          <w:sz w:val="24"/>
          <w:szCs w:val="24"/>
          <w14:textFill>
            <w14:solidFill>
              <w14:schemeClr w14:val="tx1"/>
            </w14:solidFill>
          </w14:textFill>
        </w:rPr>
        <w:t>/方沟）、管径（直径/宽高）、长度、上下游底高程、上下游埋深等；检查井应包括地面高程、类型（雨水、污水、合流）、井室底高程、井室顶高程、井室平面面积、井筒平面面积等；排水口应包括形状、尺寸、底高程等；泵站应包括水泵台数、设计流量、前池容积、启停泵水位、服务范围等信息；调蓄池应包括尺寸、容积和进出水管线等信息</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排涝工程及构筑物资料应满足现实性、时效性和准确性要求。</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气象水文资料应符合下列规定：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收集编制范围内的雨量站的位置信息，及近</w:t>
      </w:r>
      <w:r>
        <w:rPr>
          <w:rFonts w:ascii="Times New Roman" w:hAnsi="Times New Roman" w:eastAsia="宋体" w:cs="Times New Roman"/>
          <w:color w:val="000000" w:themeColor="text1"/>
          <w:sz w:val="24"/>
          <w:szCs w:val="24"/>
          <w14:textFill>
            <w14:solidFill>
              <w14:schemeClr w14:val="tx1"/>
            </w14:solidFill>
          </w14:textFill>
        </w:rPr>
        <w:t>30年日降雨量数据、近5年典型场次降雨5分钟降雨数据</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w:t>
      </w:r>
      <w:r>
        <w:rPr>
          <w:rFonts w:ascii="Times New Roman" w:hAnsi="Times New Roman" w:eastAsia="宋体" w:cs="Times New Roman"/>
          <w:color w:val="000000" w:themeColor="text1"/>
          <w:sz w:val="24"/>
          <w:szCs w:val="24"/>
          <w14:textFill>
            <w14:solidFill>
              <w14:schemeClr w14:val="tx1"/>
            </w14:solidFill>
          </w14:textFill>
        </w:rPr>
        <w:t>暴雨强度公式编制报告</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w:t>
      </w:r>
      <w:r>
        <w:rPr>
          <w:rFonts w:ascii="Times New Roman" w:hAnsi="Times New Roman" w:eastAsia="宋体" w:cs="Times New Roman"/>
          <w:color w:val="000000" w:themeColor="text1"/>
          <w:sz w:val="24"/>
          <w:szCs w:val="24"/>
          <w14:textFill>
            <w14:solidFill>
              <w14:schemeClr w14:val="tx1"/>
            </w14:solidFill>
          </w14:textFill>
        </w:rPr>
        <w:t>当地水文手册及暴雨图集等资料。</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水文资料应符合下列规定：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收集编制范围内的水文站、潮位站等相关测站的位置信息，以及河道过流能力、控制断面水位</w:t>
      </w:r>
      <w:r>
        <w:rPr>
          <w:rFonts w:ascii="Times New Roman" w:hAnsi="Times New Roman" w:eastAsia="宋体" w:cs="Times New Roman"/>
          <w:color w:val="000000" w:themeColor="text1"/>
          <w:sz w:val="24"/>
          <w:szCs w:val="24"/>
          <w14:textFill>
            <w14:solidFill>
              <w14:schemeClr w14:val="tx1"/>
            </w14:solidFill>
          </w14:textFill>
        </w:rPr>
        <w:t>-流量关系曲线等资料，实测的水位、流量、潮位等资料</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水文资料应满足可靠性、一致性和代表性要求</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重点收集近几年形成城市特大内涝灾害的暴雨、洪水、天文潮和风暴潮资料，暴雨、洪水和风暴潮频率分析资料以及设计暴雨、设计洪水成果资料等。</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社会经济资料应符合下列规定：</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收集编制范围内的人口、交通、生产总值等统计指标；</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收集编制范围内的行政区划图、排水分区图、城市生命线工程分布图、重点防洪保护对象及防洪排涝调度预案等。</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应采用权威机构发布的最新统计数据，将其与土地利用图层之间在空间上进行关联后，使各类社会经济统计指标落在相应的土地利用图层上，可进行社会经济空间布局分析。</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洪涝灾害资料应符合下列规定：</w:t>
      </w:r>
    </w:p>
    <w:p>
      <w:pPr>
        <w:adjustRightInd w:val="0"/>
        <w:snapToGrid w:val="0"/>
        <w:spacing w:line="360" w:lineRule="auto"/>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收集编制范围内的典型暴雨和洪水造成的灾害损失等资料，内容包括淹没范围、水深分布、淹没流速、淹没历时等致灾因子特征，堤防漫溢、溃口溃决情况、工程调度情况等，人员伤亡、建筑物损毁、道路损毁、生命线工程破坏、地下空间破坏等损失情况；</w:t>
      </w:r>
    </w:p>
    <w:p>
      <w:pPr>
        <w:adjustRightInd w:val="0"/>
        <w:snapToGrid w:val="0"/>
        <w:spacing w:line="360" w:lineRule="auto"/>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资料应明确工程潜在风险点，包括薄弱堤防、病险水库、老化、破损的闸门、泵站等设施，并识别生命线工程以及易燃易爆、危险品生产存储区等重点防护对象的情况。</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历史洪涝灾害资料应符合下列规定：</w:t>
      </w:r>
    </w:p>
    <w:p>
      <w:pPr>
        <w:adjustRightInd w:val="0"/>
        <w:snapToGrid w:val="0"/>
        <w:spacing w:line="360" w:lineRule="auto"/>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资料宜以文档、表格、图片、视频等形式存储；</w:t>
      </w:r>
    </w:p>
    <w:p>
      <w:pPr>
        <w:adjustRightInd w:val="0"/>
        <w:snapToGrid w:val="0"/>
        <w:spacing w:line="360" w:lineRule="auto"/>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资料可通过受灾区域的民政部门、水利部门或住建部门等掌握的历史灾情统计和调查资料获取。</w:t>
      </w:r>
    </w:p>
    <w:p>
      <w:pPr>
        <w:pStyle w:val="4"/>
        <w:widowControl/>
        <w:spacing w:before="120" w:after="120" w:line="360" w:lineRule="auto"/>
        <w:jc w:val="center"/>
        <w:rPr>
          <w:rFonts w:ascii="仿宋" w:hAnsi="仿宋"/>
          <w:b w:val="0"/>
          <w:color w:val="000000" w:themeColor="text1"/>
          <w:sz w:val="28"/>
          <w14:textFill>
            <w14:solidFill>
              <w14:schemeClr w14:val="tx1"/>
            </w14:solidFill>
          </w14:textFill>
        </w:rPr>
      </w:pPr>
      <w:r>
        <w:rPr>
          <w:rFonts w:hint="eastAsia" w:ascii="仿宋" w:hAnsi="仿宋"/>
          <w:b w:val="0"/>
          <w:color w:val="000000" w:themeColor="text1"/>
          <w:sz w:val="28"/>
          <w14:textFill>
            <w14:solidFill>
              <w14:schemeClr w14:val="tx1"/>
            </w14:solidFill>
          </w14:textFill>
        </w:rPr>
        <w:t xml:space="preserve">II </w:t>
      </w:r>
      <w:r>
        <w:rPr>
          <w:rFonts w:ascii="仿宋" w:hAnsi="仿宋"/>
          <w:b w:val="0"/>
          <w:color w:val="000000" w:themeColor="text1"/>
          <w:sz w:val="28"/>
          <w14:textFill>
            <w14:solidFill>
              <w14:schemeClr w14:val="tx1"/>
            </w14:solidFill>
          </w14:textFill>
        </w:rPr>
        <w:t xml:space="preserve"> </w:t>
      </w:r>
      <w:r>
        <w:rPr>
          <w:rFonts w:hint="eastAsia" w:ascii="仿宋" w:hAnsi="仿宋"/>
          <w:b w:val="0"/>
          <w:color w:val="000000" w:themeColor="text1"/>
          <w:sz w:val="28"/>
          <w14:textFill>
            <w14:solidFill>
              <w14:schemeClr w14:val="tx1"/>
            </w14:solidFill>
          </w14:textFill>
        </w:rPr>
        <w:t>洪涝灾害链综合风险套图</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灾害链综合风险套图包括城市洪涝脆弱性风险图、洪涝灾害链综合风险图和承灾体受淹风险评估图。基础资料收集应包括洪涝积水风险区划结果、城市管理单元网格、土地利用类型矢量数据、人口密度、地下空间出入口、生命线基础设施相关资料、地质灾害点位、遇水反应化工品点位相关资料等。洪涝灾害链风险图资料收集应</w:t>
      </w:r>
      <w:r>
        <w:rPr>
          <w:rFonts w:ascii="Times New Roman" w:hAnsi="Times New Roman" w:eastAsia="宋体" w:cs="Times New Roman"/>
          <w:color w:val="000000" w:themeColor="text1"/>
          <w:sz w:val="24"/>
          <w:szCs w:val="24"/>
          <w14:textFill>
            <w14:solidFill>
              <w14:schemeClr w14:val="tx1"/>
            </w14:solidFill>
          </w14:textFill>
        </w:rPr>
        <w:t>符合本标准附录B的规定</w:t>
      </w:r>
      <w:r>
        <w:rPr>
          <w:rFonts w:hint="eastAsia" w:ascii="Times New Roman" w:hAnsi="Times New Roman" w:eastAsia="宋体" w:cs="Times New Roman"/>
          <w:color w:val="000000" w:themeColor="text1"/>
          <w:sz w:val="24"/>
          <w:szCs w:val="24"/>
          <w14:textFill>
            <w14:solidFill>
              <w14:schemeClr w14:val="tx1"/>
            </w14:solidFill>
          </w14:textFill>
        </w:rPr>
        <w:t>。</w:t>
      </w:r>
    </w:p>
    <w:bookmarkEnd w:id="222"/>
    <w:p>
      <w:pPr>
        <w:pStyle w:val="3"/>
        <w:rPr>
          <w:color w:val="000000" w:themeColor="text1"/>
          <w14:textFill>
            <w14:solidFill>
              <w14:schemeClr w14:val="tx1"/>
            </w14:solidFill>
          </w14:textFill>
        </w:rPr>
      </w:pPr>
      <w:bookmarkStart w:id="223" w:name="_Toc201223976"/>
      <w:bookmarkStart w:id="224" w:name="_Toc201078661"/>
      <w:bookmarkStart w:id="225" w:name="_Toc49164199"/>
      <w:bookmarkStart w:id="226" w:name="_Toc33623383"/>
      <w:bookmarkStart w:id="227" w:name="_Toc33627729"/>
      <w:bookmarkStart w:id="228" w:name="_Toc35348167"/>
      <w:bookmarkStart w:id="229" w:name="_Toc33627290"/>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230" w:name="_Toc201745754"/>
      <w:bookmarkStart w:id="231" w:name="_Toc201743730"/>
      <w:bookmarkStart w:id="232" w:name="_Toc201743679"/>
      <w:bookmarkStart w:id="233" w:name="_Toc201743628"/>
      <w:r>
        <w:rPr>
          <w:rFonts w:hint="eastAsia"/>
          <w:color w:val="000000" w:themeColor="text1"/>
          <w14:textFill>
            <w14:solidFill>
              <w14:schemeClr w14:val="tx1"/>
            </w14:solidFill>
          </w14:textFill>
        </w:rPr>
        <w:t>制 图 流 程</w:t>
      </w:r>
      <w:bookmarkEnd w:id="223"/>
      <w:bookmarkEnd w:id="224"/>
      <w:bookmarkEnd w:id="225"/>
      <w:bookmarkEnd w:id="230"/>
      <w:bookmarkEnd w:id="231"/>
      <w:bookmarkEnd w:id="232"/>
      <w:bookmarkEnd w:id="233"/>
    </w:p>
    <w:p>
      <w:pPr>
        <w:pStyle w:val="4"/>
        <w:widowControl/>
        <w:spacing w:before="120" w:after="120" w:line="360" w:lineRule="auto"/>
        <w:jc w:val="center"/>
        <w:rPr>
          <w:rFonts w:ascii="宋体" w:hAnsi="宋体"/>
          <w:b w:val="0"/>
          <w:color w:val="000000" w:themeColor="text1"/>
          <w:sz w:val="28"/>
          <w14:textFill>
            <w14:solidFill>
              <w14:schemeClr w14:val="tx1"/>
            </w14:solidFill>
          </w14:textFill>
        </w:rPr>
      </w:pPr>
      <w:bookmarkStart w:id="234" w:name="_Toc50765381"/>
      <w:bookmarkStart w:id="235" w:name="_Toc51275387"/>
      <w:r>
        <w:rPr>
          <w:rFonts w:hint="eastAsia" w:ascii="仿宋" w:hAnsi="仿宋"/>
          <w:b w:val="0"/>
          <w:color w:val="000000" w:themeColor="text1"/>
          <w:sz w:val="28"/>
          <w14:textFill>
            <w14:solidFill>
              <w14:schemeClr w14:val="tx1"/>
            </w14:solidFill>
          </w14:textFill>
        </w:rPr>
        <w:t>I</w:t>
      </w:r>
      <w:r>
        <w:rPr>
          <w:rFonts w:hint="eastAsia" w:ascii="宋体" w:hAnsi="宋体"/>
          <w:b w:val="0"/>
          <w:color w:val="000000" w:themeColor="text1"/>
          <w:sz w:val="28"/>
          <w14:textFill>
            <w14:solidFill>
              <w14:schemeClr w14:val="tx1"/>
            </w14:solidFill>
          </w14:textFill>
        </w:rPr>
        <w:t xml:space="preserve"> </w:t>
      </w:r>
      <w:r>
        <w:rPr>
          <w:rFonts w:ascii="宋体" w:hAnsi="宋体"/>
          <w:b w:val="0"/>
          <w:color w:val="000000" w:themeColor="text1"/>
          <w:sz w:val="28"/>
          <w14:textFill>
            <w14:solidFill>
              <w14:schemeClr w14:val="tx1"/>
            </w14:solidFill>
          </w14:textFill>
        </w:rPr>
        <w:t xml:space="preserve"> </w:t>
      </w:r>
      <w:r>
        <w:rPr>
          <w:rFonts w:hint="eastAsia" w:ascii="宋体" w:hAnsi="宋体"/>
          <w:b w:val="0"/>
          <w:color w:val="000000" w:themeColor="text1"/>
          <w:sz w:val="28"/>
          <w14:textFill>
            <w14:solidFill>
              <w14:schemeClr w14:val="tx1"/>
            </w14:solidFill>
          </w14:textFill>
        </w:rPr>
        <w:t>洪涝积水风险图制图流程</w:t>
      </w:r>
      <w:bookmarkEnd w:id="234"/>
      <w:bookmarkEnd w:id="235"/>
    </w:p>
    <w:p>
      <w:pPr>
        <w:pStyle w:val="41"/>
        <w:numPr>
          <w:ilvl w:val="2"/>
          <w:numId w:val="1"/>
        </w:numPr>
        <w:ind w:firstLineChars="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w:r>
        <w:rPr>
          <w:rFonts w:ascii="Times New Roman" w:hAnsi="Times New Roman" w:eastAsia="宋体" w:cs="Times New Roman"/>
          <w:color w:val="000000" w:themeColor="text1"/>
          <w:sz w:val="24"/>
          <w:szCs w:val="24"/>
          <w14:textFill>
            <w14:solidFill>
              <w14:schemeClr w14:val="tx1"/>
            </w14:solidFill>
          </w14:textFill>
        </w:rPr>
        <w:t xml:space="preserve">    流域层级洪涝积水风险图应按本标准附录E的流程编制，为洪涝风险评估提供水位流量边界条件，如存在溃坝，提供溃坝淹没结果进行空间耦合。</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城市层级洪涝积水风险图应按本标准附录</w:t>
      </w:r>
      <w:r>
        <w:rPr>
          <w:rFonts w:ascii="Times New Roman" w:hAnsi="Times New Roman" w:eastAsia="宋体" w:cs="Times New Roman"/>
          <w:color w:val="000000" w:themeColor="text1"/>
          <w:sz w:val="24"/>
          <w:szCs w:val="24"/>
          <w14:textFill>
            <w14:solidFill>
              <w14:schemeClr w14:val="tx1"/>
            </w14:solidFill>
          </w14:textFill>
        </w:rPr>
        <w:t>E</w:t>
      </w:r>
      <w:r>
        <w:rPr>
          <w:rFonts w:hint="eastAsia" w:ascii="Times New Roman" w:hAnsi="Times New Roman" w:eastAsia="宋体" w:cs="Times New Roman"/>
          <w:color w:val="000000" w:themeColor="text1"/>
          <w:sz w:val="24"/>
          <w:szCs w:val="24"/>
          <w14:textFill>
            <w14:solidFill>
              <w14:schemeClr w14:val="tx1"/>
            </w14:solidFill>
          </w14:textFill>
        </w:rPr>
        <w:t>的流程编制并应符合下列规定：</w:t>
      </w:r>
    </w:p>
    <w:p>
      <w:pPr>
        <w:pStyle w:val="49"/>
        <w:widowControl/>
        <w:numPr>
          <w:ilvl w:val="0"/>
          <w:numId w:val="14"/>
        </w:numPr>
        <w:snapToGrid w:val="0"/>
        <w:spacing w:before="0" w:after="0" w:line="360" w:lineRule="auto"/>
        <w:ind w:left="0" w:firstLine="360" w:firstLineChars="150"/>
        <w:jc w:val="both"/>
        <w:outlineLvl w:val="9"/>
        <w:rPr>
          <w:b/>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提取不同重现期下计算结果中大于</w:t>
      </w:r>
      <w:r>
        <w:rPr>
          <w:color w:val="000000" w:themeColor="text1"/>
          <w:sz w:val="24"/>
          <w:szCs w:val="24"/>
          <w14:textFill>
            <w14:solidFill>
              <w14:schemeClr w14:val="tx1"/>
            </w14:solidFill>
          </w14:textFill>
        </w:rPr>
        <w:t>0.15m的所有网格，</w:t>
      </w:r>
      <w:r>
        <w:rPr>
          <w:rFonts w:hint="eastAsia"/>
          <w:color w:val="000000" w:themeColor="text1"/>
          <w:sz w:val="24"/>
          <w:szCs w:val="24"/>
          <w14:textFill>
            <w14:solidFill>
              <w14:schemeClr w14:val="tx1"/>
            </w14:solidFill>
          </w14:textFill>
        </w:rPr>
        <w:t>计算</w:t>
      </w:r>
      <w:r>
        <w:rPr>
          <w:color w:val="000000" w:themeColor="text1"/>
          <w:sz w:val="24"/>
          <w:szCs w:val="24"/>
          <w14:textFill>
            <w14:solidFill>
              <w14:schemeClr w14:val="tx1"/>
            </w14:solidFill>
          </w14:textFill>
        </w:rPr>
        <w:t>不同工况下对应的致灾因子结果，包括每个网格对应的水深和流速</w:t>
      </w:r>
      <w:r>
        <w:rPr>
          <w:rFonts w:hint="eastAsia"/>
          <w:color w:val="000000" w:themeColor="text1"/>
          <w:sz w:val="24"/>
          <w:szCs w:val="24"/>
          <w14:textFill>
            <w14:solidFill>
              <w14:schemeClr w14:val="tx1"/>
            </w14:solidFill>
          </w14:textFill>
        </w:rPr>
        <w:t>；</w:t>
      </w:r>
    </w:p>
    <w:p>
      <w:pPr>
        <w:pStyle w:val="49"/>
        <w:widowControl/>
        <w:numPr>
          <w:ilvl w:val="0"/>
          <w:numId w:val="14"/>
        </w:numPr>
        <w:snapToGrid w:val="0"/>
        <w:spacing w:before="0" w:after="0" w:line="360" w:lineRule="auto"/>
        <w:ind w:left="0" w:firstLine="360" w:firstLineChars="150"/>
        <w:jc w:val="both"/>
        <w:outlineLvl w:val="9"/>
        <w:rPr>
          <w:b/>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计算水深和流速的乘积，得到风险评估因子结果</w:t>
      </w:r>
      <w:r>
        <w:rPr>
          <w:rFonts w:hint="eastAsia"/>
          <w:color w:val="000000" w:themeColor="text1"/>
          <w:sz w:val="24"/>
          <w:szCs w:val="24"/>
          <w14:textFill>
            <w14:solidFill>
              <w14:schemeClr w14:val="tx1"/>
            </w14:solidFill>
          </w14:textFill>
        </w:rPr>
        <w:t>；</w:t>
      </w:r>
    </w:p>
    <w:p>
      <w:pPr>
        <w:pStyle w:val="49"/>
        <w:widowControl/>
        <w:numPr>
          <w:ilvl w:val="0"/>
          <w:numId w:val="14"/>
        </w:numPr>
        <w:snapToGrid w:val="0"/>
        <w:spacing w:before="0" w:after="0" w:line="360" w:lineRule="auto"/>
        <w:ind w:left="0" w:firstLine="360" w:firstLineChars="150"/>
        <w:jc w:val="both"/>
        <w:outlineLvl w:val="9"/>
        <w:rPr>
          <w:b/>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底图</w:t>
      </w:r>
      <w:r>
        <w:rPr>
          <w:color w:val="000000" w:themeColor="text1"/>
          <w:sz w:val="24"/>
          <w:szCs w:val="24"/>
          <w14:textFill>
            <w14:solidFill>
              <w14:schemeClr w14:val="tx1"/>
            </w14:solidFill>
          </w14:textFill>
        </w:rPr>
        <w:t>叠加城市管理单元，按</w:t>
      </w:r>
      <w:r>
        <w:rPr>
          <w:rFonts w:hint="eastAsia"/>
          <w:color w:val="000000" w:themeColor="text1"/>
          <w:sz w:val="24"/>
          <w:szCs w:val="24"/>
          <w14:textFill>
            <w14:solidFill>
              <w14:schemeClr w14:val="tx1"/>
            </w14:solidFill>
          </w14:textFill>
        </w:rPr>
        <w:t>相应</w:t>
      </w:r>
      <w:r>
        <w:rPr>
          <w:color w:val="000000" w:themeColor="text1"/>
          <w:sz w:val="24"/>
          <w:szCs w:val="24"/>
          <w14:textFill>
            <w14:solidFill>
              <w14:schemeClr w14:val="tx1"/>
            </w14:solidFill>
          </w14:textFill>
        </w:rPr>
        <w:t>阈值分级和配色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得到最终的洪涝积水风险图。</w:t>
      </w:r>
    </w:p>
    <w:p>
      <w:pPr>
        <w:pStyle w:val="4"/>
        <w:widowControl/>
        <w:spacing w:before="120" w:after="120" w:line="360" w:lineRule="auto"/>
        <w:jc w:val="center"/>
        <w:rPr>
          <w:rFonts w:ascii="宋体" w:hAnsi="宋体"/>
          <w:b w:val="0"/>
          <w:color w:val="000000" w:themeColor="text1"/>
          <w:sz w:val="28"/>
          <w14:textFill>
            <w14:solidFill>
              <w14:schemeClr w14:val="tx1"/>
            </w14:solidFill>
          </w14:textFill>
        </w:rPr>
      </w:pPr>
      <w:bookmarkStart w:id="236" w:name="_Toc51275388"/>
      <w:bookmarkStart w:id="237" w:name="_Toc50765382"/>
      <w:r>
        <w:rPr>
          <w:rFonts w:hint="eastAsia" w:ascii="仿宋" w:hAnsi="仿宋"/>
          <w:b w:val="0"/>
          <w:color w:val="000000" w:themeColor="text1"/>
          <w:sz w:val="28"/>
          <w14:textFill>
            <w14:solidFill>
              <w14:schemeClr w14:val="tx1"/>
            </w14:solidFill>
          </w14:textFill>
        </w:rPr>
        <w:t>II</w:t>
      </w:r>
      <w:r>
        <w:rPr>
          <w:rFonts w:ascii="仿宋" w:hAnsi="仿宋"/>
          <w:b w:val="0"/>
          <w:color w:val="000000" w:themeColor="text1"/>
          <w:sz w:val="28"/>
          <w14:textFill>
            <w14:solidFill>
              <w14:schemeClr w14:val="tx1"/>
            </w14:solidFill>
          </w14:textFill>
        </w:rPr>
        <w:t xml:space="preserve">  </w:t>
      </w:r>
      <w:r>
        <w:rPr>
          <w:rFonts w:hint="eastAsia" w:ascii="仿宋" w:hAnsi="仿宋"/>
          <w:b w:val="0"/>
          <w:color w:val="000000" w:themeColor="text1"/>
          <w:sz w:val="28"/>
          <w14:textFill>
            <w14:solidFill>
              <w14:schemeClr w14:val="tx1"/>
            </w14:solidFill>
          </w14:textFill>
        </w:rPr>
        <w:t>洪涝灾害链综合风险套图制图</w:t>
      </w:r>
      <w:r>
        <w:rPr>
          <w:rFonts w:hint="eastAsia" w:ascii="宋体" w:hAnsi="宋体"/>
          <w:b w:val="0"/>
          <w:color w:val="000000" w:themeColor="text1"/>
          <w:sz w:val="28"/>
          <w14:textFill>
            <w14:solidFill>
              <w14:schemeClr w14:val="tx1"/>
            </w14:solidFill>
          </w14:textFill>
        </w:rPr>
        <w:t>流程</w:t>
      </w:r>
      <w:bookmarkEnd w:id="236"/>
      <w:bookmarkEnd w:id="237"/>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洪涝灾害链综合风险套图应按本标准附录E的流程编制并应符合下列规定：</w:t>
      </w:r>
    </w:p>
    <w:p>
      <w:pPr>
        <w:pStyle w:val="10"/>
        <w:widowControl/>
        <w:numPr>
          <w:ilvl w:val="0"/>
          <w:numId w:val="15"/>
        </w:numPr>
        <w:snapToGrid w:val="0"/>
        <w:spacing w:after="0" w:line="360" w:lineRule="auto"/>
        <w:ind w:left="0" w:firstLine="360" w:firstLine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建立层析分析模型，确定</w:t>
      </w:r>
      <w:r>
        <w:rPr>
          <w:rFonts w:hint="eastAsia"/>
          <w:color w:val="000000" w:themeColor="text1"/>
          <w:sz w:val="24"/>
          <w14:textFill>
            <w14:solidFill>
              <w14:schemeClr w14:val="tx1"/>
            </w14:solidFill>
          </w14:textFill>
        </w:rPr>
        <w:t>各项</w:t>
      </w:r>
      <w:r>
        <w:rPr>
          <w:color w:val="000000" w:themeColor="text1"/>
          <w:sz w:val="24"/>
          <w14:textFill>
            <w14:solidFill>
              <w14:schemeClr w14:val="tx1"/>
            </w14:solidFill>
          </w14:textFill>
        </w:rPr>
        <w:t>指标权重。利用GIS栅格数据重分类—自然间断分类，划定每一项指标的评价等级</w:t>
      </w:r>
      <w:r>
        <w:rPr>
          <w:rFonts w:hint="eastAsia"/>
          <w:color w:val="000000" w:themeColor="text1"/>
          <w:sz w:val="24"/>
          <w14:textFill>
            <w14:solidFill>
              <w14:schemeClr w14:val="tx1"/>
            </w14:solidFill>
          </w14:textFill>
        </w:rPr>
        <w:t>，得到各</w:t>
      </w:r>
      <w:r>
        <w:rPr>
          <w:color w:val="000000" w:themeColor="text1"/>
          <w:sz w:val="24"/>
          <w14:textFill>
            <w14:solidFill>
              <w14:schemeClr w14:val="tx1"/>
            </w14:solidFill>
          </w14:textFill>
        </w:rPr>
        <w:t>单因素风险评估结果</w:t>
      </w:r>
      <w:r>
        <w:rPr>
          <w:rFonts w:hint="eastAsia"/>
          <w:color w:val="000000" w:themeColor="text1"/>
          <w:sz w:val="24"/>
          <w14:textFill>
            <w14:solidFill>
              <w14:schemeClr w14:val="tx1"/>
            </w14:solidFill>
          </w14:textFill>
        </w:rPr>
        <w:t>；</w:t>
      </w:r>
    </w:p>
    <w:p>
      <w:pPr>
        <w:pStyle w:val="10"/>
        <w:widowControl/>
        <w:numPr>
          <w:ilvl w:val="0"/>
          <w:numId w:val="15"/>
        </w:numPr>
        <w:snapToGrid w:val="0"/>
        <w:spacing w:after="0" w:line="360" w:lineRule="auto"/>
        <w:ind w:left="0" w:firstLine="360" w:firstLine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开展城市洪涝脆弱性</w:t>
      </w:r>
      <w:r>
        <w:rPr>
          <w:color w:val="000000" w:themeColor="text1"/>
          <w:sz w:val="24"/>
          <w14:textFill>
            <w14:solidFill>
              <w14:schemeClr w14:val="tx1"/>
            </w14:solidFill>
          </w14:textFill>
        </w:rPr>
        <w:t>分析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采用</w:t>
      </w:r>
      <w:r>
        <w:rPr>
          <w:rFonts w:hint="eastAsia"/>
          <w:color w:val="000000" w:themeColor="text1"/>
          <w:sz w:val="24"/>
          <w14:textFill>
            <w14:solidFill>
              <w14:schemeClr w14:val="tx1"/>
            </w14:solidFill>
          </w14:textFill>
        </w:rPr>
        <w:t>多因素加权评估</w:t>
      </w:r>
      <w:r>
        <w:rPr>
          <w:color w:val="000000" w:themeColor="text1"/>
          <w:sz w:val="24"/>
          <w14:textFill>
            <w14:solidFill>
              <w14:schemeClr w14:val="tx1"/>
            </w14:solidFill>
          </w14:textFill>
        </w:rPr>
        <w:t>法，利用GIS软件空间分析进行栅格计算，采用</w:t>
      </w:r>
      <w:r>
        <w:rPr>
          <w:rFonts w:hint="eastAsia"/>
          <w:color w:val="000000" w:themeColor="text1"/>
          <w:sz w:val="24"/>
          <w14:textFill>
            <w14:solidFill>
              <w14:schemeClr w14:val="tx1"/>
            </w14:solidFill>
          </w14:textFill>
        </w:rPr>
        <w:t>自然断点</w:t>
      </w:r>
      <w:r>
        <w:rPr>
          <w:color w:val="000000" w:themeColor="text1"/>
          <w:sz w:val="24"/>
          <w14:textFill>
            <w14:solidFill>
              <w14:schemeClr w14:val="tx1"/>
            </w14:solidFill>
          </w14:textFill>
        </w:rPr>
        <w:t>分类方法，将</w:t>
      </w:r>
      <w:r>
        <w:rPr>
          <w:rFonts w:hint="eastAsia"/>
          <w:color w:val="000000" w:themeColor="text1"/>
          <w:sz w:val="24"/>
          <w14:textFill>
            <w14:solidFill>
              <w14:schemeClr w14:val="tx1"/>
            </w14:solidFill>
          </w14:textFill>
        </w:rPr>
        <w:t>风险评估结果</w:t>
      </w:r>
      <w:r>
        <w:rPr>
          <w:color w:val="000000" w:themeColor="text1"/>
          <w:sz w:val="24"/>
          <w14:textFill>
            <w14:solidFill>
              <w14:schemeClr w14:val="tx1"/>
            </w14:solidFill>
          </w14:textFill>
        </w:rPr>
        <w:t>按</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个等级分区划分（高风险区、</w:t>
      </w:r>
      <w:r>
        <w:rPr>
          <w:rFonts w:hint="eastAsia"/>
          <w:color w:val="000000" w:themeColor="text1"/>
          <w:sz w:val="24"/>
          <w14:textFill>
            <w14:solidFill>
              <w14:schemeClr w14:val="tx1"/>
            </w14:solidFill>
          </w14:textFill>
        </w:rPr>
        <w:t>次高风险区、</w:t>
      </w:r>
      <w:r>
        <w:rPr>
          <w:color w:val="000000" w:themeColor="text1"/>
          <w:sz w:val="24"/>
          <w14:textFill>
            <w14:solidFill>
              <w14:schemeClr w14:val="tx1"/>
            </w14:solidFill>
          </w14:textFill>
        </w:rPr>
        <w:t>中等风险区、低风险区）</w:t>
      </w:r>
      <w:r>
        <w:rPr>
          <w:rFonts w:hint="eastAsia"/>
          <w:color w:val="000000" w:themeColor="text1"/>
          <w:sz w:val="24"/>
          <w14:textFill>
            <w14:solidFill>
              <w14:schemeClr w14:val="tx1"/>
            </w14:solidFill>
          </w14:textFill>
        </w:rPr>
        <w:t>，得到</w:t>
      </w:r>
      <w:r>
        <w:rPr>
          <w:color w:val="000000" w:themeColor="text1"/>
          <w:sz w:val="24"/>
          <w14:textFill>
            <w14:solidFill>
              <w14:schemeClr w14:val="tx1"/>
            </w14:solidFill>
          </w14:textFill>
        </w:rPr>
        <w:t>各城市管理单元对应的</w:t>
      </w:r>
      <w:r>
        <w:rPr>
          <w:rFonts w:hint="eastAsia"/>
          <w:color w:val="000000" w:themeColor="text1"/>
          <w:sz w:val="24"/>
          <w14:textFill>
            <w14:solidFill>
              <w14:schemeClr w14:val="tx1"/>
            </w14:solidFill>
          </w14:textFill>
        </w:rPr>
        <w:t>城市洪涝脆弱性</w:t>
      </w:r>
      <w:r>
        <w:rPr>
          <w:color w:val="000000" w:themeColor="text1"/>
          <w:sz w:val="24"/>
          <w14:textFill>
            <w14:solidFill>
              <w14:schemeClr w14:val="tx1"/>
            </w14:solidFill>
          </w14:textFill>
        </w:rPr>
        <w:t>等级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绘制完成</w:t>
      </w:r>
      <w:r>
        <w:rPr>
          <w:rFonts w:hint="eastAsia"/>
          <w:color w:val="000000" w:themeColor="text1"/>
          <w:sz w:val="24"/>
          <w14:textFill>
            <w14:solidFill>
              <w14:schemeClr w14:val="tx1"/>
            </w14:solidFill>
          </w14:textFill>
        </w:rPr>
        <w:t>城市洪涝脆弱性</w:t>
      </w:r>
      <w:r>
        <w:rPr>
          <w:color w:val="000000" w:themeColor="text1"/>
          <w:sz w:val="24"/>
          <w14:textFill>
            <w14:solidFill>
              <w14:schemeClr w14:val="tx1"/>
            </w14:solidFill>
          </w14:textFill>
        </w:rPr>
        <w:t>风险图</w:t>
      </w:r>
      <w:r>
        <w:rPr>
          <w:rFonts w:hint="eastAsia"/>
          <w:color w:val="000000" w:themeColor="text1"/>
          <w:sz w:val="24"/>
          <w14:textFill>
            <w14:solidFill>
              <w14:schemeClr w14:val="tx1"/>
            </w14:solidFill>
          </w14:textFill>
        </w:rPr>
        <w:t>，自然断点法应符合本标准附录</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的规定；</w:t>
      </w:r>
    </w:p>
    <w:p>
      <w:pPr>
        <w:pStyle w:val="10"/>
        <w:widowControl/>
        <w:numPr>
          <w:ilvl w:val="0"/>
          <w:numId w:val="15"/>
        </w:numPr>
        <w:snapToGrid w:val="0"/>
        <w:spacing w:after="0" w:line="360" w:lineRule="auto"/>
        <w:ind w:left="0" w:firstLine="360" w:firstLine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开展洪涝灾害链综合风险评估，</w:t>
      </w:r>
      <w:r>
        <w:rPr>
          <w:color w:val="000000" w:themeColor="text1"/>
          <w:sz w:val="24"/>
          <w14:textFill>
            <w14:solidFill>
              <w14:schemeClr w14:val="tx1"/>
            </w14:solidFill>
          </w14:textFill>
        </w:rPr>
        <w:t>采用</w:t>
      </w:r>
      <w:r>
        <w:rPr>
          <w:rFonts w:hint="eastAsia"/>
          <w:color w:val="000000" w:themeColor="text1"/>
          <w:sz w:val="24"/>
          <w14:textFill>
            <w14:solidFill>
              <w14:schemeClr w14:val="tx1"/>
            </w14:solidFill>
          </w14:textFill>
        </w:rPr>
        <w:t>多因素加权评估</w:t>
      </w:r>
      <w:r>
        <w:rPr>
          <w:color w:val="000000" w:themeColor="text1"/>
          <w:sz w:val="24"/>
          <w14:textFill>
            <w14:solidFill>
              <w14:schemeClr w14:val="tx1"/>
            </w14:solidFill>
          </w14:textFill>
        </w:rPr>
        <w:t>法，利用GIS软件空间分析进行栅格计算，采用</w:t>
      </w:r>
      <w:r>
        <w:rPr>
          <w:rFonts w:hint="eastAsia"/>
          <w:color w:val="000000" w:themeColor="text1"/>
          <w:sz w:val="24"/>
          <w14:textFill>
            <w14:solidFill>
              <w14:schemeClr w14:val="tx1"/>
            </w14:solidFill>
          </w14:textFill>
        </w:rPr>
        <w:t>自然断点</w:t>
      </w:r>
      <w:r>
        <w:rPr>
          <w:color w:val="000000" w:themeColor="text1"/>
          <w:sz w:val="24"/>
          <w14:textFill>
            <w14:solidFill>
              <w14:schemeClr w14:val="tx1"/>
            </w14:solidFill>
          </w14:textFill>
        </w:rPr>
        <w:t>分类方法，将</w:t>
      </w:r>
      <w:r>
        <w:rPr>
          <w:rFonts w:hint="eastAsia"/>
          <w:color w:val="000000" w:themeColor="text1"/>
          <w:sz w:val="24"/>
          <w14:textFill>
            <w14:solidFill>
              <w14:schemeClr w14:val="tx1"/>
            </w14:solidFill>
          </w14:textFill>
        </w:rPr>
        <w:t>风险评估结果</w:t>
      </w:r>
      <w:r>
        <w:rPr>
          <w:color w:val="000000" w:themeColor="text1"/>
          <w:sz w:val="24"/>
          <w14:textFill>
            <w14:solidFill>
              <w14:schemeClr w14:val="tx1"/>
            </w14:solidFill>
          </w14:textFill>
        </w:rPr>
        <w:t>按</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个等级分区划分（高风险区、</w:t>
      </w:r>
      <w:r>
        <w:rPr>
          <w:rFonts w:hint="eastAsia"/>
          <w:color w:val="000000" w:themeColor="text1"/>
          <w:sz w:val="24"/>
          <w14:textFill>
            <w14:solidFill>
              <w14:schemeClr w14:val="tx1"/>
            </w14:solidFill>
          </w14:textFill>
        </w:rPr>
        <w:t>次高风险区、</w:t>
      </w:r>
      <w:r>
        <w:rPr>
          <w:color w:val="000000" w:themeColor="text1"/>
          <w:sz w:val="24"/>
          <w14:textFill>
            <w14:solidFill>
              <w14:schemeClr w14:val="tx1"/>
            </w14:solidFill>
          </w14:textFill>
        </w:rPr>
        <w:t>中等风险区、低风险区）</w:t>
      </w:r>
      <w:r>
        <w:rPr>
          <w:rFonts w:hint="eastAsia"/>
          <w:color w:val="000000" w:themeColor="text1"/>
          <w:sz w:val="24"/>
          <w14:textFill>
            <w14:solidFill>
              <w14:schemeClr w14:val="tx1"/>
            </w14:solidFill>
          </w14:textFill>
        </w:rPr>
        <w:t>，得到不同降雨情境下，各</w:t>
      </w:r>
      <w:r>
        <w:rPr>
          <w:color w:val="000000" w:themeColor="text1"/>
          <w:sz w:val="24"/>
          <w14:textFill>
            <w14:solidFill>
              <w14:schemeClr w14:val="tx1"/>
            </w14:solidFill>
          </w14:textFill>
        </w:rPr>
        <w:t>管理单元对应的</w:t>
      </w:r>
      <w:r>
        <w:rPr>
          <w:rFonts w:hint="eastAsia"/>
          <w:color w:val="000000" w:themeColor="text1"/>
          <w:sz w:val="24"/>
          <w14:textFill>
            <w14:solidFill>
              <w14:schemeClr w14:val="tx1"/>
            </w14:solidFill>
          </w14:textFill>
        </w:rPr>
        <w:t>洪涝灾害链综合风险</w:t>
      </w:r>
      <w:r>
        <w:rPr>
          <w:color w:val="000000" w:themeColor="text1"/>
          <w:sz w:val="24"/>
          <w14:textFill>
            <w14:solidFill>
              <w14:schemeClr w14:val="tx1"/>
            </w14:solidFill>
          </w14:textFill>
        </w:rPr>
        <w:t>等级</w:t>
      </w:r>
      <w:r>
        <w:rPr>
          <w:rFonts w:hint="eastAsia"/>
          <w:color w:val="000000" w:themeColor="text1"/>
          <w:sz w:val="24"/>
          <w14:textFill>
            <w14:solidFill>
              <w14:schemeClr w14:val="tx1"/>
            </w14:solidFill>
          </w14:textFill>
        </w:rPr>
        <w:t>，标注溃坝、漫堤等链生灾害发生位置和灾害链触发机制，</w:t>
      </w:r>
      <w:r>
        <w:rPr>
          <w:color w:val="000000" w:themeColor="text1"/>
          <w:sz w:val="24"/>
          <w14:textFill>
            <w14:solidFill>
              <w14:schemeClr w14:val="tx1"/>
            </w14:solidFill>
          </w14:textFill>
        </w:rPr>
        <w:t>绘制完成</w:t>
      </w:r>
      <w:r>
        <w:rPr>
          <w:rFonts w:hint="eastAsia"/>
          <w:color w:val="000000" w:themeColor="text1"/>
          <w:sz w:val="24"/>
          <w14:textFill>
            <w14:solidFill>
              <w14:schemeClr w14:val="tx1"/>
            </w14:solidFill>
          </w14:textFill>
        </w:rPr>
        <w:t>洪涝灾害链综合风险</w:t>
      </w:r>
      <w:r>
        <w:rPr>
          <w:color w:val="000000" w:themeColor="text1"/>
          <w:sz w:val="24"/>
          <w14:textFill>
            <w14:solidFill>
              <w14:schemeClr w14:val="tx1"/>
            </w14:solidFill>
          </w14:textFill>
        </w:rPr>
        <w:t>图</w:t>
      </w:r>
      <w:r>
        <w:rPr>
          <w:rFonts w:hint="eastAsia"/>
          <w:color w:val="000000" w:themeColor="text1"/>
          <w:sz w:val="24"/>
          <w14:textFill>
            <w14:solidFill>
              <w14:schemeClr w14:val="tx1"/>
            </w14:solidFill>
          </w14:textFill>
        </w:rPr>
        <w:t>，自然断点法应符合本标准附录</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的规定；</w:t>
      </w:r>
    </w:p>
    <w:p>
      <w:pPr>
        <w:pStyle w:val="10"/>
        <w:widowControl/>
        <w:numPr>
          <w:ilvl w:val="0"/>
          <w:numId w:val="15"/>
        </w:numPr>
        <w:snapToGrid w:val="0"/>
        <w:spacing w:after="0" w:line="360" w:lineRule="auto"/>
        <w:ind w:left="0" w:firstLine="360" w:firstLine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评估不同降雨情境下，生命线基础设施和遇水反应化工品点位受洪涝积水影响，存在淹没风险的点位为高风险点位，不存在淹没风险的点位为低风险点位。</w:t>
      </w:r>
      <w:r>
        <w:rPr>
          <w:rFonts w:hint="eastAsia"/>
          <w:color w:val="000000" w:themeColor="text1"/>
          <w:sz w:val="24"/>
          <w14:textFill>
            <w14:solidFill>
              <w14:schemeClr w14:val="tx1"/>
            </w14:solidFill>
          </w14:textFill>
        </w:rPr>
        <w:t>绘制承灾体受淹风险图，分别表示供电、供水、排水、燃气和通信等生命线基础设施和</w:t>
      </w:r>
      <w:r>
        <w:rPr>
          <w:rFonts w:hint="eastAsia" w:ascii="宋体" w:hAnsi="宋体" w:cs="宋体"/>
          <w:color w:val="000000" w:themeColor="text1"/>
          <w:kern w:val="0"/>
          <w:sz w:val="24"/>
          <w14:textFill>
            <w14:solidFill>
              <w14:schemeClr w14:val="tx1"/>
            </w14:solidFill>
          </w14:textFill>
        </w:rPr>
        <w:t>遇水反应</w:t>
      </w:r>
      <w:r>
        <w:rPr>
          <w:rFonts w:hint="eastAsia"/>
          <w:color w:val="000000" w:themeColor="text1"/>
          <w:sz w:val="24"/>
          <w14:textFill>
            <w14:solidFill>
              <w14:schemeClr w14:val="tx1"/>
            </w14:solidFill>
          </w14:textFill>
        </w:rPr>
        <w:t>化工品点位受淹点位，并列表统计各受淹点位受淹情况。</w:t>
      </w:r>
    </w:p>
    <w:p>
      <w:pPr>
        <w:spacing w:line="360" w:lineRule="auto"/>
        <w:ind w:firstLine="560" w:firstLineChars="200"/>
        <w:rPr>
          <w:rFonts w:ascii="Times New Roman" w:hAnsi="Times New Roman" w:eastAsia="宋体" w:cs="Times New Roman"/>
          <w:color w:val="000000" w:themeColor="text1"/>
          <w:szCs w:val="28"/>
          <w14:textFill>
            <w14:solidFill>
              <w14:schemeClr w14:val="tx1"/>
            </w14:solidFill>
          </w14:textFill>
        </w:rPr>
        <w:sectPr>
          <w:pgSz w:w="11906" w:h="16838"/>
          <w:pgMar w:top="1440" w:right="1797" w:bottom="1440" w:left="1797" w:header="851" w:footer="340" w:gutter="0"/>
          <w:cols w:space="425" w:num="1"/>
          <w:docGrid w:type="lines" w:linePitch="381" w:charSpace="0"/>
        </w:sectPr>
      </w:pPr>
    </w:p>
    <w:bookmarkEnd w:id="226"/>
    <w:bookmarkEnd w:id="227"/>
    <w:bookmarkEnd w:id="228"/>
    <w:bookmarkEnd w:id="229"/>
    <w:p>
      <w:pPr>
        <w:pStyle w:val="3"/>
        <w:rPr>
          <w:color w:val="000000" w:themeColor="text1"/>
          <w14:textFill>
            <w14:solidFill>
              <w14:schemeClr w14:val="tx1"/>
            </w14:solidFill>
          </w14:textFill>
        </w:rPr>
      </w:pPr>
      <w:bookmarkStart w:id="238" w:name="_Toc201078662"/>
      <w:bookmarkStart w:id="239" w:name="_Toc201223977"/>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240" w:name="_Toc201743629"/>
      <w:bookmarkStart w:id="241" w:name="_Toc201745755"/>
      <w:bookmarkStart w:id="242" w:name="_Toc201743680"/>
      <w:bookmarkStart w:id="243" w:name="_Toc201743731"/>
      <w:r>
        <w:rPr>
          <w:rFonts w:hint="eastAsia"/>
          <w:color w:val="000000" w:themeColor="text1"/>
          <w14:textFill>
            <w14:solidFill>
              <w14:schemeClr w14:val="tx1"/>
            </w14:solidFill>
          </w14:textFill>
        </w:rPr>
        <w:t>风险图体系及命名规则</w:t>
      </w:r>
      <w:bookmarkEnd w:id="238"/>
      <w:bookmarkEnd w:id="239"/>
      <w:bookmarkEnd w:id="240"/>
      <w:bookmarkEnd w:id="241"/>
      <w:bookmarkEnd w:id="242"/>
      <w:bookmarkEnd w:id="243"/>
    </w:p>
    <w:bookmarkEnd w:id="217"/>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图纸命名应遵循命名规则，图名置于图框上边界之外。</w:t>
      </w:r>
    </w:p>
    <w:p>
      <w:pPr>
        <w:numPr>
          <w:ilvl w:val="2"/>
          <w:numId w:val="1"/>
        </w:numPr>
        <w:adjustRightInd w:val="0"/>
        <w:snapToGrid w:val="0"/>
        <w:spacing w:line="360" w:lineRule="auto"/>
        <w:rPr>
          <w:rStyle w:val="53"/>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洪涝积水风险图命名应简练，含义明确。一般形式应为“</w:t>
      </w:r>
      <w:r>
        <w:rPr>
          <w:rStyle w:val="53"/>
          <w:rFonts w:hint="eastAsia"/>
          <w:color w:val="000000" w:themeColor="text1"/>
          <w14:textFill>
            <w14:solidFill>
              <w14:schemeClr w14:val="tx1"/>
            </w14:solidFill>
          </w14:textFill>
        </w:rPr>
        <w:t>行政区名称</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历时设计重现期降雨</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流域</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城市洪涝积水风险图</w:t>
      </w:r>
      <w:r>
        <w:rPr>
          <w:rFonts w:hint="eastAsia" w:ascii="Times New Roman" w:hAnsi="Times New Roman" w:eastAsia="宋体" w:cs="Times New Roman"/>
          <w:color w:val="000000" w:themeColor="text1"/>
          <w:sz w:val="24"/>
          <w:szCs w:val="24"/>
          <w14:textFill>
            <w14:solidFill>
              <w14:schemeClr w14:val="tx1"/>
            </w14:solidFill>
          </w14:textFill>
        </w:rPr>
        <w:t>”。</w:t>
      </w:r>
    </w:p>
    <w:p>
      <w:pPr>
        <w:numPr>
          <w:ilvl w:val="2"/>
          <w:numId w:val="1"/>
        </w:numPr>
        <w:adjustRightInd w:val="0"/>
        <w:snapToGrid w:val="0"/>
        <w:spacing w:line="360" w:lineRule="auto"/>
        <w:rPr>
          <w:szCs w:val="24"/>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洪涝灾害链综合风险套图命名应简练，含义明确。应符合下列规定：</w:t>
      </w:r>
    </w:p>
    <w:p>
      <w:pPr>
        <w:pStyle w:val="41"/>
        <w:numPr>
          <w:ilvl w:val="0"/>
          <w:numId w:val="16"/>
        </w:numPr>
        <w:adjustRightInd w:val="0"/>
        <w:snapToGrid w:val="0"/>
        <w:spacing w:line="360" w:lineRule="auto"/>
        <w:ind w:left="0" w:firstLine="360" w:firstLineChars="150"/>
        <w:rPr>
          <w:rStyle w:val="53"/>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Style w:val="53"/>
          <w:rFonts w:hint="eastAsia"/>
          <w:color w:val="000000" w:themeColor="text1"/>
          <w14:textFill>
            <w14:solidFill>
              <w14:schemeClr w14:val="tx1"/>
            </w14:solidFill>
          </w14:textFill>
        </w:rPr>
        <w:t>城市洪涝脆弱性风险图命名一般形式应为“行政区名称</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城市洪涝脆弱性风险图”；</w:t>
      </w:r>
    </w:p>
    <w:p>
      <w:pPr>
        <w:pStyle w:val="41"/>
        <w:numPr>
          <w:ilvl w:val="0"/>
          <w:numId w:val="16"/>
        </w:numPr>
        <w:adjustRightInd w:val="0"/>
        <w:snapToGrid w:val="0"/>
        <w:spacing w:line="360" w:lineRule="auto"/>
        <w:ind w:left="0" w:firstLine="360" w:firstLineChars="150"/>
        <w:rPr>
          <w:rStyle w:val="53"/>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Style w:val="53"/>
          <w:rFonts w:hint="eastAsia"/>
          <w:color w:val="000000" w:themeColor="text1"/>
          <w14:textFill>
            <w14:solidFill>
              <w14:schemeClr w14:val="tx1"/>
            </w14:solidFill>
          </w14:textFill>
        </w:rPr>
        <w:t>洪涝灾害链综合风险图命名一般形式应为“行政区名称</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历时设计重现期降雨</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洪涝灾害链综合风险图”；</w:t>
      </w:r>
    </w:p>
    <w:p>
      <w:pPr>
        <w:pStyle w:val="41"/>
        <w:numPr>
          <w:ilvl w:val="0"/>
          <w:numId w:val="16"/>
        </w:numPr>
        <w:adjustRightInd w:val="0"/>
        <w:snapToGrid w:val="0"/>
        <w:spacing w:line="360" w:lineRule="auto"/>
        <w:ind w:left="0" w:firstLine="360" w:firstLineChars="150"/>
        <w:rPr>
          <w:rStyle w:val="53"/>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Style w:val="53"/>
          <w:rFonts w:hint="eastAsia"/>
          <w:color w:val="000000" w:themeColor="text1"/>
          <w14:textFill>
            <w14:solidFill>
              <w14:schemeClr w14:val="tx1"/>
            </w14:solidFill>
          </w14:textFill>
        </w:rPr>
        <w:t>承灾体受淹风险图命名一般形式应为“行政区名称</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（单元名称）</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历时设计重现期降雨</w:t>
      </w:r>
      <w:r>
        <w:rPr>
          <w:rStyle w:val="53"/>
          <w:color w:val="000000" w:themeColor="text1"/>
          <w14:textFill>
            <w14:solidFill>
              <w14:schemeClr w14:val="tx1"/>
            </w14:solidFill>
          </w14:textFill>
        </w:rPr>
        <w:t>+</w:t>
      </w:r>
      <w:r>
        <w:rPr>
          <w:rStyle w:val="53"/>
          <w:rFonts w:hint="eastAsia"/>
          <w:color w:val="000000" w:themeColor="text1"/>
          <w14:textFill>
            <w14:solidFill>
              <w14:schemeClr w14:val="tx1"/>
            </w14:solidFill>
          </w14:textFill>
        </w:rPr>
        <w:t>承灾体受淹风险图”。</w:t>
      </w:r>
    </w:p>
    <w:p>
      <w:pPr>
        <w:adjustRightInd w:val="0"/>
        <w:snapToGrid w:val="0"/>
        <w:spacing w:line="360" w:lineRule="auto"/>
        <w:rPr>
          <w:rStyle w:val="53"/>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244" w:name="_Toc32309417"/>
      <w:bookmarkStart w:id="245" w:name="_Toc201223978"/>
      <w:bookmarkStart w:id="246" w:name="_Toc50486977"/>
      <w:bookmarkStart w:id="247" w:name="_Toc201078663"/>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bookmarkStart w:id="248" w:name="_Toc201745756"/>
      <w:bookmarkStart w:id="249" w:name="_Toc201743732"/>
      <w:bookmarkStart w:id="250" w:name="_Toc201743681"/>
      <w:bookmarkStart w:id="251" w:name="_Toc201743630"/>
      <w:r>
        <w:rPr>
          <w:rFonts w:hint="eastAsia"/>
          <w:color w:val="000000" w:themeColor="text1"/>
          <w14:textFill>
            <w14:solidFill>
              <w14:schemeClr w14:val="tx1"/>
            </w14:solidFill>
          </w14:textFill>
        </w:rPr>
        <w:t>图 纸 表 达</w:t>
      </w:r>
      <w:bookmarkEnd w:id="244"/>
      <w:bookmarkEnd w:id="245"/>
      <w:bookmarkEnd w:id="246"/>
      <w:bookmarkEnd w:id="247"/>
      <w:bookmarkEnd w:id="248"/>
      <w:bookmarkEnd w:id="249"/>
      <w:bookmarkEnd w:id="250"/>
      <w:bookmarkEnd w:id="251"/>
    </w:p>
    <w:p>
      <w:pPr>
        <w:pStyle w:val="4"/>
        <w:widowControl/>
        <w:spacing w:before="120" w:after="120" w:line="360" w:lineRule="auto"/>
        <w:jc w:val="center"/>
        <w:rPr>
          <w:rFonts w:ascii="宋体" w:hAnsi="宋体"/>
          <w:b w:val="0"/>
          <w:color w:val="000000" w:themeColor="text1"/>
          <w:sz w:val="28"/>
          <w14:textFill>
            <w14:solidFill>
              <w14:schemeClr w14:val="tx1"/>
            </w14:solidFill>
          </w14:textFill>
        </w:rPr>
      </w:pPr>
      <w:bookmarkStart w:id="252" w:name="_Toc51275391"/>
      <w:bookmarkStart w:id="253" w:name="_Toc50765385"/>
      <w:bookmarkStart w:id="254" w:name="_Toc50486978"/>
      <w:r>
        <w:rPr>
          <w:rFonts w:hint="eastAsia" w:ascii="仿宋" w:hAnsi="仿宋"/>
          <w:b w:val="0"/>
          <w:color w:val="000000" w:themeColor="text1"/>
          <w:sz w:val="28"/>
          <w14:textFill>
            <w14:solidFill>
              <w14:schemeClr w14:val="tx1"/>
            </w14:solidFill>
          </w14:textFill>
        </w:rPr>
        <w:t>I</w:t>
      </w:r>
      <w:r>
        <w:rPr>
          <w:rFonts w:ascii="仿宋" w:hAnsi="仿宋"/>
          <w:b w:val="0"/>
          <w:color w:val="000000" w:themeColor="text1"/>
          <w:sz w:val="28"/>
          <w14:textFill>
            <w14:solidFill>
              <w14:schemeClr w14:val="tx1"/>
            </w14:solidFill>
          </w14:textFill>
        </w:rPr>
        <w:t xml:space="preserve"> </w:t>
      </w:r>
      <w:r>
        <w:rPr>
          <w:rFonts w:hint="eastAsia" w:ascii="宋体" w:hAnsi="宋体"/>
          <w:b w:val="0"/>
          <w:color w:val="000000" w:themeColor="text1"/>
          <w:sz w:val="28"/>
          <w14:textFill>
            <w14:solidFill>
              <w14:schemeClr w14:val="tx1"/>
            </w14:solidFill>
          </w14:textFill>
        </w:rPr>
        <w:t xml:space="preserve"> 数学基础要求</w:t>
      </w:r>
      <w:bookmarkEnd w:id="252"/>
      <w:bookmarkEnd w:id="253"/>
      <w:bookmarkEnd w:id="254"/>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坐标系</w:t>
      </w:r>
      <w:r>
        <w:rPr>
          <w:rFonts w:hint="eastAsia" w:ascii="Times New Roman" w:hAnsi="Times New Roman" w:eastAsia="宋体" w:cs="Times New Roman"/>
          <w:color w:val="000000" w:themeColor="text1"/>
          <w:sz w:val="24"/>
          <w:szCs w:val="24"/>
          <w14:textFill>
            <w14:solidFill>
              <w14:schemeClr w14:val="tx1"/>
            </w14:solidFill>
          </w14:textFill>
        </w:rPr>
        <w:t>可</w:t>
      </w:r>
      <w:r>
        <w:rPr>
          <w:rFonts w:ascii="Times New Roman" w:hAnsi="Times New Roman" w:eastAsia="宋体" w:cs="Times New Roman"/>
          <w:color w:val="000000" w:themeColor="text1"/>
          <w:sz w:val="24"/>
          <w:szCs w:val="24"/>
          <w14:textFill>
            <w14:solidFill>
              <w14:schemeClr w14:val="tx1"/>
            </w14:solidFill>
          </w14:textFill>
        </w:rPr>
        <w:t>采用中国大地坐标系统2000 (CGCS 2000)</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高程</w:t>
      </w:r>
      <w:r>
        <w:rPr>
          <w:rFonts w:hint="eastAsia" w:ascii="Times New Roman" w:hAnsi="Times New Roman" w:eastAsia="宋体" w:cs="Times New Roman"/>
          <w:color w:val="000000" w:themeColor="text1"/>
          <w:sz w:val="24"/>
          <w:szCs w:val="24"/>
          <w14:textFill>
            <w14:solidFill>
              <w14:schemeClr w14:val="tx1"/>
            </w14:solidFill>
          </w14:textFill>
        </w:rPr>
        <w:t>可</w:t>
      </w:r>
      <w:r>
        <w:rPr>
          <w:rFonts w:ascii="Times New Roman" w:hAnsi="Times New Roman" w:eastAsia="宋体" w:cs="Times New Roman"/>
          <w:color w:val="000000" w:themeColor="text1"/>
          <w:sz w:val="24"/>
          <w:szCs w:val="24"/>
          <w14:textFill>
            <w14:solidFill>
              <w14:schemeClr w14:val="tx1"/>
            </w14:solidFill>
          </w14:textFill>
        </w:rPr>
        <w:t>采用1985年国家高程基准。</w:t>
      </w:r>
    </w:p>
    <w:p>
      <w:pPr>
        <w:numPr>
          <w:ilvl w:val="2"/>
          <w:numId w:val="1"/>
        </w:numPr>
        <w:adjustRightInd w:val="0"/>
        <w:snapToGrid w:val="0"/>
        <w:spacing w:line="360" w:lineRule="auto"/>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根据行政区范围大小，建议选用1:5000或1:10000比例尺地图，采用高斯-克吕格投影，3°分带。</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各地可根据实际应用需要将洪水风险图从上述坐标系或高程基准转换为当地洪水管理工作中常用的坐标系和高程基准。</w:t>
      </w:r>
    </w:p>
    <w:p>
      <w:pPr>
        <w:pStyle w:val="4"/>
        <w:widowControl/>
        <w:spacing w:before="120" w:after="120" w:line="360" w:lineRule="auto"/>
        <w:jc w:val="center"/>
        <w:rPr>
          <w:rFonts w:ascii="宋体" w:hAnsi="宋体"/>
          <w:b w:val="0"/>
          <w:color w:val="000000" w:themeColor="text1"/>
          <w:sz w:val="28"/>
          <w14:textFill>
            <w14:solidFill>
              <w14:schemeClr w14:val="tx1"/>
            </w14:solidFill>
          </w14:textFill>
        </w:rPr>
      </w:pPr>
      <w:bookmarkStart w:id="255" w:name="_Toc51275392"/>
      <w:bookmarkStart w:id="256" w:name="_Toc50765386"/>
      <w:bookmarkStart w:id="257" w:name="_Toc50486979"/>
      <w:r>
        <w:rPr>
          <w:rFonts w:hint="eastAsia" w:ascii="仿宋" w:hAnsi="仿宋"/>
          <w:b w:val="0"/>
          <w:color w:val="000000" w:themeColor="text1"/>
          <w:sz w:val="28"/>
          <w14:textFill>
            <w14:solidFill>
              <w14:schemeClr w14:val="tx1"/>
            </w14:solidFill>
          </w14:textFill>
        </w:rPr>
        <w:t>II</w:t>
      </w:r>
      <w:r>
        <w:rPr>
          <w:rFonts w:ascii="宋体" w:hAnsi="宋体"/>
          <w:b w:val="0"/>
          <w:color w:val="000000" w:themeColor="text1"/>
          <w:sz w:val="28"/>
          <w14:textFill>
            <w14:solidFill>
              <w14:schemeClr w14:val="tx1"/>
            </w14:solidFill>
          </w14:textFill>
        </w:rPr>
        <w:t xml:space="preserve">  </w:t>
      </w:r>
      <w:r>
        <w:rPr>
          <w:rFonts w:hint="eastAsia" w:ascii="宋体" w:hAnsi="宋体"/>
          <w:b w:val="0"/>
          <w:color w:val="000000" w:themeColor="text1"/>
          <w:sz w:val="28"/>
          <w14:textFill>
            <w14:solidFill>
              <w14:schemeClr w14:val="tx1"/>
            </w14:solidFill>
          </w14:textFill>
        </w:rPr>
        <w:t>版面布局基本要求</w:t>
      </w:r>
      <w:bookmarkEnd w:id="255"/>
      <w:bookmarkEnd w:id="256"/>
      <w:bookmarkEnd w:id="257"/>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指北针应为黑白色，置于图幅右上角，形态简明朴素，大小可根据图面尺寸确定。</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图例宜置于图幅右下角，布置顺序从左至右，自上而下依次为点状图例、线状图例、面状图例。</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辅助信息应以文字方式表现，置于图框下边界之上。</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基本洪水风险图图幅宜采用A3规格，各地可根据实际应用需要调整大小。</w:t>
      </w:r>
    </w:p>
    <w:p>
      <w:pPr>
        <w:pStyle w:val="4"/>
        <w:widowControl/>
        <w:spacing w:before="120" w:after="120" w:line="360" w:lineRule="auto"/>
        <w:jc w:val="center"/>
        <w:rPr>
          <w:rFonts w:ascii="宋体" w:hAnsi="宋体"/>
          <w:b w:val="0"/>
          <w:color w:val="000000" w:themeColor="text1"/>
          <w:sz w:val="28"/>
          <w14:textFill>
            <w14:solidFill>
              <w14:schemeClr w14:val="tx1"/>
            </w14:solidFill>
          </w14:textFill>
        </w:rPr>
      </w:pPr>
      <w:bookmarkStart w:id="258" w:name="_Toc50765387"/>
      <w:bookmarkStart w:id="259" w:name="_Toc51275393"/>
      <w:bookmarkStart w:id="260" w:name="_Toc50486981"/>
      <w:bookmarkStart w:id="261" w:name="_Toc50486980"/>
      <w:r>
        <w:rPr>
          <w:rFonts w:ascii="宋体" w:hAnsi="宋体"/>
          <w:b w:val="0"/>
          <w:color w:val="000000" w:themeColor="text1"/>
          <w:sz w:val="28"/>
          <w14:textFill>
            <w14:solidFill>
              <w14:schemeClr w14:val="tx1"/>
            </w14:solidFill>
          </w14:textFill>
        </w:rPr>
        <w:t xml:space="preserve">III  </w:t>
      </w:r>
      <w:r>
        <w:rPr>
          <w:rFonts w:hint="eastAsia" w:ascii="宋体" w:hAnsi="宋体"/>
          <w:b w:val="0"/>
          <w:color w:val="000000" w:themeColor="text1"/>
          <w:sz w:val="28"/>
          <w14:textFill>
            <w14:solidFill>
              <w14:schemeClr w14:val="tx1"/>
            </w14:solidFill>
          </w14:textFill>
        </w:rPr>
        <w:t>洪涝积水风险图</w:t>
      </w:r>
      <w:bookmarkEnd w:id="258"/>
      <w:bookmarkEnd w:id="259"/>
      <w:bookmarkEnd w:id="260"/>
      <w:r>
        <w:rPr>
          <w:rFonts w:hint="eastAsia" w:ascii="宋体" w:hAnsi="宋体"/>
          <w:b w:val="0"/>
          <w:color w:val="000000" w:themeColor="text1"/>
          <w:sz w:val="28"/>
          <w14:textFill>
            <w14:solidFill>
              <w14:schemeClr w14:val="tx1"/>
            </w14:solidFill>
          </w14:textFill>
        </w:rPr>
        <w:t>成图要求</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洪涝积水风险图应包含基础地理信息、防洪排涝工程信息及洪涝风险要素，应符合下列规定：</w:t>
      </w:r>
    </w:p>
    <w:p>
      <w:pPr>
        <w:pStyle w:val="10"/>
        <w:widowControl/>
        <w:numPr>
          <w:ilvl w:val="0"/>
          <w:numId w:val="17"/>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基础地理信息包括行政区界、居民地、主要河流、湖泊、主要交通道路、桥梁、医院、学校以及供水、供气、输变电等基础设施等</w:t>
      </w:r>
      <w:r>
        <w:rPr>
          <w:rFonts w:hint="eastAsia"/>
          <w:bCs/>
          <w:color w:val="000000" w:themeColor="text1"/>
          <w:sz w:val="24"/>
          <w14:textFill>
            <w14:solidFill>
              <w14:schemeClr w14:val="tx1"/>
            </w14:solidFill>
          </w14:textFill>
        </w:rPr>
        <w:t>；</w:t>
      </w:r>
    </w:p>
    <w:p>
      <w:pPr>
        <w:pStyle w:val="10"/>
        <w:widowControl/>
        <w:numPr>
          <w:ilvl w:val="0"/>
          <w:numId w:val="17"/>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防洪排涝工程信息包括水文测站、水库、堤防、跨河工程、水闸、泵站等工程信息</w:t>
      </w:r>
      <w:r>
        <w:rPr>
          <w:rFonts w:hint="eastAsia"/>
          <w:bCs/>
          <w:color w:val="000000" w:themeColor="text1"/>
          <w:sz w:val="24"/>
          <w14:textFill>
            <w14:solidFill>
              <w14:schemeClr w14:val="tx1"/>
            </w14:solidFill>
          </w14:textFill>
        </w:rPr>
        <w:t>；</w:t>
      </w:r>
    </w:p>
    <w:p>
      <w:pPr>
        <w:pStyle w:val="10"/>
        <w:widowControl/>
        <w:numPr>
          <w:ilvl w:val="0"/>
          <w:numId w:val="17"/>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洪涝</w:t>
      </w:r>
      <w:r>
        <w:rPr>
          <w:rFonts w:hint="eastAsia"/>
          <w:bCs/>
          <w:color w:val="000000" w:themeColor="text1"/>
          <w:sz w:val="24"/>
          <w14:textFill>
            <w14:solidFill>
              <w14:schemeClr w14:val="tx1"/>
            </w14:solidFill>
          </w14:textFill>
        </w:rPr>
        <w:t>积水</w:t>
      </w:r>
      <w:r>
        <w:rPr>
          <w:bCs/>
          <w:color w:val="000000" w:themeColor="text1"/>
          <w:sz w:val="24"/>
          <w14:textFill>
            <w14:solidFill>
              <w14:schemeClr w14:val="tx1"/>
            </w14:solidFill>
          </w14:textFill>
        </w:rPr>
        <w:t>风险要素包括风险评估因子等。</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洪涝积水风险图的图式</w:t>
      </w:r>
      <w:bookmarkStart w:id="262" w:name="_Hlk171083439"/>
      <w:r>
        <w:rPr>
          <w:rFonts w:hint="eastAsia" w:ascii="Times New Roman" w:hAnsi="Times New Roman" w:eastAsia="宋体" w:cs="Times New Roman"/>
          <w:color w:val="000000" w:themeColor="text1"/>
          <w:sz w:val="24"/>
          <w:szCs w:val="24"/>
          <w14:textFill>
            <w14:solidFill>
              <w14:schemeClr w14:val="tx1"/>
            </w14:solidFill>
          </w14:textFill>
        </w:rPr>
        <w:t>应符合本标准附录F的规定并</w:t>
      </w:r>
      <w:bookmarkEnd w:id="262"/>
      <w:r>
        <w:rPr>
          <w:rFonts w:hint="eastAsia" w:ascii="Times New Roman" w:hAnsi="Times New Roman" w:eastAsia="宋体" w:cs="Times New Roman"/>
          <w:color w:val="000000" w:themeColor="text1"/>
          <w:sz w:val="24"/>
          <w:szCs w:val="24"/>
          <w14:textFill>
            <w14:solidFill>
              <w14:schemeClr w14:val="tx1"/>
            </w14:solidFill>
          </w14:textFill>
        </w:rPr>
        <w:t>应符合下列规定：</w:t>
      </w:r>
    </w:p>
    <w:p>
      <w:pPr>
        <w:pStyle w:val="10"/>
        <w:widowControl/>
        <w:numPr>
          <w:ilvl w:val="0"/>
          <w:numId w:val="18"/>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基础地理要素图式应符合对应比例尺范围的国家地形图图式标准</w:t>
      </w:r>
      <w:r>
        <w:rPr>
          <w:rFonts w:hint="eastAsia"/>
          <w:bCs/>
          <w:color w:val="000000" w:themeColor="text1"/>
          <w:sz w:val="24"/>
          <w14:textFill>
            <w14:solidFill>
              <w14:schemeClr w14:val="tx1"/>
            </w14:solidFill>
          </w14:textFill>
        </w:rPr>
        <w:t>；</w:t>
      </w:r>
    </w:p>
    <w:p>
      <w:pPr>
        <w:pStyle w:val="10"/>
        <w:widowControl/>
        <w:numPr>
          <w:ilvl w:val="0"/>
          <w:numId w:val="18"/>
        </w:numPr>
        <w:snapToGrid w:val="0"/>
        <w:spacing w:after="0" w:line="360" w:lineRule="auto"/>
        <w:ind w:left="0" w:firstLine="360" w:firstLineChars="15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防洪排涝工程的符号尺寸设置应显示清晰、大小适度、整体协调</w:t>
      </w:r>
      <w:r>
        <w:rPr>
          <w:rFonts w:hint="eastAsia"/>
          <w:bCs/>
          <w:color w:val="000000" w:themeColor="text1"/>
          <w:sz w:val="24"/>
          <w14:textFill>
            <w14:solidFill>
              <w14:schemeClr w14:val="tx1"/>
            </w14:solidFill>
          </w14:textFill>
        </w:rPr>
        <w:t>；</w:t>
      </w:r>
    </w:p>
    <w:p>
      <w:pPr>
        <w:pStyle w:val="10"/>
        <w:widowControl/>
        <w:numPr>
          <w:ilvl w:val="0"/>
          <w:numId w:val="18"/>
        </w:numPr>
        <w:snapToGrid w:val="0"/>
        <w:spacing w:after="0" w:line="360" w:lineRule="auto"/>
        <w:ind w:left="0" w:firstLine="360" w:firstLine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洪涝</w:t>
      </w:r>
      <w:r>
        <w:rPr>
          <w:rFonts w:hint="eastAsia"/>
          <w:bCs/>
          <w:color w:val="000000" w:themeColor="text1"/>
          <w:sz w:val="24"/>
          <w14:textFill>
            <w14:solidFill>
              <w14:schemeClr w14:val="tx1"/>
            </w14:solidFill>
          </w14:textFill>
        </w:rPr>
        <w:t>积水</w:t>
      </w:r>
      <w:r>
        <w:rPr>
          <w:bCs/>
          <w:color w:val="000000" w:themeColor="text1"/>
          <w:sz w:val="24"/>
          <w14:textFill>
            <w14:solidFill>
              <w14:schemeClr w14:val="tx1"/>
            </w14:solidFill>
          </w14:textFill>
        </w:rPr>
        <w:t>风险评估因子宜按0.05、0.25、0.5</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划分等级，用蓝、黄、橙、红四种颜色面状填充表示不同风险等级。各地可根据</w:t>
      </w:r>
      <w:r>
        <w:rPr>
          <w:rFonts w:hint="eastAsia"/>
          <w:bCs/>
          <w:color w:val="000000" w:themeColor="text1"/>
          <w:sz w:val="24"/>
          <w14:textFill>
            <w14:solidFill>
              <w14:schemeClr w14:val="tx1"/>
            </w14:solidFill>
          </w14:textFill>
        </w:rPr>
        <w:t>实际应用需要</w:t>
      </w:r>
      <w:r>
        <w:rPr>
          <w:bCs/>
          <w:color w:val="000000" w:themeColor="text1"/>
          <w:sz w:val="24"/>
          <w14:textFill>
            <w14:solidFill>
              <w14:schemeClr w14:val="tx1"/>
            </w14:solidFill>
          </w14:textFill>
        </w:rPr>
        <w:t>调整等级划分区间和颜色，等级数宜在3~5之间，颜色应保证每个等级之间区分度明显。</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洪涝积水风险图的版面布局，应符合下列规定：</w:t>
      </w:r>
    </w:p>
    <w:p>
      <w:pPr>
        <w:pStyle w:val="10"/>
        <w:widowControl/>
        <w:numPr>
          <w:ilvl w:val="0"/>
          <w:numId w:val="19"/>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洪涝淹没要素图形对象按照美观、简洁、和谐的原则设置，可通过符号大小、颜色、文字标注等突出相关防洪排涝工程和重点淹没位置；</w:t>
      </w:r>
    </w:p>
    <w:p>
      <w:pPr>
        <w:pStyle w:val="10"/>
        <w:widowControl/>
        <w:numPr>
          <w:ilvl w:val="0"/>
          <w:numId w:val="19"/>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图中应明确标示风险图图名、指北针、图例、比例棒、风险图编制单位、风险图编制日期等辅助信息以及与风险图编制相关的洪涝方案说明、洪涝边界条件包括洪水流量和降雨等相关图表或文字性说明，文字或表格应简洁、准确、突出重点；</w:t>
      </w:r>
    </w:p>
    <w:p>
      <w:pPr>
        <w:pStyle w:val="10"/>
        <w:widowControl/>
        <w:numPr>
          <w:ilvl w:val="0"/>
          <w:numId w:val="19"/>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洪涝方案说明应以文字方式对当前洪涝计算方案下的洪水量级、暴雨量级、溃口信息、分洪信息、整体淹没情况等进行描述，置于指北针正下方；</w:t>
      </w:r>
    </w:p>
    <w:p>
      <w:pPr>
        <w:pStyle w:val="10"/>
        <w:widowControl/>
        <w:numPr>
          <w:ilvl w:val="0"/>
          <w:numId w:val="19"/>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应以流量过程线、暴雨过程线或潮位过程线和水位-流量关系或水位（潮）过程线等插图形式对洪涝计算的边界条件进行表现，将插图置于图框内不影响地图信息表达的部位。</w:t>
      </w:r>
    </w:p>
    <w:bookmarkEnd w:id="261"/>
    <w:p>
      <w:pPr>
        <w:pStyle w:val="4"/>
        <w:widowControl/>
        <w:spacing w:before="120" w:after="120" w:line="360" w:lineRule="auto"/>
        <w:jc w:val="center"/>
        <w:rPr>
          <w:rFonts w:ascii="宋体" w:hAnsi="宋体"/>
          <w:b w:val="0"/>
          <w:color w:val="000000" w:themeColor="text1"/>
          <w:sz w:val="28"/>
          <w14:textFill>
            <w14:solidFill>
              <w14:schemeClr w14:val="tx1"/>
            </w14:solidFill>
          </w14:textFill>
        </w:rPr>
      </w:pPr>
      <w:bookmarkStart w:id="263" w:name="_Toc50486982"/>
      <w:bookmarkStart w:id="264" w:name="_Toc51275394"/>
      <w:bookmarkStart w:id="265" w:name="_Toc50765388"/>
      <w:r>
        <w:rPr>
          <w:rFonts w:ascii="宋体" w:hAnsi="宋体"/>
          <w:b w:val="0"/>
          <w:color w:val="000000" w:themeColor="text1"/>
          <w:sz w:val="28"/>
          <w14:textFill>
            <w14:solidFill>
              <w14:schemeClr w14:val="tx1"/>
            </w14:solidFill>
          </w14:textFill>
        </w:rPr>
        <w:t xml:space="preserve">IV  </w:t>
      </w:r>
      <w:r>
        <w:rPr>
          <w:rFonts w:hint="eastAsia" w:ascii="仿宋" w:hAnsi="仿宋"/>
          <w:b w:val="0"/>
          <w:color w:val="000000" w:themeColor="text1"/>
          <w:sz w:val="28"/>
          <w14:textFill>
            <w14:solidFill>
              <w14:schemeClr w14:val="tx1"/>
            </w14:solidFill>
          </w14:textFill>
        </w:rPr>
        <w:t>洪涝灾害链综合风险套图</w:t>
      </w:r>
      <w:r>
        <w:rPr>
          <w:rFonts w:hint="eastAsia" w:ascii="宋体" w:hAnsi="宋体"/>
          <w:b w:val="0"/>
          <w:color w:val="000000" w:themeColor="text1"/>
          <w:sz w:val="28"/>
          <w14:textFill>
            <w14:solidFill>
              <w14:schemeClr w14:val="tx1"/>
            </w14:solidFill>
          </w14:textFill>
        </w:rPr>
        <w:t>成图要求</w:t>
      </w:r>
      <w:bookmarkEnd w:id="263"/>
      <w:bookmarkEnd w:id="264"/>
      <w:bookmarkEnd w:id="265"/>
    </w:p>
    <w:p>
      <w:pPr>
        <w:numPr>
          <w:ilvl w:val="2"/>
          <w:numId w:val="1"/>
        </w:numPr>
        <w:adjustRightInd w:val="0"/>
        <w:snapToGri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城市洪涝脆弱性风险图、洪涝灾害链综合风险图和承灾体受淹风险图应符合下列规定：</w:t>
      </w:r>
    </w:p>
    <w:p>
      <w:pPr>
        <w:pStyle w:val="10"/>
        <w:widowControl/>
        <w:numPr>
          <w:ilvl w:val="0"/>
          <w:numId w:val="20"/>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应包含基础地理信息，如行政区界、主要交通道路和城市管理单元网格边界线等；</w:t>
      </w:r>
    </w:p>
    <w:p>
      <w:pPr>
        <w:pStyle w:val="10"/>
        <w:widowControl/>
        <w:numPr>
          <w:ilvl w:val="0"/>
          <w:numId w:val="20"/>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城市洪涝脆弱性风险图，以管理单元网格为单位，包括地下空间出入口分布、生命线设施（气源厂、燃气门站、储配站、调压站；电厂、各级变电站；给水厂及泵站；污水厂及泵站；通信机房、光纤到户通信设施；热源厂及热力站）分布；易发链生灾害点位分布；</w:t>
      </w:r>
    </w:p>
    <w:p>
      <w:pPr>
        <w:pStyle w:val="10"/>
        <w:widowControl/>
        <w:numPr>
          <w:ilvl w:val="0"/>
          <w:numId w:val="20"/>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洪涝灾害链综合风险图，以管理单元网格为单位（4级），包括山洪入侵点位、溃坝漫堤点位等；地下空间出入口、生命线设施（气源厂、燃气门站、储配站、调压站；电厂、各级变电站；给水厂及泵站；污水厂及泵站；通信机房、光纤到户通信设施；热源厂及热力站）和易发链生灾害点位分布；</w:t>
      </w:r>
    </w:p>
    <w:p>
      <w:pPr>
        <w:pStyle w:val="10"/>
        <w:widowControl/>
        <w:numPr>
          <w:ilvl w:val="0"/>
          <w:numId w:val="20"/>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承灾体受淹风险图，以管理单元网格为单位（4级），包括生命线设施（气源厂、燃气门站、储配站、调压站；电厂、各级变电站；给水厂及泵站；污水厂及泵站；通信机房、光纤到户通信设施；热源厂及热力站）分布、易发链生灾害点位分布。列表信息包括生命线设施和遇水反应化工点位的设计防汛水位线、不同降雨情境下的积水深度和淹没持续时间。</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城市洪涝脆弱性风险图、洪涝灾害链综合风险图和承灾体受淹风险图的图式要求应符合本标准附录</w:t>
      </w:r>
      <w:r>
        <w:rPr>
          <w:rFonts w:ascii="Times New Roman" w:hAnsi="Times New Roman" w:eastAsia="宋体" w:cs="Times New Roman"/>
          <w:color w:val="000000" w:themeColor="text1"/>
          <w:sz w:val="24"/>
          <w:szCs w:val="24"/>
          <w14:textFill>
            <w14:solidFill>
              <w14:schemeClr w14:val="tx1"/>
            </w14:solidFill>
          </w14:textFill>
        </w:rPr>
        <w:t>F</w:t>
      </w:r>
      <w:r>
        <w:rPr>
          <w:rFonts w:hint="eastAsia" w:ascii="Times New Roman" w:hAnsi="Times New Roman" w:eastAsia="宋体" w:cs="Times New Roman"/>
          <w:color w:val="000000" w:themeColor="text1"/>
          <w:sz w:val="24"/>
          <w:szCs w:val="24"/>
          <w14:textFill>
            <w14:solidFill>
              <w14:schemeClr w14:val="tx1"/>
            </w14:solidFill>
          </w14:textFill>
        </w:rPr>
        <w:t>的规定并应符合下列规定：</w:t>
      </w:r>
    </w:p>
    <w:p>
      <w:pPr>
        <w:pStyle w:val="10"/>
        <w:widowControl/>
        <w:numPr>
          <w:ilvl w:val="0"/>
          <w:numId w:val="21"/>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基础地理要素图式应符合对应比例尺范围的国家地形图图式标准；</w:t>
      </w:r>
    </w:p>
    <w:p>
      <w:pPr>
        <w:pStyle w:val="10"/>
        <w:widowControl/>
        <w:numPr>
          <w:ilvl w:val="0"/>
          <w:numId w:val="21"/>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生命线工程及灾害链信息的符号尺寸设置应显示清晰、大小适度、整体协调；</w:t>
      </w:r>
    </w:p>
    <w:p>
      <w:pPr>
        <w:pStyle w:val="10"/>
        <w:widowControl/>
        <w:numPr>
          <w:ilvl w:val="0"/>
          <w:numId w:val="21"/>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风险评估因子等级建议划分为四级，具体填充颜色如下表所示。各地可根据实际应用需要调整等级划分区间和颜色，等级数宜在3</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之间，颜色应保证每个等级之间区分度明显。</w:t>
      </w:r>
    </w:p>
    <w:p>
      <w:pPr>
        <w:numPr>
          <w:ilvl w:val="2"/>
          <w:numId w:val="1"/>
        </w:num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城市洪涝脆弱性风险图、洪涝灾害链综合风险图和承灾体受淹风险图的版式要求，应符合下列规定：</w:t>
      </w:r>
    </w:p>
    <w:p>
      <w:pPr>
        <w:pStyle w:val="10"/>
        <w:widowControl/>
        <w:numPr>
          <w:ilvl w:val="0"/>
          <w:numId w:val="22"/>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风险要素图形对象应置中，按照美观、简洁、和谐的原则设置，可通过符号大小、颜色、文字标注等突出相关生命线工程位置；</w:t>
      </w:r>
    </w:p>
    <w:p>
      <w:pPr>
        <w:pStyle w:val="10"/>
        <w:widowControl/>
        <w:numPr>
          <w:ilvl w:val="0"/>
          <w:numId w:val="22"/>
        </w:numPr>
        <w:snapToGrid w:val="0"/>
        <w:spacing w:after="0" w:line="360" w:lineRule="auto"/>
        <w:ind w:left="0"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图中应明确标示风险图图名、指北针、图例、比例棒、风险图编制单位、风险图编制日期等辅助信息以及与风险图编制相关的图表或文字性说明，文字或表格应简洁、准确、突出重点。</w:t>
      </w:r>
    </w:p>
    <w:p>
      <w:pPr>
        <w:rPr>
          <w:color w:val="000000" w:themeColor="text1"/>
          <w14:textFill>
            <w14:solidFill>
              <w14:schemeClr w14:val="tx1"/>
            </w14:solidFill>
          </w14:textFill>
        </w:rPr>
      </w:pPr>
    </w:p>
    <w:p>
      <w:pPr>
        <w:pStyle w:val="49"/>
        <w:snapToGrid w:val="0"/>
        <w:spacing w:before="0" w:after="0" w:line="360" w:lineRule="auto"/>
        <w:ind w:firstLine="312" w:firstLineChars="130"/>
        <w:jc w:val="both"/>
        <w:outlineLvl w:val="9"/>
        <w:rPr>
          <w:color w:val="000000" w:themeColor="text1"/>
          <w:kern w:val="0"/>
          <w:sz w:val="24"/>
          <w:szCs w:val="24"/>
          <w14:textFill>
            <w14:solidFill>
              <w14:schemeClr w14:val="tx1"/>
            </w14:solidFill>
          </w14:textFill>
        </w:rPr>
      </w:pPr>
    </w:p>
    <w:bookmarkEnd w:id="186"/>
    <w:p>
      <w:pPr>
        <w:pStyle w:val="54"/>
        <w:spacing w:line="360" w:lineRule="auto"/>
        <w:jc w:val="both"/>
        <w:rPr>
          <w:rFonts w:ascii="Times New Roman" w:hAnsi="Times New Roman"/>
          <w:b/>
          <w:color w:val="000000" w:themeColor="text1"/>
          <w:spacing w:val="8"/>
          <w:szCs w:val="28"/>
          <w14:textFill>
            <w14:solidFill>
              <w14:schemeClr w14:val="tx1"/>
            </w14:solidFill>
          </w14:textFill>
        </w:rPr>
      </w:pPr>
    </w:p>
    <w:p>
      <w:pPr>
        <w:pStyle w:val="2"/>
        <w:spacing w:before="381" w:after="381" w:line="360" w:lineRule="auto"/>
        <w:jc w:val="both"/>
        <w:rPr>
          <w:color w:val="000000" w:themeColor="text1"/>
          <w:szCs w:val="36"/>
          <w14:textFill>
            <w14:solidFill>
              <w14:schemeClr w14:val="tx1"/>
            </w14:solidFill>
          </w14:textFill>
        </w:rPr>
        <w:sectPr>
          <w:pgSz w:w="11906" w:h="16838"/>
          <w:pgMar w:top="1440" w:right="1800" w:bottom="1440" w:left="1800" w:header="851" w:footer="340" w:gutter="0"/>
          <w:cols w:space="425" w:num="1"/>
          <w:docGrid w:type="lines" w:linePitch="381" w:charSpace="0"/>
        </w:sectPr>
      </w:pPr>
      <w:bookmarkStart w:id="266" w:name="_Toc33627822"/>
      <w:bookmarkStart w:id="267" w:name="_Toc33627383"/>
    </w:p>
    <w:bookmarkEnd w:id="266"/>
    <w:bookmarkEnd w:id="267"/>
    <w:p>
      <w:pPr>
        <w:pStyle w:val="2"/>
        <w:numPr>
          <w:ilvl w:val="0"/>
          <w:numId w:val="0"/>
        </w:numPr>
        <w:spacing w:before="381" w:after="381"/>
        <w:rPr>
          <w:color w:val="000000" w:themeColor="text1"/>
          <w14:textFill>
            <w14:solidFill>
              <w14:schemeClr w14:val="tx1"/>
            </w14:solidFill>
          </w14:textFill>
        </w:rPr>
      </w:pPr>
      <w:bookmarkStart w:id="268" w:name="_Toc201743682"/>
      <w:bookmarkStart w:id="269" w:name="_Toc201745757"/>
      <w:bookmarkStart w:id="270" w:name="_Toc201223979"/>
      <w:bookmarkStart w:id="271" w:name="_Toc201078664"/>
      <w:bookmarkStart w:id="272" w:name="_Toc201743733"/>
      <w:bookmarkStart w:id="273" w:name="_Toc201743631"/>
      <w:bookmarkStart w:id="274" w:name="_Toc49783215"/>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广东省城市防洪及排涝标准一览表</w:t>
      </w:r>
      <w:bookmarkEnd w:id="268"/>
      <w:bookmarkEnd w:id="269"/>
      <w:bookmarkEnd w:id="270"/>
      <w:bookmarkEnd w:id="271"/>
      <w:bookmarkEnd w:id="272"/>
      <w:bookmarkEnd w:id="273"/>
    </w:p>
    <w:p>
      <w:pPr>
        <w:pStyle w:val="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城</w:t>
      </w:r>
      <w:r>
        <w:rPr>
          <w:rFonts w:hint="eastAsia"/>
          <w:color w:val="000000" w:themeColor="text1"/>
          <w14:textFill>
            <w14:solidFill>
              <w14:schemeClr w14:val="tx1"/>
            </w14:solidFill>
          </w14:textFill>
        </w:rPr>
        <w:t>市防洪及排涝标准一览表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799"/>
        <w:gridCol w:w="3020"/>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排水防涝标准（重现期：年）</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防洪标准（重现期：年）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广州市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韶关市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深圳市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珠海市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汕头市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佛山市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江门市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湛江市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茂名市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肇庆市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惠州市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梅州市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汕尾市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河源市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阳江市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清远市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东莞市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中山市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潮州市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揭阳市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c>
          <w:tcPr>
            <w:tcW w:w="1799"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云浮市</w:t>
            </w:r>
          </w:p>
        </w:tc>
        <w:tc>
          <w:tcPr>
            <w:tcW w:w="3020"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551" w:type="dxa"/>
            <w:vAlign w:val="center"/>
          </w:tcPr>
          <w:p>
            <w:pPr>
              <w:pStyle w:val="10"/>
              <w:spacing w:after="0" w:line="4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numPr>
          <w:ilvl w:val="0"/>
          <w:numId w:val="0"/>
        </w:numPr>
        <w:spacing w:before="381" w:after="381"/>
        <w:rPr>
          <w:color w:val="000000" w:themeColor="text1"/>
          <w14:textFill>
            <w14:solidFill>
              <w14:schemeClr w14:val="tx1"/>
            </w14:solidFill>
          </w14:textFill>
        </w:rPr>
      </w:pPr>
      <w:bookmarkStart w:id="275" w:name="_Toc201223980"/>
      <w:bookmarkStart w:id="276" w:name="_Toc201078665"/>
      <w:bookmarkStart w:id="277" w:name="_Toc201743734"/>
      <w:bookmarkStart w:id="278" w:name="_Toc201743632"/>
      <w:bookmarkStart w:id="279" w:name="_Toc201743683"/>
      <w:bookmarkStart w:id="280" w:name="_Toc201745758"/>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资料收集表</w:t>
      </w:r>
      <w:bookmarkEnd w:id="274"/>
      <w:bookmarkEnd w:id="275"/>
      <w:bookmarkEnd w:id="276"/>
      <w:bookmarkEnd w:id="277"/>
      <w:bookmarkEnd w:id="278"/>
      <w:bookmarkEnd w:id="279"/>
      <w:bookmarkEnd w:id="280"/>
    </w:p>
    <w:p>
      <w:pPr>
        <w:pStyle w:val="69"/>
        <w:rPr>
          <w:color w:val="000000" w:themeColor="text1"/>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 xml:space="preserve">.1 </w:t>
      </w:r>
      <w:r>
        <w:rPr>
          <w:rFonts w:hint="eastAsia"/>
          <w:color w:val="000000" w:themeColor="text1"/>
          <w:szCs w:val="21"/>
          <w14:textFill>
            <w14:solidFill>
              <w14:schemeClr w14:val="tx1"/>
            </w14:solidFill>
          </w14:textFill>
        </w:rPr>
        <w:t>洪涝积水风险图资料收集一览</w:t>
      </w:r>
      <w:r>
        <w:rPr>
          <w:color w:val="000000" w:themeColor="text1"/>
          <w:szCs w:val="21"/>
          <w14:textFill>
            <w14:solidFill>
              <w14:schemeClr w14:val="tx1"/>
            </w14:solidFill>
          </w14:textFill>
        </w:rPr>
        <w:t>表</w:t>
      </w:r>
    </w:p>
    <w:tbl>
      <w:tblPr>
        <w:tblStyle w:val="26"/>
        <w:tblW w:w="83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999"/>
        <w:gridCol w:w="1531"/>
        <w:gridCol w:w="51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序号</w:t>
            </w:r>
          </w:p>
        </w:tc>
        <w:tc>
          <w:tcPr>
            <w:tcW w:w="999"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分类</w:t>
            </w:r>
          </w:p>
        </w:tc>
        <w:tc>
          <w:tcPr>
            <w:tcW w:w="1531"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名称</w:t>
            </w:r>
          </w:p>
        </w:tc>
        <w:tc>
          <w:tcPr>
            <w:tcW w:w="5102"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p>
        </w:tc>
        <w:tc>
          <w:tcPr>
            <w:tcW w:w="999" w:type="dxa"/>
            <w:vMerge w:val="restart"/>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基础地形数据</w:t>
            </w: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高程数据</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DEM或高程点，间距5m~20m或根据建模需求定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w:t>
            </w:r>
          </w:p>
        </w:tc>
        <w:tc>
          <w:tcPr>
            <w:tcW w:w="999" w:type="dxa"/>
            <w:vMerge w:val="continue"/>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土地利用</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三调数据等下垫面信息，包括道路、建筑物、水体和绿地等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w:t>
            </w:r>
          </w:p>
        </w:tc>
        <w:tc>
          <w:tcPr>
            <w:tcW w:w="999" w:type="dxa"/>
            <w:vMerge w:val="continue"/>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影像图</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tif格式影像数据，分辨率不低于2m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4</w:t>
            </w:r>
          </w:p>
        </w:tc>
        <w:tc>
          <w:tcPr>
            <w:tcW w:w="999" w:type="dxa"/>
            <w:vMerge w:val="restart"/>
            <w:shd w:val="clear" w:color="000000" w:fill="FFFFFF"/>
            <w:vAlign w:val="center"/>
          </w:tcPr>
          <w:p>
            <w:pPr>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涉水工程</w:t>
            </w:r>
            <w:r>
              <w:rPr>
                <w:rFonts w:hint="eastAsia" w:ascii="Times New Roman" w:hAnsi="Times New Roman" w:eastAsia="宋体" w:cs="Times New Roman"/>
                <w:color w:val="000000" w:themeColor="text1"/>
                <w:kern w:val="0"/>
                <w:sz w:val="21"/>
                <w:szCs w:val="21"/>
                <w14:textFill>
                  <w14:solidFill>
                    <w14:schemeClr w14:val="tx1"/>
                  </w14:solidFill>
                </w14:textFill>
              </w:rPr>
              <w:t>数据</w:t>
            </w: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河道</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城区内河道中心线矢量数据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河道断面</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城区内河道的纵横断面资料，每个断面测点个数不少于4个，每两个断面间距在50m~200m之间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6</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水闸</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位置、闸孔个数、闸门尺寸、闸底板高程、设计过流能力等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7</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拦河坝</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位置、尺寸、长度、坝顶高程等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8</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跨河桥梁</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城区范围内明显阻水的跨河桥位置、桥面高程、梁底高程、河底高程、跨孔数及跨长度等参数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9</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阻水道路</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城区范围内明显阻水的公路或铁路位置、路面高程、桥涵位置、形状尺寸、底高程、梁底高程等参数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w:t>
            </w:r>
          </w:p>
        </w:tc>
        <w:tc>
          <w:tcPr>
            <w:tcW w:w="999" w:type="dxa"/>
            <w:vMerge w:val="restart"/>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排水设施</w:t>
            </w:r>
            <w:r>
              <w:rPr>
                <w:rFonts w:hint="eastAsia" w:ascii="Times New Roman" w:hAnsi="Times New Roman" w:eastAsia="宋体" w:cs="Times New Roman"/>
                <w:color w:val="000000" w:themeColor="text1"/>
                <w:kern w:val="0"/>
                <w:sz w:val="21"/>
                <w:szCs w:val="21"/>
                <w14:textFill>
                  <w14:solidFill>
                    <w14:schemeClr w14:val="tx1"/>
                  </w14:solidFill>
                </w14:textFill>
              </w:rPr>
              <w:t>数据</w:t>
            </w: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排水管线</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上下游节点坐标、上下游节点编码、形状、</w:t>
            </w:r>
            <w:r>
              <w:rPr>
                <w:rFonts w:hint="eastAsia" w:ascii="Times New Roman" w:hAnsi="Times New Roman" w:eastAsia="宋体" w:cs="Times New Roman"/>
                <w:color w:val="000000" w:themeColor="text1"/>
                <w:kern w:val="0"/>
                <w:sz w:val="21"/>
                <w:szCs w:val="21"/>
                <w14:textFill>
                  <w14:solidFill>
                    <w14:schemeClr w14:val="tx1"/>
                  </w14:solidFill>
                </w14:textFill>
              </w:rPr>
              <w:t>尺寸</w:t>
            </w:r>
            <w:r>
              <w:rPr>
                <w:rFonts w:ascii="Times New Roman" w:hAnsi="Times New Roman" w:eastAsia="宋体" w:cs="Times New Roman"/>
                <w:color w:val="000000" w:themeColor="text1"/>
                <w:kern w:val="0"/>
                <w:sz w:val="21"/>
                <w:szCs w:val="21"/>
                <w14:textFill>
                  <w14:solidFill>
                    <w14:schemeClr w14:val="tx1"/>
                  </w14:solidFill>
                </w14:textFill>
              </w:rPr>
              <w:t>、长度、上下游底高程等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排河口</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位置、形状、尺寸、底高程等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12</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检查井</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位置、地面高程、类型、井室底高程、井室顶高程等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13</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排水泵站</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位置、水泵台数、设计流量、前池容积、启停泵水位等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14</w:t>
            </w:r>
          </w:p>
        </w:tc>
        <w:tc>
          <w:tcPr>
            <w:tcW w:w="999" w:type="dxa"/>
            <w:vMerge w:val="restart"/>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气象及水文资料</w:t>
            </w: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实测及设计暴雨洪水资料</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城区气象站典型暴雨实测资料以及设计暴雨资料，城区主要河道水文站近年来实测洪水过程以及设计洪水资料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15</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水文手册及暴雨图集</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水文手册及暴雨图集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16</w:t>
            </w:r>
          </w:p>
        </w:tc>
        <w:tc>
          <w:tcPr>
            <w:tcW w:w="999" w:type="dxa"/>
            <w:vMerge w:val="restart"/>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社会经济资料</w:t>
            </w: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统计指标</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人口、交通、生产总值等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17</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空间分布图</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行政区划图、排水分区图、城市生命线工程分布图等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18</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调度预案</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重点防洪保护对象及防洪排涝调度预案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19</w:t>
            </w:r>
          </w:p>
        </w:tc>
        <w:tc>
          <w:tcPr>
            <w:tcW w:w="999" w:type="dxa"/>
            <w:vMerge w:val="restart"/>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洪涝灾害资料</w:t>
            </w: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致灾因子特征</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典型降雨场次对应的内涝积水范围、内涝积水深度、内涝积水流速、内涝积水历时等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7" w:type="dxa"/>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20</w:t>
            </w:r>
          </w:p>
        </w:tc>
        <w:tc>
          <w:tcPr>
            <w:tcW w:w="999" w:type="dxa"/>
            <w:vMerge w:val="continue"/>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531"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灾害损失情况</w:t>
            </w:r>
          </w:p>
        </w:tc>
        <w:tc>
          <w:tcPr>
            <w:tcW w:w="5102"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人员伤亡、建筑物损毁、道路损毁、生命线工程破坏、地下空间破坏情况等</w:t>
            </w:r>
          </w:p>
        </w:tc>
      </w:tr>
    </w:tbl>
    <w:p>
      <w:pPr>
        <w:widowControl/>
        <w:rPr>
          <w:rFonts w:ascii="宋体" w:hAnsi="宋体" w:eastAsia="宋体" w:cs="Times New Roman"/>
          <w:color w:val="000000" w:themeColor="text1"/>
          <w:sz w:val="21"/>
          <w:szCs w:val="20"/>
          <w14:textFill>
            <w14:solidFill>
              <w14:schemeClr w14:val="tx1"/>
            </w14:solidFill>
          </w14:textFill>
        </w:rPr>
      </w:pPr>
      <w:r>
        <w:rPr>
          <w:rFonts w:ascii="宋体" w:hAnsi="宋体" w:eastAsia="宋体" w:cs="Times New Roman"/>
          <w:color w:val="000000" w:themeColor="text1"/>
          <w:sz w:val="21"/>
          <w:szCs w:val="20"/>
          <w14:textFill>
            <w14:solidFill>
              <w14:schemeClr w14:val="tx1"/>
            </w14:solidFill>
          </w14:textFill>
        </w:rPr>
        <w:br w:type="page"/>
      </w:r>
    </w:p>
    <w:p>
      <w:pPr>
        <w:pStyle w:val="69"/>
        <w:rPr>
          <w:color w:val="000000" w:themeColor="text1"/>
          <w:szCs w:val="21"/>
          <w14:textFill>
            <w14:solidFill>
              <w14:schemeClr w14:val="tx1"/>
            </w14:solidFill>
          </w14:textFill>
        </w:rPr>
      </w:pP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 xml:space="preserve">.2 </w:t>
      </w:r>
      <w:r>
        <w:rPr>
          <w:rFonts w:hint="eastAsia"/>
          <w:color w:val="000000" w:themeColor="text1"/>
          <w:szCs w:val="21"/>
          <w14:textFill>
            <w14:solidFill>
              <w14:schemeClr w14:val="tx1"/>
            </w14:solidFill>
          </w14:textFill>
        </w:rPr>
        <w:t>洪涝灾害链风险图资料收集一览</w:t>
      </w:r>
      <w:r>
        <w:rPr>
          <w:color w:val="000000" w:themeColor="text1"/>
          <w:szCs w:val="21"/>
          <w14:textFill>
            <w14:solidFill>
              <w14:schemeClr w14:val="tx1"/>
            </w14:solidFill>
          </w14:textFill>
        </w:rPr>
        <w:t>表</w:t>
      </w:r>
    </w:p>
    <w:tbl>
      <w:tblPr>
        <w:tblStyle w:val="26"/>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531"/>
        <w:gridCol w:w="6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7"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序号</w:t>
            </w:r>
          </w:p>
        </w:tc>
        <w:tc>
          <w:tcPr>
            <w:tcW w:w="1531"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分类</w:t>
            </w:r>
          </w:p>
        </w:tc>
        <w:tc>
          <w:tcPr>
            <w:tcW w:w="6066" w:type="dxa"/>
            <w:shd w:val="clear" w:color="000000" w:fill="FFFFFF"/>
            <w:vAlign w:val="center"/>
          </w:tcPr>
          <w:p>
            <w:pPr>
              <w:widowControl/>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p>
        </w:tc>
        <w:tc>
          <w:tcPr>
            <w:tcW w:w="1531"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城市管理单元网格资料</w:t>
            </w:r>
          </w:p>
        </w:tc>
        <w:tc>
          <w:tcPr>
            <w:tcW w:w="6066"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建成区范围内的城市管理单元网格边界线矢量文件。城市管理单元网格其他相关信息，包括：包括人口、社区名称、地块名称等信息。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w:t>
            </w:r>
          </w:p>
        </w:tc>
        <w:tc>
          <w:tcPr>
            <w:tcW w:w="1531"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城市洪涝脆弱性评估资料</w:t>
            </w:r>
          </w:p>
        </w:tc>
        <w:tc>
          <w:tcPr>
            <w:tcW w:w="6066"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以城市管理单元网格为单位，</w:t>
            </w:r>
            <w:r>
              <w:rPr>
                <w:rFonts w:hint="eastAsia" w:ascii="Times New Roman" w:hAnsi="Times New Roman" w:eastAsia="宋体" w:cs="Times New Roman"/>
                <w:color w:val="000000" w:themeColor="text1"/>
                <w:kern w:val="0"/>
                <w:sz w:val="21"/>
                <w:szCs w:val="21"/>
                <w14:textFill>
                  <w14:solidFill>
                    <w14:schemeClr w14:val="tx1"/>
                  </w14:solidFill>
                </w14:textFill>
              </w:rPr>
              <w:t>各单元网格内的高程、坡度、河网密度、下垫面矢量数据、主次干道矢量数据、城区类型矢量数据、人口密度、地下空间出入口分布、生命线设施（燃气门站、储配站、调压站；电厂、各级变电站；给水厂及泵站；污水厂及泵站；通信机房、光纤到户通信设施；热源厂及热力站）分布、易发链生灾害点位分布</w:t>
            </w:r>
            <w:r>
              <w:rPr>
                <w:rFonts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w:t>
            </w:r>
          </w:p>
        </w:tc>
        <w:tc>
          <w:tcPr>
            <w:tcW w:w="1531"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洪涝灾害链综合风险评估资料</w:t>
            </w:r>
          </w:p>
        </w:tc>
        <w:tc>
          <w:tcPr>
            <w:tcW w:w="6066"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建成区洪涝脆弱性评估结果矢量文件；不同降雨情境下洪涝积水风险区划矢量文件、山洪入侵点位、溃坝漫堤点位等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737" w:type="dxa"/>
            <w:shd w:val="clear" w:color="000000" w:fill="FFFFFF"/>
            <w:vAlign w:val="center"/>
          </w:tcPr>
          <w:p>
            <w:pPr>
              <w:widowControl/>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4</w:t>
            </w:r>
          </w:p>
        </w:tc>
        <w:tc>
          <w:tcPr>
            <w:tcW w:w="1531"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承灾体受淹评估</w:t>
            </w:r>
            <w:r>
              <w:rPr>
                <w:rFonts w:ascii="Times New Roman" w:hAnsi="Times New Roman" w:eastAsia="宋体" w:cs="Times New Roman"/>
                <w:color w:val="000000" w:themeColor="text1"/>
                <w:kern w:val="0"/>
                <w:sz w:val="21"/>
                <w:szCs w:val="21"/>
                <w14:textFill>
                  <w14:solidFill>
                    <w14:schemeClr w14:val="tx1"/>
                  </w14:solidFill>
                </w14:textFill>
              </w:rPr>
              <w:t>资料</w:t>
            </w:r>
          </w:p>
        </w:tc>
        <w:tc>
          <w:tcPr>
            <w:tcW w:w="6066" w:type="dxa"/>
            <w:shd w:val="clear" w:color="000000" w:fill="FFFFFF"/>
            <w:vAlign w:val="center"/>
          </w:tcPr>
          <w:p>
            <w:pPr>
              <w:widowControl/>
              <w:jc w:val="left"/>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生命线设施（燃气门站、储配站、调压站；电厂、各级变电站；给水厂及泵站；污水厂及泵站；通信机房、光纤到户通信设施；热源厂及热力站）分布、设计防汛水位线、不同降雨情境下的积水深度和淹没时间</w:t>
            </w:r>
            <w:r>
              <w:rPr>
                <w:rFonts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14:textFill>
                  <w14:solidFill>
                    <w14:schemeClr w14:val="tx1"/>
                  </w14:solidFill>
                </w14:textFill>
              </w:rPr>
              <w:t>遇水反应化工品点位分布、设计防汛水位线、不同降雨情境下的积水深度和淹没时间</w:t>
            </w:r>
            <w:r>
              <w:rPr>
                <w:rFonts w:ascii="Times New Roman" w:hAnsi="Times New Roman" w:eastAsia="宋体" w:cs="Times New Roman"/>
                <w:color w:val="000000" w:themeColor="text1"/>
                <w:kern w:val="0"/>
                <w:sz w:val="21"/>
                <w:szCs w:val="21"/>
                <w14:textFill>
                  <w14:solidFill>
                    <w14:schemeClr w14:val="tx1"/>
                  </w14:solidFill>
                </w14:textFill>
              </w:rPr>
              <w:t>。</w:t>
            </w:r>
          </w:p>
        </w:tc>
      </w:tr>
    </w:tbl>
    <w:p>
      <w:pPr>
        <w:rPr>
          <w:rFonts w:ascii="宋体" w:hAnsi="宋体" w:eastAsia="宋体" w:cs="Times New Roman"/>
          <w:color w:val="000000" w:themeColor="text1"/>
          <w:sz w:val="21"/>
          <w:szCs w:val="20"/>
          <w14:textFill>
            <w14:solidFill>
              <w14:schemeClr w14:val="tx1"/>
            </w14:solidFill>
          </w14:textFill>
        </w:rPr>
      </w:pPr>
    </w:p>
    <w:p>
      <w:pPr>
        <w:widowControl/>
        <w:rPr>
          <w:rFonts w:ascii="宋体" w:hAnsi="宋体" w:eastAsia="宋体" w:cs="Times New Roman"/>
          <w:color w:val="000000" w:themeColor="text1"/>
          <w:sz w:val="21"/>
          <w:szCs w:val="20"/>
          <w14:textFill>
            <w14:solidFill>
              <w14:schemeClr w14:val="tx1"/>
            </w14:solidFill>
          </w14:textFill>
        </w:rPr>
      </w:pPr>
      <w:r>
        <w:rPr>
          <w:rFonts w:ascii="宋体" w:hAnsi="宋体" w:eastAsia="宋体" w:cs="Times New Roman"/>
          <w:color w:val="000000" w:themeColor="text1"/>
          <w:sz w:val="21"/>
          <w:szCs w:val="20"/>
          <w14:textFill>
            <w14:solidFill>
              <w14:schemeClr w14:val="tx1"/>
            </w14:solidFill>
          </w14:textFill>
        </w:rPr>
        <w:br w:type="page"/>
      </w:r>
    </w:p>
    <w:p>
      <w:pPr>
        <w:pStyle w:val="10"/>
        <w:rPr>
          <w:rFonts w:ascii="宋体" w:hAnsi="宋体" w:cs="宋体"/>
          <w:color w:val="000000" w:themeColor="text1"/>
          <w:spacing w:val="-1"/>
          <w:sz w:val="24"/>
          <w14:textFill>
            <w14:solidFill>
              <w14:schemeClr w14:val="tx1"/>
            </w14:solidFill>
          </w14:textFill>
        </w:rPr>
        <w:sectPr>
          <w:pgSz w:w="11906" w:h="16838"/>
          <w:pgMar w:top="1440" w:right="1800" w:bottom="1440" w:left="1800" w:header="851" w:footer="340" w:gutter="0"/>
          <w:cols w:space="425" w:num="1"/>
          <w:docGrid w:type="lines" w:linePitch="381" w:charSpace="0"/>
        </w:sectPr>
      </w:pPr>
    </w:p>
    <w:p>
      <w:pPr>
        <w:pStyle w:val="2"/>
        <w:numPr>
          <w:ilvl w:val="0"/>
          <w:numId w:val="0"/>
        </w:numPr>
        <w:spacing w:before="381" w:after="381"/>
        <w:rPr>
          <w:color w:val="000000" w:themeColor="text1"/>
          <w14:textFill>
            <w14:solidFill>
              <w14:schemeClr w14:val="tx1"/>
            </w14:solidFill>
          </w14:textFill>
        </w:rPr>
      </w:pPr>
      <w:bookmarkStart w:id="281" w:name="_Toc201223981"/>
      <w:bookmarkStart w:id="282" w:name="_Toc201078668"/>
      <w:bookmarkStart w:id="283" w:name="_Toc201745759"/>
      <w:bookmarkStart w:id="284" w:name="_Toc201743633"/>
      <w:bookmarkStart w:id="285" w:name="_Toc201743735"/>
      <w:bookmarkStart w:id="286" w:name="_Toc201743684"/>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自然断点分级法</w:t>
      </w:r>
      <w:bookmarkEnd w:id="281"/>
      <w:bookmarkEnd w:id="282"/>
      <w:bookmarkEnd w:id="283"/>
      <w:bookmarkEnd w:id="284"/>
      <w:bookmarkEnd w:id="285"/>
      <w:bookmarkEnd w:id="286"/>
    </w:p>
    <w:p>
      <w:pPr>
        <w:spacing w:line="360" w:lineRule="auto"/>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C</w:t>
      </w:r>
      <w:r>
        <w:rPr>
          <w:rFonts w:ascii="Times New Roman" w:hAnsi="Times New Roman" w:eastAsia="宋体" w:cs="Times New Roman"/>
          <w:b/>
          <w:bCs/>
          <w:color w:val="000000" w:themeColor="text1"/>
          <w:sz w:val="24"/>
          <w:szCs w:val="24"/>
          <w14:textFill>
            <w14:solidFill>
              <w14:schemeClr w14:val="tx1"/>
            </w14:solidFill>
          </w14:textFill>
        </w:rPr>
        <w:t>.0.1</w:t>
      </w:r>
      <w:r>
        <w:rPr>
          <w:rFonts w:ascii="Times New Roman" w:hAnsi="Times New Roman" w:eastAsia="宋体" w:cs="Times New Roman"/>
          <w:color w:val="000000" w:themeColor="text1"/>
          <w:spacing w:val="-6"/>
          <w:sz w:val="24"/>
          <w:szCs w:val="24"/>
          <w14:textFill>
            <w14:solidFill>
              <w14:schemeClr w14:val="tx1"/>
            </w14:solidFill>
          </w14:textFill>
        </w:rPr>
        <w:t>自然断点分级法是一种地图分级算法。该算法认为数据本身有断点，可利用数据这一特点进行分类。</w:t>
      </w:r>
      <w:r>
        <w:rPr>
          <w:rFonts w:ascii="Times New Roman" w:hAnsi="Times New Roman" w:eastAsia="宋体" w:cs="Times New Roman"/>
          <w:color w:val="000000" w:themeColor="text1"/>
          <w:spacing w:val="10"/>
          <w:sz w:val="24"/>
          <w:szCs w:val="24"/>
          <w14:textFill>
            <w14:solidFill>
              <w14:schemeClr w14:val="tx1"/>
            </w14:solidFill>
          </w14:textFill>
        </w:rPr>
        <w:t xml:space="preserve"> </w:t>
      </w:r>
      <w:r>
        <w:rPr>
          <w:rFonts w:ascii="Times New Roman" w:hAnsi="Times New Roman" w:eastAsia="宋体" w:cs="Times New Roman"/>
          <w:color w:val="000000" w:themeColor="text1"/>
          <w:spacing w:val="-2"/>
          <w:sz w:val="24"/>
          <w:szCs w:val="24"/>
          <w14:textFill>
            <w14:solidFill>
              <w14:schemeClr w14:val="tx1"/>
            </w14:solidFill>
          </w14:textFill>
        </w:rPr>
        <w:t>算法的功能就是减少同一级中的差异、增加级间的差异。</w:t>
      </w:r>
      <w:r>
        <w:rPr>
          <w:rFonts w:ascii="Times New Roman" w:hAnsi="Times New Roman" w:eastAsia="宋体" w:cs="Times New Roman"/>
          <w:color w:val="000000" w:themeColor="text1"/>
          <w:spacing w:val="-6"/>
          <w:sz w:val="24"/>
          <w:szCs w:val="24"/>
          <w14:textFill>
            <w14:solidFill>
              <w14:schemeClr w14:val="tx1"/>
            </w14:solidFill>
          </w14:textFill>
        </w:rPr>
        <w:t>自然断点分级法</w:t>
      </w:r>
      <w:r>
        <w:rPr>
          <w:rFonts w:hint="eastAsia" w:ascii="Times New Roman" w:hAnsi="Times New Roman" w:eastAsia="宋体" w:cs="Times New Roman"/>
          <w:color w:val="000000" w:themeColor="text1"/>
          <w:spacing w:val="-2"/>
          <w:sz w:val="24"/>
          <w:szCs w:val="24"/>
          <w14:textFill>
            <w14:solidFill>
              <w14:schemeClr w14:val="tx1"/>
            </w14:solidFill>
          </w14:textFill>
        </w:rPr>
        <w:t>应</w:t>
      </w:r>
      <w:r>
        <w:rPr>
          <w:rFonts w:ascii="Times New Roman" w:hAnsi="Times New Roman" w:eastAsia="宋体" w:cs="Times New Roman"/>
          <w:color w:val="000000" w:themeColor="text1"/>
          <w:spacing w:val="-2"/>
          <w:sz w:val="24"/>
          <w:szCs w:val="24"/>
          <w14:textFill>
            <w14:solidFill>
              <w14:schemeClr w14:val="tx1"/>
            </w14:solidFill>
          </w14:textFill>
        </w:rPr>
        <w:t>按下式计算</w:t>
      </w:r>
      <w:r>
        <w:rPr>
          <w:rFonts w:hint="eastAsia" w:ascii="Times New Roman" w:hAnsi="Times New Roman" w:eastAsia="宋体" w:cs="Times New Roman"/>
          <w:color w:val="000000" w:themeColor="text1"/>
          <w:spacing w:val="-2"/>
          <w:sz w:val="24"/>
          <w:szCs w:val="24"/>
          <w14:textFill>
            <w14:solidFill>
              <w14:schemeClr w14:val="tx1"/>
            </w14:solidFill>
          </w14:textFill>
        </w:rPr>
        <w:t>：</w:t>
      </w:r>
    </w:p>
    <w:p>
      <w:pPr>
        <w:pStyle w:val="97"/>
        <w:rPr>
          <w:spacing w:val="-2"/>
        </w:rPr>
      </w:pPr>
      <w:r>
        <w:rPr>
          <w:iCs/>
        </w:rPr>
        <w:tab/>
      </w:r>
      <m:oMath>
        <m:r>
          <m:rPr/>
          <w:rPr>
            <w:rFonts w:ascii="Cambria Math" w:hAnsi="Cambria Math"/>
          </w:rPr>
          <m:t>SS</m:t>
        </m:r>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j</m:t>
            </m:r>
            <m:ctrlPr>
              <w:rPr>
                <w:rFonts w:ascii="Cambria Math" w:hAnsi="Cambria Math"/>
              </w:rPr>
            </m:ctrlPr>
          </m:sub>
        </m:sSub>
        <m:r>
          <m:rPr>
            <m:sty m:val="p"/>
          </m:rPr>
          <w:rPr>
            <w:rFonts w:ascii="Cambria Math" w:hAnsi="Cambria Math"/>
          </w:rPr>
          <m:t>=</m:t>
        </m:r>
        <m:nary>
          <m:naryPr>
            <m:chr m:val="∑"/>
            <m:ctrlPr>
              <w:rPr>
                <w:rFonts w:ascii="Cambria Math" w:hAnsi="Cambria Math"/>
              </w:rPr>
            </m:ctrlPr>
          </m:naryPr>
          <m:sub>
            <m:r>
              <m:rPr/>
              <w:rPr>
                <w:rFonts w:ascii="Cambria Math" w:hAnsi="Cambria Math"/>
              </w:rPr>
              <m:t>k</m:t>
            </m:r>
            <m:r>
              <m:rPr>
                <m:sty m:val="p"/>
              </m:rPr>
              <w:rPr>
                <w:rFonts w:ascii="Cambria Math" w:hAnsi="Cambria Math"/>
              </w:rPr>
              <m:t>=1</m:t>
            </m:r>
            <m:ctrlPr>
              <w:rPr>
                <w:rFonts w:ascii="Cambria Math" w:hAnsi="Cambria Math"/>
              </w:rPr>
            </m:ctrlPr>
          </m:sub>
          <m:sup>
            <m:r>
              <m:rPr/>
              <w:rPr>
                <w:rFonts w:ascii="Cambria Math" w:hAnsi="Cambria Math"/>
              </w:rPr>
              <m:t>j</m:t>
            </m:r>
            <m:ctrlPr>
              <w:rPr>
                <w:rFonts w:ascii="Cambria Math" w:hAnsi="Cambria Math"/>
              </w:rPr>
            </m:ctrlPr>
          </m:sup>
          <m:e>
            <m:r>
              <m:rPr/>
              <w:rPr>
                <w:rFonts w:ascii="Cambria Math" w:hAnsi="Cambria Math"/>
              </w:rPr>
              <m:t>A</m:t>
            </m:r>
            <m:sSup>
              <m:sSupPr>
                <m:ctrlPr>
                  <w:rPr>
                    <w:rFonts w:ascii="Cambria Math" w:hAnsi="Cambria Math"/>
                  </w:rPr>
                </m:ctrlPr>
              </m:sSupPr>
              <m:e>
                <m:d>
                  <m:dPr>
                    <m:begChr m:val="["/>
                    <m:endChr m:val="]"/>
                    <m:ctrlPr>
                      <w:rPr>
                        <w:rFonts w:ascii="Cambria Math" w:hAnsi="Cambria Math"/>
                      </w:rPr>
                    </m:ctrlPr>
                  </m:dPr>
                  <m:e>
                    <m:r>
                      <m:rPr/>
                      <w:rPr>
                        <w:rFonts w:ascii="Cambria Math" w:hAnsi="Cambria Math"/>
                      </w:rPr>
                      <m:t>K</m:t>
                    </m:r>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nary>
                          <m:naryPr>
                            <m:chr m:val="∑"/>
                            <m:ctrlPr>
                              <w:rPr>
                                <w:rFonts w:ascii="Cambria Math" w:hAnsi="Cambria Math"/>
                              </w:rPr>
                            </m:ctrlPr>
                          </m:naryPr>
                          <m:sub>
                            <m:r>
                              <m:rPr/>
                              <w:rPr>
                                <w:rFonts w:ascii="Cambria Math" w:hAnsi="Cambria Math"/>
                              </w:rPr>
                              <m:t>k</m:t>
                            </m:r>
                            <m:r>
                              <m:rPr>
                                <m:sty m:val="p"/>
                              </m:rPr>
                              <w:rPr>
                                <w:rFonts w:ascii="Cambria Math" w:hAnsi="Cambria Math"/>
                              </w:rPr>
                              <m:t>=1</m:t>
                            </m:r>
                            <m:ctrlPr>
                              <w:rPr>
                                <w:rFonts w:ascii="Cambria Math" w:hAnsi="Cambria Math"/>
                              </w:rPr>
                            </m:ctrlPr>
                          </m:sub>
                          <m:sup>
                            <m:r>
                              <m:rPr/>
                              <w:rPr>
                                <w:rFonts w:ascii="Cambria Math" w:hAnsi="Cambria Math"/>
                              </w:rPr>
                              <m:t>i</m:t>
                            </m:r>
                            <m:ctrlPr>
                              <w:rPr>
                                <w:rFonts w:ascii="Cambria Math" w:hAnsi="Cambria Math"/>
                              </w:rPr>
                            </m:ctrlPr>
                          </m:sup>
                          <m:e>
                            <m:d>
                              <m:dPr>
                                <m:begChr m:val="["/>
                                <m:endChr m:val="]"/>
                                <m:ctrlPr>
                                  <w:rPr>
                                    <w:rFonts w:ascii="Cambria Math" w:hAnsi="Cambria Math"/>
                                  </w:rPr>
                                </m:ctrlPr>
                              </m:dPr>
                              <m:e>
                                <m:r>
                                  <m:rPr/>
                                  <w:rPr>
                                    <w:rFonts w:ascii="Cambria Math" w:hAnsi="Cambria Math"/>
                                  </w:rPr>
                                  <m:t>K</m:t>
                                </m:r>
                                <m:ctrlPr>
                                  <w:rPr>
                                    <w:rFonts w:ascii="Cambria Math" w:hAnsi="Cambria Math"/>
                                  </w:rPr>
                                </m:ctrlPr>
                              </m:e>
                            </m:d>
                            <m:ctrlPr>
                              <w:rPr>
                                <w:rFonts w:ascii="Cambria Math" w:hAnsi="Cambria Math"/>
                              </w:rPr>
                            </m:ctrlPr>
                          </m:e>
                        </m:nary>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num>
              <m:den>
                <m:r>
                  <m:rPr/>
                  <w:rPr>
                    <w:rFonts w:ascii="Cambria Math" w:hAnsi="Cambria Math"/>
                  </w:rPr>
                  <m:t>j</m:t>
                </m:r>
                <m:r>
                  <m:rPr>
                    <m:sty m:val="p"/>
                  </m:rPr>
                  <w:rPr>
                    <w:rFonts w:ascii="Cambria Math" w:hAnsi="Cambria Math"/>
                  </w:rPr>
                  <m:t>−</m:t>
                </m:r>
                <m:r>
                  <m:rPr/>
                  <w:rPr>
                    <w:rFonts w:ascii="Cambria Math" w:hAnsi="Cambria Math"/>
                  </w:rPr>
                  <m:t>i</m:t>
                </m:r>
                <m:r>
                  <m:rPr>
                    <m:sty m:val="p"/>
                  </m:rPr>
                  <w:rPr>
                    <w:rFonts w:ascii="Cambria Math" w:hAnsi="Cambria Math"/>
                  </w:rPr>
                  <m:t>−1</m:t>
                </m:r>
                <m:ctrlPr>
                  <w:rPr>
                    <w:rFonts w:ascii="Cambria Math" w:hAnsi="Cambria Math"/>
                  </w:rPr>
                </m:ctrlPr>
              </m:den>
            </m:f>
            <m:d>
              <m:dPr>
                <m:ctrlPr>
                  <w:rPr>
                    <w:rFonts w:ascii="Cambria Math" w:hAnsi="Cambria Math"/>
                  </w:rPr>
                </m:ctrlPr>
              </m:dPr>
              <m:e>
                <m:r>
                  <m:rPr>
                    <m:sty m:val="p"/>
                  </m:rPr>
                  <w:rPr>
                    <w:rFonts w:ascii="Cambria Math" w:hAnsi="Cambria Math"/>
                  </w:rPr>
                  <m:t>1≤</m:t>
                </m:r>
                <m:r>
                  <m:rPr/>
                  <w:rPr>
                    <w:rFonts w:ascii="Cambria Math" w:hAnsi="Cambria Math"/>
                  </w:rPr>
                  <m:t>i</m:t>
                </m:r>
                <m:r>
                  <m:rPr>
                    <m:sty m:val="p"/>
                  </m:rPr>
                  <w:rPr>
                    <w:rFonts w:ascii="Cambria Math" w:hAnsi="Cambria Math"/>
                  </w:rPr>
                  <m:t>≤</m:t>
                </m:r>
                <m:r>
                  <m:rPr/>
                  <w:rPr>
                    <w:rFonts w:ascii="Cambria Math" w:hAnsi="Cambria Math"/>
                  </w:rPr>
                  <m:t>j</m:t>
                </m:r>
                <m:r>
                  <m:rPr>
                    <m:sty m:val="p"/>
                  </m:rPr>
                  <w:rPr>
                    <w:rFonts w:ascii="Cambria Math" w:hAnsi="Cambria Math"/>
                  </w:rPr>
                  <m:t>≤</m:t>
                </m:r>
                <m:r>
                  <m:rPr/>
                  <w:rPr>
                    <w:rFonts w:ascii="Cambria Math" w:hAnsi="Cambria Math"/>
                  </w:rPr>
                  <m:t>N</m:t>
                </m:r>
                <m:ctrlPr>
                  <w:rPr>
                    <w:rFonts w:ascii="Cambria Math" w:hAnsi="Cambria Math"/>
                  </w:rPr>
                </m:ctrlPr>
              </m:e>
            </m:d>
            <m:ctrlPr>
              <w:rPr>
                <w:rFonts w:ascii="Cambria Math" w:hAnsi="Cambria Math"/>
              </w:rPr>
            </m:ctrlPr>
          </m:e>
        </m:nary>
      </m:oMath>
      <w:r>
        <w:tab/>
      </w:r>
      <w:r>
        <w:rPr>
          <w:rFonts w:hint="eastAsia"/>
        </w:rPr>
        <w:t>（C</w:t>
      </w:r>
      <w:r>
        <w:t>.0.1</w:t>
      </w:r>
      <w:r>
        <w:rPr>
          <w:rFonts w:hint="eastAsia"/>
        </w:rPr>
        <w:t>）</w:t>
      </w:r>
    </w:p>
    <w:p>
      <w:pPr>
        <w:rPr>
          <w:rFonts w:ascii="Times New Roman" w:hAnsi="Times New Roman" w:eastAsia="宋体" w:cs="Times New Roman"/>
          <w:color w:val="000000" w:themeColor="text1"/>
          <w:spacing w:val="5"/>
          <w:sz w:val="24"/>
          <w:szCs w:val="24"/>
          <w14:textFill>
            <w14:solidFill>
              <w14:schemeClr w14:val="tx1"/>
            </w14:solidFill>
          </w14:textFill>
        </w:rPr>
      </w:pPr>
      <w:r>
        <w:rPr>
          <w:rFonts w:ascii="Times New Roman" w:hAnsi="Times New Roman" w:eastAsia="宋体" w:cs="Times New Roman"/>
          <w:color w:val="000000" w:themeColor="text1"/>
          <w:spacing w:val="5"/>
          <w:sz w:val="24"/>
          <w:szCs w:val="24"/>
          <w14:textFill>
            <w14:solidFill>
              <w14:schemeClr w14:val="tx1"/>
            </w14:solidFill>
          </w14:textFill>
        </w:rPr>
        <w:t>式中</w:t>
      </w:r>
      <w:r>
        <w:rPr>
          <w:rFonts w:hint="eastAsia" w:ascii="Times New Roman" w:hAnsi="Times New Roman" w:eastAsia="宋体" w:cs="Times New Roman"/>
          <w:color w:val="000000" w:themeColor="text1"/>
          <w:spacing w:val="5"/>
          <w:sz w:val="24"/>
          <w:szCs w:val="24"/>
          <w14:textFill>
            <w14:solidFill>
              <w14:schemeClr w14:val="tx1"/>
            </w14:solidFill>
          </w14:textFill>
        </w:rPr>
        <w:t>：</w:t>
      </w:r>
      <m:oMath>
        <m:r>
          <m:rPr/>
          <w:rPr>
            <w:rFonts w:ascii="Cambria Math" w:hAnsi="Cambria Math" w:eastAsia="宋体" w:cs="Times New Roman"/>
            <w:color w:val="000000" w:themeColor="text1"/>
            <w:spacing w:val="5"/>
            <w:sz w:val="24"/>
            <w:szCs w:val="24"/>
            <w14:textFill>
              <w14:solidFill>
                <w14:schemeClr w14:val="tx1"/>
              </w14:solidFill>
            </w14:textFill>
          </w:rPr>
          <m:t>SSD</m:t>
        </m:r>
      </m:oMath>
      <w:r>
        <w:rPr>
          <w:rFonts w:ascii="Times New Roman" w:hAnsi="Times New Roman" w:eastAsia="宋体" w:cs="Times New Roman"/>
          <w:i/>
          <w:color w:val="000000" w:themeColor="text1"/>
          <w:spacing w:val="5"/>
          <w:sz w:val="24"/>
          <w:szCs w:val="24"/>
          <w14:textFill>
            <w14:solidFill>
              <w14:schemeClr w14:val="tx1"/>
            </w14:solidFill>
          </w14:textFill>
        </w:rPr>
        <w:t>——</w:t>
      </w:r>
      <w:r>
        <w:rPr>
          <w:rFonts w:ascii="Times New Roman" w:hAnsi="Times New Roman" w:eastAsia="宋体" w:cs="Times New Roman"/>
          <w:iCs/>
          <w:color w:val="000000" w:themeColor="text1"/>
          <w:spacing w:val="5"/>
          <w:sz w:val="24"/>
          <w:szCs w:val="24"/>
          <w14:textFill>
            <w14:solidFill>
              <w14:schemeClr w14:val="tx1"/>
            </w14:solidFill>
          </w14:textFill>
        </w:rPr>
        <w:t>方差；</w:t>
      </w:r>
    </w:p>
    <w:p>
      <w:pPr>
        <w:tabs>
          <w:tab w:val="left" w:pos="728"/>
        </w:tabs>
        <w:rPr>
          <w:rFonts w:ascii="Times New Roman" w:hAnsi="Times New Roman" w:eastAsia="宋体" w:cs="Times New Roman"/>
          <w:i/>
          <w:color w:val="000000" w:themeColor="text1"/>
          <w:spacing w:val="5"/>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b/>
      </w:r>
      <m:oMath>
        <m:r>
          <m:rPr/>
          <w:rPr>
            <w:rFonts w:ascii="Cambria Math" w:hAnsi="Cambria Math" w:eastAsia="宋体" w:cs="Times New Roman"/>
            <w:color w:val="000000" w:themeColor="text1"/>
            <w:sz w:val="24"/>
            <w:szCs w:val="24"/>
            <w14:textFill>
              <w14:solidFill>
                <w14:schemeClr w14:val="tx1"/>
              </w14:solidFill>
            </w14:textFill>
          </w:rPr>
          <m:t>i</m:t>
        </m:r>
      </m:oMath>
      <w:r>
        <w:rPr>
          <w:rFonts w:ascii="Times New Roman" w:hAnsi="Times New Roman" w:eastAsia="宋体" w:cs="Times New Roman"/>
          <w:i/>
          <w:color w:val="000000" w:themeColor="text1"/>
          <w:sz w:val="24"/>
          <w:szCs w:val="24"/>
          <w14:textFill>
            <w14:solidFill>
              <w14:schemeClr w14:val="tx1"/>
            </w14:solidFill>
          </w14:textFill>
        </w:rPr>
        <w:t>、</w:t>
      </w:r>
      <m:oMath>
        <m:r>
          <m:rPr/>
          <w:rPr>
            <w:rFonts w:ascii="Cambria Math" w:hAnsi="Cambria Math" w:eastAsia="宋体" w:cs="Times New Roman"/>
            <w:color w:val="000000" w:themeColor="text1"/>
            <w:sz w:val="24"/>
            <w:szCs w:val="24"/>
            <w14:textFill>
              <w14:solidFill>
                <w14:schemeClr w14:val="tx1"/>
              </w14:solidFill>
            </w14:textFill>
          </w:rPr>
          <m:t>j</m:t>
        </m:r>
      </m:oMath>
      <w:r>
        <w:rPr>
          <w:rFonts w:ascii="Times New Roman" w:hAnsi="Times New Roman" w:eastAsia="宋体" w:cs="Times New Roman"/>
          <w:i/>
          <w:color w:val="000000" w:themeColor="text1"/>
          <w:spacing w:val="5"/>
          <w:sz w:val="24"/>
          <w:szCs w:val="24"/>
          <w14:textFill>
            <w14:solidFill>
              <w14:schemeClr w14:val="tx1"/>
            </w14:solidFill>
          </w14:textFill>
        </w:rPr>
        <w:t>——</w:t>
      </w:r>
      <w:r>
        <w:rPr>
          <w:rFonts w:ascii="Times New Roman" w:hAnsi="Times New Roman" w:eastAsia="宋体" w:cs="Times New Roman"/>
          <w:iCs/>
          <w:color w:val="000000" w:themeColor="text1"/>
          <w:spacing w:val="5"/>
          <w:sz w:val="24"/>
          <w:szCs w:val="24"/>
          <w14:textFill>
            <w14:solidFill>
              <w14:schemeClr w14:val="tx1"/>
            </w14:solidFill>
          </w14:textFill>
        </w:rPr>
        <w:t>第</w:t>
      </w:r>
      <m:oMath>
        <m:r>
          <m:rPr>
            <m:sty m:val="p"/>
          </m:rPr>
          <w:rPr>
            <w:rFonts w:ascii="Cambria Math" w:hAnsi="Cambria Math" w:eastAsia="宋体" w:cs="Times New Roman"/>
            <w:color w:val="000000" w:themeColor="text1"/>
            <w:sz w:val="24"/>
            <w:szCs w:val="24"/>
            <w14:textFill>
              <w14:solidFill>
                <w14:schemeClr w14:val="tx1"/>
              </w14:solidFill>
            </w14:textFill>
          </w:rPr>
          <m:t>i</m:t>
        </m:r>
      </m:oMath>
      <w:r>
        <w:rPr>
          <w:rFonts w:ascii="Times New Roman" w:hAnsi="Times New Roman" w:eastAsia="宋体" w:cs="Times New Roman"/>
          <w:iCs/>
          <w:color w:val="000000" w:themeColor="text1"/>
          <w:sz w:val="24"/>
          <w:szCs w:val="24"/>
          <w14:textFill>
            <w14:solidFill>
              <w14:schemeClr w14:val="tx1"/>
            </w14:solidFill>
          </w14:textFill>
        </w:rPr>
        <w:t>、</w:t>
      </w:r>
      <m:oMath>
        <m:r>
          <m:rPr>
            <m:sty m:val="p"/>
          </m:rPr>
          <w:rPr>
            <w:rFonts w:ascii="Cambria Math" w:hAnsi="Cambria Math" w:eastAsia="宋体" w:cs="Times New Roman"/>
            <w:color w:val="000000" w:themeColor="text1"/>
            <w:sz w:val="24"/>
            <w:szCs w:val="24"/>
            <w14:textFill>
              <w14:solidFill>
                <w14:schemeClr w14:val="tx1"/>
              </w14:solidFill>
            </w14:textFill>
          </w:rPr>
          <m:t>j</m:t>
        </m:r>
      </m:oMath>
      <w:r>
        <w:rPr>
          <w:rFonts w:ascii="Times New Roman" w:hAnsi="Times New Roman" w:eastAsia="宋体" w:cs="Times New Roman"/>
          <w:iCs/>
          <w:color w:val="000000" w:themeColor="text1"/>
          <w:spacing w:val="5"/>
          <w:sz w:val="24"/>
          <w:szCs w:val="24"/>
          <w14:textFill>
            <w14:solidFill>
              <w14:schemeClr w14:val="tx1"/>
            </w14:solidFill>
          </w14:textFill>
        </w:rPr>
        <w:t>个元素；</w:t>
      </w:r>
    </w:p>
    <w:p>
      <w:pPr>
        <w:tabs>
          <w:tab w:val="left" w:pos="980"/>
        </w:tabs>
        <w:rPr>
          <w:rFonts w:ascii="Times New Roman" w:hAnsi="Times New Roman" w:eastAsia="宋体" w:cs="Times New Roman"/>
          <w:i/>
          <w:color w:val="000000" w:themeColor="text1"/>
          <w:spacing w:val="5"/>
          <w:sz w:val="24"/>
          <w:szCs w:val="24"/>
          <w14:textFill>
            <w14:solidFill>
              <w14:schemeClr w14:val="tx1"/>
            </w14:solidFill>
          </w14:textFill>
        </w:rPr>
      </w:pPr>
      <w:r>
        <w:rPr>
          <w:rFonts w:ascii="Times New Roman" w:hAnsi="Times New Roman" w:eastAsia="宋体" w:cs="Times New Roman"/>
          <w:i/>
          <w:color w:val="000000" w:themeColor="text1"/>
          <w:sz w:val="24"/>
          <w:szCs w:val="24"/>
          <w14:textFill>
            <w14:solidFill>
              <w14:schemeClr w14:val="tx1"/>
            </w14:solidFill>
          </w14:textFill>
        </w:rPr>
        <w:tab/>
      </w:r>
      <m:oMath>
        <m:r>
          <m:rPr/>
          <w:rPr>
            <w:rFonts w:ascii="Cambria Math" w:hAnsi="Cambria Math" w:eastAsia="宋体" w:cs="Times New Roman"/>
            <w:color w:val="000000" w:themeColor="text1"/>
            <w:sz w:val="24"/>
            <w:szCs w:val="24"/>
            <w14:textFill>
              <w14:solidFill>
                <w14:schemeClr w14:val="tx1"/>
              </w14:solidFill>
            </w14:textFill>
          </w:rPr>
          <m:t>A</m:t>
        </m:r>
      </m:oMath>
      <w:r>
        <w:rPr>
          <w:rFonts w:ascii="Times New Roman" w:hAnsi="Times New Roman" w:eastAsia="宋体" w:cs="Times New Roman"/>
          <w:i/>
          <w:color w:val="000000" w:themeColor="text1"/>
          <w:spacing w:val="5"/>
          <w:sz w:val="24"/>
          <w:szCs w:val="24"/>
          <w14:textFill>
            <w14:solidFill>
              <w14:schemeClr w14:val="tx1"/>
            </w14:solidFill>
          </w14:textFill>
        </w:rPr>
        <w:t>——</w:t>
      </w:r>
      <w:r>
        <w:rPr>
          <w:rFonts w:ascii="Times New Roman" w:hAnsi="Times New Roman" w:eastAsia="宋体" w:cs="Times New Roman"/>
          <w:iCs/>
          <w:color w:val="000000" w:themeColor="text1"/>
          <w:spacing w:val="5"/>
          <w:sz w:val="24"/>
          <w:szCs w:val="24"/>
          <w14:textFill>
            <w14:solidFill>
              <w14:schemeClr w14:val="tx1"/>
            </w14:solidFill>
          </w14:textFill>
        </w:rPr>
        <w:t>长度为</w:t>
      </w:r>
      <m:oMath>
        <m:r>
          <m:rPr/>
          <w:rPr>
            <w:rFonts w:ascii="Cambria Math" w:hAnsi="Cambria Math" w:eastAsia="宋体" w:cs="Times New Roman"/>
            <w:color w:val="000000" w:themeColor="text1"/>
            <w:spacing w:val="5"/>
            <w:sz w:val="24"/>
            <w:szCs w:val="24"/>
            <w14:textFill>
              <w14:solidFill>
                <w14:schemeClr w14:val="tx1"/>
              </w14:solidFill>
            </w14:textFill>
          </w:rPr>
          <m:t>N</m:t>
        </m:r>
      </m:oMath>
      <w:r>
        <w:rPr>
          <w:rFonts w:ascii="Times New Roman" w:hAnsi="Times New Roman" w:eastAsia="宋体" w:cs="Times New Roman"/>
          <w:iCs/>
          <w:color w:val="000000" w:themeColor="text1"/>
          <w:spacing w:val="5"/>
          <w:sz w:val="24"/>
          <w:szCs w:val="24"/>
          <w14:textFill>
            <w14:solidFill>
              <w14:schemeClr w14:val="tx1"/>
            </w14:solidFill>
          </w14:textFill>
        </w:rPr>
        <w:t>的数组；</w:t>
      </w:r>
    </w:p>
    <w:p>
      <w:pPr>
        <w:tabs>
          <w:tab w:val="left" w:pos="952"/>
        </w:tabs>
        <w:rPr>
          <w:rFonts w:ascii="Times New Roman" w:hAnsi="Times New Roman" w:eastAsia="宋体" w:cs="Times New Roman"/>
          <w:i/>
          <w:color w:val="000000" w:themeColor="text1"/>
          <w:spacing w:val="5"/>
          <w:sz w:val="24"/>
          <w:szCs w:val="24"/>
          <w14:textFill>
            <w14:solidFill>
              <w14:schemeClr w14:val="tx1"/>
            </w14:solidFill>
          </w14:textFill>
        </w:rPr>
      </w:pPr>
      <w:r>
        <w:rPr>
          <w:rFonts w:ascii="Times New Roman" w:hAnsi="Times New Roman" w:eastAsia="宋体" w:cs="Times New Roman"/>
          <w:i/>
          <w:color w:val="000000" w:themeColor="text1"/>
          <w:spacing w:val="5"/>
          <w:sz w:val="24"/>
          <w:szCs w:val="24"/>
          <w14:textFill>
            <w14:solidFill>
              <w14:schemeClr w14:val="tx1"/>
            </w14:solidFill>
          </w14:textFill>
        </w:rPr>
        <w:tab/>
      </w:r>
      <m:oMath>
        <m:r>
          <m:rPr/>
          <w:rPr>
            <w:rFonts w:ascii="Cambria Math" w:hAnsi="Cambria Math" w:eastAsia="宋体" w:cs="Times New Roman"/>
            <w:color w:val="000000" w:themeColor="text1"/>
            <w:spacing w:val="5"/>
            <w:sz w:val="24"/>
            <w:szCs w:val="24"/>
            <w14:textFill>
              <w14:solidFill>
                <w14:schemeClr w14:val="tx1"/>
              </w14:solidFill>
            </w14:textFill>
          </w:rPr>
          <m:t>K</m:t>
        </m:r>
      </m:oMath>
      <w:r>
        <w:rPr>
          <w:rFonts w:ascii="Times New Roman" w:hAnsi="Times New Roman" w:eastAsia="宋体" w:cs="Times New Roman"/>
          <w:i/>
          <w:color w:val="000000" w:themeColor="text1"/>
          <w:spacing w:val="5"/>
          <w:sz w:val="24"/>
          <w:szCs w:val="24"/>
          <w14:textFill>
            <w14:solidFill>
              <w14:schemeClr w14:val="tx1"/>
            </w14:solidFill>
          </w14:textFill>
        </w:rPr>
        <w:t>——</w:t>
      </w:r>
      <m:oMath>
        <m:r>
          <m:rPr/>
          <w:rPr>
            <w:rFonts w:hint="eastAsia" w:ascii="Cambria Math" w:hAnsi="Cambria Math" w:eastAsia="宋体" w:cs="Times New Roman"/>
            <w:color w:val="000000" w:themeColor="text1"/>
            <w:spacing w:val="5"/>
            <w:sz w:val="24"/>
            <w:szCs w:val="24"/>
            <w14:textFill>
              <w14:solidFill>
                <w14:schemeClr w14:val="tx1"/>
              </w14:solidFill>
            </w14:textFill>
          </w:rPr>
          <m:t>i</m:t>
        </m:r>
      </m:oMath>
      <w:r>
        <w:rPr>
          <w:rFonts w:hint="eastAsia" w:ascii="Times New Roman" w:hAnsi="Times New Roman" w:eastAsia="宋体" w:cs="Times New Roman"/>
          <w:i/>
          <w:color w:val="000000" w:themeColor="text1"/>
          <w:spacing w:val="5"/>
          <w:sz w:val="24"/>
          <w:szCs w:val="24"/>
          <w14:textFill>
            <w14:solidFill>
              <w14:schemeClr w14:val="tx1"/>
            </w14:solidFill>
          </w14:textFill>
        </w:rPr>
        <w:t>、</w:t>
      </w:r>
      <m:oMath>
        <m:r>
          <m:rPr/>
          <w:rPr>
            <w:rFonts w:hint="eastAsia" w:ascii="Cambria Math" w:hAnsi="Cambria Math" w:eastAsia="宋体" w:cs="Times New Roman"/>
            <w:color w:val="000000" w:themeColor="text1"/>
            <w:spacing w:val="5"/>
            <w:sz w:val="24"/>
            <w:szCs w:val="24"/>
            <w14:textFill>
              <w14:solidFill>
                <w14:schemeClr w14:val="tx1"/>
              </w14:solidFill>
            </w14:textFill>
          </w:rPr>
          <m:t>j</m:t>
        </m:r>
      </m:oMath>
      <w:r>
        <w:rPr>
          <w:rFonts w:ascii="Times New Roman" w:hAnsi="Times New Roman" w:eastAsia="宋体" w:cs="Times New Roman"/>
          <w:iCs/>
          <w:color w:val="000000" w:themeColor="text1"/>
          <w:spacing w:val="5"/>
          <w:sz w:val="24"/>
          <w:szCs w:val="24"/>
          <w14:textFill>
            <w14:solidFill>
              <w14:schemeClr w14:val="tx1"/>
            </w14:solidFill>
          </w14:textFill>
        </w:rPr>
        <w:t>中间的数，表示</w:t>
      </w:r>
      <m:oMath>
        <m:r>
          <m:rPr/>
          <w:rPr>
            <w:rFonts w:ascii="Cambria Math" w:hAnsi="Cambria Math" w:eastAsia="宋体" w:cs="Times New Roman"/>
            <w:color w:val="000000" w:themeColor="text1"/>
            <w:spacing w:val="5"/>
            <w:sz w:val="24"/>
            <w:szCs w:val="24"/>
            <w14:textFill>
              <w14:solidFill>
                <w14:schemeClr w14:val="tx1"/>
              </w14:solidFill>
            </w14:textFill>
          </w:rPr>
          <m:t>A</m:t>
        </m:r>
      </m:oMath>
      <w:r>
        <w:rPr>
          <w:rFonts w:ascii="Times New Roman" w:hAnsi="Times New Roman" w:eastAsia="宋体" w:cs="Times New Roman"/>
          <w:iCs/>
          <w:color w:val="000000" w:themeColor="text1"/>
          <w:spacing w:val="5"/>
          <w:sz w:val="24"/>
          <w:szCs w:val="24"/>
          <w14:textFill>
            <w14:solidFill>
              <w14:schemeClr w14:val="tx1"/>
            </w14:solidFill>
          </w14:textFill>
        </w:rPr>
        <w:t>组中的第</w:t>
      </w:r>
      <m:oMath>
        <m:r>
          <m:rPr/>
          <w:rPr>
            <w:rFonts w:ascii="Cambria Math" w:hAnsi="Cambria Math" w:eastAsia="宋体" w:cs="Times New Roman"/>
            <w:color w:val="000000" w:themeColor="text1"/>
            <w:spacing w:val="5"/>
            <w:sz w:val="24"/>
            <w:szCs w:val="24"/>
            <w14:textFill>
              <w14:solidFill>
                <w14:schemeClr w14:val="tx1"/>
              </w14:solidFill>
            </w14:textFill>
          </w:rPr>
          <m:t>k</m:t>
        </m:r>
      </m:oMath>
      <w:r>
        <w:rPr>
          <w:rFonts w:ascii="Times New Roman" w:hAnsi="Times New Roman" w:eastAsia="宋体" w:cs="Times New Roman"/>
          <w:iCs/>
          <w:color w:val="000000" w:themeColor="text1"/>
          <w:spacing w:val="5"/>
          <w:sz w:val="24"/>
          <w:szCs w:val="24"/>
          <w14:textFill>
            <w14:solidFill>
              <w14:schemeClr w14:val="tx1"/>
            </w14:solidFill>
          </w14:textFill>
        </w:rPr>
        <w:t>个元素</w:t>
      </w:r>
      <w:r>
        <w:rPr>
          <w:rFonts w:hint="eastAsia" w:ascii="Times New Roman" w:hAnsi="Times New Roman" w:eastAsia="宋体" w:cs="Times New Roman"/>
          <w:iCs/>
          <w:color w:val="000000" w:themeColor="text1"/>
          <w:spacing w:val="5"/>
          <w:sz w:val="24"/>
          <w:szCs w:val="24"/>
          <w14:textFill>
            <w14:solidFill>
              <w14:schemeClr w14:val="tx1"/>
            </w14:solidFill>
          </w14:textFill>
        </w:rPr>
        <w:t>。</w:t>
      </w:r>
    </w:p>
    <w:p>
      <w:pPr>
        <w:widowControl/>
        <w:rPr>
          <w:rStyle w:val="53"/>
          <w:color w:val="000000" w:themeColor="text1"/>
          <w:szCs w:val="24"/>
          <w14:textFill>
            <w14:solidFill>
              <w14:schemeClr w14:val="tx1"/>
            </w14:solidFill>
          </w14:textFill>
        </w:rPr>
      </w:pPr>
      <w:r>
        <w:rPr>
          <w:rStyle w:val="53"/>
          <w:color w:val="000000" w:themeColor="text1"/>
          <w:szCs w:val="24"/>
          <w14:textFill>
            <w14:solidFill>
              <w14:schemeClr w14:val="tx1"/>
            </w14:solidFill>
          </w14:textFill>
        </w:rPr>
        <w:br w:type="page"/>
      </w:r>
    </w:p>
    <w:p>
      <w:pPr>
        <w:pStyle w:val="10"/>
        <w:rPr>
          <w:rStyle w:val="53"/>
          <w:color w:val="000000" w:themeColor="text1"/>
          <w:szCs w:val="24"/>
          <w14:textFill>
            <w14:solidFill>
              <w14:schemeClr w14:val="tx1"/>
            </w14:solidFill>
          </w14:textFill>
        </w:rPr>
        <w:sectPr>
          <w:pgSz w:w="11906" w:h="16838"/>
          <w:pgMar w:top="1440" w:right="1800" w:bottom="1440" w:left="1800" w:header="851" w:footer="340" w:gutter="0"/>
          <w:cols w:space="425" w:num="1"/>
          <w:docGrid w:type="lines" w:linePitch="381" w:charSpace="0"/>
        </w:sectPr>
      </w:pPr>
    </w:p>
    <w:p>
      <w:pPr>
        <w:pStyle w:val="2"/>
        <w:numPr>
          <w:ilvl w:val="0"/>
          <w:numId w:val="0"/>
        </w:numPr>
        <w:spacing w:before="381" w:after="381"/>
        <w:rPr>
          <w:color w:val="000000" w:themeColor="text1"/>
          <w14:textFill>
            <w14:solidFill>
              <w14:schemeClr w14:val="tx1"/>
            </w14:solidFill>
          </w14:textFill>
        </w:rPr>
      </w:pPr>
      <w:bookmarkStart w:id="287" w:name="_Toc201743634"/>
      <w:bookmarkStart w:id="288" w:name="_Toc201223982"/>
      <w:bookmarkStart w:id="289" w:name="_Toc201078669"/>
      <w:bookmarkStart w:id="290" w:name="_Toc201743685"/>
      <w:bookmarkStart w:id="291" w:name="_Toc201743736"/>
      <w:bookmarkStart w:id="292" w:name="_Toc201745760"/>
      <w:r>
        <w:rPr>
          <w:color w:val="000000" w:themeColor="text1"/>
          <w14:textFill>
            <w14:solidFill>
              <w14:schemeClr w14:val="tx1"/>
            </w14:solidFill>
          </w14:textFill>
        </w:rPr>
        <w:t xml:space="preserve">附录D  </w:t>
      </w:r>
      <w:r>
        <w:rPr>
          <w:rFonts w:hint="eastAsia"/>
          <w:color w:val="000000" w:themeColor="text1"/>
          <w14:textFill>
            <w14:solidFill>
              <w14:schemeClr w14:val="tx1"/>
            </w14:solidFill>
          </w14:textFill>
        </w:rPr>
        <w:t>遇水反应化学品名单</w:t>
      </w:r>
      <w:bookmarkEnd w:id="287"/>
      <w:bookmarkEnd w:id="288"/>
      <w:bookmarkEnd w:id="289"/>
      <w:bookmarkEnd w:id="290"/>
      <w:bookmarkEnd w:id="291"/>
      <w:bookmarkEnd w:id="292"/>
    </w:p>
    <w:p>
      <w:pPr>
        <w:pStyle w:val="7"/>
        <w:rPr>
          <w:color w:val="000000" w:themeColor="text1"/>
          <w14:textFill>
            <w14:solidFill>
              <w14:schemeClr w14:val="tx1"/>
            </w14:solidFill>
          </w14:textFill>
        </w:rPr>
      </w:pPr>
      <w:r>
        <w:rPr>
          <w:color w:val="000000" w:themeColor="text1"/>
          <w14:textFill>
            <w14:solidFill>
              <w14:schemeClr w14:val="tx1"/>
            </w14:solidFill>
          </w14:textFill>
        </w:rPr>
        <w:t xml:space="preserve">表D </w:t>
      </w:r>
      <w:r>
        <w:rPr>
          <w:rFonts w:hint="eastAsia"/>
          <w:color w:val="000000" w:themeColor="text1"/>
          <w14:textFill>
            <w14:solidFill>
              <w14:schemeClr w14:val="tx1"/>
            </w14:solidFill>
          </w14:textFill>
        </w:rPr>
        <w:t>遇水反应化学品名单</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6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序号</w:t>
            </w:r>
          </w:p>
        </w:tc>
        <w:tc>
          <w:tcPr>
            <w:tcW w:w="3618"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物质名称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金属钙粉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钾钠合金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金属锆粉[干燥的]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金属铷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金属铯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镁粉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铝粉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锌粉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氢化锆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硅化钙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21</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四氢化锂铝（氢化锂铝）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22</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硼氢化钠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23</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硼氢化钾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24</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硼氢化铝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硼氢化锂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碳化钙（电石）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27</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碳化铝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氨基化锂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29</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三溴化磷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三溴化硼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31</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氧氯化磷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32</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五氯化磷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33</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三氯化磷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tcBorders>
              <w:bottom w:val="single" w:color="auto" w:sz="4" w:space="0"/>
            </w:tcBorders>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34</w:t>
            </w:r>
          </w:p>
        </w:tc>
        <w:tc>
          <w:tcPr>
            <w:tcW w:w="3618" w:type="pct"/>
            <w:tcBorders>
              <w:bottom w:val="single" w:color="auto" w:sz="4" w:space="0"/>
            </w:tcBorders>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三氯化硼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tcBorders>
              <w:top w:val="single" w:color="auto" w:sz="4" w:space="0"/>
              <w:bottom w:val="single" w:color="auto" w:sz="4" w:space="0"/>
            </w:tcBorders>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w:t>
            </w:r>
          </w:p>
        </w:tc>
        <w:tc>
          <w:tcPr>
            <w:tcW w:w="3618" w:type="pct"/>
            <w:tcBorders>
              <w:top w:val="single" w:color="auto" w:sz="4" w:space="0"/>
              <w:bottom w:val="single" w:color="auto" w:sz="4" w:space="0"/>
            </w:tcBorders>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氟</w:t>
            </w:r>
          </w:p>
        </w:tc>
      </w:tr>
    </w:tbl>
    <w:p>
      <w:pPr>
        <w:widowControl/>
        <w:jc w:val="center"/>
        <w:rPr>
          <w:rFonts w:ascii="Times New Roman" w:hAnsi="Times New Roman" w:cs="Times New Roman"/>
          <w:b/>
          <w:bCs/>
          <w:color w:val="000000" w:themeColor="text1"/>
          <w:sz w:val="21"/>
          <w:szCs w:val="21"/>
          <w14:textFill>
            <w14:solidFill>
              <w14:schemeClr w14:val="tx1"/>
            </w14:solidFill>
          </w14:textFill>
        </w:rPr>
      </w:pPr>
    </w:p>
    <w:p>
      <w:pPr>
        <w:widowControl/>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续表</w:t>
      </w:r>
      <w:r>
        <w:rPr>
          <w:rFonts w:hint="eastAsia" w:ascii="Times New Roman" w:hAnsi="Times New Roman" w:cs="Times New Roman"/>
          <w:b/>
          <w:bCs/>
          <w:color w:val="000000" w:themeColor="text1"/>
          <w:sz w:val="21"/>
          <w:szCs w:val="21"/>
          <w14:textFill>
            <w14:solidFill>
              <w14:schemeClr w14:val="tx1"/>
            </w14:solidFill>
          </w14:textFill>
        </w:rPr>
        <w:t>D</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6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tcBorders>
              <w:top w:val="single" w:color="auto" w:sz="12" w:space="0"/>
              <w:bottom w:val="single" w:color="auto" w:sz="4" w:space="0"/>
            </w:tcBorders>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序号</w:t>
            </w:r>
          </w:p>
        </w:tc>
        <w:tc>
          <w:tcPr>
            <w:tcW w:w="3618" w:type="pct"/>
            <w:tcBorders>
              <w:top w:val="single" w:color="auto" w:sz="12" w:space="0"/>
              <w:bottom w:val="single" w:color="auto" w:sz="4" w:space="0"/>
            </w:tcBorders>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物质名称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tcBorders>
              <w:top w:val="single" w:color="auto" w:sz="4" w:space="0"/>
            </w:tcBorders>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w:t>
            </w:r>
          </w:p>
        </w:tc>
        <w:tc>
          <w:tcPr>
            <w:tcW w:w="3618" w:type="pct"/>
            <w:tcBorders>
              <w:top w:val="single" w:color="auto" w:sz="4" w:space="0"/>
            </w:tcBorders>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三氧化硫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37</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过氧化钠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38</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过氧化钾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39</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过氧化钙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过氧化锶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41</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过氧化锌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42</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氯磺酸（分子式 HSO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Cl）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43</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氟磺酸（分子式 HSO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44</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三异丁基铝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氰氨化钙(石灰氮)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46</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乙硼烷（二硼烷）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47</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五硼烷（B5H9）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48</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氰氨化钙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49</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氮化锂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氯化二乙基铝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51</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氢化钡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52</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氢化铝锂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53</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氢化铝钠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54</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氢化镁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55</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铈[粉、屑]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56</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烷基锂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57</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保险粉（连二亚硫酸钠、低亚硫酸钠）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58</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连二亚硫酸钾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59</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连二亚硫酸钙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60</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连二亚硫酸锌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61</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硼酸三甲酯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62</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硫氢化钠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63</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三硫化二磷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64</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五硫化二磷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65</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七硫化四磷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66</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丁基锂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67</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乙硼烷（B2H6）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68</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十硼烷（B10H14）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69</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二乙基锌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70</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三乙基铝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71</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三乙基锑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72</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三乙基硼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73</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二甲基锌</w:t>
            </w:r>
          </w:p>
        </w:tc>
      </w:tr>
    </w:tbl>
    <w:p>
      <w:pPr>
        <w:widowControl/>
        <w:jc w:val="center"/>
        <w:rPr>
          <w:rFonts w:ascii="Times New Roman" w:hAnsi="Times New Roman" w:cs="Times New Roman"/>
          <w:b/>
          <w:bCs/>
          <w:color w:val="000000" w:themeColor="text1"/>
          <w:sz w:val="21"/>
          <w:szCs w:val="21"/>
          <w14:textFill>
            <w14:solidFill>
              <w14:schemeClr w14:val="tx1"/>
            </w14:solidFill>
          </w14:textFill>
        </w:rPr>
      </w:pPr>
    </w:p>
    <w:p>
      <w:pPr>
        <w:widowControl/>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续表</w:t>
      </w:r>
      <w:r>
        <w:rPr>
          <w:rFonts w:hint="eastAsia" w:ascii="Times New Roman" w:hAnsi="Times New Roman" w:cs="Times New Roman"/>
          <w:b/>
          <w:bCs/>
          <w:color w:val="000000" w:themeColor="text1"/>
          <w:sz w:val="21"/>
          <w:szCs w:val="21"/>
          <w14:textFill>
            <w14:solidFill>
              <w14:schemeClr w14:val="tx1"/>
            </w14:solidFill>
          </w14:textFill>
        </w:rPr>
        <w:t>D</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6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序号</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物质名称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74</w:t>
            </w:r>
          </w:p>
        </w:tc>
        <w:tc>
          <w:tcPr>
            <w:tcW w:w="3618"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二苯基镁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75</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二甲基镁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76</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磷化钙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77</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磷化钾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78</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磷化钠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79</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磷化镁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80</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磷化锌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81</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磷化铝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磷化锡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83</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氨基化钠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84</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三氟化硼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85</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三氟化磷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86</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五氟化磷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87</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溴化磷酰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88</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三氧化磷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89</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五氧化(二)磷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90</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三硫化四磷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91</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五溴化磷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92</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硫代磷酰氯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93</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三硫化二铝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94</w:t>
            </w:r>
          </w:p>
        </w:tc>
        <w:tc>
          <w:tcPr>
            <w:tcW w:w="3618"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甲苯二异氰酸酯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95</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甲氧基钠(甲醇钠）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96</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氰化钠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97</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氰化钾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98</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氰化钙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99</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碘乙烷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乙酰溴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101</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丙酰溴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102</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溴乙酰溴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103</w:t>
            </w:r>
          </w:p>
        </w:tc>
        <w:tc>
          <w:tcPr>
            <w:tcW w:w="3618" w:type="pct"/>
            <w:vAlign w:val="center"/>
          </w:tcPr>
          <w:p>
            <w:pPr>
              <w:spacing w:line="320" w:lineRule="exact"/>
              <w:jc w:val="center"/>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eastAsia="宋体" w:cs="Times New Roman"/>
                <w:bCs/>
                <w:color w:val="000000" w:themeColor="text1"/>
                <w:kern w:val="0"/>
                <w:sz w:val="21"/>
                <w:szCs w:val="21"/>
                <w14:textFill>
                  <w14:solidFill>
                    <w14:schemeClr w14:val="tx1"/>
                  </w14:solidFill>
                </w14:textFill>
              </w:rPr>
              <w:t>乙酰碘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14:textFill>
                  <w14:solidFill>
                    <w14:schemeClr w14:val="tx1"/>
                  </w14:solidFill>
                </w14:textFill>
              </w:rPr>
              <w:t>04</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二氯化乙基铝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105</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磷化锶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106</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三氯化铝(无水)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107</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三氯化砷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108</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三氯化碘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109</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四氯化硅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110</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三氯硅烷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111</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氯化亚砜</w:t>
            </w:r>
          </w:p>
        </w:tc>
      </w:tr>
    </w:tbl>
    <w:p>
      <w:pPr>
        <w:widowControl/>
        <w:jc w:val="center"/>
        <w:rPr>
          <w:rFonts w:ascii="Times New Roman" w:hAnsi="Times New Roman" w:cs="Times New Roman"/>
          <w:b/>
          <w:bCs/>
          <w:color w:val="000000" w:themeColor="text1"/>
          <w:sz w:val="21"/>
          <w:szCs w:val="21"/>
          <w14:textFill>
            <w14:solidFill>
              <w14:schemeClr w14:val="tx1"/>
            </w14:solidFill>
          </w14:textFill>
        </w:rPr>
      </w:pPr>
    </w:p>
    <w:p>
      <w:pPr>
        <w:widowControl/>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续表</w:t>
      </w:r>
      <w:r>
        <w:rPr>
          <w:rFonts w:hint="eastAsia" w:ascii="Times New Roman" w:hAnsi="Times New Roman" w:cs="Times New Roman"/>
          <w:b/>
          <w:bCs/>
          <w:color w:val="000000" w:themeColor="text1"/>
          <w:sz w:val="21"/>
          <w:szCs w:val="21"/>
          <w14:textFill>
            <w14:solidFill>
              <w14:schemeClr w14:val="tx1"/>
            </w14:solidFill>
          </w14:textFill>
        </w:rPr>
        <w:t>D</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6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序号</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宋体" w:hAnsi="宋体" w:eastAsia="宋体" w:cs="Times New Roman"/>
                <w:b/>
                <w:color w:val="000000" w:themeColor="text1"/>
                <w:sz w:val="21"/>
                <w:szCs w:val="21"/>
                <w14:textFill>
                  <w14:solidFill>
                    <w14:schemeClr w14:val="tx1"/>
                  </w14:solidFill>
                </w14:textFill>
              </w:rPr>
              <w:t>物质名称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112</w:t>
            </w:r>
          </w:p>
        </w:tc>
        <w:tc>
          <w:tcPr>
            <w:tcW w:w="3618"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氯甲酸异丁酯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14:textFill>
                  <w14:solidFill>
                    <w14:schemeClr w14:val="tx1"/>
                  </w14:solidFill>
                </w14:textFill>
              </w:rPr>
              <w:t>13</w:t>
            </w:r>
          </w:p>
        </w:tc>
        <w:tc>
          <w:tcPr>
            <w:tcW w:w="3618" w:type="pct"/>
            <w:vAlign w:val="center"/>
          </w:tcPr>
          <w:p>
            <w:pPr>
              <w:spacing w:line="320" w:lineRule="exact"/>
              <w:jc w:val="center"/>
              <w:rPr>
                <w:rFonts w:ascii="宋体" w:hAnsi="宋体"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戊酰氯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w:t>
            </w:r>
            <w:r>
              <w:rPr>
                <w:rFonts w:hint="eastAsia" w:ascii="Times New Roman" w:hAnsi="Times New Roman" w:eastAsia="宋体" w:cs="Times New Roman"/>
                <w:color w:val="000000" w:themeColor="text1"/>
                <w:kern w:val="0"/>
                <w:sz w:val="21"/>
                <w:szCs w:val="21"/>
                <w14:textFill>
                  <w14:solidFill>
                    <w14:schemeClr w14:val="tx1"/>
                  </w14:solidFill>
                </w14:textFill>
              </w:rPr>
              <w:t>4</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异戊酰氯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14:textFill>
                  <w14:solidFill>
                    <w14:schemeClr w14:val="tx1"/>
                  </w14:solidFill>
                </w14:textFill>
              </w:rPr>
              <w:t>15</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丁烯二酰氯(反式)（富马酰氯）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14:textFill>
                  <w14:solidFill>
                    <w14:schemeClr w14:val="tx1"/>
                  </w14:solidFill>
                </w14:textFill>
              </w:rPr>
              <w:t>16</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苯甲酰氯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117</w:t>
            </w:r>
          </w:p>
        </w:tc>
        <w:tc>
          <w:tcPr>
            <w:tcW w:w="3618"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二氯异氰尿酸钠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2" w:type="pct"/>
            <w:vAlign w:val="center"/>
          </w:tcPr>
          <w:p>
            <w:pPr>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118</w:t>
            </w:r>
          </w:p>
        </w:tc>
        <w:tc>
          <w:tcPr>
            <w:tcW w:w="3618" w:type="pct"/>
            <w:vAlign w:val="center"/>
          </w:tcPr>
          <w:p>
            <w:pPr>
              <w:widowControl/>
              <w:spacing w:line="32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乙基二氯硅烷</w:t>
            </w:r>
          </w:p>
        </w:tc>
      </w:tr>
    </w:tbl>
    <w:p>
      <w:pPr>
        <w:widowControl/>
        <w:rPr>
          <w:color w:val="000000" w:themeColor="text1"/>
          <w14:textFill>
            <w14:solidFill>
              <w14:schemeClr w14:val="tx1"/>
            </w14:solidFill>
          </w14:textFill>
        </w:rPr>
      </w:pPr>
    </w:p>
    <w:p>
      <w:pPr>
        <w:widowControl/>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numPr>
          <w:ilvl w:val="0"/>
          <w:numId w:val="0"/>
        </w:numPr>
        <w:spacing w:before="381" w:after="381"/>
        <w:rPr>
          <w:color w:val="000000" w:themeColor="text1"/>
          <w14:textFill>
            <w14:solidFill>
              <w14:schemeClr w14:val="tx1"/>
            </w14:solidFill>
          </w14:textFill>
        </w:rPr>
      </w:pPr>
      <w:bookmarkStart w:id="293" w:name="_Toc201745761"/>
      <w:bookmarkStart w:id="294" w:name="_Toc201743686"/>
      <w:bookmarkStart w:id="295" w:name="_Toc201743635"/>
      <w:bookmarkStart w:id="296" w:name="_Toc201743737"/>
      <w:bookmarkStart w:id="297" w:name="_Toc201223983"/>
      <w:bookmarkStart w:id="298" w:name="_Toc201078670"/>
      <w:r>
        <w:rPr>
          <w:color w:val="000000" w:themeColor="text1"/>
          <w14:textFill>
            <w14:solidFill>
              <w14:schemeClr w14:val="tx1"/>
            </w14:solidFill>
          </w14:textFill>
        </w:rPr>
        <w:t xml:space="preserve">附录E </w:t>
      </w:r>
      <w:r>
        <w:rPr>
          <w:rFonts w:hint="eastAsia"/>
          <w:color w:val="000000" w:themeColor="text1"/>
          <w14:textFill>
            <w14:solidFill>
              <w14:schemeClr w14:val="tx1"/>
            </w14:solidFill>
          </w14:textFill>
        </w:rPr>
        <w:t xml:space="preserve"> 绘制流程图</w:t>
      </w:r>
      <w:bookmarkEnd w:id="293"/>
      <w:bookmarkEnd w:id="294"/>
      <w:bookmarkEnd w:id="295"/>
      <w:bookmarkEnd w:id="296"/>
      <w:bookmarkEnd w:id="297"/>
      <w:bookmarkEnd w:id="298"/>
    </w:p>
    <w:p>
      <w:pPr>
        <w:jc w:val="center"/>
        <w:rPr>
          <w:rFonts w:ascii="Times New Roman" w:hAnsi="Times New Roman" w:eastAsia="宋体"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851785" cy="3263265"/>
            <wp:effectExtent l="0" t="0" r="571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3"/>
                    <a:stretch>
                      <a:fillRect/>
                    </a:stretch>
                  </pic:blipFill>
                  <pic:spPr>
                    <a:xfrm>
                      <a:off x="0" y="0"/>
                      <a:ext cx="2862687" cy="3275531"/>
                    </a:xfrm>
                    <a:prstGeom prst="rect">
                      <a:avLst/>
                    </a:prstGeom>
                  </pic:spPr>
                </pic:pic>
              </a:graphicData>
            </a:graphic>
          </wp:inline>
        </w:drawing>
      </w:r>
    </w:p>
    <w:p>
      <w:pPr>
        <w:jc w:val="center"/>
        <w:rPr>
          <w:rFonts w:ascii="Times New Roman" w:hAnsi="Times New Roman" w:eastAsia="宋体" w:cs="Times New Roman"/>
          <w:b/>
          <w:color w:val="000000" w:themeColor="text1"/>
          <w:sz w:val="22"/>
          <w:szCs w:val="20"/>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 xml:space="preserve">图E.1 </w:t>
      </w:r>
      <w:r>
        <w:rPr>
          <w:rFonts w:ascii="Times New Roman" w:hAnsi="Times New Roman" w:eastAsia="宋体" w:cs="Times New Roman"/>
          <w:b/>
          <w:color w:val="000000" w:themeColor="text1"/>
          <w:sz w:val="22"/>
          <w:szCs w:val="20"/>
          <w14:textFill>
            <w14:solidFill>
              <w14:schemeClr w14:val="tx1"/>
            </w14:solidFill>
          </w14:textFill>
        </w:rPr>
        <w:t>流域层级洪涝积水风险图编制流程</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017520" cy="3505200"/>
            <wp:effectExtent l="0" t="0" r="0" b="0"/>
            <wp:docPr id="4545445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4544520" name="图片 20"/>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3026037" cy="3514591"/>
                    </a:xfrm>
                    <a:prstGeom prst="rect">
                      <a:avLst/>
                    </a:prstGeom>
                    <a:noFill/>
                    <a:ln>
                      <a:noFill/>
                    </a:ln>
                  </pic:spPr>
                </pic:pic>
              </a:graphicData>
            </a:graphic>
          </wp:inline>
        </w:drawing>
      </w:r>
    </w:p>
    <w:p>
      <w:pPr>
        <w:pStyle w:val="49"/>
        <w:snapToGrid w:val="0"/>
        <w:spacing w:before="0" w:after="0" w:line="360" w:lineRule="auto"/>
        <w:ind w:firstLine="0"/>
        <w:jc w:val="center"/>
        <w:outlineLvl w:val="9"/>
        <w:rPr>
          <w:b/>
          <w:bCs w:val="0"/>
          <w:color w:val="000000" w:themeColor="text1"/>
          <w:sz w:val="22"/>
          <w:szCs w:val="20"/>
          <w14:textFill>
            <w14:solidFill>
              <w14:schemeClr w14:val="tx1"/>
            </w14:solidFill>
          </w14:textFill>
        </w:rPr>
      </w:pPr>
      <w:r>
        <w:rPr>
          <w:b/>
          <w:bCs w:val="0"/>
          <w:color w:val="000000" w:themeColor="text1"/>
          <w:sz w:val="21"/>
          <w:szCs w:val="21"/>
          <w14:textFill>
            <w14:solidFill>
              <w14:schemeClr w14:val="tx1"/>
            </w14:solidFill>
          </w14:textFill>
        </w:rPr>
        <w:t>图E.</w:t>
      </w:r>
      <w:r>
        <w:rPr>
          <w:rFonts w:hint="eastAsia"/>
          <w:b/>
          <w:bCs w:val="0"/>
          <w:color w:val="000000" w:themeColor="text1"/>
          <w:sz w:val="21"/>
          <w:szCs w:val="21"/>
          <w14:textFill>
            <w14:solidFill>
              <w14:schemeClr w14:val="tx1"/>
            </w14:solidFill>
          </w14:textFill>
        </w:rPr>
        <w:t>2</w:t>
      </w:r>
      <w:r>
        <w:rPr>
          <w:b/>
          <w:bCs w:val="0"/>
          <w:color w:val="000000" w:themeColor="text1"/>
          <w:sz w:val="21"/>
          <w:szCs w:val="21"/>
          <w14:textFill>
            <w14:solidFill>
              <w14:schemeClr w14:val="tx1"/>
            </w14:solidFill>
          </w14:textFill>
        </w:rPr>
        <w:t xml:space="preserve"> </w:t>
      </w:r>
      <w:r>
        <w:rPr>
          <w:b/>
          <w:bCs w:val="0"/>
          <w:color w:val="000000" w:themeColor="text1"/>
          <w:sz w:val="22"/>
          <w:szCs w:val="20"/>
          <w14:textFill>
            <w14:solidFill>
              <w14:schemeClr w14:val="tx1"/>
            </w14:solidFill>
          </w14:textFill>
        </w:rPr>
        <w:t>城市层级洪涝积水风险图编制流程</w:t>
      </w:r>
    </w:p>
    <w:p>
      <w:pPr>
        <w:pStyle w:val="69"/>
        <w:spacing w:before="190" w:after="190"/>
        <w:jc w:val="both"/>
        <w:rPr>
          <w:color w:val="000000" w:themeColor="text1"/>
          <w14:textFill>
            <w14:solidFill>
              <w14:schemeClr w14:val="tx1"/>
            </w14:solidFill>
          </w14:textFill>
        </w:rPr>
      </w:pPr>
    </w:p>
    <w:p>
      <w:pPr>
        <w:pStyle w:val="49"/>
        <w:snapToGrid w:val="0"/>
        <w:spacing w:before="0" w:after="0" w:line="360" w:lineRule="auto"/>
        <w:ind w:firstLine="0"/>
        <w:jc w:val="both"/>
        <w:outlineLvl w:val="9"/>
        <w:rPr>
          <w:bCs w:val="0"/>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537075" cy="4025265"/>
            <wp:effectExtent l="0" t="0" r="0" b="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5"/>
                    <a:stretch>
                      <a:fillRect/>
                    </a:stretch>
                  </pic:blipFill>
                  <pic:spPr>
                    <a:xfrm>
                      <a:off x="0" y="0"/>
                      <a:ext cx="4538331" cy="4026485"/>
                    </a:xfrm>
                    <a:prstGeom prst="rect">
                      <a:avLst/>
                    </a:prstGeom>
                    <a:noFill/>
                    <a:ln>
                      <a:noFill/>
                    </a:ln>
                  </pic:spPr>
                </pic:pic>
              </a:graphicData>
            </a:graphic>
          </wp:inline>
        </w:drawing>
      </w:r>
    </w:p>
    <w:p>
      <w:pPr>
        <w:pStyle w:val="49"/>
        <w:snapToGrid w:val="0"/>
        <w:spacing w:before="0" w:after="0" w:line="360" w:lineRule="auto"/>
        <w:ind w:firstLine="0"/>
        <w:jc w:val="center"/>
        <w:outlineLvl w:val="9"/>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图</w:t>
      </w:r>
      <w:bookmarkStart w:id="299" w:name="_Hlk171083638"/>
      <w:r>
        <w:rPr>
          <w:b/>
          <w:bCs w:val="0"/>
          <w:color w:val="000000" w:themeColor="text1"/>
          <w:sz w:val="21"/>
          <w:szCs w:val="21"/>
          <w14:textFill>
            <w14:solidFill>
              <w14:schemeClr w14:val="tx1"/>
            </w14:solidFill>
          </w14:textFill>
        </w:rPr>
        <w:t>E.3 洪涝灾害链风险图</w:t>
      </w:r>
      <w:bookmarkEnd w:id="299"/>
      <w:r>
        <w:rPr>
          <w:b/>
          <w:bCs w:val="0"/>
          <w:color w:val="000000" w:themeColor="text1"/>
          <w:sz w:val="21"/>
          <w:szCs w:val="21"/>
          <w14:textFill>
            <w14:solidFill>
              <w14:schemeClr w14:val="tx1"/>
            </w14:solidFill>
          </w14:textFill>
        </w:rPr>
        <w:t>编制流程</w:t>
      </w:r>
    </w:p>
    <w:p>
      <w:pPr>
        <w:widowControl/>
        <w:jc w:val="left"/>
        <w:rPr>
          <w:rFonts w:ascii="Times New Roman" w:hAnsi="Times New Roman" w:eastAsia="宋体" w:cs="Times New Roman"/>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br w:type="page"/>
      </w:r>
    </w:p>
    <w:p>
      <w:pPr>
        <w:pStyle w:val="2"/>
        <w:numPr>
          <w:ilvl w:val="0"/>
          <w:numId w:val="0"/>
        </w:numPr>
        <w:spacing w:before="381" w:after="381"/>
        <w:rPr>
          <w:color w:val="000000" w:themeColor="text1"/>
          <w14:textFill>
            <w14:solidFill>
              <w14:schemeClr w14:val="tx1"/>
            </w14:solidFill>
          </w14:textFill>
        </w:rPr>
      </w:pPr>
      <w:bookmarkStart w:id="300" w:name="_Toc201223984"/>
      <w:bookmarkStart w:id="301" w:name="_Toc201078671"/>
      <w:bookmarkStart w:id="302" w:name="_Toc200474133"/>
      <w:bookmarkStart w:id="303" w:name="_Toc201743687"/>
      <w:bookmarkStart w:id="304" w:name="_Toc201743636"/>
      <w:bookmarkStart w:id="305" w:name="_Toc201745762"/>
      <w:bookmarkStart w:id="306" w:name="_Toc201743738"/>
      <w:r>
        <w:rPr>
          <w:color w:val="000000" w:themeColor="text1"/>
          <w14:textFill>
            <w14:solidFill>
              <w14:schemeClr w14:val="tx1"/>
            </w14:solidFill>
          </w14:textFill>
        </w:rPr>
        <w:t xml:space="preserve">附录F </w:t>
      </w:r>
      <w:r>
        <w:rPr>
          <w:rFonts w:hint="eastAsia"/>
          <w:color w:val="000000" w:themeColor="text1"/>
          <w14:textFill>
            <w14:solidFill>
              <w14:schemeClr w14:val="tx1"/>
            </w14:solidFill>
          </w14:textFill>
        </w:rPr>
        <w:t xml:space="preserve"> 图 式 要 求</w:t>
      </w:r>
      <w:bookmarkEnd w:id="300"/>
      <w:bookmarkEnd w:id="301"/>
      <w:bookmarkEnd w:id="302"/>
      <w:bookmarkEnd w:id="303"/>
      <w:bookmarkEnd w:id="304"/>
      <w:bookmarkEnd w:id="305"/>
      <w:bookmarkEnd w:id="306"/>
    </w:p>
    <w:p>
      <w:pPr>
        <w:pStyle w:val="69"/>
      </w:pPr>
      <w:r>
        <w:t>表F.1 城市洪涝积水风险等级评估颜色设计表</w:t>
      </w:r>
    </w:p>
    <w:tbl>
      <w:tblPr>
        <w:tblStyle w:val="7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1698"/>
        <w:gridCol w:w="1695"/>
        <w:gridCol w:w="1695"/>
        <w:gridCol w:w="1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3"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等级</w:t>
            </w:r>
          </w:p>
        </w:tc>
        <w:tc>
          <w:tcPr>
            <w:tcW w:w="996"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低风险</w:t>
            </w:r>
          </w:p>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（四级风险）</w:t>
            </w:r>
          </w:p>
        </w:tc>
        <w:tc>
          <w:tcPr>
            <w:tcW w:w="9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中风险</w:t>
            </w:r>
          </w:p>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（三级风险）</w:t>
            </w:r>
          </w:p>
        </w:tc>
        <w:tc>
          <w:tcPr>
            <w:tcW w:w="9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较高风险</w:t>
            </w:r>
          </w:p>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（二级风险）</w:t>
            </w:r>
          </w:p>
        </w:tc>
        <w:tc>
          <w:tcPr>
            <w:tcW w:w="1032"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高风险</w:t>
            </w:r>
          </w:p>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（一级风险）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3"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颜色</w:t>
            </w:r>
          </w:p>
        </w:tc>
        <w:tc>
          <w:tcPr>
            <w:tcW w:w="996"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9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156845</wp:posOffset>
                      </wp:positionH>
                      <wp:positionV relativeFrom="paragraph">
                        <wp:posOffset>-11430</wp:posOffset>
                      </wp:positionV>
                      <wp:extent cx="638175" cy="190500"/>
                      <wp:effectExtent l="0" t="0" r="9525" b="0"/>
                      <wp:wrapNone/>
                      <wp:docPr id="2061969268" name="矩形 23"/>
                      <wp:cNvGraphicFramePr/>
                      <a:graphic xmlns:a="http://schemas.openxmlformats.org/drawingml/2006/main">
                        <a:graphicData uri="http://schemas.microsoft.com/office/word/2010/wordprocessingShape">
                          <wps:wsp>
                            <wps:cNvSpPr/>
                            <wps:spPr>
                              <a:xfrm>
                                <a:off x="0" y="0"/>
                                <a:ext cx="638175" cy="1905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23" o:spid="_x0000_s1026" o:spt="1" style="position:absolute;left:0pt;margin-left:12.35pt;margin-top:-0.9pt;height:15pt;width:50.25pt;z-index:251661312;v-text-anchor:middle;mso-width-relative:page;mso-height-relative:page;" fillcolor="#FFFF00" filled="t" stroked="f" coordsize="21600,21600" o:gfxdata="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p7scq1AAAAAgBAAAPAAAAAAAAAAEAIAAAADgAAABkcnMv&#10;ZG93bnJldi54bWxQSwECFAAUAAAACACHTuJAd99XWGMCAACjBAAADgAAAAAAAAABACAAAAA5AQAA&#10;ZHJzL2Uyb0RvYy54bWxQSwUGAAAAAAYABgBZAQAADgYAAAAA&#10;">
                      <v:fill on="t" focussize="0,0"/>
                      <v:stroke on="f" weight="1pt" miterlimit="8" joinstyle="miter"/>
                      <v:imagedata o:title=""/>
                      <o:lock v:ext="edit" aspectratio="f"/>
                    </v:rect>
                  </w:pict>
                </mc:Fallback>
              </mc:AlternateContent>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-897255</wp:posOffset>
                      </wp:positionH>
                      <wp:positionV relativeFrom="paragraph">
                        <wp:posOffset>-6985</wp:posOffset>
                      </wp:positionV>
                      <wp:extent cx="638175" cy="190500"/>
                      <wp:effectExtent l="0" t="0" r="9525" b="0"/>
                      <wp:wrapNone/>
                      <wp:docPr id="230667639" name="矩形 25"/>
                      <wp:cNvGraphicFramePr/>
                      <a:graphic xmlns:a="http://schemas.openxmlformats.org/drawingml/2006/main">
                        <a:graphicData uri="http://schemas.microsoft.com/office/word/2010/wordprocessingShape">
                          <wps:wsp>
                            <wps:cNvSpPr/>
                            <wps:spPr>
                              <a:xfrm>
                                <a:off x="0" y="0"/>
                                <a:ext cx="638175" cy="190500"/>
                              </a:xfrm>
                              <a:prstGeom prst="rect">
                                <a:avLst/>
                              </a:prstGeom>
                              <a:solidFill>
                                <a:srgbClr val="3068F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25" o:spid="_x0000_s1026" o:spt="1" style="position:absolute;left:0pt;margin-left:-70.65pt;margin-top:-0.55pt;height:15pt;width:50.25pt;z-index:251660288;v-text-anchor:middle;mso-width-relative:page;mso-height-relative:page;" fillcolor="#3068FD" filled="t" stroked="f" coordsize="21600,21600" o:gfxdata="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qPWkqNgAAAAKAQAADwAAAAAAAAABACAAAAA4&#10;AAAAZHJzL2Rvd25yZXYueG1sUEsBAhQAFAAAAAgAh07iQNz+KChmAgAAogQAAA4AAAAAAAAAAQAg&#10;AAAAPQEAAGRycy9lMm9Eb2MueG1sUEsFBgAAAAAGAAYAWQEAABUGAAAAAA==&#10;">
                      <v:fill on="t" focussize="0,0"/>
                      <v:stroke on="f" weight="1pt" miterlimit="8" joinstyle="miter"/>
                      <v:imagedata o:title=""/>
                      <o:lock v:ext="edit" aspectratio="f"/>
                    </v:rect>
                  </w:pict>
                </mc:Fallback>
              </mc:AlternateContent>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1217295</wp:posOffset>
                      </wp:positionH>
                      <wp:positionV relativeFrom="paragraph">
                        <wp:posOffset>-1905</wp:posOffset>
                      </wp:positionV>
                      <wp:extent cx="638175" cy="190500"/>
                      <wp:effectExtent l="0" t="0" r="9525" b="0"/>
                      <wp:wrapNone/>
                      <wp:docPr id="354406644" name="矩形 21"/>
                      <wp:cNvGraphicFramePr/>
                      <a:graphic xmlns:a="http://schemas.openxmlformats.org/drawingml/2006/main">
                        <a:graphicData uri="http://schemas.microsoft.com/office/word/2010/wordprocessingShape">
                          <wps:wsp>
                            <wps:cNvSpPr/>
                            <wps:spPr>
                              <a:xfrm>
                                <a:off x="0" y="0"/>
                                <a:ext cx="638175" cy="19050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21" o:spid="_x0000_s1026" o:spt="1" style="position:absolute;left:0pt;margin-left:95.85pt;margin-top:-0.15pt;height:15pt;width:50.25pt;z-index:251662336;v-text-anchor:middle;mso-width-relative:page;mso-height-relative:page;" fillcolor="#FFC000" filled="t" stroked="f" coordsize="21600,21600" o:gfxdata="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&#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Dmg4Gi2AAAAAgBAAAPAAAAAAAAAAEAIAAAADgAAABk&#10;cnMvZG93bnJldi54bWxQSwECFAAUAAAACACHTuJA/7dd4GICAACiBAAADgAAAAAAAAABACAAAAA9&#10;AQAAZHJzL2Uyb0RvYy54bWxQSwUGAAAAAAYABgBZAQAAEQYAAAAA&#10;">
                      <v:fill on="t" focussize="0,0"/>
                      <v:stroke on="f" weight="1pt" miterlimit="8" joinstyle="miter"/>
                      <v:imagedata o:title=""/>
                      <o:lock v:ext="edit" aspectratio="f"/>
                    </v:rect>
                  </w:pict>
                </mc:Fallback>
              </mc:AlternateContent>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2277745</wp:posOffset>
                      </wp:positionH>
                      <wp:positionV relativeFrom="paragraph">
                        <wp:posOffset>-1905</wp:posOffset>
                      </wp:positionV>
                      <wp:extent cx="638175" cy="190500"/>
                      <wp:effectExtent l="0" t="0" r="9525" b="0"/>
                      <wp:wrapNone/>
                      <wp:docPr id="541163335" name="矩形 19"/>
                      <wp:cNvGraphicFramePr/>
                      <a:graphic xmlns:a="http://schemas.openxmlformats.org/drawingml/2006/main">
                        <a:graphicData uri="http://schemas.microsoft.com/office/word/2010/wordprocessingShape">
                          <wps:wsp>
                            <wps:cNvSpPr/>
                            <wps:spPr>
                              <a:xfrm>
                                <a:off x="0" y="0"/>
                                <a:ext cx="638175" cy="190500"/>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9" o:spid="_x0000_s1026" o:spt="1" style="position:absolute;left:0pt;margin-left:179.35pt;margin-top:-0.15pt;height:15pt;width:50.25pt;z-index:251663360;v-text-anchor:middle;mso-width-relative:page;mso-height-relative:page;" fillcolor="#FF0000" filled="t" stroked="f" coordsize="21600,21600" o:gfxdata="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NGrTU/VAAAACAEAAA8AAAAAAAAAAQAgAAAAOAAAAGRy&#10;cy9kb3ducmV2LnhtbFBLAQIUABQAAAAIAIdO4kBqLUodZAIAAKIEAAAOAAAAAAAAAAEAIAAAADoB&#10;AABkcnMvZTJvRG9jLnhtbFBLBQYAAAAABgAGAFkBAAAQBgAAAAA=&#10;">
                      <v:fill on="t" focussize="0,0"/>
                      <v:stroke on="f" weight="1pt" miterlimit="8" joinstyle="miter"/>
                      <v:imagedata o:title=""/>
                      <o:lock v:ext="edit" aspectratio="f"/>
                    </v:rect>
                  </w:pict>
                </mc:Fallback>
              </mc:AlternateContent>
            </w:r>
          </w:p>
        </w:tc>
        <w:tc>
          <w:tcPr>
            <w:tcW w:w="9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1032"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3"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RGB</w:t>
            </w:r>
          </w:p>
        </w:tc>
        <w:tc>
          <w:tcPr>
            <w:tcW w:w="996"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(48,104,253)</w:t>
            </w:r>
          </w:p>
        </w:tc>
        <w:tc>
          <w:tcPr>
            <w:tcW w:w="9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(252,253,1)</w:t>
            </w:r>
          </w:p>
        </w:tc>
        <w:tc>
          <w:tcPr>
            <w:tcW w:w="9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(253,153,0)</w:t>
            </w:r>
          </w:p>
        </w:tc>
        <w:tc>
          <w:tcPr>
            <w:tcW w:w="1032"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(214,46,43)</w:t>
            </w:r>
          </w:p>
        </w:tc>
      </w:tr>
    </w:tbl>
    <w:p>
      <w:pPr>
        <w:rPr>
          <w:color w:val="000000" w:themeColor="text1"/>
          <w14:textFill>
            <w14:solidFill>
              <w14:schemeClr w14:val="tx1"/>
            </w14:solidFill>
          </w14:textFill>
        </w:rPr>
      </w:pPr>
    </w:p>
    <w:p>
      <w:pPr>
        <w:pStyle w:val="69"/>
      </w:pPr>
      <w:r>
        <w:t>表F.2 城市洪涝脆弱性风险图-图式统计表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0"/>
        <w:gridCol w:w="2261"/>
        <w:gridCol w:w="3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tblHeader/>
        </w:trPr>
        <w:tc>
          <w:tcPr>
            <w:tcW w:w="135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327"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23"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（梯度色阶）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高风险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（一级风险）</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911860</wp:posOffset>
                      </wp:positionH>
                      <wp:positionV relativeFrom="paragraph">
                        <wp:posOffset>186690</wp:posOffset>
                      </wp:positionV>
                      <wp:extent cx="537210" cy="183515"/>
                      <wp:effectExtent l="0" t="0" r="8890" b="6985"/>
                      <wp:wrapNone/>
                      <wp:docPr id="59"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1.8pt;margin-top:14.7pt;height:14.45pt;width:42.3pt;z-index:251666432;v-text-anchor:middle;mso-width-relative:page;mso-height-relative:page;" fillcolor="#C55A11 [2405]" filled="t" stroked="f" coordsize="21600,21600" o:gfxdata="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3+zWCdgAAAAJAQAADwAAAAAAAAABACAA&#10;AAA4AAAAZHJzL2Rvd25yZXYueG1sUEsBAhQAFAAAAAgAh07iQDLFd9lpAgAArwQAAA4AAAAAAAAA&#10;AQAgAAAAPQEAAGRycy9lMm9Eb2MueG1sUEsFBgAAAAAGAAYAWQEAABgGA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较高风险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（二级风险）</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909320</wp:posOffset>
                      </wp:positionH>
                      <wp:positionV relativeFrom="paragraph">
                        <wp:posOffset>79375</wp:posOffset>
                      </wp:positionV>
                      <wp:extent cx="537210" cy="183515"/>
                      <wp:effectExtent l="0" t="0" r="8890" b="6985"/>
                      <wp:wrapNone/>
                      <wp:docPr id="61"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1.6pt;margin-top:6.25pt;height:14.45pt;width:42.3pt;z-index:251667456;v-text-anchor:middle;mso-width-relative:page;mso-height-relative:page;" fillcolor="#F4B183 [1941]" filled="t" stroked="f" coordsize="21600,21600" o:gfxdata="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Yss1jdYAAAAJAQAADwAAAAAA&#10;AAABACAAAAA4AAAAZHJzL2Rvd25yZXYueG1sUEsBAhQAFAAAAAgAh07iQAG4BfdxAgAAxgQAAA4A&#10;AAAAAAAAAQAgAAAAOwEAAGRycy9lMm9Eb2MueG1sUEsFBgAAAAAGAAYAWQEAAB4GA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中风险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（三级风险）</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906145</wp:posOffset>
                      </wp:positionH>
                      <wp:positionV relativeFrom="paragraph">
                        <wp:posOffset>74295</wp:posOffset>
                      </wp:positionV>
                      <wp:extent cx="537210" cy="183515"/>
                      <wp:effectExtent l="0" t="0" r="8890" b="6985"/>
                      <wp:wrapNone/>
                      <wp:docPr id="62"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1.35pt;margin-top:5.85pt;height:14.45pt;width:42.3pt;z-index:251668480;v-text-anchor:middle;mso-width-relative:page;mso-height-relative:page;" fillcolor="#F8CBAD [1301]" filled="t" stroked="f" coordsize="21600,21600" o:gfxdata="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O8FyHtcAAAAJAQAADwAA&#10;AAAAAAABACAAAAA4AAAAZHJzL2Rvd25yZXYueG1sUEsBAhQAFAAAAAgAh07iQO9OR4RzAgAAxgQA&#10;AA4AAAAAAAAAAQAgAAAAPAEAAGRycy9lMm9Eb2MueG1sUEsFBgAAAAAGAAYAWQEAACEGA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低风险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（四级风险）</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921385</wp:posOffset>
                      </wp:positionH>
                      <wp:positionV relativeFrom="paragraph">
                        <wp:posOffset>52070</wp:posOffset>
                      </wp:positionV>
                      <wp:extent cx="537210" cy="183515"/>
                      <wp:effectExtent l="0" t="0" r="8890" b="6985"/>
                      <wp:wrapNone/>
                      <wp:docPr id="63"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2.55pt;margin-top:4.1pt;height:14.45pt;width:42.3pt;z-index:251669504;v-text-anchor:middle;mso-width-relative:page;mso-height-relative:page;" fillcolor="#FFF2CC [663]" filled="t" stroked="f" coordsize="21600,21600" o:gfxdata="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OnyuKHZAAAACAEAAA8A&#10;AAAAAAAAAQAgAAAAOAAAAGRycy9kb3ducmV2LnhtbFBLAQIUABQAAAAIAIdO4kAJisvYcgIAAMYE&#10;AAAOAAAAAAAAAAEAIAAAAD4BAABkcnMvZTJvRG9jLnhtbFBLBQYAAAAABgAGAFkBAAAiBg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地下空间出入口分布</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16"/>
                          <a:stretch>
                            <a:fillRect/>
                          </a:stretch>
                        </pic:blipFill>
                        <pic:spPr>
                          <a:xfrm>
                            <a:off x="0" y="0"/>
                            <a:ext cx="431800" cy="220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燃气门站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2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true"/>
                          </pic:cNvPicPr>
                        </pic:nvPicPr>
                        <pic:blipFill>
                          <a:blip r:embed="rId17">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储配站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3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true"/>
                          </pic:cNvPicPr>
                        </pic:nvPicPr>
                        <pic:blipFill>
                          <a:blip r:embed="rId18">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调压站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true"/>
                          </pic:cNvPicPr>
                        </pic:nvPicPr>
                        <pic:blipFill>
                          <a:blip r:embed="rId19">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电厂</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5900"/>
                  <wp:effectExtent l="0" t="0" r="0" b="0"/>
                  <wp:docPr id="3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true"/>
                          </pic:cNvPicPr>
                        </pic:nvPicPr>
                        <pic:blipFill>
                          <a:blip r:embed="rId20">
                            <a:grayscl/>
                          </a:blip>
                          <a:stretch>
                            <a:fillRect/>
                          </a:stretch>
                        </pic:blipFill>
                        <pic:spPr>
                          <a:xfrm>
                            <a:off x="0" y="0"/>
                            <a:ext cx="43180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变电站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5900"/>
                  <wp:effectExtent l="0" t="0" r="0" b="0"/>
                  <wp:docPr id="3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true"/>
                          </pic:cNvPicPr>
                        </pic:nvPicPr>
                        <pic:blipFill>
                          <a:blip r:embed="rId21">
                            <a:grayscl/>
                          </a:blip>
                          <a:stretch>
                            <a:fillRect/>
                          </a:stretch>
                        </pic:blipFill>
                        <pic:spPr>
                          <a:xfrm>
                            <a:off x="0" y="0"/>
                            <a:ext cx="43180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给水厂</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22">
                            <a:grayscl/>
                          </a:blip>
                          <a:stretch>
                            <a:fillRect/>
                          </a:stretch>
                        </pic:blipFill>
                        <pic:spPr>
                          <a:xfrm>
                            <a:off x="0" y="0"/>
                            <a:ext cx="431800" cy="212725"/>
                          </a:xfrm>
                          <a:prstGeom prst="rect">
                            <a:avLst/>
                          </a:prstGeom>
                          <a:noFill/>
                          <a:ln>
                            <a:noFill/>
                          </a:ln>
                        </pic:spPr>
                      </pic:pic>
                    </a:graphicData>
                  </a:graphic>
                </wp:inline>
              </w:drawing>
            </w:r>
          </w:p>
        </w:tc>
      </w:tr>
    </w:tbl>
    <w:p>
      <w:pPr>
        <w:pStyle w:val="69"/>
        <w:jc w:val="both"/>
        <w:rPr>
          <w:color w:val="000000" w:themeColor="text1"/>
          <w:szCs w:val="21"/>
          <w14:textFill>
            <w14:solidFill>
              <w14:schemeClr w14:val="tx1"/>
            </w14:solidFill>
          </w14:textFill>
        </w:rPr>
      </w:pPr>
    </w:p>
    <w:p>
      <w:pPr>
        <w:pStyle w:val="69"/>
        <w:rPr>
          <w:color w:val="000000" w:themeColor="text1"/>
          <w:szCs w:val="21"/>
          <w14:textFill>
            <w14:solidFill>
              <w14:schemeClr w14:val="tx1"/>
            </w14:solidFill>
          </w14:textFill>
        </w:rPr>
      </w:pPr>
    </w:p>
    <w:p>
      <w:pPr>
        <w:pStyle w:val="69"/>
        <w:rPr>
          <w:color w:val="000000" w:themeColor="text1"/>
          <w:szCs w:val="21"/>
          <w14:textFill>
            <w14:solidFill>
              <w14:schemeClr w14:val="tx1"/>
            </w14:solidFill>
          </w14:textFill>
        </w:rPr>
      </w:pPr>
    </w:p>
    <w:p>
      <w:pPr>
        <w:pStyle w:val="69"/>
      </w:pPr>
      <w:r>
        <w:t>续表F.2</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0"/>
        <w:gridCol w:w="2261"/>
        <w:gridCol w:w="3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tblHeader/>
        </w:trPr>
        <w:tc>
          <w:tcPr>
            <w:tcW w:w="135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327"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23"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（梯度色阶）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给水泵站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2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true"/>
                          </pic:cNvPicPr>
                        </pic:nvPicPr>
                        <pic:blipFill>
                          <a:blip r:embed="rId23">
                            <a:grayscl/>
                            <a:lum bright="6000"/>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污水厂</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2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true"/>
                          </pic:cNvPicPr>
                        </pic:nvPicPr>
                        <pic:blipFill>
                          <a:blip r:embed="rId24">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污水泵站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3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true"/>
                          </pic:cNvPicPr>
                        </pic:nvPicPr>
                        <pic:blipFill>
                          <a:blip r:embed="rId25">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通信机房</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3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true"/>
                          </pic:cNvPicPr>
                        </pic:nvPicPr>
                        <pic:blipFill>
                          <a:blip r:embed="rId26">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光纤到户通信设施</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4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true"/>
                          </pic:cNvPicPr>
                        </pic:nvPicPr>
                        <pic:blipFill>
                          <a:blip r:embed="rId27">
                            <a:grayscl/>
                          </a:blip>
                          <a:stretch>
                            <a:fillRect/>
                          </a:stretch>
                        </pic:blipFill>
                        <pic:spPr>
                          <a:xfrm>
                            <a:off x="0" y="0"/>
                            <a:ext cx="431800" cy="220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热源厂</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345"/>
                  <wp:effectExtent l="0" t="0" r="0" b="8255"/>
                  <wp:docPr id="3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true"/>
                          </pic:cNvPicPr>
                        </pic:nvPicPr>
                        <pic:blipFill>
                          <a:blip r:embed="rId28">
                            <a:grayscl/>
                          </a:blip>
                          <a:stretch>
                            <a:fillRect/>
                          </a:stretch>
                        </pic:blipFill>
                        <pic:spPr>
                          <a:xfrm>
                            <a:off x="0" y="0"/>
                            <a:ext cx="431800" cy="220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热力站</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345"/>
                  <wp:effectExtent l="0" t="0" r="0" b="8255"/>
                  <wp:docPr id="3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true"/>
                          </pic:cNvPicPr>
                        </pic:nvPicPr>
                        <pic:blipFill>
                          <a:blip r:embed="rId29">
                            <a:grayscl/>
                          </a:blip>
                          <a:stretch>
                            <a:fillRect/>
                          </a:stretch>
                        </pic:blipFill>
                        <pic:spPr>
                          <a:xfrm>
                            <a:off x="0" y="0"/>
                            <a:ext cx="431800" cy="220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350"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有毒化工品点</w:t>
            </w:r>
          </w:p>
        </w:tc>
        <w:tc>
          <w:tcPr>
            <w:tcW w:w="1327"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23"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1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true"/>
                          </pic:cNvPicPr>
                        </pic:nvPicPr>
                        <pic:blipFill>
                          <a:blip r:embed="rId30">
                            <a:grayscl/>
                          </a:blip>
                          <a:stretch>
                            <a:fillRect/>
                          </a:stretch>
                        </pic:blipFill>
                        <pic:spPr>
                          <a:xfrm>
                            <a:off x="0" y="0"/>
                            <a:ext cx="431800" cy="220980"/>
                          </a:xfrm>
                          <a:prstGeom prst="rect">
                            <a:avLst/>
                          </a:prstGeom>
                        </pic:spPr>
                      </pic:pic>
                    </a:graphicData>
                  </a:graphic>
                </wp:inline>
              </w:drawing>
            </w:r>
          </w:p>
        </w:tc>
      </w:tr>
    </w:tbl>
    <w:p>
      <w:pPr>
        <w:pStyle w:val="69"/>
        <w:ind w:firstLine="420" w:firstLineChars="20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注：梯度色阶根据可按需更换颜色。</w:t>
      </w:r>
    </w:p>
    <w:p>
      <w:pPr>
        <w:pStyle w:val="69"/>
        <w:jc w:val="both"/>
        <w:rPr>
          <w:color w:val="000000" w:themeColor="text1"/>
          <w:szCs w:val="21"/>
          <w14:textFill>
            <w14:solidFill>
              <w14:schemeClr w14:val="tx1"/>
            </w14:solidFill>
          </w14:textFill>
        </w:rPr>
      </w:pPr>
    </w:p>
    <w:p>
      <w:pPr>
        <w:pStyle w:val="69"/>
        <w:jc w:val="both"/>
        <w:rPr>
          <w:color w:val="000000" w:themeColor="text1"/>
          <w:szCs w:val="21"/>
          <w14:textFill>
            <w14:solidFill>
              <w14:schemeClr w14:val="tx1"/>
            </w14:solidFill>
          </w14:textFill>
        </w:rPr>
      </w:pPr>
    </w:p>
    <w:p>
      <w:pPr>
        <w:pStyle w:val="69"/>
      </w:pPr>
      <w:r>
        <w:t>表F.3 洪涝灾害链综合风险图-图式统计表</w:t>
      </w:r>
    </w:p>
    <w:tbl>
      <w:tblPr>
        <w:tblStyle w:val="27"/>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2102"/>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（梯度色阶）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高风险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（一级风险）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911860</wp:posOffset>
                      </wp:positionH>
                      <wp:positionV relativeFrom="paragraph">
                        <wp:posOffset>186690</wp:posOffset>
                      </wp:positionV>
                      <wp:extent cx="537210" cy="183515"/>
                      <wp:effectExtent l="0" t="0" r="8890" b="6985"/>
                      <wp:wrapNone/>
                      <wp:docPr id="76"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1.8pt;margin-top:14.7pt;height:14.45pt;width:42.3pt;z-index:251670528;v-text-anchor:middle;mso-width-relative:page;mso-height-relative:page;" fillcolor="#C55A11 [2405]" filled="t" stroked="f" coordsize="21600,21600" o:gfxdata="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3+zWCdgAAAAJAQAADwAAAAAAAAABACAA&#10;AAA4AAAAZHJzL2Rvd25yZXYueG1sUEsBAhQAFAAAAAgAh07iQFFOOElpAgAArwQAAA4AAAAAAAAA&#10;AQAgAAAAPQEAAGRycy9lMm9Eb2MueG1sUEsFBgAAAAAGAAYAWQEAABgGA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较高风险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（二级风险）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909320</wp:posOffset>
                      </wp:positionH>
                      <wp:positionV relativeFrom="paragraph">
                        <wp:posOffset>79375</wp:posOffset>
                      </wp:positionV>
                      <wp:extent cx="537210" cy="183515"/>
                      <wp:effectExtent l="0" t="0" r="8890" b="6985"/>
                      <wp:wrapNone/>
                      <wp:docPr id="77"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1.6pt;margin-top:6.25pt;height:14.45pt;width:42.3pt;z-index:251671552;v-text-anchor:middle;mso-width-relative:page;mso-height-relative:page;" fillcolor="#F4B183 [1941]" filled="t" stroked="f" coordsize="21600,21600" o:gfxdata="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GLLNY3WAAAACQEAAA8AAAAA&#10;AAAAAQAgAAAAOAAAAGRycy9kb3ducmV2LnhtbFBLAQIUABQAAAAIAIdO4kCFYlhBcgIAAMYEAAAO&#10;AAAAAAAAAAEAIAAAADsBAABkcnMvZTJvRG9jLnhtbFBLBQYAAAAABgAGAFkBAAAfBg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中风险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（三级风险）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906145</wp:posOffset>
                      </wp:positionH>
                      <wp:positionV relativeFrom="paragraph">
                        <wp:posOffset>74295</wp:posOffset>
                      </wp:positionV>
                      <wp:extent cx="537210" cy="183515"/>
                      <wp:effectExtent l="0" t="0" r="8890" b="6985"/>
                      <wp:wrapNone/>
                      <wp:docPr id="78"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1.35pt;margin-top:5.85pt;height:14.45pt;width:42.3pt;z-index:251672576;v-text-anchor:middle;mso-width-relative:page;mso-height-relative:page;" fillcolor="#F8CBAD [1301]" filled="t" stroked="f" coordsize="21600,21600" o:gfxdata="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O8FyHtcAAAAJAQAADwAA&#10;AAAAAAABACAAAAA4AAAAZHJzL2Rvd25yZXYueG1sUEsBAhQAFAAAAAgAh07iQH9mT9pzAgAAxgQA&#10;AA4AAAAAAAAAAQAgAAAAPAEAAGRycy9lMm9Eb2MueG1sUEsFBgAAAAAGAAYAWQEAACEGA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低风险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（四级风险）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921385</wp:posOffset>
                      </wp:positionH>
                      <wp:positionV relativeFrom="paragraph">
                        <wp:posOffset>52070</wp:posOffset>
                      </wp:positionV>
                      <wp:extent cx="537210" cy="183515"/>
                      <wp:effectExtent l="0" t="0" r="8890" b="6985"/>
                      <wp:wrapNone/>
                      <wp:docPr id="79"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2.55pt;margin-top:4.1pt;height:14.45pt;width:42.3pt;z-index:251673600;v-text-anchor:middle;mso-width-relative:page;mso-height-relative:page;" fillcolor="#FFF2CC [663]" filled="t" stroked="f" coordsize="21600,21600" o:gfxdata="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6fK4odkAAAAIAQAADwAA&#10;AAAAAAABACAAAAA4AAAAZHJzL2Rvd25yZXYueG1sUEsBAhQAFAAAAAgAh07iQJmiw4ZxAgAAxgQA&#10;AA4AAAAAAAAAAQAgAAAAPgEAAGRycy9lMm9Eb2MueG1sUEsFBgAAAAAGAAYAWQEAACEGAAAAAA==&#10;">
                      <v:fill on="t" focussize="0,0"/>
                      <v:stroke on="f" weight="1pt" miterlimit="8" joinstyle="miter"/>
                      <v:imagedata o:title=""/>
                      <o:lock v:ext="edit" aspectratio="f"/>
                    </v:rect>
                  </w:pict>
                </mc:Fallback>
              </mc:AlternateContent>
            </w:r>
          </w:p>
        </w:tc>
      </w:tr>
    </w:tbl>
    <w:p>
      <w:pPr>
        <w:pStyle w:val="69"/>
        <w:rPr>
          <w:color w:val="000000" w:themeColor="text1"/>
          <w:szCs w:val="21"/>
          <w14:textFill>
            <w14:solidFill>
              <w14:schemeClr w14:val="tx1"/>
            </w14:solidFill>
          </w14:textFill>
        </w:rPr>
      </w:pPr>
    </w:p>
    <w:p>
      <w:pPr>
        <w:pStyle w:val="69"/>
        <w:rPr>
          <w:color w:val="000000" w:themeColor="text1"/>
          <w:szCs w:val="21"/>
          <w14:textFill>
            <w14:solidFill>
              <w14:schemeClr w14:val="tx1"/>
            </w14:solidFill>
          </w14:textFill>
        </w:rPr>
      </w:pPr>
    </w:p>
    <w:p>
      <w:pPr>
        <w:pStyle w:val="69"/>
        <w:rPr>
          <w:color w:val="000000" w:themeColor="text1"/>
          <w:szCs w:val="21"/>
          <w14:textFill>
            <w14:solidFill>
              <w14:schemeClr w14:val="tx1"/>
            </w14:solidFill>
          </w14:textFill>
        </w:rPr>
      </w:pPr>
    </w:p>
    <w:p>
      <w:pPr>
        <w:pStyle w:val="69"/>
      </w:pPr>
    </w:p>
    <w:p>
      <w:pPr>
        <w:pStyle w:val="69"/>
      </w:pPr>
    </w:p>
    <w:p>
      <w:pPr>
        <w:pStyle w:val="69"/>
        <w:rPr>
          <w:color w:val="000000" w:themeColor="text1"/>
          <w:szCs w:val="21"/>
          <w14:textFill>
            <w14:solidFill>
              <w14:schemeClr w14:val="tx1"/>
            </w14:solidFill>
          </w14:textFill>
        </w:rPr>
      </w:pPr>
    </w:p>
    <w:p>
      <w:pPr>
        <w:pStyle w:val="69"/>
      </w:pPr>
      <w:r>
        <w:t>续表F.3</w:t>
      </w:r>
    </w:p>
    <w:tbl>
      <w:tblPr>
        <w:tblStyle w:val="27"/>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2102"/>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（高风险/低风险）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地下空间出入口分布</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8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true"/>
                          </pic:cNvPicPr>
                        </pic:nvPicPr>
                        <pic:blipFill>
                          <a:blip r:embed="rId31"/>
                          <a:stretch>
                            <a:fillRect/>
                          </a:stretch>
                        </pic:blipFill>
                        <pic:spPr>
                          <a:xfrm>
                            <a:off x="0" y="0"/>
                            <a:ext cx="431800" cy="220980"/>
                          </a:xfrm>
                          <a:prstGeom prst="rect">
                            <a:avLst/>
                          </a:prstGeom>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980"/>
                  <wp:effectExtent l="0" t="0" r="0" b="7620"/>
                  <wp:docPr id="8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true"/>
                          </pic:cNvPicPr>
                        </pic:nvPicPr>
                        <pic:blipFill>
                          <a:blip r:embed="rId16"/>
                          <a:stretch>
                            <a:fillRect/>
                          </a:stretch>
                        </pic:blipFill>
                        <pic:spPr>
                          <a:xfrm>
                            <a:off x="0" y="0"/>
                            <a:ext cx="431800" cy="220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燃气门站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4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true"/>
                          </pic:cNvPicPr>
                        </pic:nvPicPr>
                        <pic:blipFill>
                          <a:blip r:embed="rId17"/>
                          <a:stretch>
                            <a:fillRect/>
                          </a:stretch>
                        </pic:blipFill>
                        <pic:spPr>
                          <a:xfrm>
                            <a:off x="0" y="0"/>
                            <a:ext cx="43815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8150" cy="215900"/>
                  <wp:effectExtent l="0" t="0" r="6350" b="0"/>
                  <wp:docPr id="11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true"/>
                          </pic:cNvPicPr>
                        </pic:nvPicPr>
                        <pic:blipFill>
                          <a:blip r:embed="rId17">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储配站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4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true"/>
                          </pic:cNvPicPr>
                        </pic:nvPicPr>
                        <pic:blipFill>
                          <a:blip r:embed="rId18"/>
                          <a:stretch>
                            <a:fillRect/>
                          </a:stretch>
                        </pic:blipFill>
                        <pic:spPr>
                          <a:xfrm>
                            <a:off x="0" y="0"/>
                            <a:ext cx="43815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8150" cy="215900"/>
                  <wp:effectExtent l="0" t="0" r="6350" b="0"/>
                  <wp:docPr id="11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true"/>
                          </pic:cNvPicPr>
                        </pic:nvPicPr>
                        <pic:blipFill>
                          <a:blip r:embed="rId18">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调压站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4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true"/>
                          </pic:cNvPicPr>
                        </pic:nvPicPr>
                        <pic:blipFill>
                          <a:blip r:embed="rId19"/>
                          <a:stretch>
                            <a:fillRect/>
                          </a:stretch>
                        </pic:blipFill>
                        <pic:spPr>
                          <a:xfrm>
                            <a:off x="0" y="0"/>
                            <a:ext cx="43815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8150" cy="215900"/>
                  <wp:effectExtent l="0" t="0" r="6350" b="0"/>
                  <wp:docPr id="11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true"/>
                          </pic:cNvPicPr>
                        </pic:nvPicPr>
                        <pic:blipFill>
                          <a:blip r:embed="rId19">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电厂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5900"/>
                  <wp:effectExtent l="0" t="0" r="0" b="0"/>
                  <wp:docPr id="4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true"/>
                          </pic:cNvPicPr>
                        </pic:nvPicPr>
                        <pic:blipFill>
                          <a:blip r:embed="rId20"/>
                          <a:stretch>
                            <a:fillRect/>
                          </a:stretch>
                        </pic:blipFill>
                        <pic:spPr>
                          <a:xfrm>
                            <a:off x="0" y="0"/>
                            <a:ext cx="43180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5900"/>
                  <wp:effectExtent l="0" t="0" r="0" b="0"/>
                  <wp:docPr id="12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true"/>
                          </pic:cNvPicPr>
                        </pic:nvPicPr>
                        <pic:blipFill>
                          <a:blip r:embed="rId20">
                            <a:grayscl/>
                          </a:blip>
                          <a:stretch>
                            <a:fillRect/>
                          </a:stretch>
                        </pic:blipFill>
                        <pic:spPr>
                          <a:xfrm>
                            <a:off x="0" y="0"/>
                            <a:ext cx="43180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变电站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5900"/>
                  <wp:effectExtent l="0" t="0" r="0" b="0"/>
                  <wp:docPr id="4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true"/>
                          </pic:cNvPicPr>
                        </pic:nvPicPr>
                        <pic:blipFill>
                          <a:blip r:embed="rId21"/>
                          <a:stretch>
                            <a:fillRect/>
                          </a:stretch>
                        </pic:blipFill>
                        <pic:spPr>
                          <a:xfrm>
                            <a:off x="0" y="0"/>
                            <a:ext cx="43180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5900"/>
                  <wp:effectExtent l="0" t="0" r="0" b="0"/>
                  <wp:docPr id="12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7"/>
                          <pic:cNvPicPr>
                            <a:picLocks noChangeAspect="true"/>
                          </pic:cNvPicPr>
                        </pic:nvPicPr>
                        <pic:blipFill>
                          <a:blip r:embed="rId21">
                            <a:grayscl/>
                          </a:blip>
                          <a:stretch>
                            <a:fillRect/>
                          </a:stretch>
                        </pic:blipFill>
                        <pic:spPr>
                          <a:xfrm>
                            <a:off x="0" y="0"/>
                            <a:ext cx="43180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给水厂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4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true"/>
                          </pic:cNvPicPr>
                        </pic:nvPicPr>
                        <pic:blipFill>
                          <a:blip r:embed="rId22"/>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2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3"/>
                          <pic:cNvPicPr>
                            <a:picLocks noChangeAspect="true"/>
                          </pic:cNvPicPr>
                        </pic:nvPicPr>
                        <pic:blipFill>
                          <a:blip r:embed="rId22">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给水泵站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4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true"/>
                          </pic:cNvPicPr>
                        </pic:nvPicPr>
                        <pic:blipFill>
                          <a:blip r:embed="rId23"/>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true"/>
                          </pic:cNvPicPr>
                        </pic:nvPicPr>
                        <pic:blipFill>
                          <a:blip r:embed="rId23">
                            <a:grayscl/>
                            <a:lum bright="6000"/>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污水厂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4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true"/>
                          </pic:cNvPicPr>
                        </pic:nvPicPr>
                        <pic:blipFill>
                          <a:blip r:embed="rId24"/>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2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true"/>
                          </pic:cNvPicPr>
                        </pic:nvPicPr>
                        <pic:blipFill>
                          <a:blip r:embed="rId24">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污水泵站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5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true"/>
                          </pic:cNvPicPr>
                        </pic:nvPicPr>
                        <pic:blipFill>
                          <a:blip r:embed="rId25"/>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2"/>
                          <pic:cNvPicPr>
                            <a:picLocks noChangeAspect="true"/>
                          </pic:cNvPicPr>
                        </pic:nvPicPr>
                        <pic:blipFill>
                          <a:blip r:embed="rId25">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通信机房</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5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true"/>
                          </pic:cNvPicPr>
                        </pic:nvPicPr>
                        <pic:blipFill>
                          <a:blip r:embed="rId26"/>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2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5"/>
                          <pic:cNvPicPr>
                            <a:picLocks noChangeAspect="true"/>
                          </pic:cNvPicPr>
                        </pic:nvPicPr>
                        <pic:blipFill>
                          <a:blip r:embed="rId26">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光纤到户通信设施</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5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true"/>
                          </pic:cNvPicPr>
                        </pic:nvPicPr>
                        <pic:blipFill>
                          <a:blip r:embed="rId27"/>
                          <a:stretch>
                            <a:fillRect/>
                          </a:stretch>
                        </pic:blipFill>
                        <pic:spPr>
                          <a:xfrm>
                            <a:off x="0" y="0"/>
                            <a:ext cx="431800" cy="220980"/>
                          </a:xfrm>
                          <a:prstGeom prst="rect">
                            <a:avLst/>
                          </a:prstGeom>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980"/>
                  <wp:effectExtent l="0" t="0" r="0" b="7620"/>
                  <wp:docPr id="12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true"/>
                          </pic:cNvPicPr>
                        </pic:nvPicPr>
                        <pic:blipFill>
                          <a:blip r:embed="rId27">
                            <a:grayscl/>
                          </a:blip>
                          <a:stretch>
                            <a:fillRect/>
                          </a:stretch>
                        </pic:blipFill>
                        <pic:spPr>
                          <a:xfrm>
                            <a:off x="0" y="0"/>
                            <a:ext cx="431800" cy="220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热源厂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345"/>
                  <wp:effectExtent l="0" t="0" r="0" b="8255"/>
                  <wp:docPr id="5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true"/>
                          </pic:cNvPicPr>
                        </pic:nvPicPr>
                        <pic:blipFill>
                          <a:blip r:embed="rId28"/>
                          <a:stretch>
                            <a:fillRect/>
                          </a:stretch>
                        </pic:blipFill>
                        <pic:spPr>
                          <a:xfrm>
                            <a:off x="0" y="0"/>
                            <a:ext cx="431800" cy="22034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345"/>
                  <wp:effectExtent l="0" t="0" r="0" b="8255"/>
                  <wp:docPr id="12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8"/>
                          <pic:cNvPicPr>
                            <a:picLocks noChangeAspect="true"/>
                          </pic:cNvPicPr>
                        </pic:nvPicPr>
                        <pic:blipFill>
                          <a:blip r:embed="rId28">
                            <a:grayscl/>
                          </a:blip>
                          <a:stretch>
                            <a:fillRect/>
                          </a:stretch>
                        </pic:blipFill>
                        <pic:spPr>
                          <a:xfrm>
                            <a:off x="0" y="0"/>
                            <a:ext cx="431800" cy="220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热力站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345"/>
                  <wp:effectExtent l="0" t="0" r="0" b="8255"/>
                  <wp:docPr id="5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true"/>
                          </pic:cNvPicPr>
                        </pic:nvPicPr>
                        <pic:blipFill>
                          <a:blip r:embed="rId29"/>
                          <a:stretch>
                            <a:fillRect/>
                          </a:stretch>
                        </pic:blipFill>
                        <pic:spPr>
                          <a:xfrm>
                            <a:off x="0" y="0"/>
                            <a:ext cx="431800" cy="22034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345"/>
                  <wp:effectExtent l="0" t="0" r="0" b="8255"/>
                  <wp:docPr id="1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true"/>
                          </pic:cNvPicPr>
                        </pic:nvPicPr>
                        <pic:blipFill>
                          <a:blip r:embed="rId29">
                            <a:grayscl/>
                          </a:blip>
                          <a:stretch>
                            <a:fillRect/>
                          </a:stretch>
                        </pic:blipFill>
                        <pic:spPr>
                          <a:xfrm>
                            <a:off x="0" y="0"/>
                            <a:ext cx="431800" cy="220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有毒化工品点</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5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true"/>
                          </pic:cNvPicPr>
                        </pic:nvPicPr>
                        <pic:blipFill>
                          <a:blip r:embed="rId30"/>
                          <a:stretch>
                            <a:fillRect/>
                          </a:stretch>
                        </pic:blipFill>
                        <pic:spPr>
                          <a:xfrm>
                            <a:off x="0" y="0"/>
                            <a:ext cx="431800" cy="220980"/>
                          </a:xfrm>
                          <a:prstGeom prst="rect">
                            <a:avLst/>
                          </a:prstGeom>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980"/>
                  <wp:effectExtent l="0" t="0" r="0" b="7620"/>
                  <wp:docPr id="13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4"/>
                          <pic:cNvPicPr>
                            <a:picLocks noChangeAspect="true"/>
                          </pic:cNvPicPr>
                        </pic:nvPicPr>
                        <pic:blipFill>
                          <a:blip r:embed="rId30">
                            <a:grayscl/>
                          </a:blip>
                          <a:stretch>
                            <a:fillRect/>
                          </a:stretch>
                        </pic:blipFill>
                        <pic:spPr>
                          <a:xfrm>
                            <a:off x="0" y="0"/>
                            <a:ext cx="431800" cy="220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溃口位置</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99745" cy="422275"/>
                  <wp:effectExtent l="0" t="0" r="8255" b="9525"/>
                  <wp:docPr id="17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 name="图片 7"/>
                          <pic:cNvPicPr>
                            <a:picLocks noChangeAspect="true"/>
                          </pic:cNvPicPr>
                        </pic:nvPicPr>
                        <pic:blipFill>
                          <a:blip r:embed="rId32"/>
                          <a:stretch>
                            <a:fillRect/>
                          </a:stretch>
                        </pic:blipFill>
                        <pic:spPr>
                          <a:xfrm>
                            <a:off x="0" y="0"/>
                            <a:ext cx="499745" cy="422275"/>
                          </a:xfrm>
                          <a:prstGeom prst="rect">
                            <a:avLst/>
                          </a:prstGeom>
                          <a:noFill/>
                          <a:ln>
                            <a:noFill/>
                          </a:ln>
                        </pic:spPr>
                      </pic:pic>
                    </a:graphicData>
                  </a:graphic>
                </wp:inline>
              </w:drawing>
            </w:r>
          </w:p>
        </w:tc>
      </w:tr>
    </w:tbl>
    <w:p>
      <w:pPr>
        <w:pStyle w:val="69"/>
      </w:pPr>
    </w:p>
    <w:p>
      <w:pPr>
        <w:pStyle w:val="69"/>
      </w:pPr>
      <w:r>
        <w:t>续表F.3</w:t>
      </w:r>
    </w:p>
    <w:tbl>
      <w:tblPr>
        <w:tblStyle w:val="27"/>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2102"/>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（高风险/低风险）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溃坝段</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线状符号</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958850" cy="292100"/>
                  <wp:effectExtent l="0" t="0" r="6350" b="0"/>
                  <wp:docPr id="17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 name="图片 8"/>
                          <pic:cNvPicPr>
                            <a:picLocks noChangeAspect="true"/>
                          </pic:cNvPicPr>
                        </pic:nvPicPr>
                        <pic:blipFill>
                          <a:blip r:embed="rId33"/>
                          <a:stretch>
                            <a:fillRect/>
                          </a:stretch>
                        </pic:blipFill>
                        <pic:spPr>
                          <a:xfrm>
                            <a:off x="0" y="0"/>
                            <a:ext cx="958850" cy="2921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海水倒灌或河道漫溢段</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线状符号</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1333500" cy="368300"/>
                  <wp:effectExtent l="0" t="0" r="0" b="0"/>
                  <wp:docPr id="175"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图片 9"/>
                          <pic:cNvPicPr>
                            <a:picLocks noChangeAspect="true"/>
                          </pic:cNvPicPr>
                        </pic:nvPicPr>
                        <pic:blipFill>
                          <a:blip r:embed="rId34"/>
                          <a:stretch>
                            <a:fillRect/>
                          </a:stretch>
                        </pic:blipFill>
                        <pic:spPr>
                          <a:xfrm>
                            <a:off x="0" y="0"/>
                            <a:ext cx="1333500" cy="3683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山洪入城风险点</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59105" cy="385445"/>
                  <wp:effectExtent l="0" t="0" r="10795" b="8255"/>
                  <wp:docPr id="17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 name="图片 10"/>
                          <pic:cNvPicPr>
                            <a:picLocks noChangeAspect="true"/>
                          </pic:cNvPicPr>
                        </pic:nvPicPr>
                        <pic:blipFill>
                          <a:blip r:embed="rId35"/>
                          <a:stretch>
                            <a:fillRect/>
                          </a:stretch>
                        </pic:blipFill>
                        <pic:spPr>
                          <a:xfrm>
                            <a:off x="0" y="0"/>
                            <a:ext cx="459105" cy="3854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地下空间受淹风险点</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562610" cy="385445"/>
                  <wp:effectExtent l="0" t="0" r="8890" b="8255"/>
                  <wp:docPr id="17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7" name="图片 11"/>
                          <pic:cNvPicPr>
                            <a:picLocks noChangeAspect="true"/>
                          </pic:cNvPicPr>
                        </pic:nvPicPr>
                        <pic:blipFill>
                          <a:blip r:embed="rId36"/>
                          <a:stretch>
                            <a:fillRect/>
                          </a:stretch>
                        </pic:blipFill>
                        <pic:spPr>
                          <a:xfrm>
                            <a:off x="0" y="0"/>
                            <a:ext cx="562610" cy="3854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灾害链触发机制</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文字标注</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2160905" cy="601980"/>
                  <wp:effectExtent l="0" t="0" r="10795" b="7620"/>
                  <wp:docPr id="17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8" name="图片 12"/>
                          <pic:cNvPicPr>
                            <a:picLocks noChangeAspect="true"/>
                          </pic:cNvPicPr>
                        </pic:nvPicPr>
                        <pic:blipFill>
                          <a:blip r:embed="rId37"/>
                          <a:stretch>
                            <a:fillRect/>
                          </a:stretch>
                        </pic:blipFill>
                        <pic:spPr>
                          <a:xfrm>
                            <a:off x="0" y="0"/>
                            <a:ext cx="2160905" cy="601980"/>
                          </a:xfrm>
                          <a:prstGeom prst="rect">
                            <a:avLst/>
                          </a:prstGeom>
                          <a:noFill/>
                          <a:ln>
                            <a:noFill/>
                          </a:ln>
                        </pic:spPr>
                      </pic:pic>
                    </a:graphicData>
                  </a:graphic>
                </wp:inline>
              </w:drawing>
            </w:r>
          </w:p>
        </w:tc>
      </w:tr>
    </w:tbl>
    <w:p>
      <w:pPr>
        <w:pStyle w:val="69"/>
        <w:ind w:firstLine="420" w:firstLineChars="20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注：梯度色阶根据可按需更换颜色。</w:t>
      </w:r>
    </w:p>
    <w:p>
      <w:pPr>
        <w:pStyle w:val="69"/>
        <w:jc w:val="both"/>
        <w:rPr>
          <w:color w:val="000000" w:themeColor="text1"/>
          <w:szCs w:val="21"/>
          <w14:textFill>
            <w14:solidFill>
              <w14:schemeClr w14:val="tx1"/>
            </w14:solidFill>
          </w14:textFill>
        </w:rPr>
      </w:pPr>
    </w:p>
    <w:p>
      <w:pPr>
        <w:pStyle w:val="6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w:t>
      </w:r>
      <w:r>
        <w:rPr>
          <w:color w:val="000000" w:themeColor="text1"/>
          <w:szCs w:val="21"/>
          <w14:textFill>
            <w14:solidFill>
              <w14:schemeClr w14:val="tx1"/>
            </w14:solidFill>
          </w14:textFill>
        </w:rPr>
        <w:t>F.</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承灾体受淹风险图-图式统计表</w:t>
      </w:r>
    </w:p>
    <w:tbl>
      <w:tblPr>
        <w:tblStyle w:val="27"/>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2102"/>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tblHeader/>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（梯度色阶）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高风险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（一级风险）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880110</wp:posOffset>
                      </wp:positionH>
                      <wp:positionV relativeFrom="paragraph">
                        <wp:posOffset>1033780</wp:posOffset>
                      </wp:positionV>
                      <wp:extent cx="537210" cy="183515"/>
                      <wp:effectExtent l="0" t="0" r="8890" b="6985"/>
                      <wp:wrapNone/>
                      <wp:docPr id="146"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69.3pt;margin-top:81.4pt;height:14.45pt;width:42.3pt;z-index:251676672;v-text-anchor:middle;mso-width-relative:page;mso-height-relative:page;" fillcolor="#F8CBAD [1301]" filled="t" stroked="f" coordsize="21600,21600" o:gfxdata="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BbxA/U2AAAAAsBAAAP&#10;AAAAAAAAAAEAIAAAADgAAABkcnMvZG93bnJldi54bWxQSwECFAAUAAAACACHTuJAiIkN9HQCAADH&#10;BAAADgAAAAAAAAABACAAAAA9AQAAZHJzL2Uyb0RvYy54bWxQSwUGAAAAAAYABgBZAQAAIwYAAAAA&#10;">
                      <v:fill on="t" focussize="0,0"/>
                      <v:stroke on="f" weight="1pt" miterlimit="8" joinstyle="miter"/>
                      <v:imagedata o:title=""/>
                      <o:lock v:ext="edit" aspectratio="f"/>
                    </v:rect>
                  </w:pict>
                </mc:Fallback>
              </mc:AlternateContent>
            </w: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883285</wp:posOffset>
                      </wp:positionH>
                      <wp:positionV relativeFrom="paragraph">
                        <wp:posOffset>528955</wp:posOffset>
                      </wp:positionV>
                      <wp:extent cx="537210" cy="183515"/>
                      <wp:effectExtent l="0" t="0" r="8890" b="6985"/>
                      <wp:wrapNone/>
                      <wp:docPr id="145"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69.55pt;margin-top:41.65pt;height:14.45pt;width:42.3pt;z-index:251675648;v-text-anchor:middle;mso-width-relative:page;mso-height-relative:page;" fillcolor="#FFC000" filled="t" stroked="f" coordsize="21600,21600" o:gfxdata="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Q8/b2QAAAAoBAAAPAAAAAAAAAAEAIAAAADgAAABkcnMvZG93bnJl&#10;di54bWxQSwECFAAUAAAACACHTuJAfTCPUVgCAACOBAAADgAAAAAAAAABACAAAAA+AQAAZHJzL2Uy&#10;b0RvYy54bWxQSwUGAAAAAAYABgBZAQAACAYAAAAA&#10;">
                      <v:fill on="t" focussize="0,0"/>
                      <v:stroke on="f" weight="1pt" miterlimit="8" joinstyle="miter"/>
                      <v:imagedata o:title=""/>
                      <o:lock v:ext="edit" aspectratio="f"/>
                    </v:rect>
                  </w:pict>
                </mc:Fallback>
              </mc:AlternateContent>
            </w: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895985</wp:posOffset>
                      </wp:positionH>
                      <wp:positionV relativeFrom="paragraph">
                        <wp:posOffset>38100</wp:posOffset>
                      </wp:positionV>
                      <wp:extent cx="537210" cy="183515"/>
                      <wp:effectExtent l="0" t="0" r="8890" b="6985"/>
                      <wp:wrapNone/>
                      <wp:docPr id="144"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0.55pt;margin-top:3pt;height:14.45pt;width:42.3pt;z-index:251674624;v-text-anchor:middle;mso-width-relative:page;mso-height-relative:page;" fillcolor="#FF0000" filled="t" stroked="f" coordsize="21600,21600" o:gfxdata="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cDW40gAAAAgBAAAPAAAAAAAAAAEAIAAAADgAAABkcnMvZG93bnJldi54bWxQSwEC&#10;FAAUAAAACACHTuJAvHldAVYCAACOBAAADgAAAAAAAAABACAAAAA3AQAAZHJzL2Uyb0RvYy54bWxQ&#10;SwUGAAAAAAYABgBZAQAA/wU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较高风险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（二级风险）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中风险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（三级风险）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低风险</w:t>
            </w:r>
            <w:r>
              <w:rPr>
                <w:rFonts w:hint="eastAsia" w:ascii="宋体" w:hAnsi="宋体" w:eastAsia="宋体" w:cs="宋体"/>
                <w:color w:val="000000" w:themeColor="text1"/>
                <w:kern w:val="0"/>
                <w:sz w:val="21"/>
                <w:szCs w:val="21"/>
                <w:lang w:bidi="ar"/>
                <w14:textFill>
                  <w14:solidFill>
                    <w14:schemeClr w14:val="tx1"/>
                  </w14:solidFill>
                </w14:textFill>
              </w:rPr>
              <w:br w:type="textWrapping"/>
            </w:r>
            <w:r>
              <w:rPr>
                <w:rFonts w:hint="eastAsia" w:ascii="宋体" w:hAnsi="宋体" w:eastAsia="宋体" w:cs="宋体"/>
                <w:color w:val="000000" w:themeColor="text1"/>
                <w:kern w:val="0"/>
                <w:sz w:val="21"/>
                <w:szCs w:val="21"/>
                <w:lang w:bidi="ar"/>
                <w14:textFill>
                  <w14:solidFill>
                    <w14:schemeClr w14:val="tx1"/>
                  </w14:solidFill>
                </w14:textFill>
              </w:rPr>
              <w:t>（四级风险）</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面状符号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890270</wp:posOffset>
                      </wp:positionH>
                      <wp:positionV relativeFrom="paragraph">
                        <wp:posOffset>-50800</wp:posOffset>
                      </wp:positionV>
                      <wp:extent cx="537210" cy="183515"/>
                      <wp:effectExtent l="0" t="0" r="0" b="6985"/>
                      <wp:wrapNone/>
                      <wp:docPr id="147" name="矩形 11"/>
                      <wp:cNvGraphicFramePr/>
                      <a:graphic xmlns:a="http://schemas.openxmlformats.org/drawingml/2006/main">
                        <a:graphicData uri="http://schemas.microsoft.com/office/word/2010/wordprocessingShape">
                          <wps:wsp>
                            <wps:cNvSpPr/>
                            <wps:spPr>
                              <a:xfrm>
                                <a:off x="0" y="0"/>
                                <a:ext cx="537210" cy="18351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70.1pt;margin-top:-4pt;height:14.45pt;width:42.3pt;z-index:251677696;v-text-anchor:middle;mso-width-relative:page;mso-height-relative:page;" fillcolor="#FFF2CC [663]" filled="t" stroked="f" coordsize="21600,21600" o:gfxdata="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i6PuS1wAAAAkBAAAPAAAA&#10;AAAAAAEAIAAAADgAAABkcnMvZG93bnJldi54bWxQSwECFAAUAAAACACHTuJAbk2BqHICAADHBAAA&#10;DgAAAAAAAAABACAAAAA8AQAAZHJzL2Uyb0RvYy54bWxQSwUGAAAAAAYABgBZAQAAIAYAAAAA&#10;">
                      <v:fill on="t" focussize="0,0"/>
                      <v:stroke on="f" weight="1pt" miterlimit="8" joinstyle="miter"/>
                      <v:imagedata o:title=""/>
                      <o:lock v:ext="edit" aspectratio="f"/>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235"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（高风险/低风险）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燃气门站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9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true"/>
                          </pic:cNvPicPr>
                        </pic:nvPicPr>
                        <pic:blipFill>
                          <a:blip r:embed="rId17"/>
                          <a:stretch>
                            <a:fillRect/>
                          </a:stretch>
                        </pic:blipFill>
                        <pic:spPr>
                          <a:xfrm>
                            <a:off x="0" y="0"/>
                            <a:ext cx="43815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8150" cy="215900"/>
                  <wp:effectExtent l="0" t="0" r="6350" b="0"/>
                  <wp:docPr id="9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true"/>
                          </pic:cNvPicPr>
                        </pic:nvPicPr>
                        <pic:blipFill>
                          <a:blip r:embed="rId17">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储配站</w:t>
            </w:r>
          </w:p>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9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true"/>
                          </pic:cNvPicPr>
                        </pic:nvPicPr>
                        <pic:blipFill>
                          <a:blip r:embed="rId18"/>
                          <a:stretch>
                            <a:fillRect/>
                          </a:stretch>
                        </pic:blipFill>
                        <pic:spPr>
                          <a:xfrm>
                            <a:off x="0" y="0"/>
                            <a:ext cx="43815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8150" cy="215900"/>
                  <wp:effectExtent l="0" t="0" r="6350" b="0"/>
                  <wp:docPr id="95"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true"/>
                          </pic:cNvPicPr>
                        </pic:nvPicPr>
                        <pic:blipFill>
                          <a:blip r:embed="rId18">
                            <a:grayscl/>
                          </a:blip>
                          <a:stretch>
                            <a:fillRect/>
                          </a:stretch>
                        </pic:blipFill>
                        <pic:spPr>
                          <a:xfrm>
                            <a:off x="0" y="0"/>
                            <a:ext cx="43815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调压站</w:t>
            </w:r>
          </w:p>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8150" cy="215900"/>
                  <wp:effectExtent l="0" t="0" r="6350" b="0"/>
                  <wp:docPr id="9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true"/>
                          </pic:cNvPicPr>
                        </pic:nvPicPr>
                        <pic:blipFill>
                          <a:blip r:embed="rId19"/>
                          <a:stretch>
                            <a:fillRect/>
                          </a:stretch>
                        </pic:blipFill>
                        <pic:spPr>
                          <a:xfrm>
                            <a:off x="0" y="0"/>
                            <a:ext cx="43815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8150" cy="215900"/>
                  <wp:effectExtent l="0" t="0" r="6350" b="0"/>
                  <wp:docPr id="9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true"/>
                          </pic:cNvPicPr>
                        </pic:nvPicPr>
                        <pic:blipFill>
                          <a:blip r:embed="rId19">
                            <a:grayscl/>
                          </a:blip>
                          <a:stretch>
                            <a:fillRect/>
                          </a:stretch>
                        </pic:blipFill>
                        <pic:spPr>
                          <a:xfrm>
                            <a:off x="0" y="0"/>
                            <a:ext cx="438150" cy="215900"/>
                          </a:xfrm>
                          <a:prstGeom prst="rect">
                            <a:avLst/>
                          </a:prstGeom>
                          <a:noFill/>
                          <a:ln>
                            <a:noFill/>
                          </a:ln>
                        </pic:spPr>
                      </pic:pic>
                    </a:graphicData>
                  </a:graphic>
                </wp:inline>
              </w:drawing>
            </w:r>
          </w:p>
        </w:tc>
      </w:tr>
    </w:tbl>
    <w:p>
      <w:pPr>
        <w:rPr>
          <w:color w:val="000000" w:themeColor="text1"/>
          <w14:textFill>
            <w14:solidFill>
              <w14:schemeClr w14:val="tx1"/>
            </w14:solidFill>
          </w14:textFill>
        </w:rPr>
      </w:pPr>
    </w:p>
    <w:p>
      <w:pPr>
        <w:pStyle w:val="69"/>
      </w:pPr>
    </w:p>
    <w:p>
      <w:pPr>
        <w:pStyle w:val="69"/>
      </w:pPr>
      <w:r>
        <w:rPr>
          <w:rFonts w:hint="eastAsia"/>
        </w:rPr>
        <w:t>续表</w:t>
      </w:r>
      <w:r>
        <w:t>F.</w:t>
      </w:r>
      <w:r>
        <w:rPr>
          <w:rFonts w:hint="eastAsia"/>
        </w:rPr>
        <w:t>4</w:t>
      </w:r>
    </w:p>
    <w:tbl>
      <w:tblPr>
        <w:tblStyle w:val="27"/>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2102"/>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名称</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图式</w:t>
            </w:r>
          </w:p>
        </w:tc>
        <w:tc>
          <w:tcPr>
            <w:tcW w:w="2330" w:type="pct"/>
            <w:vAlign w:val="center"/>
          </w:tcPr>
          <w:p>
            <w:pPr>
              <w:pStyle w:val="10"/>
              <w:spacing w:after="0" w:line="240" w:lineRule="auto"/>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示例</w:t>
            </w:r>
          </w:p>
          <w:p>
            <w:pPr>
              <w:pStyle w:val="10"/>
              <w:spacing w:after="0" w:line="240" w:lineRule="auto"/>
              <w:jc w:val="center"/>
              <w:rPr>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（梯度色阶）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电厂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5900"/>
                  <wp:effectExtent l="0" t="0" r="0" b="0"/>
                  <wp:docPr id="9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6"/>
                          <pic:cNvPicPr>
                            <a:picLocks noChangeAspect="true"/>
                          </pic:cNvPicPr>
                        </pic:nvPicPr>
                        <pic:blipFill>
                          <a:blip r:embed="rId20"/>
                          <a:stretch>
                            <a:fillRect/>
                          </a:stretch>
                        </pic:blipFill>
                        <pic:spPr>
                          <a:xfrm>
                            <a:off x="0" y="0"/>
                            <a:ext cx="43180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5900"/>
                  <wp:effectExtent l="0" t="0" r="0" b="0"/>
                  <wp:docPr id="9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true"/>
                          </pic:cNvPicPr>
                        </pic:nvPicPr>
                        <pic:blipFill>
                          <a:blip r:embed="rId20">
                            <a:grayscl/>
                          </a:blip>
                          <a:stretch>
                            <a:fillRect/>
                          </a:stretch>
                        </pic:blipFill>
                        <pic:spPr>
                          <a:xfrm>
                            <a:off x="0" y="0"/>
                            <a:ext cx="43180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变电站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5900"/>
                  <wp:effectExtent l="0" t="0" r="0" b="0"/>
                  <wp:docPr id="10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true"/>
                          </pic:cNvPicPr>
                        </pic:nvPicPr>
                        <pic:blipFill>
                          <a:blip r:embed="rId21"/>
                          <a:stretch>
                            <a:fillRect/>
                          </a:stretch>
                        </pic:blipFill>
                        <pic:spPr>
                          <a:xfrm>
                            <a:off x="0" y="0"/>
                            <a:ext cx="431800" cy="215900"/>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5900"/>
                  <wp:effectExtent l="0" t="0" r="0" b="0"/>
                  <wp:docPr id="10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true"/>
                          </pic:cNvPicPr>
                        </pic:nvPicPr>
                        <pic:blipFill>
                          <a:blip r:embed="rId21">
                            <a:grayscl/>
                          </a:blip>
                          <a:stretch>
                            <a:fillRect/>
                          </a:stretch>
                        </pic:blipFill>
                        <pic:spPr>
                          <a:xfrm>
                            <a:off x="0" y="0"/>
                            <a:ext cx="431800" cy="2159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给水厂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10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true"/>
                          </pic:cNvPicPr>
                        </pic:nvPicPr>
                        <pic:blipFill>
                          <a:blip r:embed="rId22"/>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0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true"/>
                          </pic:cNvPicPr>
                        </pic:nvPicPr>
                        <pic:blipFill>
                          <a:blip r:embed="rId22">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给水泵站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10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true"/>
                          </pic:cNvPicPr>
                        </pic:nvPicPr>
                        <pic:blipFill>
                          <a:blip r:embed="rId23"/>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0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true"/>
                          </pic:cNvPicPr>
                        </pic:nvPicPr>
                        <pic:blipFill>
                          <a:blip r:embed="rId23">
                            <a:grayscl/>
                            <a:lum bright="6000"/>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污水厂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10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4"/>
                          <pic:cNvPicPr>
                            <a:picLocks noChangeAspect="true"/>
                          </pic:cNvPicPr>
                        </pic:nvPicPr>
                        <pic:blipFill>
                          <a:blip r:embed="rId24"/>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0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true"/>
                          </pic:cNvPicPr>
                        </pic:nvPicPr>
                        <pic:blipFill>
                          <a:blip r:embed="rId24">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污水泵站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10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true"/>
                          </pic:cNvPicPr>
                        </pic:nvPicPr>
                        <pic:blipFill>
                          <a:blip r:embed="rId25"/>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0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true"/>
                          </pic:cNvPicPr>
                        </pic:nvPicPr>
                        <pic:blipFill>
                          <a:blip r:embed="rId25">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通信机房</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12725"/>
                  <wp:effectExtent l="0" t="0" r="0" b="3175"/>
                  <wp:docPr id="1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true"/>
                          </pic:cNvPicPr>
                        </pic:nvPicPr>
                        <pic:blipFill>
                          <a:blip r:embed="rId26"/>
                          <a:stretch>
                            <a:fillRect/>
                          </a:stretch>
                        </pic:blipFill>
                        <pic:spPr>
                          <a:xfrm>
                            <a:off x="0" y="0"/>
                            <a:ext cx="431800" cy="21272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12725"/>
                  <wp:effectExtent l="0" t="0" r="0" b="3175"/>
                  <wp:docPr id="11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true"/>
                          </pic:cNvPicPr>
                        </pic:nvPicPr>
                        <pic:blipFill>
                          <a:blip r:embed="rId26">
                            <a:grayscl/>
                          </a:blip>
                          <a:stretch>
                            <a:fillRect/>
                          </a:stretch>
                        </pic:blipFill>
                        <pic:spPr>
                          <a:xfrm>
                            <a:off x="0" y="0"/>
                            <a:ext cx="431800" cy="212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光纤到户通信设施</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11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true"/>
                          </pic:cNvPicPr>
                        </pic:nvPicPr>
                        <pic:blipFill>
                          <a:blip r:embed="rId27"/>
                          <a:stretch>
                            <a:fillRect/>
                          </a:stretch>
                        </pic:blipFill>
                        <pic:spPr>
                          <a:xfrm>
                            <a:off x="0" y="0"/>
                            <a:ext cx="431800" cy="220980"/>
                          </a:xfrm>
                          <a:prstGeom prst="rect">
                            <a:avLst/>
                          </a:prstGeom>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980"/>
                  <wp:effectExtent l="0" t="0" r="0" b="7620"/>
                  <wp:docPr id="11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true"/>
                          </pic:cNvPicPr>
                        </pic:nvPicPr>
                        <pic:blipFill>
                          <a:blip r:embed="rId27">
                            <a:grayscl/>
                          </a:blip>
                          <a:stretch>
                            <a:fillRect/>
                          </a:stretch>
                        </pic:blipFill>
                        <pic:spPr>
                          <a:xfrm>
                            <a:off x="0" y="0"/>
                            <a:ext cx="431800" cy="220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热源厂</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345"/>
                  <wp:effectExtent l="0" t="0" r="0" b="8255"/>
                  <wp:docPr id="11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8"/>
                          <pic:cNvPicPr>
                            <a:picLocks noChangeAspect="true"/>
                          </pic:cNvPicPr>
                        </pic:nvPicPr>
                        <pic:blipFill>
                          <a:blip r:embed="rId28"/>
                          <a:stretch>
                            <a:fillRect/>
                          </a:stretch>
                        </pic:blipFill>
                        <pic:spPr>
                          <a:xfrm>
                            <a:off x="0" y="0"/>
                            <a:ext cx="431800" cy="22034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345"/>
                  <wp:effectExtent l="0" t="0" r="0" b="8255"/>
                  <wp:docPr id="11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8"/>
                          <pic:cNvPicPr>
                            <a:picLocks noChangeAspect="true"/>
                          </pic:cNvPicPr>
                        </pic:nvPicPr>
                        <pic:blipFill>
                          <a:blip r:embed="rId28">
                            <a:grayscl/>
                          </a:blip>
                          <a:stretch>
                            <a:fillRect/>
                          </a:stretch>
                        </pic:blipFill>
                        <pic:spPr>
                          <a:xfrm>
                            <a:off x="0" y="0"/>
                            <a:ext cx="431800" cy="220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热力站</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345"/>
                  <wp:effectExtent l="0" t="0" r="0" b="8255"/>
                  <wp:docPr id="11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true"/>
                          </pic:cNvPicPr>
                        </pic:nvPicPr>
                        <pic:blipFill>
                          <a:blip r:embed="rId29"/>
                          <a:stretch>
                            <a:fillRect/>
                          </a:stretch>
                        </pic:blipFill>
                        <pic:spPr>
                          <a:xfrm>
                            <a:off x="0" y="0"/>
                            <a:ext cx="431800" cy="220345"/>
                          </a:xfrm>
                          <a:prstGeom prst="rect">
                            <a:avLst/>
                          </a:prstGeom>
                          <a:noFill/>
                          <a:ln>
                            <a:noFill/>
                          </a:ln>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345"/>
                  <wp:effectExtent l="0" t="0" r="0" b="8255"/>
                  <wp:docPr id="13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true"/>
                          </pic:cNvPicPr>
                        </pic:nvPicPr>
                        <pic:blipFill>
                          <a:blip r:embed="rId29">
                            <a:grayscl/>
                          </a:blip>
                          <a:stretch>
                            <a:fillRect/>
                          </a:stretch>
                        </pic:blipFill>
                        <pic:spPr>
                          <a:xfrm>
                            <a:off x="0" y="0"/>
                            <a:ext cx="431800" cy="2203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35" w:type="pct"/>
            <w:vAlign w:val="center"/>
          </w:tcPr>
          <w:p>
            <w:pPr>
              <w:widowControl/>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遇水反应化工品点位</w:t>
            </w:r>
          </w:p>
        </w:tc>
        <w:tc>
          <w:tcPr>
            <w:tcW w:w="1235" w:type="pct"/>
            <w:vAlign w:val="center"/>
          </w:tcPr>
          <w:p>
            <w:pPr>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点状符号</w:t>
            </w:r>
          </w:p>
        </w:tc>
        <w:tc>
          <w:tcPr>
            <w:tcW w:w="2330" w:type="pct"/>
            <w:vAlign w:val="center"/>
          </w:tcPr>
          <w:p>
            <w:pPr>
              <w:pStyle w:val="10"/>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431800" cy="220980"/>
                  <wp:effectExtent l="0" t="0" r="0" b="7620"/>
                  <wp:docPr id="13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14"/>
                          <pic:cNvPicPr>
                            <a:picLocks noChangeAspect="true"/>
                          </pic:cNvPicPr>
                        </pic:nvPicPr>
                        <pic:blipFill>
                          <a:blip r:embed="rId30"/>
                          <a:stretch>
                            <a:fillRect/>
                          </a:stretch>
                        </pic:blipFill>
                        <pic:spPr>
                          <a:xfrm>
                            <a:off x="0" y="0"/>
                            <a:ext cx="431800" cy="220980"/>
                          </a:xfrm>
                          <a:prstGeom prst="rect">
                            <a:avLst/>
                          </a:prstGeom>
                        </pic:spPr>
                      </pic:pic>
                    </a:graphicData>
                  </a:graphic>
                </wp:inline>
              </w:drawing>
            </w:r>
            <w:r>
              <w:rPr>
                <w:rFonts w:hint="eastAsia"/>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drawing>
                <wp:inline distT="0" distB="0" distL="114300" distR="114300">
                  <wp:extent cx="431800" cy="220980"/>
                  <wp:effectExtent l="0" t="0" r="0" b="7620"/>
                  <wp:docPr id="133"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14"/>
                          <pic:cNvPicPr>
                            <a:picLocks noChangeAspect="true"/>
                          </pic:cNvPicPr>
                        </pic:nvPicPr>
                        <pic:blipFill>
                          <a:blip r:embed="rId30">
                            <a:grayscl/>
                          </a:blip>
                          <a:stretch>
                            <a:fillRect/>
                          </a:stretch>
                        </pic:blipFill>
                        <pic:spPr>
                          <a:xfrm>
                            <a:off x="0" y="0"/>
                            <a:ext cx="431800" cy="220980"/>
                          </a:xfrm>
                          <a:prstGeom prst="rect">
                            <a:avLst/>
                          </a:prstGeom>
                        </pic:spPr>
                      </pic:pic>
                    </a:graphicData>
                  </a:graphic>
                </wp:inline>
              </w:drawing>
            </w:r>
          </w:p>
        </w:tc>
      </w:tr>
    </w:tbl>
    <w:p>
      <w:pPr>
        <w:rPr>
          <w:color w:val="000000" w:themeColor="text1"/>
          <w14:textFill>
            <w14:solidFill>
              <w14:schemeClr w14:val="tx1"/>
            </w14:solidFill>
          </w14:textFill>
        </w:rPr>
      </w:pPr>
    </w:p>
    <w:p>
      <w:pPr>
        <w:widowControl/>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numPr>
          <w:ilvl w:val="0"/>
          <w:numId w:val="0"/>
        </w:numPr>
        <w:spacing w:before="381" w:after="381"/>
        <w:rPr>
          <w:color w:val="000000" w:themeColor="text1"/>
          <w14:textFill>
            <w14:solidFill>
              <w14:schemeClr w14:val="tx1"/>
            </w14:solidFill>
          </w14:textFill>
        </w:rPr>
      </w:pPr>
      <w:bookmarkStart w:id="307" w:name="_Toc201745763"/>
      <w:bookmarkStart w:id="308" w:name="_Toc201223985"/>
      <w:bookmarkStart w:id="309" w:name="_Toc201078672"/>
      <w:bookmarkStart w:id="310" w:name="_Toc201743637"/>
      <w:bookmarkStart w:id="311" w:name="_Toc201743739"/>
      <w:bookmarkStart w:id="312" w:name="_Toc201743688"/>
      <w:bookmarkStart w:id="313" w:name="_Toc536115020"/>
      <w:r>
        <w:rPr>
          <w:color w:val="000000" w:themeColor="text1"/>
          <w14:textFill>
            <w14:solidFill>
              <w14:schemeClr w14:val="tx1"/>
            </w14:solidFill>
          </w14:textFill>
        </w:rPr>
        <w:t xml:space="preserve">附录G  </w:t>
      </w:r>
      <w:r>
        <w:rPr>
          <w:rFonts w:hint="eastAsia"/>
          <w:color w:val="000000" w:themeColor="text1"/>
          <w14:textFill>
            <w14:solidFill>
              <w14:schemeClr w14:val="tx1"/>
            </w14:solidFill>
          </w14:textFill>
        </w:rPr>
        <w:t>参 考 样 图</w:t>
      </w:r>
      <w:bookmarkEnd w:id="307"/>
      <w:bookmarkEnd w:id="308"/>
      <w:bookmarkEnd w:id="309"/>
      <w:bookmarkEnd w:id="310"/>
      <w:bookmarkEnd w:id="311"/>
      <w:bookmarkEnd w:id="312"/>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087620" cy="3597910"/>
            <wp:effectExtent l="0" t="0" r="5080" b="8890"/>
            <wp:docPr id="10" name="图片 10" descr="1-1流域洪涝风险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1流域洪涝风险图"/>
                    <pic:cNvPicPr>
                      <a:picLocks noChangeAspect="true"/>
                    </pic:cNvPicPr>
                  </pic:nvPicPr>
                  <pic:blipFill>
                    <a:blip r:embed="rId38"/>
                    <a:stretch>
                      <a:fillRect/>
                    </a:stretch>
                  </pic:blipFill>
                  <pic:spPr>
                    <a:xfrm>
                      <a:off x="0" y="0"/>
                      <a:ext cx="5087620" cy="3597910"/>
                    </a:xfrm>
                    <a:prstGeom prst="rect">
                      <a:avLst/>
                    </a:prstGeom>
                  </pic:spPr>
                </pic:pic>
              </a:graphicData>
            </a:graphic>
          </wp:inline>
        </w:drawing>
      </w:r>
    </w:p>
    <w:p>
      <w:pPr>
        <w:pStyle w:val="69"/>
      </w:pPr>
      <w:r>
        <w:rPr>
          <w:rFonts w:hint="eastAsia"/>
        </w:rPr>
        <w:t>图</w:t>
      </w:r>
      <w:r>
        <w:t>G.</w:t>
      </w:r>
      <w:r>
        <w:rPr>
          <w:rFonts w:hint="eastAsia"/>
        </w:rPr>
        <w:t>1</w:t>
      </w:r>
      <w:r>
        <w:t xml:space="preserve"> </w:t>
      </w:r>
      <w:r>
        <w:rPr>
          <w:rFonts w:hint="eastAsia"/>
        </w:rPr>
        <w:t>流域洪涝积水风险图</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055870" cy="3575050"/>
            <wp:effectExtent l="0" t="0" r="11430" b="6350"/>
            <wp:docPr id="7" name="图片 7" descr="1-2城市洪涝积水风险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2城市洪涝积水风险图"/>
                    <pic:cNvPicPr>
                      <a:picLocks noChangeAspect="true"/>
                    </pic:cNvPicPr>
                  </pic:nvPicPr>
                  <pic:blipFill>
                    <a:blip r:embed="rId39"/>
                    <a:stretch>
                      <a:fillRect/>
                    </a:stretch>
                  </pic:blipFill>
                  <pic:spPr>
                    <a:xfrm>
                      <a:off x="0" y="0"/>
                      <a:ext cx="5055870" cy="3575050"/>
                    </a:xfrm>
                    <a:prstGeom prst="rect">
                      <a:avLst/>
                    </a:prstGeom>
                  </pic:spPr>
                </pic:pic>
              </a:graphicData>
            </a:graphic>
          </wp:inline>
        </w:drawing>
      </w:r>
    </w:p>
    <w:p>
      <w:pPr>
        <w:pStyle w:val="69"/>
      </w:pPr>
      <w:r>
        <w:rPr>
          <w:rFonts w:hint="eastAsia"/>
        </w:rPr>
        <w:t>图</w:t>
      </w:r>
      <w:r>
        <w:t>G.</w:t>
      </w:r>
      <w:r>
        <w:rPr>
          <w:rFonts w:hint="eastAsia"/>
        </w:rPr>
        <w:t>2</w:t>
      </w:r>
      <w:r>
        <w:t xml:space="preserve"> </w:t>
      </w:r>
      <w:r>
        <w:rPr>
          <w:rFonts w:hint="eastAsia"/>
        </w:rPr>
        <w:t>城市内涝积水风险图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2245" cy="3721100"/>
            <wp:effectExtent l="0" t="0" r="8255" b="0"/>
            <wp:docPr id="3" name="图片 3" descr="2-1城市洪涝脆弱性风险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2-1城市洪涝脆弱性风险图"/>
                    <pic:cNvPicPr>
                      <a:picLocks noChangeAspect="true"/>
                    </pic:cNvPicPr>
                  </pic:nvPicPr>
                  <pic:blipFill>
                    <a:blip r:embed="rId40"/>
                    <a:stretch>
                      <a:fillRect/>
                    </a:stretch>
                  </pic:blipFill>
                  <pic:spPr>
                    <a:xfrm>
                      <a:off x="0" y="0"/>
                      <a:ext cx="5262245" cy="3721100"/>
                    </a:xfrm>
                    <a:prstGeom prst="rect">
                      <a:avLst/>
                    </a:prstGeom>
                  </pic:spPr>
                </pic:pic>
              </a:graphicData>
            </a:graphic>
          </wp:inline>
        </w:drawing>
      </w:r>
    </w:p>
    <w:p>
      <w:pPr>
        <w:pStyle w:val="69"/>
      </w:pPr>
      <w:r>
        <w:rPr>
          <w:rFonts w:hint="eastAsia"/>
        </w:rPr>
        <w:t>图</w:t>
      </w:r>
      <w:r>
        <w:t>G.</w:t>
      </w:r>
      <w:r>
        <w:rPr>
          <w:rFonts w:hint="eastAsia"/>
        </w:rPr>
        <w:t>3</w:t>
      </w:r>
      <w:r>
        <w:t xml:space="preserve"> </w:t>
      </w:r>
      <w:r>
        <w:rPr>
          <w:rFonts w:hint="eastAsia"/>
        </w:rPr>
        <w:t>城市洪涝脆弱性风险图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2245" cy="3721100"/>
            <wp:effectExtent l="0" t="0" r="8255" b="0"/>
            <wp:docPr id="11" name="图片 11" descr="2-2洪涝灾害链综合风险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2-2洪涝灾害链综合风险图"/>
                    <pic:cNvPicPr>
                      <a:picLocks noChangeAspect="true"/>
                    </pic:cNvPicPr>
                  </pic:nvPicPr>
                  <pic:blipFill>
                    <a:blip r:embed="rId41"/>
                    <a:stretch>
                      <a:fillRect/>
                    </a:stretch>
                  </pic:blipFill>
                  <pic:spPr>
                    <a:xfrm>
                      <a:off x="0" y="0"/>
                      <a:ext cx="5262245" cy="3721100"/>
                    </a:xfrm>
                    <a:prstGeom prst="rect">
                      <a:avLst/>
                    </a:prstGeom>
                  </pic:spPr>
                </pic:pic>
              </a:graphicData>
            </a:graphic>
          </wp:inline>
        </w:drawing>
      </w:r>
    </w:p>
    <w:p>
      <w:pPr>
        <w:pStyle w:val="69"/>
      </w:pPr>
      <w:r>
        <w:rPr>
          <w:rFonts w:hint="eastAsia"/>
        </w:rPr>
        <w:t>图</w:t>
      </w:r>
      <w:r>
        <w:t>G.</w:t>
      </w:r>
      <w:r>
        <w:rPr>
          <w:rFonts w:hint="eastAsia"/>
        </w:rPr>
        <w:t>4</w:t>
      </w:r>
      <w:r>
        <w:t xml:space="preserve"> </w:t>
      </w:r>
      <w:r>
        <w:rPr>
          <w:rFonts w:hint="eastAsia"/>
        </w:rPr>
        <w:t>洪涝灾害链综合风险图</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2245" cy="3721100"/>
            <wp:effectExtent l="0" t="0" r="8255" b="0"/>
            <wp:docPr id="13" name="图片 13" descr="2-3受灾单元网格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2-3受灾单元网格图"/>
                    <pic:cNvPicPr>
                      <a:picLocks noChangeAspect="true"/>
                    </pic:cNvPicPr>
                  </pic:nvPicPr>
                  <pic:blipFill>
                    <a:blip r:embed="rId42"/>
                    <a:stretch>
                      <a:fillRect/>
                    </a:stretch>
                  </pic:blipFill>
                  <pic:spPr>
                    <a:xfrm>
                      <a:off x="0" y="0"/>
                      <a:ext cx="5262245" cy="3721100"/>
                    </a:xfrm>
                    <a:prstGeom prst="rect">
                      <a:avLst/>
                    </a:prstGeom>
                  </pic:spPr>
                </pic:pic>
              </a:graphicData>
            </a:graphic>
          </wp:inline>
        </w:drawing>
      </w:r>
    </w:p>
    <w:p>
      <w:pPr>
        <w:pStyle w:val="69"/>
      </w:pPr>
      <w:bookmarkStart w:id="314" w:name="_Toc200474140"/>
      <w:bookmarkStart w:id="315" w:name="_Toc200474106"/>
      <w:r>
        <w:rPr>
          <w:rFonts w:hint="eastAsia"/>
        </w:rPr>
        <w:t>图</w:t>
      </w:r>
      <w:r>
        <w:t>G.</w:t>
      </w:r>
      <w:r>
        <w:rPr>
          <w:rFonts w:hint="eastAsia"/>
        </w:rPr>
        <w:t>5 承灾体受淹风险图</w:t>
      </w:r>
    </w:p>
    <w:p>
      <w:pPr>
        <w:sectPr>
          <w:pgSz w:w="11906" w:h="16838"/>
          <w:pgMar w:top="1440" w:right="1800" w:bottom="1440" w:left="1800" w:header="851" w:footer="340" w:gutter="0"/>
          <w:cols w:space="425" w:num="1"/>
          <w:docGrid w:type="lines" w:linePitch="381" w:charSpace="0"/>
        </w:sectPr>
      </w:pPr>
    </w:p>
    <w:bookmarkEnd w:id="314"/>
    <w:bookmarkEnd w:id="315"/>
    <w:p>
      <w:pPr>
        <w:pStyle w:val="2"/>
        <w:numPr>
          <w:ilvl w:val="0"/>
          <w:numId w:val="0"/>
        </w:numPr>
        <w:spacing w:before="381" w:after="381"/>
        <w:rPr>
          <w:color w:val="000000" w:themeColor="text1"/>
          <w14:textFill>
            <w14:solidFill>
              <w14:schemeClr w14:val="tx1"/>
            </w14:solidFill>
          </w14:textFill>
        </w:rPr>
      </w:pPr>
      <w:bookmarkStart w:id="316" w:name="_Toc201743740"/>
      <w:bookmarkStart w:id="317" w:name="_Toc201223986"/>
      <w:bookmarkStart w:id="318" w:name="_Toc201078673"/>
      <w:bookmarkStart w:id="319" w:name="_Toc201743689"/>
      <w:bookmarkStart w:id="320" w:name="_Toc201745764"/>
      <w:bookmarkStart w:id="321" w:name="_Toc201743638"/>
      <w:r>
        <w:rPr>
          <w:color w:val="000000" w:themeColor="text1"/>
          <w14:textFill>
            <w14:solidFill>
              <w14:schemeClr w14:val="tx1"/>
            </w14:solidFill>
          </w14:textFill>
        </w:rPr>
        <w:t>本标准用词说明</w:t>
      </w:r>
      <w:bookmarkEnd w:id="313"/>
      <w:bookmarkEnd w:id="316"/>
      <w:bookmarkEnd w:id="317"/>
      <w:bookmarkEnd w:id="318"/>
      <w:bookmarkEnd w:id="319"/>
      <w:bookmarkEnd w:id="320"/>
      <w:bookmarkEnd w:id="321"/>
    </w:p>
    <w:p>
      <w:pPr>
        <w:spacing w:line="360" w:lineRule="auto"/>
        <w:ind w:firstLine="480" w:firstLineChars="200"/>
        <w:rPr>
          <w:rFonts w:ascii="Times New Roman" w:hAnsi="Times New Roman" w:eastAsia="宋体" w:cs="Times New Roman"/>
          <w:bCs/>
          <w:color w:val="000000" w:themeColor="text1"/>
          <w:sz w:val="24"/>
          <w:szCs w:val="24"/>
          <w14:textFill>
            <w14:solidFill>
              <w14:schemeClr w14:val="tx1"/>
            </w14:solidFill>
          </w14:textFill>
        </w:rPr>
      </w:pPr>
      <w:bookmarkStart w:id="322" w:name="_Toc91661259"/>
      <w:r>
        <w:rPr>
          <w:rFonts w:ascii="Times New Roman" w:hAnsi="Times New Roman" w:eastAsia="宋体" w:cs="Times New Roman"/>
          <w:bCs/>
          <w:color w:val="000000" w:themeColor="text1"/>
          <w:sz w:val="24"/>
          <w:szCs w:val="24"/>
          <w14:textFill>
            <w14:solidFill>
              <w14:schemeClr w14:val="tx1"/>
            </w14:solidFill>
          </w14:textFill>
        </w:rPr>
        <w:t>1 为便于在执行本标准条文时区别对待，对要求严格程度不同的用词说明如下：</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1）表示很严格，非这样做不可的用词</w:t>
      </w:r>
      <w:r>
        <w:rPr>
          <w:rFonts w:hint="eastAsia" w:ascii="Times New Roman" w:hAnsi="Times New Roman"/>
          <w:bCs/>
          <w:color w:val="000000" w:themeColor="text1"/>
          <w:kern w:val="2"/>
          <w14:textFill>
            <w14:solidFill>
              <w14:schemeClr w14:val="tx1"/>
            </w14:solidFill>
          </w14:textFill>
        </w:rPr>
        <w:t>：</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正面词采</w:t>
      </w:r>
      <w:r>
        <w:rPr>
          <w:rFonts w:hAnsi="宋体"/>
          <w:bCs/>
          <w:color w:val="000000" w:themeColor="text1"/>
          <w:kern w:val="2"/>
          <w14:textFill>
            <w14:solidFill>
              <w14:schemeClr w14:val="tx1"/>
            </w14:solidFill>
          </w14:textFill>
        </w:rPr>
        <w:t>用“必须”，反面词采用“严禁”</w:t>
      </w:r>
      <w:r>
        <w:rPr>
          <w:rFonts w:ascii="Times New Roman" w:hAnsi="Times New Roman"/>
          <w:bCs/>
          <w:color w:val="000000" w:themeColor="text1"/>
          <w:kern w:val="2"/>
          <w14:textFill>
            <w14:solidFill>
              <w14:schemeClr w14:val="tx1"/>
            </w14:solidFill>
          </w14:textFill>
        </w:rPr>
        <w:t>。</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2）表示严格，在正常情况下均应这样做的用词：</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正面词采</w:t>
      </w:r>
      <w:r>
        <w:rPr>
          <w:rFonts w:hAnsi="宋体"/>
          <w:bCs/>
          <w:color w:val="000000" w:themeColor="text1"/>
          <w:kern w:val="2"/>
          <w14:textFill>
            <w14:solidFill>
              <w14:schemeClr w14:val="tx1"/>
            </w14:solidFill>
          </w14:textFill>
        </w:rPr>
        <w:t>用“应”，反面词采用“不应”或“不得”</w:t>
      </w:r>
      <w:r>
        <w:rPr>
          <w:rFonts w:ascii="Times New Roman" w:hAnsi="Times New Roman"/>
          <w:bCs/>
          <w:color w:val="000000" w:themeColor="text1"/>
          <w:kern w:val="2"/>
          <w14:textFill>
            <w14:solidFill>
              <w14:schemeClr w14:val="tx1"/>
            </w14:solidFill>
          </w14:textFill>
        </w:rPr>
        <w:t>。</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3）表示允许稍有选择，在条件许可时首先应这样做的用词：</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正面词采</w:t>
      </w:r>
      <w:r>
        <w:rPr>
          <w:rFonts w:hAnsi="宋体"/>
          <w:bCs/>
          <w:color w:val="000000" w:themeColor="text1"/>
          <w:kern w:val="2"/>
          <w14:textFill>
            <w14:solidFill>
              <w14:schemeClr w14:val="tx1"/>
            </w14:solidFill>
          </w14:textFill>
        </w:rPr>
        <w:t>用“宜”，反面词采用“不宜”</w:t>
      </w:r>
      <w:r>
        <w:rPr>
          <w:rFonts w:ascii="Times New Roman" w:hAnsi="Times New Roman"/>
          <w:bCs/>
          <w:color w:val="000000" w:themeColor="text1"/>
          <w:kern w:val="2"/>
          <w14:textFill>
            <w14:solidFill>
              <w14:schemeClr w14:val="tx1"/>
            </w14:solidFill>
          </w14:textFill>
        </w:rPr>
        <w:t>；</w:t>
      </w:r>
    </w:p>
    <w:p>
      <w:pPr>
        <w:pStyle w:val="54"/>
        <w:spacing w:line="360" w:lineRule="auto"/>
        <w:ind w:firstLine="727" w:firstLineChars="303"/>
        <w:jc w:val="both"/>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4）表示有选择，在一定条件下可以这样做的用词，采</w:t>
      </w:r>
      <w:r>
        <w:rPr>
          <w:rFonts w:hAnsi="宋体"/>
          <w:bCs/>
          <w:color w:val="000000" w:themeColor="text1"/>
          <w:kern w:val="2"/>
          <w14:textFill>
            <w14:solidFill>
              <w14:schemeClr w14:val="tx1"/>
            </w14:solidFill>
          </w14:textFill>
        </w:rPr>
        <w:t>用“可”</w:t>
      </w:r>
      <w:r>
        <w:rPr>
          <w:rFonts w:ascii="Times New Roman" w:hAnsi="Times New Roman"/>
          <w:bCs/>
          <w:color w:val="000000" w:themeColor="text1"/>
          <w:kern w:val="2"/>
          <w14:textFill>
            <w14:solidFill>
              <w14:schemeClr w14:val="tx1"/>
            </w14:solidFill>
          </w14:textFill>
        </w:rPr>
        <w:t>。</w:t>
      </w:r>
    </w:p>
    <w:p>
      <w:pPr>
        <w:pStyle w:val="54"/>
        <w:spacing w:line="360" w:lineRule="auto"/>
        <w:ind w:firstLine="480" w:firstLineChars="200"/>
        <w:jc w:val="both"/>
        <w:rPr>
          <w:rFonts w:ascii="Times New Roman" w:hAnsi="Times New Roman"/>
          <w:bCs/>
          <w:color w:val="000000" w:themeColor="text1"/>
          <w:kern w:val="2"/>
          <w14:textFill>
            <w14:solidFill>
              <w14:schemeClr w14:val="tx1"/>
            </w14:solidFill>
          </w14:textFill>
        </w:rPr>
        <w:sectPr>
          <w:pgSz w:w="11906" w:h="16838"/>
          <w:pgMar w:top="1440" w:right="1800" w:bottom="1440" w:left="1800" w:header="851" w:footer="340" w:gutter="0"/>
          <w:cols w:space="425" w:num="1"/>
          <w:docGrid w:type="lines" w:linePitch="381" w:charSpace="0"/>
        </w:sectPr>
      </w:pPr>
      <w:r>
        <w:rPr>
          <w:rFonts w:ascii="Times New Roman" w:hAnsi="Times New Roman"/>
          <w:bCs/>
          <w:color w:val="000000" w:themeColor="text1"/>
          <w:kern w:val="2"/>
          <w14:textFill>
            <w14:solidFill>
              <w14:schemeClr w14:val="tx1"/>
            </w14:solidFill>
          </w14:textFill>
        </w:rPr>
        <w:t>2 本标准中指明按其他有关标准、规范执行的写法为</w:t>
      </w:r>
      <w:r>
        <w:rPr>
          <w:rFonts w:hAnsi="宋体"/>
          <w:bCs/>
          <w:color w:val="000000" w:themeColor="text1"/>
          <w:kern w:val="2"/>
          <w14:textFill>
            <w14:solidFill>
              <w14:schemeClr w14:val="tx1"/>
            </w14:solidFill>
          </w14:textFill>
        </w:rPr>
        <w:t>“应符合……的规定”或“应按……执行”</w:t>
      </w:r>
      <w:r>
        <w:rPr>
          <w:rFonts w:ascii="Times New Roman" w:hAnsi="Times New Roman"/>
          <w:bCs/>
          <w:color w:val="000000" w:themeColor="text1"/>
          <w:kern w:val="2"/>
          <w14:textFill>
            <w14:solidFill>
              <w14:schemeClr w14:val="tx1"/>
            </w14:solidFill>
          </w14:textFill>
        </w:rPr>
        <w:t>。</w:t>
      </w:r>
      <w:bookmarkEnd w:id="322"/>
    </w:p>
    <w:p>
      <w:pPr>
        <w:pStyle w:val="2"/>
        <w:numPr>
          <w:ilvl w:val="0"/>
          <w:numId w:val="0"/>
        </w:numPr>
        <w:spacing w:before="381" w:after="381"/>
        <w:rPr>
          <w:color w:val="000000" w:themeColor="text1"/>
          <w14:textFill>
            <w14:solidFill>
              <w14:schemeClr w14:val="tx1"/>
            </w14:solidFill>
          </w14:textFill>
        </w:rPr>
      </w:pPr>
      <w:bookmarkStart w:id="323" w:name="_Toc201745765"/>
      <w:bookmarkStart w:id="324" w:name="_Toc201743690"/>
      <w:bookmarkStart w:id="325" w:name="_Toc201743639"/>
      <w:bookmarkStart w:id="326" w:name="_Toc201223987"/>
      <w:bookmarkStart w:id="327" w:name="_Toc201743741"/>
      <w:bookmarkStart w:id="328" w:name="_Toc201078674"/>
      <w:r>
        <w:rPr>
          <w:rFonts w:hint="eastAsia"/>
          <w:color w:val="000000" w:themeColor="text1"/>
          <w14:textFill>
            <w14:solidFill>
              <w14:schemeClr w14:val="tx1"/>
            </w14:solidFill>
          </w14:textFill>
        </w:rPr>
        <w:t>引用标准名录</w:t>
      </w:r>
      <w:bookmarkEnd w:id="323"/>
      <w:bookmarkEnd w:id="324"/>
      <w:bookmarkEnd w:id="325"/>
      <w:bookmarkEnd w:id="326"/>
      <w:bookmarkEnd w:id="327"/>
      <w:bookmarkEnd w:id="328"/>
    </w:p>
    <w:p>
      <w:pPr>
        <w:tabs>
          <w:tab w:val="left" w:pos="312"/>
        </w:tabs>
        <w:autoSpaceDE w:val="0"/>
        <w:autoSpaceDN w:val="0"/>
        <w:spacing w:line="400" w:lineRule="exact"/>
        <w:rPr>
          <w:rFonts w:ascii="Times New Roman" w:hAnsi="Times New Roman" w:cs="Times New Roman" w:eastAsiaTheme="minorEastAsia"/>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《室外排水设计标准》GB 50014</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《城镇内涝防治技术规范》GB 51222</w:t>
      </w:r>
    </w:p>
    <w:p>
      <w:pPr>
        <w:tabs>
          <w:tab w:val="left" w:pos="312"/>
        </w:tabs>
        <w:autoSpaceDE w:val="0"/>
        <w:autoSpaceDN w:val="0"/>
        <w:spacing w:line="400" w:lineRule="exact"/>
        <w:rPr>
          <w:rFonts w:ascii="Times New Roman" w:hAnsi="Times New Roman" w:cs="Times New Roman" w:eastAsiaTheme="minorEastAsia"/>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《自然灾害灾情统计 第 1 部分：基本指标》GB/T 24438.1</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《地理空间数据交换基本要求》GB/T 40767</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《洪水风险图编制导则》SL 483</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《自然灾害风险分级方法》MZ/T 031</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《暴雨型洪涝灾害灾情预评估方法》MZ/T 041</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《暴雨洪涝灾害风险评估技术规范》DB51/T 2829</w:t>
      </w:r>
    </w:p>
    <w:p>
      <w:pPr>
        <w:tabs>
          <w:tab w:val="left" w:pos="312"/>
        </w:tabs>
        <w:autoSpaceDE w:val="0"/>
        <w:autoSpaceDN w:val="0"/>
        <w:spacing w:line="400" w:lineRule="exac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《城镇内涝防治系统数学模型构建和应用规程》T/CECS 647</w:t>
      </w:r>
    </w:p>
    <w:p>
      <w:pPr>
        <w:widowControl/>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br w:type="page"/>
      </w:r>
    </w:p>
    <w:p>
      <w:pPr>
        <w:spacing w:after="160" w:line="276" w:lineRule="auto"/>
        <w:jc w:val="center"/>
        <w:rPr>
          <w:rFonts w:ascii="宋体" w:hAnsi="宋体" w:eastAsia="宋体" w:cs="Times New Roman"/>
          <w:kern w:val="0"/>
          <w:sz w:val="32"/>
          <w:szCs w:val="32"/>
        </w:rPr>
      </w:pPr>
    </w:p>
    <w:p>
      <w:pPr>
        <w:spacing w:after="160" w:line="276" w:lineRule="auto"/>
        <w:jc w:val="center"/>
        <w:rPr>
          <w:rFonts w:ascii="宋体" w:hAnsi="宋体" w:eastAsia="宋体" w:cs="Times New Roman"/>
          <w:kern w:val="0"/>
          <w:sz w:val="32"/>
          <w:szCs w:val="32"/>
        </w:rPr>
      </w:pPr>
      <w:r>
        <w:rPr>
          <w:rFonts w:hint="eastAsia" w:ascii="宋体" w:hAnsi="宋体" w:eastAsia="宋体" w:cs="Times New Roman"/>
          <w:kern w:val="0"/>
          <w:sz w:val="32"/>
          <w:szCs w:val="32"/>
        </w:rPr>
        <w:t>广东省标准</w:t>
      </w:r>
    </w:p>
    <w:p>
      <w:pPr>
        <w:spacing w:after="160" w:line="276" w:lineRule="auto"/>
        <w:jc w:val="center"/>
        <w:rPr>
          <w:rFonts w:ascii="宋体" w:hAnsi="宋体" w:eastAsia="宋体" w:cs="Times New Roman"/>
          <w:kern w:val="0"/>
          <w:sz w:val="32"/>
          <w:szCs w:val="32"/>
        </w:rPr>
      </w:pPr>
    </w:p>
    <w:p>
      <w:pPr>
        <w:spacing w:after="160" w:line="276" w:lineRule="auto"/>
        <w:jc w:val="center"/>
        <w:rPr>
          <w:rFonts w:ascii="宋体" w:hAnsi="宋体" w:eastAsia="宋体" w:cs="Times New Roman"/>
          <w:b/>
          <w:kern w:val="0"/>
          <w:sz w:val="52"/>
          <w:szCs w:val="52"/>
        </w:rPr>
      </w:pPr>
      <w:r>
        <w:rPr>
          <w:rFonts w:hint="eastAsia" w:ascii="宋体" w:hAnsi="宋体" w:eastAsia="宋体" w:cs="Times New Roman"/>
          <w:b/>
          <w:kern w:val="0"/>
          <w:sz w:val="52"/>
          <w:szCs w:val="52"/>
        </w:rPr>
        <w:t>城市特大洪涝灾害链综合风险图</w:t>
      </w:r>
    </w:p>
    <w:p>
      <w:pPr>
        <w:spacing w:after="160" w:line="276" w:lineRule="auto"/>
        <w:jc w:val="center"/>
        <w:rPr>
          <w:rFonts w:ascii="宋体" w:hAnsi="宋体" w:eastAsia="宋体" w:cs="Times New Roman"/>
          <w:b/>
          <w:kern w:val="0"/>
          <w:sz w:val="52"/>
          <w:szCs w:val="52"/>
        </w:rPr>
      </w:pPr>
      <w:r>
        <w:rPr>
          <w:rFonts w:hint="eastAsia" w:ascii="宋体" w:hAnsi="宋体" w:eastAsia="宋体" w:cs="Times New Roman"/>
          <w:b/>
          <w:kern w:val="0"/>
          <w:sz w:val="52"/>
          <w:szCs w:val="52"/>
        </w:rPr>
        <w:t>编制标准</w:t>
      </w:r>
    </w:p>
    <w:p>
      <w:pPr>
        <w:spacing w:after="160" w:line="276" w:lineRule="auto"/>
        <w:jc w:val="center"/>
        <w:rPr>
          <w:rFonts w:ascii="宋体" w:hAnsi="宋体" w:eastAsia="宋体" w:cs="Times New Roman"/>
          <w:b/>
          <w:kern w:val="0"/>
          <w:sz w:val="52"/>
          <w:szCs w:val="52"/>
        </w:rPr>
      </w:pPr>
    </w:p>
    <w:p>
      <w:pPr>
        <w:spacing w:after="160" w:line="276" w:lineRule="auto"/>
        <w:jc w:val="center"/>
        <w:rPr>
          <w:rFonts w:ascii="宋体" w:hAnsi="宋体" w:eastAsia="宋体" w:cs="Times New Roman"/>
          <w:b/>
          <w:kern w:val="0"/>
          <w:szCs w:val="32"/>
        </w:rPr>
      </w:pPr>
      <w:r>
        <w:rPr>
          <w:rFonts w:hint="eastAsia" w:ascii="宋体" w:hAnsi="宋体" w:eastAsia="宋体" w:cs="Times New Roman"/>
          <w:b/>
          <w:kern w:val="0"/>
          <w:szCs w:val="32"/>
        </w:rPr>
        <w:t xml:space="preserve">  DBJ/T 15-XX-20XX </w:t>
      </w:r>
    </w:p>
    <w:p>
      <w:pPr>
        <w:spacing w:after="160" w:line="276" w:lineRule="auto"/>
        <w:jc w:val="center"/>
        <w:rPr>
          <w:rFonts w:ascii="宋体" w:hAnsi="宋体" w:eastAsia="宋体" w:cs="Times New Roman"/>
          <w:kern w:val="0"/>
          <w:sz w:val="32"/>
          <w:szCs w:val="32"/>
        </w:rPr>
      </w:pPr>
    </w:p>
    <w:p>
      <w:pPr>
        <w:keepNext/>
        <w:keepLines/>
        <w:spacing w:before="340" w:after="330" w:line="576" w:lineRule="auto"/>
        <w:jc w:val="center"/>
        <w:outlineLvl w:val="0"/>
        <w:rPr>
          <w:rFonts w:ascii="宋体" w:hAnsi="宋体" w:eastAsia="宋体" w:cs="宋体"/>
          <w:b/>
          <w:bCs/>
          <w:kern w:val="0"/>
          <w:szCs w:val="32"/>
        </w:rPr>
      </w:pPr>
      <w:bookmarkStart w:id="329" w:name="_Toc19889"/>
      <w:bookmarkStart w:id="330" w:name="_Toc13844"/>
      <w:bookmarkStart w:id="331" w:name="_Toc8750"/>
      <w:bookmarkStart w:id="332" w:name="_Toc201743691"/>
      <w:bookmarkStart w:id="333" w:name="_Toc30475"/>
      <w:bookmarkStart w:id="334" w:name="_Toc201745766"/>
      <w:bookmarkStart w:id="335" w:name="_Toc201223988"/>
      <w:bookmarkStart w:id="336" w:name="_Toc201743742"/>
      <w:bookmarkStart w:id="337" w:name="_Toc23461"/>
      <w:bookmarkStart w:id="338" w:name="_Toc201743640"/>
      <w:bookmarkStart w:id="339" w:name="_Toc534725774"/>
      <w:bookmarkStart w:id="340" w:name="_Toc32306"/>
      <w:bookmarkStart w:id="341" w:name="_Toc534725684"/>
      <w:bookmarkStart w:id="342" w:name="_Toc18483"/>
      <w:bookmarkStart w:id="343" w:name="_Toc6606"/>
      <w:bookmarkStart w:id="344" w:name="_Toc45646850"/>
      <w:bookmarkStart w:id="345" w:name="_Toc201078675"/>
      <w:r>
        <w:rPr>
          <w:rFonts w:ascii="宋体" w:hAnsi="宋体" w:eastAsia="宋体" w:cs="黑体"/>
          <w:bCs/>
          <w:sz w:val="24"/>
          <w:szCs w:val="24"/>
        </w:rPr>
        <mc:AlternateContent>
          <mc:Choice Requires="wps">
            <w:drawing>
              <wp:anchor distT="45720" distB="45720" distL="114300" distR="114300" simplePos="0" relativeHeight="251678720" behindDoc="0" locked="0" layoutInCell="1" allowOverlap="1">
                <wp:simplePos x="0" y="0"/>
                <wp:positionH relativeFrom="column">
                  <wp:posOffset>1510665</wp:posOffset>
                </wp:positionH>
                <wp:positionV relativeFrom="paragraph">
                  <wp:posOffset>3972560</wp:posOffset>
                </wp:positionV>
                <wp:extent cx="2034540" cy="1144270"/>
                <wp:effectExtent l="0" t="0" r="22860" b="17780"/>
                <wp:wrapNone/>
                <wp:docPr id="21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034540" cy="1144270"/>
                        </a:xfrm>
                        <a:prstGeom prst="rect">
                          <a:avLst/>
                        </a:prstGeom>
                        <a:solidFill>
                          <a:schemeClr val="bg1"/>
                        </a:solidFill>
                        <a:ln w="9525">
                          <a:solidFill>
                            <a:schemeClr val="bg1"/>
                          </a:solidFill>
                          <a:miter lim="800000"/>
                        </a:ln>
                      </wps:spPr>
                      <wps:txbx>
                        <w:txbxContent>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118.95pt;margin-top:312.8pt;height:90.1pt;width:160.2pt;z-index:251678720;mso-width-relative:page;mso-height-relative:page;" fillcolor="#FFFFFF [3212]" filled="t" stroked="t" coordsize="21600,21600" o:gfxdata="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F4RWTaAAAACwEAAA8AAAAAAAAAAQAgAAAAOAAAAGRy&#10;cy9kb3ducmV2LnhtbFBLAQIUABQAAAAIAIdO4kB8bBbQJgIAADoEAAAOAAAAAAAAAAEAIAAAAD8B&#10;AABkcnMvZTJvRG9jLnhtbFBLBQYAAAAABgAGAFkBAADXBQAAAAA=&#10;">
                <v:fill on="t" focussize="0,0"/>
                <v:stroke color="#FFFFFF [3212]" miterlimit="8" joinstyle="miter"/>
                <v:imagedata o:title=""/>
                <o:lock v:ext="edit" aspectratio="f"/>
                <v:textbox>
                  <w:txbxContent>
                    <w:p/>
                  </w:txbxContent>
                </v:textbox>
              </v:shape>
            </w:pict>
          </mc:Fallback>
        </mc:AlternateContent>
      </w:r>
      <w:r>
        <w:rPr>
          <w:rFonts w:hint="eastAsia" w:ascii="宋体" w:hAnsi="宋体" w:eastAsia="宋体" w:cs="宋体"/>
          <w:b/>
          <w:bCs/>
          <w:kern w:val="0"/>
          <w:szCs w:val="32"/>
        </w:rPr>
        <w:t>条 文 说 明</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rPr>
          <w:rFonts w:eastAsia="黑体"/>
          <w:spacing w:val="20"/>
          <w:sz w:val="32"/>
          <w:szCs w:val="32"/>
        </w:rPr>
        <w:sectPr>
          <w:footerReference r:id="rId5" w:type="first"/>
          <w:pgSz w:w="11906" w:h="16838"/>
          <w:pgMar w:top="1440" w:right="1797" w:bottom="1440" w:left="1797" w:header="851" w:footer="283" w:gutter="0"/>
          <w:cols w:space="425" w:num="1"/>
          <w:docGrid w:type="lines" w:linePitch="381" w:charSpace="0"/>
        </w:sectPr>
      </w:pPr>
    </w:p>
    <w:p>
      <w:pPr>
        <w:shd w:val="clear" w:color="auto" w:fill="FFFFFF"/>
        <w:tabs>
          <w:tab w:val="left" w:pos="360"/>
        </w:tabs>
        <w:spacing w:before="156" w:after="156" w:line="276" w:lineRule="auto"/>
        <w:jc w:val="center"/>
        <w:outlineLvl w:val="0"/>
        <w:rPr>
          <w:rFonts w:ascii="黑体" w:hAnsi="Times New Roman" w:eastAsia="黑体" w:cs="Times New Roman"/>
          <w:kern w:val="0"/>
          <w:sz w:val="32"/>
          <w:szCs w:val="20"/>
        </w:rPr>
      </w:pPr>
      <w:bookmarkStart w:id="346" w:name="_Toc201223989"/>
      <w:bookmarkStart w:id="347" w:name="_Toc201078676"/>
      <w:bookmarkStart w:id="348" w:name="_Toc847"/>
      <w:bookmarkStart w:id="349" w:name="_Toc201743641"/>
      <w:bookmarkStart w:id="350" w:name="_Toc201745767"/>
      <w:bookmarkStart w:id="351" w:name="_Toc201743692"/>
      <w:bookmarkStart w:id="352" w:name="_Toc201743743"/>
      <w:r>
        <w:rPr>
          <w:rFonts w:hint="eastAsia" w:ascii="Times New Roman" w:hAnsi="Times New Roman" w:eastAsia="黑体" w:cs="Times New Roman"/>
          <w:kern w:val="0"/>
          <w:sz w:val="32"/>
          <w:szCs w:val="20"/>
        </w:rPr>
        <w:t>制 定 说 明</w:t>
      </w:r>
      <w:bookmarkEnd w:id="346"/>
      <w:bookmarkEnd w:id="347"/>
      <w:bookmarkEnd w:id="348"/>
      <w:bookmarkEnd w:id="349"/>
      <w:bookmarkEnd w:id="350"/>
      <w:bookmarkEnd w:id="351"/>
      <w:bookmarkEnd w:id="352"/>
    </w:p>
    <w:p>
      <w:pPr>
        <w:spacing w:after="160" w:line="276" w:lineRule="auto"/>
        <w:ind w:firstLine="480" w:firstLineChars="200"/>
        <w:rPr>
          <w:rFonts w:ascii="宋体" w:hAnsi="宋体" w:eastAsia="宋体" w:cs="黑体"/>
          <w:bCs/>
          <w:sz w:val="24"/>
          <w:szCs w:val="24"/>
        </w:rPr>
      </w:pPr>
      <w:r>
        <w:rPr>
          <w:rFonts w:hint="eastAsia" w:ascii="宋体" w:hAnsi="宋体" w:eastAsia="宋体" w:cs="黑体"/>
          <w:bCs/>
          <w:sz w:val="24"/>
          <w:szCs w:val="24"/>
        </w:rPr>
        <w:t>《</w:t>
      </w:r>
      <w:r>
        <w:rPr>
          <w:rFonts w:hint="eastAsia" w:ascii="Times New Roman" w:hAnsi="Times New Roman" w:eastAsia="宋体" w:cs="Times New Roman"/>
          <w:color w:val="000000" w:themeColor="text1"/>
          <w:sz w:val="24"/>
          <w:szCs w:val="24"/>
          <w14:textFill>
            <w14:solidFill>
              <w14:schemeClr w14:val="tx1"/>
            </w14:solidFill>
          </w14:textFill>
        </w:rPr>
        <w:t>城市特大洪涝灾害链综合风险图编制标准</w:t>
      </w:r>
      <w:r>
        <w:rPr>
          <w:rFonts w:hint="eastAsia" w:ascii="宋体" w:hAnsi="宋体" w:eastAsia="宋体" w:cs="黑体"/>
          <w:bCs/>
          <w:sz w:val="24"/>
          <w:szCs w:val="24"/>
        </w:rPr>
        <w:t>》DBJ/T 15-XX-20XX，经广东省住房和城乡建设厅202X年X月X日以粤建公告[202X] XX号发布。</w:t>
      </w:r>
    </w:p>
    <w:p>
      <w:pPr>
        <w:spacing w:after="160" w:line="276" w:lineRule="auto"/>
        <w:ind w:firstLine="480" w:firstLineChars="200"/>
        <w:rPr>
          <w:rFonts w:ascii="宋体" w:hAnsi="宋体" w:eastAsia="宋体" w:cs="黑体"/>
          <w:bCs/>
          <w:sz w:val="24"/>
          <w:szCs w:val="24"/>
        </w:rPr>
      </w:pPr>
      <w:r>
        <w:rPr>
          <w:rFonts w:hint="eastAsia" w:ascii="宋体" w:hAnsi="宋体" w:eastAsia="宋体" w:cs="黑体"/>
          <w:bCs/>
          <w:sz w:val="24"/>
          <w:szCs w:val="24"/>
        </w:rPr>
        <w:t>本标准制定过程之中，编制组进行了广泛的调查研究，</w:t>
      </w:r>
      <w:r>
        <w:rPr>
          <w:rFonts w:hint="eastAsia" w:ascii="Times New Roman" w:hAnsi="Times New Roman" w:eastAsia="宋体" w:cs="Times New Roman"/>
          <w:color w:val="000000" w:themeColor="text1"/>
          <w:sz w:val="24"/>
          <w:szCs w:val="24"/>
          <w14:textFill>
            <w14:solidFill>
              <w14:schemeClr w14:val="tx1"/>
            </w14:solidFill>
          </w14:textFill>
        </w:rPr>
        <w:t>认真总结实践经验</w:t>
      </w:r>
      <w:r>
        <w:rPr>
          <w:rFonts w:hint="eastAsia" w:ascii="宋体" w:hAnsi="宋体" w:eastAsia="宋体" w:cs="黑体"/>
          <w:bCs/>
          <w:sz w:val="24"/>
          <w:szCs w:val="24"/>
        </w:rPr>
        <w:t>，参考了国内外先进技术规范、技术标准，在广东省内广泛地征求了意见并进行了汇总和处理。</w:t>
      </w:r>
    </w:p>
    <w:p>
      <w:pPr>
        <w:spacing w:after="160" w:line="276" w:lineRule="auto"/>
        <w:ind w:firstLine="480" w:firstLineChars="200"/>
        <w:rPr>
          <w:rFonts w:ascii="宋体" w:hAnsi="宋体" w:eastAsia="宋体" w:cs="黑体"/>
          <w:bCs/>
          <w:sz w:val="24"/>
          <w:szCs w:val="24"/>
        </w:rPr>
        <w:sectPr>
          <w:pgSz w:w="11906" w:h="16838"/>
          <w:pgMar w:top="1440" w:right="1797" w:bottom="1440" w:left="1797" w:header="851" w:footer="283" w:gutter="0"/>
          <w:cols w:space="425" w:num="1"/>
          <w:docGrid w:type="lines" w:linePitch="381" w:charSpace="0"/>
        </w:sectPr>
      </w:pPr>
      <w:r>
        <w:rPr>
          <w:rFonts w:hint="eastAsia" w:ascii="宋体" w:hAnsi="宋体" w:eastAsia="宋体" w:cs="黑体"/>
          <w:bCs/>
          <w:sz w:val="24"/>
          <w:szCs w:val="24"/>
        </w:rPr>
        <w:t>为便于有关单位人员在使用本标准时能正确理解和执行条文规定，编制组按照章、节、条顺序编制了本标准的条文说明，供使用者参考。但是，本条文说明不具备与标准正文同等的法律效力，仅供使用者作为理解把握标准规定的参考。</w:t>
      </w:r>
    </w:p>
    <w:sdt>
      <w:sdtPr>
        <w:rPr>
          <w:rFonts w:eastAsia="仿宋" w:asciiTheme="minorHAnsi" w:hAnsiTheme="minorHAnsi" w:cstheme="minorBidi"/>
          <w:color w:val="auto"/>
          <w:kern w:val="2"/>
          <w:sz w:val="28"/>
          <w:szCs w:val="22"/>
          <w:lang w:val="zh-CN"/>
        </w:rPr>
        <w:id w:val="-70812015"/>
        <w:docPartObj>
          <w:docPartGallery w:val="Table of Contents"/>
          <w:docPartUnique/>
        </w:docPartObj>
      </w:sdtPr>
      <w:sdtEndPr>
        <w:rPr>
          <w:rFonts w:eastAsia="仿宋" w:asciiTheme="minorHAnsi" w:hAnsiTheme="minorHAnsi" w:cstheme="minorBidi"/>
          <w:color w:val="auto"/>
          <w:kern w:val="2"/>
          <w:sz w:val="28"/>
          <w:szCs w:val="22"/>
          <w:lang w:val="zh-CN"/>
        </w:rPr>
      </w:sdtEndPr>
      <w:sdtContent>
        <w:sdt>
          <w:sdtPr>
            <w:rPr>
              <w:rFonts w:eastAsia="仿宋" w:asciiTheme="minorHAnsi" w:hAnsiTheme="minorHAnsi" w:cstheme="minorBidi"/>
              <w:color w:val="auto"/>
              <w:kern w:val="2"/>
              <w:sz w:val="28"/>
              <w:szCs w:val="22"/>
              <w:lang w:val="zh-CN"/>
            </w:rPr>
            <w:id w:val="1971867632"/>
            <w:docPartObj>
              <w:docPartGallery w:val="Table of Contents"/>
              <w:docPartUnique/>
            </w:docPartObj>
          </w:sdtPr>
          <w:sdtEndPr>
            <w:rPr>
              <w:rFonts w:eastAsia="仿宋" w:asciiTheme="minorHAnsi" w:hAnsiTheme="minorHAnsi" w:cstheme="minorBidi"/>
              <w:b/>
              <w:bCs/>
              <w:color w:val="auto"/>
              <w:kern w:val="2"/>
              <w:sz w:val="28"/>
              <w:szCs w:val="22"/>
              <w:lang w:val="zh-CN"/>
            </w:rPr>
          </w:sdtEndPr>
          <w:sdtContent>
            <w:p>
              <w:pPr>
                <w:pStyle w:val="79"/>
                <w:jc w:val="center"/>
                <w:outlineLvl w:val="0"/>
                <w:rPr>
                  <w:rFonts w:ascii="Times New Roman" w:hAnsi="Times New Roman" w:cs="Times New Roman"/>
                  <w:b/>
                  <w:bCs/>
                  <w:color w:val="000000" w:themeColor="text1"/>
                  <w14:textFill>
                    <w14:solidFill>
                      <w14:schemeClr w14:val="tx1"/>
                    </w14:solidFill>
                  </w14:textFill>
                </w:rPr>
              </w:pPr>
              <w:bookmarkStart w:id="353" w:name="_Toc201743744"/>
              <w:bookmarkEnd w:id="353"/>
              <w:bookmarkStart w:id="354" w:name="_Toc201743693"/>
              <w:bookmarkEnd w:id="354"/>
              <w:bookmarkStart w:id="355" w:name="_Toc201078677"/>
              <w:bookmarkEnd w:id="355"/>
              <w:bookmarkStart w:id="356" w:name="_Toc201223990"/>
              <w:bookmarkEnd w:id="356"/>
              <w:bookmarkStart w:id="357" w:name="_Toc353"/>
              <w:bookmarkEnd w:id="357"/>
              <w:bookmarkStart w:id="358" w:name="_Toc201743642"/>
              <w:bookmarkEnd w:id="358"/>
              <w:bookmarkStart w:id="359" w:name="_Toc200478257"/>
              <w:bookmarkEnd w:id="359"/>
              <w:bookmarkStart w:id="360" w:name="_Toc201745768"/>
              <w:r>
                <w:rPr>
                  <w:rFonts w:ascii="Times New Roman" w:hAnsi="Times New Roman" w:cs="Times New Roman"/>
                  <w:b/>
                  <w:bCs/>
                  <w:color w:val="000000" w:themeColor="text1"/>
                  <w:lang w:val="zh-CN"/>
                  <w14:textFill>
                    <w14:solidFill>
                      <w14:schemeClr w14:val="tx1"/>
                    </w14:solidFill>
                  </w14:textFill>
                </w:rPr>
                <w:t>目  次</w:t>
              </w:r>
              <w:bookmarkEnd w:id="360"/>
            </w:p>
            <w:p>
              <w:pPr>
                <w:pStyle w:val="18"/>
                <w:tabs>
                  <w:tab w:val="right" w:leader="dot" w:pos="8302"/>
                </w:tabs>
                <w:ind w:left="241" w:hanging="240" w:hangingChars="100"/>
                <w:rPr>
                  <w:rFonts w:ascii="Times New Roman" w:hAnsi="Times New Roman" w:cs="Times New Roman" w:eastAsiaTheme="minorEastAsia"/>
                  <w:b w:val="0"/>
                  <w:sz w:val="21"/>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r>
                <w:fldChar w:fldCharType="begin"/>
              </w:r>
              <w:r>
                <w:instrText xml:space="preserve"> HYPERLINK \l "_Toc201745769" </w:instrText>
              </w:r>
              <w:r>
                <w:fldChar w:fldCharType="separate"/>
              </w:r>
              <w:r>
                <w:rPr>
                  <w:rStyle w:val="32"/>
                  <w:rFonts w:ascii="Times New Roman" w:hAnsi="Times New Roman" w:cs="Times New Roman"/>
                  <w:kern w:val="44"/>
                </w:rPr>
                <w:t>1总    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_Toc201745769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"_Toc201745770" </w:instrText>
              </w:r>
              <w:r>
                <w:fldChar w:fldCharType="separate"/>
              </w:r>
              <w:r>
                <w:rPr>
                  <w:rStyle w:val="32"/>
                  <w:rFonts w:ascii="Times New Roman" w:hAnsi="Times New Roman" w:cs="Times New Roman"/>
                  <w:kern w:val="44"/>
                </w:rPr>
                <w:t>2术   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_Toc201745770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"_Toc201745771" </w:instrText>
              </w:r>
              <w:r>
                <w:fldChar w:fldCharType="separate"/>
              </w:r>
              <w:r>
                <w:rPr>
                  <w:rStyle w:val="32"/>
                  <w:rFonts w:ascii="Times New Roman" w:hAnsi="Times New Roman" w:cs="Times New Roman"/>
                  <w:kern w:val="44"/>
                </w:rPr>
                <w:t>3洪涝积水风险评估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_Toc201745771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2"/>
                </w:tabs>
                <w:ind w:left="280"/>
                <w:rPr>
                  <w:rFonts w:eastAsiaTheme="minorEastAsia"/>
                  <w:sz w:val="21"/>
                </w:rPr>
              </w:pPr>
              <w:r>
                <w:fldChar w:fldCharType="begin"/>
              </w:r>
              <w:r>
                <w:instrText xml:space="preserve"> HYPERLINK \l "_Toc201745772" </w:instrText>
              </w:r>
              <w:r>
                <w:fldChar w:fldCharType="separate"/>
              </w:r>
              <w:r>
                <w:rPr>
                  <w:rStyle w:val="32"/>
                </w:rPr>
                <w:t>3.1 一 般 规 定</w:t>
              </w:r>
              <w:r>
                <w:tab/>
              </w:r>
              <w:r>
                <w:fldChar w:fldCharType="begin"/>
              </w:r>
              <w:r>
                <w:instrText xml:space="preserve"> PAGEREF _Toc201745772 \h </w:instrText>
              </w:r>
              <w:r>
                <w:fldChar w:fldCharType="separate"/>
              </w:r>
              <w:r>
                <w:t>54</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"_Toc201745773" </w:instrText>
              </w:r>
              <w:r>
                <w:fldChar w:fldCharType="separate"/>
              </w:r>
              <w:r>
                <w:rPr>
                  <w:rStyle w:val="32"/>
                </w:rPr>
                <w:t>3.2 基 本 方 法</w:t>
              </w:r>
              <w:r>
                <w:tab/>
              </w:r>
              <w:r>
                <w:fldChar w:fldCharType="begin"/>
              </w:r>
              <w:r>
                <w:instrText xml:space="preserve"> PAGEREF _Toc201745773 \h </w:instrText>
              </w:r>
              <w:r>
                <w:fldChar w:fldCharType="separate"/>
              </w:r>
              <w:r>
                <w:t>54</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"_Toc201745774" </w:instrText>
              </w:r>
              <w:r>
                <w:fldChar w:fldCharType="separate"/>
              </w:r>
              <w:r>
                <w:rPr>
                  <w:rStyle w:val="32"/>
                </w:rPr>
                <w:t>3.3 计 算 方 案</w:t>
              </w:r>
              <w:r>
                <w:tab/>
              </w:r>
              <w:r>
                <w:fldChar w:fldCharType="begin"/>
              </w:r>
              <w:r>
                <w:instrText xml:space="preserve"> PAGEREF _Toc201745774 \h </w:instrText>
              </w:r>
              <w:r>
                <w:fldChar w:fldCharType="separate"/>
              </w:r>
              <w:r>
                <w:t>56</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"_Toc201745775" </w:instrText>
              </w:r>
              <w:r>
                <w:fldChar w:fldCharType="separate"/>
              </w:r>
              <w:r>
                <w:rPr>
                  <w:rStyle w:val="32"/>
                </w:rPr>
                <w:t>3.4 洪涝积水风险评估</w:t>
              </w:r>
              <w:r>
                <w:tab/>
              </w:r>
              <w:r>
                <w:fldChar w:fldCharType="begin"/>
              </w:r>
              <w:r>
                <w:instrText xml:space="preserve"> PAGEREF _Toc201745775 \h </w:instrText>
              </w:r>
              <w:r>
                <w:fldChar w:fldCharType="separate"/>
              </w:r>
              <w:r>
                <w:t>58</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"_Toc201745776" </w:instrText>
              </w:r>
              <w:r>
                <w:fldChar w:fldCharType="separate"/>
              </w:r>
              <w:r>
                <w:rPr>
                  <w:rStyle w:val="32"/>
                </w:rPr>
                <w:t>3.5 洪涝积水风险区划</w:t>
              </w:r>
              <w:r>
                <w:tab/>
              </w:r>
              <w:r>
                <w:fldChar w:fldCharType="begin"/>
              </w:r>
              <w:r>
                <w:instrText xml:space="preserve"> PAGEREF _Toc201745776 \h </w:instrText>
              </w:r>
              <w:r>
                <w:fldChar w:fldCharType="separate"/>
              </w:r>
              <w:r>
                <w:t>60</w:t>
              </w:r>
              <w:r>
                <w:fldChar w:fldCharType="end"/>
              </w:r>
              <w: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"_Toc201745777" </w:instrText>
              </w:r>
              <w:r>
                <w:fldChar w:fldCharType="separate"/>
              </w:r>
              <w:r>
                <w:rPr>
                  <w:rStyle w:val="32"/>
                  <w:rFonts w:ascii="Times New Roman" w:hAnsi="Times New Roman" w:cs="Times New Roman"/>
                  <w:kern w:val="44"/>
                </w:rPr>
                <w:t>4洪涝灾害链综合风险评估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_Toc201745777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2"/>
                </w:tabs>
                <w:ind w:left="280"/>
                <w:rPr>
                  <w:rFonts w:eastAsiaTheme="minorEastAsia"/>
                  <w:sz w:val="21"/>
                </w:rPr>
              </w:pPr>
              <w:r>
                <w:fldChar w:fldCharType="begin"/>
              </w:r>
              <w:r>
                <w:instrText xml:space="preserve"> HYPERLINK \l "_Toc201745778" </w:instrText>
              </w:r>
              <w:r>
                <w:fldChar w:fldCharType="separate"/>
              </w:r>
              <w:r>
                <w:rPr>
                  <w:rStyle w:val="32"/>
                </w:rPr>
                <w:t>4.1 一 般 规 定</w:t>
              </w:r>
              <w:r>
                <w:tab/>
              </w:r>
              <w:r>
                <w:fldChar w:fldCharType="begin"/>
              </w:r>
              <w:r>
                <w:instrText xml:space="preserve"> PAGEREF _Toc201745778 \h </w:instrText>
              </w:r>
              <w:r>
                <w:fldChar w:fldCharType="separate"/>
              </w:r>
              <w:r>
                <w:t>62</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"_Toc201745779" </w:instrText>
              </w:r>
              <w:r>
                <w:fldChar w:fldCharType="separate"/>
              </w:r>
              <w:r>
                <w:rPr>
                  <w:rStyle w:val="32"/>
                </w:rPr>
                <w:t>4.2 评 估 指 标</w:t>
              </w:r>
              <w:r>
                <w:tab/>
              </w:r>
              <w:r>
                <w:fldChar w:fldCharType="begin"/>
              </w:r>
              <w:r>
                <w:instrText xml:space="preserve"> PAGEREF _Toc201745779 \h </w:instrText>
              </w:r>
              <w:r>
                <w:fldChar w:fldCharType="separate"/>
              </w:r>
              <w:r>
                <w:t>63</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"_Toc201745780" </w:instrText>
              </w:r>
              <w:r>
                <w:fldChar w:fldCharType="separate"/>
              </w:r>
              <w:r>
                <w:rPr>
                  <w:rStyle w:val="32"/>
                </w:rPr>
                <w:t>4.3 城市洪涝脆弱性风险评估与区划</w:t>
              </w:r>
              <w:r>
                <w:tab/>
              </w:r>
              <w:r>
                <w:fldChar w:fldCharType="begin"/>
              </w:r>
              <w:r>
                <w:instrText xml:space="preserve"> PAGEREF _Toc201745780 \h </w:instrText>
              </w:r>
              <w:r>
                <w:fldChar w:fldCharType="separate"/>
              </w:r>
              <w:r>
                <w:t>67</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"_Toc201745781" </w:instrText>
              </w:r>
              <w:r>
                <w:fldChar w:fldCharType="separate"/>
              </w:r>
              <w:r>
                <w:rPr>
                  <w:rStyle w:val="32"/>
                </w:rPr>
                <w:t>4.4 洪涝灾害链综合风险评估与区划</w:t>
              </w:r>
              <w:r>
                <w:tab/>
              </w:r>
              <w:r>
                <w:fldChar w:fldCharType="begin"/>
              </w:r>
              <w:r>
                <w:instrText xml:space="preserve"> PAGEREF _Toc201745781 \h </w:instrText>
              </w:r>
              <w:r>
                <w:fldChar w:fldCharType="separate"/>
              </w:r>
              <w:r>
                <w:t>68</w:t>
              </w:r>
              <w:r>
                <w:fldChar w:fldCharType="end"/>
              </w:r>
              <w:r>
                <w:fldChar w:fldCharType="end"/>
              </w:r>
            </w:p>
            <w:p>
              <w:pPr>
                <w:pStyle w:val="21"/>
                <w:tabs>
                  <w:tab w:val="right" w:leader="dot" w:pos="8302"/>
                </w:tabs>
                <w:ind w:left="280"/>
                <w:rPr>
                  <w:rFonts w:eastAsiaTheme="minorEastAsia"/>
                  <w:sz w:val="21"/>
                </w:rPr>
              </w:pPr>
              <w:r>
                <w:fldChar w:fldCharType="begin"/>
              </w:r>
              <w:r>
                <w:instrText xml:space="preserve"> HYPERLINK \l "_Toc201745782" </w:instrText>
              </w:r>
              <w:r>
                <w:fldChar w:fldCharType="separate"/>
              </w:r>
              <w:r>
                <w:rPr>
                  <w:rStyle w:val="32"/>
                </w:rPr>
                <w:t>4.5 承灾体受淹风险评估</w:t>
              </w:r>
              <w:r>
                <w:tab/>
              </w:r>
              <w:r>
                <w:fldChar w:fldCharType="begin"/>
              </w:r>
              <w:r>
                <w:instrText xml:space="preserve"> PAGEREF _Toc201745782 \h </w:instrText>
              </w:r>
              <w:r>
                <w:fldChar w:fldCharType="separate"/>
              </w:r>
              <w:r>
                <w:t>68</w:t>
              </w:r>
              <w:r>
                <w:fldChar w:fldCharType="end"/>
              </w:r>
              <w:r>
                <w:fldChar w:fldCharType="end"/>
              </w:r>
            </w:p>
            <w:p>
              <w:pPr>
                <w:pStyle w:val="18"/>
                <w:tabs>
                  <w:tab w:val="right" w:leader="dot" w:pos="8302"/>
                </w:tabs>
                <w:rPr>
                  <w:rFonts w:ascii="Times New Roman" w:hAnsi="Times New Roman" w:cs="Times New Roman" w:eastAsiaTheme="minorEastAsia"/>
                  <w:b w:val="0"/>
                  <w:sz w:val="21"/>
                </w:rPr>
              </w:pPr>
              <w:r>
                <w:fldChar w:fldCharType="begin"/>
              </w:r>
              <w:r>
                <w:instrText xml:space="preserve"> HYPERLINK \l "_Toc201745783" </w:instrText>
              </w:r>
              <w:r>
                <w:fldChar w:fldCharType="separate"/>
              </w:r>
              <w:r>
                <w:rPr>
                  <w:rStyle w:val="32"/>
                  <w:rFonts w:ascii="Times New Roman" w:hAnsi="Times New Roman" w:cs="Times New Roman"/>
                  <w:kern w:val="44"/>
                </w:rPr>
                <w:t>5洪涝灾害链综合风险数字化管理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_Toc201745783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spacing w:line="312" w:lineRule="auto"/>
                <w:rPr>
                  <w:rFonts w:hint="eastAsia"/>
                  <w:b/>
                  <w:bCs/>
                  <w:lang w:val="zh-CN"/>
                </w:rPr>
              </w:pPr>
              <w:r>
                <w:rPr>
                  <w:rFonts w:ascii="Times New Roman" w:hAnsi="Times New Roman" w:cs="Times New Roman"/>
                </w:rPr>
                <w:fldChar w:fldCharType="end"/>
              </w:r>
            </w:p>
          </w:sdtContent>
        </w:sdt>
      </w:sdtContent>
    </w:sdt>
    <w:p>
      <w:pPr>
        <w:widowControl/>
        <w:jc w:val="left"/>
      </w:pPr>
      <w:r>
        <w:br w:type="page"/>
      </w:r>
    </w:p>
    <w:p>
      <w:pPr>
        <w:tabs>
          <w:tab w:val="left" w:pos="6301"/>
        </w:tabs>
        <w:jc w:val="left"/>
        <w:sectPr>
          <w:footerReference r:id="rId6" w:type="default"/>
          <w:pgSz w:w="11906" w:h="16838"/>
          <w:pgMar w:top="1440" w:right="1797" w:bottom="1440" w:left="1797" w:header="851" w:footer="283" w:gutter="0"/>
          <w:cols w:space="425" w:num="1"/>
          <w:docGrid w:type="lines" w:linePitch="381" w:charSpace="0"/>
        </w:sectPr>
      </w:pPr>
    </w:p>
    <w:p>
      <w:pPr>
        <w:pStyle w:val="2"/>
        <w:numPr>
          <w:ilvl w:val="0"/>
          <w:numId w:val="23"/>
        </w:numPr>
        <w:spacing w:before="340" w:beforeLines="0" w:after="330" w:afterLines="0" w:line="578" w:lineRule="auto"/>
        <w:rPr>
          <w:spacing w:val="0"/>
          <w:kern w:val="44"/>
          <w:sz w:val="30"/>
          <w:szCs w:val="20"/>
        </w:rPr>
      </w:pPr>
      <w:bookmarkStart w:id="361" w:name="_Toc11073"/>
      <w:bookmarkStart w:id="362" w:name="_Toc200478258"/>
      <w:bookmarkStart w:id="363" w:name="_Toc201223991"/>
      <w:r>
        <w:rPr>
          <w:rFonts w:hint="eastAsia"/>
          <w:spacing w:val="0"/>
          <w:kern w:val="44"/>
          <w:sz w:val="30"/>
          <w:szCs w:val="20"/>
        </w:rPr>
        <w:t xml:space="preserve"> </w:t>
      </w:r>
      <w:r>
        <w:rPr>
          <w:spacing w:val="0"/>
          <w:kern w:val="44"/>
          <w:sz w:val="30"/>
          <w:szCs w:val="20"/>
        </w:rPr>
        <w:t xml:space="preserve"> </w:t>
      </w:r>
      <w:bookmarkStart w:id="364" w:name="_Toc201743643"/>
      <w:bookmarkStart w:id="365" w:name="_Toc201745769"/>
      <w:bookmarkStart w:id="366" w:name="_Toc201743694"/>
      <w:bookmarkStart w:id="367" w:name="_Toc201743745"/>
      <w:r>
        <w:rPr>
          <w:spacing w:val="0"/>
          <w:kern w:val="44"/>
          <w:sz w:val="30"/>
          <w:szCs w:val="20"/>
        </w:rPr>
        <w:t>总</w:t>
      </w:r>
      <w:r>
        <w:rPr>
          <w:rFonts w:hint="eastAsia"/>
          <w:spacing w:val="0"/>
          <w:kern w:val="44"/>
          <w:sz w:val="30"/>
          <w:szCs w:val="20"/>
        </w:rPr>
        <w:t xml:space="preserve"> </w:t>
      </w:r>
      <w:r>
        <w:rPr>
          <w:spacing w:val="0"/>
          <w:kern w:val="44"/>
          <w:sz w:val="30"/>
          <w:szCs w:val="20"/>
        </w:rPr>
        <w:t xml:space="preserve">   则</w:t>
      </w:r>
      <w:bookmarkEnd w:id="361"/>
      <w:bookmarkEnd w:id="362"/>
      <w:bookmarkEnd w:id="363"/>
      <w:bookmarkEnd w:id="364"/>
      <w:bookmarkEnd w:id="365"/>
      <w:bookmarkEnd w:id="366"/>
      <w:bookmarkEnd w:id="367"/>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我国最早于1984年编制了第一张永定河的洪水风险图。1997年，国家防汛抗旱总指挥部办公室正式要求全国组织绘制洪水风险图。此后不断完善计算方法和洪水模拟技术，并开展了城市建设区、防洪保护区、洪泛区等各种类型洪水风险图编制的研究和探索。2010年《洪水风险图编制导则》SL 483-2010正式出版，2016年国务院修订了《洪水风险图编制技术细则》，明确了全国重点地区洪水风险图的编制要求。但我国已编制的洪水风险图主要针对流域层面的河流洪水和沿海洪水，用于防洪减灾规划、风险评估、土地管理、避洪转移、公众参与及洪水风险意识普及等，较少关注城市建成区内涝积水问题，并未全面界定城市内涝风险图编制显著不同于流域尺度河道洪水的独特之处，难以给予城市内涝风险图绘制切实和具体的指导。</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2021年《国务院办公厅关于加强城市内涝治理的实施意见》（国办发〔2021〕11号）印发，要求城市编制内涝风险图，探索划定洪涝风险控制线和灾害风险区。2022年，北京市发布了内涝风险分布图，以积水深度为内涝风险指标，给出了主城区历史积水内涝点分布、下凹式立交桥分布和积水内涝风险分布情况，在图示基础上，并附内涝点和风险点详细信息表。目前我国对内涝风险的评估主要参考《室外排水设计标准》GB</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50014规定的地面积水设计标准, 采用积水深度、积水时间、淹没范围等指标进行评估，尚未建立利用内涝风险评估系统指导风险图编制的体系，同时，内涝风险主要评估积水深度、时间和淹没范围等，对于因积水问题导致的断交、断电、断水等衍生灾害缺少评估，且难以指导断链减灾、应急抢险相关工作。</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全球气候变化，极端降雨增多的背景下，城市受特大洪涝灾害的风险增加，城市内涝积水问题导致的人民生命财产损失也更为严重。因此，应尽快开展城市特大洪涝灾害链综合风险图编制工作，通过洪涝积水风险和洪涝灾害链风险分析，从洪涝事件演化的角度分析灾害风险，反映洪涝灾害引发的各类风险与影响，从而协助相关部门把握洪涝灾害防治的重点环节，更加有效地为应急减灾提供决策支持，减少灾害链式传播带来的损失。</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本标准服务于开展</w:t>
      </w:r>
      <w:r>
        <w:rPr>
          <w:rFonts w:ascii="Times New Roman" w:hAnsi="Times New Roman" w:eastAsia="宋体" w:cs="Times New Roman"/>
          <w:sz w:val="24"/>
          <w:szCs w:val="24"/>
        </w:rPr>
        <w:t>广东省行政管辖范围内县级及以上行政单元</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城市特大洪涝灾害链综合风险图</w:t>
      </w:r>
      <w:r>
        <w:rPr>
          <w:rFonts w:hint="eastAsia" w:ascii="Times New Roman" w:hAnsi="Times New Roman" w:eastAsia="宋体" w:cs="Times New Roman"/>
          <w:sz w:val="24"/>
          <w:szCs w:val="24"/>
        </w:rPr>
        <w:t>编制的编制单位和技术人员，用于指导其进行图纸编制。</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城市特大洪涝灾害链综合风险图包括洪涝积水风险图、城市洪涝脆弱性风险图、洪涝灾害链综合风险图和承灾体受淹风险图四部分内容。</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住建和水务部门利用洪涝积水风险图，开展积水点等风险隐患点位整治工作；利用洪涝灾害链综合风险图，对链生灾害的关键环节进行整治，提前实现断链减灾。</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应急部门利用洪涝灾害链综合风险图和承灾体受淹风险图，针对链生灾害的关键环节和存在受淹风险的承灾体点位，提前制定</w:t>
      </w:r>
      <w:r>
        <w:rPr>
          <w:rFonts w:ascii="Times New Roman" w:hAnsi="Times New Roman" w:eastAsia="宋体" w:cs="Times New Roman"/>
          <w:sz w:val="24"/>
          <w:szCs w:val="24"/>
        </w:rPr>
        <w:t>应急预案</w:t>
      </w:r>
      <w:r>
        <w:rPr>
          <w:rFonts w:hint="eastAsia" w:ascii="Times New Roman" w:hAnsi="Times New Roman" w:eastAsia="宋体" w:cs="Times New Roman"/>
          <w:sz w:val="24"/>
          <w:szCs w:val="24"/>
        </w:rPr>
        <w:t>，</w:t>
      </w:r>
      <w:r>
        <w:rPr>
          <w:rFonts w:ascii="Times New Roman" w:hAnsi="Times New Roman" w:eastAsia="宋体" w:cs="Times New Roman"/>
          <w:sz w:val="24"/>
          <w:szCs w:val="24"/>
        </w:rPr>
        <w:t>建立完善地下空间</w:t>
      </w:r>
      <w:r>
        <w:rPr>
          <w:rFonts w:hint="eastAsia" w:ascii="Times New Roman" w:hAnsi="Times New Roman" w:eastAsia="宋体" w:cs="Times New Roman"/>
          <w:sz w:val="24"/>
          <w:szCs w:val="24"/>
        </w:rPr>
        <w:t>、生命线工程</w:t>
      </w:r>
      <w:r>
        <w:rPr>
          <w:rFonts w:ascii="Times New Roman" w:hAnsi="Times New Roman" w:eastAsia="宋体" w:cs="Times New Roman"/>
          <w:sz w:val="24"/>
          <w:szCs w:val="24"/>
        </w:rPr>
        <w:t>等重点部位的</w:t>
      </w:r>
      <w:r>
        <w:rPr>
          <w:rFonts w:hint="eastAsia" w:ascii="Times New Roman" w:hAnsi="Times New Roman" w:eastAsia="宋体" w:cs="Times New Roman"/>
          <w:sz w:val="24"/>
          <w:szCs w:val="24"/>
        </w:rPr>
        <w:t>受淹</w:t>
      </w:r>
      <w:r>
        <w:rPr>
          <w:rFonts w:ascii="Times New Roman" w:hAnsi="Times New Roman" w:eastAsia="宋体" w:cs="Times New Roman"/>
          <w:sz w:val="24"/>
          <w:szCs w:val="24"/>
        </w:rPr>
        <w:t>应急响应机制</w:t>
      </w:r>
      <w:r>
        <w:rPr>
          <w:rFonts w:hint="eastAsia" w:ascii="Times New Roman" w:hAnsi="Times New Roman" w:eastAsia="宋体" w:cs="Times New Roman"/>
          <w:sz w:val="24"/>
          <w:szCs w:val="24"/>
        </w:rPr>
        <w:t>，</w:t>
      </w:r>
      <w:r>
        <w:rPr>
          <w:rFonts w:ascii="Times New Roman" w:hAnsi="Times New Roman" w:eastAsia="宋体" w:cs="Times New Roman"/>
          <w:sz w:val="24"/>
          <w:szCs w:val="24"/>
        </w:rPr>
        <w:t>强化应急演练，实现城市</w:t>
      </w:r>
      <w:r>
        <w:rPr>
          <w:rFonts w:hint="eastAsia" w:ascii="Times New Roman" w:hAnsi="Times New Roman" w:eastAsia="宋体" w:cs="Times New Roman"/>
          <w:sz w:val="24"/>
          <w:szCs w:val="24"/>
        </w:rPr>
        <w:t>洪涝灾害</w:t>
      </w:r>
      <w:r>
        <w:rPr>
          <w:rFonts w:ascii="Times New Roman" w:hAnsi="Times New Roman" w:eastAsia="宋体" w:cs="Times New Roman"/>
          <w:sz w:val="24"/>
          <w:szCs w:val="24"/>
        </w:rPr>
        <w:t>风险防控和应急管理能力整体提升</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自然资源和规划部门利用洪涝积水风险图和城市洪涝脆弱性风险图，划定洪涝风险控制线和灾害风险区。</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市民</w:t>
      </w:r>
      <w:r>
        <w:rPr>
          <w:rFonts w:hint="eastAsia" w:ascii="Times New Roman" w:hAnsi="Times New Roman" w:eastAsia="宋体" w:cs="Times New Roman"/>
          <w:sz w:val="24"/>
          <w:szCs w:val="24"/>
        </w:rPr>
        <w:t>利用洪涝积水风险图，</w:t>
      </w:r>
      <w:r>
        <w:rPr>
          <w:rFonts w:ascii="Times New Roman" w:hAnsi="Times New Roman" w:eastAsia="宋体" w:cs="Times New Roman"/>
          <w:sz w:val="24"/>
          <w:szCs w:val="24"/>
        </w:rPr>
        <w:t>快速查找风险点位，通过绕行避让等方式，规避</w:t>
      </w:r>
      <w:r>
        <w:rPr>
          <w:rFonts w:hint="eastAsia" w:ascii="Times New Roman" w:hAnsi="Times New Roman" w:eastAsia="宋体" w:cs="Times New Roman"/>
          <w:sz w:val="24"/>
          <w:szCs w:val="24"/>
        </w:rPr>
        <w:t>洪</w:t>
      </w:r>
      <w:r>
        <w:rPr>
          <w:rFonts w:ascii="Times New Roman" w:hAnsi="Times New Roman" w:eastAsia="宋体" w:cs="Times New Roman"/>
          <w:sz w:val="24"/>
          <w:szCs w:val="24"/>
        </w:rPr>
        <w:t>涝积水风险</w:t>
      </w:r>
      <w:r>
        <w:rPr>
          <w:rFonts w:hint="eastAsia" w:ascii="Times New Roman" w:hAnsi="Times New Roman" w:eastAsia="宋体" w:cs="Times New Roman"/>
          <w:sz w:val="24"/>
          <w:szCs w:val="24"/>
        </w:rPr>
        <w:t>。</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当防洪排涝工程建设、城市建设和社会经济发展等会导致城市特大洪涝灾害风险发生变化，当这些因素发生变化或暴雨图集、暴雨强度公式等边界基础条件修订时，应及时评估、修订或更新城市特大洪涝灾害链综合风险图，以准确反应城市特大洪涝灾害风险。</w:t>
      </w:r>
    </w:p>
    <w:p>
      <w:pPr>
        <w:adjustRightInd w:val="0"/>
        <w:snapToGrid w:val="0"/>
        <w:spacing w:line="360" w:lineRule="auto"/>
        <w:rPr>
          <w:rFonts w:ascii="Times New Roman" w:hAnsi="Times New Roman" w:eastAsia="宋体" w:cs="Times New Roman"/>
          <w:sz w:val="24"/>
          <w:szCs w:val="24"/>
        </w:rPr>
        <w:sectPr>
          <w:footerReference r:id="rId7" w:type="default"/>
          <w:pgSz w:w="11906" w:h="16838"/>
          <w:pgMar w:top="1440" w:right="1797" w:bottom="1440" w:left="1797" w:header="851" w:footer="567" w:gutter="0"/>
          <w:cols w:space="425" w:num="1"/>
          <w:titlePg/>
          <w:docGrid w:type="lines" w:linePitch="381" w:charSpace="0"/>
        </w:sectPr>
      </w:pPr>
    </w:p>
    <w:p>
      <w:pPr>
        <w:pStyle w:val="2"/>
        <w:spacing w:before="340" w:beforeLines="0" w:after="330" w:afterLines="0" w:line="578" w:lineRule="auto"/>
        <w:rPr>
          <w:spacing w:val="0"/>
          <w:kern w:val="44"/>
          <w:sz w:val="30"/>
          <w:szCs w:val="20"/>
        </w:rPr>
      </w:pPr>
      <w:bookmarkStart w:id="368" w:name="_Toc201223992"/>
      <w:bookmarkStart w:id="369" w:name="_Toc200478259"/>
      <w:bookmarkStart w:id="370" w:name="_Toc25229"/>
      <w:r>
        <w:rPr>
          <w:rFonts w:hint="eastAsia"/>
          <w:spacing w:val="0"/>
          <w:kern w:val="44"/>
          <w:sz w:val="30"/>
          <w:szCs w:val="20"/>
        </w:rPr>
        <w:t xml:space="preserve"> </w:t>
      </w:r>
      <w:r>
        <w:rPr>
          <w:spacing w:val="0"/>
          <w:kern w:val="44"/>
          <w:sz w:val="30"/>
          <w:szCs w:val="20"/>
        </w:rPr>
        <w:t xml:space="preserve"> </w:t>
      </w:r>
      <w:bookmarkStart w:id="371" w:name="_Toc201743746"/>
      <w:bookmarkStart w:id="372" w:name="_Toc201745770"/>
      <w:bookmarkStart w:id="373" w:name="_Toc201743695"/>
      <w:bookmarkStart w:id="374" w:name="_Toc201743644"/>
      <w:r>
        <w:rPr>
          <w:spacing w:val="0"/>
          <w:kern w:val="44"/>
          <w:sz w:val="30"/>
          <w:szCs w:val="20"/>
        </w:rPr>
        <w:t>术</w:t>
      </w:r>
      <w:r>
        <w:rPr>
          <w:rFonts w:hint="eastAsia"/>
          <w:spacing w:val="0"/>
          <w:kern w:val="44"/>
          <w:sz w:val="30"/>
          <w:szCs w:val="20"/>
        </w:rPr>
        <w:t xml:space="preserve"> </w:t>
      </w:r>
      <w:r>
        <w:rPr>
          <w:spacing w:val="0"/>
          <w:kern w:val="44"/>
          <w:sz w:val="30"/>
          <w:szCs w:val="20"/>
        </w:rPr>
        <w:t xml:space="preserve">  语</w:t>
      </w:r>
      <w:bookmarkEnd w:id="368"/>
      <w:bookmarkEnd w:id="369"/>
      <w:bookmarkEnd w:id="370"/>
      <w:bookmarkEnd w:id="371"/>
      <w:bookmarkEnd w:id="372"/>
      <w:bookmarkEnd w:id="373"/>
      <w:bookmarkEnd w:id="374"/>
    </w:p>
    <w:p>
      <w:pPr>
        <w:adjustRightInd w:val="0"/>
        <w:snapToGrid w:val="0"/>
        <w:spacing w:line="360" w:lineRule="auto"/>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sz w:val="24"/>
          <w:szCs w:val="24"/>
        </w:rPr>
        <w:t>本章英文部分参照国外有关出版物的相关词条，由于国际标准中部分词条没有统一规定，各个国家的英文使用词汇也不尽相同，故英文部分仅作为推荐英文对应词。</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1 </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特大洪涝灾害</w:t>
      </w:r>
      <w:r>
        <w:rPr>
          <w:rFonts w:ascii="Times New Roman" w:hAnsi="Times New Roman" w:eastAsia="宋体" w:cs="Times New Roman"/>
          <w:sz w:val="24"/>
          <w:szCs w:val="24"/>
        </w:rPr>
        <w:t>尚未有全国统一的单一文件明确定义</w:t>
      </w:r>
      <w:r>
        <w:rPr>
          <w:rFonts w:hint="eastAsia" w:ascii="Times New Roman" w:hAnsi="Times New Roman" w:eastAsia="宋体" w:cs="Times New Roman"/>
          <w:sz w:val="24"/>
          <w:szCs w:val="24"/>
        </w:rPr>
        <w:t>。本标准结合《国家防汛抗旱应急预案》、《气象灾害预警信号发布规范》GB/T 35663、《城镇内涝防治技术规范》GB 51222、《深圳市台风暴雨灾害公众防御指引（试行）》等相关规定，定义特大洪涝灾害</w:t>
      </w:r>
      <w:r>
        <w:rPr>
          <w:rFonts w:ascii="Times New Roman" w:hAnsi="Times New Roman" w:eastAsia="宋体" w:cs="Times New Roman"/>
          <w:sz w:val="24"/>
          <w:szCs w:val="24"/>
        </w:rPr>
        <w:t>是由持续性暴雨、极端降雨或流域性洪水等自然因素引发的，在较大范围内造成严重破坏和损失的洪涝灾害</w:t>
      </w:r>
      <w:r>
        <w:rPr>
          <w:rFonts w:hint="eastAsia" w:ascii="Times New Roman" w:hAnsi="Times New Roman" w:eastAsia="宋体" w:cs="Times New Roman"/>
          <w:sz w:val="24"/>
          <w:szCs w:val="24"/>
        </w:rPr>
        <w:t>。围绕气象水文标准，具体</w:t>
      </w:r>
      <w:r>
        <w:rPr>
          <w:rFonts w:ascii="Times New Roman" w:hAnsi="Times New Roman" w:eastAsia="宋体" w:cs="Times New Roman"/>
          <w:sz w:val="24"/>
          <w:szCs w:val="24"/>
        </w:rPr>
        <w:t>指</w:t>
      </w:r>
      <w:r>
        <w:rPr>
          <w:rFonts w:hint="eastAsia" w:ascii="Times New Roman" w:hAnsi="Times New Roman" w:eastAsia="宋体" w:cs="Times New Roman"/>
          <w:sz w:val="24"/>
          <w:szCs w:val="24"/>
        </w:rPr>
        <w:t>3小时降雨量大于等于100毫米，或小时降雨量大于等于70毫米，或24小时降雨量大于等于200毫米或发生超百年一遇洪水。</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《国家防汛抗旱应急预案》将洪涝灾害分为一般（IV级）、较大（</w:t>
      </w:r>
      <w:r>
        <w:rPr>
          <w:rFonts w:ascii="Times New Roman" w:hAnsi="Times New Roman" w:eastAsia="宋体" w:cs="Times New Roman"/>
          <w:sz w:val="24"/>
          <w:szCs w:val="24"/>
        </w:rPr>
        <w:t>Ⅲ</w:t>
      </w:r>
      <w:r>
        <w:rPr>
          <w:rFonts w:hint="eastAsia" w:ascii="Times New Roman" w:hAnsi="Times New Roman" w:eastAsia="宋体" w:cs="Times New Roman"/>
          <w:sz w:val="24"/>
          <w:szCs w:val="24"/>
        </w:rPr>
        <w:t>级）重大（</w:t>
      </w:r>
      <w:r>
        <w:rPr>
          <w:rFonts w:ascii="Times New Roman" w:hAnsi="Times New Roman" w:eastAsia="宋体" w:cs="Times New Roman"/>
          <w:sz w:val="24"/>
          <w:szCs w:val="24"/>
        </w:rPr>
        <w:t>Ⅱ</w:t>
      </w:r>
      <w:r>
        <w:rPr>
          <w:rFonts w:hint="eastAsia" w:ascii="Times New Roman" w:hAnsi="Times New Roman" w:eastAsia="宋体" w:cs="Times New Roman"/>
          <w:sz w:val="24"/>
          <w:szCs w:val="24"/>
        </w:rPr>
        <w:t>级）特别重大（I级）四级。特大洪涝（I级）需满足以下至少一条：①重要城市（如直辖市、省会）生超百年一遇洪水，或城区50%以上面积受淹；②因灾死亡/失踪人数超300人；③直接经济损失占全省上年GDP的3%以上。</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天气预报基本术语</w:t>
      </w:r>
      <w:r>
        <w:rPr>
          <w:rFonts w:hint="eastAsia" w:ascii="Times New Roman" w:hAnsi="Times New Roman" w:eastAsia="宋体" w:cs="Times New Roman"/>
          <w:sz w:val="24"/>
          <w:szCs w:val="24"/>
        </w:rPr>
        <w:t>》GB/T 35663规定，暴雨红色预警（最高级）为3小时降雨量大于等于100毫米，或24小时大于等于250毫米，可能导致城市严重内涝。</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《城镇内涝防治技术规范》GB 51222规定，城市内涝风险等级为特大内涝：积水深度大于等于0.5米，持续时间大于等于12小时，影响核心功能区（如地铁、医院、主干道）。</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《深圳市台风暴雨灾害公众防御指引（试行）》规定，暴雨红色预警（最高等级）是指3小时降雨量100毫米以上或1小时雨量将达到70毫米以上。</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特大洪涝灾害链综合风险评估</w:t>
      </w:r>
      <w:r>
        <w:rPr>
          <w:rFonts w:ascii="Times New Roman" w:hAnsi="Times New Roman" w:eastAsia="宋体" w:cs="Times New Roman"/>
          <w:sz w:val="24"/>
          <w:szCs w:val="24"/>
        </w:rPr>
        <w:t>尚未有全国统一的单一文件明确定义</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本标准结合《暴雨型洪涝灾害灾情预评估方法》MZ/T 041、《台风洪涝灾害风险评估空间要素内容与指标技术规定》DB44/T 2448，定义风险评估应根据所在地区历史上发生过的极端灾害情况和模拟分析结果，综合考虑致灾因子危险性、孕灾环境敏感性和承灾体脆弱性等，对城市特大洪涝灾害及其链生灾害风险进行评价。</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特大洪涝灾害链综合风险评估</w:t>
      </w:r>
      <w:r>
        <w:rPr>
          <w:rFonts w:hint="eastAsia" w:ascii="Times New Roman" w:hAnsi="Times New Roman" w:eastAsia="宋体" w:cs="Times New Roman"/>
          <w:sz w:val="24"/>
          <w:szCs w:val="24"/>
        </w:rPr>
        <w:t>以提升风险图可用性为目标，更好的指导断链减灾等相关工作，特大洪涝灾害链综合风险评估工作重点围绕洪涝积水风险、城市洪涝灾害易感性及洪涝灾害对城市的影响、灾害链式演变对城市的影响和承灾体脆弱性等方面开展。</w:t>
      </w:r>
    </w:p>
    <w:p>
      <w:pPr>
        <w:adjustRightInd w:val="0"/>
        <w:snapToGrid w:val="0"/>
        <w:spacing w:line="360" w:lineRule="auto"/>
        <w:ind w:firstLine="480" w:firstLineChars="200"/>
        <w:rPr>
          <w:rFonts w:ascii="Times New Roman" w:hAnsi="Times New Roman" w:cs="Times New Roman"/>
          <w:sz w:val="24"/>
          <w:szCs w:val="24"/>
        </w:rPr>
        <w:sectPr>
          <w:pgSz w:w="11906" w:h="16838"/>
          <w:pgMar w:top="1440" w:right="1797" w:bottom="1440" w:left="1797" w:header="851" w:footer="283" w:gutter="0"/>
          <w:cols w:space="425" w:num="1"/>
          <w:docGrid w:type="lines" w:linePitch="381" w:charSpace="0"/>
        </w:sectPr>
      </w:pPr>
      <w:r>
        <w:rPr>
          <w:rFonts w:hint="eastAsia" w:ascii="Times New Roman" w:hAnsi="Times New Roman" w:eastAsia="宋体" w:cs="Times New Roman"/>
          <w:sz w:val="24"/>
          <w:szCs w:val="24"/>
        </w:rPr>
        <w:t>为进一步提升评估工作成果应用范围，特大洪涝灾害链综合风险评估的降雨情景不局限于2.0.1条规定的特大洪涝灾害定义（具体</w:t>
      </w:r>
      <w:r>
        <w:rPr>
          <w:rFonts w:ascii="Times New Roman" w:hAnsi="Times New Roman" w:eastAsia="宋体" w:cs="Times New Roman"/>
          <w:sz w:val="24"/>
          <w:szCs w:val="24"/>
        </w:rPr>
        <w:t>指</w:t>
      </w:r>
      <w:r>
        <w:rPr>
          <w:rFonts w:hint="eastAsia" w:ascii="Times New Roman" w:hAnsi="Times New Roman" w:eastAsia="宋体" w:cs="Times New Roman"/>
          <w:sz w:val="24"/>
          <w:szCs w:val="24"/>
        </w:rPr>
        <w:t>3小时降雨量大于等于100毫米，或小时降雨量大于等于70毫米，或24小时降雨量大于等于200毫米或发生超百年一遇洪水），评估的降雨情景包括内涝防治标准、100年一遇、200年一遇、极端降雨（各地因地制宜确定）。</w:t>
      </w:r>
    </w:p>
    <w:p>
      <w:pPr>
        <w:pStyle w:val="2"/>
        <w:numPr>
          <w:ilvl w:val="0"/>
          <w:numId w:val="0"/>
        </w:numPr>
        <w:spacing w:before="340" w:beforeLines="0" w:after="330" w:afterLines="0" w:line="578" w:lineRule="auto"/>
        <w:rPr>
          <w:spacing w:val="0"/>
          <w:kern w:val="44"/>
          <w:sz w:val="30"/>
          <w:szCs w:val="20"/>
        </w:rPr>
      </w:pPr>
      <w:bookmarkStart w:id="375" w:name="_Toc201223993"/>
      <w:bookmarkStart w:id="376" w:name="_Toc201743696"/>
      <w:bookmarkStart w:id="377" w:name="_Toc201743645"/>
      <w:bookmarkStart w:id="378" w:name="_Toc201745771"/>
      <w:bookmarkStart w:id="379" w:name="_Toc31316"/>
      <w:bookmarkStart w:id="380" w:name="_Toc201743747"/>
      <w:bookmarkStart w:id="381" w:name="_Toc194301561"/>
      <w:r>
        <w:rPr>
          <w:rFonts w:hint="eastAsia"/>
          <w:spacing w:val="0"/>
          <w:kern w:val="44"/>
          <w:sz w:val="30"/>
          <w:szCs w:val="20"/>
        </w:rPr>
        <w:t>3</w:t>
      </w:r>
      <w:r>
        <w:rPr>
          <w:spacing w:val="0"/>
          <w:kern w:val="44"/>
          <w:sz w:val="30"/>
          <w:szCs w:val="20"/>
        </w:rPr>
        <w:t xml:space="preserve">  </w:t>
      </w:r>
      <w:r>
        <w:rPr>
          <w:rFonts w:hint="eastAsia"/>
          <w:spacing w:val="0"/>
          <w:kern w:val="44"/>
          <w:sz w:val="30"/>
          <w:szCs w:val="20"/>
        </w:rPr>
        <w:t>洪涝积水风险评估</w:t>
      </w:r>
      <w:bookmarkEnd w:id="375"/>
      <w:bookmarkEnd w:id="376"/>
      <w:bookmarkEnd w:id="377"/>
      <w:bookmarkEnd w:id="378"/>
      <w:bookmarkEnd w:id="379"/>
      <w:bookmarkEnd w:id="380"/>
    </w:p>
    <w:p>
      <w:pPr>
        <w:pStyle w:val="3"/>
        <w:numPr>
          <w:ilvl w:val="0"/>
          <w:numId w:val="0"/>
        </w:numPr>
      </w:pPr>
      <w:bookmarkStart w:id="382" w:name="_Toc9388"/>
      <w:bookmarkStart w:id="383" w:name="_Toc201745772"/>
      <w:bookmarkStart w:id="384" w:name="_Toc201743697"/>
      <w:bookmarkStart w:id="385" w:name="_Toc201743748"/>
      <w:bookmarkStart w:id="386" w:name="_Toc201743646"/>
      <w:bookmarkStart w:id="387" w:name="_Toc201223994"/>
      <w:r>
        <w:rPr>
          <w:rFonts w:hint="eastAsia"/>
        </w:rPr>
        <w:t>3.1</w:t>
      </w:r>
      <w:r>
        <w:t xml:space="preserve">  </w:t>
      </w:r>
      <w:r>
        <w:rPr>
          <w:rFonts w:hint="eastAsia"/>
        </w:rPr>
        <w:t xml:space="preserve">一 般 </w:t>
      </w:r>
      <w:r>
        <w:t>规</w:t>
      </w:r>
      <w:r>
        <w:rPr>
          <w:rFonts w:hint="eastAsia"/>
        </w:rPr>
        <w:t xml:space="preserve"> </w:t>
      </w:r>
      <w:r>
        <w:t>定</w:t>
      </w:r>
      <w:bookmarkEnd w:id="382"/>
      <w:bookmarkEnd w:id="383"/>
      <w:bookmarkEnd w:id="384"/>
      <w:bookmarkEnd w:id="385"/>
      <w:bookmarkEnd w:id="386"/>
      <w:bookmarkEnd w:id="387"/>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3.1.</w:t>
      </w:r>
      <w:r>
        <w:rPr>
          <w:rFonts w:ascii="Times New Roman" w:hAnsi="Times New Roman" w:eastAsia="宋体" w:cs="Times New Roman"/>
          <w:b/>
          <w:bCs/>
          <w:sz w:val="24"/>
          <w:szCs w:val="24"/>
        </w:rPr>
        <w:t xml:space="preserve">3    </w:t>
      </w:r>
      <w:r>
        <w:rPr>
          <w:rFonts w:hint="eastAsia" w:ascii="Times New Roman" w:hAnsi="Times New Roman" w:eastAsia="宋体" w:cs="Times New Roman"/>
          <w:sz w:val="24"/>
          <w:szCs w:val="24"/>
        </w:rPr>
        <w:t>以城市建成区为基准范围，包括建设用地、交通枢纽、公共设施等人工硬化区域，并延伸至周边与城市排水系统直接关联的自然水系（如河道、湖泊）及人工排水通道（管网、泵站、调蓄池）。</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需明确行政边界、水文单元及重点防护对象（如地铁、医院等），优先覆盖历史灾情频发区域，推荐采用“致灾因子—暴露度—脆弱性”三维评估框架，优先选用耦合水文水动力模型的情景模拟法。</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3.1.</w:t>
      </w:r>
      <w:r>
        <w:rPr>
          <w:rFonts w:ascii="Times New Roman" w:hAnsi="Times New Roman" w:eastAsia="宋体" w:cs="Times New Roman"/>
          <w:b/>
          <w:bCs/>
          <w:sz w:val="24"/>
          <w:szCs w:val="24"/>
        </w:rPr>
        <w:t xml:space="preserve">4    </w:t>
      </w:r>
      <w:r>
        <w:rPr>
          <w:rFonts w:hint="eastAsia" w:ascii="Times New Roman" w:hAnsi="Times New Roman" w:eastAsia="宋体" w:cs="Times New Roman"/>
          <w:sz w:val="24"/>
          <w:szCs w:val="24"/>
        </w:rPr>
        <w:t>沿河城市在预测洪涝灾害风险过程中需考虑潮位顶托的现象，其中承泄区按历史最不利洪涝潮组合确定水位，河口段需考虑洪水与潮位顶托叠加。</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3.1.</w:t>
      </w:r>
      <w:r>
        <w:rPr>
          <w:rFonts w:ascii="Times New Roman" w:hAnsi="Times New Roman" w:eastAsia="宋体" w:cs="Times New Roman"/>
          <w:b/>
          <w:bCs/>
          <w:sz w:val="24"/>
          <w:szCs w:val="24"/>
        </w:rPr>
        <w:t xml:space="preserve">5    </w:t>
      </w:r>
      <w:r>
        <w:rPr>
          <w:rFonts w:hint="eastAsia" w:ascii="Times New Roman" w:hAnsi="Times New Roman" w:eastAsia="宋体" w:cs="Times New Roman"/>
          <w:sz w:val="24"/>
          <w:szCs w:val="24"/>
        </w:rPr>
        <w:t>采用二维浅水方程或水文水动力耦合模型（如MIKE FLOOD等），需满足《城市内涝防治技术规范》GB 51222的计算精度要求，模型需通过历史内涝事件反演验证，水深模拟误差应控制在±15%以内，淹没范围吻合度大于等于80%。</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整合了《山洪灾害防治技术规范》SL 666与城市内涝模型标准，当编制区域受周边山丘区径流影响时，计算范围应扩展至完整集水区边界，采用水文模型计算产汇流过程。</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河道水位上涨对排水系统的顶托影响，应采用动态耦合模型计算，同步模拟外江水位与管网排水能力；重点标注受顶托影响的敏感区域（如老城区低洼地带、泵站下游管段）。溃堤或漫溢洪水需与内涝模型叠加分析，采用历史溃口数据或水力学模拟确定漫溢范围。</w:t>
      </w:r>
    </w:p>
    <w:p>
      <w:pPr>
        <w:pStyle w:val="3"/>
        <w:numPr>
          <w:ilvl w:val="0"/>
          <w:numId w:val="0"/>
        </w:numPr>
      </w:pPr>
      <w:bookmarkStart w:id="388" w:name="_Toc201743749"/>
      <w:bookmarkStart w:id="389" w:name="_Toc201223995"/>
      <w:bookmarkStart w:id="390" w:name="_Toc201743698"/>
      <w:bookmarkStart w:id="391" w:name="_Toc4231"/>
      <w:bookmarkStart w:id="392" w:name="_Toc199188983"/>
      <w:bookmarkStart w:id="393" w:name="_Toc201745773"/>
      <w:bookmarkStart w:id="394" w:name="_Toc201743647"/>
      <w:r>
        <w:rPr>
          <w:rFonts w:hint="eastAsia"/>
        </w:rPr>
        <w:t>3.2</w:t>
      </w:r>
      <w:r>
        <w:t xml:space="preserve">  </w:t>
      </w:r>
      <w:r>
        <w:rPr>
          <w:rFonts w:hint="eastAsia"/>
        </w:rPr>
        <w:t>基 本 方 法</w:t>
      </w:r>
      <w:bookmarkEnd w:id="388"/>
      <w:bookmarkEnd w:id="389"/>
      <w:bookmarkEnd w:id="390"/>
      <w:bookmarkEnd w:id="391"/>
      <w:bookmarkEnd w:id="392"/>
      <w:bookmarkEnd w:id="393"/>
      <w:bookmarkEnd w:id="394"/>
    </w:p>
    <w:p>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3.2.1</w:t>
      </w:r>
      <w:r>
        <w:rPr>
          <w:rFonts w:ascii="Times New Roman" w:hAnsi="Times New Roman" w:eastAsia="宋体" w:cs="Times New Roman"/>
          <w:sz w:val="24"/>
          <w:szCs w:val="24"/>
        </w:rPr>
        <w:tab/>
      </w:r>
      <w:r>
        <w:rPr>
          <w:rFonts w:ascii="Times New Roman" w:hAnsi="Times New Roman" w:eastAsia="宋体" w:cs="Times New Roman"/>
          <w:sz w:val="24"/>
          <w:szCs w:val="24"/>
        </w:rPr>
        <w:t xml:space="preserve">     城市洪涝灾害风险评估与区划研究可采用历史灾害数理统计法、情景模拟分析法、遥感影像与地理信息系统（GIS）耦合法和指标体系法等方法</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历史灾害数理统计法基于历史洪涝灾害事件的数据，通过对历史灾害发</w:t>
      </w:r>
      <w:r>
        <w:rPr>
          <w:rFonts w:hint="eastAsia" w:ascii="Times New Roman" w:hAnsi="Times New Roman" w:eastAsia="宋体" w:cs="Times New Roman"/>
          <w:sz w:val="24"/>
          <w:szCs w:val="24"/>
        </w:rPr>
        <w:t>生的频率、大小、强度等进行统计分析，推断未来可能的洪涝积水风险。</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灾情数据需包含至少20年连续记录，涵盖淹没范围、持续时间、损失金额等核心字段；数据来源应包括水文年鉴、民政灾情报告及地方志三重校验，缺失数据需通过邻近站点插补。采用极值理论（Gumbel/P-III型分布）计算不同重现期（20/50/100年）灾害强度；引入空间插值技术（如克里金法）将点状灾情数据转化为面状风险分布。需考虑城市化率变化对下垫面的影响，风险图中需标注历史溃堤点、重复受灾区域等关键信息。</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情景模拟分析法通过建立数值模型来模拟不同洪涝情景下的内涝淹没范围、淹没深度等，并通过改变模型计算工况，分析不同情景下的灾害风险。</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应采用耦合水文水动力模型（如SWMM+MIKE21），地表网格分辨率</w:t>
      </w:r>
      <w:r>
        <w:rPr>
          <w:rFonts w:ascii="Times New Roman" w:hAnsi="Times New Roman" w:eastAsia="宋体" w:cs="Times New Roman"/>
          <w:sz w:val="24"/>
          <w:szCs w:val="24"/>
        </w:rPr>
        <w:t>小于等于</w:t>
      </w:r>
      <w:r>
        <w:rPr>
          <w:rFonts w:hint="eastAsia" w:ascii="Times New Roman" w:hAnsi="Times New Roman" w:eastAsia="宋体" w:cs="Times New Roman"/>
          <w:sz w:val="24"/>
          <w:szCs w:val="24"/>
        </w:rPr>
        <w:t>5m×5m，管网节点间距</w:t>
      </w:r>
      <w:r>
        <w:rPr>
          <w:rFonts w:ascii="宋体" w:hAnsi="宋体" w:eastAsia="宋体"/>
          <w:color w:val="000000" w:themeColor="text1"/>
          <w:sz w:val="24"/>
          <w14:textFill>
            <w14:solidFill>
              <w14:schemeClr w14:val="tx1"/>
            </w14:solidFill>
          </w14:textFill>
        </w:rPr>
        <w:t>小于等于</w:t>
      </w:r>
      <w:r>
        <w:rPr>
          <w:rFonts w:hint="eastAsia" w:ascii="Times New Roman" w:hAnsi="Times New Roman" w:eastAsia="宋体" w:cs="Times New Roman"/>
          <w:sz w:val="24"/>
          <w:szCs w:val="24"/>
        </w:rPr>
        <w:t>100m；需包含排水泵站、闸门等控制设施的运行逻辑规则。至少采用3场历史暴雨事件（含超标准降雨）进行模型验证；淹没范围模拟误差</w:t>
      </w:r>
      <w:r>
        <w:rPr>
          <w:rFonts w:ascii="宋体" w:hAnsi="宋体" w:eastAsia="宋体"/>
          <w:color w:val="000000" w:themeColor="text1"/>
          <w:sz w:val="24"/>
          <w14:textFill>
            <w14:solidFill>
              <w14:schemeClr w14:val="tx1"/>
            </w14:solidFill>
          </w14:textFill>
        </w:rPr>
        <w:t>小于等于</w:t>
      </w:r>
      <w:r>
        <w:rPr>
          <w:rFonts w:hint="eastAsia" w:ascii="Times New Roman" w:hAnsi="Times New Roman" w:eastAsia="宋体" w:cs="Times New Roman"/>
          <w:sz w:val="24"/>
          <w:szCs w:val="24"/>
        </w:rPr>
        <w:t>15%，积水深度误差</w:t>
      </w:r>
      <w:r>
        <w:rPr>
          <w:rFonts w:ascii="宋体" w:hAnsi="宋体" w:eastAsia="宋体"/>
          <w:color w:val="000000" w:themeColor="text1"/>
          <w:sz w:val="24"/>
          <w14:textFill>
            <w14:solidFill>
              <w14:schemeClr w14:val="tx1"/>
            </w14:solidFill>
          </w14:textFill>
        </w:rPr>
        <w:t>小于等于</w:t>
      </w:r>
      <w:r>
        <w:rPr>
          <w:rFonts w:hint="eastAsia" w:ascii="Times New Roman" w:hAnsi="Times New Roman" w:eastAsia="宋体" w:cs="Times New Roman"/>
          <w:sz w:val="24"/>
          <w:szCs w:val="24"/>
        </w:rPr>
        <w:t>0.2m。</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遥感影像与地理信息系统（GIS）耦合法主要依托遥感影像和GIS平台，基于遥感影像数据及其他环境信息，结合物理模型和统计方法，对不同地区进行洪涝积水风险评估。</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优先选用合成孔径雷达（SAR）数据（如Sentinel-1），时相分辨率</w:t>
      </w:r>
      <w:r>
        <w:rPr>
          <w:rFonts w:ascii="宋体" w:hAnsi="宋体" w:eastAsia="宋体"/>
          <w:color w:val="000000" w:themeColor="text1"/>
          <w:sz w:val="24"/>
          <w14:textFill>
            <w14:solidFill>
              <w14:schemeClr w14:val="tx1"/>
            </w14:solidFill>
          </w14:textFill>
        </w:rPr>
        <w:t>小于等于</w:t>
      </w:r>
      <w:r>
        <w:rPr>
          <w:rFonts w:hint="eastAsia" w:ascii="Times New Roman" w:hAnsi="Times New Roman" w:eastAsia="宋体" w:cs="Times New Roman"/>
          <w:sz w:val="24"/>
          <w:szCs w:val="24"/>
        </w:rPr>
        <w:t>7天，空间分辨率</w:t>
      </w:r>
      <w:r>
        <w:rPr>
          <w:rFonts w:ascii="宋体" w:hAnsi="宋体" w:eastAsia="宋体"/>
          <w:color w:val="000000" w:themeColor="text1"/>
          <w:sz w:val="24"/>
          <w14:textFill>
            <w14:solidFill>
              <w14:schemeClr w14:val="tx1"/>
            </w14:solidFill>
          </w14:textFill>
        </w:rPr>
        <w:t>小于等于</w:t>
      </w:r>
      <w:r>
        <w:rPr>
          <w:rFonts w:hint="eastAsia" w:ascii="Times New Roman" w:hAnsi="Times New Roman" w:eastAsia="宋体" w:cs="Times New Roman"/>
          <w:sz w:val="24"/>
          <w:szCs w:val="24"/>
        </w:rPr>
        <w:t>10m；光学影像（如Landsat 8）需辅助NDWI指数提取水体，云量覆盖率需</w:t>
      </w:r>
      <w:r>
        <w:rPr>
          <w:rFonts w:ascii="Times New Roman" w:hAnsi="Times New Roman" w:eastAsia="宋体" w:cs="Times New Roman"/>
          <w:sz w:val="24"/>
          <w:szCs w:val="24"/>
        </w:rPr>
        <w:t>小于</w:t>
      </w:r>
      <w:r>
        <w:rPr>
          <w:rFonts w:hint="eastAsia" w:ascii="Times New Roman" w:hAnsi="Times New Roman" w:eastAsia="宋体" w:cs="Times New Roman"/>
          <w:sz w:val="24"/>
          <w:szCs w:val="24"/>
        </w:rPr>
        <w:t>10%。数字高程模型（DEM）精度不低于12.5m（如ALOS PALSAR），需进行填洼处理；市政管网数据需包含管径、流向、检查井坐标等属性字段。采用面向对象分类法（eCognition）分割水体，结合历史灾情数据验证提取精度（Kappa系数大于等于0.75）；对淹没频次大于等于3次的区域标注为高风险区。通过GIS空间加权叠加（AHP层次分析法）整合地形因子（坡度、高程标准差）、地表渗透因子（NDVI+土地利用类型）、人工干预因子（排水设施密度、堤防距离）等，遥感反演的水体范围需作为水动力模型（如HEC-RAS）的初始边界条件；GIS平台需实现淹没深度模拟结果与人口/经济数据的空间关联分析。</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指标体系法通过构建一套完整的指标体系来评估洪涝积水风险，包括降雨指标、径流指标、土地利用指标、社会经济指标等。通过对各指标进行加权，综合评估地区的洪涝积水风险等级。</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可选择包含致灾因子、孕灾环境、承灾体、防灾能力4个一级指标，沿海城市增加风暴潮频率指标，山区补充地质稳定性指标，采用AHP层次分析法，CR值需小于0.1。</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3.2.2</w:t>
      </w:r>
      <w:r>
        <w:rPr>
          <w:rFonts w:hint="eastAsia" w:ascii="Times New Roman" w:hAnsi="Times New Roman" w:eastAsia="宋体" w:cs="Times New Roman"/>
          <w:sz w:val="24"/>
          <w:szCs w:val="24"/>
        </w:rPr>
        <w:tab/>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在空间尺度适配性方面，按照城市尺度和流域尺度进度选择，在城市尺度层面优先推荐水动力模型（如SWMM）为主，遥感监测为辅，在流域尺度优先选择遥感-GIS耦合+指标体系法双重验证。在时间尺度要求方面，响应时间在24小时以内的，优先采用实时遥感反演+历史灾情快速匹配，用于规划评估方面，则需耦合气候变化预测模型与土地利用演变模型。</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3.2.3</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情景模拟分析法通过构建不同的降雨和排水情景，模拟城市在不同条件下的洪涝积水情况。其核心是利用数学模型和计算机模拟技术，将复杂的自然过程和工程系统进行量化分析，从而评估城市洪涝积水的风险水平。情景模拟分析法的步骤包括数据收集与整理、模型构建、情景设置、模拟运行、风险评估、结果分析与应用。情景模拟分析法能直观、高精度地反映一定概率的致灾因子导致灾害事件的影响范围与程度，能高精度地反映灾害风险的空间分布特征。不足之处在于该方法对区域地理资料和排水资料要求高、计算复杂、工作量大。</w:t>
      </w:r>
    </w:p>
    <w:p>
      <w:pPr>
        <w:pStyle w:val="3"/>
        <w:numPr>
          <w:ilvl w:val="0"/>
          <w:numId w:val="0"/>
        </w:numPr>
      </w:pPr>
      <w:bookmarkStart w:id="395" w:name="_Toc201743648"/>
      <w:bookmarkStart w:id="396" w:name="_Toc199188984"/>
      <w:bookmarkStart w:id="397" w:name="_Toc201223996"/>
      <w:bookmarkStart w:id="398" w:name="_Toc201745774"/>
      <w:bookmarkStart w:id="399" w:name="_Toc201743699"/>
      <w:bookmarkStart w:id="400" w:name="_Toc201743750"/>
      <w:bookmarkStart w:id="401" w:name="_Toc3200"/>
      <w:r>
        <w:rPr>
          <w:rFonts w:hint="eastAsia"/>
        </w:rPr>
        <w:t>3.3</w:t>
      </w:r>
      <w:r>
        <w:t xml:space="preserve">  </w:t>
      </w:r>
      <w:r>
        <w:rPr>
          <w:rFonts w:hint="eastAsia"/>
        </w:rPr>
        <w:t>计 算 方 案</w:t>
      </w:r>
      <w:bookmarkEnd w:id="395"/>
      <w:bookmarkEnd w:id="396"/>
      <w:bookmarkEnd w:id="397"/>
      <w:bookmarkEnd w:id="398"/>
      <w:bookmarkEnd w:id="399"/>
      <w:bookmarkEnd w:id="400"/>
      <w:bookmarkEnd w:id="401"/>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3.3.1</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考虑洪涝组合对城市内涝的影响是一个复杂而重要的问题，它涉及多种因素的相互作用。当外部河道洪水水位上升时，可能会淹没城市的排水系统出口（如排水管道的出水口、泵站的排水口等）。这会导致城市内部的雨水无法顺利排出，使得排水系统内的水位上升，加剧城市内涝的程度。城市内部暴雨产生的地表径流与外部河道洪水同时涌入城市，使得城市区域的水量在短时间内急剧增加。这种水量的叠加效应超出了城市排水系统的承载能力，导致积水深度和积水范围迅速扩大。在洪涝组合情况下，城市内涝的积水深度和范围会显著增加，对城市基础设施的破坏更为严重。</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 xml:space="preserve">3.3.2 </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不同类型城市洪涝模型边界条件的确定需要根据城市的地理特征、排水系统、土地利用等因素进行综合考虑。平原型城市需重点关注排水系统和河网边界；山地型城市需重点关注地形边界和河流边界；滨海型城市需重点关注潮位变化和防洪堤边界。具体分析如下：</w:t>
      </w:r>
    </w:p>
    <w:p>
      <w:pPr>
        <w:pStyle w:val="10"/>
        <w:widowControl/>
        <w:snapToGrid w:val="0"/>
        <w:spacing w:after="0" w:line="360" w:lineRule="auto"/>
        <w:ind w:firstLine="480" w:firstLineChars="200"/>
        <w:rPr>
          <w:bCs/>
          <w:sz w:val="24"/>
        </w:rPr>
      </w:pPr>
      <w:r>
        <w:rPr>
          <w:rFonts w:hint="eastAsia"/>
          <w:bCs/>
          <w:sz w:val="24"/>
        </w:rPr>
        <w:t>平原型城市的排水系统通常较为复杂，需要明确排水系统的出口位置和排水能力，并考虑河网的水位、流量以及与城市排水系统的连接情况；</w:t>
      </w:r>
    </w:p>
    <w:p>
      <w:pPr>
        <w:pStyle w:val="10"/>
        <w:widowControl/>
        <w:snapToGrid w:val="0"/>
        <w:spacing w:after="0" w:line="360" w:lineRule="auto"/>
        <w:ind w:firstLine="480" w:firstLineChars="200"/>
        <w:rPr>
          <w:bCs/>
          <w:sz w:val="24"/>
        </w:rPr>
      </w:pPr>
      <w:r>
        <w:rPr>
          <w:rFonts w:hint="eastAsia"/>
          <w:bCs/>
          <w:sz w:val="24"/>
        </w:rPr>
        <w:t>山地型城市地形起伏较大，地表径流汇集速度快，容易形成山洪，需要考虑地形地貌对洪水传播路径和积水深度的影响；</w:t>
      </w:r>
    </w:p>
    <w:p>
      <w:pPr>
        <w:pStyle w:val="10"/>
        <w:widowControl/>
        <w:snapToGrid w:val="0"/>
        <w:spacing w:after="0" w:line="360" w:lineRule="auto"/>
        <w:ind w:firstLine="480" w:firstLineChars="200"/>
        <w:rPr>
          <w:bCs/>
          <w:sz w:val="24"/>
        </w:rPr>
      </w:pPr>
      <w:r>
        <w:rPr>
          <w:rFonts w:hint="eastAsia"/>
          <w:bCs/>
          <w:sz w:val="24"/>
        </w:rPr>
        <w:t>滨海型城市的排水系统需要考虑潮位变化对排水出口的影响，特别是低潮和高潮时的排水能力。滨海型城市通常有防洪堤和排水口，需要明确防洪堤的位置和高度，以及排水口与海洋的连接情况。</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3.3.3</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河道模型边界条件包括入流边界条件和出流边界条件。</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河道入流边界通常指的是河道模型的上游边界，主要涉及水流的输入条件。这些条件决定了进入河道的水量和水流特性。一般采用流量作为边界条件，可分为以下三种情况</w:t>
      </w:r>
      <w:r>
        <w:rPr>
          <w:rFonts w:ascii="Times New Roman" w:hAnsi="Times New Roman" w:eastAsia="宋体" w:cs="Times New Roman"/>
          <w:sz w:val="24"/>
          <w:szCs w:val="24"/>
        </w:rPr>
        <w:t>：</w:t>
      </w:r>
      <w:r>
        <w:rPr>
          <w:rFonts w:ascii="Times New Roman" w:hAnsi="Times New Roman" w:eastAsia="宋体" w:cs="Times New Roman"/>
          <w:bCs/>
          <w:sz w:val="24"/>
        </w:rPr>
        <w:t>1）恒定流量：假设上游来水流量保持不变，适用于稳定流情况；2）变化流量：根据历史数据或预测数据，设定流量随时间变化的函数；3）流量过程线：输入实际测量的流量过程线，这是最接近实际情况的方法。流量过程线可以通过水文模型计算或直接从水文站获取。</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河道出流边界通常指的是河道模型的下游边界，主要涉及水流的输出条件。这些条件决定了水流离开河道的方式和特性。在开展高重现期降雨条件下的城镇内涝防治系统规划、设计和风险评估模拟时，尤其是外洪河道水位对城镇排水防涝系统能力带来较大影响时，应合理设置下游出口的水位边界条件。在具备长期的水文观测资料条件下，应根据暴雨分区开展内涝与外洪的遭遇概率分析 ；当缺乏资料时，应按不利条件考虑，采用内涝与外洪同频率且峰峰遭遇的情景，进行出口水位边界条件设置。</w:t>
      </w:r>
    </w:p>
    <w:p>
      <w:pPr>
        <w:adjustRightInd w:val="0"/>
        <w:snapToGrid w:val="0"/>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.3.4    </w:t>
      </w:r>
      <w:r>
        <w:rPr>
          <w:rFonts w:ascii="Times New Roman" w:hAnsi="Times New Roman" w:eastAsia="宋体" w:cs="Times New Roman"/>
          <w:sz w:val="24"/>
          <w:szCs w:val="24"/>
        </w:rPr>
        <w:t>地表模型的边界条件主要指降雨过程，</w:t>
      </w:r>
      <w:r>
        <w:rPr>
          <w:rFonts w:hint="eastAsia" w:ascii="Times New Roman" w:hAnsi="Times New Roman" w:eastAsia="宋体" w:cs="Times New Roman"/>
          <w:sz w:val="24"/>
          <w:szCs w:val="24"/>
        </w:rPr>
        <w:t>降雨过程是城市洪涝的主要驱动因素之一。通过将降雨过程作为边界条件，可以模拟降雨在城市建成区内的汇集、流动和积水情况，从而评估洪涝风险。降雨模型的目的是生成降雨流量过程线（入流流量-时间曲线），为后续的地表产汇流模型、管渠模型或河道模型提供上游边界条件。</w:t>
      </w:r>
    </w:p>
    <w:p>
      <w:pPr>
        <w:adjustRightInd w:val="0"/>
        <w:snapToGrid w:val="0"/>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3.3.</w:t>
      </w:r>
      <w:r>
        <w:rPr>
          <w:rFonts w:ascii="Times New Roman" w:hAnsi="Times New Roman" w:eastAsia="宋体" w:cs="Times New Roman"/>
          <w:b/>
          <w:bCs/>
          <w:sz w:val="24"/>
          <w:szCs w:val="24"/>
        </w:rPr>
        <w:t>6</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对于沿海城市，洪涝潮组合对城市内涝的影响是一个复杂而重要的问题。洪涝潮组合是指洪水、降雨和潮位三者同时或相继出现，导致城市内涝的风险显著增加。利用Copula函数构建洪水、降雨和潮位的联合概率分布函数，可以有效评估这种组合风险。这种方法能够处理变量之间的非线性相关性，提供更准确的风险评估结果。通过确定联合风险概率和同现风险概率，可以科学地选择风险分析的潮位重现期，为沿海城市的防洪排涝规划和应急管理提供有力支持。</w:t>
      </w:r>
    </w:p>
    <w:p>
      <w:pPr>
        <w:pStyle w:val="3"/>
        <w:numPr>
          <w:ilvl w:val="0"/>
          <w:numId w:val="0"/>
        </w:numPr>
      </w:pPr>
      <w:bookmarkStart w:id="402" w:name="_Toc199188985"/>
      <w:bookmarkStart w:id="403" w:name="_Toc201223997"/>
      <w:bookmarkStart w:id="404" w:name="_Toc6506"/>
      <w:bookmarkStart w:id="405" w:name="_Toc201743700"/>
      <w:bookmarkStart w:id="406" w:name="_Toc201743751"/>
      <w:bookmarkStart w:id="407" w:name="_Toc201743649"/>
      <w:bookmarkStart w:id="408" w:name="_Toc201745775"/>
      <w:r>
        <w:rPr>
          <w:rFonts w:hint="eastAsia"/>
        </w:rPr>
        <w:t>3.4</w:t>
      </w:r>
      <w:r>
        <w:t xml:space="preserve">  </w:t>
      </w:r>
      <w:r>
        <w:rPr>
          <w:rFonts w:hint="eastAsia"/>
        </w:rPr>
        <w:t>洪涝积水风险评估</w:t>
      </w:r>
      <w:bookmarkEnd w:id="402"/>
      <w:bookmarkEnd w:id="403"/>
      <w:bookmarkEnd w:id="404"/>
      <w:bookmarkEnd w:id="405"/>
      <w:bookmarkEnd w:id="406"/>
      <w:bookmarkEnd w:id="407"/>
      <w:bookmarkEnd w:id="408"/>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3.4.</w:t>
      </w:r>
      <w:r>
        <w:rPr>
          <w:rFonts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模型范围应根据研究区域范围、应用需求及模型类型确定模拟对象，将汇水区边界以内的水量、下垫面、排水设施纳入模型范围。模型的边界覆盖范围应根据建模目标和地区实际确定，并应符合下列规定：</w:t>
      </w:r>
    </w:p>
    <w:p>
      <w:pPr>
        <w:pStyle w:val="10"/>
        <w:widowControl/>
        <w:snapToGrid w:val="0"/>
        <w:spacing w:after="0" w:line="360" w:lineRule="auto"/>
        <w:ind w:firstLine="480" w:firstLineChars="200"/>
        <w:rPr>
          <w:bCs/>
          <w:sz w:val="24"/>
        </w:rPr>
      </w:pPr>
      <w:r>
        <w:rPr>
          <w:rFonts w:hint="eastAsia"/>
          <w:bCs/>
          <w:sz w:val="24"/>
        </w:rPr>
        <w:t>强排系统雨水模型，下游边界可根据排口情况按照末端设置水泵、拍门或其他可以反映实际水力状况的方式来处理；</w:t>
      </w:r>
    </w:p>
    <w:p>
      <w:pPr>
        <w:pStyle w:val="10"/>
        <w:widowControl/>
        <w:snapToGrid w:val="0"/>
        <w:spacing w:after="0" w:line="360" w:lineRule="auto"/>
        <w:ind w:firstLine="480" w:firstLineChars="200"/>
        <w:rPr>
          <w:bCs/>
          <w:sz w:val="24"/>
        </w:rPr>
      </w:pPr>
      <w:r>
        <w:rPr>
          <w:rFonts w:hint="eastAsia"/>
          <w:bCs/>
          <w:sz w:val="24"/>
        </w:rPr>
        <w:t>受河道顶托的自排地区雨水模型，模拟对象必须包含河道边界，边界条件可根据情况选择历史实测记录、防洪除涝设计水位或河网模型计算水位；</w:t>
      </w:r>
    </w:p>
    <w:p>
      <w:pPr>
        <w:pStyle w:val="10"/>
        <w:widowControl/>
        <w:snapToGrid w:val="0"/>
        <w:spacing w:after="0" w:line="360" w:lineRule="auto"/>
        <w:ind w:firstLine="480" w:firstLineChars="200"/>
        <w:rPr>
          <w:bCs/>
          <w:sz w:val="24"/>
        </w:rPr>
      </w:pPr>
      <w:r>
        <w:rPr>
          <w:rFonts w:hint="eastAsia"/>
          <w:bCs/>
          <w:sz w:val="24"/>
        </w:rPr>
        <w:t>管网河网约束作用明显的自排区、风暴潮洪多碰头条件下的城市内涝分析等情况，宜构建管网、河网一体化排水模型，充分反映河网与管网之间的动态耦合关系。</w:t>
      </w:r>
    </w:p>
    <w:p>
      <w:pPr>
        <w:pStyle w:val="10"/>
        <w:widowControl/>
        <w:snapToGrid w:val="0"/>
        <w:spacing w:line="360" w:lineRule="auto"/>
        <w:rPr>
          <w:sz w:val="24"/>
        </w:rPr>
      </w:pPr>
      <w:r>
        <w:rPr>
          <w:rFonts w:hint="eastAsia"/>
          <w:b/>
          <w:bCs/>
          <w:sz w:val="24"/>
        </w:rPr>
        <w:t>3.4.</w:t>
      </w:r>
      <w:r>
        <w:rPr>
          <w:b/>
          <w:bCs/>
          <w:sz w:val="24"/>
        </w:rPr>
        <w:t>4</w:t>
      </w:r>
      <w:r>
        <w:rPr>
          <w:rFonts w:hint="eastAsia"/>
          <w:sz w:val="24"/>
        </w:rPr>
        <w:t xml:space="preserve"> </w:t>
      </w:r>
      <w:r>
        <w:rPr>
          <w:sz w:val="24"/>
        </w:rPr>
        <w:t xml:space="preserve">   </w:t>
      </w:r>
      <w:r>
        <w:rPr>
          <w:rFonts w:hint="eastAsia"/>
          <w:sz w:val="24"/>
        </w:rPr>
        <w:t>城镇内涝形成的物理过程可概括为降雨在地表经水文产汇流过程形成管道入流或河道入流，进入管道或河道的径流水体若超过其排水能力会溢出到地表形成地表积水过程。因此，为准确评估城镇内涝风险的分布与等级，需对上述水流交互与演进过程进行定量化的分析计算。</w:t>
      </w:r>
    </w:p>
    <w:p>
      <w:pPr>
        <w:pStyle w:val="10"/>
        <w:widowControl/>
        <w:snapToGrid w:val="0"/>
        <w:spacing w:line="360" w:lineRule="auto"/>
        <w:ind w:firstLine="480" w:firstLineChars="200"/>
        <w:rPr>
          <w:sz w:val="24"/>
        </w:rPr>
      </w:pPr>
      <w:r>
        <w:rPr>
          <w:rFonts w:hint="eastAsia"/>
          <w:sz w:val="24"/>
        </w:rPr>
        <w:t>水文学方法把汇水流域当作黑箱或灰箱系统通过建立流域水量输入与流域出口处径流输出间的经验关系进行汇流计算；水力学方法基于水文过程的物理规律，采用数值算法求解水流运动的质量和动量守恒的偏微分方程，得出详尽的汇流演进过程。</w:t>
      </w:r>
    </w:p>
    <w:p>
      <w:pPr>
        <w:pStyle w:val="10"/>
        <w:widowControl/>
        <w:snapToGrid w:val="0"/>
        <w:spacing w:line="360" w:lineRule="auto"/>
        <w:ind w:firstLine="480" w:firstLineChars="200"/>
        <w:rPr>
          <w:sz w:val="24"/>
        </w:rPr>
      </w:pPr>
      <w:r>
        <w:rPr>
          <w:rFonts w:hint="eastAsia"/>
          <w:sz w:val="24"/>
        </w:rPr>
        <w:t>地表汇流水文学计算常用的方法包括推理公式法、等流时线法、瞬时单位线法和非线性水库法；水力学方法的数学模型属于物理性模型，模型参数具有明确的物理意义，主要根据地形和地貌数据经量测和分析获取，并结合历史洪水资料进行率定和验证，其计算结果较为准确、可靠。</w:t>
      </w:r>
    </w:p>
    <w:p>
      <w:pPr>
        <w:pStyle w:val="10"/>
        <w:widowControl/>
        <w:snapToGrid w:val="0"/>
        <w:spacing w:after="0" w:line="360" w:lineRule="auto"/>
        <w:rPr>
          <w:bCs/>
          <w:sz w:val="24"/>
        </w:rPr>
      </w:pPr>
      <w:r>
        <w:rPr>
          <w:rFonts w:hint="eastAsia"/>
          <w:b/>
          <w:bCs/>
          <w:sz w:val="24"/>
        </w:rPr>
        <w:t>3.4.</w:t>
      </w:r>
      <w:r>
        <w:rPr>
          <w:b/>
          <w:bCs/>
          <w:sz w:val="24"/>
        </w:rPr>
        <w:t>5</w:t>
      </w:r>
      <w:r>
        <w:rPr>
          <w:rFonts w:hint="eastAsia"/>
          <w:sz w:val="24"/>
        </w:rPr>
        <w:t xml:space="preserve"> </w:t>
      </w:r>
      <w:r>
        <w:rPr>
          <w:sz w:val="24"/>
        </w:rPr>
        <w:t xml:space="preserve">   </w:t>
      </w:r>
      <w:r>
        <w:rPr>
          <w:rFonts w:hint="eastAsia"/>
          <w:sz w:val="24"/>
        </w:rPr>
        <w:t>模型参数率定和验证流程应</w:t>
      </w:r>
      <w:r>
        <w:rPr>
          <w:rFonts w:hint="eastAsia"/>
          <w:bCs/>
          <w:sz w:val="24"/>
        </w:rPr>
        <w:t>根据标准规范和文献推荐值，结合模型区域的实际情况，设置模型初始参数；应对参数进行敏感性分析，确定敏感参数，初步明确调整规则；应对获得的实测数据质量进行评估。</w:t>
      </w:r>
    </w:p>
    <w:p>
      <w:pPr>
        <w:pStyle w:val="10"/>
        <w:widowControl/>
        <w:snapToGrid w:val="0"/>
        <w:spacing w:after="0" w:line="360" w:lineRule="auto"/>
        <w:ind w:firstLine="480" w:firstLineChars="200"/>
        <w:rPr>
          <w:bCs/>
          <w:sz w:val="24"/>
        </w:rPr>
      </w:pPr>
      <w:r>
        <w:rPr>
          <w:rFonts w:hint="eastAsia"/>
          <w:bCs/>
          <w:sz w:val="24"/>
        </w:rPr>
        <w:t>模型开展参数率定与模型验证时，应满足下列要求：1）模拟与实测的最大积水深度偏差不应大于20%，积水持续时间偏差不应大于20%，最大积水持续时间偏差不应大于1h；2）管渠（河道）关键节点和断面水文过程模拟与实测的总水量偏差不应大于20%，峰现时间偏差不应大于1h，峰值流量偏差不应大于25%，峰值水位偏差不应大于0.5m；3）基于实测数据进行参数率定和模型验证时，应比较模拟结果与实测数据偏差，通过调整模型参数，使偏差满足参数率定和模型验证的要求。</w:t>
      </w:r>
    </w:p>
    <w:p>
      <w:pPr>
        <w:pStyle w:val="10"/>
        <w:widowControl/>
        <w:snapToGrid w:val="0"/>
        <w:spacing w:line="360" w:lineRule="auto"/>
        <w:rPr>
          <w:sz w:val="24"/>
        </w:rPr>
      </w:pPr>
      <w:r>
        <w:rPr>
          <w:rFonts w:hint="eastAsia"/>
          <w:b/>
          <w:bCs/>
          <w:sz w:val="24"/>
        </w:rPr>
        <w:t>3.4.</w:t>
      </w:r>
      <w:r>
        <w:rPr>
          <w:b/>
          <w:bCs/>
          <w:sz w:val="24"/>
        </w:rPr>
        <w:t>6</w:t>
      </w:r>
      <w:r>
        <w:rPr>
          <w:rFonts w:hint="eastAsia"/>
          <w:sz w:val="24"/>
        </w:rPr>
        <w:t xml:space="preserve"> </w:t>
      </w:r>
      <w:r>
        <w:rPr>
          <w:sz w:val="24"/>
        </w:rPr>
        <w:t xml:space="preserve">   </w:t>
      </w:r>
      <w:r>
        <w:rPr>
          <w:rFonts w:hint="eastAsia"/>
          <w:sz w:val="24"/>
        </w:rPr>
        <w:t>洪涝积水风险评估的实时推演与动态展示系统是现代城市防洪排涝管理的重要工具。这类系统通过集成多种模型和数据，能够实时模拟和展示洪涝灾害的发生、发展和影响，为城市管理者提供科学决策支持。该系统主要包含以下几个功能：</w:t>
      </w:r>
    </w:p>
    <w:p>
      <w:pPr>
        <w:pStyle w:val="10"/>
        <w:widowControl/>
        <w:snapToGrid w:val="0"/>
        <w:spacing w:after="0" w:line="360" w:lineRule="auto"/>
        <w:ind w:firstLine="480" w:firstLineChars="200"/>
        <w:rPr>
          <w:bCs/>
          <w:sz w:val="24"/>
        </w:rPr>
      </w:pPr>
      <w:r>
        <w:rPr>
          <w:rFonts w:hint="eastAsia"/>
          <w:bCs/>
          <w:sz w:val="24"/>
        </w:rPr>
        <w:t>实时数据接入与处理：系统能够实时接入气象数据（如降雨量、降雨强度）、水位数据（如河流、湖泊、潮位）、排水系统数据（如管道水位、流量）等。这些数据通过传感器网络和数据服务接口获取，确保信息的时效性和准确性。据处理模块对实时数据进行清洗、校准和分析，为模型计算提供可靠输入；</w:t>
      </w:r>
    </w:p>
    <w:p>
      <w:pPr>
        <w:pStyle w:val="10"/>
        <w:widowControl/>
        <w:snapToGrid w:val="0"/>
        <w:spacing w:after="0" w:line="360" w:lineRule="auto"/>
        <w:ind w:firstLine="480" w:firstLineChars="200"/>
        <w:rPr>
          <w:bCs/>
          <w:sz w:val="24"/>
        </w:rPr>
      </w:pPr>
      <w:r>
        <w:rPr>
          <w:rFonts w:hint="eastAsia"/>
          <w:bCs/>
          <w:sz w:val="24"/>
        </w:rPr>
        <w:t>洪水模拟与风险评估：模拟降雨产汇流过程，计算地表径流和地下管网的排水情况。采用一维、二维或一二维耦合模型，模拟洪水在河道、城市地表和管网中的传播过程。根据模拟结果，评估淹没范围、淹没水深、洪水到达时间和淹没历时等关键指标；</w:t>
      </w:r>
    </w:p>
    <w:p>
      <w:pPr>
        <w:pStyle w:val="10"/>
        <w:widowControl/>
        <w:snapToGrid w:val="0"/>
        <w:spacing w:after="0" w:line="360" w:lineRule="auto"/>
        <w:ind w:firstLine="480" w:firstLineChars="200"/>
        <w:rPr>
          <w:bCs/>
          <w:sz w:val="24"/>
        </w:rPr>
      </w:pPr>
      <w:r>
        <w:rPr>
          <w:rFonts w:hint="eastAsia"/>
          <w:bCs/>
          <w:sz w:val="24"/>
        </w:rPr>
        <w:t>动态展示与预警：系统采用三维渲染技术，将模拟结果以直观的图形和动画形式展示，包括淹没范围、水深变化和水流方向。系统能够根据预设的阈值自动发出预警信息，提示管理者和公众采取相应的避险措施。系统支持自动生成内涝简报和风险评估报告，包括水雨情信息、内涝分析结果和积水分布图。</w:t>
      </w:r>
    </w:p>
    <w:p>
      <w:pPr>
        <w:pStyle w:val="10"/>
        <w:widowControl/>
        <w:snapToGrid w:val="0"/>
        <w:spacing w:line="360" w:lineRule="auto"/>
        <w:rPr>
          <w:sz w:val="24"/>
        </w:rPr>
      </w:pPr>
      <w:r>
        <w:rPr>
          <w:rFonts w:hint="eastAsia"/>
          <w:b/>
          <w:bCs/>
          <w:sz w:val="24"/>
        </w:rPr>
        <w:t>3.4.</w:t>
      </w:r>
      <w:r>
        <w:rPr>
          <w:b/>
          <w:bCs/>
          <w:sz w:val="24"/>
        </w:rPr>
        <w:t>7</w:t>
      </w:r>
      <w:r>
        <w:rPr>
          <w:rFonts w:hint="eastAsia"/>
          <w:sz w:val="24"/>
        </w:rPr>
        <w:t xml:space="preserve"> </w:t>
      </w:r>
      <w:r>
        <w:rPr>
          <w:sz w:val="24"/>
        </w:rPr>
        <w:t xml:space="preserve">   </w:t>
      </w:r>
      <w:r>
        <w:rPr>
          <w:rFonts w:hint="eastAsia"/>
          <w:sz w:val="24"/>
        </w:rPr>
        <w:t>依据《室外排水设计标准》GB 50014等国家标准，并参考北京、上海、香港、武汉、广州等城市，以及新加坡、日本、美国、澳大利亚等国家城市易涝积水点等级分类方法，选取积水深度、积水面积和影响程度指标作为判定标准。考虑到现阶段很多城镇在实际排查工作中难以准确记录每个点位积水发生和消退的时间，因此没有采用积水时间作为判别依据。在实际操作中，具备条件的城镇可增加积水时间作为判定因素之一。</w:t>
      </w:r>
    </w:p>
    <w:p>
      <w:pPr>
        <w:pStyle w:val="10"/>
        <w:widowControl/>
        <w:snapToGrid w:val="0"/>
        <w:spacing w:after="0" w:line="360" w:lineRule="auto"/>
        <w:ind w:firstLine="480" w:firstLineChars="200"/>
        <w:rPr>
          <w:bCs/>
          <w:sz w:val="24"/>
        </w:rPr>
      </w:pPr>
    </w:p>
    <w:p>
      <w:pPr>
        <w:pStyle w:val="10"/>
        <w:widowControl/>
        <w:snapToGrid w:val="0"/>
        <w:spacing w:line="360" w:lineRule="auto"/>
        <w:rPr>
          <w:sz w:val="24"/>
        </w:rPr>
      </w:pPr>
      <w:r>
        <w:rPr>
          <w:rFonts w:hint="eastAsia"/>
          <w:b/>
          <w:bCs/>
          <w:sz w:val="24"/>
        </w:rPr>
        <w:t>3.4.</w:t>
      </w:r>
      <w:r>
        <w:rPr>
          <w:b/>
          <w:bCs/>
          <w:sz w:val="24"/>
        </w:rPr>
        <w:t>8</w:t>
      </w:r>
      <w:r>
        <w:rPr>
          <w:rFonts w:hint="eastAsia"/>
          <w:b/>
          <w:bCs/>
          <w:sz w:val="24"/>
        </w:rPr>
        <w:t xml:space="preserve"> </w:t>
      </w:r>
      <w:r>
        <w:rPr>
          <w:b/>
          <w:bCs/>
          <w:sz w:val="24"/>
        </w:rPr>
        <w:t xml:space="preserve">   </w:t>
      </w:r>
      <w:r>
        <w:rPr>
          <w:rFonts w:hint="eastAsia"/>
          <w:sz w:val="24"/>
        </w:rPr>
        <w:t>风险评估因子是影响洪涝积水风险的关键因素，选择合适的因子是定量评估的基础。通过选择合适的评估因子、建立风险评估模型和划分风险等级，可以为城市规划、防洪排涝工程设计和应急管理提供科学依据。这种方法有助于提高城市和流域的抗洪能力，减少洪涝灾害带来的损失。</w:t>
      </w:r>
    </w:p>
    <w:p>
      <w:pPr>
        <w:pStyle w:val="10"/>
        <w:widowControl/>
        <w:snapToGrid w:val="0"/>
        <w:spacing w:line="360" w:lineRule="auto"/>
        <w:rPr>
          <w:sz w:val="24"/>
        </w:rPr>
      </w:pPr>
      <w:r>
        <w:rPr>
          <w:rFonts w:hint="eastAsia"/>
          <w:sz w:val="24"/>
        </w:rPr>
        <w:t>考虑到洪涝耦合与单纯暴雨内涝的区别，洪涝能量大的区域代表受影响大、危险性高。而水深与流速决定洪水能量，因此可以根据模型得出的地面淹没最大水深</w:t>
      </w:r>
      <m:oMath>
        <m:sSub>
          <m:sSubPr>
            <m:ctrlPr>
              <w:rPr>
                <w:rFonts w:ascii="Cambria Math" w:hAnsi="Cambria Math"/>
                <w:i/>
                <w:sz w:val="24"/>
              </w:rPr>
            </m:ctrlPr>
          </m:sSubPr>
          <m:e>
            <m:r>
              <m:rPr/>
              <w:rPr>
                <w:rFonts w:hint="eastAsia" w:ascii="Cambria Math" w:hAnsi="Cambria Math"/>
                <w:sz w:val="24"/>
              </w:rPr>
              <m:t>H</m:t>
            </m:r>
            <m:ctrlPr>
              <w:rPr>
                <w:rFonts w:ascii="Cambria Math" w:hAnsi="Cambria Math"/>
                <w:i/>
                <w:sz w:val="24"/>
              </w:rPr>
            </m:ctrlPr>
          </m:e>
          <m:sub>
            <m:r>
              <m:rPr/>
              <w:rPr>
                <w:rFonts w:hint="eastAsia" w:ascii="Cambria Math" w:hAnsi="Cambria Math"/>
                <w:sz w:val="24"/>
              </w:rPr>
              <m:t>max</m:t>
            </m:r>
            <m:ctrlPr>
              <w:rPr>
                <w:rFonts w:ascii="Cambria Math" w:hAnsi="Cambria Math"/>
                <w:i/>
                <w:sz w:val="24"/>
              </w:rPr>
            </m:ctrlPr>
          </m:sub>
        </m:sSub>
      </m:oMath>
      <w:r>
        <w:rPr>
          <w:rFonts w:hint="eastAsia"/>
          <w:sz w:val="24"/>
        </w:rPr>
        <w:t>及最大流速</w:t>
      </w:r>
      <m:oMath>
        <m:sSub>
          <m:sSubPr>
            <m:ctrlPr>
              <w:rPr>
                <w:rFonts w:ascii="Cambria Math" w:hAnsi="Cambria Math"/>
                <w:i/>
                <w:sz w:val="24"/>
              </w:rPr>
            </m:ctrlPr>
          </m:sSubPr>
          <m:e>
            <m:r>
              <m:rPr/>
              <w:rPr>
                <w:rFonts w:ascii="Cambria Math" w:hAnsi="Cambria Math"/>
                <w:sz w:val="24"/>
              </w:rPr>
              <m:t>V</m:t>
            </m:r>
            <m:ctrlPr>
              <w:rPr>
                <w:rFonts w:ascii="Cambria Math" w:hAnsi="Cambria Math"/>
                <w:i/>
                <w:sz w:val="24"/>
              </w:rPr>
            </m:ctrlPr>
          </m:e>
          <m:sub>
            <m:r>
              <m:rPr/>
              <w:rPr>
                <w:rFonts w:hint="eastAsia" w:ascii="Cambria Math" w:hAnsi="Cambria Math"/>
                <w:sz w:val="24"/>
              </w:rPr>
              <m:t>max</m:t>
            </m:r>
            <m:ctrlPr>
              <w:rPr>
                <w:rFonts w:ascii="Cambria Math" w:hAnsi="Cambria Math"/>
                <w:i/>
                <w:sz w:val="24"/>
              </w:rPr>
            </m:ctrlPr>
          </m:sub>
        </m:sSub>
      </m:oMath>
      <w:r>
        <w:rPr>
          <w:rFonts w:hint="eastAsia"/>
          <w:sz w:val="24"/>
        </w:rPr>
        <w:t>的组合，对研究区域淹没范围的洪涝风险性进行评估。</w:t>
      </w:r>
    </w:p>
    <w:p>
      <w:pPr>
        <w:pStyle w:val="10"/>
        <w:widowControl/>
        <w:snapToGrid w:val="0"/>
        <w:spacing w:line="360" w:lineRule="auto"/>
        <w:rPr>
          <w:sz w:val="24"/>
        </w:rPr>
      </w:pPr>
      <w:r>
        <w:rPr>
          <w:rFonts w:hint="eastAsia"/>
          <w:b/>
          <w:bCs/>
          <w:sz w:val="24"/>
        </w:rPr>
        <w:t>3.4.</w:t>
      </w:r>
      <w:r>
        <w:rPr>
          <w:b/>
          <w:bCs/>
          <w:sz w:val="24"/>
        </w:rPr>
        <w:t>9</w:t>
      </w:r>
      <w:r>
        <w:rPr>
          <w:rFonts w:hint="eastAsia"/>
          <w:b/>
          <w:bCs/>
          <w:sz w:val="24"/>
        </w:rPr>
        <w:t xml:space="preserve"> </w:t>
      </w:r>
      <w:r>
        <w:rPr>
          <w:b/>
          <w:bCs/>
          <w:sz w:val="24"/>
        </w:rPr>
        <w:t xml:space="preserve">   </w:t>
      </w:r>
      <w:r>
        <w:rPr>
          <w:rFonts w:hint="eastAsia"/>
          <w:sz w:val="24"/>
        </w:rPr>
        <w:t>城市洪涝的承灾体</w:t>
      </w:r>
      <w:r>
        <w:rPr>
          <w:rFonts w:hint="eastAsia" w:ascii="宋体" w:hAnsi="宋体" w:cs="宋体"/>
          <w:sz w:val="24"/>
        </w:rPr>
        <w:t>主要包括道路、房屋、地下空间等基础设施，这些设施在洪涝灾害中容易受到损害，从而影响城市的正常运行和居民的生活。</w:t>
      </w:r>
    </w:p>
    <w:p>
      <w:pPr>
        <w:pStyle w:val="10"/>
        <w:widowControl/>
        <w:snapToGrid w:val="0"/>
        <w:spacing w:after="0" w:line="360" w:lineRule="auto"/>
        <w:ind w:firstLine="480" w:firstLineChars="200"/>
        <w:rPr>
          <w:bCs/>
          <w:sz w:val="24"/>
        </w:rPr>
      </w:pPr>
      <w:r>
        <w:rPr>
          <w:rFonts w:hint="eastAsia"/>
          <w:bCs/>
          <w:sz w:val="24"/>
        </w:rPr>
        <w:t>道路是城市洪涝灾害中的主要承灾体之一。洪涝会导致道路积水，影响交通流通，甚至可能导致道路损坏。积水还会影响道路的排水系统，进一步加剧洪涝的影响；</w:t>
      </w:r>
    </w:p>
    <w:p>
      <w:pPr>
        <w:pStyle w:val="10"/>
        <w:widowControl/>
        <w:snapToGrid w:val="0"/>
        <w:spacing w:after="0" w:line="360" w:lineRule="auto"/>
        <w:ind w:firstLine="480" w:firstLineChars="200"/>
        <w:rPr>
          <w:bCs/>
          <w:sz w:val="24"/>
        </w:rPr>
      </w:pPr>
      <w:r>
        <w:rPr>
          <w:rFonts w:hint="eastAsia"/>
          <w:bCs/>
          <w:sz w:val="24"/>
        </w:rPr>
        <w:t>房屋是另一个重要的承灾体。洪涝会导致房屋进水，损坏家具和电器，严重时甚至会导致房屋结构受损，威胁居民的安全。房屋的损坏不仅影响居民的生活，还可能导致大量的财产损失；</w:t>
      </w:r>
    </w:p>
    <w:p>
      <w:pPr>
        <w:pStyle w:val="10"/>
        <w:widowControl/>
        <w:snapToGrid w:val="0"/>
        <w:spacing w:after="0" w:line="360" w:lineRule="auto"/>
        <w:ind w:firstLine="480" w:firstLineChars="200"/>
        <w:rPr>
          <w:bCs/>
          <w:sz w:val="24"/>
        </w:rPr>
      </w:pPr>
      <w:r>
        <w:rPr>
          <w:rFonts w:hint="eastAsia"/>
          <w:bCs/>
          <w:sz w:val="24"/>
        </w:rPr>
        <w:t>地下空间如地铁、地下商场等在洪涝灾害中也非常脆弱。积水会导致地下空间进水，影响其正常使用，甚至可能造成人员伤亡。地铁系统在洪涝中尤其容易受到影响，因为其排水系统设计上通常不如地面建筑完善。</w:t>
      </w:r>
    </w:p>
    <w:p>
      <w:pPr>
        <w:pStyle w:val="3"/>
        <w:numPr>
          <w:ilvl w:val="0"/>
          <w:numId w:val="0"/>
        </w:numPr>
      </w:pPr>
      <w:bookmarkStart w:id="409" w:name="_Toc201223998"/>
      <w:bookmarkStart w:id="410" w:name="_Toc199188986"/>
      <w:bookmarkStart w:id="411" w:name="_Toc201743650"/>
      <w:bookmarkStart w:id="412" w:name="_Toc201745776"/>
      <w:bookmarkStart w:id="413" w:name="_Toc29150"/>
      <w:bookmarkStart w:id="414" w:name="_Toc201743701"/>
      <w:bookmarkStart w:id="415" w:name="_Toc201743752"/>
      <w:r>
        <w:rPr>
          <w:rFonts w:hint="eastAsia"/>
        </w:rPr>
        <w:t>3.5</w:t>
      </w:r>
      <w:r>
        <w:t xml:space="preserve">  </w:t>
      </w:r>
      <w:r>
        <w:rPr>
          <w:rFonts w:hint="eastAsia"/>
        </w:rPr>
        <w:t>洪涝积水风险区划</w:t>
      </w:r>
      <w:bookmarkEnd w:id="409"/>
      <w:bookmarkEnd w:id="410"/>
      <w:bookmarkEnd w:id="411"/>
      <w:bookmarkEnd w:id="412"/>
      <w:bookmarkEnd w:id="413"/>
      <w:bookmarkEnd w:id="414"/>
      <w:bookmarkEnd w:id="415"/>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3.5.</w:t>
      </w:r>
      <w:r>
        <w:rPr>
          <w:rFonts w:ascii="Times New Roman" w:hAnsi="Times New Roman" w:eastAsia="宋体" w:cs="Times New Roman"/>
          <w:b/>
          <w:bCs/>
          <w:sz w:val="24"/>
          <w:szCs w:val="24"/>
        </w:rPr>
        <w:t>2</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本规定根据不同降雨重现期下的计算结果进行风险区划，主要分为内涝防治标准内和超标准降雨。其中，内涝防治设计重现期应根据城镇类型、积水影响程度和内河水位变化等因素，经技术经济比较后按表1的规定取值，并明确相应的设计降雨量。超标准降雨一般可分为100年一遇、200年一遇和极端降雨（500年一遇、1000年一遇）等情况。</w:t>
      </w:r>
    </w:p>
    <w:p>
      <w:pPr>
        <w:pStyle w:val="7"/>
        <w:rPr>
          <w:rFonts w:cs="Times New Roman"/>
          <w:szCs w:val="21"/>
        </w:rPr>
      </w:pPr>
      <w:r>
        <w:rPr>
          <w:rFonts w:cs="Times New Roman"/>
          <w:szCs w:val="21"/>
        </w:rPr>
        <w:t>表1</w:t>
      </w:r>
      <w:r>
        <w:rPr>
          <w:rFonts w:hint="eastAsia" w:cs="Times New Roman"/>
          <w:szCs w:val="21"/>
        </w:rPr>
        <w:t xml:space="preserve"> 内涝防治设计重现期</w:t>
      </w:r>
    </w:p>
    <w:tbl>
      <w:tblPr>
        <w:tblStyle w:val="2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pStyle w:val="10"/>
              <w:spacing w:after="0" w:line="240" w:lineRule="auto"/>
              <w:jc w:val="center"/>
              <w:rPr>
                <w:sz w:val="21"/>
                <w:szCs w:val="21"/>
              </w:rPr>
            </w:pPr>
            <w:r>
              <w:rPr>
                <w:rFonts w:hint="eastAsia"/>
                <w:sz w:val="21"/>
                <w:szCs w:val="21"/>
              </w:rPr>
              <w:t>城市名称</w:t>
            </w:r>
          </w:p>
        </w:tc>
        <w:tc>
          <w:tcPr>
            <w:tcW w:w="2835" w:type="dxa"/>
            <w:vAlign w:val="center"/>
          </w:tcPr>
          <w:p>
            <w:pPr>
              <w:pStyle w:val="10"/>
              <w:spacing w:after="0" w:line="240" w:lineRule="auto"/>
              <w:jc w:val="center"/>
              <w:rPr>
                <w:sz w:val="21"/>
                <w:szCs w:val="21"/>
              </w:rPr>
            </w:pPr>
            <w:r>
              <w:rPr>
                <w:rFonts w:hint="eastAsia"/>
                <w:sz w:val="21"/>
                <w:szCs w:val="21"/>
              </w:rPr>
              <w:t>重现期</w:t>
            </w:r>
            <w:r>
              <w:rPr>
                <w:sz w:val="21"/>
                <w:szCs w:val="21"/>
              </w:rPr>
              <w:t>（年）</w:t>
            </w:r>
          </w:p>
        </w:tc>
        <w:tc>
          <w:tcPr>
            <w:tcW w:w="2835" w:type="dxa"/>
            <w:vAlign w:val="center"/>
          </w:tcPr>
          <w:p>
            <w:pPr>
              <w:pStyle w:val="10"/>
              <w:spacing w:after="0" w:line="240" w:lineRule="auto"/>
              <w:jc w:val="center"/>
              <w:rPr>
                <w:sz w:val="21"/>
                <w:szCs w:val="21"/>
              </w:rPr>
            </w:pPr>
            <w:r>
              <w:rPr>
                <w:rFonts w:hint="eastAsia"/>
                <w:sz w:val="21"/>
                <w:szCs w:val="21"/>
              </w:rPr>
              <w:t>地面积水设计标准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pStyle w:val="10"/>
              <w:spacing w:after="0" w:line="240" w:lineRule="auto"/>
              <w:jc w:val="center"/>
              <w:rPr>
                <w:sz w:val="21"/>
                <w:szCs w:val="21"/>
              </w:rPr>
            </w:pPr>
            <w:r>
              <w:rPr>
                <w:rFonts w:hint="eastAsia"/>
                <w:sz w:val="21"/>
                <w:szCs w:val="21"/>
              </w:rPr>
              <w:t>广州、深圳</w:t>
            </w:r>
          </w:p>
        </w:tc>
        <w:tc>
          <w:tcPr>
            <w:tcW w:w="2835" w:type="dxa"/>
            <w:vAlign w:val="center"/>
          </w:tcPr>
          <w:p>
            <w:pPr>
              <w:pStyle w:val="10"/>
              <w:spacing w:after="0" w:line="240" w:lineRule="auto"/>
              <w:jc w:val="center"/>
              <w:rPr>
                <w:sz w:val="21"/>
                <w:szCs w:val="21"/>
              </w:rPr>
            </w:pPr>
            <w:r>
              <w:rPr>
                <w:rFonts w:hint="eastAsia"/>
                <w:sz w:val="21"/>
                <w:szCs w:val="21"/>
              </w:rPr>
              <w:t>100</w:t>
            </w:r>
          </w:p>
        </w:tc>
        <w:tc>
          <w:tcPr>
            <w:tcW w:w="2835" w:type="dxa"/>
            <w:vMerge w:val="restart"/>
            <w:vAlign w:val="center"/>
          </w:tcPr>
          <w:p>
            <w:pPr>
              <w:pStyle w:val="10"/>
              <w:spacing w:after="0" w:line="240" w:lineRule="auto"/>
              <w:jc w:val="center"/>
              <w:rPr>
                <w:sz w:val="21"/>
                <w:szCs w:val="21"/>
              </w:rPr>
            </w:pPr>
            <w:r>
              <w:rPr>
                <w:rFonts w:hint="eastAsia"/>
                <w:sz w:val="21"/>
                <w:szCs w:val="21"/>
              </w:rPr>
              <w:t>1、居民住宅和工商业建筑物的底层不进水；2、道路中一条车道的积水深度不超过15cm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pStyle w:val="10"/>
              <w:spacing w:after="0" w:line="240" w:lineRule="auto"/>
              <w:jc w:val="center"/>
              <w:rPr>
                <w:sz w:val="21"/>
                <w:szCs w:val="21"/>
              </w:rPr>
            </w:pPr>
            <w:r>
              <w:rPr>
                <w:rFonts w:hint="eastAsia"/>
                <w:sz w:val="21"/>
                <w:szCs w:val="21"/>
              </w:rPr>
              <w:t>东莞、佛山、湛江、茂名、惠州、揭阳、汕头、珠海</w:t>
            </w:r>
          </w:p>
        </w:tc>
        <w:tc>
          <w:tcPr>
            <w:tcW w:w="2835" w:type="dxa"/>
            <w:vAlign w:val="center"/>
          </w:tcPr>
          <w:p>
            <w:pPr>
              <w:pStyle w:val="10"/>
              <w:spacing w:after="0" w:line="240" w:lineRule="auto"/>
              <w:jc w:val="center"/>
              <w:rPr>
                <w:sz w:val="21"/>
                <w:szCs w:val="21"/>
              </w:rPr>
            </w:pPr>
            <w:r>
              <w:rPr>
                <w:rFonts w:hint="eastAsia"/>
                <w:sz w:val="21"/>
                <w:szCs w:val="21"/>
              </w:rPr>
              <w:t>50~100</w:t>
            </w:r>
          </w:p>
        </w:tc>
        <w:tc>
          <w:tcPr>
            <w:tcW w:w="2835" w:type="dxa"/>
            <w:vMerge w:val="continue"/>
            <w:vAlign w:val="center"/>
          </w:tcPr>
          <w:p>
            <w:pPr>
              <w:pStyle w:val="10"/>
              <w:spacing w:after="0"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5" w:type="dxa"/>
            <w:vAlign w:val="center"/>
          </w:tcPr>
          <w:p>
            <w:pPr>
              <w:pStyle w:val="10"/>
              <w:spacing w:after="0" w:line="240" w:lineRule="auto"/>
              <w:jc w:val="center"/>
              <w:rPr>
                <w:sz w:val="21"/>
                <w:szCs w:val="21"/>
              </w:rPr>
            </w:pPr>
            <w:r>
              <w:rPr>
                <w:rFonts w:hint="eastAsia"/>
                <w:sz w:val="21"/>
                <w:szCs w:val="21"/>
              </w:rPr>
              <w:t>江门、中山、肇庆、清远、梅州、韶关、河源、汕尾、阳江、潮州、云浮</w:t>
            </w:r>
          </w:p>
        </w:tc>
        <w:tc>
          <w:tcPr>
            <w:tcW w:w="2835" w:type="dxa"/>
            <w:vAlign w:val="center"/>
          </w:tcPr>
          <w:p>
            <w:pPr>
              <w:pStyle w:val="10"/>
              <w:spacing w:after="0" w:line="240" w:lineRule="auto"/>
              <w:jc w:val="center"/>
              <w:rPr>
                <w:sz w:val="21"/>
                <w:szCs w:val="21"/>
              </w:rPr>
            </w:pPr>
            <w:r>
              <w:rPr>
                <w:rFonts w:hint="eastAsia"/>
                <w:sz w:val="21"/>
                <w:szCs w:val="21"/>
              </w:rPr>
              <w:t>30~50</w:t>
            </w:r>
          </w:p>
        </w:tc>
        <w:tc>
          <w:tcPr>
            <w:tcW w:w="2835" w:type="dxa"/>
            <w:vMerge w:val="continue"/>
            <w:vAlign w:val="center"/>
          </w:tcPr>
          <w:p>
            <w:pPr>
              <w:pStyle w:val="10"/>
              <w:spacing w:after="0"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pStyle w:val="10"/>
              <w:spacing w:after="0" w:line="240" w:lineRule="auto"/>
              <w:jc w:val="center"/>
              <w:rPr>
                <w:sz w:val="21"/>
                <w:szCs w:val="21"/>
              </w:rPr>
            </w:pPr>
            <w:r>
              <w:rPr>
                <w:rFonts w:hint="eastAsia"/>
                <w:sz w:val="21"/>
                <w:szCs w:val="21"/>
              </w:rPr>
              <w:t>其他城市</w:t>
            </w:r>
          </w:p>
        </w:tc>
        <w:tc>
          <w:tcPr>
            <w:tcW w:w="2835" w:type="dxa"/>
            <w:vAlign w:val="center"/>
          </w:tcPr>
          <w:p>
            <w:pPr>
              <w:pStyle w:val="10"/>
              <w:spacing w:after="0" w:line="240" w:lineRule="auto"/>
              <w:jc w:val="center"/>
              <w:rPr>
                <w:sz w:val="21"/>
                <w:szCs w:val="21"/>
              </w:rPr>
            </w:pPr>
            <w:r>
              <w:rPr>
                <w:rFonts w:hint="eastAsia"/>
                <w:sz w:val="21"/>
                <w:szCs w:val="21"/>
              </w:rPr>
              <w:t>20~30</w:t>
            </w:r>
          </w:p>
        </w:tc>
        <w:tc>
          <w:tcPr>
            <w:tcW w:w="2835" w:type="dxa"/>
            <w:vMerge w:val="continue"/>
            <w:vAlign w:val="center"/>
          </w:tcPr>
          <w:p>
            <w:pPr>
              <w:pStyle w:val="10"/>
              <w:spacing w:after="0" w:line="240" w:lineRule="auto"/>
              <w:jc w:val="center"/>
              <w:rPr>
                <w:sz w:val="21"/>
                <w:szCs w:val="21"/>
              </w:rPr>
            </w:pPr>
          </w:p>
        </w:tc>
      </w:tr>
    </w:tbl>
    <w:p>
      <w:pPr>
        <w:adjustRightInd w:val="0"/>
        <w:snapToGrid w:val="0"/>
        <w:spacing w:line="360" w:lineRule="auto"/>
        <w:rPr>
          <w:rFonts w:ascii="Times New Roman" w:hAnsi="Times New Roman" w:eastAsia="宋体" w:cs="Times New Roman"/>
          <w:sz w:val="24"/>
          <w:szCs w:val="24"/>
        </w:rPr>
      </w:pPr>
    </w:p>
    <w:p>
      <w:pPr>
        <w:adjustRightInd w:val="0"/>
        <w:snapToGrid w:val="0"/>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3.5.</w:t>
      </w:r>
      <w:r>
        <w:rPr>
          <w:rFonts w:ascii="Times New Roman" w:hAnsi="Times New Roman" w:eastAsia="宋体" w:cs="Times New Roman"/>
          <w:b/>
          <w:bCs/>
          <w:sz w:val="24"/>
          <w:szCs w:val="24"/>
        </w:rPr>
        <w:t>3</w:t>
      </w:r>
      <w:r>
        <w:rPr>
          <w:rFonts w:hint="eastAsia" w:ascii="Times New Roman" w:hAnsi="Times New Roman" w:eastAsia="宋体" w:cs="Times New Roman"/>
          <w:sz w:val="24"/>
          <w:szCs w:val="24"/>
        </w:rPr>
        <w:t>风险等级可参考北京城市积水内涝风险地图的四色图，分为低风险（蓝色）、中风险（黄色）、较高风险（橙色）、高风险（红色）4个级别，分级标准依据前述规定的风险评估因子，划分区间可采用0.05、0.25、0.5三个等级，也可根据模拟结果考虑对社会经济的破坏程度按实际情况进行划定。</w:t>
      </w:r>
    </w:p>
    <w:bookmarkEnd w:id="381"/>
    <w:p>
      <w:pPr>
        <w:widowControl/>
        <w:jc w:val="left"/>
        <w:rPr>
          <w:rFonts w:ascii="Times New Roman" w:hAnsi="Times New Roman" w:eastAsia="宋体" w:cs="Times New Roman"/>
          <w:b/>
          <w:kern w:val="44"/>
          <w:sz w:val="30"/>
          <w:szCs w:val="20"/>
        </w:rPr>
      </w:pPr>
      <w:r>
        <w:rPr>
          <w:kern w:val="44"/>
          <w:sz w:val="30"/>
          <w:szCs w:val="20"/>
        </w:rPr>
        <w:br w:type="page"/>
      </w:r>
    </w:p>
    <w:p>
      <w:pPr>
        <w:pStyle w:val="2"/>
        <w:numPr>
          <w:ilvl w:val="0"/>
          <w:numId w:val="0"/>
        </w:numPr>
        <w:spacing w:before="340" w:beforeLines="0" w:after="330" w:afterLines="0" w:line="578" w:lineRule="auto"/>
        <w:rPr>
          <w:spacing w:val="0"/>
          <w:kern w:val="44"/>
          <w:sz w:val="30"/>
          <w:szCs w:val="20"/>
        </w:rPr>
      </w:pPr>
      <w:bookmarkStart w:id="416" w:name="_Toc201743651"/>
      <w:bookmarkStart w:id="417" w:name="_Toc201743753"/>
      <w:bookmarkStart w:id="418" w:name="_Toc9691"/>
      <w:bookmarkStart w:id="419" w:name="_Toc201745777"/>
      <w:bookmarkStart w:id="420" w:name="_Toc201743702"/>
      <w:bookmarkStart w:id="421" w:name="_Toc201223999"/>
      <w:r>
        <w:rPr>
          <w:rFonts w:hint="eastAsia"/>
          <w:spacing w:val="0"/>
          <w:kern w:val="44"/>
          <w:sz w:val="30"/>
          <w:szCs w:val="20"/>
        </w:rPr>
        <w:t>4</w:t>
      </w:r>
      <w:r>
        <w:rPr>
          <w:spacing w:val="0"/>
          <w:kern w:val="44"/>
          <w:sz w:val="30"/>
          <w:szCs w:val="20"/>
        </w:rPr>
        <w:t xml:space="preserve">  </w:t>
      </w:r>
      <w:r>
        <w:rPr>
          <w:rFonts w:hint="eastAsia"/>
          <w:spacing w:val="0"/>
          <w:kern w:val="44"/>
          <w:sz w:val="30"/>
          <w:szCs w:val="20"/>
        </w:rPr>
        <w:t>洪涝灾害链综合风险评估</w:t>
      </w:r>
      <w:bookmarkEnd w:id="416"/>
      <w:bookmarkEnd w:id="417"/>
      <w:bookmarkEnd w:id="418"/>
      <w:bookmarkEnd w:id="419"/>
      <w:bookmarkEnd w:id="420"/>
      <w:bookmarkEnd w:id="421"/>
    </w:p>
    <w:p>
      <w:pPr>
        <w:pStyle w:val="3"/>
        <w:numPr>
          <w:ilvl w:val="0"/>
          <w:numId w:val="0"/>
        </w:numPr>
      </w:pPr>
      <w:bookmarkStart w:id="422" w:name="_Toc201743652"/>
      <w:bookmarkStart w:id="423" w:name="_Toc201743754"/>
      <w:bookmarkStart w:id="424" w:name="_Toc201224000"/>
      <w:bookmarkStart w:id="425" w:name="_Toc24840"/>
      <w:bookmarkStart w:id="426" w:name="_Toc201743703"/>
      <w:bookmarkStart w:id="427" w:name="_Toc201745778"/>
      <w:r>
        <w:rPr>
          <w:rFonts w:hint="eastAsia"/>
        </w:rPr>
        <w:t>4.1</w:t>
      </w:r>
      <w:r>
        <w:t xml:space="preserve">  一</w:t>
      </w:r>
      <w:r>
        <w:rPr>
          <w:rFonts w:hint="eastAsia"/>
        </w:rPr>
        <w:t xml:space="preserve"> </w:t>
      </w:r>
      <w:r>
        <w:t>般</w:t>
      </w:r>
      <w:r>
        <w:rPr>
          <w:rFonts w:hint="eastAsia"/>
        </w:rPr>
        <w:t xml:space="preserve"> </w:t>
      </w:r>
      <w:r>
        <w:t>规</w:t>
      </w:r>
      <w:r>
        <w:rPr>
          <w:rFonts w:hint="eastAsia"/>
        </w:rPr>
        <w:t xml:space="preserve"> </w:t>
      </w:r>
      <w:r>
        <w:t>定</w:t>
      </w:r>
      <w:bookmarkEnd w:id="422"/>
      <w:bookmarkEnd w:id="423"/>
      <w:bookmarkEnd w:id="424"/>
      <w:bookmarkEnd w:id="425"/>
      <w:bookmarkEnd w:id="426"/>
      <w:bookmarkEnd w:id="427"/>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4.1.</w:t>
      </w:r>
      <w:r>
        <w:rPr>
          <w:rFonts w:ascii="Times New Roman" w:hAnsi="Times New Roman" w:eastAsia="宋体" w:cs="Times New Roman"/>
          <w:b/>
          <w:bCs/>
          <w:sz w:val="24"/>
          <w:szCs w:val="24"/>
        </w:rPr>
        <w:t>2</w:t>
      </w:r>
      <w:r>
        <w:rPr>
          <w:rFonts w:ascii="Times New Roman" w:hAnsi="Times New Roman" w:eastAsia="宋体" w:cs="Times New Roman"/>
          <w:sz w:val="24"/>
          <w:szCs w:val="24"/>
        </w:rPr>
        <w:t xml:space="preserve">    基于灾害系统理论，洪涝灾害链是指由致灾因子(洪水、暴雨等)在一定孕灾环境(地形、下垫面等)下对承灾体(生命、财产、基础设施等)造成损失及影响，并且诱发或者导致其他衍生灾害发生，对承灾体造成更为复杂影响的过程。灾害链过程中各个因子在时间和空间具备关联性，它们之间错综复杂的耦合关系以及与生态环境之间的物质、能量、信息交换，形成了复杂的灾情反馈机制。因此，从致灾因子危险性、孕灾环境敏感性、承灾体脆弱性三个维度构建洪涝灾害链风险评估指标体系，开展洪涝灾害链综合风险评估，包括三方面内容</w:t>
      </w:r>
      <w:r>
        <w:rPr>
          <w:rFonts w:hint="eastAsia" w:ascii="Times New Roman" w:hAnsi="Times New Roman" w:eastAsia="宋体" w:cs="Times New Roman"/>
          <w:sz w:val="24"/>
          <w:szCs w:val="24"/>
        </w:rPr>
        <w:t>：</w:t>
      </w:r>
    </w:p>
    <w:p>
      <w:pPr>
        <w:widowControl/>
        <w:shd w:val="clear" w:color="auto" w:fill="FCFCFC"/>
        <w:spacing w:line="360" w:lineRule="auto"/>
        <w:ind w:firstLine="361" w:firstLineChars="150"/>
        <w:jc w:val="left"/>
        <w:textAlignment w:val="baseline"/>
        <w:rPr>
          <w:rFonts w:ascii="宋体" w:hAnsi="宋体" w:eastAsia="宋体" w:cs="宋体"/>
          <w:kern w:val="0"/>
          <w:sz w:val="24"/>
          <w:szCs w:val="24"/>
        </w:rPr>
      </w:pPr>
      <w:r>
        <w:rPr>
          <w:rFonts w:ascii="Times New Roman" w:hAnsi="Times New Roman" w:eastAsia="宋体" w:cs="Times New Roman"/>
          <w:b/>
          <w:bCs/>
          <w:kern w:val="0"/>
          <w:sz w:val="24"/>
          <w:szCs w:val="24"/>
        </w:rPr>
        <w:t>1</w:t>
      </w:r>
      <w:r>
        <w:rPr>
          <w:rFonts w:ascii="Times New Roman" w:hAnsi="Times New Roman" w:eastAsia="宋体" w:cs="Times New Roman"/>
          <w:kern w:val="0"/>
          <w:sz w:val="24"/>
          <w:szCs w:val="24"/>
        </w:rPr>
        <w:t xml:space="preserve">   </w:t>
      </w:r>
      <w:r>
        <w:rPr>
          <w:rFonts w:hint="eastAsia" w:ascii="宋体" w:hAnsi="宋体" w:eastAsia="宋体" w:cs="宋体"/>
          <w:kern w:val="0"/>
          <w:sz w:val="24"/>
          <w:szCs w:val="24"/>
        </w:rPr>
        <w:t>城市洪涝脆弱性评估，评估范围为建成区，评估单元为城市管理单元网格。</w:t>
      </w:r>
      <w:r>
        <w:rPr>
          <w:rFonts w:ascii="宋体" w:hAnsi="宋体" w:eastAsia="宋体" w:cs="宋体"/>
          <w:kern w:val="0"/>
          <w:sz w:val="24"/>
          <w:szCs w:val="24"/>
        </w:rPr>
        <w:t>需综合考虑</w:t>
      </w:r>
      <w:r>
        <w:rPr>
          <w:rFonts w:hint="eastAsia" w:ascii="宋体" w:hAnsi="宋体" w:eastAsia="宋体" w:cs="宋体"/>
          <w:kern w:val="0"/>
          <w:sz w:val="24"/>
          <w:szCs w:val="24"/>
        </w:rPr>
        <w:t>孕灾环境</w:t>
      </w:r>
      <w:r>
        <w:rPr>
          <w:rFonts w:ascii="宋体" w:hAnsi="宋体" w:eastAsia="宋体" w:cs="宋体"/>
          <w:kern w:val="0"/>
          <w:sz w:val="24"/>
          <w:szCs w:val="24"/>
        </w:rPr>
        <w:t>（地形</w:t>
      </w:r>
      <w:r>
        <w:rPr>
          <w:rFonts w:hint="eastAsia" w:ascii="宋体" w:hAnsi="宋体" w:eastAsia="宋体" w:cs="宋体"/>
          <w:kern w:val="0"/>
          <w:sz w:val="24"/>
          <w:szCs w:val="24"/>
        </w:rPr>
        <w:t>、城区类型等</w:t>
      </w:r>
      <w:r>
        <w:rPr>
          <w:rFonts w:ascii="宋体" w:hAnsi="宋体" w:eastAsia="宋体" w:cs="宋体"/>
          <w:kern w:val="0"/>
          <w:sz w:val="24"/>
          <w:szCs w:val="24"/>
        </w:rPr>
        <w:t>）</w:t>
      </w:r>
      <w:r>
        <w:rPr>
          <w:rFonts w:hint="eastAsia" w:ascii="宋体" w:hAnsi="宋体" w:eastAsia="宋体" w:cs="宋体"/>
          <w:kern w:val="0"/>
          <w:sz w:val="24"/>
          <w:szCs w:val="24"/>
        </w:rPr>
        <w:t>和承灾体</w:t>
      </w:r>
      <w:r>
        <w:rPr>
          <w:rFonts w:ascii="宋体" w:hAnsi="宋体" w:eastAsia="宋体" w:cs="宋体"/>
          <w:kern w:val="0"/>
          <w:sz w:val="24"/>
          <w:szCs w:val="24"/>
        </w:rPr>
        <w:t>（</w:t>
      </w:r>
      <w:r>
        <w:rPr>
          <w:rFonts w:hint="eastAsia" w:ascii="宋体" w:hAnsi="宋体" w:eastAsia="宋体" w:cs="宋体"/>
          <w:kern w:val="0"/>
          <w:sz w:val="24"/>
          <w:szCs w:val="24"/>
        </w:rPr>
        <w:t>人口、生命线基础设施等</w:t>
      </w:r>
      <w:r>
        <w:rPr>
          <w:rFonts w:ascii="宋体" w:hAnsi="宋体" w:eastAsia="宋体" w:cs="宋体"/>
          <w:kern w:val="0"/>
          <w:sz w:val="24"/>
          <w:szCs w:val="24"/>
        </w:rPr>
        <w:t>）多维因素</w:t>
      </w:r>
      <w:r>
        <w:rPr>
          <w:rFonts w:hint="eastAsia" w:ascii="宋体" w:hAnsi="宋体" w:eastAsia="宋体" w:cs="宋体"/>
          <w:kern w:val="0"/>
          <w:sz w:val="24"/>
          <w:szCs w:val="24"/>
        </w:rPr>
        <w:t>。评估不受致灾因子影响，与降雨条件无关，</w:t>
      </w:r>
      <w:r>
        <w:rPr>
          <w:rFonts w:ascii="宋体" w:hAnsi="宋体" w:eastAsia="宋体" w:cs="宋体"/>
          <w:kern w:val="0"/>
          <w:sz w:val="24"/>
          <w:szCs w:val="24"/>
        </w:rPr>
        <w:t>旨在分析城市系统在面临洪涝灾害时的</w:t>
      </w:r>
      <w:r>
        <w:rPr>
          <w:rFonts w:hint="eastAsia" w:ascii="宋体" w:hAnsi="宋体" w:eastAsia="宋体" w:cs="宋体"/>
          <w:kern w:val="0"/>
          <w:sz w:val="24"/>
          <w:szCs w:val="24"/>
        </w:rPr>
        <w:t>敏感性和</w:t>
      </w:r>
      <w:r>
        <w:rPr>
          <w:rFonts w:ascii="宋体" w:hAnsi="宋体" w:eastAsia="宋体" w:cs="宋体"/>
          <w:kern w:val="0"/>
          <w:sz w:val="24"/>
          <w:szCs w:val="24"/>
        </w:rPr>
        <w:t>易损性，为防灾规划、应急管理和韧性城市建设</w:t>
      </w:r>
      <w:r>
        <w:rPr>
          <w:rFonts w:hint="eastAsia" w:ascii="宋体" w:hAnsi="宋体" w:eastAsia="宋体" w:cs="宋体"/>
          <w:kern w:val="0"/>
          <w:sz w:val="24"/>
          <w:szCs w:val="24"/>
        </w:rPr>
        <w:t>等</w:t>
      </w:r>
      <w:r>
        <w:rPr>
          <w:rFonts w:ascii="宋体" w:hAnsi="宋体" w:eastAsia="宋体" w:cs="宋体"/>
          <w:kern w:val="0"/>
          <w:sz w:val="24"/>
          <w:szCs w:val="24"/>
        </w:rPr>
        <w:t>提供</w:t>
      </w:r>
      <w:r>
        <w:rPr>
          <w:rFonts w:hint="eastAsia" w:ascii="宋体" w:hAnsi="宋体" w:eastAsia="宋体" w:cs="宋体"/>
          <w:kern w:val="0"/>
          <w:sz w:val="24"/>
          <w:szCs w:val="24"/>
        </w:rPr>
        <w:t>数据支撑</w:t>
      </w:r>
      <w:r>
        <w:rPr>
          <w:rFonts w:ascii="宋体" w:hAnsi="宋体" w:eastAsia="宋体" w:cs="宋体"/>
          <w:kern w:val="0"/>
          <w:sz w:val="24"/>
          <w:szCs w:val="24"/>
        </w:rPr>
        <w:t>。</w:t>
      </w:r>
    </w:p>
    <w:p>
      <w:pPr>
        <w:widowControl/>
        <w:shd w:val="clear" w:color="auto" w:fill="FCFCFC"/>
        <w:spacing w:line="360" w:lineRule="auto"/>
        <w:ind w:firstLine="361" w:firstLineChars="150"/>
        <w:jc w:val="left"/>
        <w:textAlignment w:val="baseline"/>
        <w:rPr>
          <w:rFonts w:ascii="宋体" w:hAnsi="宋体" w:eastAsia="宋体" w:cs="宋体"/>
          <w:kern w:val="0"/>
          <w:sz w:val="24"/>
          <w:szCs w:val="24"/>
        </w:rPr>
      </w:pPr>
      <w:r>
        <w:rPr>
          <w:rFonts w:ascii="Times New Roman" w:hAnsi="Times New Roman" w:eastAsia="宋体" w:cs="Times New Roman"/>
          <w:b/>
          <w:bCs/>
          <w:kern w:val="0"/>
          <w:sz w:val="24"/>
          <w:szCs w:val="24"/>
        </w:rPr>
        <w:t>2</w:t>
      </w:r>
      <w:r>
        <w:rPr>
          <w:rFonts w:ascii="Times New Roman" w:hAnsi="Times New Roman" w:eastAsia="宋体" w:cs="Times New Roman"/>
          <w:kern w:val="0"/>
          <w:sz w:val="24"/>
          <w:szCs w:val="24"/>
        </w:rPr>
        <w:t xml:space="preserve">   </w:t>
      </w:r>
      <w:r>
        <w:rPr>
          <w:rFonts w:ascii="宋体" w:hAnsi="宋体" w:eastAsia="宋体" w:cs="宋体"/>
          <w:kern w:val="0"/>
          <w:sz w:val="24"/>
          <w:szCs w:val="24"/>
        </w:rPr>
        <w:t>灾害链</w:t>
      </w:r>
      <w:r>
        <w:rPr>
          <w:rFonts w:hint="eastAsia" w:ascii="宋体" w:hAnsi="宋体" w:eastAsia="宋体" w:cs="宋体"/>
          <w:kern w:val="0"/>
          <w:sz w:val="24"/>
          <w:szCs w:val="24"/>
        </w:rPr>
        <w:t>综合</w:t>
      </w:r>
      <w:r>
        <w:rPr>
          <w:rFonts w:ascii="宋体" w:hAnsi="宋体" w:eastAsia="宋体" w:cs="宋体"/>
          <w:kern w:val="0"/>
          <w:sz w:val="24"/>
          <w:szCs w:val="24"/>
        </w:rPr>
        <w:t>风险</w:t>
      </w:r>
      <w:r>
        <w:rPr>
          <w:rFonts w:hint="eastAsia" w:ascii="宋体" w:hAnsi="宋体" w:eastAsia="宋体" w:cs="宋体"/>
          <w:kern w:val="0"/>
          <w:sz w:val="24"/>
          <w:szCs w:val="24"/>
        </w:rPr>
        <w:t>评估，评估范围为建成区，评估单元为城市管理单元网格。需在城市洪涝脆弱性评估基础上，将致灾因子与孕灾环境和承灾体叠加，</w:t>
      </w:r>
      <w:r>
        <w:rPr>
          <w:rFonts w:ascii="宋体" w:hAnsi="宋体" w:eastAsia="宋体" w:cs="宋体"/>
          <w:kern w:val="0"/>
          <w:sz w:val="24"/>
          <w:szCs w:val="24"/>
        </w:rPr>
        <w:t>分析</w:t>
      </w:r>
      <w:r>
        <w:rPr>
          <w:rFonts w:hint="eastAsia" w:ascii="宋体" w:hAnsi="宋体" w:eastAsia="宋体" w:cs="宋体"/>
          <w:kern w:val="0"/>
          <w:sz w:val="24"/>
          <w:szCs w:val="24"/>
        </w:rPr>
        <w:t>洪涝</w:t>
      </w:r>
      <w:r>
        <w:rPr>
          <w:rFonts w:ascii="宋体" w:hAnsi="宋体" w:eastAsia="宋体" w:cs="宋体"/>
          <w:kern w:val="0"/>
          <w:sz w:val="24"/>
          <w:szCs w:val="24"/>
        </w:rPr>
        <w:t>灾害触发机制（如</w:t>
      </w:r>
      <w:r>
        <w:rPr>
          <w:rFonts w:hint="eastAsia" w:ascii="宋体" w:hAnsi="宋体" w:eastAsia="宋体" w:cs="宋体"/>
          <w:kern w:val="0"/>
          <w:sz w:val="24"/>
          <w:szCs w:val="24"/>
        </w:rPr>
        <w:t>“</w:t>
      </w:r>
      <w:r>
        <w:rPr>
          <w:rFonts w:ascii="宋体" w:hAnsi="宋体" w:eastAsia="宋体" w:cs="宋体"/>
          <w:kern w:val="0"/>
          <w:sz w:val="24"/>
          <w:szCs w:val="24"/>
        </w:rPr>
        <w:t>暴雨→</w:t>
      </w:r>
      <w:r>
        <w:rPr>
          <w:rFonts w:hint="eastAsia" w:ascii="宋体" w:hAnsi="宋体" w:eastAsia="宋体" w:cs="宋体"/>
          <w:kern w:val="0"/>
          <w:sz w:val="24"/>
          <w:szCs w:val="24"/>
        </w:rPr>
        <w:t>山洪入城</w:t>
      </w:r>
      <w:r>
        <w:rPr>
          <w:rFonts w:ascii="宋体" w:hAnsi="宋体" w:eastAsia="宋体" w:cs="宋体"/>
          <w:kern w:val="0"/>
          <w:sz w:val="24"/>
          <w:szCs w:val="24"/>
        </w:rPr>
        <w:t>→</w:t>
      </w:r>
      <w:r>
        <w:rPr>
          <w:rFonts w:hint="eastAsia" w:ascii="宋体" w:hAnsi="宋体" w:eastAsia="宋体" w:cs="宋体"/>
          <w:kern w:val="0"/>
          <w:sz w:val="24"/>
          <w:szCs w:val="24"/>
        </w:rPr>
        <w:t>内涝积水</w:t>
      </w:r>
      <w:r>
        <w:rPr>
          <w:rFonts w:ascii="宋体" w:hAnsi="宋体" w:eastAsia="宋体" w:cs="宋体"/>
          <w:kern w:val="0"/>
          <w:sz w:val="24"/>
          <w:szCs w:val="24"/>
        </w:rPr>
        <w:t>→交通中断</w:t>
      </w:r>
      <w:r>
        <w:rPr>
          <w:rFonts w:hint="eastAsia" w:ascii="宋体" w:hAnsi="宋体" w:eastAsia="宋体" w:cs="宋体"/>
          <w:kern w:val="0"/>
          <w:sz w:val="24"/>
          <w:szCs w:val="24"/>
        </w:rPr>
        <w:t>”</w:t>
      </w:r>
      <w:r>
        <w:rPr>
          <w:rFonts w:ascii="宋体" w:hAnsi="宋体" w:eastAsia="宋体" w:cs="宋体"/>
          <w:kern w:val="0"/>
          <w:sz w:val="24"/>
          <w:szCs w:val="24"/>
        </w:rPr>
        <w:t>）</w:t>
      </w:r>
      <w:r>
        <w:rPr>
          <w:rFonts w:hint="eastAsia" w:ascii="宋体" w:hAnsi="宋体" w:eastAsia="宋体" w:cs="宋体"/>
          <w:kern w:val="0"/>
          <w:sz w:val="24"/>
          <w:szCs w:val="24"/>
        </w:rPr>
        <w:t>与灾害链式演变过程所带来的风险。评估受致灾因子影响，与降雨条件有关，</w:t>
      </w:r>
      <w:r>
        <w:rPr>
          <w:rFonts w:ascii="宋体" w:hAnsi="宋体" w:eastAsia="宋体" w:cs="宋体"/>
          <w:kern w:val="0"/>
          <w:sz w:val="24"/>
          <w:szCs w:val="24"/>
        </w:rPr>
        <w:t>旨在分析城市系统</w:t>
      </w:r>
      <w:r>
        <w:rPr>
          <w:rFonts w:hint="eastAsia" w:ascii="宋体" w:hAnsi="宋体" w:eastAsia="宋体" w:cs="宋体"/>
          <w:kern w:val="0"/>
          <w:sz w:val="24"/>
          <w:szCs w:val="24"/>
        </w:rPr>
        <w:t>在不同降雨情境下的洪涝灾害触发机制及风险</w:t>
      </w:r>
      <w:r>
        <w:rPr>
          <w:rFonts w:ascii="宋体" w:hAnsi="宋体" w:eastAsia="宋体" w:cs="宋体"/>
          <w:kern w:val="0"/>
          <w:sz w:val="24"/>
          <w:szCs w:val="24"/>
        </w:rPr>
        <w:t>，为</w:t>
      </w:r>
      <w:r>
        <w:rPr>
          <w:rFonts w:hint="eastAsia" w:ascii="宋体" w:hAnsi="宋体" w:eastAsia="宋体" w:cs="宋体"/>
          <w:kern w:val="0"/>
          <w:sz w:val="24"/>
          <w:szCs w:val="24"/>
        </w:rPr>
        <w:t>精准开展断链减灾、制定不同降雨情境下的应急抢险方案提供数据支撑</w:t>
      </w:r>
      <w:r>
        <w:rPr>
          <w:rFonts w:ascii="宋体" w:hAnsi="宋体" w:eastAsia="宋体" w:cs="宋体"/>
          <w:kern w:val="0"/>
          <w:sz w:val="24"/>
          <w:szCs w:val="24"/>
        </w:rPr>
        <w:t>。</w:t>
      </w:r>
    </w:p>
    <w:p>
      <w:pPr>
        <w:widowControl/>
        <w:shd w:val="clear" w:color="auto" w:fill="FCFCFC"/>
        <w:spacing w:line="360" w:lineRule="auto"/>
        <w:ind w:firstLine="361" w:firstLineChars="150"/>
        <w:jc w:val="left"/>
        <w:textAlignment w:val="baseline"/>
        <w:rPr>
          <w:rFonts w:ascii="宋体" w:hAnsi="宋体" w:eastAsia="宋体" w:cs="宋体"/>
          <w:kern w:val="0"/>
          <w:sz w:val="24"/>
          <w:szCs w:val="24"/>
        </w:rPr>
      </w:pPr>
      <w:r>
        <w:rPr>
          <w:rFonts w:ascii="Times New Roman" w:hAnsi="Times New Roman" w:eastAsia="宋体" w:cs="Times New Roman"/>
          <w:b/>
          <w:bCs/>
          <w:kern w:val="0"/>
          <w:sz w:val="24"/>
          <w:szCs w:val="24"/>
        </w:rPr>
        <w:t>3</w:t>
      </w:r>
      <w:r>
        <w:rPr>
          <w:rFonts w:ascii="Times New Roman" w:hAnsi="Times New Roman" w:eastAsia="宋体" w:cs="Times New Roman"/>
          <w:kern w:val="0"/>
          <w:sz w:val="24"/>
          <w:szCs w:val="24"/>
        </w:rPr>
        <w:t xml:space="preserve">   </w:t>
      </w:r>
      <w:r>
        <w:rPr>
          <w:rFonts w:hint="eastAsia" w:ascii="宋体" w:hAnsi="宋体" w:eastAsia="宋体" w:cs="宋体"/>
          <w:kern w:val="0"/>
          <w:sz w:val="24"/>
          <w:szCs w:val="24"/>
        </w:rPr>
        <w:t>承灾体受淹风险评估，评估范围和洪涝积水风险评估模型一致。需在洪涝积水风险评估工作基础上，评估各生命线基础设施和遇水反应化工品点位受洪涝积水影响情况。评估受致灾因子影响，与降雨条件有关，</w:t>
      </w:r>
      <w:r>
        <w:rPr>
          <w:rFonts w:ascii="宋体" w:hAnsi="宋体" w:eastAsia="宋体" w:cs="宋体"/>
          <w:kern w:val="0"/>
          <w:sz w:val="24"/>
          <w:szCs w:val="24"/>
        </w:rPr>
        <w:t>旨在分析</w:t>
      </w:r>
      <w:r>
        <w:rPr>
          <w:rFonts w:hint="eastAsia" w:ascii="宋体" w:hAnsi="宋体" w:eastAsia="宋体" w:cs="宋体"/>
          <w:kern w:val="0"/>
          <w:sz w:val="24"/>
          <w:szCs w:val="24"/>
        </w:rPr>
        <w:t>各承灾体在不同降雨情境下的受淹情况</w:t>
      </w:r>
      <w:r>
        <w:rPr>
          <w:rFonts w:ascii="宋体" w:hAnsi="宋体" w:eastAsia="宋体" w:cs="宋体"/>
          <w:kern w:val="0"/>
          <w:sz w:val="24"/>
          <w:szCs w:val="24"/>
        </w:rPr>
        <w:t>，为</w:t>
      </w:r>
      <w:r>
        <w:rPr>
          <w:rFonts w:hint="eastAsia" w:ascii="宋体" w:hAnsi="宋体" w:eastAsia="宋体" w:cs="宋体"/>
          <w:kern w:val="0"/>
          <w:sz w:val="24"/>
          <w:szCs w:val="24"/>
        </w:rPr>
        <w:t>精准开展灾害防御提供数据支撑</w:t>
      </w:r>
      <w:r>
        <w:rPr>
          <w:rFonts w:ascii="宋体" w:hAnsi="宋体" w:eastAsia="宋体" w:cs="宋体"/>
          <w:kern w:val="0"/>
          <w:sz w:val="24"/>
          <w:szCs w:val="24"/>
        </w:rPr>
        <w:t>。</w:t>
      </w:r>
    </w:p>
    <w:p>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bCs/>
          <w:kern w:val="0"/>
          <w:sz w:val="24"/>
          <w:szCs w:val="24"/>
        </w:rPr>
        <w:t xml:space="preserve">4.1.3     </w:t>
      </w:r>
      <w:r>
        <w:rPr>
          <w:rFonts w:hint="eastAsia" w:ascii="Times New Roman" w:hAnsi="Times New Roman" w:eastAsia="宋体" w:cs="Times New Roman"/>
          <w:sz w:val="24"/>
          <w:szCs w:val="24"/>
        </w:rPr>
        <w:t>为便于洪涝灾害发生时的应急抢险等工作顺利开展，将洪涝灾害应急抢险体系和城市管理体系相融合，以现状城市管理单元网格为基础，结合排水分区，划定风险评估城市管理单元网格，并明确网格所在流域和排水分区名称。每个网格面积不宜大于1公里×1公里，当现状管理单元网格面积大于1平方公里时，可对现状管理单元网格进行拆分。</w:t>
      </w:r>
    </w:p>
    <w:p>
      <w:pPr>
        <w:pStyle w:val="3"/>
        <w:numPr>
          <w:ilvl w:val="0"/>
          <w:numId w:val="0"/>
        </w:numPr>
      </w:pPr>
      <w:bookmarkStart w:id="428" w:name="_Toc201743704"/>
      <w:bookmarkStart w:id="429" w:name="_Toc201745779"/>
      <w:bookmarkStart w:id="430" w:name="_Toc201743755"/>
      <w:bookmarkStart w:id="431" w:name="_Toc15499"/>
      <w:bookmarkStart w:id="432" w:name="_Toc201743653"/>
      <w:bookmarkStart w:id="433" w:name="_Toc201224001"/>
      <w:r>
        <w:rPr>
          <w:rFonts w:hint="eastAsia"/>
        </w:rPr>
        <w:t>4.2</w:t>
      </w:r>
      <w:r>
        <w:t xml:space="preserve">  </w:t>
      </w:r>
      <w:r>
        <w:rPr>
          <w:rFonts w:hint="eastAsia"/>
        </w:rPr>
        <w:t>评 估 指 标</w:t>
      </w:r>
      <w:bookmarkEnd w:id="428"/>
      <w:bookmarkEnd w:id="429"/>
      <w:bookmarkEnd w:id="430"/>
      <w:bookmarkEnd w:id="431"/>
      <w:bookmarkEnd w:id="432"/>
      <w:bookmarkEnd w:id="433"/>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4.2.1</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本条款指标围绕</w:t>
      </w:r>
      <w:r>
        <w:rPr>
          <w:rFonts w:ascii="Times New Roman" w:hAnsi="Times New Roman" w:eastAsia="宋体" w:cs="Times New Roman"/>
          <w:sz w:val="24"/>
          <w:szCs w:val="24"/>
        </w:rPr>
        <w:t>致灾因子、</w:t>
      </w:r>
      <w:r>
        <w:rPr>
          <w:rFonts w:hint="eastAsia" w:ascii="Times New Roman" w:hAnsi="Times New Roman" w:eastAsia="宋体" w:cs="Times New Roman"/>
          <w:sz w:val="24"/>
          <w:szCs w:val="24"/>
        </w:rPr>
        <w:t>孕灾环境、承灾体选取作出具体要求如下：</w:t>
      </w:r>
    </w:p>
    <w:p>
      <w:pPr>
        <w:adjustRightInd w:val="0"/>
        <w:snapToGrid w:val="0"/>
        <w:spacing w:line="360" w:lineRule="auto"/>
        <w:ind w:firstLine="361" w:firstLineChars="150"/>
        <w:rPr>
          <w:rFonts w:ascii="Times New Roman" w:hAnsi="Times New Roman" w:eastAsia="宋体" w:cs="Times New Roman"/>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致灾因子：本标准规定致灾因子为洪涝积水风险，通过洪涝积水风险模拟分析，该评估结果可较为客观的评估降雨、水位、地质与地形、排水防涝系统等因素对城市的综合影响。</w:t>
      </w:r>
    </w:p>
    <w:p>
      <w:pPr>
        <w:adjustRightInd w:val="0"/>
        <w:snapToGrid w:val="0"/>
        <w:spacing w:line="360" w:lineRule="auto"/>
        <w:ind w:firstLine="361" w:firstLineChars="150"/>
        <w:rPr>
          <w:rFonts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孕灾环境：</w:t>
      </w:r>
      <w:r>
        <w:rPr>
          <w:rFonts w:ascii="Times New Roman" w:hAnsi="Times New Roman" w:eastAsia="宋体" w:cs="Times New Roman"/>
          <w:sz w:val="24"/>
          <w:szCs w:val="24"/>
        </w:rPr>
        <w:t>合理的孕灾环境指标能有效识别高风险区域，预测灾害链扩展路径。</w:t>
      </w:r>
      <w:r>
        <w:rPr>
          <w:rFonts w:hint="eastAsia" w:ascii="Times New Roman" w:hAnsi="Times New Roman" w:eastAsia="宋体" w:cs="Times New Roman"/>
          <w:sz w:val="24"/>
          <w:szCs w:val="24"/>
        </w:rPr>
        <w:t>常见的孕灾环境指标包括地形地貌特征（坡度、高程、河网密度、水面率）；土壤与地质条件（径流系数、土壤渗透系数）；流域水文特征（河道弯曲系数、水库湖泊调蓄能力）；城市建成环境和人类活动干扰等。本标准选取了高程、坡度、水面率、径流系数、土壤渗透系数、主次干道密度、城区类型和雨水管渠重现期达标率八项核心指标，各城市可因地制宜参考上述类别进行指标补充。</w:t>
      </w:r>
    </w:p>
    <w:p>
      <w:pPr>
        <w:adjustRightInd w:val="0"/>
        <w:snapToGrid w:val="0"/>
        <w:spacing w:line="360" w:lineRule="auto"/>
        <w:ind w:firstLine="361" w:firstLineChars="150"/>
        <w:rPr>
          <w:rFonts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承灾体：</w:t>
      </w:r>
      <w:r>
        <w:rPr>
          <w:rFonts w:ascii="Times New Roman" w:hAnsi="Times New Roman" w:eastAsia="宋体" w:cs="Times New Roman"/>
          <w:sz w:val="24"/>
          <w:szCs w:val="24"/>
        </w:rPr>
        <w:t>评估承灾体是灾害风险管理的核心环节，其脆弱性和暴露程度直接决定了灾害的最终影响。</w:t>
      </w:r>
      <w:r>
        <w:rPr>
          <w:rFonts w:hint="eastAsia" w:ascii="Times New Roman" w:hAnsi="Times New Roman" w:eastAsia="宋体" w:cs="Times New Roman"/>
          <w:sz w:val="24"/>
          <w:szCs w:val="24"/>
        </w:rPr>
        <w:t>常见的承灾体指标包括人口与社会系统（人口密度、老人儿童等群体密度、医院学校避难所等公共设施分布与承载力）；财产损失（农作物绝收、工业停产）；基础设施（交通、能源、供排水、通信）；生态环境（有毒物质扩散等）。综合考虑本标准评估范围为建成区，结合郑州7.20暴雨和北京23.7暴雨等灾害事件，标准选取了人口密度、地下空间出入口密度、</w:t>
      </w:r>
      <w:r>
        <w:rPr>
          <w:rFonts w:ascii="Times New Roman" w:hAnsi="Times New Roman" w:eastAsia="宋体" w:cs="Times New Roman"/>
          <w:sz w:val="24"/>
          <w:szCs w:val="24"/>
        </w:rPr>
        <w:t>生命线</w:t>
      </w:r>
      <w:r>
        <w:rPr>
          <w:rFonts w:hint="eastAsia" w:ascii="Times New Roman" w:hAnsi="Times New Roman" w:eastAsia="宋体" w:cs="Times New Roman"/>
          <w:sz w:val="24"/>
          <w:szCs w:val="24"/>
        </w:rPr>
        <w:t>设施密度和易发链生灾害点位密度四项核心指标，各城市可因地制宜参考上述类别进行指标补充。</w:t>
      </w:r>
    </w:p>
    <w:p>
      <w:pPr>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4.2.</w:t>
      </w:r>
      <w:r>
        <w:rPr>
          <w:rFonts w:ascii="Times New Roman" w:hAnsi="Times New Roman" w:eastAsia="宋体" w:cs="Times New Roman"/>
          <w:b/>
          <w:bCs/>
          <w:sz w:val="24"/>
          <w:szCs w:val="24"/>
        </w:rPr>
        <w:t xml:space="preserve">3    </w:t>
      </w:r>
      <w:r>
        <w:rPr>
          <w:rFonts w:hint="eastAsia" w:ascii="Times New Roman" w:hAnsi="Times New Roman" w:eastAsia="宋体" w:cs="Times New Roman"/>
          <w:sz w:val="24"/>
          <w:szCs w:val="24"/>
        </w:rPr>
        <w:t>本条款规定了指标等级划分方法，各指标具体划分方法如下：</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1</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高程：区域内的海拔高度，地势低洼的地区更容易发生海水倒灌、积水等问题，形成内涝。各地可根据实际利用自然断点法、百分位法进行等级划分。</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坡度：</w:t>
      </w:r>
      <w:r>
        <w:rPr>
          <w:rFonts w:ascii="Times New Roman" w:hAnsi="Times New Roman" w:eastAsia="宋体" w:cs="Times New Roman"/>
          <w:color w:val="000000" w:themeColor="text1"/>
          <w:sz w:val="24"/>
          <w:szCs w:val="24"/>
          <w14:textFill>
            <w14:solidFill>
              <w14:schemeClr w14:val="tx1"/>
            </w14:solidFill>
          </w14:textFill>
        </w:rPr>
        <w:t>地表的倾斜程度，坡度较大的地区有利于雨水的快速排放，而坡度较小或平坦的地区排水速度较慢，容易积水。各地可根据实际利用自然断点法、百分位法进行等级划分。</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水面率：</w:t>
      </w:r>
      <w:r>
        <w:rPr>
          <w:rFonts w:ascii="Times New Roman" w:hAnsi="Times New Roman" w:eastAsia="宋体" w:cs="Times New Roman"/>
          <w:color w:val="000000" w:themeColor="text1"/>
          <w:sz w:val="24"/>
          <w:szCs w:val="24"/>
          <w14:textFill>
            <w14:solidFill>
              <w14:schemeClr w14:val="tx1"/>
            </w14:solidFill>
          </w14:textFill>
        </w:rPr>
        <w:t>河道、湖泊、水库、山塘、蓄滞洪区、人工水道、其他水域等水域面积应通过量算临水线所围成的水域面的面积获取。水面率为水域面积控制的重要指标，宜进行分区水面率计算。各地可根据实际利用自然断点法、百分位法进行等级划分。水面率</w:t>
      </w:r>
      <w:r>
        <w:rPr>
          <w:rFonts w:hint="eastAsia" w:ascii="Times New Roman" w:hAnsi="Times New Roman" w:eastAsia="宋体" w:cs="Times New Roman"/>
          <w:color w:val="000000" w:themeColor="text1"/>
          <w:sz w:val="24"/>
          <w:szCs w:val="24"/>
          <w14:textFill>
            <w14:solidFill>
              <w14:schemeClr w14:val="tx1"/>
            </w14:solidFill>
          </w14:textFill>
        </w:rPr>
        <w:t>可</w:t>
      </w:r>
      <w:r>
        <w:rPr>
          <w:rFonts w:ascii="Times New Roman" w:hAnsi="Times New Roman" w:eastAsia="宋体" w:cs="Times New Roman"/>
          <w:color w:val="000000" w:themeColor="text1"/>
          <w:sz w:val="24"/>
          <w:szCs w:val="24"/>
          <w14:textFill>
            <w14:solidFill>
              <w14:schemeClr w14:val="tx1"/>
            </w14:solidFill>
          </w14:textFill>
        </w:rPr>
        <w:t>按下式计算：</w:t>
      </w:r>
    </w:p>
    <w:p>
      <w:pPr>
        <w:pStyle w:val="97"/>
        <w:tabs>
          <w:tab w:val="center" w:pos="4253"/>
          <w:tab w:val="right" w:pos="8222"/>
          <w:tab w:val="clear" w:pos="4256"/>
          <w:tab w:val="clear" w:pos="8221"/>
        </w:tabs>
        <w:rPr>
          <w:i/>
        </w:rPr>
      </w:pPr>
      <w:r>
        <w:tab/>
      </w:r>
      <m:oMath>
        <m:r>
          <m:rPr/>
          <w:rPr>
            <w:rFonts w:ascii="Cambria Math" w:hAnsi="Cambria Math"/>
          </w:rPr>
          <m:t>R</m:t>
        </m:r>
        <m:r>
          <m:rPr/>
          <w:rPr>
            <w:rFonts w:hint="eastAsia" w:ascii="Cambria Math" w:hAnsi="Cambria Math"/>
          </w:rPr>
          <m:t>=</m:t>
        </m:r>
        <m:f>
          <m:fPr>
            <m:ctrlPr>
              <w:rPr>
                <w:rFonts w:hint="eastAsia" w:ascii="Cambria Math" w:hAnsi="Cambria Math"/>
                <w:i/>
              </w:rPr>
            </m:ctrlPr>
          </m:fPr>
          <m:num>
            <m:sSub>
              <m:sSubPr>
                <m:ctrlPr>
                  <w:rPr>
                    <w:rFonts w:ascii="Cambria Math" w:hAnsi="Cambria Math"/>
                    <w:i/>
                  </w:rPr>
                </m:ctrlPr>
              </m:sSubPr>
              <m:e>
                <m:r>
                  <m:rPr/>
                  <w:rPr>
                    <w:rFonts w:ascii="Cambria Math" w:hAnsi="Cambria Math"/>
                  </w:rPr>
                  <m:t>R</m:t>
                </m:r>
                <m:ctrlPr>
                  <w:rPr>
                    <w:rFonts w:ascii="Cambria Math" w:hAnsi="Cambria Math"/>
                    <w:i/>
                  </w:rPr>
                </m:ctrlPr>
              </m:e>
              <m:sub>
                <m:r>
                  <m:rPr/>
                  <w:rPr>
                    <w:rFonts w:hint="eastAsia" w:ascii="Cambria Math" w:hAnsi="Cambria Math"/>
                  </w:rPr>
                  <m:t>w</m:t>
                </m:r>
                <m:ctrlPr>
                  <w:rPr>
                    <w:rFonts w:ascii="Cambria Math" w:hAnsi="Cambria Math"/>
                    <w:i/>
                  </w:rPr>
                </m:ctrlPr>
              </m:sub>
            </m:sSub>
            <m:ctrlPr>
              <w:rPr>
                <w:rFonts w:hint="eastAsia" w:ascii="Cambria Math" w:hAnsi="Cambria Math"/>
                <w:i/>
              </w:rPr>
            </m:ctrlPr>
          </m:num>
          <m:den>
            <m:r>
              <m:rPr/>
              <w:rPr>
                <w:rFonts w:ascii="Cambria Math" w:hAnsi="Cambria Math"/>
              </w:rPr>
              <m:t>A</m:t>
            </m:r>
            <m:ctrlPr>
              <w:rPr>
                <w:rFonts w:hint="eastAsia" w:ascii="Cambria Math" w:hAnsi="Cambria Math"/>
                <w:i/>
              </w:rPr>
            </m:ctrlPr>
          </m:den>
        </m:f>
        <m:r>
          <m:rPr/>
          <w:rPr>
            <w:rFonts w:ascii="Cambria Math" w:hAnsi="Cambria Math"/>
          </w:rPr>
          <m:t>×100%</m:t>
        </m:r>
      </m:oMath>
      <w:r>
        <w:rPr>
          <w:i/>
        </w:rPr>
        <w:tab/>
      </w:r>
      <w:r>
        <w:rPr>
          <w:iCs/>
        </w:rPr>
        <w:t>（</w:t>
      </w:r>
      <w:r>
        <w:rPr>
          <w:rFonts w:hint="eastAsia"/>
          <w:iCs/>
        </w:rPr>
        <w:t>1</w:t>
      </w:r>
      <w:r>
        <w:rPr>
          <w:iCs/>
        </w:rPr>
        <w:t>）</w:t>
      </w:r>
    </w:p>
    <w:p>
      <w:pPr>
        <w:widowControl/>
        <w:shd w:val="clear" w:color="auto" w:fill="FFFFFF"/>
        <w:tabs>
          <w:tab w:val="left" w:pos="851"/>
        </w:tabs>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r>
          <m:rPr/>
          <w:rPr>
            <w:rFonts w:ascii="Cambria Math" w:hAnsi="Cambria Math" w:eastAsia="宋体" w:cs="Times New Roman"/>
            <w:color w:val="000000" w:themeColor="text1"/>
            <w:kern w:val="0"/>
            <w:sz w:val="24"/>
            <w:szCs w:val="24"/>
            <w14:textFill>
              <w14:solidFill>
                <w14:schemeClr w14:val="tx1"/>
              </w14:solidFill>
            </w14:textFill>
          </w:rPr>
          <m:t>R</m:t>
        </m:r>
      </m:oMath>
      <w:r>
        <w:rPr>
          <w:rFonts w:hint="eastAsia" w:ascii="inherit" w:hAnsi="inherit" w:eastAsia="宋体" w:cs="Segoe UI"/>
          <w:color w:val="000000" w:themeColor="text1"/>
          <w:kern w:val="0"/>
          <w:sz w:val="24"/>
          <w:szCs w:val="24"/>
          <w14:textFill>
            <w14:solidFill>
              <w14:schemeClr w14:val="tx1"/>
            </w14:solidFill>
          </w14:textFill>
        </w:rPr>
        <w:t>——区域水面率，单位%；</w:t>
      </w:r>
    </w:p>
    <w:p>
      <w:pPr>
        <w:widowControl/>
        <w:shd w:val="clear" w:color="auto" w:fill="FFFFFF"/>
        <w:tabs>
          <w:tab w:val="left" w:pos="851"/>
        </w:tabs>
        <w:spacing w:line="360" w:lineRule="auto"/>
        <w:textAlignment w:val="center"/>
        <w:rPr>
          <w:rFonts w:ascii="Segoe UI" w:hAnsi="Segoe UI" w:eastAsia="宋体" w:cs="Segoe UI"/>
          <w:color w:val="000000" w:themeColor="text1"/>
          <w:kern w:val="0"/>
          <w:sz w:val="24"/>
          <w:szCs w:val="24"/>
          <w14:textFill>
            <w14:solidFill>
              <w14:schemeClr w14:val="tx1"/>
            </w14:solidFill>
          </w14:textFill>
        </w:rPr>
      </w:pPr>
      <m:oMath>
        <m:r>
          <m:rPr/>
          <w:rPr>
            <w:rFonts w:ascii="Cambria Math" w:hAnsi="Cambria Math" w:eastAsia="宋体" w:cs="Times New Roman"/>
            <w:color w:val="000000" w:themeColor="text1"/>
            <w:sz w:val="24"/>
            <w:szCs w:val="24"/>
            <w14:textFill>
              <w14:solidFill>
                <w14:schemeClr w14:val="tx1"/>
              </w14:solidFill>
            </w14:textFill>
          </w:rPr>
          <m:t xml:space="preserve">          </m:t>
        </m:r>
        <m:sSub>
          <m:sSubPr>
            <m:ctrlPr>
              <w:rPr>
                <w:rFonts w:ascii="Cambria Math" w:hAnsi="Cambria Math" w:eastAsia="宋体" w:cs="Times New Roman"/>
                <w:i/>
                <w:color w:val="000000" w:themeColor="text1"/>
                <w:sz w:val="24"/>
                <w:szCs w:val="24"/>
                <w14:textFill>
                  <w14:solidFill>
                    <w14:schemeClr w14:val="tx1"/>
                  </w14:solidFill>
                </w14:textFill>
              </w:rPr>
            </m:ctrlPr>
          </m:sSubPr>
          <m:e>
            <m:r>
              <m:rPr/>
              <w:rPr>
                <w:rFonts w:ascii="Cambria Math" w:hAnsi="Cambria Math" w:eastAsia="宋体" w:cs="Times New Roman"/>
                <w:color w:val="000000" w:themeColor="text1"/>
                <w:sz w:val="24"/>
                <w:szCs w:val="24"/>
                <w14:textFill>
                  <w14:solidFill>
                    <w14:schemeClr w14:val="tx1"/>
                  </w14:solidFill>
                </w14:textFill>
              </w:rPr>
              <m:t xml:space="preserve"> R</m:t>
            </m:r>
            <m:ctrlPr>
              <w:rPr>
                <w:rFonts w:ascii="Cambria Math" w:hAnsi="Cambria Math" w:eastAsia="宋体" w:cs="Times New Roman"/>
                <w:i/>
                <w:color w:val="000000" w:themeColor="text1"/>
                <w:sz w:val="24"/>
                <w:szCs w:val="24"/>
                <w14:textFill>
                  <w14:solidFill>
                    <w14:schemeClr w14:val="tx1"/>
                  </w14:solidFill>
                </w14:textFill>
              </w:rPr>
            </m:ctrlPr>
          </m:e>
          <m:sub>
            <m:r>
              <m:rPr/>
              <w:rPr>
                <w:rFonts w:hint="eastAsia" w:ascii="Cambria Math" w:hAnsi="Cambria Math" w:eastAsia="宋体" w:cs="Times New Roman"/>
                <w:color w:val="000000" w:themeColor="text1"/>
                <w:sz w:val="24"/>
                <w:szCs w:val="24"/>
                <w14:textFill>
                  <w14:solidFill>
                    <w14:schemeClr w14:val="tx1"/>
                  </w14:solidFill>
                </w14:textFill>
              </w:rPr>
              <m:t>w</m:t>
            </m:r>
            <m:ctrlPr>
              <w:rPr>
                <w:rFonts w:ascii="Cambria Math" w:hAnsi="Cambria Math" w:eastAsia="宋体" w:cs="Times New Roman"/>
                <w:i/>
                <w:color w:val="000000" w:themeColor="text1"/>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hint="eastAsia" w:ascii="Segoe UI" w:hAnsi="Segoe UI" w:eastAsia="宋体" w:cs="Segoe UI"/>
          <w:color w:val="000000" w:themeColor="text1"/>
          <w:kern w:val="0"/>
          <w:sz w:val="24"/>
          <w:szCs w:val="24"/>
          <w14:textFill>
            <w14:solidFill>
              <w14:schemeClr w14:val="tx1"/>
            </w14:solidFill>
          </w14:textFill>
        </w:rPr>
        <w:t>区域</w:t>
      </w:r>
      <w:r>
        <w:rPr>
          <w:rFonts w:ascii="Segoe UI" w:hAnsi="Segoe UI" w:eastAsia="宋体" w:cs="Segoe UI"/>
          <w:color w:val="000000" w:themeColor="text1"/>
          <w:kern w:val="0"/>
          <w:sz w:val="24"/>
          <w:szCs w:val="24"/>
          <w14:textFill>
            <w14:solidFill>
              <w14:schemeClr w14:val="tx1"/>
            </w14:solidFill>
          </w14:textFill>
        </w:rPr>
        <w:t>水域面积</w:t>
      </w:r>
      <w:r>
        <w:rPr>
          <w:rFonts w:hint="eastAsia" w:ascii="inherit" w:hAnsi="inherit" w:eastAsia="宋体" w:cs="Segoe UI"/>
          <w:color w:val="000000" w:themeColor="text1"/>
          <w:kern w:val="0"/>
          <w:sz w:val="24"/>
          <w:szCs w:val="24"/>
          <w14:textFill>
            <w14:solidFill>
              <w14:schemeClr w14:val="tx1"/>
            </w14:solidFill>
          </w14:textFill>
        </w:rPr>
        <w:t>，单</w:t>
      </w:r>
      <w:r>
        <w:rPr>
          <w:rFonts w:ascii="Times New Roman" w:hAnsi="Times New Roman" w:eastAsia="宋体" w:cs="Times New Roman"/>
          <w:color w:val="000000" w:themeColor="text1"/>
          <w:kern w:val="0"/>
          <w:sz w:val="24"/>
          <w:szCs w:val="24"/>
          <w14:textFill>
            <w14:solidFill>
              <w14:schemeClr w14:val="tx1"/>
            </w14:solidFill>
          </w14:textFill>
        </w:rPr>
        <w:t>位km</w:t>
      </w:r>
      <w:r>
        <w:rPr>
          <w:rFonts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hint="eastAsia" w:ascii="Segoe UI" w:hAnsi="Segoe UI" w:eastAsia="宋体" w:cs="Segoe UI"/>
          <w:color w:val="000000" w:themeColor="text1"/>
          <w:kern w:val="0"/>
          <w:sz w:val="24"/>
          <w:szCs w:val="24"/>
          <w14:textFill>
            <w14:solidFill>
              <w14:schemeClr w14:val="tx1"/>
            </w14:solidFill>
          </w14:textFill>
        </w:rPr>
        <w:t>。</w:t>
      </w:r>
    </w:p>
    <w:p>
      <w:pPr>
        <w:tabs>
          <w:tab w:val="left" w:pos="560"/>
        </w:tabs>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4</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径流系数：</w:t>
      </w:r>
      <w:r>
        <w:rPr>
          <w:rFonts w:ascii="Times New Roman" w:hAnsi="Times New Roman" w:eastAsia="宋体" w:cs="Times New Roman"/>
          <w:color w:val="000000" w:themeColor="text1"/>
          <w:sz w:val="24"/>
          <w:szCs w:val="24"/>
          <w14:textFill>
            <w14:solidFill>
              <w14:schemeClr w14:val="tx1"/>
            </w14:solidFill>
          </w14:textFill>
        </w:rPr>
        <w:t>径流系数是降雨过程中形成的地表径流深度与降雨深度的比值，反映特定下垫面的径流能力；区域综合径流系数则综合了区域内不同下垫面类型及其面积分布，反映整个区域的整体径流特性。各地可根据实际利用自然断点法、百分位法进行等级划分。综合径流系数</w:t>
      </w:r>
      <w:r>
        <w:rPr>
          <w:rFonts w:hint="eastAsia" w:ascii="Times New Roman" w:hAnsi="Times New Roman" w:eastAsia="宋体" w:cs="Times New Roman"/>
          <w:color w:val="000000" w:themeColor="text1"/>
          <w:sz w:val="24"/>
          <w:szCs w:val="24"/>
          <w14:textFill>
            <w14:solidFill>
              <w14:schemeClr w14:val="tx1"/>
            </w14:solidFill>
          </w14:textFill>
        </w:rPr>
        <w:t>（</w:t>
      </w:r>
      <m:oMath>
        <m:sSub>
          <m:sSubPr>
            <m:ctrlPr>
              <w:rPr>
                <w:rFonts w:ascii="Cambria Math" w:hAnsi="Cambria Math" w:eastAsia="宋体" w:cs="Segoe UI"/>
                <w:i/>
                <w:color w:val="000000" w:themeColor="text1"/>
                <w:kern w:val="0"/>
                <w:sz w:val="24"/>
                <w:szCs w:val="24"/>
                <w14:textFill>
                  <w14:solidFill>
                    <w14:schemeClr w14:val="tx1"/>
                  </w14:solidFill>
                </w14:textFill>
              </w:rPr>
            </m:ctrlPr>
          </m:sSubPr>
          <m:e>
            <m:r>
              <m:rPr/>
              <w:rPr>
                <w:rFonts w:ascii="Cambria Math" w:hAnsi="Cambria Math" w:eastAsia="宋体" w:cs="Segoe UI"/>
                <w:color w:val="000000" w:themeColor="text1"/>
                <w:kern w:val="0"/>
                <w:sz w:val="24"/>
                <w:szCs w:val="24"/>
                <w14:textFill>
                  <w14:solidFill>
                    <w14:schemeClr w14:val="tx1"/>
                  </w14:solidFill>
                </w14:textFill>
              </w:rPr>
              <m:t>ψ</m:t>
            </m:r>
            <m:ctrlPr>
              <w:rPr>
                <w:rFonts w:ascii="Cambria Math" w:hAnsi="Cambria Math" w:eastAsia="宋体" w:cs="Segoe UI"/>
                <w:i/>
                <w:color w:val="000000" w:themeColor="text1"/>
                <w:kern w:val="0"/>
                <w:sz w:val="24"/>
                <w:szCs w:val="24"/>
                <w14:textFill>
                  <w14:solidFill>
                    <w14:schemeClr w14:val="tx1"/>
                  </w14:solidFill>
                </w14:textFill>
              </w:rPr>
            </m:ctrlPr>
          </m:e>
          <m:sub>
            <m:r>
              <m:rPr/>
              <w:rPr>
                <w:rFonts w:ascii="Cambria Math" w:hAnsi="Cambria Math" w:eastAsia="宋体" w:cs="Segoe UI"/>
                <w:color w:val="000000" w:themeColor="text1"/>
                <w:kern w:val="0"/>
                <w:sz w:val="24"/>
                <w:szCs w:val="24"/>
                <w14:textFill>
                  <w14:solidFill>
                    <w14:schemeClr w14:val="tx1"/>
                  </w14:solidFill>
                </w14:textFill>
              </w:rPr>
              <m:t>z</m:t>
            </m:r>
            <m:ctrlPr>
              <w:rPr>
                <w:rFonts w:ascii="Cambria Math" w:hAnsi="Cambria Math" w:eastAsia="宋体" w:cs="Segoe UI"/>
                <w:i/>
                <w:color w:val="000000" w:themeColor="text1"/>
                <w:kern w:val="0"/>
                <w:sz w:val="24"/>
                <w:szCs w:val="24"/>
                <w14:textFill>
                  <w14:solidFill>
                    <w14:schemeClr w14:val="tx1"/>
                  </w14:solidFill>
                </w14:textFill>
              </w:rPr>
            </m:ctrlPr>
          </m:sub>
        </m:sSub>
      </m:oMath>
      <w:r>
        <w:rPr>
          <w:rFonts w:hint="eastAsia" w:ascii="Times New Roman" w:hAnsi="Times New Roman" w:eastAsia="宋体" w:cs="Times New Roman"/>
          <w:color w:val="000000" w:themeColor="text1"/>
          <w:sz w:val="24"/>
          <w:szCs w:val="24"/>
          <w14:textFill>
            <w14:solidFill>
              <w14:schemeClr w14:val="tx1"/>
            </w14:solidFill>
          </w14:textFill>
        </w:rPr>
        <w:t>）可</w:t>
      </w:r>
      <w:r>
        <w:rPr>
          <w:rFonts w:ascii="Segoe UI" w:hAnsi="Segoe UI" w:eastAsia="宋体" w:cs="Segoe UI"/>
          <w:color w:val="000000" w:themeColor="text1"/>
          <w:kern w:val="0"/>
          <w:sz w:val="24"/>
          <w:szCs w:val="24"/>
          <w14:textFill>
            <w14:solidFill>
              <w14:schemeClr w14:val="tx1"/>
            </w14:solidFill>
          </w14:textFill>
        </w:rPr>
        <w:t>按下式计算：</w:t>
      </w:r>
    </w:p>
    <w:p>
      <w:pPr>
        <w:pStyle w:val="97"/>
        <w:tabs>
          <w:tab w:val="center" w:pos="4253"/>
          <w:tab w:val="clear" w:pos="4256"/>
        </w:tabs>
        <w:jc w:val="right"/>
        <w:rPr>
          <w:rFonts w:ascii="Segoe UI" w:hAnsi="Segoe UI" w:cs="Segoe UI"/>
        </w:rPr>
      </w:pPr>
      <w:r>
        <w:tab/>
      </w:r>
      <m:oMath>
        <m:sSub>
          <m:sSubPr>
            <m:ctrlPr>
              <w:rPr>
                <w:rFonts w:ascii="Cambria Math" w:hAnsi="Cambria Math" w:cs="Segoe UI"/>
              </w:rPr>
            </m:ctrlPr>
          </m:sSubPr>
          <m:e>
            <m:r>
              <m:rPr/>
              <w:rPr>
                <w:rFonts w:ascii="Cambria Math" w:hAnsi="Cambria Math" w:cs="Segoe UI"/>
              </w:rPr>
              <m:t>ψ</m:t>
            </m:r>
            <m:ctrlPr>
              <w:rPr>
                <w:rFonts w:ascii="Cambria Math" w:hAnsi="Cambria Math" w:cs="Segoe UI"/>
              </w:rPr>
            </m:ctrlPr>
          </m:e>
          <m:sub>
            <m:r>
              <m:rPr/>
              <w:rPr>
                <w:rFonts w:ascii="Cambria Math" w:hAnsi="Cambria Math" w:cs="Segoe UI"/>
              </w:rPr>
              <m:t>z</m:t>
            </m:r>
            <m:ctrlPr>
              <w:rPr>
                <w:rFonts w:ascii="Cambria Math" w:hAnsi="Cambria Math" w:cs="Segoe UI"/>
              </w:rPr>
            </m:ctrlP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w:rPr>
                    <w:rFonts w:hint="eastAsia" w:ascii="Cambria Math" w:hAnsi="Cambria Math"/>
                  </w:rPr>
                  <m:t>i</m:t>
                </m:r>
                <m:r>
                  <m:rPr>
                    <m:sty m:val="p"/>
                  </m:rPr>
                  <w:rPr>
                    <w:rFonts w:ascii="Cambria Math" w:hAnsi="Cambria Math"/>
                  </w:rPr>
                  <m:t>=1</m:t>
                </m:r>
                <m:ctrlPr>
                  <w:rPr>
                    <w:rFonts w:ascii="Cambria Math" w:hAnsi="Cambria Math"/>
                  </w:rPr>
                </m:ctrlPr>
              </m:sub>
              <m:sup>
                <m:r>
                  <m:rPr/>
                  <w:rPr>
                    <w:rFonts w:hint="eastAsia" w:ascii="Cambria Math" w:hAnsi="Cambria Math"/>
                  </w:rPr>
                  <m:t>n</m:t>
                </m:r>
                <m:ctrlPr>
                  <w:rPr>
                    <w:rFonts w:ascii="Cambria Math" w:hAnsi="Cambria Math"/>
                  </w:rPr>
                </m:ctrlPr>
              </m:sup>
              <m:e>
                <m:d>
                  <m:dPr>
                    <m:ctrlPr>
                      <w:rPr>
                        <w:rFonts w:ascii="Cambria Math" w:hAnsi="Cambria Math"/>
                      </w:rPr>
                    </m:ctrlPr>
                  </m:dPr>
                  <m:e>
                    <m:sSub>
                      <m:sSubPr>
                        <m:ctrlPr>
                          <w:rPr>
                            <w:rFonts w:ascii="Cambria Math" w:hAnsi="Cambria Math"/>
                            <w:iCs/>
                          </w:rPr>
                        </m:ctrlPr>
                      </m:sSubPr>
                      <m:e>
                        <m:r>
                          <m:rPr/>
                          <w:rPr>
                            <w:rFonts w:ascii="Cambria Math" w:hAnsi="Cambria Math"/>
                          </w:rPr>
                          <m:t>A</m:t>
                        </m:r>
                        <m:ctrlPr>
                          <w:rPr>
                            <w:rFonts w:ascii="Cambria Math" w:hAnsi="Cambria Math"/>
                          </w:rPr>
                        </m:ctrlPr>
                      </m:e>
                      <m:sub>
                        <m:r>
                          <m:rPr/>
                          <w:rPr>
                            <w:rFonts w:ascii="Cambria Math" w:hAnsi="Cambria Math"/>
                          </w:rPr>
                          <m:t>i</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w:rPr>
                            <w:rFonts w:ascii="Cambria Math" w:hAnsi="Cambria Math"/>
                          </w:rPr>
                          <m:t>ψ</m:t>
                        </m:r>
                        <m:ctrlPr>
                          <w:rPr>
                            <w:rFonts w:ascii="Cambria Math" w:hAnsi="Cambria Math"/>
                          </w:rPr>
                        </m:ctrlPr>
                      </m:e>
                      <m:sub>
                        <m:r>
                          <m:rPr/>
                          <w:rPr>
                            <w:rFonts w:ascii="Cambria Math" w:hAnsi="Cambria Math"/>
                          </w:rPr>
                          <m:t>i</m:t>
                        </m:r>
                        <m:ctrlPr>
                          <w:rPr>
                            <w:rFonts w:ascii="Cambria Math" w:hAnsi="Cambria Math"/>
                            <w:iCs/>
                          </w:rPr>
                        </m:ctrlPr>
                      </m:sub>
                    </m:sSub>
                    <m:ctrlPr>
                      <w:rPr>
                        <w:rFonts w:ascii="Cambria Math" w:hAnsi="Cambria Math"/>
                      </w:rPr>
                    </m:ctrlPr>
                  </m:e>
                </m:d>
                <m:ctrlPr>
                  <w:rPr>
                    <w:rFonts w:ascii="Cambria Math" w:hAnsi="Cambria Math"/>
                  </w:rPr>
                </m:ctrlPr>
              </m:e>
            </m:nary>
            <m:ctrlPr>
              <w:rPr>
                <w:rFonts w:ascii="Cambria Math" w:hAnsi="Cambria Math"/>
              </w:rPr>
            </m:ctrlPr>
          </m:num>
          <m:den>
            <m:r>
              <m:rPr/>
              <w:rPr>
                <w:rFonts w:ascii="Cambria Math" w:hAnsi="Cambria Math"/>
              </w:rPr>
              <m:t>A</m:t>
            </m:r>
            <m:ctrlPr>
              <w:rPr>
                <w:rFonts w:ascii="Cambria Math" w:hAnsi="Cambria Math"/>
              </w:rPr>
            </m:ctrlPr>
          </m:den>
        </m:f>
      </m:oMath>
      <w:r>
        <w:rPr>
          <w:rFonts w:ascii="Segoe UI" w:hAnsi="Segoe UI" w:cs="Segoe UI"/>
        </w:rPr>
        <w:tab/>
      </w:r>
      <w:r>
        <w:rPr>
          <w:rFonts w:hint="eastAsia" w:ascii="Segoe UI" w:hAnsi="Segoe UI" w:cs="Segoe UI"/>
        </w:rPr>
        <w:t>（</w:t>
      </w:r>
      <w:r>
        <w:rPr>
          <w:rFonts w:hint="eastAsia"/>
          <w:iCs/>
        </w:rPr>
        <w:t>2</w:t>
      </w:r>
      <w:r>
        <w:rPr>
          <w:rFonts w:hint="eastAsia" w:ascii="Segoe UI" w:hAnsi="Segoe UI" w:cs="Segoe UI"/>
        </w:rPr>
        <w:t>）</w:t>
      </w:r>
    </w:p>
    <w:p>
      <w:pPr>
        <w:widowControl/>
        <w:shd w:val="clear" w:color="auto" w:fill="FFFFFF"/>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sSub>
          <m:sSubPr>
            <m:ctrlPr>
              <w:rPr>
                <w:rFonts w:ascii="Cambria Math" w:hAnsi="Cambria Math" w:eastAsia="宋体" w:cs="Segoe UI"/>
                <w:i/>
                <w:color w:val="000000" w:themeColor="text1"/>
                <w:kern w:val="0"/>
                <w:sz w:val="24"/>
                <w:szCs w:val="24"/>
                <w14:textFill>
                  <w14:solidFill>
                    <w14:schemeClr w14:val="tx1"/>
                  </w14:solidFill>
                </w14:textFill>
              </w:rPr>
            </m:ctrlPr>
          </m:sSubPr>
          <m:e>
            <m:r>
              <m:rPr/>
              <w:rPr>
                <w:rFonts w:ascii="Cambria Math" w:hAnsi="Cambria Math" w:eastAsia="宋体" w:cs="Segoe UI"/>
                <w:color w:val="000000" w:themeColor="text1"/>
                <w:kern w:val="0"/>
                <w:sz w:val="24"/>
                <w:szCs w:val="24"/>
                <w14:textFill>
                  <w14:solidFill>
                    <w14:schemeClr w14:val="tx1"/>
                  </w14:solidFill>
                </w14:textFill>
              </w:rPr>
              <m:t>ψ</m:t>
            </m:r>
            <m:ctrlPr>
              <w:rPr>
                <w:rFonts w:ascii="Cambria Math" w:hAnsi="Cambria Math" w:eastAsia="宋体" w:cs="Segoe UI"/>
                <w:i/>
                <w:color w:val="000000" w:themeColor="text1"/>
                <w:kern w:val="0"/>
                <w:sz w:val="24"/>
                <w:szCs w:val="24"/>
                <w14:textFill>
                  <w14:solidFill>
                    <w14:schemeClr w14:val="tx1"/>
                  </w14:solidFill>
                </w14:textFill>
              </w:rPr>
            </m:ctrlPr>
          </m:e>
          <m:sub>
            <m:r>
              <m:rPr/>
              <w:rPr>
                <w:rFonts w:ascii="Cambria Math" w:hAnsi="Cambria Math" w:eastAsia="宋体" w:cs="Segoe UI"/>
                <w:color w:val="000000" w:themeColor="text1"/>
                <w:kern w:val="0"/>
                <w:sz w:val="24"/>
                <w:szCs w:val="24"/>
                <w14:textFill>
                  <w14:solidFill>
                    <w14:schemeClr w14:val="tx1"/>
                  </w14:solidFill>
                </w14:textFill>
              </w:rPr>
              <m:t>z</m:t>
            </m:r>
            <m:ctrlPr>
              <w:rPr>
                <w:rFonts w:ascii="Cambria Math" w:hAnsi="Cambria Math" w:eastAsia="宋体" w:cs="Segoe UI"/>
                <w:i/>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区域综合径流系数</w:t>
      </w:r>
      <w:r>
        <w:rPr>
          <w:rFonts w:hint="eastAsia" w:ascii="inherit" w:hAnsi="inherit" w:eastAsia="宋体" w:cs="Segoe UI"/>
          <w:color w:val="000000" w:themeColor="text1"/>
          <w:kern w:val="0"/>
          <w:sz w:val="24"/>
          <w:szCs w:val="24"/>
          <w14:textFill>
            <w14:solidFill>
              <w14:schemeClr w14:val="tx1"/>
            </w14:solidFill>
          </w14:textFill>
        </w:rPr>
        <w:t>，无量纲</w:t>
      </w:r>
      <w:r>
        <w:rPr>
          <w:rFonts w:ascii="inherit" w:hAnsi="inherit" w:eastAsia="宋体" w:cs="Segoe UI"/>
          <w:color w:val="000000" w:themeColor="text1"/>
          <w:kern w:val="0"/>
          <w:sz w:val="24"/>
          <w:szCs w:val="24"/>
          <w14:textFill>
            <w14:solidFill>
              <w14:schemeClr w14:val="tx1"/>
            </w14:solidFill>
          </w14:textFill>
        </w:rPr>
        <w:t>；</w:t>
      </w:r>
    </w:p>
    <w:p>
      <w:pPr>
        <w:widowControl/>
        <w:shd w:val="clear" w:color="auto" w:fill="FFFFFF"/>
        <w:tabs>
          <w:tab w:val="left" w:pos="756"/>
        </w:tabs>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ascii="Segoe UI" w:hAnsi="Segoe UI" w:eastAsia="宋体" w:cs="Segoe UI"/>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A</m:t>
            </m:r>
            <m:ctrlPr>
              <w:rPr>
                <w:rFonts w:ascii="Cambria Math" w:hAnsi="Cambria Math" w:eastAsia="宋体" w:cs="Times New Roman"/>
                <w:i/>
                <w:iCs/>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i</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第</w:t>
      </w:r>
      <m:oMath>
        <m:r>
          <m:rPr/>
          <w:rPr>
            <w:rFonts w:ascii="Cambria Math" w:hAnsi="Cambria Math" w:eastAsia="宋体" w:cs="Segoe UI"/>
            <w:color w:val="000000" w:themeColor="text1"/>
            <w:kern w:val="0"/>
            <w:sz w:val="24"/>
            <w:szCs w:val="24"/>
            <w14:textFill>
              <w14:solidFill>
                <w14:schemeClr w14:val="tx1"/>
              </w14:solidFill>
            </w14:textFill>
          </w:rPr>
          <m:t>i</m:t>
        </m:r>
      </m:oMath>
      <w:r>
        <w:rPr>
          <w:rFonts w:ascii="inherit" w:hAnsi="inherit" w:eastAsia="宋体" w:cs="Segoe UI"/>
          <w:color w:val="000000" w:themeColor="text1"/>
          <w:kern w:val="0"/>
          <w:sz w:val="24"/>
          <w:szCs w:val="24"/>
          <w14:textFill>
            <w14:solidFill>
              <w14:schemeClr w14:val="tx1"/>
            </w14:solidFill>
          </w14:textFill>
        </w:rPr>
        <w:t>种下垫面的面积</w:t>
      </w:r>
      <w:r>
        <w:rPr>
          <w:rFonts w:hint="eastAsia" w:ascii="inherit" w:hAnsi="inherit" w:eastAsia="宋体" w:cs="Segoe UI"/>
          <w:color w:val="000000" w:themeColor="text1"/>
          <w:kern w:val="0"/>
          <w:sz w:val="24"/>
          <w:szCs w:val="24"/>
          <w14:textFill>
            <w14:solidFill>
              <w14:schemeClr w14:val="tx1"/>
            </w14:solidFill>
          </w14:textFill>
        </w:rPr>
        <w:t>，单</w:t>
      </w:r>
      <w:r>
        <w:rPr>
          <w:rFonts w:ascii="Times New Roman" w:hAnsi="Times New Roman" w:eastAsia="宋体" w:cs="Times New Roman"/>
          <w:color w:val="000000" w:themeColor="text1"/>
          <w:kern w:val="0"/>
          <w:sz w:val="24"/>
          <w:szCs w:val="24"/>
          <w14:textFill>
            <w14:solidFill>
              <w14:schemeClr w14:val="tx1"/>
            </w14:solidFill>
          </w14:textFill>
        </w:rPr>
        <w:t>位km</w:t>
      </w:r>
      <w:r>
        <w:rPr>
          <w:rFonts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FFFFF"/>
        <w:tabs>
          <w:tab w:val="left" w:pos="756"/>
        </w:tabs>
        <w:spacing w:line="360"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ascii="Segoe UI" w:hAnsi="Segoe UI" w:eastAsia="宋体" w:cs="Segoe UI"/>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ψ</m:t>
            </m:r>
            <m:ctrlPr>
              <w:rPr>
                <w:rFonts w:ascii="Cambria Math" w:hAnsi="Cambria Math" w:eastAsia="宋体" w:cs="Times New Roman"/>
                <w:i/>
                <w:iCs/>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i</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第</w:t>
      </w:r>
      <m:oMath>
        <m:r>
          <m:rPr/>
          <w:rPr>
            <w:rFonts w:ascii="Cambria Math" w:hAnsi="Cambria Math" w:eastAsia="宋体" w:cs="Segoe UI"/>
            <w:color w:val="000000" w:themeColor="text1"/>
            <w:kern w:val="0"/>
            <w:sz w:val="24"/>
            <w:szCs w:val="24"/>
            <w14:textFill>
              <w14:solidFill>
                <w14:schemeClr w14:val="tx1"/>
              </w14:solidFill>
            </w14:textFill>
          </w:rPr>
          <m:t>i</m:t>
        </m:r>
      </m:oMath>
      <w:r>
        <w:rPr>
          <w:rFonts w:ascii="inherit" w:hAnsi="inherit" w:eastAsia="宋体" w:cs="Segoe UI"/>
          <w:color w:val="000000" w:themeColor="text1"/>
          <w:kern w:val="0"/>
          <w:sz w:val="24"/>
          <w:szCs w:val="24"/>
          <w14:textFill>
            <w14:solidFill>
              <w14:schemeClr w14:val="tx1"/>
            </w14:solidFill>
          </w14:textFill>
        </w:rPr>
        <w:t>种下垫面的径流系数</w:t>
      </w:r>
      <w:r>
        <w:rPr>
          <w:rFonts w:hint="eastAsia" w:ascii="inherit" w:hAnsi="inherit" w:eastAsia="宋体" w:cs="Segoe UI"/>
          <w:color w:val="000000" w:themeColor="text1"/>
          <w:kern w:val="0"/>
          <w:sz w:val="24"/>
          <w:szCs w:val="24"/>
          <w14:textFill>
            <w14:solidFill>
              <w14:schemeClr w14:val="tx1"/>
            </w14:solidFill>
          </w14:textFill>
        </w:rPr>
        <w:t>，无量纲</w:t>
      </w:r>
      <w:r>
        <w:rPr>
          <w:rFonts w:ascii="inherit" w:hAnsi="inherit" w:eastAsia="宋体" w:cs="Segoe UI"/>
          <w:color w:val="000000" w:themeColor="text1"/>
          <w:kern w:val="0"/>
          <w:sz w:val="24"/>
          <w:szCs w:val="24"/>
          <w14:textFill>
            <w14:solidFill>
              <w14:schemeClr w14:val="tx1"/>
            </w14:solidFill>
          </w14:textFill>
        </w:rPr>
        <w:t>；</w:t>
      </w:r>
    </w:p>
    <w:p>
      <w:pPr>
        <w:widowControl/>
        <w:shd w:val="clear" w:color="auto" w:fill="FFFFFF"/>
        <w:tabs>
          <w:tab w:val="left" w:pos="896"/>
        </w:tabs>
        <w:spacing w:line="360"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ascii="inherit" w:hAnsi="inherit" w:eastAsia="宋体" w:cs="Segoe UI"/>
          <w:color w:val="000000" w:themeColor="text1"/>
          <w:kern w:val="0"/>
          <w:sz w:val="24"/>
          <w:szCs w:val="24"/>
          <w14:textFill>
            <w14:solidFill>
              <w14:schemeClr w14:val="tx1"/>
            </w14:solidFill>
          </w14:textFill>
        </w:rPr>
        <w:tab/>
      </w:r>
      <m:oMath>
        <m:r>
          <m:rPr/>
          <w:rPr>
            <w:rFonts w:hint="eastAsia" w:ascii="Cambria Math" w:hAnsi="Cambria Math" w:eastAsia="宋体" w:cs="Segoe UI"/>
            <w:color w:val="000000" w:themeColor="text1"/>
            <w:kern w:val="0"/>
            <w:sz w:val="24"/>
            <w:szCs w:val="24"/>
            <w14:textFill>
              <w14:solidFill>
                <w14:schemeClr w14:val="tx1"/>
              </w14:solidFill>
            </w14:textFill>
          </w:rPr>
          <m:t>n</m:t>
        </m:r>
      </m:oMath>
      <w:r>
        <w:rPr>
          <w:rFonts w:hint="eastAsia" w:ascii="inherit" w:hAnsi="inherit" w:eastAsia="宋体" w:cs="Segoe UI"/>
          <w:color w:val="000000" w:themeColor="text1"/>
          <w:kern w:val="0"/>
          <w:sz w:val="24"/>
          <w:szCs w:val="24"/>
          <w14:textFill>
            <w14:solidFill>
              <w14:schemeClr w14:val="tx1"/>
            </w14:solidFill>
          </w14:textFill>
        </w:rPr>
        <w:t>——下垫面类型的数量。</w:t>
      </w:r>
    </w:p>
    <w:p>
      <w:pPr>
        <w:widowControl/>
        <w:shd w:val="clear" w:color="auto" w:fill="FFFFFF"/>
        <w:spacing w:line="360" w:lineRule="auto"/>
        <w:ind w:firstLine="361" w:firstLineChars="150"/>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hint="eastAsia" w:ascii="Times New Roman" w:hAnsi="Times New Roman" w:eastAsia="宋体" w:cs="Times New Roman"/>
          <w:b/>
          <w:bCs/>
          <w:sz w:val="24"/>
          <w:szCs w:val="24"/>
        </w:rPr>
        <w:t>5</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土壤渗透系数</w:t>
      </w:r>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土壤渗透系数</w:t>
      </w:r>
      <m:oMath>
        <m:r>
          <m:rPr/>
          <w:rPr>
            <w:rFonts w:ascii="Cambria Math" w:hAnsi="Cambria Math" w:eastAsia="宋体" w:cs="Times New Roman"/>
            <w:color w:val="000000" w:themeColor="text1"/>
            <w:sz w:val="24"/>
            <w:szCs w:val="24"/>
            <w14:textFill>
              <w14:solidFill>
                <w14:schemeClr w14:val="tx1"/>
              </w14:solidFill>
            </w14:textFill>
          </w:rPr>
          <m:t>(</m:t>
        </m:r>
        <m:sSub>
          <m:sSubPr>
            <m:ctrlPr>
              <w:rPr>
                <w:rFonts w:ascii="Cambria Math" w:hAnsi="Cambria Math" w:eastAsia="宋体" w:cs="Times New Roman"/>
                <w:i/>
                <w:color w:val="000000" w:themeColor="text1"/>
                <w:sz w:val="24"/>
                <w:szCs w:val="24"/>
                <w14:textFill>
                  <w14:solidFill>
                    <w14:schemeClr w14:val="tx1"/>
                  </w14:solidFill>
                </w14:textFill>
              </w:rPr>
            </m:ctrlPr>
          </m:sSubPr>
          <m:e>
            <m:r>
              <m:rPr/>
              <w:rPr>
                <w:rFonts w:ascii="Cambria Math" w:hAnsi="Cambria Math" w:eastAsia="宋体" w:cs="Times New Roman"/>
                <w:color w:val="000000" w:themeColor="text1"/>
                <w:sz w:val="24"/>
                <w:szCs w:val="24"/>
                <w14:textFill>
                  <w14:solidFill>
                    <w14:schemeClr w14:val="tx1"/>
                  </w14:solidFill>
                </w14:textFill>
              </w:rPr>
              <m:t>K</m:t>
            </m:r>
            <m:ctrlPr>
              <w:rPr>
                <w:rFonts w:ascii="Cambria Math" w:hAnsi="Cambria Math" w:eastAsia="宋体" w:cs="Times New Roman"/>
                <w:i/>
                <w:color w:val="000000" w:themeColor="text1"/>
                <w:sz w:val="24"/>
                <w:szCs w:val="24"/>
                <w14:textFill>
                  <w14:solidFill>
                    <w14:schemeClr w14:val="tx1"/>
                  </w14:solidFill>
                </w14:textFill>
              </w:rPr>
            </m:ctrlPr>
          </m:e>
          <m:sub>
            <m:r>
              <m:rPr/>
              <w:rPr>
                <w:rFonts w:hint="eastAsia" w:ascii="Cambria Math" w:hAnsi="Cambria Math" w:eastAsia="宋体" w:cs="Times New Roman"/>
                <w:color w:val="000000" w:themeColor="text1"/>
                <w:sz w:val="24"/>
                <w:szCs w:val="24"/>
                <w14:textFill>
                  <w14:solidFill>
                    <w14:schemeClr w14:val="tx1"/>
                  </w14:solidFill>
                </w14:textFill>
              </w:rPr>
              <m:t>z</m:t>
            </m:r>
            <m:ctrlPr>
              <w:rPr>
                <w:rFonts w:ascii="Cambria Math" w:hAnsi="Cambria Math" w:eastAsia="宋体" w:cs="Times New Roman"/>
                <w:i/>
                <w:color w:val="000000" w:themeColor="text1"/>
                <w:sz w:val="24"/>
                <w:szCs w:val="24"/>
                <w14:textFill>
                  <w14:solidFill>
                    <w14:schemeClr w14:val="tx1"/>
                  </w14:solidFill>
                </w14:textFill>
              </w:rPr>
            </m:ctrlPr>
          </m:sub>
        </m:sSub>
        <m:r>
          <m:rPr/>
          <w:rPr>
            <w:rFonts w:ascii="Cambria Math" w:hAnsi="Cambria Math" w:eastAsia="宋体" w:cs="Times New Roman"/>
            <w:color w:val="000000" w:themeColor="text1"/>
            <w:sz w:val="24"/>
            <w:szCs w:val="24"/>
            <w14:textFill>
              <w14:solidFill>
                <w14:schemeClr w14:val="tx1"/>
              </w14:solidFill>
            </w14:textFill>
          </w:rPr>
          <m:t>)</m:t>
        </m:r>
      </m:oMath>
      <w:r>
        <w:rPr>
          <w:rFonts w:ascii="Times New Roman" w:hAnsi="Times New Roman" w:eastAsia="宋体" w:cs="Times New Roman"/>
          <w:color w:val="000000" w:themeColor="text1"/>
          <w:sz w:val="24"/>
          <w:szCs w:val="24"/>
          <w14:textFill>
            <w14:solidFill>
              <w14:schemeClr w14:val="tx1"/>
            </w14:solidFill>
          </w14:textFill>
        </w:rPr>
        <w:t>是考虑区域内不同下垫面土壤类型及其面积分布情况，通过加权平均的方式得到的反映整个区域土壤综合渗透能力的参数，体现区域内降水入渗到地下过程中，不同土壤下垫面对水渗透速率的综合影响特性。各地可依据实际，采用自然断点法、百分位法等对其进行等级划分，以适配洪涝灾害风险评估等应用场景。土壤渗透系数</w:t>
      </w:r>
      <m:oMath>
        <m:r>
          <m:rPr/>
          <w:rPr>
            <w:rFonts w:ascii="Cambria Math" w:hAnsi="Cambria Math" w:eastAsia="宋体" w:cs="Times New Roman"/>
            <w:color w:val="000000" w:themeColor="text1"/>
            <w:sz w:val="24"/>
            <w:szCs w:val="24"/>
            <w14:textFill>
              <w14:solidFill>
                <w14:schemeClr w14:val="tx1"/>
              </w14:solidFill>
            </w14:textFill>
          </w:rPr>
          <m:t>(</m:t>
        </m:r>
        <m:sSub>
          <m:sSubPr>
            <m:ctrlPr>
              <w:rPr>
                <w:rFonts w:ascii="Cambria Math" w:hAnsi="Cambria Math" w:eastAsia="宋体" w:cs="Times New Roman"/>
                <w:i/>
                <w:color w:val="000000" w:themeColor="text1"/>
                <w:sz w:val="24"/>
                <w:szCs w:val="24"/>
                <w14:textFill>
                  <w14:solidFill>
                    <w14:schemeClr w14:val="tx1"/>
                  </w14:solidFill>
                </w14:textFill>
              </w:rPr>
            </m:ctrlPr>
          </m:sSubPr>
          <m:e>
            <m:r>
              <m:rPr/>
              <w:rPr>
                <w:rFonts w:ascii="Cambria Math" w:hAnsi="Cambria Math" w:eastAsia="宋体" w:cs="Times New Roman"/>
                <w:color w:val="000000" w:themeColor="text1"/>
                <w:sz w:val="24"/>
                <w:szCs w:val="24"/>
                <w14:textFill>
                  <w14:solidFill>
                    <w14:schemeClr w14:val="tx1"/>
                  </w14:solidFill>
                </w14:textFill>
              </w:rPr>
              <m:t>K</m:t>
            </m:r>
            <m:ctrlPr>
              <w:rPr>
                <w:rFonts w:ascii="Cambria Math" w:hAnsi="Cambria Math" w:eastAsia="宋体" w:cs="Times New Roman"/>
                <w:i/>
                <w:color w:val="000000" w:themeColor="text1"/>
                <w:sz w:val="24"/>
                <w:szCs w:val="24"/>
                <w14:textFill>
                  <w14:solidFill>
                    <w14:schemeClr w14:val="tx1"/>
                  </w14:solidFill>
                </w14:textFill>
              </w:rPr>
            </m:ctrlPr>
          </m:e>
          <m:sub>
            <m:r>
              <m:rPr/>
              <w:rPr>
                <w:rFonts w:hint="eastAsia" w:ascii="Cambria Math" w:hAnsi="Cambria Math" w:eastAsia="宋体" w:cs="Times New Roman"/>
                <w:color w:val="000000" w:themeColor="text1"/>
                <w:sz w:val="24"/>
                <w:szCs w:val="24"/>
                <w14:textFill>
                  <w14:solidFill>
                    <w14:schemeClr w14:val="tx1"/>
                  </w14:solidFill>
                </w14:textFill>
              </w:rPr>
              <m:t>z</m:t>
            </m:r>
            <m:ctrlPr>
              <w:rPr>
                <w:rFonts w:ascii="Cambria Math" w:hAnsi="Cambria Math" w:eastAsia="宋体" w:cs="Times New Roman"/>
                <w:i/>
                <w:color w:val="000000" w:themeColor="text1"/>
                <w:sz w:val="24"/>
                <w:szCs w:val="24"/>
                <w14:textFill>
                  <w14:solidFill>
                    <w14:schemeClr w14:val="tx1"/>
                  </w14:solidFill>
                </w14:textFill>
              </w:rPr>
            </m:ctrlPr>
          </m:sub>
        </m:sSub>
        <m:r>
          <m:rPr/>
          <w:rPr>
            <w:rFonts w:ascii="Cambria Math" w:hAnsi="Cambria Math" w:eastAsia="宋体" w:cs="Times New Roman"/>
            <w:color w:val="000000" w:themeColor="text1"/>
            <w:sz w:val="24"/>
            <w:szCs w:val="24"/>
            <w14:textFill>
              <w14:solidFill>
                <w14:schemeClr w14:val="tx1"/>
              </w14:solidFill>
            </w14:textFill>
          </w:rPr>
          <m:t>)</m:t>
        </m:r>
      </m:oMath>
      <w:r>
        <w:rPr>
          <w:rFonts w:hint="eastAsia" w:ascii="Times New Roman" w:hAnsi="Times New Roman" w:eastAsia="宋体" w:cs="Times New Roman"/>
          <w:color w:val="000000" w:themeColor="text1"/>
          <w:sz w:val="24"/>
          <w:szCs w:val="24"/>
          <w14:textFill>
            <w14:solidFill>
              <w14:schemeClr w14:val="tx1"/>
            </w14:solidFill>
          </w14:textFill>
        </w:rPr>
        <w:t>可</w:t>
      </w:r>
      <w:r>
        <w:rPr>
          <w:rFonts w:ascii="Times New Roman" w:hAnsi="Times New Roman" w:eastAsia="宋体" w:cs="Times New Roman"/>
          <w:color w:val="000000" w:themeColor="text1"/>
          <w:sz w:val="24"/>
          <w:szCs w:val="24"/>
          <w14:textFill>
            <w14:solidFill>
              <w14:schemeClr w14:val="tx1"/>
            </w14:solidFill>
          </w14:textFill>
        </w:rPr>
        <w:t>按下式计算</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97"/>
        <w:jc w:val="center"/>
        <w:rPr>
          <w:rFonts w:ascii="Segoe UI" w:hAnsi="Segoe UI" w:cs="Segoe UI"/>
        </w:rPr>
      </w:pPr>
      <w:r>
        <w:rPr>
          <w:rFonts w:hint="eastAsia" w:hAnsi="Cambria Math" w:cs="Segoe UI"/>
        </w:rPr>
        <w:t xml:space="preserve">                                              </w:t>
      </w:r>
      <m:oMath>
        <m:sSub>
          <m:sSubPr>
            <m:ctrlPr>
              <w:rPr>
                <w:rFonts w:ascii="Cambria Math" w:hAnsi="Cambria Math" w:cs="Segoe UI"/>
              </w:rPr>
            </m:ctrlPr>
          </m:sSubPr>
          <m:e>
            <m:r>
              <m:rPr/>
              <w:rPr>
                <w:rFonts w:ascii="Cambria Math" w:hAnsi="Cambria Math" w:cs="Segoe UI"/>
              </w:rPr>
              <m:t>K</m:t>
            </m:r>
            <m:ctrlPr>
              <w:rPr>
                <w:rFonts w:ascii="Cambria Math" w:hAnsi="Cambria Math" w:cs="Segoe UI"/>
              </w:rPr>
            </m:ctrlPr>
          </m:e>
          <m:sub>
            <m:r>
              <m:rPr/>
              <w:rPr>
                <w:rFonts w:ascii="Cambria Math" w:hAnsi="Cambria Math" w:cs="Segoe UI"/>
              </w:rPr>
              <m:t>z</m:t>
            </m:r>
            <m:ctrlPr>
              <w:rPr>
                <w:rFonts w:ascii="Cambria Math" w:hAnsi="Cambria Math" w:cs="Segoe UI"/>
              </w:rPr>
            </m:ctrlP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w:rPr>
                    <w:rFonts w:hint="eastAsia" w:ascii="Cambria Math" w:hAnsi="Cambria Math"/>
                  </w:rPr>
                  <m:t>i</m:t>
                </m:r>
                <m:r>
                  <m:rPr>
                    <m:sty m:val="p"/>
                  </m:rPr>
                  <w:rPr>
                    <w:rFonts w:ascii="Cambria Math" w:hAnsi="Cambria Math"/>
                  </w:rPr>
                  <m:t>=1</m:t>
                </m:r>
                <m:ctrlPr>
                  <w:rPr>
                    <w:rFonts w:ascii="Cambria Math" w:hAnsi="Cambria Math"/>
                  </w:rPr>
                </m:ctrlPr>
              </m:sub>
              <m:sup>
                <m:r>
                  <m:rPr/>
                  <w:rPr>
                    <w:rFonts w:hint="eastAsia" w:ascii="Cambria Math" w:hAnsi="Cambria Math"/>
                  </w:rPr>
                  <m:t>n</m:t>
                </m:r>
                <m:ctrlPr>
                  <w:rPr>
                    <w:rFonts w:ascii="Cambria Math" w:hAnsi="Cambria Math"/>
                  </w:rPr>
                </m:ctrlPr>
              </m:sup>
              <m:e>
                <m:d>
                  <m:dPr>
                    <m:ctrlPr>
                      <w:rPr>
                        <w:rFonts w:ascii="Cambria Math" w:hAnsi="Cambria Math"/>
                      </w:rPr>
                    </m:ctrlPr>
                  </m:dPr>
                  <m:e>
                    <m:sSub>
                      <m:sSubPr>
                        <m:ctrlPr>
                          <w:rPr>
                            <w:rFonts w:ascii="Cambria Math" w:hAnsi="Cambria Math"/>
                            <w:iCs/>
                          </w:rPr>
                        </m:ctrlPr>
                      </m:sSubPr>
                      <m:e>
                        <m:r>
                          <m:rPr/>
                          <w:rPr>
                            <w:rFonts w:ascii="Cambria Math" w:hAnsi="Cambria Math"/>
                          </w:rPr>
                          <m:t>A</m:t>
                        </m:r>
                        <m:ctrlPr>
                          <w:rPr>
                            <w:rFonts w:ascii="Cambria Math" w:hAnsi="Cambria Math"/>
                          </w:rPr>
                        </m:ctrlPr>
                      </m:e>
                      <m:sub>
                        <m:r>
                          <m:rPr/>
                          <w:rPr>
                            <w:rFonts w:ascii="Cambria Math" w:hAnsi="Cambria Math"/>
                          </w:rPr>
                          <m:t>i</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iCs/>
                          </w:rPr>
                        </m:ctrlPr>
                      </m:sub>
                    </m:sSub>
                    <m:ctrlPr>
                      <w:rPr>
                        <w:rFonts w:ascii="Cambria Math" w:hAnsi="Cambria Math"/>
                      </w:rPr>
                    </m:ctrlPr>
                  </m:e>
                </m:d>
                <m:ctrlPr>
                  <w:rPr>
                    <w:rFonts w:ascii="Cambria Math" w:hAnsi="Cambria Math"/>
                  </w:rPr>
                </m:ctrlPr>
              </m:e>
            </m:nary>
            <m:ctrlPr>
              <w:rPr>
                <w:rFonts w:ascii="Cambria Math" w:hAnsi="Cambria Math"/>
              </w:rPr>
            </m:ctrlPr>
          </m:num>
          <m:den>
            <m:r>
              <m:rPr/>
              <w:rPr>
                <w:rFonts w:ascii="Cambria Math" w:hAnsi="Cambria Math"/>
              </w:rPr>
              <m:t>A</m:t>
            </m:r>
            <m:ctrlPr>
              <w:rPr>
                <w:rFonts w:ascii="Cambria Math" w:hAnsi="Cambria Math"/>
              </w:rPr>
            </m:ctrlPr>
          </m:den>
        </m:f>
      </m:oMath>
      <w:r>
        <w:rPr>
          <w:rFonts w:ascii="Segoe UI" w:hAnsi="Segoe UI" w:cs="Segoe UI"/>
        </w:rPr>
        <w:tab/>
      </w:r>
      <w:r>
        <w:rPr>
          <w:rFonts w:hint="eastAsia" w:ascii="Segoe UI" w:hAnsi="Segoe UI" w:cs="Segoe UI"/>
        </w:rPr>
        <w:t xml:space="preserve">                                                 （</w:t>
      </w:r>
      <w:r>
        <w:rPr>
          <w:rFonts w:hint="eastAsia"/>
          <w:iCs/>
        </w:rPr>
        <w:t>3</w:t>
      </w:r>
      <w:r>
        <w:rPr>
          <w:rFonts w:hint="eastAsia" w:ascii="Segoe UI" w:hAnsi="Segoe UI" w:cs="Segoe UI"/>
        </w:rPr>
        <w:t>）</w:t>
      </w:r>
    </w:p>
    <w:p>
      <w:pPr>
        <w:tabs>
          <w:tab w:val="left" w:pos="756"/>
          <w:tab w:val="left" w:pos="1560"/>
        </w:tabs>
        <w:adjustRightInd w:val="0"/>
        <w:snapToGrid w:val="0"/>
        <w:spacing w:line="360" w:lineRule="auto"/>
        <w:rPr>
          <w:rStyle w:val="96"/>
          <w:rFonts w:ascii="Times New Roman" w:hAnsi="Times New Roman" w:eastAsia="PingFang SC" w:cs="Times New Roman"/>
          <w:color w:val="000000" w:themeColor="text1"/>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hint="eastAsia" w:ascii="Times New Roman" w:hAnsi="Times New Roman" w:eastAsia="宋体" w:cs="Times New Roman"/>
          <w:color w:val="000000" w:themeColor="text1"/>
          <w:sz w:val="24"/>
          <w:szCs w:val="24"/>
          <w14:textFill>
            <w14:solidFill>
              <w14:schemeClr w14:val="tx1"/>
            </w14:solidFill>
          </w14:textFill>
        </w:rPr>
        <w:t>中：</w:t>
      </w:r>
      <m:oMath>
        <m:sSub>
          <m:sSubPr>
            <m:ctrlPr>
              <w:rPr>
                <w:rFonts w:ascii="Cambria Math" w:hAnsi="Cambria Math" w:eastAsia="宋体" w:cs="Times New Roman"/>
                <w:i/>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K</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z</m:t>
            </m:r>
            <m:ctrlPr>
              <w:rPr>
                <w:rFonts w:ascii="Cambria Math" w:hAnsi="Cambria Math" w:eastAsia="宋体" w:cs="Times New Roman"/>
                <w:i/>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区域综合土壤渗透系数，单位与土壤渗透系数一致（</w:t>
      </w:r>
      <w:r>
        <w:rPr>
          <w:rStyle w:val="96"/>
          <w:rFonts w:ascii="Times New Roman" w:hAnsi="Times New Roman" w:eastAsia="PingFang SC" w:cs="Times New Roman"/>
          <w:color w:val="000000" w:themeColor="text1"/>
          <w:sz w:val="24"/>
          <w:szCs w:val="24"/>
          <w14:textFill>
            <w14:solidFill>
              <w14:schemeClr w14:val="tx1"/>
            </w14:solidFill>
          </w14:textFill>
        </w:rPr>
        <w:t>m/s</w:t>
      </w:r>
      <w:r>
        <w:rPr>
          <w:rFonts w:ascii="Times New Roman" w:hAnsi="Times New Roman" w:eastAsia="宋体" w:cs="Times New Roman"/>
          <w:color w:val="000000" w:themeColor="text1"/>
          <w:sz w:val="24"/>
          <w:szCs w:val="24"/>
          <w14:textFill>
            <w14:solidFill>
              <w14:schemeClr w14:val="tx1"/>
            </w14:solidFill>
          </w14:textFill>
        </w:rPr>
        <w:t>、</w:t>
      </w:r>
      <w:r>
        <w:rPr>
          <w:rStyle w:val="96"/>
          <w:rFonts w:ascii="Times New Roman" w:hAnsi="Times New Roman" w:eastAsia="PingFang SC" w:cs="Times New Roman"/>
          <w:color w:val="000000" w:themeColor="text1"/>
          <w:sz w:val="24"/>
          <w:szCs w:val="24"/>
          <w14:textFill>
            <w14:solidFill>
              <w14:schemeClr w14:val="tx1"/>
            </w14:solidFill>
          </w14:textFill>
        </w:rPr>
        <w:t>m/h</w:t>
      </w:r>
    </w:p>
    <w:p>
      <w:pPr>
        <w:tabs>
          <w:tab w:val="left" w:pos="1372"/>
        </w:tabs>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Style w:val="96"/>
          <w:rFonts w:ascii="Times New Roman" w:hAnsi="Times New Roman" w:eastAsia="PingFang SC" w:cs="Times New Roman"/>
          <w:color w:val="000000" w:themeColor="text1"/>
          <w:sz w:val="24"/>
          <w:szCs w:val="24"/>
          <w14:textFill>
            <w14:solidFill>
              <w14:schemeClr w14:val="tx1"/>
            </w14:solidFill>
          </w14:textFill>
        </w:rPr>
        <w:tab/>
      </w:r>
      <w:r>
        <w:rPr>
          <w:rStyle w:val="96"/>
          <w:rFonts w:ascii="Times New Roman" w:hAnsi="Times New Roman" w:eastAsia="PingFang SC" w:cs="Times New Roman"/>
          <w:color w:val="000000" w:themeColor="text1"/>
          <w:sz w:val="24"/>
          <w:szCs w:val="24"/>
          <w14:textFill>
            <w14:solidFill>
              <w14:schemeClr w14:val="tx1"/>
            </w14:solidFill>
          </w14:textFill>
        </w:rPr>
        <w:tab/>
      </w:r>
      <w:r>
        <w:rPr>
          <w:rFonts w:ascii="Times New Roman" w:hAnsi="Times New Roman" w:eastAsia="宋体" w:cs="Times New Roman"/>
          <w:color w:val="000000" w:themeColor="text1"/>
          <w:sz w:val="24"/>
          <w:szCs w:val="24"/>
          <w14:textFill>
            <w14:solidFill>
              <w14:schemeClr w14:val="tx1"/>
            </w14:solidFill>
          </w14:textFill>
        </w:rPr>
        <w:t>等）；</w:t>
      </w:r>
      <w:r>
        <w:rPr>
          <w:rFonts w:ascii="Times New Roman" w:hAnsi="Times New Roman" w:eastAsia="宋体" w:cs="Times New Roman"/>
          <w:color w:val="000000" w:themeColor="text1"/>
          <w:sz w:val="24"/>
          <w:szCs w:val="24"/>
          <w14:textFill>
            <w14:solidFill>
              <w14:schemeClr w14:val="tx1"/>
            </w14:solidFill>
          </w14:textFill>
        </w:rPr>
        <w:tab/>
      </w:r>
    </w:p>
    <w:p>
      <w:pPr>
        <w:tabs>
          <w:tab w:val="left" w:pos="784"/>
        </w:tabs>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A</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i</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区域内第</w:t>
      </w:r>
      <m:oMath>
        <m:r>
          <m:rPr/>
          <w:rPr>
            <w:rStyle w:val="96"/>
            <w:rFonts w:ascii="Cambria Math" w:hAnsi="Cambria Math" w:eastAsia="PingFang SC" w:cs="Times New Roman"/>
            <w:color w:val="000000" w:themeColor="text1"/>
            <w:sz w:val="24"/>
            <w:szCs w:val="24"/>
            <w14:textFill>
              <w14:solidFill>
                <w14:schemeClr w14:val="tx1"/>
              </w14:solidFill>
            </w14:textFill>
          </w:rPr>
          <m:t>i</m:t>
        </m:r>
      </m:oMath>
      <w:r>
        <w:rPr>
          <w:rFonts w:ascii="Times New Roman" w:hAnsi="Times New Roman" w:eastAsia="宋体" w:cs="Times New Roman"/>
          <w:color w:val="000000" w:themeColor="text1"/>
          <w:sz w:val="24"/>
          <w:szCs w:val="24"/>
          <w14:textFill>
            <w14:solidFill>
              <w14:schemeClr w14:val="tx1"/>
            </w14:solidFill>
          </w14:textFill>
        </w:rPr>
        <w:t>种土壤下垫面类型的面积，单位为</w:t>
      </w:r>
      <w:r>
        <w:rPr>
          <w:rStyle w:val="96"/>
          <w:rFonts w:ascii="Times New Roman" w:hAnsi="Times New Roman" w:eastAsia="PingFang SC" w:cs="Times New Roman"/>
          <w:color w:val="000000" w:themeColor="text1"/>
          <w:sz w:val="24"/>
          <w:szCs w:val="24"/>
          <w14:textFill>
            <w14:solidFill>
              <w14:schemeClr w14:val="tx1"/>
            </w14:solidFill>
          </w14:textFill>
        </w:rPr>
        <w:t>km</w:t>
      </w:r>
      <w:r>
        <w:rPr>
          <w:rStyle w:val="96"/>
          <w:rFonts w:ascii="Times New Roman" w:hAnsi="Times New Roman" w:eastAsia="PingFang SC"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p>
    <w:p>
      <w:pPr>
        <w:tabs>
          <w:tab w:val="left" w:pos="784"/>
        </w:tabs>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K</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i</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第</w:t>
      </w:r>
      <m:oMath>
        <m:r>
          <m:rPr/>
          <w:rPr>
            <w:rStyle w:val="96"/>
            <w:rFonts w:ascii="Cambria Math" w:hAnsi="Cambria Math" w:eastAsia="PingFang SC" w:cs="Times New Roman"/>
            <w:color w:val="000000" w:themeColor="text1"/>
            <w:sz w:val="24"/>
            <w:szCs w:val="24"/>
            <w14:textFill>
              <w14:solidFill>
                <w14:schemeClr w14:val="tx1"/>
              </w14:solidFill>
            </w14:textFill>
          </w:rPr>
          <m:t>i</m:t>
        </m:r>
      </m:oMath>
      <w:r>
        <w:rPr>
          <w:rFonts w:ascii="Times New Roman" w:hAnsi="Times New Roman" w:eastAsia="宋体" w:cs="Times New Roman"/>
          <w:color w:val="000000" w:themeColor="text1"/>
          <w:sz w:val="24"/>
          <w:szCs w:val="24"/>
          <w14:textFill>
            <w14:solidFill>
              <w14:schemeClr w14:val="tx1"/>
            </w14:solidFill>
          </w14:textFill>
        </w:rPr>
        <w:t>种土壤下垫面类型对应的土壤渗透系数，单位与</w:t>
      </w:r>
      <m:oMath>
        <m:sSub>
          <m:sSubPr>
            <m:ctrlPr>
              <w:rPr>
                <w:rFonts w:ascii="Cambria Math" w:hAnsi="Cambria Math" w:eastAsia="宋体" w:cs="Times New Roman"/>
                <w:i/>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K</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z</m:t>
            </m:r>
            <m:ctrlPr>
              <w:rPr>
                <w:rFonts w:ascii="Cambria Math" w:hAnsi="Cambria Math" w:eastAsia="宋体" w:cs="Times New Roman"/>
                <w:i/>
                <w:color w:val="000000" w:themeColor="text1"/>
                <w:kern w:val="0"/>
                <w:sz w:val="24"/>
                <w:szCs w:val="24"/>
                <w14:textFill>
                  <w14:solidFill>
                    <w14:schemeClr w14:val="tx1"/>
                  </w14:solidFill>
                </w14:textFill>
              </w:rPr>
            </m:ctrlPr>
          </m:sub>
        </m:sSub>
      </m:oMath>
      <w:r>
        <w:rPr>
          <w:rFonts w:ascii="Times New Roman" w:hAnsi="Times New Roman" w:eastAsia="宋体" w:cs="Times New Roman"/>
          <w:color w:val="000000" w:themeColor="text1"/>
          <w:sz w:val="24"/>
          <w:szCs w:val="24"/>
          <w14:textFill>
            <w14:solidFill>
              <w14:schemeClr w14:val="tx1"/>
            </w14:solidFill>
          </w14:textFill>
        </w:rPr>
        <w:t>一致</w:t>
      </w:r>
      <w:r>
        <w:rPr>
          <w:rFonts w:hint="eastAsia" w:ascii="Times New Roman" w:hAnsi="Times New Roman" w:eastAsia="宋体" w:cs="Times New Roman"/>
          <w:color w:val="000000" w:themeColor="text1"/>
          <w:sz w:val="24"/>
          <w:szCs w:val="24"/>
          <w14:textFill>
            <w14:solidFill>
              <w14:schemeClr w14:val="tx1"/>
            </w14:solidFill>
          </w14:textFill>
        </w:rPr>
        <w:t>；</w:t>
      </w:r>
    </w:p>
    <w:p>
      <w:pPr>
        <w:tabs>
          <w:tab w:val="left" w:pos="868"/>
        </w:tabs>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Style w:val="96"/>
          <w:rFonts w:ascii="Times New Roman" w:hAnsi="Times New Roman" w:eastAsia="宋体" w:cs="Times New Roman"/>
          <w:color w:val="000000" w:themeColor="text1"/>
          <w:sz w:val="24"/>
          <w:szCs w:val="24"/>
          <w14:textFill>
            <w14:solidFill>
              <w14:schemeClr w14:val="tx1"/>
            </w14:solidFill>
          </w14:textFill>
        </w:rPr>
        <w:tab/>
      </w:r>
      <m:oMath>
        <m:r>
          <m:rPr/>
          <w:rPr>
            <w:rStyle w:val="96"/>
            <w:rFonts w:ascii="Cambria Math" w:hAnsi="Cambria Math" w:eastAsia="PingFang SC" w:cs="Times New Roman"/>
            <w:color w:val="000000" w:themeColor="text1"/>
            <w:sz w:val="24"/>
            <w:szCs w:val="24"/>
            <w14:textFill>
              <w14:solidFill>
                <w14:schemeClr w14:val="tx1"/>
              </w14:solidFill>
            </w14:textFill>
          </w:rPr>
          <m:t>n</m:t>
        </m:r>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区域内土壤下垫面类型的数量。</w:t>
      </w:r>
    </w:p>
    <w:p>
      <w:pPr>
        <w:pStyle w:val="41"/>
        <w:adjustRightInd w:val="0"/>
        <w:snapToGrid w:val="0"/>
        <w:spacing w:line="360" w:lineRule="auto"/>
        <w:ind w:firstLine="361" w:firstLineChars="150"/>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6</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宋体"/>
          <w:bCs/>
          <w:color w:val="000000" w:themeColor="text1"/>
          <w:sz w:val="24"/>
          <w:szCs w:val="24"/>
          <w14:textFill>
            <w14:solidFill>
              <w14:schemeClr w14:val="tx1"/>
            </w14:solidFill>
          </w14:textFill>
        </w:rPr>
        <w:t>主干次道密度：</w:t>
      </w:r>
      <w:r>
        <w:rPr>
          <w:rFonts w:ascii="Times New Roman" w:hAnsi="Times New Roman" w:eastAsia="宋体" w:cs="宋体"/>
          <w:bCs/>
          <w:color w:val="000000" w:themeColor="text1"/>
          <w:sz w:val="24"/>
          <w:szCs w:val="24"/>
          <w14:textFill>
            <w14:solidFill>
              <w14:schemeClr w14:val="tx1"/>
            </w14:solidFill>
          </w14:textFill>
        </w:rPr>
        <w:t>洪涝灾害时，道路常常是主要积水区域，利用交通规划数据和道路网络数据。各地可根据实际，采用自然断点法、百分位法等进行等级划分。主干次道密度可按下式计算</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97"/>
        <w:jc w:val="right"/>
      </w:pPr>
      <w:r>
        <w:rPr>
          <w:rFonts w:cs="宋体"/>
        </w:rPr>
        <w:tab/>
      </w: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R</m:t>
            </m:r>
            <m:ctrlPr>
              <w:rPr>
                <w:rFonts w:ascii="Cambria Math" w:hAnsi="Cambria Math"/>
              </w:rPr>
            </m:ctrlPr>
          </m:sub>
        </m:sSub>
        <m:r>
          <m:rPr>
            <m:sty m:val="p"/>
          </m:rPr>
          <w:rPr>
            <w:rFonts w:hint="eastAsia" w:ascii="Cambria Math" w:hAnsi="Cambria Math"/>
          </w:rPr>
          <m:t>=</m:t>
        </m:r>
        <m:f>
          <m:fPr>
            <m:ctrlPr>
              <w:rPr>
                <w:rFonts w:hint="eastAsia" w:ascii="Cambria Math" w:hAnsi="Cambria Math"/>
              </w:rPr>
            </m:ctrlPr>
          </m:fPr>
          <m:num>
            <m:sSub>
              <m:sSubPr>
                <m:ctrlPr>
                  <w:rPr>
                    <w:rFonts w:ascii="Cambria Math" w:hAnsi="Cambria Math"/>
                  </w:rPr>
                </m:ctrlPr>
              </m:sSubPr>
              <m:e>
                <m:r>
                  <m:rPr/>
                  <w:rPr>
                    <w:rFonts w:ascii="Cambria Math" w:hAnsi="Cambria Math"/>
                  </w:rPr>
                  <m:t>L</m:t>
                </m:r>
                <m:ctrlPr>
                  <w:rPr>
                    <w:rFonts w:ascii="Cambria Math" w:hAnsi="Cambria Math"/>
                  </w:rPr>
                </m:ctrlPr>
              </m:e>
              <m:sub>
                <m:r>
                  <m:rPr/>
                  <w:rPr>
                    <w:rFonts w:hint="eastAsia" w:ascii="Cambria Math" w:hAnsi="Cambria Math"/>
                  </w:rPr>
                  <m:t>m</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hint="eastAsia" w:ascii="Cambria Math" w:hAnsi="Cambria Math"/>
                  </w:rPr>
                  <m:t>s</m:t>
                </m:r>
                <m:ctrlPr>
                  <w:rPr>
                    <w:rFonts w:ascii="Cambria Math" w:hAnsi="Cambria Math"/>
                  </w:rPr>
                </m:ctrlPr>
              </m:sub>
            </m:sSub>
            <m:ctrlPr>
              <w:rPr>
                <w:rFonts w:hint="eastAsia" w:ascii="Cambria Math" w:hAnsi="Cambria Math"/>
              </w:rPr>
            </m:ctrlPr>
          </m:num>
          <m:den>
            <m:r>
              <m:rPr/>
              <w:rPr>
                <w:rFonts w:ascii="Cambria Math" w:hAnsi="Cambria Math"/>
              </w:rPr>
              <m:t>A</m:t>
            </m:r>
            <m:ctrlPr>
              <w:rPr>
                <w:rFonts w:hint="eastAsia" w:ascii="Cambria Math" w:hAnsi="Cambria Math"/>
              </w:rPr>
            </m:ctrlPr>
          </m:den>
        </m:f>
      </m:oMath>
      <w:r>
        <w:rPr>
          <w:rFonts w:cs="宋体"/>
        </w:rPr>
        <w:tab/>
      </w:r>
      <w:r>
        <w:rPr>
          <w:rFonts w:hint="eastAsia" w:ascii="Segoe UI" w:hAnsi="Segoe UI" w:cs="Segoe UI"/>
          <w:kern w:val="0"/>
        </w:rPr>
        <w:t>（</w:t>
      </w:r>
      <w:r>
        <w:rPr>
          <w:rFonts w:hint="eastAsia"/>
        </w:rPr>
        <w:t>4</w:t>
      </w:r>
      <w:r>
        <w:rPr>
          <w:rFonts w:hint="eastAsia" w:ascii="Segoe UI" w:hAnsi="Segoe UI" w:cs="Segoe UI"/>
          <w:kern w:val="0"/>
        </w:rPr>
        <w:t>）</w:t>
      </w:r>
    </w:p>
    <w:p>
      <w:pPr>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hint="eastAsia" w:ascii="Times New Roman" w:hAnsi="Times New Roman" w:eastAsia="宋体" w:cs="Times New Roman"/>
          <w:color w:val="000000" w:themeColor="text1"/>
          <w:sz w:val="24"/>
          <w:szCs w:val="24"/>
          <w14:textFill>
            <w14:solidFill>
              <w14:schemeClr w14:val="tx1"/>
            </w14:solidFill>
          </w14:textFill>
        </w:rPr>
        <w:t>中：</w:t>
      </w:r>
      <m:oMath>
        <m:sSub>
          <m:sSubPr>
            <m:ctrlPr>
              <w:rPr>
                <w:rFonts w:ascii="Cambria Math" w:hAnsi="Cambria Math" w:eastAsia="宋体" w:cs="Times New Roman"/>
                <w:i/>
                <w:color w:val="000000" w:themeColor="text1"/>
                <w:sz w:val="24"/>
                <w:szCs w:val="24"/>
                <w14:textFill>
                  <w14:solidFill>
                    <w14:schemeClr w14:val="tx1"/>
                  </w14:solidFill>
                </w14:textFill>
              </w:rPr>
            </m:ctrlPr>
          </m:sSubPr>
          <m:e>
            <m:r>
              <m:rPr/>
              <w:rPr>
                <w:rFonts w:ascii="Cambria Math" w:hAnsi="Cambria Math" w:eastAsia="宋体" w:cs="Times New Roman"/>
                <w:color w:val="000000" w:themeColor="text1"/>
                <w:sz w:val="24"/>
                <w:szCs w:val="24"/>
                <w14:textFill>
                  <w14:solidFill>
                    <w14:schemeClr w14:val="tx1"/>
                  </w14:solidFill>
                </w14:textFill>
              </w:rPr>
              <m:t>L</m:t>
            </m:r>
            <m:ctrlPr>
              <w:rPr>
                <w:rFonts w:ascii="Cambria Math" w:hAnsi="Cambria Math" w:eastAsia="宋体" w:cs="Times New Roman"/>
                <w:i/>
                <w:color w:val="000000" w:themeColor="text1"/>
                <w:sz w:val="24"/>
                <w:szCs w:val="24"/>
                <w14:textFill>
                  <w14:solidFill>
                    <w14:schemeClr w14:val="tx1"/>
                  </w14:solidFill>
                </w14:textFill>
              </w:rPr>
            </m:ctrlPr>
          </m:e>
          <m:sub>
            <m:r>
              <m:rPr/>
              <w:rPr>
                <w:rFonts w:ascii="Cambria Math" w:hAnsi="Cambria Math" w:eastAsia="宋体" w:cs="Times New Roman"/>
                <w:color w:val="000000" w:themeColor="text1"/>
                <w:sz w:val="24"/>
                <w:szCs w:val="24"/>
                <w14:textFill>
                  <w14:solidFill>
                    <w14:schemeClr w14:val="tx1"/>
                  </w14:solidFill>
                </w14:textFill>
              </w:rPr>
              <m:t>R</m:t>
            </m:r>
            <m:ctrlPr>
              <w:rPr>
                <w:rFonts w:ascii="Cambria Math" w:hAnsi="Cambria Math" w:eastAsia="宋体" w:cs="Times New Roman"/>
                <w:i/>
                <w:color w:val="000000" w:themeColor="text1"/>
                <w:sz w:val="24"/>
                <w:szCs w:val="24"/>
                <w14:textFill>
                  <w14:solidFill>
                    <w14:schemeClr w14:val="tx1"/>
                  </w14:solidFill>
                </w14:textFill>
              </w:rPr>
            </m:ctrlPr>
          </m:sub>
        </m:sSub>
      </m:oMath>
      <w:r>
        <w:rPr>
          <w:rFonts w:hint="eastAsia" w:ascii="Times New Roman" w:hAnsi="Times New Roman" w:eastAsia="宋体" w:cs="Times New Roman"/>
          <w:color w:val="000000" w:themeColor="text1"/>
          <w:sz w:val="24"/>
          <w:szCs w:val="24"/>
          <w14:textFill>
            <w14:solidFill>
              <w14:schemeClr w14:val="tx1"/>
            </w14:solidFill>
          </w14:textFill>
        </w:rPr>
        <w:t>——主</w:t>
      </w:r>
      <w:r>
        <w:rPr>
          <w:rFonts w:hint="eastAsia" w:ascii="Times New Roman" w:hAnsi="Times New Roman" w:eastAsia="宋体" w:cs="宋体"/>
          <w:bCs/>
          <w:color w:val="000000" w:themeColor="text1"/>
          <w:sz w:val="24"/>
          <w:szCs w:val="24"/>
          <w14:textFill>
            <w14:solidFill>
              <w14:schemeClr w14:val="tx1"/>
            </w14:solidFill>
          </w14:textFill>
        </w:rPr>
        <w:t>干次道密度，</w:t>
      </w:r>
      <w:r>
        <w:rPr>
          <w:rFonts w:ascii="Times New Roman" w:hAnsi="Times New Roman" w:eastAsia="宋体" w:cs="宋体"/>
          <w:bCs/>
          <w:color w:val="000000" w:themeColor="text1"/>
          <w:sz w:val="24"/>
          <w:szCs w:val="24"/>
          <w14:textFill>
            <w14:solidFill>
              <w14:schemeClr w14:val="tx1"/>
            </w14:solidFill>
          </w14:textFill>
        </w:rPr>
        <w:t>单位km/km</w:t>
      </w:r>
      <w:r>
        <w:rPr>
          <w:rFonts w:ascii="Times New Roman" w:hAnsi="Times New Roman" w:eastAsia="宋体" w:cs="宋体"/>
          <w:bCs/>
          <w:color w:val="000000" w:themeColor="text1"/>
          <w:sz w:val="24"/>
          <w:szCs w:val="24"/>
          <w:vertAlign w:val="superscript"/>
          <w14:textFill>
            <w14:solidFill>
              <w14:schemeClr w14:val="tx1"/>
            </w14:solidFill>
          </w14:textFill>
        </w:rPr>
        <w:t>2</w:t>
      </w:r>
      <w:r>
        <w:rPr>
          <w:rFonts w:hint="eastAsia" w:ascii="Times New Roman" w:hAnsi="Times New Roman" w:eastAsia="宋体" w:cs="宋体"/>
          <w:bCs/>
          <w:color w:val="000000" w:themeColor="text1"/>
          <w:sz w:val="24"/>
          <w:szCs w:val="24"/>
          <w14:textFill>
            <w14:solidFill>
              <w14:schemeClr w14:val="tx1"/>
            </w14:solidFill>
          </w14:textFill>
        </w:rPr>
        <w:t>；</w:t>
      </w:r>
    </w:p>
    <w:p>
      <w:pPr>
        <w:tabs>
          <w:tab w:val="left" w:pos="672"/>
        </w:tabs>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L</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hint="eastAsia" w:ascii="Cambria Math" w:hAnsi="Cambria Math" w:eastAsia="宋体" w:cs="Times New Roman"/>
                <w:color w:val="000000" w:themeColor="text1"/>
                <w:kern w:val="0"/>
                <w:sz w:val="24"/>
                <w:szCs w:val="24"/>
                <w14:textFill>
                  <w14:solidFill>
                    <w14:schemeClr w14:val="tx1"/>
                  </w14:solidFill>
                </w14:textFill>
              </w:rPr>
              <m:t>m</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单元内次干道长度</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单位km；</w:t>
      </w:r>
    </w:p>
    <w:p>
      <w:pPr>
        <w:tabs>
          <w:tab w:val="left" w:pos="728"/>
        </w:tabs>
        <w:adjustRightInd w:val="0"/>
        <w:snapToGrid w:val="0"/>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L</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s</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单元内次干道长度</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单位km</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41"/>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7</w:t>
      </w:r>
      <w:r>
        <w:rPr>
          <w:rFonts w:ascii="Times New Roman" w:hAnsi="Times New Roman" w:eastAsia="宋体" w:cs="Times New Roman"/>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宋体"/>
          <w:bCs/>
          <w:color w:val="000000" w:themeColor="text1"/>
          <w:sz w:val="24"/>
          <w:szCs w:val="24"/>
          <w14:textFill>
            <w14:solidFill>
              <w14:schemeClr w14:val="tx1"/>
            </w14:solidFill>
          </w14:textFill>
        </w:rPr>
        <w:t>城区类型</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根据城市功能定位、空间形态及防洪排涝设施建设水平，可按表2将城市区域划分四类，分类参考《城镇内涝防治技术规范》GB 51222-2017。综合城区类型等级通过将不同城区类型的权重与相应的面积占比相乘后求和计算得到。各地可根据实际，采用自然断点法、百分位法等进行等级划分。城区类型综合等级可</w:t>
      </w:r>
      <w:r>
        <w:rPr>
          <w:rFonts w:ascii="Segoe UI" w:hAnsi="Segoe UI" w:eastAsia="宋体" w:cs="Segoe UI"/>
          <w:color w:val="000000" w:themeColor="text1"/>
          <w:kern w:val="0"/>
          <w:sz w:val="24"/>
          <w:szCs w:val="24"/>
          <w14:textFill>
            <w14:solidFill>
              <w14:schemeClr w14:val="tx1"/>
            </w14:solidFill>
          </w14:textFill>
        </w:rPr>
        <w:t>按下式计算：</w:t>
      </w:r>
    </w:p>
    <w:p>
      <w:pPr>
        <w:pStyle w:val="97"/>
        <w:jc w:val="right"/>
        <w:rPr>
          <w:rFonts w:ascii="Segoe UI" w:hAnsi="Segoe UI" w:cs="Segoe UI"/>
        </w:rPr>
      </w:pPr>
      <w:r>
        <w:tab/>
      </w:r>
      <m:oMath>
        <m:sSub>
          <m:sSubPr>
            <m:ctrlPr>
              <w:rPr>
                <w:rFonts w:ascii="Cambria Math" w:hAnsi="Cambria Math" w:cs="Segoe UI"/>
              </w:rPr>
            </m:ctrlPr>
          </m:sSubPr>
          <m:e>
            <m:r>
              <m:rPr/>
              <w:rPr>
                <w:rFonts w:ascii="Cambria Math" w:hAnsi="Cambria Math" w:cs="Segoe UI"/>
              </w:rPr>
              <m:t>C</m:t>
            </m:r>
            <m:ctrlPr>
              <w:rPr>
                <w:rFonts w:ascii="Cambria Math" w:hAnsi="Cambria Math" w:cs="Segoe UI"/>
              </w:rPr>
            </m:ctrlPr>
          </m:e>
          <m:sub>
            <m:r>
              <m:rPr/>
              <w:rPr>
                <w:rFonts w:ascii="Cambria Math" w:hAnsi="Cambria Math" w:cs="Segoe UI"/>
              </w:rPr>
              <m:t>z</m:t>
            </m:r>
            <m:ctrlPr>
              <w:rPr>
                <w:rFonts w:ascii="Cambria Math" w:hAnsi="Cambria Math" w:cs="Segoe UI"/>
              </w:rPr>
            </m:ctrlP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w:rPr>
                    <w:rFonts w:hint="eastAsia" w:ascii="Cambria Math" w:hAnsi="Cambria Math"/>
                  </w:rPr>
                  <m:t>i</m:t>
                </m:r>
                <m:r>
                  <m:rPr>
                    <m:sty m:val="p"/>
                  </m:rPr>
                  <w:rPr>
                    <w:rFonts w:ascii="Cambria Math" w:hAnsi="Cambria Math"/>
                  </w:rPr>
                  <m:t>=1</m:t>
                </m:r>
                <m:ctrlPr>
                  <w:rPr>
                    <w:rFonts w:ascii="Cambria Math" w:hAnsi="Cambria Math"/>
                  </w:rPr>
                </m:ctrlPr>
              </m:sub>
              <m:sup>
                <m:r>
                  <m:rPr/>
                  <w:rPr>
                    <w:rFonts w:hint="eastAsia" w:ascii="Cambria Math" w:hAnsi="Cambria Math"/>
                  </w:rPr>
                  <m:t>n</m:t>
                </m:r>
                <m:ctrlPr>
                  <w:rPr>
                    <w:rFonts w:ascii="Cambria Math" w:hAnsi="Cambria Math"/>
                  </w:rPr>
                </m:ctrlPr>
              </m:sup>
              <m:e>
                <m:d>
                  <m:dPr>
                    <m:ctrlPr>
                      <w:rPr>
                        <w:rFonts w:ascii="Cambria Math" w:hAnsi="Cambria Math"/>
                      </w:rPr>
                    </m:ctrlPr>
                  </m:dPr>
                  <m:e>
                    <m:sSub>
                      <m:sSubPr>
                        <m:ctrlPr>
                          <w:rPr>
                            <w:rFonts w:ascii="Cambria Math" w:hAnsi="Cambria Math"/>
                            <w:iCs/>
                          </w:rPr>
                        </m:ctrlPr>
                      </m:sSubPr>
                      <m:e>
                        <m:r>
                          <m:rPr/>
                          <w:rPr>
                            <w:rFonts w:ascii="Cambria Math" w:hAnsi="Cambria Math"/>
                          </w:rPr>
                          <m:t>A</m:t>
                        </m:r>
                        <m:ctrlPr>
                          <w:rPr>
                            <w:rFonts w:ascii="Cambria Math" w:hAnsi="Cambria Math"/>
                          </w:rPr>
                        </m:ctrlPr>
                      </m:e>
                      <m:sub>
                        <m:r>
                          <m:rPr/>
                          <w:rPr>
                            <w:rFonts w:ascii="Cambria Math" w:hAnsi="Cambria Math"/>
                          </w:rPr>
                          <m:t>i</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w:rPr>
                            <w:rFonts w:ascii="Cambria Math" w:hAnsi="Cambria Math"/>
                          </w:rPr>
                          <m:t>C</m:t>
                        </m:r>
                        <m:ctrlPr>
                          <w:rPr>
                            <w:rFonts w:ascii="Cambria Math" w:hAnsi="Cambria Math"/>
                          </w:rPr>
                        </m:ctrlPr>
                      </m:e>
                      <m:sub>
                        <m:r>
                          <m:rPr/>
                          <w:rPr>
                            <w:rFonts w:ascii="Cambria Math" w:hAnsi="Cambria Math"/>
                          </w:rPr>
                          <m:t>i</m:t>
                        </m:r>
                        <m:ctrlPr>
                          <w:rPr>
                            <w:rFonts w:ascii="Cambria Math" w:hAnsi="Cambria Math"/>
                            <w:iCs/>
                          </w:rPr>
                        </m:ctrlPr>
                      </m:sub>
                    </m:sSub>
                    <m:ctrlPr>
                      <w:rPr>
                        <w:rFonts w:ascii="Cambria Math" w:hAnsi="Cambria Math"/>
                      </w:rPr>
                    </m:ctrlPr>
                  </m:e>
                </m:d>
                <m:ctrlPr>
                  <w:rPr>
                    <w:rFonts w:ascii="Cambria Math" w:hAnsi="Cambria Math"/>
                  </w:rPr>
                </m:ctrlPr>
              </m:e>
            </m:nary>
            <m:ctrlPr>
              <w:rPr>
                <w:rFonts w:ascii="Cambria Math" w:hAnsi="Cambria Math"/>
              </w:rPr>
            </m:ctrlPr>
          </m:num>
          <m:den>
            <m:r>
              <m:rPr/>
              <w:rPr>
                <w:rFonts w:ascii="Cambria Math" w:hAnsi="Cambria Math"/>
              </w:rPr>
              <m:t>A</m:t>
            </m:r>
            <m:ctrlPr>
              <w:rPr>
                <w:rFonts w:ascii="Cambria Math" w:hAnsi="Cambria Math"/>
              </w:rPr>
            </m:ctrlPr>
          </m:den>
        </m:f>
      </m:oMath>
      <w:r>
        <w:tab/>
      </w:r>
      <w:r>
        <w:rPr>
          <w:rFonts w:hint="eastAsia" w:ascii="Segoe UI" w:hAnsi="Segoe UI" w:cs="Segoe UI"/>
        </w:rPr>
        <w:t>（</w:t>
      </w:r>
      <w:r>
        <w:rPr>
          <w:rFonts w:hint="eastAsia"/>
          <w:iCs/>
        </w:rPr>
        <w:t>5</w:t>
      </w:r>
      <w:r>
        <w:rPr>
          <w:rFonts w:hint="eastAsia" w:ascii="Segoe UI" w:hAnsi="Segoe UI" w:cs="Segoe UI"/>
        </w:rPr>
        <w:t>）</w:t>
      </w:r>
    </w:p>
    <w:p>
      <w:pPr>
        <w:widowControl/>
        <w:shd w:val="clear" w:color="auto" w:fill="FFFFFF"/>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sSub>
          <m:sSubPr>
            <m:ctrlPr>
              <w:rPr>
                <w:rFonts w:ascii="Cambria Math" w:hAnsi="Cambria Math" w:eastAsia="宋体" w:cs="Segoe UI"/>
                <w:i/>
                <w:color w:val="000000" w:themeColor="text1"/>
                <w:kern w:val="0"/>
                <w:sz w:val="24"/>
                <w:szCs w:val="24"/>
                <w14:textFill>
                  <w14:solidFill>
                    <w14:schemeClr w14:val="tx1"/>
                  </w14:solidFill>
                </w14:textFill>
              </w:rPr>
            </m:ctrlPr>
          </m:sSubPr>
          <m:e>
            <m:r>
              <m:rPr/>
              <w:rPr>
                <w:rFonts w:ascii="Cambria Math" w:hAnsi="Cambria Math" w:eastAsia="宋体" w:cs="Segoe UI"/>
                <w:color w:val="000000" w:themeColor="text1"/>
                <w:kern w:val="0"/>
                <w:sz w:val="24"/>
                <w:szCs w:val="24"/>
                <w14:textFill>
                  <w14:solidFill>
                    <w14:schemeClr w14:val="tx1"/>
                  </w14:solidFill>
                </w14:textFill>
              </w:rPr>
              <m:t>C</m:t>
            </m:r>
            <m:ctrlPr>
              <w:rPr>
                <w:rFonts w:ascii="Cambria Math" w:hAnsi="Cambria Math" w:eastAsia="宋体" w:cs="Segoe UI"/>
                <w:i/>
                <w:color w:val="000000" w:themeColor="text1"/>
                <w:kern w:val="0"/>
                <w:sz w:val="24"/>
                <w:szCs w:val="24"/>
                <w14:textFill>
                  <w14:solidFill>
                    <w14:schemeClr w14:val="tx1"/>
                  </w14:solidFill>
                </w14:textFill>
              </w:rPr>
            </m:ctrlPr>
          </m:e>
          <m:sub>
            <m:r>
              <m:rPr/>
              <w:rPr>
                <w:rFonts w:ascii="Cambria Math" w:hAnsi="Cambria Math" w:eastAsia="宋体" w:cs="Segoe UI"/>
                <w:color w:val="000000" w:themeColor="text1"/>
                <w:kern w:val="0"/>
                <w:sz w:val="24"/>
                <w:szCs w:val="24"/>
                <w14:textFill>
                  <w14:solidFill>
                    <w14:schemeClr w14:val="tx1"/>
                  </w14:solidFill>
                </w14:textFill>
              </w:rPr>
              <m:t>z</m:t>
            </m:r>
            <m:ctrlPr>
              <w:rPr>
                <w:rFonts w:ascii="Cambria Math" w:hAnsi="Cambria Math" w:eastAsia="宋体" w:cs="Segoe UI"/>
                <w:i/>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城区类型综合等级；</w:t>
      </w:r>
    </w:p>
    <w:p>
      <w:pPr>
        <w:widowControl/>
        <w:shd w:val="clear" w:color="auto" w:fill="FFFFFF"/>
        <w:tabs>
          <w:tab w:val="left" w:pos="700"/>
        </w:tabs>
        <w:spacing w:line="360"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ascii="Segoe UI" w:hAnsi="Segoe UI" w:eastAsia="宋体" w:cs="Segoe UI"/>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A</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i</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ascii="inherit" w:hAnsi="inherit" w:eastAsia="宋体" w:cs="Times New Roman"/>
          <w:color w:val="000000" w:themeColor="text1"/>
          <w:kern w:val="0"/>
          <w:sz w:val="2"/>
          <w:szCs w:val="2"/>
          <w14:textFill>
            <w14:solidFill>
              <w14:schemeClr w14:val="tx1"/>
            </w14:solidFill>
          </w14:textFill>
        </w:rPr>
        <w:t>​</w:t>
      </w:r>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第</w:t>
      </w:r>
      <m:oMath>
        <m:r>
          <m:rPr/>
          <w:rPr>
            <w:rFonts w:ascii="Cambria Math" w:hAnsi="Cambria Math" w:eastAsia="宋体" w:cs="Segoe UI"/>
            <w:color w:val="000000" w:themeColor="text1"/>
            <w:kern w:val="0"/>
            <w:sz w:val="24"/>
            <w:szCs w:val="24"/>
            <w14:textFill>
              <w14:solidFill>
                <w14:schemeClr w14:val="tx1"/>
              </w14:solidFill>
            </w14:textFill>
          </w:rPr>
          <m:t>i</m:t>
        </m:r>
      </m:oMath>
      <w:r>
        <w:rPr>
          <w:rFonts w:ascii="inherit" w:hAnsi="inherit" w:eastAsia="宋体" w:cs="Segoe UI"/>
          <w:color w:val="000000" w:themeColor="text1"/>
          <w:kern w:val="0"/>
          <w:sz w:val="24"/>
          <w:szCs w:val="24"/>
          <w14:textFill>
            <w14:solidFill>
              <w14:schemeClr w14:val="tx1"/>
            </w14:solidFill>
          </w14:textFill>
        </w:rPr>
        <w:t>种城区类型的面积；</w:t>
      </w:r>
    </w:p>
    <w:p>
      <w:pPr>
        <w:widowControl/>
        <w:shd w:val="clear" w:color="auto" w:fill="FFFFFF"/>
        <w:tabs>
          <w:tab w:val="left" w:pos="728"/>
        </w:tabs>
        <w:spacing w:line="360" w:lineRule="auto"/>
        <w:ind w:firstLine="278"/>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ascii="inherit" w:hAnsi="inherit" w:eastAsia="宋体" w:cs="Segoe UI"/>
          <w:iCs/>
          <w:color w:val="000000" w:themeColor="text1"/>
          <w:kern w:val="0"/>
          <w:sz w:val="24"/>
          <w:szCs w:val="24"/>
          <w14:textFill>
            <w14:solidFill>
              <w14:schemeClr w14:val="tx1"/>
            </w14:solidFill>
          </w14:textFill>
        </w:rPr>
        <w:tab/>
      </w:r>
      <m:oMath>
        <m:sSub>
          <m:sSubPr>
            <m:ctrlPr>
              <w:rPr>
                <w:rFonts w:ascii="Cambria Math" w:hAnsi="Cambria Math" w:eastAsia="宋体" w:cs="Times New Roman"/>
                <w:i/>
                <w:iCs/>
                <w:color w:val="000000" w:themeColor="text1"/>
                <w:kern w:val="0"/>
                <w:sz w:val="24"/>
                <w:szCs w:val="24"/>
                <w14:textFill>
                  <w14:solidFill>
                    <w14:schemeClr w14:val="tx1"/>
                  </w14:solidFill>
                </w14:textFill>
              </w:rPr>
            </m:ctrlPr>
          </m:sSubPr>
          <m:e>
            <m:r>
              <m:rPr/>
              <w:rPr>
                <w:rFonts w:ascii="Cambria Math" w:hAnsi="Cambria Math" w:eastAsia="宋体" w:cs="Times New Roman"/>
                <w:color w:val="000000" w:themeColor="text1"/>
                <w:kern w:val="0"/>
                <w:sz w:val="24"/>
                <w:szCs w:val="24"/>
                <w14:textFill>
                  <w14:solidFill>
                    <w14:schemeClr w14:val="tx1"/>
                  </w14:solidFill>
                </w14:textFill>
              </w:rPr>
              <m:t>C</m:t>
            </m:r>
            <m:ctrlPr>
              <w:rPr>
                <w:rFonts w:ascii="Cambria Math" w:hAnsi="Cambria Math" w:eastAsia="宋体" w:cs="Times New Roman"/>
                <w:i/>
                <w:color w:val="000000" w:themeColor="text1"/>
                <w:kern w:val="0"/>
                <w:sz w:val="24"/>
                <w:szCs w:val="24"/>
                <w14:textFill>
                  <w14:solidFill>
                    <w14:schemeClr w14:val="tx1"/>
                  </w14:solidFill>
                </w14:textFill>
              </w:rPr>
            </m:ctrlPr>
          </m:e>
          <m:sub>
            <m:r>
              <m:rPr/>
              <w:rPr>
                <w:rFonts w:ascii="Cambria Math" w:hAnsi="Cambria Math" w:eastAsia="宋体" w:cs="Times New Roman"/>
                <w:color w:val="000000" w:themeColor="text1"/>
                <w:kern w:val="0"/>
                <w:sz w:val="24"/>
                <w:szCs w:val="24"/>
                <w14:textFill>
                  <w14:solidFill>
                    <w14:schemeClr w14:val="tx1"/>
                  </w14:solidFill>
                </w14:textFill>
              </w:rPr>
              <m:t>i</m:t>
            </m:r>
            <m:ctrlPr>
              <w:rPr>
                <w:rFonts w:ascii="Cambria Math" w:hAnsi="Cambria Math" w:eastAsia="宋体" w:cs="Times New Roman"/>
                <w:i/>
                <w:iCs/>
                <w:color w:val="000000" w:themeColor="text1"/>
                <w:kern w:val="0"/>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第</w:t>
      </w:r>
      <m:oMath>
        <m:r>
          <m:rPr/>
          <w:rPr>
            <w:rFonts w:ascii="Cambria Math" w:hAnsi="Cambria Math" w:eastAsia="宋体" w:cs="Segoe UI"/>
            <w:color w:val="000000" w:themeColor="text1"/>
            <w:kern w:val="0"/>
            <w:sz w:val="24"/>
            <w:szCs w:val="24"/>
            <w14:textFill>
              <w14:solidFill>
                <w14:schemeClr w14:val="tx1"/>
              </w14:solidFill>
            </w14:textFill>
          </w:rPr>
          <m:t>i</m:t>
        </m:r>
      </m:oMath>
      <w:r>
        <w:rPr>
          <w:rFonts w:ascii="inherit" w:hAnsi="inherit" w:eastAsia="宋体" w:cs="Segoe UI"/>
          <w:color w:val="000000" w:themeColor="text1"/>
          <w:kern w:val="0"/>
          <w:sz w:val="24"/>
          <w:szCs w:val="24"/>
          <w14:textFill>
            <w14:solidFill>
              <w14:schemeClr w14:val="tx1"/>
            </w14:solidFill>
          </w14:textFill>
        </w:rPr>
        <w:t>种城区类型的权重；</w:t>
      </w:r>
    </w:p>
    <w:p>
      <w:pPr>
        <w:widowControl/>
        <w:shd w:val="clear" w:color="auto" w:fill="FFFFFF"/>
        <w:tabs>
          <w:tab w:val="left" w:pos="728"/>
        </w:tabs>
        <w:spacing w:line="360" w:lineRule="auto"/>
        <w:ind w:left="272" w:firstLine="5" w:firstLineChars="2"/>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ascii="KaTeX_Math" w:hAnsi="KaTeX_Math" w:eastAsia="宋体" w:cs="Times New Roman"/>
          <w:i/>
          <w:iCs/>
          <w:color w:val="000000" w:themeColor="text1"/>
          <w:kern w:val="0"/>
          <w:sz w:val="29"/>
          <w:szCs w:val="29"/>
          <w14:textFill>
            <w14:solidFill>
              <w14:schemeClr w14:val="tx1"/>
            </w14:solidFill>
          </w14:textFill>
        </w:rPr>
        <w:tab/>
      </w:r>
      <w:r>
        <w:rPr>
          <w:rFonts w:hint="eastAsia" w:ascii="KaTeX_Math" w:hAnsi="KaTeX_Math" w:eastAsia="宋体" w:cs="Times New Roman"/>
          <w:i/>
          <w:iCs/>
          <w:color w:val="000000" w:themeColor="text1"/>
          <w:kern w:val="0"/>
          <w:sz w:val="29"/>
          <w:szCs w:val="29"/>
          <w14:textFill>
            <w14:solidFill>
              <w14:schemeClr w14:val="tx1"/>
            </w14:solidFill>
          </w14:textFill>
        </w:rPr>
        <w:t>n</w:t>
      </w:r>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城区类型的数量。</w:t>
      </w:r>
    </w:p>
    <w:p>
      <w:pPr>
        <w:widowControl/>
        <w:shd w:val="clear" w:color="auto" w:fill="FFFFFF"/>
        <w:tabs>
          <w:tab w:val="left" w:pos="728"/>
        </w:tabs>
        <w:spacing w:line="360" w:lineRule="auto"/>
        <w:ind w:left="272" w:firstLine="4" w:firstLineChars="2"/>
        <w:textAlignment w:val="baseline"/>
        <w:rPr>
          <w:rFonts w:hint="eastAsia" w:ascii="inherit" w:hAnsi="inherit" w:eastAsia="宋体" w:cs="Segoe UI"/>
          <w:color w:val="000000" w:themeColor="text1"/>
          <w:kern w:val="0"/>
          <w:sz w:val="24"/>
          <w:szCs w:val="24"/>
          <w14:textFill>
            <w14:solidFill>
              <w14:schemeClr w14:val="tx1"/>
            </w14:solidFill>
          </w14:textFill>
        </w:rPr>
      </w:pPr>
    </w:p>
    <w:p>
      <w:pPr>
        <w:pStyle w:val="7"/>
        <w:spacing w:line="360" w:lineRule="auto"/>
        <w:rPr>
          <w:rFonts w:cs="Times New Roman"/>
          <w:sz w:val="24"/>
          <w:szCs w:val="24"/>
        </w:rPr>
      </w:pPr>
      <w:r>
        <w:rPr>
          <w:rFonts w:hint="eastAsia" w:cs="Times New Roman"/>
          <w:sz w:val="24"/>
          <w:szCs w:val="24"/>
        </w:rPr>
        <w:t xml:space="preserve">表2 </w:t>
      </w:r>
      <w:r>
        <w:rPr>
          <w:rFonts w:cs="Times New Roman"/>
          <w:sz w:val="24"/>
          <w:szCs w:val="24"/>
        </w:rPr>
        <w:t>城区类型</w:t>
      </w:r>
      <w:r>
        <w:rPr>
          <w:rFonts w:hint="eastAsia" w:cs="Times New Roman"/>
          <w:sz w:val="24"/>
          <w:szCs w:val="24"/>
        </w:rPr>
        <w:t>权重</w:t>
      </w:r>
    </w:p>
    <w:tbl>
      <w:tblPr>
        <w:tblStyle w:val="7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390"/>
        <w:gridCol w:w="1313"/>
        <w:gridCol w:w="3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14"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指标名称</w:t>
            </w:r>
          </w:p>
        </w:tc>
        <w:tc>
          <w:tcPr>
            <w:tcW w:w="140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类型</w:t>
            </w:r>
          </w:p>
        </w:tc>
        <w:tc>
          <w:tcPr>
            <w:tcW w:w="770"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权重</w:t>
            </w:r>
          </w:p>
        </w:tc>
        <w:tc>
          <w:tcPr>
            <w:tcW w:w="2013"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814" w:type="pct"/>
            <w:vMerge w:val="restar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城区类型</w:t>
            </w:r>
          </w:p>
        </w:tc>
        <w:tc>
          <w:tcPr>
            <w:tcW w:w="140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中心城区地下通道和下沉式广场</w:t>
            </w:r>
          </w:p>
        </w:tc>
        <w:tc>
          <w:tcPr>
            <w:tcW w:w="770"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4</w:t>
            </w:r>
          </w:p>
        </w:tc>
        <w:tc>
          <w:tcPr>
            <w:tcW w:w="2013"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地下空间密集区（如下沉式广场、地下连廊），排水依赖泵站强排，暴雨时易因倒灌或电力中断引发严重积水，人员疏散难度大</w:t>
            </w: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14"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40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中心城区重要地区</w:t>
            </w:r>
          </w:p>
        </w:tc>
        <w:tc>
          <w:tcPr>
            <w:tcW w:w="770"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w:t>
            </w:r>
          </w:p>
        </w:tc>
        <w:tc>
          <w:tcPr>
            <w:tcW w:w="2013"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城市核心功能区，地面硬化率高，排水设计标准高，但地下空间复杂，短时极端降雨易引发交通瘫痪与次生灾害</w:t>
            </w: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bl>
    <w:p>
      <w:pPr>
        <w:adjustRightInd w:val="0"/>
        <w:snapToGrid w:val="0"/>
        <w:jc w:val="center"/>
        <w:rPr>
          <w:rFonts w:ascii="Times New Roman" w:hAnsi="Times New Roman" w:eastAsia="宋体" w:cs="Times New Roman"/>
          <w:b/>
          <w:bCs/>
          <w:sz w:val="21"/>
          <w:szCs w:val="21"/>
        </w:rPr>
      </w:pPr>
    </w:p>
    <w:p>
      <w:pPr>
        <w:adjustRightInd w:val="0"/>
        <w:snapToGrid w:val="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续表2</w:t>
      </w:r>
    </w:p>
    <w:tbl>
      <w:tblPr>
        <w:tblStyle w:val="7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390"/>
        <w:gridCol w:w="1313"/>
        <w:gridCol w:w="3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14"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指标名称</w:t>
            </w:r>
          </w:p>
        </w:tc>
        <w:tc>
          <w:tcPr>
            <w:tcW w:w="140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类型</w:t>
            </w:r>
          </w:p>
        </w:tc>
        <w:tc>
          <w:tcPr>
            <w:tcW w:w="770"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权重</w:t>
            </w:r>
          </w:p>
        </w:tc>
        <w:tc>
          <w:tcPr>
            <w:tcW w:w="2013"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14" w:type="pct"/>
            <w:vMerge w:val="restar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城区类型</w:t>
            </w:r>
          </w:p>
        </w:tc>
        <w:tc>
          <w:tcPr>
            <w:tcW w:w="140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中心城区</w:t>
            </w:r>
          </w:p>
        </w:tc>
        <w:tc>
          <w:tcPr>
            <w:tcW w:w="770"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2</w:t>
            </w:r>
          </w:p>
        </w:tc>
        <w:tc>
          <w:tcPr>
            <w:tcW w:w="2013"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普通建成区，地面硬化率中等，排水管网标准较低，老旧管网占比高，持续降雨易导致区域性内涝。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14" w:type="pct"/>
            <w:vMerge w:val="continue"/>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402"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非中心城区</w:t>
            </w:r>
          </w:p>
        </w:tc>
        <w:tc>
          <w:tcPr>
            <w:tcW w:w="770" w:type="pct"/>
            <w:vAlign w:val="center"/>
          </w:tcPr>
          <w:p>
            <w:pPr>
              <w:widowControl/>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w:t>
            </w:r>
          </w:p>
        </w:tc>
        <w:tc>
          <w:tcPr>
            <w:tcW w:w="2013" w:type="pct"/>
            <w:vAlign w:val="center"/>
          </w:tcPr>
          <w:p>
            <w:pPr>
              <w:widowControl/>
              <w:spacing w:line="240" w:lineRule="auto"/>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以城乡结合部或新兴开发区为主，地表透水性强，但排水管网覆盖率低，暴雨易引发局部农田或道路积水</w:t>
            </w: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bl>
    <w:p>
      <w:pPr>
        <w:adjustRightInd w:val="0"/>
        <w:snapToGrid w:val="0"/>
        <w:spacing w:line="360" w:lineRule="auto"/>
        <w:ind w:firstLine="361" w:firstLineChars="150"/>
        <w:rPr>
          <w:rFonts w:ascii="Times New Roman" w:hAnsi="Times New Roman" w:eastAsia="宋体" w:cs="Times New Roman"/>
          <w:b/>
          <w:bCs/>
          <w:sz w:val="24"/>
          <w:szCs w:val="24"/>
        </w:rPr>
      </w:pP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8</w:t>
      </w:r>
      <w:r>
        <w:rPr>
          <w:rFonts w:ascii="Times New Roman" w:hAnsi="Times New Roman" w:eastAsia="宋体" w:cs="Times New Roman"/>
          <w:b/>
          <w:bCs/>
          <w:sz w:val="24"/>
          <w:szCs w:val="24"/>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雨水管渠设计重现期达标率：</w:t>
      </w:r>
      <w:r>
        <w:rPr>
          <w:rFonts w:ascii="Times New Roman" w:hAnsi="Times New Roman" w:eastAsia="宋体" w:cs="Times New Roman"/>
          <w:color w:val="000000" w:themeColor="text1"/>
          <w:sz w:val="24"/>
          <w:szCs w:val="24"/>
          <w14:textFill>
            <w14:solidFill>
              <w14:schemeClr w14:val="tx1"/>
            </w14:solidFill>
          </w14:textFill>
        </w:rPr>
        <w:t>建成区内满足现行设计标准的城市市政雨水管渠（含合流制管渠）长度占城市市政雨水管渠（含合流制管渠）总长度的比例（km/km），比例越高，说明城市抵御洪涝风险能力越强。各地可根据实际，采用自然断点法、百分位法等进行等级划分。雨水管渠设计重现期达标率可按下式计算</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97"/>
        <w:rPr>
          <w:rFonts w:ascii="Segoe UI" w:hAnsi="Segoe UI" w:cs="Segoe UI"/>
          <w:kern w:val="0"/>
        </w:rPr>
      </w:pPr>
      <w:r>
        <w:rPr>
          <w:rStyle w:val="82"/>
          <w:iCs/>
          <w:shd w:val="clear" w:color="auto" w:fill="FFFFFF"/>
        </w:rPr>
        <w:tab/>
      </w:r>
      <m:oMath>
        <m:sSub>
          <m:sSubPr>
            <m:ctrlPr>
              <w:rPr>
                <w:rStyle w:val="82"/>
                <w:rFonts w:ascii="Cambria Math" w:hAnsi="Cambria Math"/>
                <w:i/>
                <w:iCs/>
                <w:shd w:val="clear" w:color="auto" w:fill="FFFFFF"/>
              </w:rPr>
            </m:ctrlPr>
          </m:sSubPr>
          <m:e>
            <m:r>
              <m:rPr/>
              <w:rPr>
                <w:rStyle w:val="82"/>
                <w:rFonts w:ascii="Cambria Math" w:hAnsi="Cambria Math"/>
                <w:shd w:val="clear" w:color="auto" w:fill="FFFFFF"/>
              </w:rPr>
              <m:t>P</m:t>
            </m:r>
            <m:ctrlPr>
              <w:rPr>
                <w:rStyle w:val="82"/>
                <w:rFonts w:ascii="Cambria Math" w:hAnsi="Cambria Math"/>
                <w:i/>
                <w:iCs/>
                <w:shd w:val="clear" w:color="auto" w:fill="FFFFFF"/>
              </w:rPr>
            </m:ctrlPr>
          </m:e>
          <m:sub>
            <m:r>
              <m:rPr/>
              <w:rPr>
                <w:rStyle w:val="82"/>
                <w:rFonts w:ascii="Cambria Math" w:hAnsi="Cambria Math"/>
                <w:shd w:val="clear" w:color="auto" w:fill="FFFFFF"/>
              </w:rPr>
              <m:t>DRP</m:t>
            </m:r>
            <m:ctrlPr>
              <w:rPr>
                <w:rStyle w:val="82"/>
                <w:rFonts w:ascii="Cambria Math" w:hAnsi="Cambria Math"/>
                <w:i/>
                <w:iCs/>
                <w:shd w:val="clear" w:color="auto" w:fill="FFFFFF"/>
              </w:rPr>
            </m:ctrlPr>
          </m:sub>
        </m:sSub>
        <m:r>
          <m:rPr>
            <m:sty m:val="p"/>
          </m:rPr>
          <w:rPr>
            <w:rStyle w:val="86"/>
            <w:rFonts w:ascii="Cambria Math" w:hAnsi="Cambria Math"/>
            <w:shd w:val="clear" w:color="auto" w:fill="FFFFFF"/>
          </w:rPr>
          <m:t>=</m:t>
        </m:r>
        <m:f>
          <m:fPr>
            <m:ctrlPr>
              <w:rPr>
                <w:rStyle w:val="82"/>
                <w:rFonts w:ascii="Cambria Math" w:hAnsi="Cambria Math"/>
                <w:i/>
                <w:iCs/>
                <w:shd w:val="clear" w:color="auto" w:fill="FFFFFF"/>
              </w:rPr>
            </m:ctrlPr>
          </m:fPr>
          <m:num>
            <m:sSub>
              <m:sSubPr>
                <m:ctrlPr>
                  <w:rPr>
                    <w:rStyle w:val="82"/>
                    <w:rFonts w:ascii="Cambria Math" w:hAnsi="Cambria Math"/>
                    <w:i/>
                    <w:iCs/>
                    <w:shd w:val="clear" w:color="auto" w:fill="FFFFFF"/>
                  </w:rPr>
                </m:ctrlPr>
              </m:sSubPr>
              <m:e>
                <m:r>
                  <m:rPr/>
                  <w:rPr>
                    <w:rStyle w:val="82"/>
                    <w:rFonts w:ascii="Cambria Math" w:hAnsi="Cambria Math"/>
                    <w:shd w:val="clear" w:color="auto" w:fill="FFFFFF"/>
                  </w:rPr>
                  <m:t>L</m:t>
                </m:r>
                <m:ctrlPr>
                  <w:rPr>
                    <w:rStyle w:val="82"/>
                    <w:rFonts w:ascii="Cambria Math" w:hAnsi="Cambria Math"/>
                    <w:i/>
                    <w:iCs/>
                    <w:shd w:val="clear" w:color="auto" w:fill="FFFFFF"/>
                  </w:rPr>
                </m:ctrlPr>
              </m:e>
              <m:sub>
                <m:r>
                  <m:rPr/>
                  <w:rPr>
                    <w:rStyle w:val="82"/>
                    <w:rFonts w:hint="eastAsia" w:ascii="Cambria Math" w:hAnsi="Cambria Math"/>
                    <w:shd w:val="clear" w:color="auto" w:fill="FFFFFF"/>
                  </w:rPr>
                  <m:t>c</m:t>
                </m:r>
                <m:ctrlPr>
                  <w:rPr>
                    <w:rStyle w:val="82"/>
                    <w:rFonts w:ascii="Cambria Math" w:hAnsi="Cambria Math"/>
                    <w:i/>
                    <w:iCs/>
                    <w:shd w:val="clear" w:color="auto" w:fill="FFFFFF"/>
                  </w:rPr>
                </m:ctrlPr>
              </m:sub>
            </m:sSub>
            <m:ctrlPr>
              <w:rPr>
                <w:rStyle w:val="82"/>
                <w:rFonts w:ascii="Cambria Math" w:hAnsi="Cambria Math"/>
                <w:i/>
                <w:iCs/>
                <w:shd w:val="clear" w:color="auto" w:fill="FFFFFF"/>
              </w:rPr>
            </m:ctrlPr>
          </m:num>
          <m:den>
            <m:sSub>
              <m:sSubPr>
                <m:ctrlPr>
                  <w:rPr>
                    <w:rStyle w:val="82"/>
                    <w:rFonts w:ascii="Cambria Math" w:hAnsi="Cambria Math"/>
                    <w:i/>
                    <w:iCs/>
                    <w:shd w:val="clear" w:color="auto" w:fill="FFFFFF"/>
                  </w:rPr>
                </m:ctrlPr>
              </m:sSubPr>
              <m:e>
                <m:r>
                  <m:rPr/>
                  <w:rPr>
                    <w:rStyle w:val="82"/>
                    <w:rFonts w:ascii="Cambria Math" w:hAnsi="Cambria Math"/>
                    <w:shd w:val="clear" w:color="auto" w:fill="FFFFFF"/>
                  </w:rPr>
                  <m:t>L</m:t>
                </m:r>
                <m:ctrlPr>
                  <w:rPr>
                    <w:rStyle w:val="82"/>
                    <w:rFonts w:ascii="Cambria Math" w:hAnsi="Cambria Math"/>
                    <w:i/>
                    <w:iCs/>
                    <w:shd w:val="clear" w:color="auto" w:fill="FFFFFF"/>
                  </w:rPr>
                </m:ctrlPr>
              </m:e>
              <m:sub>
                <m:r>
                  <m:rPr/>
                  <w:rPr>
                    <w:rStyle w:val="82"/>
                    <w:rFonts w:hint="eastAsia" w:ascii="Cambria Math" w:hAnsi="Cambria Math"/>
                    <w:shd w:val="clear" w:color="auto" w:fill="FFFFFF"/>
                  </w:rPr>
                  <m:t>t</m:t>
                </m:r>
                <m:ctrlPr>
                  <w:rPr>
                    <w:rStyle w:val="82"/>
                    <w:rFonts w:ascii="Cambria Math" w:hAnsi="Cambria Math"/>
                    <w:i/>
                    <w:iCs/>
                    <w:shd w:val="clear" w:color="auto" w:fill="FFFFFF"/>
                  </w:rPr>
                </m:ctrlPr>
              </m:sub>
            </m:sSub>
            <m:ctrlPr>
              <w:rPr>
                <w:rStyle w:val="82"/>
                <w:rFonts w:ascii="Cambria Math" w:hAnsi="Cambria Math"/>
                <w:i/>
                <w:iCs/>
                <w:shd w:val="clear" w:color="auto" w:fill="FFFFFF"/>
              </w:rPr>
            </m:ctrlPr>
          </m:den>
        </m:f>
        <m:r>
          <m:rPr>
            <m:sty m:val="p"/>
          </m:rPr>
          <w:rPr>
            <w:rStyle w:val="87"/>
            <w:rFonts w:ascii="Cambria Math" w:hAnsi="Cambria Math"/>
            <w:shd w:val="clear" w:color="auto" w:fill="FFFFFF"/>
          </w:rPr>
          <m:t>×</m:t>
        </m:r>
        <m:r>
          <m:rPr>
            <m:sty m:val="p"/>
          </m:rPr>
          <w:rPr>
            <w:rStyle w:val="82"/>
            <w:rFonts w:ascii="Cambria Math" w:hAnsi="Cambria Math"/>
            <w:shd w:val="clear" w:color="auto" w:fill="FFFFFF"/>
          </w:rPr>
          <m:t>100%</m:t>
        </m:r>
      </m:oMath>
      <w:r>
        <w:rPr>
          <w:rStyle w:val="82"/>
          <w:shd w:val="clear" w:color="auto" w:fill="FFFFFF"/>
        </w:rPr>
        <w:tab/>
      </w:r>
      <w:r>
        <w:rPr>
          <w:rFonts w:hint="eastAsia" w:ascii="Segoe UI" w:hAnsi="Segoe UI" w:cs="Segoe UI"/>
          <w:kern w:val="0"/>
        </w:rPr>
        <w:t>（</w:t>
      </w:r>
      <w:r>
        <w:rPr>
          <w:iCs/>
        </w:rPr>
        <w:t>6</w:t>
      </w:r>
      <w:r>
        <w:rPr>
          <w:rFonts w:hint="eastAsia" w:ascii="Segoe UI" w:hAnsi="Segoe UI" w:cs="Segoe UI"/>
          <w:kern w:val="0"/>
        </w:rPr>
        <w:t>）</w:t>
      </w:r>
    </w:p>
    <w:p>
      <w:pPr>
        <w:widowControl/>
        <w:shd w:val="clear" w:color="auto" w:fill="FFFFFF"/>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Times New Roman" w:hAnsi="Times New Roman" w:eastAsia="宋体" w:cs="Times New Roman"/>
          <w:color w:val="000000" w:themeColor="text1"/>
          <w:kern w:val="0"/>
          <w:sz w:val="24"/>
          <w:szCs w:val="24"/>
          <w14:textFill>
            <w14:solidFill>
              <w14:schemeClr w14:val="tx1"/>
            </w14:solidFill>
          </w14:textFill>
        </w:rPr>
        <w:t>中：</w:t>
      </w:r>
      <m:oMath>
        <m:sSub>
          <m:sSubPr>
            <m:ctrlPr>
              <w:rPr>
                <w:rStyle w:val="82"/>
                <w:rFonts w:ascii="Cambria Math" w:hAnsi="Cambria Math" w:cs="Times New Roman"/>
                <w:i/>
                <w:iCs/>
                <w:sz w:val="24"/>
                <w:szCs w:val="24"/>
                <w:shd w:val="clear" w:color="auto" w:fill="FFFFFF"/>
              </w:rPr>
            </m:ctrlPr>
          </m:sSubPr>
          <m:e>
            <m:r>
              <m:rPr/>
              <w:rPr>
                <w:rStyle w:val="82"/>
                <w:rFonts w:ascii="Cambria Math" w:hAnsi="Cambria Math" w:cs="Times New Roman"/>
                <w:sz w:val="24"/>
                <w:szCs w:val="24"/>
                <w:shd w:val="clear" w:color="auto" w:fill="FFFFFF"/>
              </w:rPr>
              <m:t>P</m:t>
            </m:r>
            <m:ctrlPr>
              <w:rPr>
                <w:rStyle w:val="82"/>
                <w:rFonts w:ascii="Cambria Math" w:hAnsi="Cambria Math" w:cs="Times New Roman"/>
                <w:i/>
                <w:iCs/>
                <w:sz w:val="24"/>
                <w:szCs w:val="24"/>
                <w:shd w:val="clear" w:color="auto" w:fill="FFFFFF"/>
              </w:rPr>
            </m:ctrlPr>
          </m:e>
          <m:sub>
            <m:r>
              <m:rPr/>
              <w:rPr>
                <w:rStyle w:val="82"/>
                <w:rFonts w:ascii="Cambria Math" w:hAnsi="Cambria Math" w:cs="Times New Roman"/>
                <w:sz w:val="24"/>
                <w:szCs w:val="24"/>
                <w:shd w:val="clear" w:color="auto" w:fill="FFFFFF"/>
              </w:rPr>
              <m:t>DRP</m:t>
            </m:r>
            <m:ctrlPr>
              <w:rPr>
                <w:rStyle w:val="82"/>
                <w:rFonts w:ascii="Cambria Math" w:hAnsi="Cambria Math" w:cs="Times New Roman"/>
                <w:i/>
                <w:iCs/>
                <w:sz w:val="24"/>
                <w:szCs w:val="24"/>
                <w:shd w:val="clear" w:color="auto" w:fill="FFFFFF"/>
              </w:rPr>
            </m:ctrlPr>
          </m:sub>
        </m:sSub>
      </m:oMath>
      <w:r>
        <w:rPr>
          <w:rFonts w:ascii="Times New Roman" w:hAnsi="Times New Roman" w:eastAsia="宋体" w:cs="Times New Roman"/>
          <w:color w:val="000000" w:themeColor="text1"/>
          <w:kern w:val="0"/>
          <w:sz w:val="24"/>
          <w:szCs w:val="24"/>
          <w14:textFill>
            <w14:solidFill>
              <w14:schemeClr w14:val="tx1"/>
            </w14:solidFill>
          </w14:textFill>
        </w:rPr>
        <w:t>——雨水管渠设计重现期达标率，单位%；</w:t>
      </w:r>
    </w:p>
    <w:p>
      <w:pPr>
        <w:widowControl/>
        <w:shd w:val="clear" w:color="auto" w:fill="FFFFFF"/>
        <w:tabs>
          <w:tab w:val="left" w:pos="952"/>
        </w:tabs>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14:textFill>
            <w14:solidFill>
              <w14:schemeClr w14:val="tx1"/>
            </w14:solidFill>
          </w14:textFill>
        </w:rPr>
        <w:tab/>
      </w:r>
      <m:oMath>
        <m:sSub>
          <m:sSubPr>
            <m:ctrlPr>
              <w:rPr>
                <w:rStyle w:val="82"/>
                <w:rFonts w:ascii="Cambria Math" w:hAnsi="Cambria Math" w:cs="Times New Roman"/>
                <w:i/>
                <w:iCs/>
                <w:sz w:val="24"/>
                <w:szCs w:val="24"/>
                <w:shd w:val="clear" w:color="auto" w:fill="FFFFFF"/>
              </w:rPr>
            </m:ctrlPr>
          </m:sSubPr>
          <m:e>
            <m:r>
              <m:rPr/>
              <w:rPr>
                <w:rStyle w:val="82"/>
                <w:rFonts w:ascii="Cambria Math" w:hAnsi="Cambria Math" w:cs="Times New Roman"/>
                <w:sz w:val="24"/>
                <w:szCs w:val="24"/>
                <w:shd w:val="clear" w:color="auto" w:fill="FFFFFF"/>
              </w:rPr>
              <m:t>L</m:t>
            </m:r>
            <m:ctrlPr>
              <w:rPr>
                <w:rStyle w:val="82"/>
                <w:rFonts w:ascii="Cambria Math" w:hAnsi="Cambria Math" w:cs="Times New Roman"/>
                <w:i/>
                <w:iCs/>
                <w:sz w:val="24"/>
                <w:szCs w:val="24"/>
                <w:shd w:val="clear" w:color="auto" w:fill="FFFFFF"/>
              </w:rPr>
            </m:ctrlPr>
          </m:e>
          <m:sub>
            <m:r>
              <m:rPr/>
              <w:rPr>
                <w:rStyle w:val="82"/>
                <w:rFonts w:ascii="Cambria Math" w:hAnsi="Cambria Math" w:cs="Times New Roman"/>
                <w:sz w:val="24"/>
                <w:szCs w:val="24"/>
                <w:shd w:val="clear" w:color="auto" w:fill="FFFFFF"/>
              </w:rPr>
              <m:t>c</m:t>
            </m:r>
            <m:ctrlPr>
              <w:rPr>
                <w:rStyle w:val="82"/>
                <w:rFonts w:ascii="Cambria Math" w:hAnsi="Cambria Math" w:cs="Times New Roman"/>
                <w:i/>
                <w:iCs/>
                <w:sz w:val="24"/>
                <w:szCs w:val="24"/>
                <w:shd w:val="clear" w:color="auto" w:fill="FFFFFF"/>
              </w:rPr>
            </m:ctrlPr>
          </m:sub>
        </m:sSub>
      </m:oMath>
      <w:r>
        <w:rPr>
          <w:rFonts w:ascii="Times New Roman" w:hAnsi="Times New Roman" w:eastAsia="宋体" w:cs="Times New Roman"/>
          <w:color w:val="000000" w:themeColor="text1"/>
          <w:kern w:val="0"/>
          <w:sz w:val="24"/>
          <w:szCs w:val="24"/>
          <w14:textFill>
            <w14:solidFill>
              <w14:schemeClr w14:val="tx1"/>
            </w14:solidFill>
          </w14:textFill>
        </w:rPr>
        <w:t>——满足设计标准的市政雨水管渠长度，单位km；</w:t>
      </w:r>
    </w:p>
    <w:p>
      <w:pPr>
        <w:widowControl/>
        <w:shd w:val="clear" w:color="auto" w:fill="FFFFFF"/>
        <w:tabs>
          <w:tab w:val="left" w:pos="952"/>
        </w:tabs>
        <w:spacing w:line="360" w:lineRule="auto"/>
        <w:ind w:firstLine="278"/>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iCs/>
          <w:color w:val="000000" w:themeColor="text1"/>
          <w:kern w:val="0"/>
          <w:sz w:val="24"/>
          <w:szCs w:val="24"/>
          <w14:textFill>
            <w14:solidFill>
              <w14:schemeClr w14:val="tx1"/>
            </w14:solidFill>
          </w14:textFill>
        </w:rPr>
        <w:tab/>
      </w:r>
      <m:oMath>
        <m:sSub>
          <m:sSubPr>
            <m:ctrlPr>
              <w:rPr>
                <w:rStyle w:val="82"/>
                <w:rFonts w:ascii="Cambria Math" w:hAnsi="Cambria Math" w:cs="Times New Roman"/>
                <w:i/>
                <w:iCs/>
                <w:sz w:val="24"/>
                <w:szCs w:val="24"/>
                <w:shd w:val="clear" w:color="auto" w:fill="FFFFFF"/>
              </w:rPr>
            </m:ctrlPr>
          </m:sSubPr>
          <m:e>
            <m:r>
              <m:rPr/>
              <w:rPr>
                <w:rStyle w:val="82"/>
                <w:rFonts w:ascii="Cambria Math" w:hAnsi="Cambria Math" w:cs="Times New Roman"/>
                <w:sz w:val="24"/>
                <w:szCs w:val="24"/>
                <w:shd w:val="clear" w:color="auto" w:fill="FFFFFF"/>
              </w:rPr>
              <m:t>L</m:t>
            </m:r>
            <m:ctrlPr>
              <w:rPr>
                <w:rStyle w:val="82"/>
                <w:rFonts w:ascii="Cambria Math" w:hAnsi="Cambria Math" w:cs="Times New Roman"/>
                <w:i/>
                <w:iCs/>
                <w:sz w:val="24"/>
                <w:szCs w:val="24"/>
                <w:shd w:val="clear" w:color="auto" w:fill="FFFFFF"/>
              </w:rPr>
            </m:ctrlPr>
          </m:e>
          <m:sub>
            <m:r>
              <m:rPr/>
              <w:rPr>
                <w:rStyle w:val="82"/>
                <w:rFonts w:ascii="Cambria Math" w:hAnsi="Cambria Math" w:cs="Times New Roman"/>
                <w:sz w:val="24"/>
                <w:szCs w:val="24"/>
                <w:shd w:val="clear" w:color="auto" w:fill="FFFFFF"/>
              </w:rPr>
              <m:t>t</m:t>
            </m:r>
            <m:ctrlPr>
              <w:rPr>
                <w:rStyle w:val="82"/>
                <w:rFonts w:ascii="Cambria Math" w:hAnsi="Cambria Math" w:cs="Times New Roman"/>
                <w:i/>
                <w:iCs/>
                <w:sz w:val="24"/>
                <w:szCs w:val="24"/>
                <w:shd w:val="clear" w:color="auto" w:fill="FFFFFF"/>
              </w:rPr>
            </m:ctrlPr>
          </m:sub>
        </m:sSub>
      </m:oMath>
      <w:r>
        <w:rPr>
          <w:rFonts w:ascii="Times New Roman" w:hAnsi="Times New Roman" w:eastAsia="宋体" w:cs="Times New Roman"/>
          <w:color w:val="000000" w:themeColor="text1"/>
          <w:kern w:val="0"/>
          <w:sz w:val="24"/>
          <w:szCs w:val="24"/>
          <w14:textFill>
            <w14:solidFill>
              <w14:schemeClr w14:val="tx1"/>
            </w14:solidFill>
          </w14:textFill>
        </w:rPr>
        <w:t>——市政雨水管渠总长度（含合流制），单位km。</w:t>
      </w:r>
    </w:p>
    <w:p>
      <w:pPr>
        <w:adjustRightInd w:val="0"/>
        <w:snapToGrid w:val="0"/>
        <w:spacing w:line="360" w:lineRule="auto"/>
        <w:ind w:firstLine="361" w:firstLineChars="15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9</w:t>
      </w:r>
      <w:r>
        <w:rPr>
          <w:rFonts w:ascii="Times New Roman" w:hAnsi="Times New Roman" w:eastAsia="宋体" w:cs="Times New Roman"/>
          <w:b/>
          <w:bCs/>
          <w:sz w:val="24"/>
          <w:szCs w:val="24"/>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人口密度：</w:t>
      </w:r>
      <w:r>
        <w:rPr>
          <w:rFonts w:ascii="Times New Roman" w:hAnsi="Times New Roman" w:eastAsia="宋体" w:cs="Times New Roman"/>
          <w:color w:val="000000" w:themeColor="text1"/>
          <w:sz w:val="24"/>
          <w:szCs w:val="24"/>
          <w14:textFill>
            <w14:solidFill>
              <w14:schemeClr w14:val="tx1"/>
            </w14:solidFill>
          </w14:textFill>
        </w:rPr>
        <w:t>单位面积内的人口数量，人口密集的地区一旦发生洪涝/内涝，受灾人数多，社会影响大，对应急救援和恢复重建的要求也更高。利用城市人口普查数据和遥感影像资料获取每平方公里的人口数量，通过GIS计算人口密度。各地可根据实际，采用自然断点法、百分位法等进行等级划分，根据人口密度大小划分为人口密集区、人口较多区、人口中等区、人口稀少区四类。人口密度可按下式计算</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97"/>
        <w:rPr>
          <w:i/>
        </w:rPr>
      </w:pPr>
      <w:r>
        <w:tab/>
      </w:r>
      <m:oMath>
        <m:sSub>
          <m:sSubPr>
            <m:ctrlPr>
              <w:rPr>
                <w:rFonts w:ascii="Cambria Math" w:hAnsi="Cambria Math"/>
                <w:i/>
              </w:rPr>
            </m:ctrlPr>
          </m:sSubPr>
          <m:e>
            <m:r>
              <m:rPr/>
              <w:rPr>
                <w:rFonts w:ascii="Cambria Math" w:hAnsi="Cambria Math"/>
              </w:rPr>
              <m:t>ρ</m:t>
            </m:r>
            <m:ctrlPr>
              <w:rPr>
                <w:rFonts w:ascii="Cambria Math" w:hAnsi="Cambria Math"/>
                <w:i/>
              </w:rPr>
            </m:ctrlPr>
          </m:e>
          <m:sub>
            <m:r>
              <m:rPr/>
              <w:rPr>
                <w:rFonts w:hint="eastAsia" w:ascii="Cambria Math" w:hAnsi="Cambria Math"/>
              </w:rPr>
              <m:t>人口</m:t>
            </m:r>
            <m:ctrlPr>
              <w:rPr>
                <w:rFonts w:ascii="Cambria Math" w:hAnsi="Cambria Math"/>
                <w:i/>
              </w:rPr>
            </m:ctrlPr>
          </m:sub>
        </m:sSub>
        <m:r>
          <m:rPr/>
          <w:rPr>
            <w:rFonts w:hint="eastAsia" w:ascii="Cambria Math" w:hAnsi="Cambria Math"/>
          </w:rPr>
          <m:t>=</m:t>
        </m:r>
        <m:f>
          <m:fPr>
            <m:ctrlPr>
              <w:rPr>
                <w:rFonts w:hint="eastAsia" w:ascii="Cambria Math" w:hAnsi="Cambria Math"/>
                <w:i/>
              </w:rPr>
            </m:ctrlPr>
          </m:fPr>
          <m:num>
            <m:r>
              <m:rPr/>
              <w:rPr>
                <w:rFonts w:ascii="Cambria Math" w:hAnsi="Cambria Math"/>
              </w:rPr>
              <m:t>P</m:t>
            </m:r>
            <m:ctrlPr>
              <w:rPr>
                <w:rFonts w:hint="eastAsia" w:ascii="Cambria Math" w:hAnsi="Cambria Math"/>
                <w:i/>
              </w:rPr>
            </m:ctrlPr>
          </m:num>
          <m:den>
            <m:r>
              <m:rPr/>
              <w:rPr>
                <w:rFonts w:ascii="Cambria Math" w:hAnsi="Cambria Math"/>
              </w:rPr>
              <m:t>A</m:t>
            </m:r>
            <m:ctrlPr>
              <w:rPr>
                <w:rFonts w:hint="eastAsia" w:ascii="Cambria Math" w:hAnsi="Cambria Math"/>
                <w:i/>
              </w:rPr>
            </m:ctrlPr>
          </m:den>
        </m:f>
      </m:oMath>
      <w:r>
        <w:tab/>
      </w:r>
      <w:r>
        <w:rPr>
          <w:rFonts w:hint="eastAsia" w:ascii="Segoe UI" w:hAnsi="Segoe UI" w:cs="Segoe UI"/>
          <w:kern w:val="0"/>
        </w:rPr>
        <w:t>（</w:t>
      </w:r>
      <w:r>
        <w:t>7</w:t>
      </w:r>
      <w:r>
        <w:rPr>
          <w:rFonts w:hint="eastAsia" w:ascii="Segoe UI" w:hAnsi="Segoe UI" w:cs="Segoe UI"/>
          <w:kern w:val="0"/>
        </w:rPr>
        <w:t>）</w:t>
      </w:r>
    </w:p>
    <w:p>
      <w:pPr>
        <w:widowControl/>
        <w:shd w:val="clear" w:color="auto" w:fill="FFFFFF"/>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sSub>
          <m:sSubPr>
            <m:ctrlPr>
              <w:rPr>
                <w:rFonts w:ascii="Cambria Math" w:hAnsi="Cambria Math" w:eastAsia="宋体" w:cs="Times New Roman"/>
                <w:i/>
                <w:iCs/>
                <w:color w:val="000000" w:themeColor="text1"/>
                <w:sz w:val="24"/>
                <w:szCs w:val="24"/>
                <w14:textFill>
                  <w14:solidFill>
                    <w14:schemeClr w14:val="tx1"/>
                  </w14:solidFill>
                </w14:textFill>
              </w:rPr>
            </m:ctrlPr>
          </m:sSubPr>
          <m:e>
            <m:r>
              <m:rPr/>
              <w:rPr>
                <w:rFonts w:ascii="Cambria Math" w:hAnsi="Cambria Math" w:eastAsia="宋体" w:cs="Times New Roman"/>
                <w:color w:val="000000" w:themeColor="text1"/>
                <w:sz w:val="24"/>
                <w:szCs w:val="24"/>
                <w14:textFill>
                  <w14:solidFill>
                    <w14:schemeClr w14:val="tx1"/>
                  </w14:solidFill>
                </w14:textFill>
              </w:rPr>
              <m:t>ρ</m:t>
            </m:r>
            <m:ctrlPr>
              <w:rPr>
                <w:rFonts w:ascii="Cambria Math" w:hAnsi="Cambria Math" w:eastAsia="宋体" w:cs="Times New Roman"/>
                <w:i/>
                <w:iCs/>
                <w:color w:val="000000" w:themeColor="text1"/>
                <w:sz w:val="24"/>
                <w:szCs w:val="24"/>
                <w14:textFill>
                  <w14:solidFill>
                    <w14:schemeClr w14:val="tx1"/>
                  </w14:solidFill>
                </w14:textFill>
              </w:rPr>
            </m:ctrlPr>
          </m:e>
          <m:sub>
            <m:r>
              <m:rPr/>
              <w:rPr>
                <w:rFonts w:hint="eastAsia" w:ascii="Cambria Math" w:hAnsi="Cambria Math" w:eastAsia="宋体" w:cs="Times New Roman"/>
                <w:color w:val="000000" w:themeColor="text1"/>
                <w:sz w:val="24"/>
                <w:szCs w:val="24"/>
                <w14:textFill>
                  <w14:solidFill>
                    <w14:schemeClr w14:val="tx1"/>
                  </w14:solidFill>
                </w14:textFill>
              </w:rPr>
              <m:t>人口</m:t>
            </m:r>
            <m:ctrlPr>
              <w:rPr>
                <w:rFonts w:ascii="Cambria Math" w:hAnsi="Cambria Math" w:eastAsia="宋体" w:cs="Times New Roman"/>
                <w:i/>
                <w:iCs/>
                <w:color w:val="000000" w:themeColor="text1"/>
                <w:sz w:val="24"/>
                <w:szCs w:val="24"/>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人口密度，单位人/km</w:t>
      </w:r>
      <w:r>
        <w:rPr>
          <w:rFonts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FFFFF"/>
        <w:tabs>
          <w:tab w:val="left" w:pos="1050"/>
        </w:tabs>
        <w:spacing w:line="360"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Fonts w:ascii="Segoe UI" w:hAnsi="Segoe UI" w:eastAsia="宋体" w:cs="Segoe UI"/>
          <w:color w:val="000000" w:themeColor="text1"/>
          <w:kern w:val="0"/>
          <w:sz w:val="24"/>
          <w:szCs w:val="24"/>
          <w14:textFill>
            <w14:solidFill>
              <w14:schemeClr w14:val="tx1"/>
            </w14:solidFill>
          </w14:textFill>
        </w:rPr>
        <w:tab/>
      </w:r>
      <m:oMath>
        <m:r>
          <m:rPr/>
          <w:rPr>
            <w:rFonts w:ascii="Cambria Math" w:hAnsi="Cambria Math" w:eastAsia="宋体" w:cs="Times New Roman"/>
            <w:color w:val="000000" w:themeColor="text1"/>
            <w:kern w:val="0"/>
            <w:sz w:val="24"/>
            <w:szCs w:val="24"/>
            <w14:textFill>
              <w14:solidFill>
                <w14:schemeClr w14:val="tx1"/>
              </w14:solidFill>
            </w14:textFill>
          </w:rPr>
          <m:t>P</m:t>
        </m:r>
      </m:oMath>
      <w:r>
        <w:rPr>
          <w:rFonts w:hint="eastAsia" w:ascii="inherit" w:hAnsi="inherit" w:eastAsia="宋体" w:cs="Segoe UI"/>
          <w:color w:val="000000" w:themeColor="text1"/>
          <w:kern w:val="0"/>
          <w:sz w:val="24"/>
          <w:szCs w:val="24"/>
          <w14:textFill>
            <w14:solidFill>
              <w14:schemeClr w14:val="tx1"/>
            </w14:solidFill>
          </w14:textFill>
        </w:rPr>
        <w:t>——区域总人口</w:t>
      </w:r>
      <w:r>
        <w:rPr>
          <w:rFonts w:ascii="inherit" w:hAnsi="inherit" w:eastAsia="宋体" w:cs="Segoe UI"/>
          <w:color w:val="000000" w:themeColor="text1"/>
          <w:kern w:val="0"/>
          <w:sz w:val="24"/>
          <w:szCs w:val="24"/>
          <w14:textFill>
            <w14:solidFill>
              <w14:schemeClr w14:val="tx1"/>
            </w14:solidFill>
          </w14:textFill>
        </w:rPr>
        <w:t>；</w:t>
      </w:r>
    </w:p>
    <w:p>
      <w:pPr>
        <w:spacing w:line="360" w:lineRule="auto"/>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10</w:t>
      </w:r>
      <w:r>
        <w:rPr>
          <w:rFonts w:ascii="Times New Roman" w:hAnsi="Times New Roman" w:eastAsia="宋体" w:cs="Times New Roman"/>
          <w:b/>
          <w:bCs/>
          <w:sz w:val="24"/>
          <w:szCs w:val="24"/>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地下空间出入口密度：</w:t>
      </w:r>
      <w:r>
        <w:rPr>
          <w:rFonts w:ascii="Times New Roman" w:hAnsi="Times New Roman" w:eastAsia="宋体" w:cs="Times New Roman"/>
          <w:color w:val="000000" w:themeColor="text1"/>
          <w:sz w:val="24"/>
          <w:szCs w:val="24"/>
          <w14:textFill>
            <w14:solidFill>
              <w14:schemeClr w14:val="tx1"/>
            </w14:solidFill>
          </w14:textFill>
        </w:rPr>
        <w:t>是指单位面积内地下空间出入口数量，用于评估地下设施的敏感性。各地可根据实际，采用自然断点法、百分位法等进行等级划分。地下空间出入口密度可按下式计算：</w:t>
      </w:r>
    </w:p>
    <w:p>
      <w:pPr>
        <w:pStyle w:val="97"/>
        <w:rPr>
          <w:rStyle w:val="82"/>
          <w:i/>
          <w:shd w:val="clear" w:color="auto" w:fill="FCFCFC"/>
        </w:rPr>
      </w:pPr>
      <w:r>
        <w:rPr>
          <w:rStyle w:val="82"/>
          <w:shd w:val="clear" w:color="auto" w:fill="FCFCFC"/>
        </w:rPr>
        <w:tab/>
      </w:r>
      <m:oMath>
        <m:sSub>
          <m:sSubPr>
            <m:ctrlPr>
              <w:rPr>
                <w:rStyle w:val="82"/>
                <w:rFonts w:ascii="Cambria Math" w:hAnsi="Cambria Math"/>
                <w:i/>
                <w:shd w:val="clear" w:color="auto" w:fill="FCFCFC"/>
              </w:rPr>
            </m:ctrlPr>
          </m:sSubPr>
          <m:e>
            <m:r>
              <m:rPr/>
              <w:rPr>
                <w:rStyle w:val="82"/>
                <w:rFonts w:ascii="Cambria Math" w:hAnsi="Cambria Math"/>
                <w:shd w:val="clear" w:color="auto" w:fill="FCFCFC"/>
              </w:rPr>
              <m:t>ρ</m:t>
            </m:r>
            <m:ctrlPr>
              <w:rPr>
                <w:rStyle w:val="82"/>
                <w:rFonts w:ascii="Cambria Math" w:hAnsi="Cambria Math"/>
                <w:i/>
                <w:shd w:val="clear" w:color="auto" w:fill="FCFCFC"/>
              </w:rPr>
            </m:ctrlPr>
          </m:e>
          <m:sub>
            <m:r>
              <m:rPr/>
              <w:rPr>
                <w:rStyle w:val="82"/>
                <w:rFonts w:hint="eastAsia" w:ascii="Cambria Math" w:hAnsi="Cambria Math"/>
                <w:shd w:val="clear" w:color="auto" w:fill="FCFCFC"/>
              </w:rPr>
              <m:t>地下空间</m:t>
            </m:r>
            <m:ctrlPr>
              <w:rPr>
                <w:rStyle w:val="82"/>
                <w:rFonts w:ascii="Cambria Math" w:hAnsi="Cambria Math"/>
                <w:i/>
                <w:shd w:val="clear" w:color="auto" w:fill="FCFCFC"/>
              </w:rPr>
            </m:ctrlPr>
          </m:sub>
        </m:sSub>
        <m:r>
          <m:rPr/>
          <w:rPr>
            <w:rStyle w:val="83"/>
            <w:rFonts w:hint="eastAsia" w:ascii="Cambria Math" w:hAnsi="Cambria Math" w:cs="宋体"/>
            <w:shd w:val="clear" w:color="auto" w:fill="FCFCFC"/>
          </w:rPr>
          <m:t>=</m:t>
        </m:r>
        <m:f>
          <m:fPr>
            <m:ctrlPr>
              <w:rPr>
                <w:rStyle w:val="82"/>
                <w:rFonts w:hint="eastAsia" w:ascii="Cambria Math" w:hAnsi="Cambria Math" w:cs="宋体"/>
                <w:i/>
                <w:shd w:val="clear" w:color="auto" w:fill="FCFCFC"/>
              </w:rPr>
            </m:ctrlPr>
          </m:fPr>
          <m:num>
            <m:sSub>
              <m:sSubPr>
                <m:ctrlPr>
                  <w:rPr>
                    <w:rStyle w:val="82"/>
                    <w:rFonts w:ascii="Cambria Math" w:hAnsi="Cambria Math" w:cs="宋体"/>
                    <w:i/>
                    <w:shd w:val="clear" w:color="auto" w:fill="FCFCFC"/>
                  </w:rPr>
                </m:ctrlPr>
              </m:sSubPr>
              <m:e>
                <m:r>
                  <m:rPr/>
                  <w:rPr>
                    <w:rStyle w:val="82"/>
                    <w:rFonts w:ascii="Cambria Math" w:hAnsi="Cambria Math" w:cs="宋体"/>
                    <w:shd w:val="clear" w:color="auto" w:fill="FCFCFC"/>
                  </w:rPr>
                  <m:t>N</m:t>
                </m:r>
                <m:ctrlPr>
                  <w:rPr>
                    <w:rStyle w:val="82"/>
                    <w:rFonts w:ascii="Cambria Math" w:hAnsi="Cambria Math" w:cs="宋体"/>
                    <w:i/>
                    <w:shd w:val="clear" w:color="auto" w:fill="FCFCFC"/>
                  </w:rPr>
                </m:ctrlPr>
              </m:e>
              <m:sub>
                <m:r>
                  <m:rPr/>
                  <w:rPr>
                    <w:rStyle w:val="82"/>
                    <w:rFonts w:hint="eastAsia" w:ascii="Cambria Math" w:hAnsi="Cambria Math" w:cs="宋体"/>
                    <w:shd w:val="clear" w:color="auto" w:fill="FCFCFC"/>
                  </w:rPr>
                  <m:t>e</m:t>
                </m:r>
                <m:ctrlPr>
                  <w:rPr>
                    <w:rStyle w:val="82"/>
                    <w:rFonts w:ascii="Cambria Math" w:hAnsi="Cambria Math" w:cs="宋体"/>
                    <w:i/>
                    <w:shd w:val="clear" w:color="auto" w:fill="FCFCFC"/>
                  </w:rPr>
                </m:ctrlPr>
              </m:sub>
            </m:sSub>
            <m:ctrlPr>
              <w:rPr>
                <w:rStyle w:val="82"/>
                <w:rFonts w:hint="eastAsia" w:ascii="Cambria Math" w:hAnsi="Cambria Math" w:cs="宋体"/>
                <w:i/>
                <w:shd w:val="clear" w:color="auto" w:fill="FCFCFC"/>
              </w:rPr>
            </m:ctrlPr>
          </m:num>
          <m:den>
            <m:r>
              <m:rPr/>
              <w:rPr>
                <w:rStyle w:val="82"/>
                <w:rFonts w:ascii="Cambria Math" w:hAnsi="Cambria Math" w:cs="宋体"/>
                <w:shd w:val="clear" w:color="auto" w:fill="FCFCFC"/>
              </w:rPr>
              <m:t>A</m:t>
            </m:r>
            <m:ctrlPr>
              <w:rPr>
                <w:rStyle w:val="82"/>
                <w:rFonts w:hint="eastAsia" w:ascii="Cambria Math" w:hAnsi="Cambria Math" w:cs="宋体"/>
                <w:i/>
                <w:shd w:val="clear" w:color="auto" w:fill="FCFCFC"/>
              </w:rPr>
            </m:ctrlPr>
          </m:den>
        </m:f>
      </m:oMath>
      <w:r>
        <w:rPr>
          <w:rStyle w:val="82"/>
          <w:shd w:val="clear" w:color="auto" w:fill="FCFCFC"/>
        </w:rPr>
        <w:tab/>
      </w:r>
      <w:r>
        <w:rPr>
          <w:rFonts w:hint="eastAsia" w:ascii="Segoe UI" w:hAnsi="Segoe UI" w:cs="Segoe UI"/>
          <w:kern w:val="0"/>
        </w:rPr>
        <w:t>（</w:t>
      </w:r>
      <w:r>
        <w:rPr>
          <w:iCs/>
        </w:rPr>
        <w:t>8</w:t>
      </w:r>
      <w:r>
        <w:rPr>
          <w:rFonts w:hint="eastAsia" w:ascii="Segoe UI" w:hAnsi="Segoe UI" w:cs="Segoe UI"/>
          <w:kern w:val="0"/>
        </w:rPr>
        <w:t>）</w:t>
      </w:r>
    </w:p>
    <w:p>
      <w:pPr>
        <w:widowControl/>
        <w:shd w:val="clear" w:color="auto" w:fill="FFFFFF"/>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sSub>
          <m:sSubP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Times New Roman"/>
                <w:color w:val="000000" w:themeColor="text1"/>
                <w:sz w:val="24"/>
                <w:szCs w:val="24"/>
                <w:shd w:val="clear" w:color="auto" w:fill="FCFCFC"/>
                <w14:textFill>
                  <w14:solidFill>
                    <w14:schemeClr w14:val="tx1"/>
                  </w14:solidFill>
                </w14:textFill>
              </w:rPr>
              <m:t>ρ</m:t>
            </m: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e>
          <m:sub>
            <m:r>
              <m:rPr/>
              <w:rPr>
                <w:rStyle w:val="82"/>
                <w:rFonts w:hint="eastAsia" w:ascii="Cambria Math" w:hAnsi="Cambria Math" w:eastAsia="宋体" w:cs="Times New Roman"/>
                <w:color w:val="000000" w:themeColor="text1"/>
                <w:sz w:val="24"/>
                <w:szCs w:val="24"/>
                <w:shd w:val="clear" w:color="auto" w:fill="FCFCFC"/>
                <w14:textFill>
                  <w14:solidFill>
                    <w14:schemeClr w14:val="tx1"/>
                  </w14:solidFill>
                </w14:textFill>
              </w:rPr>
              <m:t>地下空间</m:t>
            </m: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地下空间出入口密度，单位</w:t>
      </w:r>
      <w:r>
        <w:rPr>
          <w:rFonts w:hint="eastAsia" w:ascii="Times New Roman" w:hAnsi="Times New Roman" w:eastAsia="宋体" w:cs="Times New Roman"/>
          <w:color w:val="000000" w:themeColor="text1"/>
          <w:kern w:val="0"/>
          <w:sz w:val="24"/>
          <w:szCs w:val="24"/>
          <w14:textFill>
            <w14:solidFill>
              <w14:schemeClr w14:val="tx1"/>
            </w14:solidFill>
          </w14:textFill>
        </w:rPr>
        <w:t>个</w:t>
      </w:r>
      <w:r>
        <w:rPr>
          <w:rFonts w:ascii="Times New Roman" w:hAnsi="Times New Roman" w:eastAsia="宋体" w:cs="Times New Roman"/>
          <w:color w:val="000000" w:themeColor="text1"/>
          <w:kern w:val="0"/>
          <w:sz w:val="24"/>
          <w:szCs w:val="24"/>
          <w14:textFill>
            <w14:solidFill>
              <w14:schemeClr w14:val="tx1"/>
            </w14:solidFill>
          </w14:textFill>
        </w:rPr>
        <w:t>/km</w:t>
      </w:r>
      <w:r>
        <w:rPr>
          <w:rFonts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FFFFF"/>
        <w:tabs>
          <w:tab w:val="left" w:pos="1288"/>
        </w:tabs>
        <w:spacing w:line="360" w:lineRule="auto"/>
        <w:textAlignment w:val="baseline"/>
        <w:rPr>
          <w:rFonts w:ascii="Times New Roman" w:hAnsi="Times New Roman" w:eastAsia="宋体" w:cs="Times New Roman"/>
          <w:color w:val="000000" w:themeColor="text1"/>
          <w:kern w:val="0"/>
          <w:sz w:val="24"/>
          <w:szCs w:val="24"/>
          <w14:textFill>
            <w14:solidFill>
              <w14:schemeClr w14:val="tx1"/>
            </w14:solidFill>
          </w14:textFill>
        </w:rPr>
      </w:pPr>
      <w:r>
        <w:rPr>
          <w:rStyle w:val="82"/>
          <w:rFonts w:ascii="Segoe UI" w:hAnsi="Segoe UI" w:eastAsia="宋体" w:cs="Segoe UI"/>
          <w:color w:val="000000" w:themeColor="text1"/>
          <w:sz w:val="24"/>
          <w:szCs w:val="24"/>
          <w:shd w:val="clear" w:color="auto" w:fill="FCFCFC"/>
          <w14:textFill>
            <w14:solidFill>
              <w14:schemeClr w14:val="tx1"/>
            </w14:solidFill>
          </w14:textFill>
        </w:rPr>
        <w:tab/>
      </w:r>
      <m:oMath>
        <m:sSub>
          <m:sSubP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宋体"/>
                <w:color w:val="000000" w:themeColor="text1"/>
                <w:sz w:val="24"/>
                <w:szCs w:val="24"/>
                <w:shd w:val="clear" w:color="auto" w:fill="FCFCFC"/>
                <w14:textFill>
                  <w14:solidFill>
                    <w14:schemeClr w14:val="tx1"/>
                  </w14:solidFill>
                </w14:textFill>
              </w:rPr>
              <m:t>N</m:t>
            </m: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e>
          <m:sub>
            <m:r>
              <m:rPr/>
              <w:rPr>
                <w:rStyle w:val="82"/>
                <w:rFonts w:hint="eastAsia" w:ascii="Cambria Math" w:hAnsi="Cambria Math" w:eastAsia="宋体" w:cs="宋体"/>
                <w:color w:val="000000" w:themeColor="text1"/>
                <w:sz w:val="24"/>
                <w:szCs w:val="24"/>
                <w:shd w:val="clear" w:color="auto" w:fill="FCFCFC"/>
                <w14:textFill>
                  <w14:solidFill>
                    <w14:schemeClr w14:val="tx1"/>
                  </w14:solidFill>
                </w14:textFill>
              </w:rPr>
              <m:t>e</m:t>
            </m: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iCs/>
          <w:color w:val="000000" w:themeColor="text1"/>
          <w:kern w:val="0"/>
          <w:sz w:val="24"/>
          <w:szCs w:val="24"/>
          <w14:textFill>
            <w14:solidFill>
              <w14:schemeClr w14:val="tx1"/>
            </w14:solidFill>
          </w14:textFill>
        </w:rPr>
        <w:t>——</w:t>
      </w:r>
      <w:r>
        <w:rPr>
          <w:rFonts w:ascii="inherit" w:hAnsi="inherit" w:eastAsia="宋体" w:cs="Segoe UI"/>
          <w:iCs/>
          <w:color w:val="000000" w:themeColor="text1"/>
          <w:kern w:val="0"/>
          <w:sz w:val="24"/>
          <w:szCs w:val="24"/>
          <w14:textFill>
            <w14:solidFill>
              <w14:schemeClr w14:val="tx1"/>
            </w14:solidFill>
          </w14:textFill>
        </w:rPr>
        <w:t>评</w:t>
      </w:r>
      <w:r>
        <w:rPr>
          <w:rFonts w:ascii="inherit" w:hAnsi="inherit" w:eastAsia="宋体" w:cs="Segoe UI"/>
          <w:color w:val="000000" w:themeColor="text1"/>
          <w:kern w:val="0"/>
          <w:sz w:val="24"/>
          <w:szCs w:val="24"/>
          <w14:textFill>
            <w14:solidFill>
              <w14:schemeClr w14:val="tx1"/>
            </w14:solidFill>
          </w14:textFill>
        </w:rPr>
        <w:t>估单元地下空间地面连通口数量</w:t>
      </w:r>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单位个；</w:t>
      </w:r>
    </w:p>
    <w:p>
      <w:pPr>
        <w:spacing w:line="360" w:lineRule="auto"/>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11</w:t>
      </w:r>
      <w:r>
        <w:rPr>
          <w:rFonts w:ascii="Times New Roman" w:hAnsi="Times New Roman" w:eastAsia="宋体" w:cs="Times New Roman"/>
          <w:b/>
          <w:bCs/>
          <w:sz w:val="24"/>
          <w:szCs w:val="24"/>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生命线设施密度：</w:t>
      </w:r>
      <w:r>
        <w:rPr>
          <w:rFonts w:ascii="Times New Roman" w:hAnsi="Times New Roman" w:eastAsia="宋体" w:cs="Times New Roman"/>
          <w:color w:val="000000" w:themeColor="text1"/>
          <w:sz w:val="24"/>
          <w:szCs w:val="24"/>
          <w14:textFill>
            <w14:solidFill>
              <w14:schemeClr w14:val="tx1"/>
            </w14:solidFill>
          </w14:textFill>
        </w:rPr>
        <w:t>是指单位面积内，燃气门站、储配站、调压站、电厂、各级变电站、给水厂及泵站、污水厂及泵站、通信机房、光纤到户通信设施、热源厂和热力站等维持城市基本运行的生命线基础设施数量。各地可根据实际，采用自然断点法、百分位法等进行等级划分。生命线基础设施密度可按下式计算：</w:t>
      </w:r>
    </w:p>
    <w:p>
      <w:pPr>
        <w:pStyle w:val="97"/>
        <w:rPr>
          <w:rStyle w:val="82"/>
          <w:i/>
          <w:shd w:val="clear" w:color="auto" w:fill="FCFCFC"/>
        </w:rPr>
      </w:pPr>
      <w:r>
        <w:rPr>
          <w:rStyle w:val="82"/>
          <w:shd w:val="clear" w:color="auto" w:fill="FCFCFC"/>
        </w:rPr>
        <w:tab/>
      </w:r>
      <m:oMath>
        <m:sSub>
          <m:sSubPr>
            <m:ctrlPr>
              <w:rPr>
                <w:rStyle w:val="82"/>
                <w:rFonts w:ascii="Cambria Math" w:hAnsi="Cambria Math"/>
                <w:i/>
                <w:shd w:val="clear" w:color="auto" w:fill="FCFCFC"/>
              </w:rPr>
            </m:ctrlPr>
          </m:sSubPr>
          <m:e>
            <m:r>
              <m:rPr/>
              <w:rPr>
                <w:rStyle w:val="82"/>
                <w:rFonts w:ascii="Cambria Math" w:hAnsi="Cambria Math"/>
                <w:shd w:val="clear" w:color="auto" w:fill="FCFCFC"/>
              </w:rPr>
              <m:t>ρ</m:t>
            </m:r>
            <m:ctrlPr>
              <w:rPr>
                <w:rStyle w:val="82"/>
                <w:rFonts w:ascii="Cambria Math" w:hAnsi="Cambria Math"/>
                <w:i/>
                <w:shd w:val="clear" w:color="auto" w:fill="FCFCFC"/>
              </w:rPr>
            </m:ctrlPr>
          </m:e>
          <m:sub>
            <m:r>
              <m:rPr/>
              <w:rPr>
                <w:rStyle w:val="82"/>
                <w:rFonts w:ascii="Cambria Math" w:hAnsi="Cambria Math"/>
                <w:shd w:val="clear" w:color="auto" w:fill="FCFCFC"/>
              </w:rPr>
              <m:t>生命线</m:t>
            </m:r>
            <m:ctrlPr>
              <w:rPr>
                <w:rStyle w:val="82"/>
                <w:rFonts w:ascii="Cambria Math" w:hAnsi="Cambria Math"/>
                <w:i/>
                <w:shd w:val="clear" w:color="auto" w:fill="FCFCFC"/>
              </w:rPr>
            </m:ctrlPr>
          </m:sub>
        </m:sSub>
        <m:r>
          <m:rPr/>
          <w:rPr>
            <w:rStyle w:val="83"/>
            <w:rFonts w:ascii="Cambria Math" w:hAnsi="Cambria Math"/>
            <w:shd w:val="clear" w:color="auto" w:fill="FCFCFC"/>
          </w:rPr>
          <m:t>=</m:t>
        </m:r>
        <m:f>
          <m:fPr>
            <m:ctrlPr>
              <w:rPr>
                <w:rStyle w:val="82"/>
                <w:rFonts w:ascii="Cambria Math" w:hAnsi="Cambria Math"/>
                <w:i/>
                <w:shd w:val="clear" w:color="auto" w:fill="FCFCFC"/>
              </w:rPr>
            </m:ctrlPr>
          </m:fPr>
          <m:num>
            <m:sSub>
              <m:sSubPr>
                <m:ctrlPr>
                  <w:rPr>
                    <w:rStyle w:val="82"/>
                    <w:rFonts w:ascii="Cambria Math" w:hAnsi="Cambria Math"/>
                    <w:i/>
                    <w:shd w:val="clear" w:color="auto" w:fill="FCFCFC"/>
                  </w:rPr>
                </m:ctrlPr>
              </m:sSubPr>
              <m:e>
                <m:r>
                  <m:rPr/>
                  <w:rPr>
                    <w:rStyle w:val="82"/>
                    <w:rFonts w:ascii="Cambria Math" w:hAnsi="Cambria Math"/>
                    <w:shd w:val="clear" w:color="auto" w:fill="FCFCFC"/>
                  </w:rPr>
                  <m:t>N</m:t>
                </m:r>
                <m:ctrlPr>
                  <w:rPr>
                    <w:rStyle w:val="82"/>
                    <w:rFonts w:ascii="Cambria Math" w:hAnsi="Cambria Math"/>
                    <w:i/>
                    <w:shd w:val="clear" w:color="auto" w:fill="FCFCFC"/>
                  </w:rPr>
                </m:ctrlPr>
              </m:e>
              <m:sub>
                <m:r>
                  <m:rPr/>
                  <w:rPr>
                    <w:rStyle w:val="82"/>
                    <w:rFonts w:hint="eastAsia" w:ascii="Cambria Math" w:hAnsi="Cambria Math"/>
                    <w:shd w:val="clear" w:color="auto" w:fill="FCFCFC"/>
                  </w:rPr>
                  <m:t>l</m:t>
                </m:r>
                <m:ctrlPr>
                  <w:rPr>
                    <w:rStyle w:val="82"/>
                    <w:rFonts w:ascii="Cambria Math" w:hAnsi="Cambria Math"/>
                    <w:i/>
                    <w:shd w:val="clear" w:color="auto" w:fill="FCFCFC"/>
                  </w:rPr>
                </m:ctrlPr>
              </m:sub>
            </m:sSub>
            <m:ctrlPr>
              <w:rPr>
                <w:rStyle w:val="82"/>
                <w:rFonts w:ascii="Cambria Math" w:hAnsi="Cambria Math"/>
                <w:i/>
                <w:shd w:val="clear" w:color="auto" w:fill="FCFCFC"/>
              </w:rPr>
            </m:ctrlPr>
          </m:num>
          <m:den>
            <m:r>
              <m:rPr/>
              <w:rPr>
                <w:rStyle w:val="82"/>
                <w:rFonts w:ascii="Cambria Math" w:hAnsi="Cambria Math"/>
                <w:shd w:val="clear" w:color="auto" w:fill="FCFCFC"/>
              </w:rPr>
              <m:t>A</m:t>
            </m:r>
            <m:ctrlPr>
              <w:rPr>
                <w:rStyle w:val="82"/>
                <w:rFonts w:ascii="Cambria Math" w:hAnsi="Cambria Math"/>
                <w:i/>
                <w:shd w:val="clear" w:color="auto" w:fill="FCFCFC"/>
              </w:rPr>
            </m:ctrlPr>
          </m:den>
        </m:f>
      </m:oMath>
      <w:r>
        <w:rPr>
          <w:rStyle w:val="82"/>
          <w:shd w:val="clear" w:color="auto" w:fill="FCFCFC"/>
        </w:rPr>
        <w:tab/>
      </w:r>
      <w:r>
        <w:rPr>
          <w:rFonts w:hint="eastAsia" w:ascii="Segoe UI" w:hAnsi="Segoe UI" w:cs="Segoe UI"/>
          <w:kern w:val="0"/>
        </w:rPr>
        <w:t>（</w:t>
      </w:r>
      <w:r>
        <w:rPr>
          <w:iCs/>
        </w:rPr>
        <w:t>9</w:t>
      </w:r>
      <w:r>
        <w:rPr>
          <w:rFonts w:hint="eastAsia" w:ascii="Segoe UI" w:hAnsi="Segoe UI" w:cs="Segoe UI"/>
          <w:kern w:val="0"/>
        </w:rPr>
        <w:t>）</w:t>
      </w:r>
    </w:p>
    <w:p>
      <w:pPr>
        <w:widowControl/>
        <w:shd w:val="clear" w:color="auto" w:fill="FFFFFF"/>
        <w:spacing w:line="360"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sSub>
          <m:sSubP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Times New Roman"/>
                <w:color w:val="000000" w:themeColor="text1"/>
                <w:sz w:val="24"/>
                <w:szCs w:val="24"/>
                <w:shd w:val="clear" w:color="auto" w:fill="FCFCFC"/>
                <w14:textFill>
                  <w14:solidFill>
                    <w14:schemeClr w14:val="tx1"/>
                  </w14:solidFill>
                </w14:textFill>
              </w:rPr>
              <m:t>ρ</m:t>
            </m: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e>
          <m:sub>
            <m:r>
              <m:rPr/>
              <w:rPr>
                <w:rStyle w:val="82"/>
                <w:rFonts w:ascii="Cambria Math" w:hAnsi="Cambria Math" w:eastAsia="宋体" w:cs="Times New Roman"/>
                <w:color w:val="000000" w:themeColor="text1"/>
                <w:sz w:val="24"/>
                <w:szCs w:val="24"/>
                <w:shd w:val="clear" w:color="auto" w:fill="FCFCFC"/>
                <w14:textFill>
                  <w14:solidFill>
                    <w14:schemeClr w14:val="tx1"/>
                  </w14:solidFill>
                </w14:textFill>
              </w:rPr>
              <m:t>生命线</m:t>
            </m: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生命线设施</w:t>
      </w:r>
      <w:r>
        <w:rPr>
          <w:rFonts w:ascii="Times New Roman" w:hAnsi="Times New Roman" w:eastAsia="宋体" w:cs="Times New Roman"/>
          <w:color w:val="000000" w:themeColor="text1"/>
          <w:kern w:val="0"/>
          <w:sz w:val="24"/>
          <w:szCs w:val="24"/>
          <w14:textFill>
            <w14:solidFill>
              <w14:schemeClr w14:val="tx1"/>
            </w14:solidFill>
          </w14:textFill>
        </w:rPr>
        <w:t>密度，单位</w:t>
      </w:r>
      <w:r>
        <w:rPr>
          <w:rFonts w:hint="eastAsia" w:ascii="Times New Roman" w:hAnsi="Times New Roman" w:eastAsia="宋体" w:cs="Times New Roman"/>
          <w:color w:val="000000" w:themeColor="text1"/>
          <w:kern w:val="0"/>
          <w:sz w:val="24"/>
          <w:szCs w:val="24"/>
          <w14:textFill>
            <w14:solidFill>
              <w14:schemeClr w14:val="tx1"/>
            </w14:solidFill>
          </w14:textFill>
        </w:rPr>
        <w:t>个</w:t>
      </w:r>
      <w:r>
        <w:rPr>
          <w:rFonts w:ascii="Times New Roman" w:hAnsi="Times New Roman" w:eastAsia="宋体" w:cs="Times New Roman"/>
          <w:color w:val="000000" w:themeColor="text1"/>
          <w:kern w:val="0"/>
          <w:sz w:val="24"/>
          <w:szCs w:val="24"/>
          <w14:textFill>
            <w14:solidFill>
              <w14:schemeClr w14:val="tx1"/>
            </w14:solidFill>
          </w14:textFill>
        </w:rPr>
        <w:t>/km</w:t>
      </w:r>
      <w:r>
        <w:rPr>
          <w:rFonts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FFFFF"/>
        <w:tabs>
          <w:tab w:val="left" w:pos="1120"/>
        </w:tabs>
        <w:spacing w:line="360"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Style w:val="82"/>
          <w:rFonts w:ascii="Segoe UI" w:hAnsi="Segoe UI" w:eastAsia="宋体" w:cs="Segoe UI"/>
          <w:color w:val="000000" w:themeColor="text1"/>
          <w:sz w:val="24"/>
          <w:szCs w:val="24"/>
          <w:shd w:val="clear" w:color="auto" w:fill="FCFCFC"/>
          <w14:textFill>
            <w14:solidFill>
              <w14:schemeClr w14:val="tx1"/>
            </w14:solidFill>
          </w14:textFill>
        </w:rPr>
        <w:tab/>
      </w:r>
      <m:oMath>
        <m:sSub>
          <m:sSubP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宋体"/>
                <w:color w:val="000000" w:themeColor="text1"/>
                <w:sz w:val="24"/>
                <w:szCs w:val="24"/>
                <w:shd w:val="clear" w:color="auto" w:fill="FCFCFC"/>
                <w14:textFill>
                  <w14:solidFill>
                    <w14:schemeClr w14:val="tx1"/>
                  </w14:solidFill>
                </w14:textFill>
              </w:rPr>
              <m:t>N</m:t>
            </m: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e>
          <m:sub>
            <m:r>
              <m:rPr/>
              <w:rPr>
                <w:rStyle w:val="82"/>
                <w:rFonts w:hint="eastAsia" w:ascii="Cambria Math" w:hAnsi="Cambria Math" w:eastAsia="宋体" w:cs="宋体"/>
                <w:color w:val="000000" w:themeColor="text1"/>
                <w:sz w:val="24"/>
                <w:szCs w:val="24"/>
                <w:shd w:val="clear" w:color="auto" w:fill="FCFCFC"/>
                <w14:textFill>
                  <w14:solidFill>
                    <w14:schemeClr w14:val="tx1"/>
                  </w14:solidFill>
                </w14:textFill>
              </w:rPr>
              <m:t>l</m:t>
            </m: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评估单元内生命线设施数量</w:t>
      </w:r>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单位个</w:t>
      </w:r>
      <w:r>
        <w:rPr>
          <w:rFonts w:hint="eastAsia" w:ascii="inherit" w:hAnsi="inherit" w:eastAsia="宋体" w:cs="Segoe UI"/>
          <w:color w:val="000000" w:themeColor="text1"/>
          <w:kern w:val="0"/>
          <w:sz w:val="24"/>
          <w:szCs w:val="24"/>
          <w14:textFill>
            <w14:solidFill>
              <w14:schemeClr w14:val="tx1"/>
            </w14:solidFill>
          </w14:textFill>
        </w:rPr>
        <w:t>。</w:t>
      </w:r>
    </w:p>
    <w:p>
      <w:pPr>
        <w:widowControl/>
        <w:spacing w:line="360" w:lineRule="auto"/>
        <w:ind w:firstLine="481"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4"/>
        </w:rPr>
        <w:t>12</w:t>
      </w:r>
      <w:r>
        <w:rPr>
          <w:rFonts w:ascii="Times New Roman" w:hAnsi="Times New Roman" w:eastAsia="宋体" w:cs="Times New Roman"/>
          <w:b/>
          <w:bCs/>
          <w:sz w:val="24"/>
          <w:szCs w:val="24"/>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易发链生灾害点位密度</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建成区易发生链生灾害的点位，包括降雨引发的崩塌、滑坡、泥石流、地面塌陷等地质灾害点位和遇水反应化工品的储存、使用等点位，在洪涝灾害发生时，因洪水侵袭可能导致爆炸、燃烧、中毒等，从而对周边环境、人员造成危害的风险状况。各地可根据实际，采用自然断点法、百分位法等进行等级划分，并结合地方易发链生灾害情况，增加点位类型。易发链生灾害点位密度可</w:t>
      </w:r>
      <w:r>
        <w:rPr>
          <w:rFonts w:hint="eastAsia" w:ascii="Segoe UI" w:hAnsi="Segoe UI" w:eastAsia="宋体" w:cs="Segoe UI"/>
          <w:color w:val="000000" w:themeColor="text1"/>
          <w:kern w:val="0"/>
          <w:sz w:val="24"/>
          <w:szCs w:val="24"/>
          <w14:textFill>
            <w14:solidFill>
              <w14:schemeClr w14:val="tx1"/>
            </w14:solidFill>
          </w14:textFill>
        </w:rPr>
        <w:t>按下式计算：</w:t>
      </w:r>
    </w:p>
    <w:p>
      <w:pPr>
        <w:pStyle w:val="97"/>
        <w:rPr>
          <w:rStyle w:val="82"/>
          <w:i/>
          <w:shd w:val="clear" w:color="auto" w:fill="FCFCFC"/>
        </w:rPr>
      </w:pPr>
      <w:r>
        <w:rPr>
          <w:rStyle w:val="82"/>
          <w:shd w:val="clear" w:color="auto" w:fill="FCFCFC"/>
        </w:rPr>
        <w:tab/>
      </w:r>
      <m:oMath>
        <m:sSub>
          <m:sSubPr>
            <m:ctrlPr>
              <w:rPr>
                <w:rStyle w:val="82"/>
                <w:rFonts w:ascii="Cambria Math" w:hAnsi="Cambria Math"/>
                <w:i/>
                <w:shd w:val="clear" w:color="auto" w:fill="FCFCFC"/>
              </w:rPr>
            </m:ctrlPr>
          </m:sSubPr>
          <m:e>
            <m:r>
              <m:rPr/>
              <w:rPr>
                <w:rStyle w:val="82"/>
                <w:rFonts w:ascii="Cambria Math" w:hAnsi="Cambria Math"/>
                <w:shd w:val="clear" w:color="auto" w:fill="FCFCFC"/>
              </w:rPr>
              <m:t>ρ</m:t>
            </m:r>
            <m:ctrlPr>
              <w:rPr>
                <w:rStyle w:val="82"/>
                <w:rFonts w:ascii="Cambria Math" w:hAnsi="Cambria Math"/>
                <w:i/>
                <w:shd w:val="clear" w:color="auto" w:fill="FCFCFC"/>
              </w:rPr>
            </m:ctrlPr>
          </m:e>
          <m:sub>
            <m:r>
              <m:rPr>
                <m:sty m:val="p"/>
              </m:rPr>
              <w:rPr>
                <w:rFonts w:hint="eastAsia" w:ascii="Cambria Math" w:hAnsi="Cambria Math"/>
                <w:kern w:val="0"/>
              </w:rPr>
              <m:t>易发链生灾害点位</m:t>
            </m:r>
            <m:ctrlPr>
              <w:rPr>
                <w:rStyle w:val="82"/>
                <w:rFonts w:ascii="Cambria Math" w:hAnsi="Cambria Math"/>
                <w:i/>
                <w:shd w:val="clear" w:color="auto" w:fill="FCFCFC"/>
              </w:rPr>
            </m:ctrlPr>
          </m:sub>
        </m:sSub>
        <m:r>
          <m:rPr/>
          <w:rPr>
            <w:rStyle w:val="83"/>
            <w:rFonts w:ascii="Cambria Math" w:hAnsi="Cambria Math"/>
            <w:shd w:val="clear" w:color="auto" w:fill="FCFCFC"/>
          </w:rPr>
          <m:t>=</m:t>
        </m:r>
        <m:f>
          <m:fPr>
            <m:ctrlPr>
              <w:rPr>
                <w:rStyle w:val="82"/>
                <w:rFonts w:ascii="Cambria Math" w:hAnsi="Cambria Math"/>
                <w:i/>
                <w:shd w:val="clear" w:color="auto" w:fill="FCFCFC"/>
              </w:rPr>
            </m:ctrlPr>
          </m:fPr>
          <m:num>
            <m:sSub>
              <m:sSubPr>
                <m:ctrlPr>
                  <w:rPr>
                    <w:rStyle w:val="82"/>
                    <w:rFonts w:ascii="Cambria Math" w:hAnsi="Cambria Math"/>
                    <w:i/>
                    <w:shd w:val="clear" w:color="auto" w:fill="FCFCFC"/>
                  </w:rPr>
                </m:ctrlPr>
              </m:sSubPr>
              <m:e>
                <m:r>
                  <m:rPr/>
                  <w:rPr>
                    <w:rStyle w:val="82"/>
                    <w:rFonts w:ascii="Cambria Math" w:hAnsi="Cambria Math"/>
                    <w:shd w:val="clear" w:color="auto" w:fill="FCFCFC"/>
                  </w:rPr>
                  <m:t>N</m:t>
                </m:r>
                <m:ctrlPr>
                  <w:rPr>
                    <w:rStyle w:val="82"/>
                    <w:rFonts w:ascii="Cambria Math" w:hAnsi="Cambria Math"/>
                    <w:i/>
                    <w:shd w:val="clear" w:color="auto" w:fill="FCFCFC"/>
                  </w:rPr>
                </m:ctrlPr>
              </m:e>
              <m:sub>
                <m:r>
                  <m:rPr/>
                  <w:rPr>
                    <w:rStyle w:val="82"/>
                    <w:rFonts w:hint="eastAsia" w:ascii="Cambria Math" w:hAnsi="Cambria Math"/>
                    <w:shd w:val="clear" w:color="auto" w:fill="FCFCFC"/>
                  </w:rPr>
                  <m:t>c</m:t>
                </m:r>
                <m:ctrlPr>
                  <w:rPr>
                    <w:rStyle w:val="82"/>
                    <w:rFonts w:ascii="Cambria Math" w:hAnsi="Cambria Math"/>
                    <w:i/>
                    <w:shd w:val="clear" w:color="auto" w:fill="FCFCFC"/>
                  </w:rPr>
                </m:ctrlPr>
              </m:sub>
            </m:sSub>
            <m:r>
              <m:rPr/>
              <w:rPr>
                <w:rStyle w:val="82"/>
                <w:rFonts w:ascii="Cambria Math" w:hAnsi="Cambria Math"/>
                <w:shd w:val="clear" w:color="auto" w:fill="FCFCFC"/>
              </w:rPr>
              <m:t>+</m:t>
            </m:r>
            <m:sSub>
              <m:sSubPr>
                <m:ctrlPr>
                  <w:rPr>
                    <w:rStyle w:val="82"/>
                    <w:rFonts w:ascii="Cambria Math" w:hAnsi="Cambria Math"/>
                    <w:i/>
                    <w:shd w:val="clear" w:color="auto" w:fill="FCFCFC"/>
                  </w:rPr>
                </m:ctrlPr>
              </m:sSubPr>
              <m:e>
                <m:r>
                  <m:rPr/>
                  <w:rPr>
                    <w:rStyle w:val="82"/>
                    <w:rFonts w:ascii="Cambria Math" w:hAnsi="Cambria Math"/>
                    <w:shd w:val="clear" w:color="auto" w:fill="FCFCFC"/>
                  </w:rPr>
                  <m:t>N</m:t>
                </m:r>
                <m:ctrlPr>
                  <w:rPr>
                    <w:rStyle w:val="82"/>
                    <w:rFonts w:ascii="Cambria Math" w:hAnsi="Cambria Math"/>
                    <w:i/>
                    <w:shd w:val="clear" w:color="auto" w:fill="FCFCFC"/>
                  </w:rPr>
                </m:ctrlPr>
              </m:e>
              <m:sub>
                <m:r>
                  <m:rPr/>
                  <w:rPr>
                    <w:rStyle w:val="82"/>
                    <w:rFonts w:hint="eastAsia" w:ascii="Cambria Math" w:hAnsi="Cambria Math"/>
                    <w:shd w:val="clear" w:color="auto" w:fill="FCFCFC"/>
                  </w:rPr>
                  <m:t>g</m:t>
                </m:r>
                <m:ctrlPr>
                  <w:rPr>
                    <w:rStyle w:val="82"/>
                    <w:rFonts w:ascii="Cambria Math" w:hAnsi="Cambria Math"/>
                    <w:i/>
                    <w:shd w:val="clear" w:color="auto" w:fill="FCFCFC"/>
                  </w:rPr>
                </m:ctrlPr>
              </m:sub>
            </m:sSub>
            <m:ctrlPr>
              <w:rPr>
                <w:rStyle w:val="82"/>
                <w:rFonts w:ascii="Cambria Math" w:hAnsi="Cambria Math"/>
                <w:i/>
                <w:shd w:val="clear" w:color="auto" w:fill="FCFCFC"/>
              </w:rPr>
            </m:ctrlPr>
          </m:num>
          <m:den>
            <m:r>
              <m:rPr/>
              <w:rPr>
                <w:rStyle w:val="82"/>
                <w:rFonts w:ascii="Cambria Math" w:hAnsi="Cambria Math"/>
                <w:shd w:val="clear" w:color="auto" w:fill="FCFCFC"/>
              </w:rPr>
              <m:t>A</m:t>
            </m:r>
            <m:ctrlPr>
              <w:rPr>
                <w:rStyle w:val="82"/>
                <w:rFonts w:ascii="Cambria Math" w:hAnsi="Cambria Math"/>
                <w:i/>
                <w:shd w:val="clear" w:color="auto" w:fill="FCFCFC"/>
              </w:rPr>
            </m:ctrlPr>
          </m:den>
        </m:f>
      </m:oMath>
      <w:r>
        <w:rPr>
          <w:rStyle w:val="82"/>
          <w:shd w:val="clear" w:color="auto" w:fill="FCFCFC"/>
        </w:rPr>
        <w:tab/>
      </w:r>
      <w:r>
        <w:rPr>
          <w:rFonts w:hint="eastAsia" w:ascii="Segoe UI" w:hAnsi="Segoe UI" w:cs="Segoe UI"/>
          <w:kern w:val="0"/>
        </w:rPr>
        <w:t>（</w:t>
      </w:r>
      <w:r>
        <w:rPr>
          <w:iCs/>
        </w:rPr>
        <w:t>10</w:t>
      </w:r>
      <w:r>
        <w:rPr>
          <w:rFonts w:hint="eastAsia" w:ascii="Segoe UI" w:hAnsi="Segoe UI" w:cs="Segoe UI"/>
          <w:kern w:val="0"/>
        </w:rPr>
        <w:t>）</w:t>
      </w:r>
    </w:p>
    <w:p>
      <w:pPr>
        <w:widowControl/>
        <w:shd w:val="clear" w:color="auto" w:fill="FFFFFF"/>
        <w:spacing w:line="276" w:lineRule="auto"/>
        <w:textAlignment w:val="baseline"/>
        <w:rPr>
          <w:rFonts w:ascii="Segoe UI" w:hAnsi="Segoe UI" w:eastAsia="宋体" w:cs="Segoe UI"/>
          <w:color w:val="000000" w:themeColor="text1"/>
          <w:kern w:val="0"/>
          <w:sz w:val="24"/>
          <w:szCs w:val="24"/>
          <w14:textFill>
            <w14:solidFill>
              <w14:schemeClr w14:val="tx1"/>
            </w14:solidFill>
          </w14:textFill>
        </w:rPr>
      </w:pPr>
      <w:r>
        <w:rPr>
          <w:rFonts w:hint="eastAsia" w:ascii="Segoe UI" w:hAnsi="Segoe UI" w:eastAsia="宋体" w:cs="Segoe UI"/>
          <w:color w:val="000000" w:themeColor="text1"/>
          <w:kern w:val="0"/>
          <w:sz w:val="24"/>
          <w:szCs w:val="24"/>
          <w14:textFill>
            <w14:solidFill>
              <w14:schemeClr w14:val="tx1"/>
            </w14:solidFill>
          </w14:textFill>
        </w:rPr>
        <w:t>式</w:t>
      </w:r>
      <w:r>
        <w:rPr>
          <w:rFonts w:ascii="Segoe UI" w:hAnsi="Segoe UI" w:eastAsia="宋体" w:cs="Segoe UI"/>
          <w:color w:val="000000" w:themeColor="text1"/>
          <w:kern w:val="0"/>
          <w:sz w:val="24"/>
          <w:szCs w:val="24"/>
          <w14:textFill>
            <w14:solidFill>
              <w14:schemeClr w14:val="tx1"/>
            </w14:solidFill>
          </w14:textFill>
        </w:rPr>
        <w:t>中：</w:t>
      </w:r>
      <m:oMath>
        <m:sSub>
          <m:sSubP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Times New Roman"/>
                <w:color w:val="000000" w:themeColor="text1"/>
                <w:sz w:val="24"/>
                <w:szCs w:val="24"/>
                <w:shd w:val="clear" w:color="auto" w:fill="FCFCFC"/>
                <w14:textFill>
                  <w14:solidFill>
                    <w14:schemeClr w14:val="tx1"/>
                  </w14:solidFill>
                </w14:textFill>
              </w:rPr>
              <m:t>ρ</m:t>
            </m: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e>
          <m:sub>
            <m:r>
              <m:rPr/>
              <w:rPr>
                <w:rFonts w:hint="eastAsia" w:ascii="Cambria Math" w:hAnsi="Cambria Math" w:eastAsia="宋体" w:cs="Times New Roman"/>
                <w:color w:val="000000" w:themeColor="text1"/>
                <w:kern w:val="0"/>
                <w:sz w:val="24"/>
                <w:szCs w:val="24"/>
                <w14:textFill>
                  <w14:solidFill>
                    <w14:schemeClr w14:val="tx1"/>
                  </w14:solidFill>
                </w14:textFill>
              </w:rPr>
              <m:t>易发链生灾害点位</m:t>
            </m:r>
            <m:ctrlPr>
              <w:rPr>
                <w:rStyle w:val="82"/>
                <w:rFonts w:ascii="Cambria Math" w:hAnsi="Cambria Math" w:eastAsia="宋体" w:cs="Times New Roman"/>
                <w:i/>
                <w:iCs/>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易发链生灾害点位密度，单位</w:t>
      </w:r>
      <w:r>
        <w:rPr>
          <w:rFonts w:hint="eastAsia" w:ascii="Times New Roman" w:hAnsi="Times New Roman" w:eastAsia="宋体" w:cs="Times New Roman"/>
          <w:color w:val="000000" w:themeColor="text1"/>
          <w:kern w:val="0"/>
          <w:sz w:val="24"/>
          <w:szCs w:val="24"/>
          <w14:textFill>
            <w14:solidFill>
              <w14:schemeClr w14:val="tx1"/>
            </w14:solidFill>
          </w14:textFill>
        </w:rPr>
        <w:t>个</w:t>
      </w:r>
      <w:r>
        <w:rPr>
          <w:rFonts w:ascii="Times New Roman" w:hAnsi="Times New Roman" w:eastAsia="宋体" w:cs="Times New Roman"/>
          <w:color w:val="000000" w:themeColor="text1"/>
          <w:kern w:val="0"/>
          <w:sz w:val="24"/>
          <w:szCs w:val="24"/>
          <w14:textFill>
            <w14:solidFill>
              <w14:schemeClr w14:val="tx1"/>
            </w14:solidFill>
          </w14:textFill>
        </w:rPr>
        <w:t>/km</w:t>
      </w:r>
      <w:r>
        <w:rPr>
          <w:rFonts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w:t>
      </w:r>
    </w:p>
    <w:p>
      <w:pPr>
        <w:widowControl/>
        <w:shd w:val="clear" w:color="auto" w:fill="FFFFFF"/>
        <w:tabs>
          <w:tab w:val="left" w:pos="1960"/>
        </w:tabs>
        <w:spacing w:line="276"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Style w:val="82"/>
          <w:rFonts w:ascii="Segoe UI" w:hAnsi="Segoe UI" w:eastAsia="宋体" w:cs="Segoe UI"/>
          <w:color w:val="000000" w:themeColor="text1"/>
          <w:sz w:val="24"/>
          <w:szCs w:val="24"/>
          <w:shd w:val="clear" w:color="auto" w:fill="FCFCFC"/>
          <w14:textFill>
            <w14:solidFill>
              <w14:schemeClr w14:val="tx1"/>
            </w14:solidFill>
          </w14:textFill>
        </w:rPr>
        <w:tab/>
      </w:r>
      <m:oMath>
        <m:sSub>
          <m:sSubP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宋体"/>
                <w:color w:val="000000" w:themeColor="text1"/>
                <w:sz w:val="24"/>
                <w:szCs w:val="24"/>
                <w:shd w:val="clear" w:color="auto" w:fill="FCFCFC"/>
                <w14:textFill>
                  <w14:solidFill>
                    <w14:schemeClr w14:val="tx1"/>
                  </w14:solidFill>
                </w14:textFill>
              </w:rPr>
              <m:t>N</m:t>
            </m: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e>
          <m:sub>
            <m:r>
              <m:rPr/>
              <w:rPr>
                <w:rStyle w:val="82"/>
                <w:rFonts w:hint="eastAsia" w:ascii="Cambria Math" w:hAnsi="Cambria Math" w:eastAsia="宋体" w:cs="宋体"/>
                <w:color w:val="000000" w:themeColor="text1"/>
                <w:sz w:val="24"/>
                <w:szCs w:val="24"/>
                <w:shd w:val="clear" w:color="auto" w:fill="FCFCFC"/>
                <w14:textFill>
                  <w14:solidFill>
                    <w14:schemeClr w14:val="tx1"/>
                  </w14:solidFill>
                </w14:textFill>
              </w:rPr>
              <m:t>c</m:t>
            </m:r>
            <m:ctrlPr>
              <w:rPr>
                <w:rStyle w:val="82"/>
                <w:rFonts w:ascii="Cambria Math" w:hAnsi="Cambria Math" w:eastAsia="宋体" w:cs="宋体"/>
                <w:i/>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评估单元内遇水反应化工品点位数量</w:t>
      </w:r>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单位个；</w:t>
      </w:r>
    </w:p>
    <w:p>
      <w:pPr>
        <w:widowControl/>
        <w:shd w:val="clear" w:color="auto" w:fill="FFFFFF"/>
        <w:tabs>
          <w:tab w:val="left" w:pos="1932"/>
        </w:tabs>
        <w:spacing w:line="276" w:lineRule="auto"/>
        <w:textAlignment w:val="baseline"/>
        <w:rPr>
          <w:rFonts w:hint="eastAsia" w:ascii="inherit" w:hAnsi="inherit" w:eastAsia="宋体" w:cs="Segoe UI"/>
          <w:color w:val="000000" w:themeColor="text1"/>
          <w:kern w:val="0"/>
          <w:sz w:val="24"/>
          <w:szCs w:val="24"/>
          <w14:textFill>
            <w14:solidFill>
              <w14:schemeClr w14:val="tx1"/>
            </w14:solidFill>
          </w14:textFill>
        </w:rPr>
      </w:pPr>
      <w:r>
        <w:rPr>
          <w:rStyle w:val="82"/>
          <w:rFonts w:ascii="Times New Roman" w:hAnsi="Times New Roman" w:eastAsia="宋体" w:cs="Times New Roman"/>
          <w:color w:val="000000" w:themeColor="text1"/>
          <w:sz w:val="24"/>
          <w:szCs w:val="24"/>
          <w:shd w:val="clear" w:color="auto" w:fill="FCFCFC"/>
          <w14:textFill>
            <w14:solidFill>
              <w14:schemeClr w14:val="tx1"/>
            </w14:solidFill>
          </w14:textFill>
        </w:rPr>
        <w:tab/>
      </w:r>
      <m:oMath>
        <m:sSub>
          <m:sSubPr>
            <m:ctrlPr>
              <w:rPr>
                <w:rStyle w:val="82"/>
                <w:rFonts w:ascii="Cambria Math" w:hAnsi="Cambria Math" w:eastAsia="宋体" w:cs="Times New Roman"/>
                <w:i/>
                <w:color w:val="000000" w:themeColor="text1"/>
                <w:sz w:val="24"/>
                <w:szCs w:val="24"/>
                <w:shd w:val="clear" w:color="auto" w:fill="FCFCFC"/>
                <w14:textFill>
                  <w14:solidFill>
                    <w14:schemeClr w14:val="tx1"/>
                  </w14:solidFill>
                </w14:textFill>
              </w:rPr>
            </m:ctrlPr>
          </m:sSubPr>
          <m:e>
            <m:r>
              <m:rPr/>
              <w:rPr>
                <w:rStyle w:val="82"/>
                <w:rFonts w:ascii="Cambria Math" w:hAnsi="Cambria Math" w:eastAsia="宋体" w:cs="Times New Roman"/>
                <w:color w:val="000000" w:themeColor="text1"/>
                <w:sz w:val="24"/>
                <w:szCs w:val="24"/>
                <w:shd w:val="clear" w:color="auto" w:fill="FCFCFC"/>
                <w14:textFill>
                  <w14:solidFill>
                    <w14:schemeClr w14:val="tx1"/>
                  </w14:solidFill>
                </w14:textFill>
              </w:rPr>
              <m:t>N</m:t>
            </m:r>
            <m:ctrlPr>
              <w:rPr>
                <w:rStyle w:val="82"/>
                <w:rFonts w:ascii="Cambria Math" w:hAnsi="Cambria Math" w:eastAsia="宋体" w:cs="Times New Roman"/>
                <w:i/>
                <w:color w:val="000000" w:themeColor="text1"/>
                <w:sz w:val="24"/>
                <w:szCs w:val="24"/>
                <w:shd w:val="clear" w:color="auto" w:fill="FCFCFC"/>
                <w14:textFill>
                  <w14:solidFill>
                    <w14:schemeClr w14:val="tx1"/>
                  </w14:solidFill>
                </w14:textFill>
              </w:rPr>
            </m:ctrlPr>
          </m:e>
          <m:sub>
            <m:r>
              <m:rPr/>
              <w:rPr>
                <w:rStyle w:val="82"/>
                <w:rFonts w:hint="eastAsia" w:ascii="Cambria Math" w:hAnsi="Cambria Math" w:eastAsia="宋体" w:cs="Times New Roman"/>
                <w:color w:val="000000" w:themeColor="text1"/>
                <w:sz w:val="24"/>
                <w:szCs w:val="24"/>
                <w:shd w:val="clear" w:color="auto" w:fill="FCFCFC"/>
                <w14:textFill>
                  <w14:solidFill>
                    <w14:schemeClr w14:val="tx1"/>
                  </w14:solidFill>
                </w14:textFill>
              </w:rPr>
              <m:t>g</m:t>
            </m:r>
            <m:ctrlPr>
              <w:rPr>
                <w:rStyle w:val="82"/>
                <w:rFonts w:ascii="Cambria Math" w:hAnsi="Cambria Math" w:eastAsia="宋体" w:cs="Times New Roman"/>
                <w:i/>
                <w:color w:val="000000" w:themeColor="text1"/>
                <w:sz w:val="24"/>
                <w:szCs w:val="24"/>
                <w:shd w:val="clear" w:color="auto" w:fill="FCFCFC"/>
                <w14:textFill>
                  <w14:solidFill>
                    <w14:schemeClr w14:val="tx1"/>
                  </w14:solidFill>
                </w14:textFill>
              </w:rPr>
            </m:ctrlPr>
          </m:sub>
        </m:sSub>
      </m:oMath>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评估单元内地质灾害点位数量</w:t>
      </w:r>
      <w:r>
        <w:rPr>
          <w:rFonts w:hint="eastAsia" w:ascii="inherit" w:hAnsi="inherit" w:eastAsia="宋体" w:cs="Segoe UI"/>
          <w:color w:val="000000" w:themeColor="text1"/>
          <w:kern w:val="0"/>
          <w:sz w:val="24"/>
          <w:szCs w:val="24"/>
          <w14:textFill>
            <w14:solidFill>
              <w14:schemeClr w14:val="tx1"/>
            </w14:solidFill>
          </w14:textFill>
        </w:rPr>
        <w:t>，</w:t>
      </w:r>
      <w:r>
        <w:rPr>
          <w:rFonts w:ascii="inherit" w:hAnsi="inherit" w:eastAsia="宋体" w:cs="Segoe UI"/>
          <w:color w:val="000000" w:themeColor="text1"/>
          <w:kern w:val="0"/>
          <w:sz w:val="24"/>
          <w:szCs w:val="24"/>
          <w14:textFill>
            <w14:solidFill>
              <w14:schemeClr w14:val="tx1"/>
            </w14:solidFill>
          </w14:textFill>
        </w:rPr>
        <w:t>单位个；</w:t>
      </w:r>
    </w:p>
    <w:p>
      <w:pPr>
        <w:pStyle w:val="3"/>
        <w:numPr>
          <w:ilvl w:val="0"/>
          <w:numId w:val="0"/>
        </w:numPr>
      </w:pPr>
      <w:bookmarkStart w:id="434" w:name="_Toc201743705"/>
      <w:bookmarkStart w:id="435" w:name="_Toc201743654"/>
      <w:bookmarkStart w:id="436" w:name="_Toc201224002"/>
      <w:bookmarkStart w:id="437" w:name="_Toc2962"/>
      <w:bookmarkStart w:id="438" w:name="_Toc201743756"/>
      <w:bookmarkStart w:id="439" w:name="_Toc201745780"/>
      <w:r>
        <w:rPr>
          <w:rFonts w:hint="eastAsia"/>
        </w:rPr>
        <w:t>4.3</w:t>
      </w:r>
      <w:r>
        <w:t xml:space="preserve">  </w:t>
      </w:r>
      <w:r>
        <w:rPr>
          <w:rFonts w:hint="eastAsia"/>
        </w:rPr>
        <w:t>城市洪涝脆弱性风险评估与区划</w:t>
      </w:r>
      <w:bookmarkEnd w:id="434"/>
      <w:bookmarkEnd w:id="435"/>
      <w:bookmarkEnd w:id="436"/>
      <w:bookmarkEnd w:id="437"/>
      <w:bookmarkEnd w:id="438"/>
      <w:bookmarkEnd w:id="439"/>
    </w:p>
    <w:p>
      <w:pPr>
        <w:widowControl/>
        <w:shd w:val="clear" w:color="auto" w:fill="FCFCFC"/>
        <w:adjustRightInd w:val="0"/>
        <w:snapToGrid w:val="0"/>
        <w:spacing w:line="360" w:lineRule="auto"/>
        <w:jc w:val="left"/>
        <w:textAlignment w:val="baseline"/>
        <w:rPr>
          <w:rFonts w:ascii="Times New Roman" w:hAnsi="Times New Roman" w:eastAsia="宋体" w:cs="Times New Roman"/>
          <w:sz w:val="24"/>
          <w:szCs w:val="24"/>
        </w:rPr>
      </w:pPr>
      <w:r>
        <w:rPr>
          <w:rFonts w:hint="eastAsia" w:ascii="Times New Roman" w:hAnsi="Times New Roman" w:eastAsia="宋体" w:cs="Times New Roman"/>
          <w:b/>
          <w:bCs/>
          <w:sz w:val="24"/>
          <w:szCs w:val="24"/>
        </w:rPr>
        <w:t>4.3.1~4.3.2</w:t>
      </w:r>
      <w:r>
        <w:rPr>
          <w:rFonts w:hint="eastAsia" w:ascii="Times New Roman" w:hAnsi="Times New Roman" w:eastAsia="宋体" w:cs="Times New Roman"/>
          <w:sz w:val="24"/>
          <w:szCs w:val="24"/>
        </w:rPr>
        <w:t xml:space="preserve"> 建立</w:t>
      </w:r>
      <w:r>
        <w:rPr>
          <w:rFonts w:ascii="Times New Roman" w:hAnsi="Times New Roman" w:eastAsia="宋体" w:cs="Times New Roman"/>
          <w:sz w:val="24"/>
          <w:szCs w:val="24"/>
        </w:rPr>
        <w:t>城市洪涝脆弱性</w:t>
      </w:r>
      <w:r>
        <w:rPr>
          <w:rFonts w:hint="eastAsia" w:ascii="Times New Roman" w:hAnsi="Times New Roman" w:eastAsia="宋体" w:cs="Times New Roman"/>
          <w:sz w:val="24"/>
          <w:szCs w:val="24"/>
        </w:rPr>
        <w:t>（</w:t>
      </w:r>
      <m:oMath>
        <m:sSub>
          <m:sSubPr>
            <m:ctrlPr>
              <w:rPr>
                <w:rFonts w:ascii="Cambria Math" w:hAnsi="Cambria Math" w:eastAsia="PingFang SC" w:cs="Times New Roman"/>
                <w:i/>
                <w:iCs/>
                <w:kern w:val="0"/>
                <w:sz w:val="24"/>
                <w:szCs w:val="24"/>
                <w:shd w:val="clear" w:color="auto" w:fill="FCFCFC"/>
              </w:rPr>
            </m:ctrlPr>
          </m:sSubPr>
          <m:e>
            <m:r>
              <m:rPr/>
              <w:rPr>
                <w:rFonts w:ascii="Cambria Math" w:hAnsi="Cambria Math" w:eastAsia="PingFang SC" w:cs="Times New Roman"/>
                <w:kern w:val="0"/>
                <w:sz w:val="24"/>
                <w:szCs w:val="24"/>
                <w:shd w:val="clear" w:color="auto" w:fill="FCFCFC"/>
              </w:rPr>
              <m:t>S</m:t>
            </m:r>
            <m:ctrlPr>
              <w:rPr>
                <w:rFonts w:ascii="Cambria Math" w:hAnsi="Cambria Math" w:eastAsia="PingFang SC" w:cs="Times New Roman"/>
                <w:i/>
                <w:iCs/>
                <w:kern w:val="0"/>
                <w:sz w:val="24"/>
                <w:szCs w:val="24"/>
                <w:shd w:val="clear" w:color="auto" w:fill="FCFCFC"/>
              </w:rPr>
            </m:ctrlPr>
          </m:e>
          <m:sub>
            <m:r>
              <m:rPr/>
              <w:rPr>
                <w:rFonts w:hint="eastAsia" w:ascii="Cambria Math" w:hAnsi="Cambria Math" w:eastAsia="PingFang SC" w:cs="Times New Roman"/>
                <w:kern w:val="0"/>
                <w:sz w:val="24"/>
                <w:szCs w:val="24"/>
                <w:shd w:val="clear" w:color="auto" w:fill="FCFCFC"/>
              </w:rPr>
              <m:t>City</m:t>
            </m:r>
            <m:ctrlPr>
              <w:rPr>
                <w:rFonts w:ascii="Cambria Math" w:hAnsi="Cambria Math" w:eastAsia="PingFang SC" w:cs="Times New Roman"/>
                <w:i/>
                <w:iCs/>
                <w:kern w:val="0"/>
                <w:sz w:val="24"/>
                <w:szCs w:val="24"/>
                <w:shd w:val="clear" w:color="auto" w:fill="FCFCFC"/>
              </w:rPr>
            </m:ctrlPr>
          </m:sub>
        </m:sSub>
      </m:oMath>
      <w:r>
        <w:rPr>
          <w:rFonts w:hint="eastAsia" w:ascii="Times New Roman" w:hAnsi="Times New Roman" w:eastAsia="宋体" w:cs="Times New Roman"/>
          <w:sz w:val="24"/>
          <w:szCs w:val="24"/>
        </w:rPr>
        <w:t>）风险评估指数模型，分别确定</w:t>
      </w:r>
      <w:r>
        <w:rPr>
          <w:rFonts w:hint="eastAsia" w:ascii="宋体" w:hAnsi="宋体" w:eastAsia="宋体" w:cs="宋体"/>
          <w:kern w:val="0"/>
          <w:sz w:val="24"/>
          <w:szCs w:val="24"/>
        </w:rPr>
        <w:t>孕灾环境敏感性和承灾体脆弱性</w:t>
      </w:r>
      <w:r>
        <w:rPr>
          <w:rFonts w:hint="eastAsia" w:ascii="Times New Roman" w:hAnsi="Times New Roman" w:eastAsia="宋体" w:cs="Times New Roman"/>
          <w:sz w:val="24"/>
          <w:szCs w:val="24"/>
        </w:rPr>
        <w:t>每个评估指标的等级及权重，权重可以通过层次分析法，专家打分进行确定。评估城市洪涝脆弱性风险等级，以各城市管理单元为评价单元，可通过GIS软件的空间分析功能，将各城市管理单元的所有评价指标等级和权重转化为栅格数据，并进行栅格计算，采用自然间断点分级法，划分四个等级，得出各城市管理单元对应的城市洪涝脆弱性风险等级。</w:t>
      </w:r>
    </w:p>
    <w:p>
      <w:pPr>
        <w:widowControl/>
        <w:shd w:val="clear" w:color="auto" w:fill="FCFCFC"/>
        <w:adjustRightInd w:val="0"/>
        <w:snapToGrid w:val="0"/>
        <w:spacing w:line="360" w:lineRule="auto"/>
        <w:jc w:val="left"/>
        <w:textAlignment w:val="baseline"/>
        <w:rPr>
          <w:rFonts w:ascii="Times New Roman" w:hAnsi="Times New Roman" w:eastAsia="宋体" w:cs="Times New Roman"/>
          <w:sz w:val="24"/>
          <w:szCs w:val="24"/>
        </w:rPr>
      </w:pPr>
    </w:p>
    <w:p>
      <w:pPr>
        <w:pStyle w:val="3"/>
        <w:numPr>
          <w:ilvl w:val="0"/>
          <w:numId w:val="0"/>
        </w:numPr>
      </w:pPr>
      <w:bookmarkStart w:id="440" w:name="_Toc201224003"/>
      <w:bookmarkStart w:id="441" w:name="_Toc201743655"/>
      <w:bookmarkStart w:id="442" w:name="_Toc201743706"/>
      <w:bookmarkStart w:id="443" w:name="_Toc201743757"/>
      <w:bookmarkStart w:id="444" w:name="_Toc201745781"/>
      <w:bookmarkStart w:id="445" w:name="_Toc8123"/>
      <w:r>
        <w:rPr>
          <w:rFonts w:hint="eastAsia"/>
        </w:rPr>
        <w:t>4.4</w:t>
      </w:r>
      <w:r>
        <w:t xml:space="preserve">  </w:t>
      </w:r>
      <w:r>
        <w:rPr>
          <w:rFonts w:hint="eastAsia"/>
        </w:rPr>
        <w:t>洪涝灾害链综合风险评估与区划</w:t>
      </w:r>
      <w:bookmarkEnd w:id="440"/>
      <w:bookmarkEnd w:id="441"/>
      <w:bookmarkEnd w:id="442"/>
      <w:bookmarkEnd w:id="443"/>
      <w:bookmarkEnd w:id="444"/>
      <w:bookmarkEnd w:id="445"/>
    </w:p>
    <w:p>
      <w:pPr>
        <w:widowControl/>
        <w:shd w:val="clear" w:color="auto" w:fill="FCFCFC"/>
        <w:adjustRightInd w:val="0"/>
        <w:snapToGrid w:val="0"/>
        <w:spacing w:line="360" w:lineRule="auto"/>
        <w:textAlignment w:val="baseline"/>
        <w:rPr>
          <w:rFonts w:ascii="Times New Roman" w:hAnsi="Times New Roman" w:eastAsia="宋体" w:cs="Times New Roman"/>
          <w:sz w:val="24"/>
          <w:szCs w:val="24"/>
        </w:rPr>
      </w:pPr>
      <w:r>
        <w:rPr>
          <w:rFonts w:hint="eastAsia" w:ascii="Times New Roman" w:hAnsi="Times New Roman" w:eastAsia="宋体" w:cs="Times New Roman"/>
          <w:b/>
          <w:bCs/>
          <w:sz w:val="24"/>
          <w:szCs w:val="24"/>
        </w:rPr>
        <w:t>4.4.1~4.4.2</w:t>
      </w:r>
      <w:r>
        <w:rPr>
          <w:rFonts w:hint="eastAsia" w:ascii="Times New Roman" w:hAnsi="Times New Roman" w:eastAsia="宋体" w:cs="Times New Roman"/>
          <w:sz w:val="24"/>
          <w:szCs w:val="24"/>
        </w:rPr>
        <w:t xml:space="preserve"> 建立洪涝灾害链综合风险评估指数模型，分别确定致灾因子危险性、孕灾环境敏感性和承灾体脆弱性每个评估指标的等级及权重，权重可以通过层次分析法，专家打分进行确定。评估城市洪涝灾害链综合风险等级，以各城市管理单元为评价单元，可通过GIS软件的空间分析功能，将各城市管理单元的所有评价指标等级和权重转化为栅格数据，并进行栅格计算，采用自然间断点分级法，划分四个等级，得出各城市管理单元对应的城市洪涝灾害链综合风险等级。</w:t>
      </w:r>
    </w:p>
    <w:p>
      <w:pPr>
        <w:pStyle w:val="3"/>
        <w:numPr>
          <w:ilvl w:val="0"/>
          <w:numId w:val="0"/>
        </w:numPr>
      </w:pPr>
      <w:bookmarkStart w:id="446" w:name="_Toc201224004"/>
      <w:bookmarkStart w:id="447" w:name="_Toc201743656"/>
      <w:bookmarkStart w:id="448" w:name="_Toc11701"/>
      <w:bookmarkStart w:id="449" w:name="_Toc201743707"/>
      <w:bookmarkStart w:id="450" w:name="_Toc201743758"/>
      <w:bookmarkStart w:id="451" w:name="_Toc201745782"/>
      <w:r>
        <w:rPr>
          <w:rFonts w:hint="eastAsia"/>
        </w:rPr>
        <w:t>4.5</w:t>
      </w:r>
      <w:r>
        <w:t xml:space="preserve">  </w:t>
      </w:r>
      <w:r>
        <w:rPr>
          <w:rFonts w:hint="eastAsia"/>
        </w:rPr>
        <w:t>承灾体受淹风险评估</w:t>
      </w:r>
      <w:bookmarkEnd w:id="446"/>
      <w:bookmarkEnd w:id="447"/>
      <w:bookmarkEnd w:id="448"/>
      <w:bookmarkEnd w:id="449"/>
      <w:bookmarkEnd w:id="450"/>
      <w:bookmarkEnd w:id="451"/>
    </w:p>
    <w:p>
      <w:pPr>
        <w:pStyle w:val="41"/>
        <w:adjustRightInd w:val="0"/>
        <w:snapToGrid w:val="0"/>
        <w:spacing w:line="360" w:lineRule="auto"/>
        <w:ind w:firstLine="0" w:firstLineChars="0"/>
        <w:rPr>
          <w:rFonts w:ascii="Times New Roman" w:hAnsi="Times New Roman" w:eastAsia="宋体" w:cs="Times New Roman"/>
          <w:sz w:val="24"/>
          <w:szCs w:val="24"/>
        </w:rPr>
      </w:pPr>
      <w:r>
        <w:rPr>
          <w:rFonts w:ascii="Times New Roman" w:hAnsi="Times New Roman" w:eastAsia="宋体" w:cs="Times New Roman"/>
          <w:b/>
          <w:bCs/>
          <w:kern w:val="0"/>
          <w:sz w:val="24"/>
          <w:szCs w:val="24"/>
        </w:rPr>
        <w:t>4.5.1</w:t>
      </w:r>
      <w:r>
        <w:rPr>
          <w:rFonts w:ascii="Times New Roman" w:hAnsi="Times New Roman" w:eastAsia="宋体" w:cs="Times New Roman"/>
          <w:kern w:val="0"/>
          <w:sz w:val="24"/>
          <w:szCs w:val="24"/>
        </w:rPr>
        <w:t xml:space="preserve">   </w:t>
      </w:r>
      <w:r>
        <w:rPr>
          <w:rFonts w:hint="eastAsia" w:ascii="宋体" w:hAnsi="宋体" w:eastAsia="宋体" w:cs="宋体"/>
          <w:kern w:val="0"/>
          <w:sz w:val="24"/>
          <w:szCs w:val="24"/>
        </w:rPr>
        <w:t>承灾体受淹风险评估主要围绕生命线基础设施和遇水反应化工品点位开展模拟评估。</w:t>
      </w:r>
    </w:p>
    <w:p>
      <w:pPr>
        <w:pStyle w:val="41"/>
        <w:adjustRightInd w:val="0"/>
        <w:snapToGrid w:val="0"/>
        <w:spacing w:line="360" w:lineRule="auto"/>
        <w:ind w:firstLine="361" w:firstLineChars="150"/>
        <w:rPr>
          <w:rFonts w:ascii="Times New Roman" w:hAnsi="Times New Roman" w:eastAsia="宋体" w:cs="Times New Roman"/>
          <w:sz w:val="24"/>
          <w:szCs w:val="24"/>
        </w:rPr>
      </w:pPr>
      <w:r>
        <w:rPr>
          <w:rFonts w:ascii="Times New Roman" w:hAnsi="Times New Roman" w:eastAsia="宋体" w:cs="Times New Roman"/>
          <w:b/>
          <w:bCs/>
          <w:kern w:val="0"/>
          <w:sz w:val="24"/>
          <w:szCs w:val="24"/>
        </w:rPr>
        <w:t>1</w:t>
      </w:r>
      <w:r>
        <w:rPr>
          <w:rFonts w:ascii="Times New Roman" w:hAnsi="Times New Roman" w:eastAsia="宋体" w:cs="Times New Roman"/>
          <w:kern w:val="0"/>
          <w:sz w:val="24"/>
          <w:szCs w:val="24"/>
        </w:rPr>
        <w:t xml:space="preserve">   </w:t>
      </w:r>
      <w:r>
        <w:rPr>
          <w:rFonts w:hint="eastAsia" w:ascii="宋体" w:hAnsi="宋体" w:eastAsia="宋体" w:cs="宋体"/>
          <w:kern w:val="0"/>
          <w:sz w:val="24"/>
          <w:szCs w:val="24"/>
        </w:rPr>
        <w:t>生命线基础设施包括交通基础设施、供排水系统、电力系统、燃气系统、通信系统、</w:t>
      </w:r>
      <w:r>
        <w:rPr>
          <w:rFonts w:hint="eastAsia" w:ascii="Times New Roman" w:hAnsi="Times New Roman" w:eastAsia="宋体" w:cs="Times New Roman"/>
          <w:sz w:val="24"/>
          <w:szCs w:val="24"/>
        </w:rPr>
        <w:t>医疗机构、消防系统、体育馆学校等应急避难场所、食品供应链等，为了提升该标准的可操作性，标准重点选取了供排水系统、电力系统、燃气系统和通信系统进行评估，各地可因地制宜增加评估对象。</w:t>
      </w:r>
    </w:p>
    <w:p>
      <w:pPr>
        <w:pStyle w:val="41"/>
        <w:adjustRightInd w:val="0"/>
        <w:snapToGrid w:val="0"/>
        <w:spacing w:line="360" w:lineRule="auto"/>
        <w:ind w:firstLine="361" w:firstLineChars="150"/>
        <w:rPr>
          <w:rFonts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遇水反应化工品参考《湖北省应急管理厅办公室关于遇水反应化学品的安全提示》，结合危险化学品目录（2015）及实施指南等相关文件，规定承灾体受淹风险评估对象应包括遇水反应有爆炸危险的物质、遇水反应有燃烧危险的物质、遇水反应有中毒危险的物质和遇水反应产生氯化氢的物质，共计118种化工品。</w:t>
      </w:r>
    </w:p>
    <w:p>
      <w:pPr>
        <w:pStyle w:val="41"/>
        <w:adjustRightInd w:val="0"/>
        <w:snapToGrid w:val="0"/>
        <w:spacing w:line="360" w:lineRule="auto"/>
        <w:ind w:firstLine="361" w:firstLineChars="150"/>
        <w:rPr>
          <w:rFonts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承灾体受淹风险评估可结合洪涝积水风险评估模型范围，开展更为精细的评估工作，并应符合下列规定：</w:t>
      </w:r>
    </w:p>
    <w:p>
      <w:pPr>
        <w:pStyle w:val="41"/>
        <w:adjustRightInd w:val="0"/>
        <w:snapToGrid w:val="0"/>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基于城市层级的洪涝积水风险评估模型，生命线工程基础设施应包括燃气门站、储配站、调压站、电厂、各级变电站、给水厂及泵站、污水厂及泵站、通信机房、光纤到户通信设施、热源厂和热力站</w:t>
      </w:r>
      <w:r>
        <w:rPr>
          <w:rFonts w:ascii="Times New Roman" w:hAnsi="Times New Roman" w:eastAsia="宋体" w:cs="Times New Roman"/>
          <w:sz w:val="24"/>
          <w:szCs w:val="24"/>
        </w:rPr>
        <w:t>等</w:t>
      </w:r>
      <w:r>
        <w:rPr>
          <w:rFonts w:hint="eastAsia" w:ascii="Times New Roman" w:hAnsi="Times New Roman" w:eastAsia="宋体" w:cs="Times New Roman"/>
          <w:sz w:val="24"/>
          <w:szCs w:val="24"/>
        </w:rPr>
        <w:t>。</w:t>
      </w:r>
    </w:p>
    <w:p>
      <w:pPr>
        <w:pStyle w:val="41"/>
        <w:adjustRightInd w:val="0"/>
        <w:snapToGrid w:val="0"/>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基于排水分区和社区层级的洪涝积水风险评估模型，因模型更为精细，各地可结合模型范围，因地制宜增加小区二次供水泵站、小区变电站、地下停车场出入口等社区或建筑物维度的生命线工程相关基础设施作为评估对象。</w:t>
      </w:r>
    </w:p>
    <w:p>
      <w:pPr>
        <w:pStyle w:val="41"/>
        <w:adjustRightInd w:val="0"/>
        <w:snapToGrid w:val="0"/>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b/>
          <w:bCs/>
          <w:sz w:val="24"/>
          <w:szCs w:val="24"/>
        </w:rPr>
        <w:t>4.5.2</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为保障生命线工程基础设施防涝安全，生命线工程基础设施的内涝防治设计重现期不得低于所在地区的城镇内涝防治设计重现期，同时留有安全超高。因此，将洪涝积水风险模拟结果中，该设施所处点位的水位线与设施设计内涝水位线和安全超高之和相比较，如果水位线高于两者之和，说明在该降雨情境下，该点位存在淹没风险。</w:t>
      </w:r>
    </w:p>
    <w:p>
      <w:pPr>
        <w:pStyle w:val="54"/>
        <w:spacing w:line="360" w:lineRule="auto"/>
        <w:ind w:firstLine="480" w:firstLineChars="200"/>
        <w:rPr>
          <w:szCs w:val="28"/>
        </w:rPr>
      </w:pPr>
    </w:p>
    <w:p>
      <w:pPr>
        <w:widowControl/>
        <w:jc w:val="left"/>
        <w:rPr>
          <w:rFonts w:ascii="宋体" w:hAnsi="Calibri" w:eastAsia="宋体" w:cs="Times New Roman"/>
          <w:color w:val="000000"/>
          <w:kern w:val="0"/>
          <w:sz w:val="24"/>
          <w:szCs w:val="28"/>
        </w:rPr>
      </w:pPr>
      <w:r>
        <w:rPr>
          <w:szCs w:val="28"/>
        </w:rPr>
        <w:br w:type="page"/>
      </w:r>
    </w:p>
    <w:p>
      <w:pPr>
        <w:pStyle w:val="2"/>
        <w:numPr>
          <w:ilvl w:val="0"/>
          <w:numId w:val="0"/>
        </w:numPr>
        <w:spacing w:before="340" w:beforeLines="0" w:after="330" w:afterLines="0" w:line="578" w:lineRule="auto"/>
        <w:rPr>
          <w:spacing w:val="0"/>
          <w:kern w:val="44"/>
          <w:sz w:val="30"/>
          <w:szCs w:val="20"/>
        </w:rPr>
      </w:pPr>
      <w:bookmarkStart w:id="452" w:name="_Toc201224005"/>
      <w:bookmarkStart w:id="453" w:name="_Toc31188"/>
      <w:bookmarkStart w:id="454" w:name="_Toc201743657"/>
      <w:bookmarkStart w:id="455" w:name="_Toc201743708"/>
      <w:bookmarkStart w:id="456" w:name="_Toc201743759"/>
      <w:bookmarkStart w:id="457" w:name="_Toc201745783"/>
      <w:r>
        <w:rPr>
          <w:rFonts w:hint="eastAsia"/>
          <w:spacing w:val="0"/>
          <w:kern w:val="44"/>
          <w:sz w:val="30"/>
          <w:szCs w:val="20"/>
        </w:rPr>
        <w:t>5</w:t>
      </w:r>
      <w:bookmarkStart w:id="458" w:name="_Toc19113"/>
      <w:r>
        <w:rPr>
          <w:spacing w:val="0"/>
          <w:kern w:val="44"/>
          <w:sz w:val="30"/>
          <w:szCs w:val="20"/>
        </w:rPr>
        <w:t xml:space="preserve">  </w:t>
      </w:r>
      <w:r>
        <w:rPr>
          <w:rFonts w:hint="eastAsia"/>
          <w:spacing w:val="0"/>
          <w:kern w:val="44"/>
          <w:sz w:val="30"/>
          <w:szCs w:val="20"/>
        </w:rPr>
        <w:t>洪涝灾害链综合风险数字化管理</w:t>
      </w:r>
      <w:bookmarkEnd w:id="452"/>
      <w:bookmarkEnd w:id="453"/>
      <w:bookmarkEnd w:id="454"/>
      <w:bookmarkEnd w:id="455"/>
      <w:bookmarkEnd w:id="456"/>
      <w:bookmarkEnd w:id="457"/>
      <w:bookmarkEnd w:id="458"/>
    </w:p>
    <w:p>
      <w:pPr>
        <w:pStyle w:val="41"/>
        <w:adjustRightInd w:val="0"/>
        <w:snapToGrid w:val="0"/>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b/>
          <w:bCs/>
          <w:sz w:val="24"/>
          <w:szCs w:val="24"/>
        </w:rPr>
        <w:t xml:space="preserve">5.0.1 </w:t>
      </w:r>
      <w:r>
        <w:rPr>
          <w:rFonts w:ascii="Times New Roman" w:hAnsi="Times New Roman" w:eastAsia="宋体" w:cs="Times New Roman"/>
          <w:b/>
          <w:bCs/>
          <w:sz w:val="24"/>
          <w:szCs w:val="24"/>
        </w:rPr>
        <w:t xml:space="preserve">   </w:t>
      </w:r>
      <w:r>
        <w:rPr>
          <w:rFonts w:hint="eastAsia" w:ascii="Times New Roman" w:hAnsi="Times New Roman" w:eastAsia="宋体" w:cs="Times New Roman"/>
          <w:sz w:val="24"/>
          <w:szCs w:val="24"/>
        </w:rPr>
        <w:t>各地应建立集成化的洪涝灾害智慧管理系统，通过物联网感知、大数据分析、数字孪生等技术手段，实现暴雨内涝风险的实时监测、智能预警与协同处置，形成“监测</w:t>
      </w:r>
      <w:r>
        <w:rPr>
          <w:rFonts w:ascii="Times New Roman" w:hAnsi="Times New Roman" w:eastAsia="宋体" w:cs="Times New Roman"/>
          <w:sz w:val="24"/>
          <w:szCs w:val="24"/>
        </w:rPr>
        <w:t>-</w:t>
      </w:r>
      <w:r>
        <w:rPr>
          <w:rFonts w:hint="eastAsia" w:ascii="Times New Roman" w:hAnsi="Times New Roman" w:eastAsia="宋体" w:cs="Times New Roman"/>
          <w:sz w:val="24"/>
          <w:szCs w:val="24"/>
        </w:rPr>
        <w:t>预警-处置-评估”</w:t>
      </w:r>
      <w:r>
        <w:rPr>
          <w:rFonts w:hint="eastAsia" w:ascii="宋体" w:hAnsi="宋体" w:eastAsia="宋体" w:cs="Times New Roman"/>
          <w:sz w:val="24"/>
          <w:szCs w:val="24"/>
        </w:rPr>
        <w:t>的</w:t>
      </w:r>
      <w:r>
        <w:rPr>
          <w:rFonts w:hint="eastAsia" w:ascii="Times New Roman" w:hAnsi="Times New Roman" w:eastAsia="宋体" w:cs="Times New Roman"/>
          <w:sz w:val="24"/>
          <w:szCs w:val="24"/>
        </w:rPr>
        <w:t>全周期管理闭环。</w:t>
      </w:r>
    </w:p>
    <w:p>
      <w:pPr>
        <w:pStyle w:val="41"/>
        <w:adjustRightInd w:val="0"/>
        <w:snapToGrid w:val="0"/>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b/>
          <w:bCs/>
          <w:sz w:val="24"/>
          <w:szCs w:val="24"/>
        </w:rPr>
        <w:t>5.0.2</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城市洪涝灾害智慧平台应遵循“统一标准、分级授权、安全可控”原则，实现与水务部门实时水文监测数据、住建部门地下管网数据、交通部门易涝点监控数据、应急部门救援资源的自动化对接。数据交换需符合国家相关技术要求。</w:t>
      </w:r>
    </w:p>
    <w:p>
      <w:pPr>
        <w:pStyle w:val="41"/>
        <w:adjustRightInd w:val="0"/>
        <w:snapToGrid w:val="0"/>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b/>
          <w:bCs/>
          <w:sz w:val="24"/>
          <w:szCs w:val="24"/>
        </w:rPr>
        <w:t>5.0.3</w:t>
      </w:r>
      <w:r>
        <w:rPr>
          <w:rFonts w:ascii="Times New Roman" w:hAnsi="Times New Roman" w:eastAsia="宋体" w:cs="Times New Roman"/>
          <w:sz w:val="24"/>
          <w:szCs w:val="24"/>
        </w:rPr>
        <w:t xml:space="preserve">    </w:t>
      </w:r>
      <w:r>
        <w:rPr>
          <w:rFonts w:ascii="宋体" w:hAnsi="宋体" w:eastAsia="宋体" w:cs="Times New Roman"/>
          <w:sz w:val="24"/>
          <w:szCs w:val="24"/>
        </w:rPr>
        <w:t>该</w:t>
      </w:r>
      <w:r>
        <w:rPr>
          <w:rFonts w:hint="eastAsia" w:ascii="Times New Roman" w:hAnsi="Times New Roman" w:eastAsia="宋体" w:cs="Times New Roman"/>
          <w:sz w:val="24"/>
          <w:szCs w:val="24"/>
        </w:rPr>
        <w:t>条文说明突出“监测-预测-决策”闭环管理，建议实施时结合本地易涝点台账和防汛应急预案进行细化补充。如需增加具体技术参数或考核指标可进一步调整。</w:t>
      </w:r>
    </w:p>
    <w:p>
      <w:pPr>
        <w:pStyle w:val="41"/>
        <w:adjustRightInd w:val="0"/>
        <w:snapToGrid w:val="0"/>
        <w:spacing w:line="360" w:lineRule="auto"/>
        <w:ind w:firstLine="0" w:firstLineChars="0"/>
        <w:rPr>
          <w:rFonts w:ascii="Times New Roman" w:hAnsi="Times New Roman" w:eastAsia="宋体" w:cs="Times New Roman"/>
          <w:sz w:val="24"/>
          <w:szCs w:val="24"/>
        </w:rPr>
      </w:pPr>
      <w:r>
        <w:rPr>
          <w:rFonts w:ascii="Times New Roman" w:hAnsi="Times New Roman" w:eastAsia="宋体" w:cs="Times New Roman"/>
          <w:b/>
          <w:bCs/>
          <w:sz w:val="24"/>
          <w:szCs w:val="24"/>
        </w:rPr>
        <w:t>5.0.4</w:t>
      </w:r>
      <w:r>
        <w:rPr>
          <w:rFonts w:ascii="Times New Roman" w:hAnsi="Times New Roman" w:eastAsia="宋体" w:cs="Times New Roman"/>
          <w:sz w:val="24"/>
          <w:szCs w:val="24"/>
        </w:rPr>
        <w:t xml:space="preserve">    风</w:t>
      </w:r>
      <w:r>
        <w:rPr>
          <w:rFonts w:hint="eastAsia" w:ascii="Times New Roman" w:hAnsi="Times New Roman" w:eastAsia="宋体" w:cs="Times New Roman"/>
          <w:sz w:val="24"/>
          <w:szCs w:val="24"/>
        </w:rPr>
        <w:t>险评估预警功能，应结合实时降雨监测、积水监测、遥感识别、水力模型推演结果，并基于管理单元栅格、关键点设施布设，生成分区预警图，支持静态（设计情景）与动态（实时仿真）双重模式。有助于应急部门部署灾害应急抢险工作。应急决策功能，根据城市特大洪涝灾害链综合风险图，生成防洪排涝设施调控与应急物资调度方案，提供设施新建或改造建议。当防洪排涝工程建设、城市建设或社会经济发展等因素发生变化时，能自动修订或更新城市特大洪涝灾害链综合风险图。灾后复盘机制，根据灾前预警、灾中应急，进行灾后复盘，迭代升级智慧平台。</w:t>
      </w:r>
    </w:p>
    <w:p>
      <w:pPr>
        <w:pStyle w:val="41"/>
        <w:adjustRightInd w:val="0"/>
        <w:snapToGrid w:val="0"/>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b/>
          <w:bCs/>
          <w:sz w:val="24"/>
          <w:szCs w:val="24"/>
        </w:rPr>
        <w:t>5.0.5</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该条文说明融合了自然资源部</w:t>
      </w:r>
      <w:bookmarkStart w:id="459" w:name="_Hlk201066907"/>
      <w:r>
        <w:rPr>
          <w:rFonts w:hint="eastAsia" w:ascii="Times New Roman" w:hAnsi="Times New Roman" w:eastAsia="宋体" w:cs="Times New Roman"/>
          <w:sz w:val="24"/>
          <w:szCs w:val="24"/>
        </w:rPr>
        <w:t>《</w:t>
      </w:r>
      <w:r>
        <w:rPr>
          <w:rFonts w:ascii="Times New Roman" w:hAnsi="Times New Roman" w:eastAsia="宋体" w:cs="Times New Roman"/>
          <w:sz w:val="24"/>
          <w:szCs w:val="24"/>
        </w:rPr>
        <w:t>地理空间数据交换基本要求</w:t>
      </w:r>
      <w:r>
        <w:rPr>
          <w:rFonts w:hint="eastAsia" w:ascii="Times New Roman" w:hAnsi="Times New Roman" w:eastAsia="宋体" w:cs="Times New Roman"/>
          <w:sz w:val="24"/>
          <w:szCs w:val="24"/>
        </w:rPr>
        <w:t>》</w:t>
      </w:r>
      <w:r>
        <w:rPr>
          <w:rFonts w:ascii="Times New Roman" w:hAnsi="Times New Roman" w:eastAsia="宋体" w:cs="Times New Roman"/>
          <w:sz w:val="24"/>
          <w:szCs w:val="24"/>
        </w:rPr>
        <w:t>GB/T 40767</w:t>
      </w:r>
      <w:bookmarkEnd w:id="459"/>
      <w:r>
        <w:rPr>
          <w:rFonts w:ascii="Times New Roman" w:hAnsi="Times New Roman" w:eastAsia="宋体" w:cs="Times New Roman"/>
          <w:sz w:val="24"/>
          <w:szCs w:val="24"/>
        </w:rPr>
        <w:t>和应急管理部《灾害链风险评估技术导则》要求</w:t>
      </w:r>
      <w:r>
        <w:rPr>
          <w:rFonts w:hint="eastAsia" w:ascii="Times New Roman" w:hAnsi="Times New Roman" w:eastAsia="宋体" w:cs="Times New Roman"/>
          <w:sz w:val="24"/>
          <w:szCs w:val="24"/>
        </w:rPr>
        <w:t>，实施时可结合本地空间数据基础设施现状补充具体技术参数。</w:t>
      </w:r>
    </w:p>
    <w:p>
      <w:pPr>
        <w:pStyle w:val="41"/>
        <w:adjustRightInd w:val="0"/>
        <w:snapToGrid w:val="0"/>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b/>
          <w:bCs/>
          <w:sz w:val="24"/>
          <w:szCs w:val="24"/>
        </w:rPr>
        <w:t>5.0.6</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该条文说明特别强调权限颗粒度控制与多格式兼容性，实施时建议配套开发API白名单管理模块。</w:t>
      </w:r>
    </w:p>
    <w:p>
      <w:pPr>
        <w:pStyle w:val="54"/>
        <w:spacing w:line="360" w:lineRule="auto"/>
        <w:ind w:firstLine="480" w:firstLineChars="200"/>
        <w:rPr>
          <w:szCs w:val="28"/>
        </w:rPr>
      </w:pPr>
    </w:p>
    <w:p>
      <w:pPr>
        <w:tabs>
          <w:tab w:val="left" w:pos="312"/>
        </w:tabs>
        <w:autoSpaceDE w:val="0"/>
        <w:autoSpaceDN w:val="0"/>
        <w:spacing w:line="400" w:lineRule="exact"/>
        <w:rPr>
          <w:rFonts w:ascii="宋体" w:hAnsi="宋体" w:eastAsia="宋体" w:cs="宋体"/>
          <w:color w:val="000000" w:themeColor="text1"/>
          <w:kern w:val="0"/>
          <w:sz w:val="24"/>
          <w:szCs w:val="24"/>
          <w14:textFill>
            <w14:solidFill>
              <w14:schemeClr w14:val="tx1"/>
            </w14:solidFill>
          </w14:textFill>
        </w:rPr>
      </w:pPr>
    </w:p>
    <w:sectPr>
      <w:pgSz w:w="11906" w:h="16838"/>
      <w:pgMar w:top="1440" w:right="1800" w:bottom="1440" w:left="1800" w:header="851" w:footer="340"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FangSong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PingFang SC">
    <w:altName w:val="Cambria"/>
    <w:panose1 w:val="00000000000000000000"/>
    <w:charset w:val="00"/>
    <w:family w:val="roma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Segoe UI">
    <w:panose1 w:val="020B0502040204020203"/>
    <w:charset w:val="00"/>
    <w:family w:val="swiss"/>
    <w:pitch w:val="default"/>
    <w:sig w:usb0="E10022FF" w:usb1="C000E47F" w:usb2="00000029" w:usb3="00000000" w:csb0="200001DF" w:csb1="20000000"/>
  </w:font>
  <w:font w:name="inherit">
    <w:altName w:val="Cambria"/>
    <w:panose1 w:val="00000000000000000000"/>
    <w:charset w:val="00"/>
    <w:family w:val="roman"/>
    <w:pitch w:val="default"/>
    <w:sig w:usb0="00000000" w:usb1="00000000" w:usb2="00000000" w:usb3="00000000" w:csb0="00000000" w:csb1="00000000"/>
  </w:font>
  <w:font w:name="KaTeX_Math">
    <w:altName w:val="Cambria"/>
    <w:panose1 w:val="00000000000000000000"/>
    <w:charset w:val="00"/>
    <w:family w:val="roman"/>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Cambria">
    <w:panose1 w:val="02040503050406030204"/>
    <w:charset w:val="00"/>
    <w:family w:val="auto"/>
    <w:pitch w:val="default"/>
    <w:sig w:usb0="E00002FF" w:usb1="400004FF" w:usb2="00000000" w:usb3="00000000" w:csb0="2000019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0"/>
      </w:rPr>
    </w:pPr>
    <w:r>
      <w:rPr>
        <w:rStyle w:val="30"/>
      </w:rPr>
      <w:fldChar w:fldCharType="begin"/>
    </w:r>
    <w:r>
      <w:rPr>
        <w:rStyle w:val="30"/>
      </w:rPr>
      <w:instrText xml:space="preserve">PAGE  </w:instrText>
    </w:r>
    <w:r>
      <w:rPr>
        <w:rStyle w:val="30"/>
      </w:rPr>
      <w:fldChar w:fldCharType="separate"/>
    </w:r>
    <w:r>
      <w:rPr>
        <w:rStyle w:val="30"/>
      </w:rPr>
      <w:t>21</w:t>
    </w:r>
    <w:r>
      <w:rPr>
        <w:rStyle w:val="30"/>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1123215"/>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3452001"/>
    </w:sdtPr>
    <w:sdtContent>
      <w:p>
        <w:pPr>
          <w:pStyle w:val="16"/>
          <w:jc w:val="center"/>
        </w:pPr>
        <w:r>
          <w:fldChar w:fldCharType="begin"/>
        </w:r>
        <w:r>
          <w:instrText xml:space="preserve">PAGE   \* MERGEFORMAT</w:instrText>
        </w:r>
        <w:r>
          <w:fldChar w:fldCharType="separate"/>
        </w:r>
        <w:r>
          <w:t>51</w:t>
        </w:r>
        <w:r>
          <w:fldChar w:fldCharType="end"/>
        </w:r>
      </w:p>
    </w:sdtContent>
  </w:sdt>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6"/>
        <w:tab w:val="right" w:pos="8312"/>
        <w:tab w:val="clear" w:pos="4153"/>
        <w:tab w:val="clear" w:pos="8306"/>
      </w:tabs>
      <w:rPr>
        <w:rFonts w:ascii="Calibri" w:hAnsi="Calibri" w:cs="Calibri"/>
      </w:rPr>
    </w:pPr>
    <w:r>
      <w:rPr>
        <w:rFonts w:ascii="Calibri" w:hAnsi="Calibri" w:cs="Calibri"/>
      </w:rPr>
      <w:tab/>
    </w:r>
    <w:r>
      <w:rPr>
        <w:rFonts w:ascii="Calibri" w:hAnsi="Calibri" w:cs="Calibri"/>
      </w:rPr>
      <w:tab/>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cs="Calibri"/>
                              <w:vanish/>
                              <w:sz w:val="11"/>
                              <w:szCs w:val="11"/>
                              <w:highlight w:val="yellow"/>
                            </w:rPr>
                            <w:id w:val="1148703667"/>
                          </w:sdtPr>
                          <w:sdtEndPr>
                            <w:rPr>
                              <w:rFonts w:ascii="Calibri" w:hAnsi="Calibri" w:cs="Calibri"/>
                              <w:vanish/>
                              <w:sz w:val="18"/>
                              <w:szCs w:val="18"/>
                              <w:highlight w:val="yellow"/>
                            </w:rPr>
                          </w:sdtEndPr>
                          <w:sdtContent>
                            <w:p>
                              <w:pPr>
                                <w:pStyle w:val="16"/>
                                <w:jc w:val="right"/>
                                <w:rPr>
                                  <w:rFonts w:ascii="Calibri" w:hAnsi="Calibri" w:cs="Calibri"/>
                                  <w:vanish/>
                                  <w:highlight w:val="yellow"/>
                                </w:rPr>
                              </w:pPr>
                              <w:r>
                                <w:rPr>
                                  <w:rFonts w:ascii="Calibri" w:hAnsi="Calibri" w:cs="Calibri"/>
                                </w:rPr>
                                <w:fldChar w:fldCharType="begin"/>
                              </w:r>
                              <w:r>
                                <w:rPr>
                                  <w:rFonts w:ascii="Calibri" w:hAnsi="Calibri" w:cs="Calibri"/>
                                </w:rPr>
                                <w:instrText xml:space="preserve">PAGE   \* MERGEFORMAT</w:instrText>
                              </w:r>
                              <w:r>
                                <w:rPr>
                                  <w:rFonts w:ascii="Calibri" w:hAnsi="Calibri" w:cs="Calibri"/>
                                </w:rPr>
                                <w:fldChar w:fldCharType="separate"/>
                              </w:r>
                              <w:r>
                                <w:rPr>
                                  <w:rFonts w:ascii="Calibri" w:hAnsi="Calibri" w:cs="Calibri"/>
                                  <w:lang w:val="zh-CN"/>
                                </w:rPr>
                                <w:t>59</w:t>
                              </w:r>
                              <w:r>
                                <w:rPr>
                                  <w:rFonts w:ascii="Calibri" w:hAnsi="Calibri" w:cs="Calibri"/>
                                  <w:lang w:val="zh-CN"/>
                                </w:rPr>
                                <w:fldChar w:fldCharType="end"/>
                              </w:r>
                            </w:p>
                          </w:sdtContent>
                        </w:sdt>
                        <w:p>
                          <w:pPr>
                            <w:rPr>
                              <w:rFonts w:ascii="Calibri" w:hAnsi="Calibri" w:cs="Calibri"/>
                              <w:sz w:val="18"/>
                              <w:szCs w:val="18"/>
                              <w:highlight w:val="yellow"/>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nWxrOFQIAABkEAAAOAAAAAAAAAAEAIAAAADUBAABkcnMvZTJvRG9jLnhtbFBLBQYAAAAABgAG&#10;AFkBAAC8BQAAAAA=&#10;">
              <v:fill on="f" focussize="0,0"/>
              <v:stroke on="f" weight="0.5pt"/>
              <v:imagedata o:title=""/>
              <o:lock v:ext="edit" aspectratio="f"/>
              <v:textbox inset="0mm,0mm,0mm,0mm" style="mso-fit-shape-to-text:t;">
                <w:txbxContent>
                  <w:sdt>
                    <w:sdtPr>
                      <w:rPr>
                        <w:rFonts w:ascii="Calibri" w:hAnsi="Calibri" w:cs="Calibri"/>
                        <w:vanish/>
                        <w:sz w:val="11"/>
                        <w:szCs w:val="11"/>
                        <w:highlight w:val="yellow"/>
                      </w:rPr>
                      <w:id w:val="1148703667"/>
                    </w:sdtPr>
                    <w:sdtEndPr>
                      <w:rPr>
                        <w:rFonts w:ascii="Calibri" w:hAnsi="Calibri" w:cs="Calibri"/>
                        <w:vanish/>
                        <w:sz w:val="18"/>
                        <w:szCs w:val="18"/>
                        <w:highlight w:val="yellow"/>
                      </w:rPr>
                    </w:sdtEndPr>
                    <w:sdtContent>
                      <w:p>
                        <w:pPr>
                          <w:pStyle w:val="16"/>
                          <w:jc w:val="right"/>
                          <w:rPr>
                            <w:rFonts w:ascii="Calibri" w:hAnsi="Calibri" w:cs="Calibri"/>
                            <w:vanish/>
                            <w:highlight w:val="yellow"/>
                          </w:rPr>
                        </w:pPr>
                        <w:r>
                          <w:rPr>
                            <w:rFonts w:ascii="Calibri" w:hAnsi="Calibri" w:cs="Calibri"/>
                          </w:rPr>
                          <w:fldChar w:fldCharType="begin"/>
                        </w:r>
                        <w:r>
                          <w:rPr>
                            <w:rFonts w:ascii="Calibri" w:hAnsi="Calibri" w:cs="Calibri"/>
                          </w:rPr>
                          <w:instrText xml:space="preserve">PAGE   \* MERGEFORMAT</w:instrText>
                        </w:r>
                        <w:r>
                          <w:rPr>
                            <w:rFonts w:ascii="Calibri" w:hAnsi="Calibri" w:cs="Calibri"/>
                          </w:rPr>
                          <w:fldChar w:fldCharType="separate"/>
                        </w:r>
                        <w:r>
                          <w:rPr>
                            <w:rFonts w:ascii="Calibri" w:hAnsi="Calibri" w:cs="Calibri"/>
                            <w:lang w:val="zh-CN"/>
                          </w:rPr>
                          <w:t>59</w:t>
                        </w:r>
                        <w:r>
                          <w:rPr>
                            <w:rFonts w:ascii="Calibri" w:hAnsi="Calibri" w:cs="Calibri"/>
                            <w:lang w:val="zh-CN"/>
                          </w:rPr>
                          <w:fldChar w:fldCharType="end"/>
                        </w:r>
                      </w:p>
                    </w:sdtContent>
                  </w:sdt>
                  <w:p>
                    <w:pPr>
                      <w:rPr>
                        <w:rFonts w:ascii="Calibri" w:hAnsi="Calibri" w:cs="Calibri"/>
                        <w:sz w:val="18"/>
                        <w:szCs w:val="18"/>
                        <w:highlight w:val="yellow"/>
                      </w:rPr>
                    </w:pPr>
                  </w:p>
                </w:txbxContent>
              </v:textbox>
            </v:shape>
          </w:pict>
        </mc:Fallback>
      </mc:AlternateContent>
    </w: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2424881"/>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5B408"/>
    <w:multiLevelType w:val="multilevel"/>
    <w:tmpl w:val="9E65B408"/>
    <w:lvl w:ilvl="0" w:tentative="0">
      <w:start w:val="1"/>
      <w:numFmt w:val="decimal"/>
      <w:lvlText w:val="%1"/>
      <w:lvlJc w:val="left"/>
      <w:pPr>
        <w:ind w:left="442" w:hanging="442"/>
      </w:pPr>
      <w:rPr>
        <w:rFonts w:hint="default" w:ascii="Times New Roman" w:hAnsi="Times New Roman" w:cs="Times New Roman"/>
        <w:b/>
        <w:bCs/>
      </w:rPr>
    </w:lvl>
    <w:lvl w:ilvl="1" w:tentative="0">
      <w:start w:val="4"/>
      <w:numFmt w:val="decimal"/>
      <w:isLgl/>
      <w:lvlText w:val="%1.%2"/>
      <w:lvlJc w:val="left"/>
      <w:pPr>
        <w:ind w:left="480" w:hanging="480"/>
      </w:pPr>
      <w:rPr>
        <w:rFonts w:hint="default"/>
        <w:b/>
      </w:rPr>
    </w:lvl>
    <w:lvl w:ilvl="2" w:tentative="0">
      <w:start w:val="3"/>
      <w:numFmt w:val="decimal"/>
      <w:isLgl/>
      <w:lvlText w:val="%1.%2.%3"/>
      <w:lvlJc w:val="left"/>
      <w:pPr>
        <w:ind w:left="720" w:hanging="720"/>
      </w:pPr>
      <w:rPr>
        <w:rFonts w:hint="default"/>
        <w:b/>
      </w:rPr>
    </w:lvl>
    <w:lvl w:ilvl="3" w:tentative="0">
      <w:start w:val="1"/>
      <w:numFmt w:val="decimal"/>
      <w:isLgl/>
      <w:lvlText w:val="%1.%2.%3.%4"/>
      <w:lvlJc w:val="left"/>
      <w:pPr>
        <w:ind w:left="720" w:hanging="72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080" w:hanging="1080"/>
      </w:pPr>
      <w:rPr>
        <w:rFonts w:hint="default"/>
        <w:b/>
      </w:rPr>
    </w:lvl>
    <w:lvl w:ilvl="6" w:tentative="0">
      <w:start w:val="1"/>
      <w:numFmt w:val="decimal"/>
      <w:isLgl/>
      <w:lvlText w:val="%1.%2.%3.%4.%5.%6.%7"/>
      <w:lvlJc w:val="left"/>
      <w:pPr>
        <w:ind w:left="1440" w:hanging="1440"/>
      </w:pPr>
      <w:rPr>
        <w:rFonts w:hint="default"/>
        <w:b/>
      </w:rPr>
    </w:lvl>
    <w:lvl w:ilvl="7" w:tentative="0">
      <w:start w:val="1"/>
      <w:numFmt w:val="decimal"/>
      <w:isLgl/>
      <w:lvlText w:val="%1.%2.%3.%4.%5.%6.%7.%8"/>
      <w:lvlJc w:val="left"/>
      <w:pPr>
        <w:ind w:left="1440" w:hanging="1440"/>
      </w:pPr>
      <w:rPr>
        <w:rFonts w:hint="default"/>
        <w:b/>
      </w:rPr>
    </w:lvl>
    <w:lvl w:ilvl="8" w:tentative="0">
      <w:start w:val="1"/>
      <w:numFmt w:val="decimal"/>
      <w:isLgl/>
      <w:lvlText w:val="%1.%2.%3.%4.%5.%6.%7.%8.%9"/>
      <w:lvlJc w:val="left"/>
      <w:pPr>
        <w:ind w:left="1800" w:hanging="1800"/>
      </w:pPr>
      <w:rPr>
        <w:rFonts w:hint="default"/>
        <w:b/>
      </w:rPr>
    </w:lvl>
  </w:abstractNum>
  <w:abstractNum w:abstractNumId="1">
    <w:nsid w:val="C55CA280"/>
    <w:multiLevelType w:val="multilevel"/>
    <w:tmpl w:val="C55CA280"/>
    <w:lvl w:ilvl="0" w:tentative="0">
      <w:start w:val="1"/>
      <w:numFmt w:val="decimal"/>
      <w:lvlText w:val="%1"/>
      <w:lvlJc w:val="left"/>
      <w:pPr>
        <w:ind w:left="440" w:hanging="440"/>
      </w:pPr>
      <w:rPr>
        <w:rFonts w:hint="default" w:ascii="Times New Roman" w:hAnsi="Times New Roman" w:cs="Times New Roman"/>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EAEFFC12"/>
    <w:multiLevelType w:val="multilevel"/>
    <w:tmpl w:val="EAEFFC12"/>
    <w:lvl w:ilvl="0" w:tentative="0">
      <w:start w:val="1"/>
      <w:numFmt w:val="decimal"/>
      <w:lvlText w:val="%1"/>
      <w:lvlJc w:val="left"/>
      <w:pPr>
        <w:ind w:left="440" w:hanging="440"/>
      </w:pPr>
      <w:rPr>
        <w:rFonts w:hint="eastAsia"/>
        <w:b/>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73656CD"/>
    <w:multiLevelType w:val="multilevel"/>
    <w:tmpl w:val="073656CD"/>
    <w:lvl w:ilvl="0" w:tentative="0">
      <w:start w:val="1"/>
      <w:numFmt w:val="decimal"/>
      <w:pStyle w:val="2"/>
      <w:isLgl/>
      <w:lvlText w:val="%1"/>
      <w:lvlJc w:val="left"/>
      <w:pPr>
        <w:ind w:left="0" w:firstLine="0"/>
      </w:pPr>
      <w:rPr>
        <w:rFonts w:hint="eastAsia"/>
      </w:rPr>
    </w:lvl>
    <w:lvl w:ilvl="1" w:tentative="0">
      <w:start w:val="0"/>
      <w:numFmt w:val="decimal"/>
      <w:pStyle w:val="3"/>
      <w:lvlText w:val="%1.%2"/>
      <w:lvlJc w:val="left"/>
      <w:pPr>
        <w:ind w:left="0" w:firstLine="0"/>
      </w:pPr>
      <w:rPr>
        <w:rFonts w:hint="default"/>
        <w:b/>
      </w:rPr>
    </w:lvl>
    <w:lvl w:ilvl="2" w:tentative="0">
      <w:start w:val="1"/>
      <w:numFmt w:val="decimal"/>
      <w:lvlText w:val="%1.%2.%3"/>
      <w:lvlJc w:val="left"/>
      <w:pPr>
        <w:ind w:left="0" w:firstLine="0"/>
      </w:pPr>
      <w:rPr>
        <w:rFonts w:hint="default" w:ascii="Times New Roman" w:hAnsi="Times New Roman" w:cs="Times New Roman"/>
        <w:b/>
        <w:bCs/>
        <w:i w:val="0"/>
        <w:iCs/>
        <w:sz w:val="24"/>
        <w:szCs w:val="24"/>
      </w:rPr>
    </w:lvl>
    <w:lvl w:ilvl="3" w:tentative="0">
      <w:start w:val="1"/>
      <w:numFmt w:val="decimal"/>
      <w:lvlText w:val="%1.%2.%3.%4"/>
      <w:lvlJc w:val="left"/>
      <w:pPr>
        <w:ind w:left="1984" w:hanging="708"/>
      </w:pPr>
      <w:rPr>
        <w:rFonts w:hint="default"/>
        <w:b/>
      </w:rPr>
    </w:lvl>
    <w:lvl w:ilvl="4" w:tentative="0">
      <w:start w:val="1"/>
      <w:numFmt w:val="decimal"/>
      <w:lvlText w:val="%1.%2.%3.%4.%5"/>
      <w:lvlJc w:val="left"/>
      <w:pPr>
        <w:ind w:left="2551" w:hanging="850"/>
      </w:pPr>
      <w:rPr>
        <w:rFonts w:hint="default"/>
        <w:b/>
      </w:rPr>
    </w:lvl>
    <w:lvl w:ilvl="5" w:tentative="0">
      <w:start w:val="1"/>
      <w:numFmt w:val="decimal"/>
      <w:lvlText w:val="%1.%2.%3.%4.%5.%6"/>
      <w:lvlJc w:val="left"/>
      <w:pPr>
        <w:ind w:left="3260" w:hanging="1134"/>
      </w:pPr>
      <w:rPr>
        <w:rFonts w:hint="default"/>
        <w:b/>
      </w:rPr>
    </w:lvl>
    <w:lvl w:ilvl="6" w:tentative="0">
      <w:start w:val="1"/>
      <w:numFmt w:val="decimal"/>
      <w:lvlText w:val="%1.%2.%3.%4.%5.%6.%7"/>
      <w:lvlJc w:val="left"/>
      <w:pPr>
        <w:ind w:left="3827" w:hanging="1276"/>
      </w:pPr>
      <w:rPr>
        <w:rFonts w:hint="default"/>
        <w:b/>
      </w:rPr>
    </w:lvl>
    <w:lvl w:ilvl="7" w:tentative="0">
      <w:start w:val="1"/>
      <w:numFmt w:val="decimal"/>
      <w:lvlText w:val="%1.%2.%3.%4.%5.%6.%7.%8"/>
      <w:lvlJc w:val="left"/>
      <w:pPr>
        <w:ind w:left="4394" w:hanging="1418"/>
      </w:pPr>
      <w:rPr>
        <w:rFonts w:hint="default"/>
        <w:b/>
      </w:rPr>
    </w:lvl>
    <w:lvl w:ilvl="8" w:tentative="0">
      <w:start w:val="1"/>
      <w:numFmt w:val="decimal"/>
      <w:lvlText w:val="%1.%2.%3.%4.%5.%6.%7.%8.%9"/>
      <w:lvlJc w:val="left"/>
      <w:pPr>
        <w:ind w:left="5102" w:hanging="1700"/>
      </w:pPr>
      <w:rPr>
        <w:rFonts w:hint="default"/>
        <w:b/>
      </w:rPr>
    </w:lvl>
  </w:abstractNum>
  <w:abstractNum w:abstractNumId="4">
    <w:nsid w:val="07E74EE1"/>
    <w:multiLevelType w:val="multilevel"/>
    <w:tmpl w:val="07E74EE1"/>
    <w:lvl w:ilvl="0" w:tentative="0">
      <w:start w:val="1"/>
      <w:numFmt w:val="decimal"/>
      <w:lvlText w:val="%1"/>
      <w:lvlJc w:val="left"/>
      <w:pPr>
        <w:ind w:left="2831" w:hanging="420"/>
      </w:pPr>
      <w:rPr>
        <w:rFonts w:hint="eastAsia"/>
        <w:b/>
        <w:bCs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128B208B"/>
    <w:multiLevelType w:val="multilevel"/>
    <w:tmpl w:val="128B208B"/>
    <w:lvl w:ilvl="0" w:tentative="0">
      <w:start w:val="1"/>
      <w:numFmt w:val="decimal"/>
      <w:lvlText w:val="%1"/>
      <w:lvlJc w:val="left"/>
      <w:pPr>
        <w:ind w:left="2831" w:hanging="420"/>
      </w:pPr>
      <w:rPr>
        <w:rFonts w:hint="eastAsia"/>
        <w:b/>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1F147728"/>
    <w:multiLevelType w:val="multilevel"/>
    <w:tmpl w:val="1F147728"/>
    <w:lvl w:ilvl="0" w:tentative="0">
      <w:start w:val="1"/>
      <w:numFmt w:val="decimal"/>
      <w:lvlText w:val="%1"/>
      <w:lvlJc w:val="left"/>
      <w:pPr>
        <w:ind w:left="2831" w:hanging="420"/>
      </w:pPr>
      <w:rPr>
        <w:rFonts w:hint="eastAsia"/>
        <w:b/>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25DB7259"/>
    <w:multiLevelType w:val="multilevel"/>
    <w:tmpl w:val="25DB7259"/>
    <w:lvl w:ilvl="0" w:tentative="0">
      <w:start w:val="1"/>
      <w:numFmt w:val="decimal"/>
      <w:lvlText w:val="%1"/>
      <w:lvlJc w:val="left"/>
      <w:pPr>
        <w:ind w:left="920" w:hanging="440"/>
      </w:pPr>
      <w:rPr>
        <w:rFonts w:hint="default"/>
        <w:b/>
        <w:bC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30444A54"/>
    <w:multiLevelType w:val="multilevel"/>
    <w:tmpl w:val="30444A54"/>
    <w:lvl w:ilvl="0" w:tentative="0">
      <w:start w:val="1"/>
      <w:numFmt w:val="decimal"/>
      <w:lvlText w:val="%1"/>
      <w:lvlJc w:val="left"/>
      <w:pPr>
        <w:ind w:left="425" w:hanging="425"/>
      </w:pPr>
      <w:rPr>
        <w:rFonts w:hint="eastAsia"/>
        <w:b/>
      </w:rPr>
    </w:lvl>
    <w:lvl w:ilvl="1" w:tentative="0">
      <w:start w:val="0"/>
      <w:numFmt w:val="decimal"/>
      <w:lvlText w:val="%1.%2"/>
      <w:lvlJc w:val="left"/>
      <w:pPr>
        <w:ind w:left="0" w:firstLine="0"/>
      </w:pPr>
      <w:rPr>
        <w:rFonts w:hint="eastAsia"/>
        <w:b/>
        <w:i w:val="0"/>
      </w:rPr>
    </w:lvl>
    <w:lvl w:ilvl="2" w:tentative="0">
      <w:start w:val="1"/>
      <w:numFmt w:val="decimal"/>
      <w:lvlText w:val="%1.%2.%3"/>
      <w:lvlJc w:val="left"/>
      <w:pPr>
        <w:ind w:left="0" w:firstLine="0"/>
      </w:pPr>
      <w:rPr>
        <w:rFonts w:hint="eastAsia"/>
        <w:b/>
        <w:i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319A147F"/>
    <w:multiLevelType w:val="multilevel"/>
    <w:tmpl w:val="319A147F"/>
    <w:lvl w:ilvl="0" w:tentative="0">
      <w:start w:val="1"/>
      <w:numFmt w:val="decimal"/>
      <w:lvlText w:val="%1"/>
      <w:lvlJc w:val="left"/>
      <w:pPr>
        <w:ind w:left="440" w:hanging="440"/>
      </w:pPr>
      <w:rPr>
        <w:rFonts w:hint="default"/>
        <w:b/>
        <w:bCs/>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0">
    <w:nsid w:val="37353941"/>
    <w:multiLevelType w:val="multilevel"/>
    <w:tmpl w:val="37353941"/>
    <w:lvl w:ilvl="0" w:tentative="0">
      <w:start w:val="1"/>
      <w:numFmt w:val="decimal"/>
      <w:lvlText w:val="%1"/>
      <w:lvlJc w:val="left"/>
      <w:pPr>
        <w:ind w:left="2831" w:hanging="420"/>
      </w:pPr>
      <w:rPr>
        <w:rFonts w:hint="eastAsia"/>
        <w:b/>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526B1AAA"/>
    <w:multiLevelType w:val="multilevel"/>
    <w:tmpl w:val="526B1AAA"/>
    <w:lvl w:ilvl="0" w:tentative="0">
      <w:start w:val="1"/>
      <w:numFmt w:val="decimal"/>
      <w:lvlText w:val="%1"/>
      <w:lvlJc w:val="left"/>
      <w:pPr>
        <w:ind w:left="420" w:hanging="420"/>
      </w:pPr>
      <w:rPr>
        <w:rFonts w:hint="eastAsia"/>
        <w:b/>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397682"/>
    <w:multiLevelType w:val="multilevel"/>
    <w:tmpl w:val="53397682"/>
    <w:lvl w:ilvl="0" w:tentative="0">
      <w:start w:val="1"/>
      <w:numFmt w:val="decimal"/>
      <w:lvlText w:val="%1"/>
      <w:lvlJc w:val="left"/>
      <w:pPr>
        <w:ind w:left="2831" w:hanging="420"/>
      </w:pPr>
      <w:rPr>
        <w:rFonts w:hint="eastAsia"/>
        <w:b/>
        <w:bCs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58270C61"/>
    <w:multiLevelType w:val="multilevel"/>
    <w:tmpl w:val="58270C6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442" w:hanging="442"/>
      </w:pPr>
      <w:rPr>
        <w:rFonts w:hint="eastAsia"/>
        <w:b/>
        <w:bCs/>
      </w:r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5F910896"/>
    <w:multiLevelType w:val="multilevel"/>
    <w:tmpl w:val="5F910896"/>
    <w:lvl w:ilvl="0" w:tentative="0">
      <w:start w:val="1"/>
      <w:numFmt w:val="decimal"/>
      <w:lvlText w:val="1.%1"/>
      <w:lvlJc w:val="left"/>
      <w:pPr>
        <w:ind w:left="420" w:hanging="420"/>
      </w:pPr>
      <w:rPr>
        <w:rFonts w:hint="eastAsia"/>
      </w:rPr>
    </w:lvl>
    <w:lvl w:ilvl="1" w:tentative="0">
      <w:start w:val="1"/>
      <w:numFmt w:val="lowerLetter"/>
      <w:pStyle w:val="42"/>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63268C7"/>
    <w:multiLevelType w:val="multilevel"/>
    <w:tmpl w:val="663268C7"/>
    <w:lvl w:ilvl="0" w:tentative="0">
      <w:start w:val="1"/>
      <w:numFmt w:val="decimal"/>
      <w:lvlText w:val="%1"/>
      <w:lvlJc w:val="left"/>
      <w:pPr>
        <w:ind w:left="2831" w:hanging="420"/>
      </w:pPr>
      <w:rPr>
        <w:rFonts w:hint="eastAsia"/>
        <w:b/>
        <w:bCs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663848FC"/>
    <w:multiLevelType w:val="multilevel"/>
    <w:tmpl w:val="663848FC"/>
    <w:lvl w:ilvl="0" w:tentative="0">
      <w:start w:val="1"/>
      <w:numFmt w:val="decimal"/>
      <w:lvlText w:val="%1"/>
      <w:lvlJc w:val="left"/>
      <w:pPr>
        <w:ind w:left="440" w:hanging="440"/>
      </w:pPr>
      <w:rPr>
        <w:rFonts w:hint="eastAsia"/>
        <w:b/>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6CEA2025"/>
    <w:multiLevelType w:val="multilevel"/>
    <w:tmpl w:val="6CEA2025"/>
    <w:lvl w:ilvl="0" w:tentative="0">
      <w:start w:val="1"/>
      <w:numFmt w:val="none"/>
      <w:pStyle w:val="99"/>
      <w:suff w:val="nothing"/>
      <w:lvlText w:val="%1"/>
      <w:lvlJc w:val="left"/>
      <w:pPr>
        <w:ind w:left="0" w:firstLine="0"/>
      </w:pPr>
      <w:rPr>
        <w:rFonts w:hint="default" w:ascii="Times New Roman" w:hAnsi="Times New Roman" w:cs="Times New Roman"/>
        <w:b/>
        <w:i w:val="0"/>
        <w:sz w:val="21"/>
      </w:rPr>
    </w:lvl>
    <w:lvl w:ilvl="1" w:tentative="0">
      <w:start w:val="1"/>
      <w:numFmt w:val="decimal"/>
      <w:suff w:val="nothing"/>
      <w:lvlText w:val="%1%2　"/>
      <w:lvlJc w:val="left"/>
      <w:pPr>
        <w:ind w:left="0" w:firstLine="0"/>
      </w:pPr>
      <w:rPr>
        <w:rFonts w:hint="eastAsia" w:ascii="黑体" w:hAnsi="Times New Roman" w:eastAsia="黑体"/>
        <w:b/>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num w:numId="1">
    <w:abstractNumId w:val="3"/>
  </w:num>
  <w:num w:numId="2">
    <w:abstractNumId w:val="1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 w:ilvl="0" w:tentative="1">
        <w:start w:val="1"/>
        <w:numFmt w:val="decimal"/>
        <w:lvlText w:val="%1"/>
        <w:lvlJc w:val="left"/>
        <w:pPr>
          <w:ind w:left="425" w:hanging="425"/>
        </w:pPr>
        <w:rPr>
          <w:rFonts w:hint="eastAsia"/>
          <w:b/>
        </w:rPr>
      </w:lvl>
    </w:lvlOverride>
    <w:lvlOverride w:ilvl="1">
      <w:lvl w:ilvl="1" w:tentative="1">
        <w:start w:val="0"/>
        <w:numFmt w:val="decimal"/>
        <w:lvlText w:val="%1.%2"/>
        <w:lvlJc w:val="left"/>
        <w:pPr>
          <w:ind w:left="0" w:firstLine="0"/>
        </w:pPr>
        <w:rPr>
          <w:rFonts w:hint="eastAsia"/>
          <w:b/>
          <w:i w:val="0"/>
        </w:rPr>
      </w:lvl>
    </w:lvlOverride>
    <w:lvlOverride w:ilvl="2">
      <w:lvl w:ilvl="2" w:tentative="1">
        <w:start w:val="1"/>
        <w:numFmt w:val="decimal"/>
        <w:lvlText w:val="%1.%2.%3"/>
        <w:lvlJc w:val="left"/>
        <w:pPr>
          <w:ind w:left="0" w:firstLine="0"/>
        </w:pPr>
        <w:rPr>
          <w:rFonts w:hint="eastAsia"/>
          <w:b/>
          <w:i w:val="0"/>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5">
    <w:abstractNumId w:val="8"/>
  </w:num>
  <w:num w:numId="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6"/>
  </w:num>
  <w:num w:numId="9">
    <w:abstractNumId w:val="2"/>
  </w:num>
  <w:num w:numId="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3"/>
  </w:num>
  <w:num w:numId="1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6"/>
  </w:num>
  <w:num w:numId="19">
    <w:abstractNumId w:val="5"/>
  </w:num>
  <w:num w:numId="20">
    <w:abstractNumId w:val="4"/>
  </w:num>
  <w:num w:numId="21">
    <w:abstractNumId w:val="12"/>
  </w:num>
  <w:num w:numId="22">
    <w:abstractNumId w:val="10"/>
  </w:num>
  <w:num w:numId="23">
    <w:abstractNumId w:val="3"/>
    <w:lvlOverride w:ilvl="2">
      <w:startOverride w:val="1"/>
    </w:lvlOverride>
    <w:lvlOverride w:ilvl="3">
      <w:startOverride w:val="1"/>
    </w:lvlOverride>
    <w:lvlOverride w:ilvl="4">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0"/>
  <w:noPunctuationKerning w:val="true"/>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_build" w:val="16.0.14326"/>
    <w:docVar w:name="ne_os" w:val="Mircrosoft"/>
  </w:docVars>
  <w:rsids>
    <w:rsidRoot w:val="00377228"/>
    <w:rsid w:val="0000069A"/>
    <w:rsid w:val="00001278"/>
    <w:rsid w:val="0000127B"/>
    <w:rsid w:val="000013CA"/>
    <w:rsid w:val="00001F8D"/>
    <w:rsid w:val="000021B2"/>
    <w:rsid w:val="00002C89"/>
    <w:rsid w:val="00003011"/>
    <w:rsid w:val="00004AEC"/>
    <w:rsid w:val="00004CE9"/>
    <w:rsid w:val="000054CC"/>
    <w:rsid w:val="00007651"/>
    <w:rsid w:val="00011454"/>
    <w:rsid w:val="000116DE"/>
    <w:rsid w:val="00011AB8"/>
    <w:rsid w:val="000127A8"/>
    <w:rsid w:val="00012C00"/>
    <w:rsid w:val="00014431"/>
    <w:rsid w:val="000148C4"/>
    <w:rsid w:val="0001494A"/>
    <w:rsid w:val="000156EF"/>
    <w:rsid w:val="000157D1"/>
    <w:rsid w:val="00020B8F"/>
    <w:rsid w:val="00022824"/>
    <w:rsid w:val="000246B2"/>
    <w:rsid w:val="000254C0"/>
    <w:rsid w:val="00025569"/>
    <w:rsid w:val="000261AB"/>
    <w:rsid w:val="000261C2"/>
    <w:rsid w:val="00026323"/>
    <w:rsid w:val="00027A90"/>
    <w:rsid w:val="00030278"/>
    <w:rsid w:val="00031611"/>
    <w:rsid w:val="00031A92"/>
    <w:rsid w:val="00032634"/>
    <w:rsid w:val="00034961"/>
    <w:rsid w:val="00034EFF"/>
    <w:rsid w:val="000358BC"/>
    <w:rsid w:val="00036ACD"/>
    <w:rsid w:val="00040DBB"/>
    <w:rsid w:val="0004262A"/>
    <w:rsid w:val="00042B8E"/>
    <w:rsid w:val="000434C0"/>
    <w:rsid w:val="00047944"/>
    <w:rsid w:val="00050AA1"/>
    <w:rsid w:val="00053215"/>
    <w:rsid w:val="00053C63"/>
    <w:rsid w:val="000553A4"/>
    <w:rsid w:val="000575B5"/>
    <w:rsid w:val="000575C4"/>
    <w:rsid w:val="00057E1F"/>
    <w:rsid w:val="00057FB9"/>
    <w:rsid w:val="00060058"/>
    <w:rsid w:val="000609BA"/>
    <w:rsid w:val="000628CA"/>
    <w:rsid w:val="000639E4"/>
    <w:rsid w:val="00064A65"/>
    <w:rsid w:val="00064B7A"/>
    <w:rsid w:val="000650FA"/>
    <w:rsid w:val="000654B5"/>
    <w:rsid w:val="0006579F"/>
    <w:rsid w:val="0006685B"/>
    <w:rsid w:val="000668D0"/>
    <w:rsid w:val="0006692B"/>
    <w:rsid w:val="0006772A"/>
    <w:rsid w:val="00067901"/>
    <w:rsid w:val="00067AB5"/>
    <w:rsid w:val="00070486"/>
    <w:rsid w:val="00070950"/>
    <w:rsid w:val="00071E7D"/>
    <w:rsid w:val="0007278F"/>
    <w:rsid w:val="00073630"/>
    <w:rsid w:val="00074F06"/>
    <w:rsid w:val="000750CC"/>
    <w:rsid w:val="000756E4"/>
    <w:rsid w:val="000756F8"/>
    <w:rsid w:val="00075BB2"/>
    <w:rsid w:val="00075E93"/>
    <w:rsid w:val="0007668F"/>
    <w:rsid w:val="0007673E"/>
    <w:rsid w:val="0007691E"/>
    <w:rsid w:val="00076FE5"/>
    <w:rsid w:val="000775EE"/>
    <w:rsid w:val="00077794"/>
    <w:rsid w:val="00077E4A"/>
    <w:rsid w:val="0008005C"/>
    <w:rsid w:val="000800E9"/>
    <w:rsid w:val="00082803"/>
    <w:rsid w:val="000839BB"/>
    <w:rsid w:val="00083D77"/>
    <w:rsid w:val="000844C3"/>
    <w:rsid w:val="000852D0"/>
    <w:rsid w:val="0008562A"/>
    <w:rsid w:val="000860EA"/>
    <w:rsid w:val="000870BC"/>
    <w:rsid w:val="00087A36"/>
    <w:rsid w:val="000902BA"/>
    <w:rsid w:val="00092B06"/>
    <w:rsid w:val="00092CB5"/>
    <w:rsid w:val="00093ADC"/>
    <w:rsid w:val="000940DC"/>
    <w:rsid w:val="00094DCE"/>
    <w:rsid w:val="00094F47"/>
    <w:rsid w:val="00095172"/>
    <w:rsid w:val="00095643"/>
    <w:rsid w:val="000973D2"/>
    <w:rsid w:val="000A2232"/>
    <w:rsid w:val="000A297C"/>
    <w:rsid w:val="000A2A6D"/>
    <w:rsid w:val="000A2FC1"/>
    <w:rsid w:val="000A38B7"/>
    <w:rsid w:val="000A4C1E"/>
    <w:rsid w:val="000A50A4"/>
    <w:rsid w:val="000A6E3E"/>
    <w:rsid w:val="000A7BB8"/>
    <w:rsid w:val="000B15D9"/>
    <w:rsid w:val="000B1A36"/>
    <w:rsid w:val="000B2946"/>
    <w:rsid w:val="000B2EEB"/>
    <w:rsid w:val="000B36C9"/>
    <w:rsid w:val="000B3E1F"/>
    <w:rsid w:val="000B4B9F"/>
    <w:rsid w:val="000B4F66"/>
    <w:rsid w:val="000B509A"/>
    <w:rsid w:val="000B61D2"/>
    <w:rsid w:val="000B625D"/>
    <w:rsid w:val="000B7047"/>
    <w:rsid w:val="000C17D2"/>
    <w:rsid w:val="000C2652"/>
    <w:rsid w:val="000C2A5B"/>
    <w:rsid w:val="000C2D2C"/>
    <w:rsid w:val="000C316B"/>
    <w:rsid w:val="000C392C"/>
    <w:rsid w:val="000C3A57"/>
    <w:rsid w:val="000C4E44"/>
    <w:rsid w:val="000C5B35"/>
    <w:rsid w:val="000C5B4D"/>
    <w:rsid w:val="000C6806"/>
    <w:rsid w:val="000C772D"/>
    <w:rsid w:val="000C7ED0"/>
    <w:rsid w:val="000D1AB7"/>
    <w:rsid w:val="000D2654"/>
    <w:rsid w:val="000D2A4F"/>
    <w:rsid w:val="000D4C70"/>
    <w:rsid w:val="000D5471"/>
    <w:rsid w:val="000D5A25"/>
    <w:rsid w:val="000D5EE6"/>
    <w:rsid w:val="000D603B"/>
    <w:rsid w:val="000D6DD5"/>
    <w:rsid w:val="000E04B7"/>
    <w:rsid w:val="000E0C0C"/>
    <w:rsid w:val="000E2045"/>
    <w:rsid w:val="000E314B"/>
    <w:rsid w:val="000E4619"/>
    <w:rsid w:val="000E462E"/>
    <w:rsid w:val="000E5C11"/>
    <w:rsid w:val="000E6397"/>
    <w:rsid w:val="000E6ECE"/>
    <w:rsid w:val="000E7532"/>
    <w:rsid w:val="000F0F94"/>
    <w:rsid w:val="000F1122"/>
    <w:rsid w:val="000F1AF9"/>
    <w:rsid w:val="000F2058"/>
    <w:rsid w:val="000F2B82"/>
    <w:rsid w:val="000F3668"/>
    <w:rsid w:val="000F5A3E"/>
    <w:rsid w:val="000F784B"/>
    <w:rsid w:val="001032E3"/>
    <w:rsid w:val="00103A68"/>
    <w:rsid w:val="001042E8"/>
    <w:rsid w:val="00104A27"/>
    <w:rsid w:val="00104EA9"/>
    <w:rsid w:val="0010504E"/>
    <w:rsid w:val="00105EBF"/>
    <w:rsid w:val="00106330"/>
    <w:rsid w:val="001073FF"/>
    <w:rsid w:val="00107BDC"/>
    <w:rsid w:val="001102DC"/>
    <w:rsid w:val="00110D7C"/>
    <w:rsid w:val="00111478"/>
    <w:rsid w:val="00111E16"/>
    <w:rsid w:val="001127F9"/>
    <w:rsid w:val="00113B4D"/>
    <w:rsid w:val="00113CE0"/>
    <w:rsid w:val="00113F48"/>
    <w:rsid w:val="00114357"/>
    <w:rsid w:val="001149C4"/>
    <w:rsid w:val="001173F4"/>
    <w:rsid w:val="001202EB"/>
    <w:rsid w:val="00120B5C"/>
    <w:rsid w:val="00120E29"/>
    <w:rsid w:val="00122A1B"/>
    <w:rsid w:val="001243F8"/>
    <w:rsid w:val="00124543"/>
    <w:rsid w:val="00124A34"/>
    <w:rsid w:val="00125C96"/>
    <w:rsid w:val="00126330"/>
    <w:rsid w:val="0012650A"/>
    <w:rsid w:val="00126B70"/>
    <w:rsid w:val="00131887"/>
    <w:rsid w:val="0013386A"/>
    <w:rsid w:val="0013770F"/>
    <w:rsid w:val="0014062D"/>
    <w:rsid w:val="00140651"/>
    <w:rsid w:val="00140E44"/>
    <w:rsid w:val="00140F54"/>
    <w:rsid w:val="00142FE4"/>
    <w:rsid w:val="00143769"/>
    <w:rsid w:val="00143822"/>
    <w:rsid w:val="001442C7"/>
    <w:rsid w:val="00144A0C"/>
    <w:rsid w:val="001472E5"/>
    <w:rsid w:val="001475A2"/>
    <w:rsid w:val="0014783E"/>
    <w:rsid w:val="00147AB4"/>
    <w:rsid w:val="001501F9"/>
    <w:rsid w:val="001507B8"/>
    <w:rsid w:val="001509EA"/>
    <w:rsid w:val="00150E62"/>
    <w:rsid w:val="00151460"/>
    <w:rsid w:val="00151E00"/>
    <w:rsid w:val="00152A51"/>
    <w:rsid w:val="00153965"/>
    <w:rsid w:val="00153A54"/>
    <w:rsid w:val="001543EB"/>
    <w:rsid w:val="00154E42"/>
    <w:rsid w:val="0015591C"/>
    <w:rsid w:val="00155987"/>
    <w:rsid w:val="00156317"/>
    <w:rsid w:val="0016005C"/>
    <w:rsid w:val="00161DDC"/>
    <w:rsid w:val="00162B7E"/>
    <w:rsid w:val="001633E3"/>
    <w:rsid w:val="00164270"/>
    <w:rsid w:val="001645AF"/>
    <w:rsid w:val="001645ED"/>
    <w:rsid w:val="0016696E"/>
    <w:rsid w:val="00166A2B"/>
    <w:rsid w:val="00166DE5"/>
    <w:rsid w:val="00166F4A"/>
    <w:rsid w:val="001675C7"/>
    <w:rsid w:val="00167BBD"/>
    <w:rsid w:val="00170510"/>
    <w:rsid w:val="00170732"/>
    <w:rsid w:val="00170952"/>
    <w:rsid w:val="00172AC3"/>
    <w:rsid w:val="00172F6A"/>
    <w:rsid w:val="00173B5A"/>
    <w:rsid w:val="00173E04"/>
    <w:rsid w:val="00174712"/>
    <w:rsid w:val="00175265"/>
    <w:rsid w:val="00180011"/>
    <w:rsid w:val="00180110"/>
    <w:rsid w:val="00181151"/>
    <w:rsid w:val="0018148F"/>
    <w:rsid w:val="001821C2"/>
    <w:rsid w:val="001834E0"/>
    <w:rsid w:val="00183F9A"/>
    <w:rsid w:val="001842E4"/>
    <w:rsid w:val="0018433A"/>
    <w:rsid w:val="001849E6"/>
    <w:rsid w:val="0018708F"/>
    <w:rsid w:val="0018765F"/>
    <w:rsid w:val="00187B69"/>
    <w:rsid w:val="001904D5"/>
    <w:rsid w:val="00190C1D"/>
    <w:rsid w:val="001915C9"/>
    <w:rsid w:val="0019206E"/>
    <w:rsid w:val="001925B6"/>
    <w:rsid w:val="0019307B"/>
    <w:rsid w:val="00193EFB"/>
    <w:rsid w:val="00194799"/>
    <w:rsid w:val="00195827"/>
    <w:rsid w:val="00195BE7"/>
    <w:rsid w:val="001976A5"/>
    <w:rsid w:val="001A059E"/>
    <w:rsid w:val="001A1102"/>
    <w:rsid w:val="001A29CF"/>
    <w:rsid w:val="001A4C53"/>
    <w:rsid w:val="001A5B8A"/>
    <w:rsid w:val="001A6137"/>
    <w:rsid w:val="001A669A"/>
    <w:rsid w:val="001A669F"/>
    <w:rsid w:val="001A72CC"/>
    <w:rsid w:val="001A7405"/>
    <w:rsid w:val="001A7E89"/>
    <w:rsid w:val="001B05FA"/>
    <w:rsid w:val="001B0E13"/>
    <w:rsid w:val="001B26A6"/>
    <w:rsid w:val="001B28EE"/>
    <w:rsid w:val="001B33A4"/>
    <w:rsid w:val="001B3684"/>
    <w:rsid w:val="001B4E36"/>
    <w:rsid w:val="001B690D"/>
    <w:rsid w:val="001B7955"/>
    <w:rsid w:val="001C136D"/>
    <w:rsid w:val="001C1624"/>
    <w:rsid w:val="001C1A83"/>
    <w:rsid w:val="001C230B"/>
    <w:rsid w:val="001C3867"/>
    <w:rsid w:val="001C4AFA"/>
    <w:rsid w:val="001C5384"/>
    <w:rsid w:val="001C563A"/>
    <w:rsid w:val="001C5C80"/>
    <w:rsid w:val="001D0963"/>
    <w:rsid w:val="001D187D"/>
    <w:rsid w:val="001D3461"/>
    <w:rsid w:val="001D4209"/>
    <w:rsid w:val="001D661A"/>
    <w:rsid w:val="001E1547"/>
    <w:rsid w:val="001E238B"/>
    <w:rsid w:val="001E2F66"/>
    <w:rsid w:val="001E33E0"/>
    <w:rsid w:val="001E5247"/>
    <w:rsid w:val="001E7729"/>
    <w:rsid w:val="001F0DAA"/>
    <w:rsid w:val="001F1F6D"/>
    <w:rsid w:val="001F20CB"/>
    <w:rsid w:val="001F36F9"/>
    <w:rsid w:val="001F3723"/>
    <w:rsid w:val="001F3CE7"/>
    <w:rsid w:val="001F3D6B"/>
    <w:rsid w:val="001F427C"/>
    <w:rsid w:val="001F42FC"/>
    <w:rsid w:val="001F4582"/>
    <w:rsid w:val="001F4C4F"/>
    <w:rsid w:val="001F4FF2"/>
    <w:rsid w:val="001F54F9"/>
    <w:rsid w:val="001F6A07"/>
    <w:rsid w:val="001F7A42"/>
    <w:rsid w:val="001F7B35"/>
    <w:rsid w:val="001F7ECA"/>
    <w:rsid w:val="0020367F"/>
    <w:rsid w:val="00203E77"/>
    <w:rsid w:val="002058E2"/>
    <w:rsid w:val="00206C43"/>
    <w:rsid w:val="00206C92"/>
    <w:rsid w:val="00210744"/>
    <w:rsid w:val="002117CE"/>
    <w:rsid w:val="00213125"/>
    <w:rsid w:val="0021330E"/>
    <w:rsid w:val="002134A0"/>
    <w:rsid w:val="00213808"/>
    <w:rsid w:val="00213CA5"/>
    <w:rsid w:val="00213EBB"/>
    <w:rsid w:val="00214DF2"/>
    <w:rsid w:val="00217834"/>
    <w:rsid w:val="00220D88"/>
    <w:rsid w:val="00221D31"/>
    <w:rsid w:val="00222E70"/>
    <w:rsid w:val="00223212"/>
    <w:rsid w:val="00224B43"/>
    <w:rsid w:val="00224D03"/>
    <w:rsid w:val="00225220"/>
    <w:rsid w:val="00225A02"/>
    <w:rsid w:val="00225B68"/>
    <w:rsid w:val="00226254"/>
    <w:rsid w:val="00226F66"/>
    <w:rsid w:val="002277C3"/>
    <w:rsid w:val="00230479"/>
    <w:rsid w:val="0023251B"/>
    <w:rsid w:val="00232A10"/>
    <w:rsid w:val="00234773"/>
    <w:rsid w:val="0023500D"/>
    <w:rsid w:val="00237985"/>
    <w:rsid w:val="00237CF3"/>
    <w:rsid w:val="002422AF"/>
    <w:rsid w:val="002430AF"/>
    <w:rsid w:val="002434E2"/>
    <w:rsid w:val="00245CBB"/>
    <w:rsid w:val="00247805"/>
    <w:rsid w:val="00252668"/>
    <w:rsid w:val="0025268F"/>
    <w:rsid w:val="002528D4"/>
    <w:rsid w:val="00252BA8"/>
    <w:rsid w:val="00253D45"/>
    <w:rsid w:val="00254E45"/>
    <w:rsid w:val="002552B2"/>
    <w:rsid w:val="0026027E"/>
    <w:rsid w:val="0026030E"/>
    <w:rsid w:val="00260DC0"/>
    <w:rsid w:val="002619E9"/>
    <w:rsid w:val="002627DE"/>
    <w:rsid w:val="0026290A"/>
    <w:rsid w:val="002632BD"/>
    <w:rsid w:val="00264A6E"/>
    <w:rsid w:val="0026566E"/>
    <w:rsid w:val="0026631B"/>
    <w:rsid w:val="00267277"/>
    <w:rsid w:val="00267894"/>
    <w:rsid w:val="00267CCC"/>
    <w:rsid w:val="00267D9D"/>
    <w:rsid w:val="002709C0"/>
    <w:rsid w:val="0027172D"/>
    <w:rsid w:val="002721C8"/>
    <w:rsid w:val="002725A4"/>
    <w:rsid w:val="0027289E"/>
    <w:rsid w:val="00272D1D"/>
    <w:rsid w:val="00273698"/>
    <w:rsid w:val="00274729"/>
    <w:rsid w:val="002748EE"/>
    <w:rsid w:val="00274E8B"/>
    <w:rsid w:val="00275904"/>
    <w:rsid w:val="00275A1E"/>
    <w:rsid w:val="0027718F"/>
    <w:rsid w:val="00277ECD"/>
    <w:rsid w:val="00280452"/>
    <w:rsid w:val="00281EC3"/>
    <w:rsid w:val="002827A6"/>
    <w:rsid w:val="002827D1"/>
    <w:rsid w:val="0028289E"/>
    <w:rsid w:val="00283655"/>
    <w:rsid w:val="00283FF7"/>
    <w:rsid w:val="00284F05"/>
    <w:rsid w:val="00284F84"/>
    <w:rsid w:val="00285569"/>
    <w:rsid w:val="00287381"/>
    <w:rsid w:val="00287E00"/>
    <w:rsid w:val="00290216"/>
    <w:rsid w:val="002914D0"/>
    <w:rsid w:val="00293128"/>
    <w:rsid w:val="00293259"/>
    <w:rsid w:val="00294A90"/>
    <w:rsid w:val="002956A5"/>
    <w:rsid w:val="00296244"/>
    <w:rsid w:val="00296455"/>
    <w:rsid w:val="002A029B"/>
    <w:rsid w:val="002A041E"/>
    <w:rsid w:val="002A1B4A"/>
    <w:rsid w:val="002A28F0"/>
    <w:rsid w:val="002A4F2D"/>
    <w:rsid w:val="002A5A69"/>
    <w:rsid w:val="002A63C2"/>
    <w:rsid w:val="002A65AC"/>
    <w:rsid w:val="002B0D28"/>
    <w:rsid w:val="002B0D2E"/>
    <w:rsid w:val="002B12E9"/>
    <w:rsid w:val="002B1B2D"/>
    <w:rsid w:val="002B248C"/>
    <w:rsid w:val="002B4820"/>
    <w:rsid w:val="002B75A3"/>
    <w:rsid w:val="002C0FC2"/>
    <w:rsid w:val="002C1436"/>
    <w:rsid w:val="002C15BA"/>
    <w:rsid w:val="002C1E83"/>
    <w:rsid w:val="002C3564"/>
    <w:rsid w:val="002C49C5"/>
    <w:rsid w:val="002C4B78"/>
    <w:rsid w:val="002C4BA2"/>
    <w:rsid w:val="002C58F3"/>
    <w:rsid w:val="002C59CA"/>
    <w:rsid w:val="002C60CE"/>
    <w:rsid w:val="002C6C2E"/>
    <w:rsid w:val="002C6E14"/>
    <w:rsid w:val="002C7237"/>
    <w:rsid w:val="002C74D8"/>
    <w:rsid w:val="002C7557"/>
    <w:rsid w:val="002D0FE7"/>
    <w:rsid w:val="002D220F"/>
    <w:rsid w:val="002D2E6D"/>
    <w:rsid w:val="002D2FAD"/>
    <w:rsid w:val="002D379F"/>
    <w:rsid w:val="002D3C71"/>
    <w:rsid w:val="002D4246"/>
    <w:rsid w:val="002D7023"/>
    <w:rsid w:val="002D7D72"/>
    <w:rsid w:val="002D7ED6"/>
    <w:rsid w:val="002E03E2"/>
    <w:rsid w:val="002E040B"/>
    <w:rsid w:val="002E137D"/>
    <w:rsid w:val="002E3D3D"/>
    <w:rsid w:val="002E3EB3"/>
    <w:rsid w:val="002E44B0"/>
    <w:rsid w:val="002E50D6"/>
    <w:rsid w:val="002E6B22"/>
    <w:rsid w:val="002E6EB9"/>
    <w:rsid w:val="002E7466"/>
    <w:rsid w:val="002F1392"/>
    <w:rsid w:val="002F1D89"/>
    <w:rsid w:val="002F25D8"/>
    <w:rsid w:val="002F2AAD"/>
    <w:rsid w:val="002F2D0C"/>
    <w:rsid w:val="002F2DF9"/>
    <w:rsid w:val="002F39BF"/>
    <w:rsid w:val="002F4053"/>
    <w:rsid w:val="00301B5E"/>
    <w:rsid w:val="00303DD6"/>
    <w:rsid w:val="00304833"/>
    <w:rsid w:val="00304B33"/>
    <w:rsid w:val="00304B89"/>
    <w:rsid w:val="00305A67"/>
    <w:rsid w:val="00306080"/>
    <w:rsid w:val="00306636"/>
    <w:rsid w:val="00310325"/>
    <w:rsid w:val="00311754"/>
    <w:rsid w:val="00311CEB"/>
    <w:rsid w:val="00311F3F"/>
    <w:rsid w:val="00312F04"/>
    <w:rsid w:val="0031308A"/>
    <w:rsid w:val="003130C3"/>
    <w:rsid w:val="0031334F"/>
    <w:rsid w:val="003142F8"/>
    <w:rsid w:val="0031479E"/>
    <w:rsid w:val="00314970"/>
    <w:rsid w:val="0031507C"/>
    <w:rsid w:val="003156C3"/>
    <w:rsid w:val="00316FF9"/>
    <w:rsid w:val="003208FC"/>
    <w:rsid w:val="0032171C"/>
    <w:rsid w:val="00322B11"/>
    <w:rsid w:val="003239BB"/>
    <w:rsid w:val="003246F1"/>
    <w:rsid w:val="00324B85"/>
    <w:rsid w:val="00324CB3"/>
    <w:rsid w:val="00324E3B"/>
    <w:rsid w:val="003250F4"/>
    <w:rsid w:val="00325A41"/>
    <w:rsid w:val="00326057"/>
    <w:rsid w:val="0032622D"/>
    <w:rsid w:val="00327E4B"/>
    <w:rsid w:val="00331ADF"/>
    <w:rsid w:val="0033206B"/>
    <w:rsid w:val="00332AC1"/>
    <w:rsid w:val="00333E4F"/>
    <w:rsid w:val="003369E4"/>
    <w:rsid w:val="0033710F"/>
    <w:rsid w:val="00341AA1"/>
    <w:rsid w:val="003421BE"/>
    <w:rsid w:val="00342413"/>
    <w:rsid w:val="00343387"/>
    <w:rsid w:val="00343919"/>
    <w:rsid w:val="003445E0"/>
    <w:rsid w:val="003451E0"/>
    <w:rsid w:val="0034619D"/>
    <w:rsid w:val="0034648F"/>
    <w:rsid w:val="0034788B"/>
    <w:rsid w:val="00347CB1"/>
    <w:rsid w:val="00351D9C"/>
    <w:rsid w:val="00351DCA"/>
    <w:rsid w:val="00352311"/>
    <w:rsid w:val="00352563"/>
    <w:rsid w:val="00352FE6"/>
    <w:rsid w:val="003534A8"/>
    <w:rsid w:val="00353D2F"/>
    <w:rsid w:val="003546BA"/>
    <w:rsid w:val="003555CA"/>
    <w:rsid w:val="00355C56"/>
    <w:rsid w:val="00356667"/>
    <w:rsid w:val="00356EA0"/>
    <w:rsid w:val="00356FE2"/>
    <w:rsid w:val="00357D3E"/>
    <w:rsid w:val="00357EDD"/>
    <w:rsid w:val="00357F68"/>
    <w:rsid w:val="00360176"/>
    <w:rsid w:val="0036025A"/>
    <w:rsid w:val="00360C32"/>
    <w:rsid w:val="003639E9"/>
    <w:rsid w:val="00363AA6"/>
    <w:rsid w:val="00363DAF"/>
    <w:rsid w:val="00364427"/>
    <w:rsid w:val="00364C20"/>
    <w:rsid w:val="00366FD7"/>
    <w:rsid w:val="003675C7"/>
    <w:rsid w:val="003678CA"/>
    <w:rsid w:val="00372DA4"/>
    <w:rsid w:val="00372EEA"/>
    <w:rsid w:val="00373471"/>
    <w:rsid w:val="00375F23"/>
    <w:rsid w:val="0037624A"/>
    <w:rsid w:val="0037677F"/>
    <w:rsid w:val="00376DFC"/>
    <w:rsid w:val="00377228"/>
    <w:rsid w:val="00381568"/>
    <w:rsid w:val="003820D6"/>
    <w:rsid w:val="00384923"/>
    <w:rsid w:val="003862E4"/>
    <w:rsid w:val="00386DA3"/>
    <w:rsid w:val="00387094"/>
    <w:rsid w:val="003874FA"/>
    <w:rsid w:val="00390071"/>
    <w:rsid w:val="00390188"/>
    <w:rsid w:val="003914BA"/>
    <w:rsid w:val="003925BB"/>
    <w:rsid w:val="00392DB7"/>
    <w:rsid w:val="00393EA5"/>
    <w:rsid w:val="00395AC2"/>
    <w:rsid w:val="00395E20"/>
    <w:rsid w:val="00397586"/>
    <w:rsid w:val="0039767A"/>
    <w:rsid w:val="003A02E2"/>
    <w:rsid w:val="003A0981"/>
    <w:rsid w:val="003A09B1"/>
    <w:rsid w:val="003A12FB"/>
    <w:rsid w:val="003A13A2"/>
    <w:rsid w:val="003A1BD7"/>
    <w:rsid w:val="003A1DE3"/>
    <w:rsid w:val="003A1F50"/>
    <w:rsid w:val="003A279A"/>
    <w:rsid w:val="003A2827"/>
    <w:rsid w:val="003A327F"/>
    <w:rsid w:val="003A3781"/>
    <w:rsid w:val="003A4BA0"/>
    <w:rsid w:val="003A5945"/>
    <w:rsid w:val="003A5F70"/>
    <w:rsid w:val="003A6348"/>
    <w:rsid w:val="003A66B7"/>
    <w:rsid w:val="003A7159"/>
    <w:rsid w:val="003B005D"/>
    <w:rsid w:val="003B193A"/>
    <w:rsid w:val="003B19BA"/>
    <w:rsid w:val="003B1AD6"/>
    <w:rsid w:val="003B21E0"/>
    <w:rsid w:val="003B245E"/>
    <w:rsid w:val="003B2C7F"/>
    <w:rsid w:val="003B3799"/>
    <w:rsid w:val="003B593E"/>
    <w:rsid w:val="003B5CFC"/>
    <w:rsid w:val="003B6312"/>
    <w:rsid w:val="003B6600"/>
    <w:rsid w:val="003B6EB6"/>
    <w:rsid w:val="003B7BD8"/>
    <w:rsid w:val="003C0AF8"/>
    <w:rsid w:val="003C1C2A"/>
    <w:rsid w:val="003C2934"/>
    <w:rsid w:val="003C2AF3"/>
    <w:rsid w:val="003C5576"/>
    <w:rsid w:val="003C56C2"/>
    <w:rsid w:val="003C648C"/>
    <w:rsid w:val="003C729A"/>
    <w:rsid w:val="003C761E"/>
    <w:rsid w:val="003D07FF"/>
    <w:rsid w:val="003D230C"/>
    <w:rsid w:val="003D2EBF"/>
    <w:rsid w:val="003D4E29"/>
    <w:rsid w:val="003D4EA6"/>
    <w:rsid w:val="003D5577"/>
    <w:rsid w:val="003D617D"/>
    <w:rsid w:val="003D6B20"/>
    <w:rsid w:val="003D721F"/>
    <w:rsid w:val="003D7220"/>
    <w:rsid w:val="003D77EB"/>
    <w:rsid w:val="003D7A59"/>
    <w:rsid w:val="003E0362"/>
    <w:rsid w:val="003E0442"/>
    <w:rsid w:val="003E053D"/>
    <w:rsid w:val="003E07ED"/>
    <w:rsid w:val="003E0B48"/>
    <w:rsid w:val="003E0B6C"/>
    <w:rsid w:val="003E1133"/>
    <w:rsid w:val="003E33E4"/>
    <w:rsid w:val="003E4727"/>
    <w:rsid w:val="003E5816"/>
    <w:rsid w:val="003E70E4"/>
    <w:rsid w:val="003E7303"/>
    <w:rsid w:val="003F010A"/>
    <w:rsid w:val="003F0584"/>
    <w:rsid w:val="003F076D"/>
    <w:rsid w:val="003F185D"/>
    <w:rsid w:val="003F2BAC"/>
    <w:rsid w:val="003F332A"/>
    <w:rsid w:val="003F3B95"/>
    <w:rsid w:val="003F3C6F"/>
    <w:rsid w:val="003F44D1"/>
    <w:rsid w:val="003F59D7"/>
    <w:rsid w:val="003F641E"/>
    <w:rsid w:val="003F66C6"/>
    <w:rsid w:val="003F71F1"/>
    <w:rsid w:val="004012BD"/>
    <w:rsid w:val="00401622"/>
    <w:rsid w:val="00402CCC"/>
    <w:rsid w:val="00402D41"/>
    <w:rsid w:val="004040A3"/>
    <w:rsid w:val="004066AD"/>
    <w:rsid w:val="004070AF"/>
    <w:rsid w:val="00407966"/>
    <w:rsid w:val="004101F8"/>
    <w:rsid w:val="00410B81"/>
    <w:rsid w:val="00410F85"/>
    <w:rsid w:val="0041161B"/>
    <w:rsid w:val="00411720"/>
    <w:rsid w:val="00412041"/>
    <w:rsid w:val="00412BE3"/>
    <w:rsid w:val="00412E79"/>
    <w:rsid w:val="004141D6"/>
    <w:rsid w:val="004153D7"/>
    <w:rsid w:val="0041562B"/>
    <w:rsid w:val="004160B2"/>
    <w:rsid w:val="00416643"/>
    <w:rsid w:val="00417B2C"/>
    <w:rsid w:val="00417C20"/>
    <w:rsid w:val="00420706"/>
    <w:rsid w:val="00420F41"/>
    <w:rsid w:val="004213BB"/>
    <w:rsid w:val="004213ED"/>
    <w:rsid w:val="004216BC"/>
    <w:rsid w:val="004218D8"/>
    <w:rsid w:val="0042249E"/>
    <w:rsid w:val="00422B1E"/>
    <w:rsid w:val="00423691"/>
    <w:rsid w:val="004246A8"/>
    <w:rsid w:val="00424DD0"/>
    <w:rsid w:val="00425AE9"/>
    <w:rsid w:val="00425E22"/>
    <w:rsid w:val="004260B2"/>
    <w:rsid w:val="00426205"/>
    <w:rsid w:val="00426569"/>
    <w:rsid w:val="00427ACD"/>
    <w:rsid w:val="00427BBC"/>
    <w:rsid w:val="00430709"/>
    <w:rsid w:val="00430823"/>
    <w:rsid w:val="00431438"/>
    <w:rsid w:val="00431B7F"/>
    <w:rsid w:val="004336B9"/>
    <w:rsid w:val="00433FBF"/>
    <w:rsid w:val="0043456B"/>
    <w:rsid w:val="00435441"/>
    <w:rsid w:val="00435F54"/>
    <w:rsid w:val="00437370"/>
    <w:rsid w:val="00437A8D"/>
    <w:rsid w:val="00437D6B"/>
    <w:rsid w:val="004404D1"/>
    <w:rsid w:val="00441288"/>
    <w:rsid w:val="00441470"/>
    <w:rsid w:val="0044148B"/>
    <w:rsid w:val="004419C7"/>
    <w:rsid w:val="00441E18"/>
    <w:rsid w:val="004424C9"/>
    <w:rsid w:val="004433B0"/>
    <w:rsid w:val="004443B5"/>
    <w:rsid w:val="0044559A"/>
    <w:rsid w:val="00445644"/>
    <w:rsid w:val="00446413"/>
    <w:rsid w:val="00446BDA"/>
    <w:rsid w:val="004470C3"/>
    <w:rsid w:val="00447418"/>
    <w:rsid w:val="004509D9"/>
    <w:rsid w:val="00450AC6"/>
    <w:rsid w:val="00451920"/>
    <w:rsid w:val="00452C35"/>
    <w:rsid w:val="00452F61"/>
    <w:rsid w:val="00452FF1"/>
    <w:rsid w:val="00454E2A"/>
    <w:rsid w:val="004553C7"/>
    <w:rsid w:val="00455E35"/>
    <w:rsid w:val="00457E39"/>
    <w:rsid w:val="004603BA"/>
    <w:rsid w:val="00460639"/>
    <w:rsid w:val="004618A7"/>
    <w:rsid w:val="004618D1"/>
    <w:rsid w:val="00461F26"/>
    <w:rsid w:val="004634B4"/>
    <w:rsid w:val="00464529"/>
    <w:rsid w:val="00464C74"/>
    <w:rsid w:val="00465368"/>
    <w:rsid w:val="0046764E"/>
    <w:rsid w:val="00470B91"/>
    <w:rsid w:val="0047149A"/>
    <w:rsid w:val="00473409"/>
    <w:rsid w:val="00473630"/>
    <w:rsid w:val="00473889"/>
    <w:rsid w:val="004739DB"/>
    <w:rsid w:val="00473D0A"/>
    <w:rsid w:val="00473DE4"/>
    <w:rsid w:val="004746A5"/>
    <w:rsid w:val="0047478D"/>
    <w:rsid w:val="00474D9A"/>
    <w:rsid w:val="00476470"/>
    <w:rsid w:val="004766E0"/>
    <w:rsid w:val="00481D64"/>
    <w:rsid w:val="004824BB"/>
    <w:rsid w:val="00482E67"/>
    <w:rsid w:val="00482F28"/>
    <w:rsid w:val="004830D2"/>
    <w:rsid w:val="00483504"/>
    <w:rsid w:val="0048352C"/>
    <w:rsid w:val="004856CE"/>
    <w:rsid w:val="00485F0D"/>
    <w:rsid w:val="0048612A"/>
    <w:rsid w:val="004867BD"/>
    <w:rsid w:val="00487317"/>
    <w:rsid w:val="00487852"/>
    <w:rsid w:val="004920EF"/>
    <w:rsid w:val="0049387E"/>
    <w:rsid w:val="00493B3C"/>
    <w:rsid w:val="00493DC6"/>
    <w:rsid w:val="00494C99"/>
    <w:rsid w:val="004955FD"/>
    <w:rsid w:val="00495802"/>
    <w:rsid w:val="00495CAB"/>
    <w:rsid w:val="00495DAE"/>
    <w:rsid w:val="004977D0"/>
    <w:rsid w:val="00497FE7"/>
    <w:rsid w:val="004A023F"/>
    <w:rsid w:val="004A0F45"/>
    <w:rsid w:val="004A1026"/>
    <w:rsid w:val="004A2726"/>
    <w:rsid w:val="004A32D9"/>
    <w:rsid w:val="004A4099"/>
    <w:rsid w:val="004A4DAE"/>
    <w:rsid w:val="004A5164"/>
    <w:rsid w:val="004A5969"/>
    <w:rsid w:val="004A7102"/>
    <w:rsid w:val="004A79A5"/>
    <w:rsid w:val="004A7BEE"/>
    <w:rsid w:val="004B0694"/>
    <w:rsid w:val="004B0F84"/>
    <w:rsid w:val="004B40D0"/>
    <w:rsid w:val="004B4D42"/>
    <w:rsid w:val="004B5624"/>
    <w:rsid w:val="004B5702"/>
    <w:rsid w:val="004B66EC"/>
    <w:rsid w:val="004B6ECF"/>
    <w:rsid w:val="004B6FEA"/>
    <w:rsid w:val="004B7529"/>
    <w:rsid w:val="004B76FA"/>
    <w:rsid w:val="004C036E"/>
    <w:rsid w:val="004C0A51"/>
    <w:rsid w:val="004C1377"/>
    <w:rsid w:val="004C17C0"/>
    <w:rsid w:val="004C28D2"/>
    <w:rsid w:val="004C3BA3"/>
    <w:rsid w:val="004C3E32"/>
    <w:rsid w:val="004C421F"/>
    <w:rsid w:val="004C56C9"/>
    <w:rsid w:val="004C61A0"/>
    <w:rsid w:val="004D0897"/>
    <w:rsid w:val="004D0B38"/>
    <w:rsid w:val="004D2CF3"/>
    <w:rsid w:val="004D357D"/>
    <w:rsid w:val="004D4FBD"/>
    <w:rsid w:val="004D6FC9"/>
    <w:rsid w:val="004D77B4"/>
    <w:rsid w:val="004E0472"/>
    <w:rsid w:val="004E07CE"/>
    <w:rsid w:val="004E0F15"/>
    <w:rsid w:val="004E16B5"/>
    <w:rsid w:val="004E1FE4"/>
    <w:rsid w:val="004E2576"/>
    <w:rsid w:val="004E4CBD"/>
    <w:rsid w:val="004E4F15"/>
    <w:rsid w:val="004E53C8"/>
    <w:rsid w:val="004E5960"/>
    <w:rsid w:val="004E6914"/>
    <w:rsid w:val="004E6BC0"/>
    <w:rsid w:val="004E7BC8"/>
    <w:rsid w:val="004F07DF"/>
    <w:rsid w:val="004F11EC"/>
    <w:rsid w:val="004F20D1"/>
    <w:rsid w:val="004F430D"/>
    <w:rsid w:val="004F5125"/>
    <w:rsid w:val="00500DC5"/>
    <w:rsid w:val="005018D3"/>
    <w:rsid w:val="00501B4F"/>
    <w:rsid w:val="00503E4D"/>
    <w:rsid w:val="005045C8"/>
    <w:rsid w:val="00505418"/>
    <w:rsid w:val="00505511"/>
    <w:rsid w:val="005063E7"/>
    <w:rsid w:val="00506FF7"/>
    <w:rsid w:val="0050785B"/>
    <w:rsid w:val="005078BB"/>
    <w:rsid w:val="00511391"/>
    <w:rsid w:val="00511A9B"/>
    <w:rsid w:val="00511C40"/>
    <w:rsid w:val="005120C1"/>
    <w:rsid w:val="00512D85"/>
    <w:rsid w:val="00514334"/>
    <w:rsid w:val="005146D2"/>
    <w:rsid w:val="00515276"/>
    <w:rsid w:val="00515462"/>
    <w:rsid w:val="00515506"/>
    <w:rsid w:val="005155EA"/>
    <w:rsid w:val="00515897"/>
    <w:rsid w:val="00515BE9"/>
    <w:rsid w:val="00515E42"/>
    <w:rsid w:val="00516126"/>
    <w:rsid w:val="005167F9"/>
    <w:rsid w:val="005169C4"/>
    <w:rsid w:val="00520E38"/>
    <w:rsid w:val="005212F2"/>
    <w:rsid w:val="00521732"/>
    <w:rsid w:val="00521CCB"/>
    <w:rsid w:val="00523F7D"/>
    <w:rsid w:val="005245BD"/>
    <w:rsid w:val="005246F7"/>
    <w:rsid w:val="005250F6"/>
    <w:rsid w:val="00525C95"/>
    <w:rsid w:val="00526467"/>
    <w:rsid w:val="00526F79"/>
    <w:rsid w:val="00530555"/>
    <w:rsid w:val="005347A9"/>
    <w:rsid w:val="0053662A"/>
    <w:rsid w:val="00536970"/>
    <w:rsid w:val="00540E37"/>
    <w:rsid w:val="00541EBD"/>
    <w:rsid w:val="005431A6"/>
    <w:rsid w:val="005435F1"/>
    <w:rsid w:val="00544175"/>
    <w:rsid w:val="00544265"/>
    <w:rsid w:val="00544A6D"/>
    <w:rsid w:val="005452FC"/>
    <w:rsid w:val="00545E0C"/>
    <w:rsid w:val="00545E96"/>
    <w:rsid w:val="00547158"/>
    <w:rsid w:val="00547420"/>
    <w:rsid w:val="0055029E"/>
    <w:rsid w:val="00552B73"/>
    <w:rsid w:val="0055585C"/>
    <w:rsid w:val="00555BBD"/>
    <w:rsid w:val="0055604D"/>
    <w:rsid w:val="00557047"/>
    <w:rsid w:val="00557DF3"/>
    <w:rsid w:val="00561078"/>
    <w:rsid w:val="00561FDA"/>
    <w:rsid w:val="0056295A"/>
    <w:rsid w:val="00562F59"/>
    <w:rsid w:val="00563324"/>
    <w:rsid w:val="00564471"/>
    <w:rsid w:val="00565F89"/>
    <w:rsid w:val="0056723A"/>
    <w:rsid w:val="00570E0D"/>
    <w:rsid w:val="00571022"/>
    <w:rsid w:val="0057109C"/>
    <w:rsid w:val="005713A9"/>
    <w:rsid w:val="00572557"/>
    <w:rsid w:val="00572680"/>
    <w:rsid w:val="005733A4"/>
    <w:rsid w:val="005733B8"/>
    <w:rsid w:val="00573A0D"/>
    <w:rsid w:val="00575BB0"/>
    <w:rsid w:val="00576B8E"/>
    <w:rsid w:val="00577657"/>
    <w:rsid w:val="00577C23"/>
    <w:rsid w:val="00580162"/>
    <w:rsid w:val="00580864"/>
    <w:rsid w:val="00581131"/>
    <w:rsid w:val="00582782"/>
    <w:rsid w:val="00582F88"/>
    <w:rsid w:val="00583F8B"/>
    <w:rsid w:val="0058434E"/>
    <w:rsid w:val="00584A03"/>
    <w:rsid w:val="00584B99"/>
    <w:rsid w:val="0058501D"/>
    <w:rsid w:val="00585BC0"/>
    <w:rsid w:val="0058640A"/>
    <w:rsid w:val="00587478"/>
    <w:rsid w:val="0059071C"/>
    <w:rsid w:val="00590D3C"/>
    <w:rsid w:val="00591028"/>
    <w:rsid w:val="00592725"/>
    <w:rsid w:val="00593C77"/>
    <w:rsid w:val="00593CEC"/>
    <w:rsid w:val="005959C6"/>
    <w:rsid w:val="005A0C81"/>
    <w:rsid w:val="005A1B08"/>
    <w:rsid w:val="005A1B30"/>
    <w:rsid w:val="005A1FC6"/>
    <w:rsid w:val="005A2CC7"/>
    <w:rsid w:val="005A2E6D"/>
    <w:rsid w:val="005A33B5"/>
    <w:rsid w:val="005A35B1"/>
    <w:rsid w:val="005A3B4B"/>
    <w:rsid w:val="005A47FD"/>
    <w:rsid w:val="005A54F5"/>
    <w:rsid w:val="005A6131"/>
    <w:rsid w:val="005A6365"/>
    <w:rsid w:val="005A6573"/>
    <w:rsid w:val="005B06EE"/>
    <w:rsid w:val="005B0D04"/>
    <w:rsid w:val="005B32D9"/>
    <w:rsid w:val="005B40CD"/>
    <w:rsid w:val="005B51CF"/>
    <w:rsid w:val="005B6F09"/>
    <w:rsid w:val="005B7118"/>
    <w:rsid w:val="005C0BCA"/>
    <w:rsid w:val="005C1155"/>
    <w:rsid w:val="005C2B5F"/>
    <w:rsid w:val="005C308E"/>
    <w:rsid w:val="005C3535"/>
    <w:rsid w:val="005C46BA"/>
    <w:rsid w:val="005C477D"/>
    <w:rsid w:val="005C48F6"/>
    <w:rsid w:val="005C4C77"/>
    <w:rsid w:val="005C5181"/>
    <w:rsid w:val="005C5B01"/>
    <w:rsid w:val="005D1335"/>
    <w:rsid w:val="005D1AA0"/>
    <w:rsid w:val="005D29F7"/>
    <w:rsid w:val="005D3E6A"/>
    <w:rsid w:val="005D422A"/>
    <w:rsid w:val="005D5125"/>
    <w:rsid w:val="005D51C6"/>
    <w:rsid w:val="005D6C95"/>
    <w:rsid w:val="005D70C5"/>
    <w:rsid w:val="005D72EF"/>
    <w:rsid w:val="005D7576"/>
    <w:rsid w:val="005E15FF"/>
    <w:rsid w:val="005E16CB"/>
    <w:rsid w:val="005E3161"/>
    <w:rsid w:val="005E37D9"/>
    <w:rsid w:val="005E4169"/>
    <w:rsid w:val="005E47E5"/>
    <w:rsid w:val="005E4F82"/>
    <w:rsid w:val="005E5D95"/>
    <w:rsid w:val="005E69AB"/>
    <w:rsid w:val="005E76CB"/>
    <w:rsid w:val="005F01F0"/>
    <w:rsid w:val="005F0B17"/>
    <w:rsid w:val="005F0B89"/>
    <w:rsid w:val="005F0E33"/>
    <w:rsid w:val="005F125F"/>
    <w:rsid w:val="005F1E67"/>
    <w:rsid w:val="005F3DDB"/>
    <w:rsid w:val="005F3DE8"/>
    <w:rsid w:val="005F4F3B"/>
    <w:rsid w:val="005F59BD"/>
    <w:rsid w:val="005F606B"/>
    <w:rsid w:val="005F6EBF"/>
    <w:rsid w:val="0060012C"/>
    <w:rsid w:val="00601D63"/>
    <w:rsid w:val="0060266F"/>
    <w:rsid w:val="00603994"/>
    <w:rsid w:val="0060479D"/>
    <w:rsid w:val="00606CE4"/>
    <w:rsid w:val="00607AB4"/>
    <w:rsid w:val="00610097"/>
    <w:rsid w:val="006108FD"/>
    <w:rsid w:val="006127DA"/>
    <w:rsid w:val="006132BE"/>
    <w:rsid w:val="00613BC0"/>
    <w:rsid w:val="00613F63"/>
    <w:rsid w:val="0061453C"/>
    <w:rsid w:val="00614884"/>
    <w:rsid w:val="00614F17"/>
    <w:rsid w:val="00617836"/>
    <w:rsid w:val="00620450"/>
    <w:rsid w:val="00620B5E"/>
    <w:rsid w:val="00620DD0"/>
    <w:rsid w:val="006229C7"/>
    <w:rsid w:val="00622CAC"/>
    <w:rsid w:val="0062375B"/>
    <w:rsid w:val="00624192"/>
    <w:rsid w:val="006259A8"/>
    <w:rsid w:val="00625C17"/>
    <w:rsid w:val="006265F1"/>
    <w:rsid w:val="0062676C"/>
    <w:rsid w:val="006272AB"/>
    <w:rsid w:val="00630EAD"/>
    <w:rsid w:val="00631EC2"/>
    <w:rsid w:val="00633AC5"/>
    <w:rsid w:val="00633C53"/>
    <w:rsid w:val="00634110"/>
    <w:rsid w:val="00634FAF"/>
    <w:rsid w:val="00636D55"/>
    <w:rsid w:val="006374F7"/>
    <w:rsid w:val="006406DD"/>
    <w:rsid w:val="0064231C"/>
    <w:rsid w:val="006425D9"/>
    <w:rsid w:val="006426FB"/>
    <w:rsid w:val="00643F44"/>
    <w:rsid w:val="00644C46"/>
    <w:rsid w:val="00644D9D"/>
    <w:rsid w:val="00645FD7"/>
    <w:rsid w:val="006465BF"/>
    <w:rsid w:val="00646933"/>
    <w:rsid w:val="00646A9A"/>
    <w:rsid w:val="00647319"/>
    <w:rsid w:val="00650847"/>
    <w:rsid w:val="00651A2E"/>
    <w:rsid w:val="00651D27"/>
    <w:rsid w:val="006520A8"/>
    <w:rsid w:val="00652D32"/>
    <w:rsid w:val="00652F34"/>
    <w:rsid w:val="00653255"/>
    <w:rsid w:val="00653C94"/>
    <w:rsid w:val="00653F5C"/>
    <w:rsid w:val="0065419D"/>
    <w:rsid w:val="0065553D"/>
    <w:rsid w:val="00655FCB"/>
    <w:rsid w:val="0065631C"/>
    <w:rsid w:val="006565C7"/>
    <w:rsid w:val="00657DB2"/>
    <w:rsid w:val="00661F98"/>
    <w:rsid w:val="0066233F"/>
    <w:rsid w:val="006623C5"/>
    <w:rsid w:val="006627F2"/>
    <w:rsid w:val="00662826"/>
    <w:rsid w:val="00662D14"/>
    <w:rsid w:val="0066348A"/>
    <w:rsid w:val="006640D8"/>
    <w:rsid w:val="006648B8"/>
    <w:rsid w:val="00664C8A"/>
    <w:rsid w:val="00665608"/>
    <w:rsid w:val="006661AC"/>
    <w:rsid w:val="006669FF"/>
    <w:rsid w:val="00667814"/>
    <w:rsid w:val="006714F8"/>
    <w:rsid w:val="00672417"/>
    <w:rsid w:val="006734C4"/>
    <w:rsid w:val="00673EB3"/>
    <w:rsid w:val="00674FE2"/>
    <w:rsid w:val="00676658"/>
    <w:rsid w:val="00676CA3"/>
    <w:rsid w:val="00677C2C"/>
    <w:rsid w:val="00681408"/>
    <w:rsid w:val="006818DE"/>
    <w:rsid w:val="006820AC"/>
    <w:rsid w:val="00683854"/>
    <w:rsid w:val="006839D1"/>
    <w:rsid w:val="00684083"/>
    <w:rsid w:val="006842D4"/>
    <w:rsid w:val="00684A51"/>
    <w:rsid w:val="00685047"/>
    <w:rsid w:val="006852AA"/>
    <w:rsid w:val="00685C50"/>
    <w:rsid w:val="00685ECB"/>
    <w:rsid w:val="0069022F"/>
    <w:rsid w:val="00691D83"/>
    <w:rsid w:val="00693FCA"/>
    <w:rsid w:val="00694E9F"/>
    <w:rsid w:val="006952B1"/>
    <w:rsid w:val="006952B9"/>
    <w:rsid w:val="0069543A"/>
    <w:rsid w:val="006957FB"/>
    <w:rsid w:val="00695D3A"/>
    <w:rsid w:val="00696888"/>
    <w:rsid w:val="006A00FB"/>
    <w:rsid w:val="006A0C6D"/>
    <w:rsid w:val="006A1E6A"/>
    <w:rsid w:val="006A2666"/>
    <w:rsid w:val="006A2863"/>
    <w:rsid w:val="006A623B"/>
    <w:rsid w:val="006A7DCC"/>
    <w:rsid w:val="006B1ED2"/>
    <w:rsid w:val="006B2AF4"/>
    <w:rsid w:val="006B5489"/>
    <w:rsid w:val="006B56BD"/>
    <w:rsid w:val="006B79A2"/>
    <w:rsid w:val="006C039D"/>
    <w:rsid w:val="006C057B"/>
    <w:rsid w:val="006C126D"/>
    <w:rsid w:val="006C1978"/>
    <w:rsid w:val="006C1D28"/>
    <w:rsid w:val="006C1D42"/>
    <w:rsid w:val="006C31B2"/>
    <w:rsid w:val="006C31E1"/>
    <w:rsid w:val="006C3285"/>
    <w:rsid w:val="006C40DF"/>
    <w:rsid w:val="006C48DF"/>
    <w:rsid w:val="006C4BF1"/>
    <w:rsid w:val="006C5C82"/>
    <w:rsid w:val="006C65A7"/>
    <w:rsid w:val="006C742A"/>
    <w:rsid w:val="006C7E91"/>
    <w:rsid w:val="006D01E2"/>
    <w:rsid w:val="006D021F"/>
    <w:rsid w:val="006D0E3B"/>
    <w:rsid w:val="006D1269"/>
    <w:rsid w:val="006D16B3"/>
    <w:rsid w:val="006D4012"/>
    <w:rsid w:val="006D4855"/>
    <w:rsid w:val="006D5587"/>
    <w:rsid w:val="006D57BF"/>
    <w:rsid w:val="006D6945"/>
    <w:rsid w:val="006D6ECE"/>
    <w:rsid w:val="006D7336"/>
    <w:rsid w:val="006D7CCB"/>
    <w:rsid w:val="006D7DFE"/>
    <w:rsid w:val="006E05E4"/>
    <w:rsid w:val="006E0B1A"/>
    <w:rsid w:val="006E0EDF"/>
    <w:rsid w:val="006E1B3E"/>
    <w:rsid w:val="006E2844"/>
    <w:rsid w:val="006E3608"/>
    <w:rsid w:val="006E4414"/>
    <w:rsid w:val="006E46B4"/>
    <w:rsid w:val="006E52AF"/>
    <w:rsid w:val="006F0001"/>
    <w:rsid w:val="006F0318"/>
    <w:rsid w:val="006F0A63"/>
    <w:rsid w:val="006F1E46"/>
    <w:rsid w:val="006F2578"/>
    <w:rsid w:val="006F25C2"/>
    <w:rsid w:val="006F3B58"/>
    <w:rsid w:val="006F3C3C"/>
    <w:rsid w:val="006F42D4"/>
    <w:rsid w:val="006F4C4E"/>
    <w:rsid w:val="006F76AC"/>
    <w:rsid w:val="006F7AC1"/>
    <w:rsid w:val="00700650"/>
    <w:rsid w:val="00700D05"/>
    <w:rsid w:val="00701E25"/>
    <w:rsid w:val="00701E7B"/>
    <w:rsid w:val="007020F8"/>
    <w:rsid w:val="00703E26"/>
    <w:rsid w:val="0070407D"/>
    <w:rsid w:val="0070482F"/>
    <w:rsid w:val="007058B0"/>
    <w:rsid w:val="00707581"/>
    <w:rsid w:val="00707CA8"/>
    <w:rsid w:val="00710C8A"/>
    <w:rsid w:val="00711C8A"/>
    <w:rsid w:val="007124D0"/>
    <w:rsid w:val="007129D4"/>
    <w:rsid w:val="00712BDC"/>
    <w:rsid w:val="007135A0"/>
    <w:rsid w:val="00713A94"/>
    <w:rsid w:val="007150E1"/>
    <w:rsid w:val="00715129"/>
    <w:rsid w:val="0071581B"/>
    <w:rsid w:val="00715CEF"/>
    <w:rsid w:val="00716488"/>
    <w:rsid w:val="007166D1"/>
    <w:rsid w:val="007166DB"/>
    <w:rsid w:val="00720EE5"/>
    <w:rsid w:val="007213ED"/>
    <w:rsid w:val="0072180B"/>
    <w:rsid w:val="00721DE1"/>
    <w:rsid w:val="0072220E"/>
    <w:rsid w:val="00722599"/>
    <w:rsid w:val="007238A9"/>
    <w:rsid w:val="0072394E"/>
    <w:rsid w:val="0072444E"/>
    <w:rsid w:val="00724566"/>
    <w:rsid w:val="0072544C"/>
    <w:rsid w:val="007257A9"/>
    <w:rsid w:val="007258C9"/>
    <w:rsid w:val="00725A1B"/>
    <w:rsid w:val="00725B88"/>
    <w:rsid w:val="0072647E"/>
    <w:rsid w:val="00726D65"/>
    <w:rsid w:val="00727386"/>
    <w:rsid w:val="00727DDC"/>
    <w:rsid w:val="00730291"/>
    <w:rsid w:val="0073206B"/>
    <w:rsid w:val="00733093"/>
    <w:rsid w:val="0073320A"/>
    <w:rsid w:val="007332B8"/>
    <w:rsid w:val="007339DD"/>
    <w:rsid w:val="007354C6"/>
    <w:rsid w:val="00735733"/>
    <w:rsid w:val="007366FE"/>
    <w:rsid w:val="00736769"/>
    <w:rsid w:val="00736FDF"/>
    <w:rsid w:val="00737E58"/>
    <w:rsid w:val="00741E2A"/>
    <w:rsid w:val="00742D50"/>
    <w:rsid w:val="00743F8C"/>
    <w:rsid w:val="007441C2"/>
    <w:rsid w:val="007451DB"/>
    <w:rsid w:val="00746E06"/>
    <w:rsid w:val="00747355"/>
    <w:rsid w:val="007477D1"/>
    <w:rsid w:val="00747EF5"/>
    <w:rsid w:val="00750034"/>
    <w:rsid w:val="00751F46"/>
    <w:rsid w:val="00752358"/>
    <w:rsid w:val="0075256E"/>
    <w:rsid w:val="00752668"/>
    <w:rsid w:val="00753FC9"/>
    <w:rsid w:val="00754706"/>
    <w:rsid w:val="00754FC8"/>
    <w:rsid w:val="00756527"/>
    <w:rsid w:val="007566C7"/>
    <w:rsid w:val="00760006"/>
    <w:rsid w:val="00760A97"/>
    <w:rsid w:val="0076104E"/>
    <w:rsid w:val="007613F3"/>
    <w:rsid w:val="00762259"/>
    <w:rsid w:val="007634F2"/>
    <w:rsid w:val="007636E6"/>
    <w:rsid w:val="00764998"/>
    <w:rsid w:val="00765988"/>
    <w:rsid w:val="00765AA2"/>
    <w:rsid w:val="00766521"/>
    <w:rsid w:val="007726CA"/>
    <w:rsid w:val="00772C62"/>
    <w:rsid w:val="0077328A"/>
    <w:rsid w:val="007735C8"/>
    <w:rsid w:val="00773D68"/>
    <w:rsid w:val="00775BE3"/>
    <w:rsid w:val="00776E3A"/>
    <w:rsid w:val="00777143"/>
    <w:rsid w:val="0078039F"/>
    <w:rsid w:val="00781053"/>
    <w:rsid w:val="007812C9"/>
    <w:rsid w:val="00782385"/>
    <w:rsid w:val="00782534"/>
    <w:rsid w:val="0078469E"/>
    <w:rsid w:val="0078574C"/>
    <w:rsid w:val="00786778"/>
    <w:rsid w:val="00786829"/>
    <w:rsid w:val="00786D98"/>
    <w:rsid w:val="00787108"/>
    <w:rsid w:val="007878EC"/>
    <w:rsid w:val="00790316"/>
    <w:rsid w:val="0079075B"/>
    <w:rsid w:val="00790C29"/>
    <w:rsid w:val="00791482"/>
    <w:rsid w:val="00791505"/>
    <w:rsid w:val="00794417"/>
    <w:rsid w:val="00794530"/>
    <w:rsid w:val="00795838"/>
    <w:rsid w:val="007969C8"/>
    <w:rsid w:val="00796CCB"/>
    <w:rsid w:val="00796FE0"/>
    <w:rsid w:val="00797486"/>
    <w:rsid w:val="007A0504"/>
    <w:rsid w:val="007A0E70"/>
    <w:rsid w:val="007A11EF"/>
    <w:rsid w:val="007A32DF"/>
    <w:rsid w:val="007A3344"/>
    <w:rsid w:val="007A410C"/>
    <w:rsid w:val="007A4D4E"/>
    <w:rsid w:val="007A6D14"/>
    <w:rsid w:val="007A7B6B"/>
    <w:rsid w:val="007B060E"/>
    <w:rsid w:val="007B15B5"/>
    <w:rsid w:val="007B1933"/>
    <w:rsid w:val="007B4868"/>
    <w:rsid w:val="007B4AB6"/>
    <w:rsid w:val="007B4EE8"/>
    <w:rsid w:val="007B5F0F"/>
    <w:rsid w:val="007B6074"/>
    <w:rsid w:val="007C12AC"/>
    <w:rsid w:val="007C132C"/>
    <w:rsid w:val="007C2160"/>
    <w:rsid w:val="007C42D7"/>
    <w:rsid w:val="007C60AF"/>
    <w:rsid w:val="007C63AF"/>
    <w:rsid w:val="007C69F6"/>
    <w:rsid w:val="007C79F4"/>
    <w:rsid w:val="007D0D86"/>
    <w:rsid w:val="007D6249"/>
    <w:rsid w:val="007D6B27"/>
    <w:rsid w:val="007D759E"/>
    <w:rsid w:val="007D7EAF"/>
    <w:rsid w:val="007E0483"/>
    <w:rsid w:val="007E14CA"/>
    <w:rsid w:val="007E16CB"/>
    <w:rsid w:val="007E1E5F"/>
    <w:rsid w:val="007E1F1C"/>
    <w:rsid w:val="007E2213"/>
    <w:rsid w:val="007E4719"/>
    <w:rsid w:val="007E47AB"/>
    <w:rsid w:val="007E4D8D"/>
    <w:rsid w:val="007E5DB6"/>
    <w:rsid w:val="007E66A7"/>
    <w:rsid w:val="007F03E5"/>
    <w:rsid w:val="007F18D5"/>
    <w:rsid w:val="007F50FB"/>
    <w:rsid w:val="007F7C83"/>
    <w:rsid w:val="00800463"/>
    <w:rsid w:val="0080228D"/>
    <w:rsid w:val="00804654"/>
    <w:rsid w:val="008046E7"/>
    <w:rsid w:val="008050D4"/>
    <w:rsid w:val="0081015D"/>
    <w:rsid w:val="00810376"/>
    <w:rsid w:val="00810965"/>
    <w:rsid w:val="00811DDB"/>
    <w:rsid w:val="00812359"/>
    <w:rsid w:val="008128D3"/>
    <w:rsid w:val="00813319"/>
    <w:rsid w:val="008134D3"/>
    <w:rsid w:val="00814D71"/>
    <w:rsid w:val="00815A2B"/>
    <w:rsid w:val="00816924"/>
    <w:rsid w:val="00816DE8"/>
    <w:rsid w:val="00817C7D"/>
    <w:rsid w:val="00817E9F"/>
    <w:rsid w:val="00820498"/>
    <w:rsid w:val="008226DF"/>
    <w:rsid w:val="00822A65"/>
    <w:rsid w:val="00822D23"/>
    <w:rsid w:val="00822DA4"/>
    <w:rsid w:val="00823820"/>
    <w:rsid w:val="0082583E"/>
    <w:rsid w:val="008266AE"/>
    <w:rsid w:val="00826B49"/>
    <w:rsid w:val="00830790"/>
    <w:rsid w:val="00832CBC"/>
    <w:rsid w:val="00832EDF"/>
    <w:rsid w:val="0083494C"/>
    <w:rsid w:val="00836CCE"/>
    <w:rsid w:val="00837113"/>
    <w:rsid w:val="00840D9E"/>
    <w:rsid w:val="00843247"/>
    <w:rsid w:val="0084339D"/>
    <w:rsid w:val="00843EF6"/>
    <w:rsid w:val="00844D28"/>
    <w:rsid w:val="00844EEC"/>
    <w:rsid w:val="008450AC"/>
    <w:rsid w:val="0084514B"/>
    <w:rsid w:val="008455AB"/>
    <w:rsid w:val="00850B8C"/>
    <w:rsid w:val="00851B37"/>
    <w:rsid w:val="0085363A"/>
    <w:rsid w:val="00853D40"/>
    <w:rsid w:val="00853F82"/>
    <w:rsid w:val="00854D17"/>
    <w:rsid w:val="00855E98"/>
    <w:rsid w:val="0085636C"/>
    <w:rsid w:val="008572B3"/>
    <w:rsid w:val="00857513"/>
    <w:rsid w:val="008602BB"/>
    <w:rsid w:val="00860954"/>
    <w:rsid w:val="00860A51"/>
    <w:rsid w:val="00860DCE"/>
    <w:rsid w:val="00860F12"/>
    <w:rsid w:val="00862247"/>
    <w:rsid w:val="00862294"/>
    <w:rsid w:val="00862B0C"/>
    <w:rsid w:val="00862D33"/>
    <w:rsid w:val="00864263"/>
    <w:rsid w:val="0086435A"/>
    <w:rsid w:val="008645B6"/>
    <w:rsid w:val="00864E31"/>
    <w:rsid w:val="00866293"/>
    <w:rsid w:val="0086755B"/>
    <w:rsid w:val="008708F9"/>
    <w:rsid w:val="00870FA2"/>
    <w:rsid w:val="00870FB6"/>
    <w:rsid w:val="00872298"/>
    <w:rsid w:val="008728DB"/>
    <w:rsid w:val="00872DA4"/>
    <w:rsid w:val="008732AD"/>
    <w:rsid w:val="00875A8C"/>
    <w:rsid w:val="00875B56"/>
    <w:rsid w:val="0087609C"/>
    <w:rsid w:val="00876210"/>
    <w:rsid w:val="00876792"/>
    <w:rsid w:val="00876E58"/>
    <w:rsid w:val="008806C1"/>
    <w:rsid w:val="00884209"/>
    <w:rsid w:val="00885ED1"/>
    <w:rsid w:val="00886D42"/>
    <w:rsid w:val="00887A98"/>
    <w:rsid w:val="008901FA"/>
    <w:rsid w:val="008906FB"/>
    <w:rsid w:val="00890BB5"/>
    <w:rsid w:val="0089134C"/>
    <w:rsid w:val="00892408"/>
    <w:rsid w:val="008924FF"/>
    <w:rsid w:val="0089286A"/>
    <w:rsid w:val="00895315"/>
    <w:rsid w:val="008955BE"/>
    <w:rsid w:val="00895647"/>
    <w:rsid w:val="00895C84"/>
    <w:rsid w:val="00896C27"/>
    <w:rsid w:val="00897F45"/>
    <w:rsid w:val="008A1815"/>
    <w:rsid w:val="008A1E06"/>
    <w:rsid w:val="008A33AA"/>
    <w:rsid w:val="008A3AE2"/>
    <w:rsid w:val="008A5292"/>
    <w:rsid w:val="008A586F"/>
    <w:rsid w:val="008A7BF1"/>
    <w:rsid w:val="008B1752"/>
    <w:rsid w:val="008B1C84"/>
    <w:rsid w:val="008B2BFC"/>
    <w:rsid w:val="008B44A1"/>
    <w:rsid w:val="008B4B9B"/>
    <w:rsid w:val="008B4E7B"/>
    <w:rsid w:val="008B5B5F"/>
    <w:rsid w:val="008B5D67"/>
    <w:rsid w:val="008B5F2C"/>
    <w:rsid w:val="008B7FF7"/>
    <w:rsid w:val="008C239E"/>
    <w:rsid w:val="008C354E"/>
    <w:rsid w:val="008C437F"/>
    <w:rsid w:val="008C5120"/>
    <w:rsid w:val="008C75D4"/>
    <w:rsid w:val="008C7F3D"/>
    <w:rsid w:val="008D027F"/>
    <w:rsid w:val="008D04D6"/>
    <w:rsid w:val="008D0B92"/>
    <w:rsid w:val="008D0E06"/>
    <w:rsid w:val="008D1392"/>
    <w:rsid w:val="008D406E"/>
    <w:rsid w:val="008D47C3"/>
    <w:rsid w:val="008D56EC"/>
    <w:rsid w:val="008D583C"/>
    <w:rsid w:val="008D589C"/>
    <w:rsid w:val="008E1271"/>
    <w:rsid w:val="008E1BD1"/>
    <w:rsid w:val="008E1C0B"/>
    <w:rsid w:val="008E48F6"/>
    <w:rsid w:val="008E6392"/>
    <w:rsid w:val="008E6BA2"/>
    <w:rsid w:val="008E6C91"/>
    <w:rsid w:val="008E78D0"/>
    <w:rsid w:val="008E7A3B"/>
    <w:rsid w:val="008E7B28"/>
    <w:rsid w:val="008F2064"/>
    <w:rsid w:val="008F4E0D"/>
    <w:rsid w:val="008F6081"/>
    <w:rsid w:val="008F7BF2"/>
    <w:rsid w:val="008F7D8D"/>
    <w:rsid w:val="009004CE"/>
    <w:rsid w:val="00900528"/>
    <w:rsid w:val="00901A4D"/>
    <w:rsid w:val="00901B53"/>
    <w:rsid w:val="00902C94"/>
    <w:rsid w:val="00904DBD"/>
    <w:rsid w:val="0090505F"/>
    <w:rsid w:val="00905E75"/>
    <w:rsid w:val="00906EF7"/>
    <w:rsid w:val="00907491"/>
    <w:rsid w:val="00910158"/>
    <w:rsid w:val="00910A78"/>
    <w:rsid w:val="009117E3"/>
    <w:rsid w:val="00914E86"/>
    <w:rsid w:val="00914F56"/>
    <w:rsid w:val="00915953"/>
    <w:rsid w:val="00915CEA"/>
    <w:rsid w:val="009170BA"/>
    <w:rsid w:val="00917E26"/>
    <w:rsid w:val="0092176C"/>
    <w:rsid w:val="0092291A"/>
    <w:rsid w:val="00922A44"/>
    <w:rsid w:val="009232F9"/>
    <w:rsid w:val="00924BE3"/>
    <w:rsid w:val="00924F01"/>
    <w:rsid w:val="00925760"/>
    <w:rsid w:val="009259DE"/>
    <w:rsid w:val="0092746E"/>
    <w:rsid w:val="00927788"/>
    <w:rsid w:val="0093002F"/>
    <w:rsid w:val="009308A4"/>
    <w:rsid w:val="009309F2"/>
    <w:rsid w:val="0093188A"/>
    <w:rsid w:val="00931D14"/>
    <w:rsid w:val="00936355"/>
    <w:rsid w:val="00936B99"/>
    <w:rsid w:val="009372FE"/>
    <w:rsid w:val="00937F0F"/>
    <w:rsid w:val="00940468"/>
    <w:rsid w:val="00941130"/>
    <w:rsid w:val="00941955"/>
    <w:rsid w:val="0094316D"/>
    <w:rsid w:val="009436A8"/>
    <w:rsid w:val="00944079"/>
    <w:rsid w:val="00944095"/>
    <w:rsid w:val="00944291"/>
    <w:rsid w:val="00944512"/>
    <w:rsid w:val="00945000"/>
    <w:rsid w:val="009459A6"/>
    <w:rsid w:val="00945F41"/>
    <w:rsid w:val="009460F9"/>
    <w:rsid w:val="009471C2"/>
    <w:rsid w:val="00947475"/>
    <w:rsid w:val="00947696"/>
    <w:rsid w:val="00951338"/>
    <w:rsid w:val="0095137F"/>
    <w:rsid w:val="0095227E"/>
    <w:rsid w:val="009531A4"/>
    <w:rsid w:val="00954768"/>
    <w:rsid w:val="00954FCF"/>
    <w:rsid w:val="00955668"/>
    <w:rsid w:val="00955E97"/>
    <w:rsid w:val="00956B35"/>
    <w:rsid w:val="009605DF"/>
    <w:rsid w:val="009624D8"/>
    <w:rsid w:val="009649DA"/>
    <w:rsid w:val="00964CA9"/>
    <w:rsid w:val="00964D2E"/>
    <w:rsid w:val="00965CA7"/>
    <w:rsid w:val="00965E8F"/>
    <w:rsid w:val="00966B3D"/>
    <w:rsid w:val="00967755"/>
    <w:rsid w:val="00970B55"/>
    <w:rsid w:val="00971191"/>
    <w:rsid w:val="009717A5"/>
    <w:rsid w:val="00971B13"/>
    <w:rsid w:val="00971B4A"/>
    <w:rsid w:val="0097434C"/>
    <w:rsid w:val="0097707F"/>
    <w:rsid w:val="0097718B"/>
    <w:rsid w:val="00982179"/>
    <w:rsid w:val="00982629"/>
    <w:rsid w:val="00982772"/>
    <w:rsid w:val="0098310A"/>
    <w:rsid w:val="009834F0"/>
    <w:rsid w:val="009841EA"/>
    <w:rsid w:val="00984A57"/>
    <w:rsid w:val="00984C3B"/>
    <w:rsid w:val="009852BF"/>
    <w:rsid w:val="00986405"/>
    <w:rsid w:val="009876AD"/>
    <w:rsid w:val="009877EB"/>
    <w:rsid w:val="00987E12"/>
    <w:rsid w:val="009907C0"/>
    <w:rsid w:val="00990CE6"/>
    <w:rsid w:val="00990FF9"/>
    <w:rsid w:val="0099175A"/>
    <w:rsid w:val="00991793"/>
    <w:rsid w:val="00991FEC"/>
    <w:rsid w:val="00992D3F"/>
    <w:rsid w:val="00994F03"/>
    <w:rsid w:val="00995242"/>
    <w:rsid w:val="00995390"/>
    <w:rsid w:val="00995DEC"/>
    <w:rsid w:val="00996288"/>
    <w:rsid w:val="00996998"/>
    <w:rsid w:val="00997921"/>
    <w:rsid w:val="009A01B1"/>
    <w:rsid w:val="009A0DFF"/>
    <w:rsid w:val="009A17AE"/>
    <w:rsid w:val="009A190B"/>
    <w:rsid w:val="009A1AD4"/>
    <w:rsid w:val="009A1B62"/>
    <w:rsid w:val="009A227B"/>
    <w:rsid w:val="009A29E2"/>
    <w:rsid w:val="009A3607"/>
    <w:rsid w:val="009A3F71"/>
    <w:rsid w:val="009A5FC0"/>
    <w:rsid w:val="009A628D"/>
    <w:rsid w:val="009A633C"/>
    <w:rsid w:val="009A63A5"/>
    <w:rsid w:val="009B0046"/>
    <w:rsid w:val="009B0BEB"/>
    <w:rsid w:val="009B1353"/>
    <w:rsid w:val="009B2029"/>
    <w:rsid w:val="009B2DE5"/>
    <w:rsid w:val="009B371C"/>
    <w:rsid w:val="009B64CD"/>
    <w:rsid w:val="009B670C"/>
    <w:rsid w:val="009B79D4"/>
    <w:rsid w:val="009C00AB"/>
    <w:rsid w:val="009C1F5C"/>
    <w:rsid w:val="009C29B6"/>
    <w:rsid w:val="009C2F0C"/>
    <w:rsid w:val="009C380F"/>
    <w:rsid w:val="009C3B17"/>
    <w:rsid w:val="009C4506"/>
    <w:rsid w:val="009C56F9"/>
    <w:rsid w:val="009C5C35"/>
    <w:rsid w:val="009C60E1"/>
    <w:rsid w:val="009C63D7"/>
    <w:rsid w:val="009C6575"/>
    <w:rsid w:val="009D003D"/>
    <w:rsid w:val="009D0AED"/>
    <w:rsid w:val="009D14C8"/>
    <w:rsid w:val="009D2348"/>
    <w:rsid w:val="009D2D31"/>
    <w:rsid w:val="009D2F59"/>
    <w:rsid w:val="009D32F7"/>
    <w:rsid w:val="009D4FE0"/>
    <w:rsid w:val="009D5FE1"/>
    <w:rsid w:val="009D620B"/>
    <w:rsid w:val="009D6C2D"/>
    <w:rsid w:val="009D6FFE"/>
    <w:rsid w:val="009D7C16"/>
    <w:rsid w:val="009E09AD"/>
    <w:rsid w:val="009E0C0C"/>
    <w:rsid w:val="009E1BB2"/>
    <w:rsid w:val="009E2A91"/>
    <w:rsid w:val="009E31A9"/>
    <w:rsid w:val="009E3252"/>
    <w:rsid w:val="009E3382"/>
    <w:rsid w:val="009E3E99"/>
    <w:rsid w:val="009E5313"/>
    <w:rsid w:val="009E5327"/>
    <w:rsid w:val="009F0ABA"/>
    <w:rsid w:val="009F1B24"/>
    <w:rsid w:val="009F1FAA"/>
    <w:rsid w:val="009F2E20"/>
    <w:rsid w:val="009F6D35"/>
    <w:rsid w:val="009F6EA0"/>
    <w:rsid w:val="009F7268"/>
    <w:rsid w:val="009F78C1"/>
    <w:rsid w:val="009F7AF0"/>
    <w:rsid w:val="00A003FE"/>
    <w:rsid w:val="00A034A7"/>
    <w:rsid w:val="00A046C5"/>
    <w:rsid w:val="00A05330"/>
    <w:rsid w:val="00A05C8B"/>
    <w:rsid w:val="00A05E1B"/>
    <w:rsid w:val="00A074E2"/>
    <w:rsid w:val="00A103EB"/>
    <w:rsid w:val="00A1126D"/>
    <w:rsid w:val="00A11328"/>
    <w:rsid w:val="00A1158B"/>
    <w:rsid w:val="00A1568A"/>
    <w:rsid w:val="00A17040"/>
    <w:rsid w:val="00A17C6C"/>
    <w:rsid w:val="00A207D1"/>
    <w:rsid w:val="00A20F4F"/>
    <w:rsid w:val="00A21434"/>
    <w:rsid w:val="00A21D46"/>
    <w:rsid w:val="00A241B7"/>
    <w:rsid w:val="00A267AA"/>
    <w:rsid w:val="00A30018"/>
    <w:rsid w:val="00A3017D"/>
    <w:rsid w:val="00A32019"/>
    <w:rsid w:val="00A326BC"/>
    <w:rsid w:val="00A32F38"/>
    <w:rsid w:val="00A33784"/>
    <w:rsid w:val="00A3405E"/>
    <w:rsid w:val="00A356FA"/>
    <w:rsid w:val="00A35D4C"/>
    <w:rsid w:val="00A36742"/>
    <w:rsid w:val="00A367A3"/>
    <w:rsid w:val="00A368C1"/>
    <w:rsid w:val="00A36D43"/>
    <w:rsid w:val="00A37488"/>
    <w:rsid w:val="00A374D3"/>
    <w:rsid w:val="00A430AC"/>
    <w:rsid w:val="00A43673"/>
    <w:rsid w:val="00A43E98"/>
    <w:rsid w:val="00A44B14"/>
    <w:rsid w:val="00A452F1"/>
    <w:rsid w:val="00A4603E"/>
    <w:rsid w:val="00A46501"/>
    <w:rsid w:val="00A50776"/>
    <w:rsid w:val="00A51F68"/>
    <w:rsid w:val="00A52590"/>
    <w:rsid w:val="00A52AEC"/>
    <w:rsid w:val="00A5421F"/>
    <w:rsid w:val="00A54891"/>
    <w:rsid w:val="00A54AA5"/>
    <w:rsid w:val="00A54DF8"/>
    <w:rsid w:val="00A55FFC"/>
    <w:rsid w:val="00A56874"/>
    <w:rsid w:val="00A5789D"/>
    <w:rsid w:val="00A57E2C"/>
    <w:rsid w:val="00A57E9F"/>
    <w:rsid w:val="00A609D9"/>
    <w:rsid w:val="00A621B5"/>
    <w:rsid w:val="00A62D97"/>
    <w:rsid w:val="00A63505"/>
    <w:rsid w:val="00A635F5"/>
    <w:rsid w:val="00A63618"/>
    <w:rsid w:val="00A64F95"/>
    <w:rsid w:val="00A65053"/>
    <w:rsid w:val="00A65AAE"/>
    <w:rsid w:val="00A671F8"/>
    <w:rsid w:val="00A707E3"/>
    <w:rsid w:val="00A7159F"/>
    <w:rsid w:val="00A728F1"/>
    <w:rsid w:val="00A72CC1"/>
    <w:rsid w:val="00A72FA8"/>
    <w:rsid w:val="00A73872"/>
    <w:rsid w:val="00A73FD5"/>
    <w:rsid w:val="00A74C28"/>
    <w:rsid w:val="00A7542A"/>
    <w:rsid w:val="00A76144"/>
    <w:rsid w:val="00A7691A"/>
    <w:rsid w:val="00A777FB"/>
    <w:rsid w:val="00A77B4F"/>
    <w:rsid w:val="00A8181F"/>
    <w:rsid w:val="00A83B6B"/>
    <w:rsid w:val="00A84861"/>
    <w:rsid w:val="00A84914"/>
    <w:rsid w:val="00A84E5A"/>
    <w:rsid w:val="00A85A98"/>
    <w:rsid w:val="00A85E2A"/>
    <w:rsid w:val="00A86992"/>
    <w:rsid w:val="00A87483"/>
    <w:rsid w:val="00A93C96"/>
    <w:rsid w:val="00A93F8C"/>
    <w:rsid w:val="00A95F9C"/>
    <w:rsid w:val="00A96F3F"/>
    <w:rsid w:val="00A976D8"/>
    <w:rsid w:val="00A97CFF"/>
    <w:rsid w:val="00A97DF7"/>
    <w:rsid w:val="00AA0BF1"/>
    <w:rsid w:val="00AA138B"/>
    <w:rsid w:val="00AA159A"/>
    <w:rsid w:val="00AA1CB2"/>
    <w:rsid w:val="00AA1DBB"/>
    <w:rsid w:val="00AA2A43"/>
    <w:rsid w:val="00AA3118"/>
    <w:rsid w:val="00AA68A1"/>
    <w:rsid w:val="00AA7EFF"/>
    <w:rsid w:val="00AA7FEA"/>
    <w:rsid w:val="00AB22B0"/>
    <w:rsid w:val="00AB22CC"/>
    <w:rsid w:val="00AB4022"/>
    <w:rsid w:val="00AB49DC"/>
    <w:rsid w:val="00AB58B4"/>
    <w:rsid w:val="00AC032C"/>
    <w:rsid w:val="00AC0810"/>
    <w:rsid w:val="00AC17DD"/>
    <w:rsid w:val="00AC1E91"/>
    <w:rsid w:val="00AC2250"/>
    <w:rsid w:val="00AC25B1"/>
    <w:rsid w:val="00AC2719"/>
    <w:rsid w:val="00AC3DC5"/>
    <w:rsid w:val="00AC438C"/>
    <w:rsid w:val="00AC53EC"/>
    <w:rsid w:val="00AC6C04"/>
    <w:rsid w:val="00AC7C14"/>
    <w:rsid w:val="00AD05BA"/>
    <w:rsid w:val="00AD0DA7"/>
    <w:rsid w:val="00AD105B"/>
    <w:rsid w:val="00AD1481"/>
    <w:rsid w:val="00AD2ADB"/>
    <w:rsid w:val="00AD3D09"/>
    <w:rsid w:val="00AD4B05"/>
    <w:rsid w:val="00AD79C8"/>
    <w:rsid w:val="00AE0558"/>
    <w:rsid w:val="00AE0BB3"/>
    <w:rsid w:val="00AE0D2F"/>
    <w:rsid w:val="00AE1422"/>
    <w:rsid w:val="00AE157F"/>
    <w:rsid w:val="00AE26B3"/>
    <w:rsid w:val="00AE27DD"/>
    <w:rsid w:val="00AE2FAD"/>
    <w:rsid w:val="00AE3320"/>
    <w:rsid w:val="00AE39B4"/>
    <w:rsid w:val="00AE39B6"/>
    <w:rsid w:val="00AE40B3"/>
    <w:rsid w:val="00AE4761"/>
    <w:rsid w:val="00AE4E5F"/>
    <w:rsid w:val="00AE55EE"/>
    <w:rsid w:val="00AE6208"/>
    <w:rsid w:val="00AE70F9"/>
    <w:rsid w:val="00AE72AE"/>
    <w:rsid w:val="00AF0891"/>
    <w:rsid w:val="00AF098D"/>
    <w:rsid w:val="00AF19F2"/>
    <w:rsid w:val="00AF1A80"/>
    <w:rsid w:val="00AF1C47"/>
    <w:rsid w:val="00AF20C3"/>
    <w:rsid w:val="00AF21C8"/>
    <w:rsid w:val="00AF25CC"/>
    <w:rsid w:val="00AF27DC"/>
    <w:rsid w:val="00AF2D8B"/>
    <w:rsid w:val="00AF2E18"/>
    <w:rsid w:val="00AF30F8"/>
    <w:rsid w:val="00AF36EF"/>
    <w:rsid w:val="00AF4ACC"/>
    <w:rsid w:val="00AF5F00"/>
    <w:rsid w:val="00AF6702"/>
    <w:rsid w:val="00AF6EB3"/>
    <w:rsid w:val="00AF70FB"/>
    <w:rsid w:val="00AF7666"/>
    <w:rsid w:val="00B01199"/>
    <w:rsid w:val="00B01552"/>
    <w:rsid w:val="00B02113"/>
    <w:rsid w:val="00B0228E"/>
    <w:rsid w:val="00B03247"/>
    <w:rsid w:val="00B0391B"/>
    <w:rsid w:val="00B07FA1"/>
    <w:rsid w:val="00B107E4"/>
    <w:rsid w:val="00B108BD"/>
    <w:rsid w:val="00B1097B"/>
    <w:rsid w:val="00B10D9F"/>
    <w:rsid w:val="00B11448"/>
    <w:rsid w:val="00B115EB"/>
    <w:rsid w:val="00B11754"/>
    <w:rsid w:val="00B12437"/>
    <w:rsid w:val="00B12B06"/>
    <w:rsid w:val="00B12DAF"/>
    <w:rsid w:val="00B13067"/>
    <w:rsid w:val="00B132E2"/>
    <w:rsid w:val="00B13335"/>
    <w:rsid w:val="00B13760"/>
    <w:rsid w:val="00B14B99"/>
    <w:rsid w:val="00B156F8"/>
    <w:rsid w:val="00B15877"/>
    <w:rsid w:val="00B15ED7"/>
    <w:rsid w:val="00B179B3"/>
    <w:rsid w:val="00B21373"/>
    <w:rsid w:val="00B21C11"/>
    <w:rsid w:val="00B229D8"/>
    <w:rsid w:val="00B22AED"/>
    <w:rsid w:val="00B22F56"/>
    <w:rsid w:val="00B240EE"/>
    <w:rsid w:val="00B247F8"/>
    <w:rsid w:val="00B252F6"/>
    <w:rsid w:val="00B2695D"/>
    <w:rsid w:val="00B26C8E"/>
    <w:rsid w:val="00B27566"/>
    <w:rsid w:val="00B27C64"/>
    <w:rsid w:val="00B30A63"/>
    <w:rsid w:val="00B32D0A"/>
    <w:rsid w:val="00B3440E"/>
    <w:rsid w:val="00B34B58"/>
    <w:rsid w:val="00B34BFF"/>
    <w:rsid w:val="00B34E14"/>
    <w:rsid w:val="00B353C0"/>
    <w:rsid w:val="00B35B0B"/>
    <w:rsid w:val="00B368CA"/>
    <w:rsid w:val="00B3725E"/>
    <w:rsid w:val="00B372E4"/>
    <w:rsid w:val="00B41AFD"/>
    <w:rsid w:val="00B422DD"/>
    <w:rsid w:val="00B42525"/>
    <w:rsid w:val="00B42542"/>
    <w:rsid w:val="00B426A3"/>
    <w:rsid w:val="00B42F3E"/>
    <w:rsid w:val="00B43BE2"/>
    <w:rsid w:val="00B43FC7"/>
    <w:rsid w:val="00B445E9"/>
    <w:rsid w:val="00B45244"/>
    <w:rsid w:val="00B45AC1"/>
    <w:rsid w:val="00B4657E"/>
    <w:rsid w:val="00B47579"/>
    <w:rsid w:val="00B478E3"/>
    <w:rsid w:val="00B53135"/>
    <w:rsid w:val="00B53E83"/>
    <w:rsid w:val="00B548F5"/>
    <w:rsid w:val="00B54BD4"/>
    <w:rsid w:val="00B55AFF"/>
    <w:rsid w:val="00B55CE4"/>
    <w:rsid w:val="00B56507"/>
    <w:rsid w:val="00B60367"/>
    <w:rsid w:val="00B613D2"/>
    <w:rsid w:val="00B6201B"/>
    <w:rsid w:val="00B62077"/>
    <w:rsid w:val="00B62CB4"/>
    <w:rsid w:val="00B62DC7"/>
    <w:rsid w:val="00B6351A"/>
    <w:rsid w:val="00B63F48"/>
    <w:rsid w:val="00B64976"/>
    <w:rsid w:val="00B65DE3"/>
    <w:rsid w:val="00B66BD7"/>
    <w:rsid w:val="00B67578"/>
    <w:rsid w:val="00B705C5"/>
    <w:rsid w:val="00B710D5"/>
    <w:rsid w:val="00B72482"/>
    <w:rsid w:val="00B72905"/>
    <w:rsid w:val="00B72AFD"/>
    <w:rsid w:val="00B73454"/>
    <w:rsid w:val="00B73859"/>
    <w:rsid w:val="00B74847"/>
    <w:rsid w:val="00B7502E"/>
    <w:rsid w:val="00B751CF"/>
    <w:rsid w:val="00B75CF5"/>
    <w:rsid w:val="00B76096"/>
    <w:rsid w:val="00B76B37"/>
    <w:rsid w:val="00B77205"/>
    <w:rsid w:val="00B77BEA"/>
    <w:rsid w:val="00B77D70"/>
    <w:rsid w:val="00B805F4"/>
    <w:rsid w:val="00B8080B"/>
    <w:rsid w:val="00B811C4"/>
    <w:rsid w:val="00B81391"/>
    <w:rsid w:val="00B82243"/>
    <w:rsid w:val="00B859D2"/>
    <w:rsid w:val="00B8656B"/>
    <w:rsid w:val="00B86A56"/>
    <w:rsid w:val="00B872B2"/>
    <w:rsid w:val="00B879C7"/>
    <w:rsid w:val="00B87C5C"/>
    <w:rsid w:val="00B87D29"/>
    <w:rsid w:val="00B92810"/>
    <w:rsid w:val="00B92E52"/>
    <w:rsid w:val="00B94172"/>
    <w:rsid w:val="00B94CD8"/>
    <w:rsid w:val="00B94D83"/>
    <w:rsid w:val="00B958E2"/>
    <w:rsid w:val="00B96721"/>
    <w:rsid w:val="00B9726E"/>
    <w:rsid w:val="00BA021F"/>
    <w:rsid w:val="00BA1111"/>
    <w:rsid w:val="00BA24DA"/>
    <w:rsid w:val="00BA2DC9"/>
    <w:rsid w:val="00BA3291"/>
    <w:rsid w:val="00BA4D81"/>
    <w:rsid w:val="00BA5B9B"/>
    <w:rsid w:val="00BB07A6"/>
    <w:rsid w:val="00BB0C5E"/>
    <w:rsid w:val="00BB120F"/>
    <w:rsid w:val="00BB128F"/>
    <w:rsid w:val="00BB1357"/>
    <w:rsid w:val="00BB324B"/>
    <w:rsid w:val="00BB3253"/>
    <w:rsid w:val="00BB3398"/>
    <w:rsid w:val="00BB3759"/>
    <w:rsid w:val="00BB4551"/>
    <w:rsid w:val="00BB54AA"/>
    <w:rsid w:val="00BB5AC2"/>
    <w:rsid w:val="00BB6417"/>
    <w:rsid w:val="00BB6522"/>
    <w:rsid w:val="00BC0E6E"/>
    <w:rsid w:val="00BC14DD"/>
    <w:rsid w:val="00BC1CEF"/>
    <w:rsid w:val="00BC2571"/>
    <w:rsid w:val="00BC2873"/>
    <w:rsid w:val="00BC3AB5"/>
    <w:rsid w:val="00BC53F7"/>
    <w:rsid w:val="00BC6629"/>
    <w:rsid w:val="00BC66A7"/>
    <w:rsid w:val="00BC6EEE"/>
    <w:rsid w:val="00BC70B8"/>
    <w:rsid w:val="00BD077D"/>
    <w:rsid w:val="00BD1DC2"/>
    <w:rsid w:val="00BD2888"/>
    <w:rsid w:val="00BD2DD4"/>
    <w:rsid w:val="00BD32B7"/>
    <w:rsid w:val="00BD44AA"/>
    <w:rsid w:val="00BD488A"/>
    <w:rsid w:val="00BD7C0D"/>
    <w:rsid w:val="00BE08C2"/>
    <w:rsid w:val="00BE11A3"/>
    <w:rsid w:val="00BE2C3F"/>
    <w:rsid w:val="00BE2E0B"/>
    <w:rsid w:val="00BE3556"/>
    <w:rsid w:val="00BE3A8B"/>
    <w:rsid w:val="00BE5010"/>
    <w:rsid w:val="00BE5837"/>
    <w:rsid w:val="00BE58D9"/>
    <w:rsid w:val="00BE5DD1"/>
    <w:rsid w:val="00BE62EB"/>
    <w:rsid w:val="00BE6392"/>
    <w:rsid w:val="00BF0413"/>
    <w:rsid w:val="00BF0C64"/>
    <w:rsid w:val="00BF0CC6"/>
    <w:rsid w:val="00BF0E40"/>
    <w:rsid w:val="00BF1EB9"/>
    <w:rsid w:val="00BF2250"/>
    <w:rsid w:val="00BF27E2"/>
    <w:rsid w:val="00BF35BE"/>
    <w:rsid w:val="00BF4EAA"/>
    <w:rsid w:val="00BF67F3"/>
    <w:rsid w:val="00BF6B8A"/>
    <w:rsid w:val="00BF7180"/>
    <w:rsid w:val="00BF7193"/>
    <w:rsid w:val="00C00E2E"/>
    <w:rsid w:val="00C01C54"/>
    <w:rsid w:val="00C0361D"/>
    <w:rsid w:val="00C04436"/>
    <w:rsid w:val="00C06A51"/>
    <w:rsid w:val="00C07416"/>
    <w:rsid w:val="00C07551"/>
    <w:rsid w:val="00C105B2"/>
    <w:rsid w:val="00C11A03"/>
    <w:rsid w:val="00C1298E"/>
    <w:rsid w:val="00C1394C"/>
    <w:rsid w:val="00C15F9A"/>
    <w:rsid w:val="00C16BC6"/>
    <w:rsid w:val="00C20ABD"/>
    <w:rsid w:val="00C21CAB"/>
    <w:rsid w:val="00C21CB7"/>
    <w:rsid w:val="00C22403"/>
    <w:rsid w:val="00C22925"/>
    <w:rsid w:val="00C23A41"/>
    <w:rsid w:val="00C244B0"/>
    <w:rsid w:val="00C24774"/>
    <w:rsid w:val="00C24B7E"/>
    <w:rsid w:val="00C2647D"/>
    <w:rsid w:val="00C30620"/>
    <w:rsid w:val="00C30B7A"/>
    <w:rsid w:val="00C30C97"/>
    <w:rsid w:val="00C3148C"/>
    <w:rsid w:val="00C3179F"/>
    <w:rsid w:val="00C3211E"/>
    <w:rsid w:val="00C32C38"/>
    <w:rsid w:val="00C32E55"/>
    <w:rsid w:val="00C33862"/>
    <w:rsid w:val="00C34638"/>
    <w:rsid w:val="00C358E4"/>
    <w:rsid w:val="00C35CAB"/>
    <w:rsid w:val="00C36242"/>
    <w:rsid w:val="00C36E42"/>
    <w:rsid w:val="00C378AB"/>
    <w:rsid w:val="00C400A2"/>
    <w:rsid w:val="00C40DA0"/>
    <w:rsid w:val="00C41191"/>
    <w:rsid w:val="00C41F98"/>
    <w:rsid w:val="00C44BF0"/>
    <w:rsid w:val="00C45457"/>
    <w:rsid w:val="00C45754"/>
    <w:rsid w:val="00C46D52"/>
    <w:rsid w:val="00C511C0"/>
    <w:rsid w:val="00C51ED4"/>
    <w:rsid w:val="00C522D1"/>
    <w:rsid w:val="00C52418"/>
    <w:rsid w:val="00C5295C"/>
    <w:rsid w:val="00C5385F"/>
    <w:rsid w:val="00C5388F"/>
    <w:rsid w:val="00C566F3"/>
    <w:rsid w:val="00C571E7"/>
    <w:rsid w:val="00C5726F"/>
    <w:rsid w:val="00C57C4F"/>
    <w:rsid w:val="00C61336"/>
    <w:rsid w:val="00C614DE"/>
    <w:rsid w:val="00C62775"/>
    <w:rsid w:val="00C62824"/>
    <w:rsid w:val="00C63183"/>
    <w:rsid w:val="00C631FF"/>
    <w:rsid w:val="00C63C55"/>
    <w:rsid w:val="00C63E9E"/>
    <w:rsid w:val="00C646D6"/>
    <w:rsid w:val="00C64763"/>
    <w:rsid w:val="00C656A0"/>
    <w:rsid w:val="00C664FB"/>
    <w:rsid w:val="00C667D4"/>
    <w:rsid w:val="00C66BA6"/>
    <w:rsid w:val="00C70251"/>
    <w:rsid w:val="00C70659"/>
    <w:rsid w:val="00C70A8E"/>
    <w:rsid w:val="00C715B8"/>
    <w:rsid w:val="00C71664"/>
    <w:rsid w:val="00C72BD7"/>
    <w:rsid w:val="00C72EC5"/>
    <w:rsid w:val="00C7381B"/>
    <w:rsid w:val="00C754CC"/>
    <w:rsid w:val="00C775D7"/>
    <w:rsid w:val="00C77832"/>
    <w:rsid w:val="00C8032B"/>
    <w:rsid w:val="00C813BA"/>
    <w:rsid w:val="00C829E3"/>
    <w:rsid w:val="00C855E9"/>
    <w:rsid w:val="00C859EA"/>
    <w:rsid w:val="00C87991"/>
    <w:rsid w:val="00C90188"/>
    <w:rsid w:val="00C9051D"/>
    <w:rsid w:val="00C909E5"/>
    <w:rsid w:val="00C90ADF"/>
    <w:rsid w:val="00C915E3"/>
    <w:rsid w:val="00C91650"/>
    <w:rsid w:val="00C9198B"/>
    <w:rsid w:val="00C92AEC"/>
    <w:rsid w:val="00C92F1F"/>
    <w:rsid w:val="00C937BC"/>
    <w:rsid w:val="00C94D3C"/>
    <w:rsid w:val="00C95AE9"/>
    <w:rsid w:val="00C97038"/>
    <w:rsid w:val="00C9774D"/>
    <w:rsid w:val="00CA0BC0"/>
    <w:rsid w:val="00CA110E"/>
    <w:rsid w:val="00CA1EA1"/>
    <w:rsid w:val="00CA33DA"/>
    <w:rsid w:val="00CA471E"/>
    <w:rsid w:val="00CA528F"/>
    <w:rsid w:val="00CA54C6"/>
    <w:rsid w:val="00CA598F"/>
    <w:rsid w:val="00CA60DB"/>
    <w:rsid w:val="00CA67CC"/>
    <w:rsid w:val="00CA6E5D"/>
    <w:rsid w:val="00CA77CE"/>
    <w:rsid w:val="00CB007D"/>
    <w:rsid w:val="00CB086E"/>
    <w:rsid w:val="00CB0BF8"/>
    <w:rsid w:val="00CB28AC"/>
    <w:rsid w:val="00CB2A1A"/>
    <w:rsid w:val="00CB3892"/>
    <w:rsid w:val="00CB3BF5"/>
    <w:rsid w:val="00CB4740"/>
    <w:rsid w:val="00CB5241"/>
    <w:rsid w:val="00CB55DB"/>
    <w:rsid w:val="00CB59EE"/>
    <w:rsid w:val="00CC0C9F"/>
    <w:rsid w:val="00CC1BB1"/>
    <w:rsid w:val="00CC266A"/>
    <w:rsid w:val="00CC2DF0"/>
    <w:rsid w:val="00CC56F5"/>
    <w:rsid w:val="00CD05A1"/>
    <w:rsid w:val="00CD06FC"/>
    <w:rsid w:val="00CD097D"/>
    <w:rsid w:val="00CD0DA6"/>
    <w:rsid w:val="00CD19DC"/>
    <w:rsid w:val="00CD1F53"/>
    <w:rsid w:val="00CD4941"/>
    <w:rsid w:val="00CD5233"/>
    <w:rsid w:val="00CD5A9B"/>
    <w:rsid w:val="00CE16A5"/>
    <w:rsid w:val="00CE3D17"/>
    <w:rsid w:val="00CE49E8"/>
    <w:rsid w:val="00CE653B"/>
    <w:rsid w:val="00CE76D1"/>
    <w:rsid w:val="00CF158A"/>
    <w:rsid w:val="00CF1812"/>
    <w:rsid w:val="00CF2888"/>
    <w:rsid w:val="00CF2C40"/>
    <w:rsid w:val="00CF2F2E"/>
    <w:rsid w:val="00CF35F1"/>
    <w:rsid w:val="00CF5B35"/>
    <w:rsid w:val="00CF7148"/>
    <w:rsid w:val="00D0080A"/>
    <w:rsid w:val="00D017F5"/>
    <w:rsid w:val="00D01F94"/>
    <w:rsid w:val="00D03E2E"/>
    <w:rsid w:val="00D03E7E"/>
    <w:rsid w:val="00D04AEF"/>
    <w:rsid w:val="00D05770"/>
    <w:rsid w:val="00D06282"/>
    <w:rsid w:val="00D062FF"/>
    <w:rsid w:val="00D10537"/>
    <w:rsid w:val="00D13A67"/>
    <w:rsid w:val="00D15372"/>
    <w:rsid w:val="00D1645C"/>
    <w:rsid w:val="00D200C0"/>
    <w:rsid w:val="00D20759"/>
    <w:rsid w:val="00D21C44"/>
    <w:rsid w:val="00D220ED"/>
    <w:rsid w:val="00D23831"/>
    <w:rsid w:val="00D24320"/>
    <w:rsid w:val="00D251EE"/>
    <w:rsid w:val="00D31550"/>
    <w:rsid w:val="00D316F6"/>
    <w:rsid w:val="00D3194F"/>
    <w:rsid w:val="00D32611"/>
    <w:rsid w:val="00D328CB"/>
    <w:rsid w:val="00D32C37"/>
    <w:rsid w:val="00D32D50"/>
    <w:rsid w:val="00D342A8"/>
    <w:rsid w:val="00D359AB"/>
    <w:rsid w:val="00D3615D"/>
    <w:rsid w:val="00D3762E"/>
    <w:rsid w:val="00D40221"/>
    <w:rsid w:val="00D43FDC"/>
    <w:rsid w:val="00D448CD"/>
    <w:rsid w:val="00D45424"/>
    <w:rsid w:val="00D463F9"/>
    <w:rsid w:val="00D46426"/>
    <w:rsid w:val="00D46F38"/>
    <w:rsid w:val="00D47C50"/>
    <w:rsid w:val="00D51840"/>
    <w:rsid w:val="00D51AB7"/>
    <w:rsid w:val="00D52D62"/>
    <w:rsid w:val="00D53070"/>
    <w:rsid w:val="00D53BB7"/>
    <w:rsid w:val="00D53F74"/>
    <w:rsid w:val="00D55DC9"/>
    <w:rsid w:val="00D577BF"/>
    <w:rsid w:val="00D614EA"/>
    <w:rsid w:val="00D61E0A"/>
    <w:rsid w:val="00D6275E"/>
    <w:rsid w:val="00D64A04"/>
    <w:rsid w:val="00D64C46"/>
    <w:rsid w:val="00D662D5"/>
    <w:rsid w:val="00D67014"/>
    <w:rsid w:val="00D67764"/>
    <w:rsid w:val="00D67F16"/>
    <w:rsid w:val="00D70102"/>
    <w:rsid w:val="00D70279"/>
    <w:rsid w:val="00D710F0"/>
    <w:rsid w:val="00D717D0"/>
    <w:rsid w:val="00D71C48"/>
    <w:rsid w:val="00D73659"/>
    <w:rsid w:val="00D74A7B"/>
    <w:rsid w:val="00D757D6"/>
    <w:rsid w:val="00D806BF"/>
    <w:rsid w:val="00D806CF"/>
    <w:rsid w:val="00D81001"/>
    <w:rsid w:val="00D810E4"/>
    <w:rsid w:val="00D82FA8"/>
    <w:rsid w:val="00D83594"/>
    <w:rsid w:val="00D83898"/>
    <w:rsid w:val="00D8471F"/>
    <w:rsid w:val="00D850A3"/>
    <w:rsid w:val="00D85366"/>
    <w:rsid w:val="00D8604F"/>
    <w:rsid w:val="00D873E4"/>
    <w:rsid w:val="00D87F68"/>
    <w:rsid w:val="00D91106"/>
    <w:rsid w:val="00D94BF4"/>
    <w:rsid w:val="00D94C26"/>
    <w:rsid w:val="00D955B1"/>
    <w:rsid w:val="00D96265"/>
    <w:rsid w:val="00DA31FC"/>
    <w:rsid w:val="00DA3B9B"/>
    <w:rsid w:val="00DA4042"/>
    <w:rsid w:val="00DA5010"/>
    <w:rsid w:val="00DA5F40"/>
    <w:rsid w:val="00DA7F4F"/>
    <w:rsid w:val="00DB20E8"/>
    <w:rsid w:val="00DB2FDA"/>
    <w:rsid w:val="00DB40FE"/>
    <w:rsid w:val="00DB4795"/>
    <w:rsid w:val="00DB5FE1"/>
    <w:rsid w:val="00DB62A1"/>
    <w:rsid w:val="00DB6543"/>
    <w:rsid w:val="00DB68E6"/>
    <w:rsid w:val="00DB6FD0"/>
    <w:rsid w:val="00DB7236"/>
    <w:rsid w:val="00DC0BAC"/>
    <w:rsid w:val="00DC1085"/>
    <w:rsid w:val="00DC1CA9"/>
    <w:rsid w:val="00DC2161"/>
    <w:rsid w:val="00DC26F2"/>
    <w:rsid w:val="00DC43FD"/>
    <w:rsid w:val="00DC448D"/>
    <w:rsid w:val="00DC4A92"/>
    <w:rsid w:val="00DC543F"/>
    <w:rsid w:val="00DC5774"/>
    <w:rsid w:val="00DD00F4"/>
    <w:rsid w:val="00DD0758"/>
    <w:rsid w:val="00DD0853"/>
    <w:rsid w:val="00DD12DC"/>
    <w:rsid w:val="00DD1718"/>
    <w:rsid w:val="00DD3180"/>
    <w:rsid w:val="00DD5213"/>
    <w:rsid w:val="00DD6CE6"/>
    <w:rsid w:val="00DD7AC5"/>
    <w:rsid w:val="00DD7EA7"/>
    <w:rsid w:val="00DE04FD"/>
    <w:rsid w:val="00DE17CD"/>
    <w:rsid w:val="00DE184A"/>
    <w:rsid w:val="00DE2628"/>
    <w:rsid w:val="00DE28B4"/>
    <w:rsid w:val="00DE2CC2"/>
    <w:rsid w:val="00DE2DE5"/>
    <w:rsid w:val="00DE2ED9"/>
    <w:rsid w:val="00DE2EE0"/>
    <w:rsid w:val="00DE2F65"/>
    <w:rsid w:val="00DE38A7"/>
    <w:rsid w:val="00DE3A73"/>
    <w:rsid w:val="00DE43C1"/>
    <w:rsid w:val="00DE673F"/>
    <w:rsid w:val="00DE6BA8"/>
    <w:rsid w:val="00DE6DDA"/>
    <w:rsid w:val="00DE75F4"/>
    <w:rsid w:val="00DE77A9"/>
    <w:rsid w:val="00DF15FC"/>
    <w:rsid w:val="00DF1924"/>
    <w:rsid w:val="00DF1E85"/>
    <w:rsid w:val="00DF26AC"/>
    <w:rsid w:val="00DF2984"/>
    <w:rsid w:val="00DF328C"/>
    <w:rsid w:val="00DF32FA"/>
    <w:rsid w:val="00DF3384"/>
    <w:rsid w:val="00DF37F8"/>
    <w:rsid w:val="00DF3BF7"/>
    <w:rsid w:val="00DF48F3"/>
    <w:rsid w:val="00DF4BE2"/>
    <w:rsid w:val="00DF5694"/>
    <w:rsid w:val="00DF5B76"/>
    <w:rsid w:val="00DF64A6"/>
    <w:rsid w:val="00DF65D0"/>
    <w:rsid w:val="00DF7064"/>
    <w:rsid w:val="00DF730A"/>
    <w:rsid w:val="00DF77F7"/>
    <w:rsid w:val="00E00170"/>
    <w:rsid w:val="00E00819"/>
    <w:rsid w:val="00E00CD5"/>
    <w:rsid w:val="00E01600"/>
    <w:rsid w:val="00E01792"/>
    <w:rsid w:val="00E01F8B"/>
    <w:rsid w:val="00E02B19"/>
    <w:rsid w:val="00E0304F"/>
    <w:rsid w:val="00E07391"/>
    <w:rsid w:val="00E079F4"/>
    <w:rsid w:val="00E10C6D"/>
    <w:rsid w:val="00E11298"/>
    <w:rsid w:val="00E12463"/>
    <w:rsid w:val="00E13B7A"/>
    <w:rsid w:val="00E13CEF"/>
    <w:rsid w:val="00E15534"/>
    <w:rsid w:val="00E206CE"/>
    <w:rsid w:val="00E214EA"/>
    <w:rsid w:val="00E2362F"/>
    <w:rsid w:val="00E23841"/>
    <w:rsid w:val="00E23EB5"/>
    <w:rsid w:val="00E25C4B"/>
    <w:rsid w:val="00E25C6C"/>
    <w:rsid w:val="00E27949"/>
    <w:rsid w:val="00E314C6"/>
    <w:rsid w:val="00E31BB7"/>
    <w:rsid w:val="00E3206A"/>
    <w:rsid w:val="00E322E3"/>
    <w:rsid w:val="00E32F9B"/>
    <w:rsid w:val="00E35E47"/>
    <w:rsid w:val="00E36997"/>
    <w:rsid w:val="00E36D82"/>
    <w:rsid w:val="00E374A9"/>
    <w:rsid w:val="00E37666"/>
    <w:rsid w:val="00E37C98"/>
    <w:rsid w:val="00E40E64"/>
    <w:rsid w:val="00E418C7"/>
    <w:rsid w:val="00E422C7"/>
    <w:rsid w:val="00E42743"/>
    <w:rsid w:val="00E427BE"/>
    <w:rsid w:val="00E4330C"/>
    <w:rsid w:val="00E44EF8"/>
    <w:rsid w:val="00E45684"/>
    <w:rsid w:val="00E4646D"/>
    <w:rsid w:val="00E468D1"/>
    <w:rsid w:val="00E46EA6"/>
    <w:rsid w:val="00E528D8"/>
    <w:rsid w:val="00E528EC"/>
    <w:rsid w:val="00E53D78"/>
    <w:rsid w:val="00E548BE"/>
    <w:rsid w:val="00E54BB0"/>
    <w:rsid w:val="00E54D34"/>
    <w:rsid w:val="00E5517B"/>
    <w:rsid w:val="00E551E8"/>
    <w:rsid w:val="00E56014"/>
    <w:rsid w:val="00E56DDC"/>
    <w:rsid w:val="00E572D2"/>
    <w:rsid w:val="00E57694"/>
    <w:rsid w:val="00E610DD"/>
    <w:rsid w:val="00E629F4"/>
    <w:rsid w:val="00E62E0B"/>
    <w:rsid w:val="00E62FD7"/>
    <w:rsid w:val="00E63C08"/>
    <w:rsid w:val="00E63C79"/>
    <w:rsid w:val="00E63CEC"/>
    <w:rsid w:val="00E64EC1"/>
    <w:rsid w:val="00E65740"/>
    <w:rsid w:val="00E65A2A"/>
    <w:rsid w:val="00E66359"/>
    <w:rsid w:val="00E66D38"/>
    <w:rsid w:val="00E7052D"/>
    <w:rsid w:val="00E711C0"/>
    <w:rsid w:val="00E719F2"/>
    <w:rsid w:val="00E71BBA"/>
    <w:rsid w:val="00E72DB8"/>
    <w:rsid w:val="00E75CC3"/>
    <w:rsid w:val="00E75D85"/>
    <w:rsid w:val="00E77670"/>
    <w:rsid w:val="00E77BB8"/>
    <w:rsid w:val="00E80298"/>
    <w:rsid w:val="00E81DBA"/>
    <w:rsid w:val="00E82A11"/>
    <w:rsid w:val="00E84016"/>
    <w:rsid w:val="00E8410B"/>
    <w:rsid w:val="00E84291"/>
    <w:rsid w:val="00E84977"/>
    <w:rsid w:val="00E86267"/>
    <w:rsid w:val="00E862D0"/>
    <w:rsid w:val="00E863BF"/>
    <w:rsid w:val="00E870B6"/>
    <w:rsid w:val="00E90376"/>
    <w:rsid w:val="00E91AF7"/>
    <w:rsid w:val="00E92970"/>
    <w:rsid w:val="00E94D26"/>
    <w:rsid w:val="00E96F97"/>
    <w:rsid w:val="00E97735"/>
    <w:rsid w:val="00EA156B"/>
    <w:rsid w:val="00EA2833"/>
    <w:rsid w:val="00EA3F5E"/>
    <w:rsid w:val="00EA4295"/>
    <w:rsid w:val="00EA5591"/>
    <w:rsid w:val="00EA5F43"/>
    <w:rsid w:val="00EA61DE"/>
    <w:rsid w:val="00EA6B67"/>
    <w:rsid w:val="00EA7894"/>
    <w:rsid w:val="00EA798F"/>
    <w:rsid w:val="00EA7D95"/>
    <w:rsid w:val="00EB0B72"/>
    <w:rsid w:val="00EB182E"/>
    <w:rsid w:val="00EB2033"/>
    <w:rsid w:val="00EB224F"/>
    <w:rsid w:val="00EB2657"/>
    <w:rsid w:val="00EB32E4"/>
    <w:rsid w:val="00EB3EF6"/>
    <w:rsid w:val="00EB4F66"/>
    <w:rsid w:val="00EB5331"/>
    <w:rsid w:val="00EB567C"/>
    <w:rsid w:val="00EB700F"/>
    <w:rsid w:val="00EB7701"/>
    <w:rsid w:val="00EB7D6C"/>
    <w:rsid w:val="00EC0946"/>
    <w:rsid w:val="00EC15CD"/>
    <w:rsid w:val="00EC16FB"/>
    <w:rsid w:val="00EC38FD"/>
    <w:rsid w:val="00EC4C71"/>
    <w:rsid w:val="00EC4FF1"/>
    <w:rsid w:val="00EC50ED"/>
    <w:rsid w:val="00EC572A"/>
    <w:rsid w:val="00EC61F2"/>
    <w:rsid w:val="00EC6543"/>
    <w:rsid w:val="00EC7BB0"/>
    <w:rsid w:val="00ED0234"/>
    <w:rsid w:val="00ED09D0"/>
    <w:rsid w:val="00ED0BD9"/>
    <w:rsid w:val="00ED0D05"/>
    <w:rsid w:val="00ED1445"/>
    <w:rsid w:val="00ED29B9"/>
    <w:rsid w:val="00ED48FF"/>
    <w:rsid w:val="00ED523F"/>
    <w:rsid w:val="00ED5EE4"/>
    <w:rsid w:val="00ED6EB3"/>
    <w:rsid w:val="00ED780E"/>
    <w:rsid w:val="00EE0AC8"/>
    <w:rsid w:val="00EE151B"/>
    <w:rsid w:val="00EE198C"/>
    <w:rsid w:val="00EE1C4E"/>
    <w:rsid w:val="00EE22DE"/>
    <w:rsid w:val="00EE2B05"/>
    <w:rsid w:val="00EE2DE7"/>
    <w:rsid w:val="00EE3315"/>
    <w:rsid w:val="00EE5C5F"/>
    <w:rsid w:val="00EE7205"/>
    <w:rsid w:val="00EF1662"/>
    <w:rsid w:val="00EF2793"/>
    <w:rsid w:val="00EF33C5"/>
    <w:rsid w:val="00EF40CA"/>
    <w:rsid w:val="00EF4931"/>
    <w:rsid w:val="00EF4FA5"/>
    <w:rsid w:val="00EF537E"/>
    <w:rsid w:val="00EF6700"/>
    <w:rsid w:val="00EF6DB2"/>
    <w:rsid w:val="00EF718C"/>
    <w:rsid w:val="00F003CE"/>
    <w:rsid w:val="00F0061A"/>
    <w:rsid w:val="00F01D12"/>
    <w:rsid w:val="00F02D26"/>
    <w:rsid w:val="00F03481"/>
    <w:rsid w:val="00F043BA"/>
    <w:rsid w:val="00F059E2"/>
    <w:rsid w:val="00F11193"/>
    <w:rsid w:val="00F11830"/>
    <w:rsid w:val="00F11A7C"/>
    <w:rsid w:val="00F1302D"/>
    <w:rsid w:val="00F1354A"/>
    <w:rsid w:val="00F1421E"/>
    <w:rsid w:val="00F14891"/>
    <w:rsid w:val="00F17861"/>
    <w:rsid w:val="00F17D68"/>
    <w:rsid w:val="00F20B99"/>
    <w:rsid w:val="00F20FE8"/>
    <w:rsid w:val="00F2174B"/>
    <w:rsid w:val="00F217F8"/>
    <w:rsid w:val="00F21E4F"/>
    <w:rsid w:val="00F23417"/>
    <w:rsid w:val="00F236CB"/>
    <w:rsid w:val="00F24626"/>
    <w:rsid w:val="00F25737"/>
    <w:rsid w:val="00F258F0"/>
    <w:rsid w:val="00F25DD6"/>
    <w:rsid w:val="00F26457"/>
    <w:rsid w:val="00F3007F"/>
    <w:rsid w:val="00F3049C"/>
    <w:rsid w:val="00F3075B"/>
    <w:rsid w:val="00F311F2"/>
    <w:rsid w:val="00F3124E"/>
    <w:rsid w:val="00F32215"/>
    <w:rsid w:val="00F32326"/>
    <w:rsid w:val="00F3386D"/>
    <w:rsid w:val="00F33D87"/>
    <w:rsid w:val="00F35B5E"/>
    <w:rsid w:val="00F363E5"/>
    <w:rsid w:val="00F36729"/>
    <w:rsid w:val="00F36769"/>
    <w:rsid w:val="00F37807"/>
    <w:rsid w:val="00F40756"/>
    <w:rsid w:val="00F41856"/>
    <w:rsid w:val="00F42B29"/>
    <w:rsid w:val="00F4436C"/>
    <w:rsid w:val="00F45891"/>
    <w:rsid w:val="00F46755"/>
    <w:rsid w:val="00F470AF"/>
    <w:rsid w:val="00F47141"/>
    <w:rsid w:val="00F47932"/>
    <w:rsid w:val="00F503AB"/>
    <w:rsid w:val="00F51A3B"/>
    <w:rsid w:val="00F51B9E"/>
    <w:rsid w:val="00F51C30"/>
    <w:rsid w:val="00F5251E"/>
    <w:rsid w:val="00F527C4"/>
    <w:rsid w:val="00F52D46"/>
    <w:rsid w:val="00F532C5"/>
    <w:rsid w:val="00F53AD6"/>
    <w:rsid w:val="00F53E3C"/>
    <w:rsid w:val="00F54CBC"/>
    <w:rsid w:val="00F5526F"/>
    <w:rsid w:val="00F55A72"/>
    <w:rsid w:val="00F574A0"/>
    <w:rsid w:val="00F57ADE"/>
    <w:rsid w:val="00F61B88"/>
    <w:rsid w:val="00F6247A"/>
    <w:rsid w:val="00F62E2F"/>
    <w:rsid w:val="00F62F9B"/>
    <w:rsid w:val="00F64A93"/>
    <w:rsid w:val="00F65353"/>
    <w:rsid w:val="00F67212"/>
    <w:rsid w:val="00F73FBE"/>
    <w:rsid w:val="00F758A9"/>
    <w:rsid w:val="00F75BF1"/>
    <w:rsid w:val="00F7601D"/>
    <w:rsid w:val="00F764FF"/>
    <w:rsid w:val="00F7758D"/>
    <w:rsid w:val="00F77843"/>
    <w:rsid w:val="00F77CAD"/>
    <w:rsid w:val="00F77EA6"/>
    <w:rsid w:val="00F8139F"/>
    <w:rsid w:val="00F81428"/>
    <w:rsid w:val="00F81C1F"/>
    <w:rsid w:val="00F81DC9"/>
    <w:rsid w:val="00F828BB"/>
    <w:rsid w:val="00F82E87"/>
    <w:rsid w:val="00F830D0"/>
    <w:rsid w:val="00F83CAE"/>
    <w:rsid w:val="00F8475C"/>
    <w:rsid w:val="00F85A7C"/>
    <w:rsid w:val="00F866EC"/>
    <w:rsid w:val="00F868C8"/>
    <w:rsid w:val="00F876F2"/>
    <w:rsid w:val="00F876F9"/>
    <w:rsid w:val="00F90CDB"/>
    <w:rsid w:val="00F911C3"/>
    <w:rsid w:val="00F914D5"/>
    <w:rsid w:val="00F92464"/>
    <w:rsid w:val="00F92DED"/>
    <w:rsid w:val="00F9305D"/>
    <w:rsid w:val="00F937FC"/>
    <w:rsid w:val="00F93DA6"/>
    <w:rsid w:val="00F93F32"/>
    <w:rsid w:val="00F95E5A"/>
    <w:rsid w:val="00F9745C"/>
    <w:rsid w:val="00FA0789"/>
    <w:rsid w:val="00FA2631"/>
    <w:rsid w:val="00FA2661"/>
    <w:rsid w:val="00FA5990"/>
    <w:rsid w:val="00FA6156"/>
    <w:rsid w:val="00FA68B3"/>
    <w:rsid w:val="00FA6CB5"/>
    <w:rsid w:val="00FA6D63"/>
    <w:rsid w:val="00FA6FE8"/>
    <w:rsid w:val="00FB098A"/>
    <w:rsid w:val="00FB1440"/>
    <w:rsid w:val="00FB1532"/>
    <w:rsid w:val="00FB29F0"/>
    <w:rsid w:val="00FB3DC3"/>
    <w:rsid w:val="00FB59CE"/>
    <w:rsid w:val="00FB7824"/>
    <w:rsid w:val="00FC0361"/>
    <w:rsid w:val="00FC0480"/>
    <w:rsid w:val="00FC0D6E"/>
    <w:rsid w:val="00FC1136"/>
    <w:rsid w:val="00FC20DB"/>
    <w:rsid w:val="00FC2BD9"/>
    <w:rsid w:val="00FC4162"/>
    <w:rsid w:val="00FC4744"/>
    <w:rsid w:val="00FC55F4"/>
    <w:rsid w:val="00FC620F"/>
    <w:rsid w:val="00FC72CC"/>
    <w:rsid w:val="00FC7EDA"/>
    <w:rsid w:val="00FD010D"/>
    <w:rsid w:val="00FD08ED"/>
    <w:rsid w:val="00FD102C"/>
    <w:rsid w:val="00FD1C16"/>
    <w:rsid w:val="00FD2558"/>
    <w:rsid w:val="00FD297D"/>
    <w:rsid w:val="00FD2D8F"/>
    <w:rsid w:val="00FD56F0"/>
    <w:rsid w:val="00FD7935"/>
    <w:rsid w:val="00FE0C67"/>
    <w:rsid w:val="00FE175A"/>
    <w:rsid w:val="00FE2A6E"/>
    <w:rsid w:val="00FE3D63"/>
    <w:rsid w:val="00FE5538"/>
    <w:rsid w:val="00FE5600"/>
    <w:rsid w:val="00FE5B53"/>
    <w:rsid w:val="00FE5EC3"/>
    <w:rsid w:val="00FE6246"/>
    <w:rsid w:val="00FE6DE6"/>
    <w:rsid w:val="00FF16BF"/>
    <w:rsid w:val="00FF40E6"/>
    <w:rsid w:val="00FF47BB"/>
    <w:rsid w:val="00FF4FC1"/>
    <w:rsid w:val="00FF522F"/>
    <w:rsid w:val="00FF5E7D"/>
    <w:rsid w:val="00FF7F95"/>
    <w:rsid w:val="0198556B"/>
    <w:rsid w:val="01F1337B"/>
    <w:rsid w:val="031418F0"/>
    <w:rsid w:val="05C11F85"/>
    <w:rsid w:val="064674D8"/>
    <w:rsid w:val="081C1A72"/>
    <w:rsid w:val="08CB4E7E"/>
    <w:rsid w:val="093F6E9E"/>
    <w:rsid w:val="0AD60B37"/>
    <w:rsid w:val="0C95523A"/>
    <w:rsid w:val="10D73099"/>
    <w:rsid w:val="112B35DF"/>
    <w:rsid w:val="14382834"/>
    <w:rsid w:val="1740285C"/>
    <w:rsid w:val="1851234C"/>
    <w:rsid w:val="19CF4848"/>
    <w:rsid w:val="1B356450"/>
    <w:rsid w:val="1C112A19"/>
    <w:rsid w:val="1D1A05C1"/>
    <w:rsid w:val="1E262080"/>
    <w:rsid w:val="201C7BDE"/>
    <w:rsid w:val="211663DC"/>
    <w:rsid w:val="2133778E"/>
    <w:rsid w:val="21472E5C"/>
    <w:rsid w:val="292839C5"/>
    <w:rsid w:val="29E93055"/>
    <w:rsid w:val="2A6320E4"/>
    <w:rsid w:val="2B6366C1"/>
    <w:rsid w:val="2DF2173C"/>
    <w:rsid w:val="31276C47"/>
    <w:rsid w:val="37063CA9"/>
    <w:rsid w:val="390E7821"/>
    <w:rsid w:val="394B3C41"/>
    <w:rsid w:val="3EB12FF6"/>
    <w:rsid w:val="3F406B01"/>
    <w:rsid w:val="3FB67EEA"/>
    <w:rsid w:val="41641B86"/>
    <w:rsid w:val="442A7932"/>
    <w:rsid w:val="48695369"/>
    <w:rsid w:val="4B294BA7"/>
    <w:rsid w:val="4DC25F0A"/>
    <w:rsid w:val="4EB72535"/>
    <w:rsid w:val="4F6924AA"/>
    <w:rsid w:val="501245E1"/>
    <w:rsid w:val="50E4610D"/>
    <w:rsid w:val="5288688A"/>
    <w:rsid w:val="53691746"/>
    <w:rsid w:val="5492037A"/>
    <w:rsid w:val="54C91723"/>
    <w:rsid w:val="56496330"/>
    <w:rsid w:val="56E615EC"/>
    <w:rsid w:val="56F91942"/>
    <w:rsid w:val="57340B8C"/>
    <w:rsid w:val="57FC35D4"/>
    <w:rsid w:val="58855E98"/>
    <w:rsid w:val="5B033CD2"/>
    <w:rsid w:val="5E2A1C2E"/>
    <w:rsid w:val="5E315D78"/>
    <w:rsid w:val="61243C22"/>
    <w:rsid w:val="616B7AA3"/>
    <w:rsid w:val="61FC29AD"/>
    <w:rsid w:val="631D479F"/>
    <w:rsid w:val="664D349F"/>
    <w:rsid w:val="684A02FC"/>
    <w:rsid w:val="69791AC4"/>
    <w:rsid w:val="6C1722ED"/>
    <w:rsid w:val="6C7D4540"/>
    <w:rsid w:val="6F0E6876"/>
    <w:rsid w:val="725173EF"/>
    <w:rsid w:val="72A87727"/>
    <w:rsid w:val="77853E58"/>
    <w:rsid w:val="77B31A99"/>
    <w:rsid w:val="77E4774E"/>
    <w:rsid w:val="783373E4"/>
    <w:rsid w:val="7A7262AE"/>
    <w:rsid w:val="7AD45B01"/>
    <w:rsid w:val="7C505703"/>
    <w:rsid w:val="7CED53B8"/>
    <w:rsid w:val="F6AFA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28"/>
      <w:szCs w:val="22"/>
      <w:lang w:val="en-US" w:eastAsia="zh-CN" w:bidi="ar-SA"/>
    </w:rPr>
  </w:style>
  <w:style w:type="paragraph" w:styleId="2">
    <w:name w:val="heading 1"/>
    <w:basedOn w:val="1"/>
    <w:next w:val="1"/>
    <w:link w:val="36"/>
    <w:qFormat/>
    <w:uiPriority w:val="0"/>
    <w:pPr>
      <w:keepNext/>
      <w:keepLines/>
      <w:numPr>
        <w:ilvl w:val="0"/>
        <w:numId w:val="1"/>
      </w:numPr>
      <w:spacing w:beforeLines="100" w:afterLines="100" w:line="480" w:lineRule="atLeast"/>
      <w:jc w:val="center"/>
      <w:outlineLvl w:val="0"/>
    </w:pPr>
    <w:rPr>
      <w:rFonts w:ascii="Times New Roman" w:hAnsi="Times New Roman" w:eastAsia="宋体" w:cs="Times New Roman"/>
      <w:b/>
      <w:spacing w:val="8"/>
      <w:kern w:val="0"/>
      <w:sz w:val="32"/>
      <w:szCs w:val="32"/>
    </w:rPr>
  </w:style>
  <w:style w:type="paragraph" w:styleId="3">
    <w:name w:val="heading 2"/>
    <w:basedOn w:val="1"/>
    <w:next w:val="1"/>
    <w:link w:val="44"/>
    <w:unhideWhenUsed/>
    <w:qFormat/>
    <w:uiPriority w:val="0"/>
    <w:pPr>
      <w:keepNext/>
      <w:keepLines/>
      <w:numPr>
        <w:ilvl w:val="1"/>
        <w:numId w:val="1"/>
      </w:numPr>
      <w:spacing w:before="240" w:after="240" w:line="360" w:lineRule="auto"/>
      <w:jc w:val="center"/>
      <w:outlineLvl w:val="1"/>
    </w:pPr>
    <w:rPr>
      <w:rFonts w:ascii="Times New Roman" w:hAnsi="Times New Roman" w:eastAsia="黑体" w:cstheme="majorBidi"/>
      <w:b/>
      <w:bCs/>
      <w:szCs w:val="32"/>
    </w:rPr>
  </w:style>
  <w:style w:type="paragraph" w:styleId="4">
    <w:name w:val="heading 3"/>
    <w:basedOn w:val="1"/>
    <w:next w:val="1"/>
    <w:link w:val="4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94"/>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eastAsiaTheme="minorEastAsia"/>
      <w:sz w:val="21"/>
    </w:rPr>
  </w:style>
  <w:style w:type="paragraph" w:styleId="7">
    <w:name w:val="caption"/>
    <w:basedOn w:val="1"/>
    <w:next w:val="1"/>
    <w:unhideWhenUsed/>
    <w:qFormat/>
    <w:uiPriority w:val="35"/>
    <w:pPr>
      <w:jc w:val="center"/>
    </w:pPr>
    <w:rPr>
      <w:rFonts w:ascii="Times New Roman" w:hAnsi="Times New Roman" w:eastAsia="宋体" w:cstheme="majorBidi"/>
      <w:b/>
      <w:sz w:val="21"/>
      <w:szCs w:val="20"/>
    </w:rPr>
  </w:style>
  <w:style w:type="paragraph" w:styleId="8">
    <w:name w:val="Document Map"/>
    <w:basedOn w:val="1"/>
    <w:link w:val="57"/>
    <w:semiHidden/>
    <w:unhideWhenUsed/>
    <w:qFormat/>
    <w:uiPriority w:val="99"/>
    <w:rPr>
      <w:rFonts w:ascii="宋体" w:eastAsia="宋体"/>
      <w:sz w:val="18"/>
      <w:szCs w:val="18"/>
    </w:rPr>
  </w:style>
  <w:style w:type="paragraph" w:styleId="9">
    <w:name w:val="annotation text"/>
    <w:basedOn w:val="1"/>
    <w:link w:val="46"/>
    <w:unhideWhenUsed/>
    <w:qFormat/>
    <w:uiPriority w:val="99"/>
    <w:pPr>
      <w:jc w:val="left"/>
    </w:pPr>
  </w:style>
  <w:style w:type="paragraph" w:styleId="10">
    <w:name w:val="Body Text"/>
    <w:basedOn w:val="1"/>
    <w:link w:val="37"/>
    <w:qFormat/>
    <w:uiPriority w:val="0"/>
    <w:pPr>
      <w:spacing w:after="120" w:line="259" w:lineRule="auto"/>
    </w:pPr>
    <w:rPr>
      <w:rFonts w:ascii="Times New Roman" w:hAnsi="Times New Roman" w:eastAsia="宋体" w:cs="Times New Roman"/>
      <w:szCs w:val="24"/>
    </w:rPr>
  </w:style>
  <w:style w:type="paragraph" w:styleId="11">
    <w:name w:val="toc 5"/>
    <w:basedOn w:val="1"/>
    <w:next w:val="1"/>
    <w:unhideWhenUsed/>
    <w:qFormat/>
    <w:uiPriority w:val="39"/>
    <w:pPr>
      <w:ind w:left="1680" w:leftChars="800"/>
    </w:pPr>
    <w:rPr>
      <w:rFonts w:eastAsiaTheme="minorEastAsia"/>
      <w:sz w:val="21"/>
    </w:rPr>
  </w:style>
  <w:style w:type="paragraph" w:styleId="12">
    <w:name w:val="toc 3"/>
    <w:basedOn w:val="1"/>
    <w:next w:val="1"/>
    <w:unhideWhenUsed/>
    <w:qFormat/>
    <w:uiPriority w:val="39"/>
    <w:pPr>
      <w:ind w:left="200" w:leftChars="200"/>
    </w:pPr>
    <w:rPr>
      <w:rFonts w:eastAsia="FangSong_GB2312"/>
    </w:rPr>
  </w:style>
  <w:style w:type="paragraph" w:styleId="13">
    <w:name w:val="toc 8"/>
    <w:basedOn w:val="1"/>
    <w:next w:val="1"/>
    <w:unhideWhenUsed/>
    <w:qFormat/>
    <w:uiPriority w:val="39"/>
    <w:pPr>
      <w:ind w:left="2940" w:leftChars="1400"/>
    </w:pPr>
    <w:rPr>
      <w:rFonts w:eastAsiaTheme="minorEastAsia"/>
      <w:sz w:val="21"/>
    </w:rPr>
  </w:style>
  <w:style w:type="paragraph" w:styleId="14">
    <w:name w:val="Date"/>
    <w:basedOn w:val="1"/>
    <w:next w:val="1"/>
    <w:link w:val="52"/>
    <w:semiHidden/>
    <w:unhideWhenUsed/>
    <w:qFormat/>
    <w:uiPriority w:val="99"/>
    <w:pPr>
      <w:ind w:left="100" w:leftChars="2500"/>
    </w:pPr>
  </w:style>
  <w:style w:type="paragraph" w:styleId="15">
    <w:name w:val="Balloon Text"/>
    <w:basedOn w:val="1"/>
    <w:link w:val="35"/>
    <w:semiHidden/>
    <w:unhideWhenUsed/>
    <w:qFormat/>
    <w:uiPriority w:val="99"/>
    <w:rPr>
      <w:sz w:val="18"/>
      <w:szCs w:val="18"/>
    </w:rPr>
  </w:style>
  <w:style w:type="paragraph" w:styleId="16">
    <w:name w:val="footer"/>
    <w:basedOn w:val="1"/>
    <w:link w:val="38"/>
    <w:qFormat/>
    <w:uiPriority w:val="99"/>
    <w:pPr>
      <w:tabs>
        <w:tab w:val="center" w:pos="4153"/>
        <w:tab w:val="right" w:pos="8306"/>
      </w:tabs>
      <w:snapToGrid w:val="0"/>
      <w:spacing w:after="160" w:line="259" w:lineRule="auto"/>
      <w:jc w:val="left"/>
    </w:pPr>
    <w:rPr>
      <w:rFonts w:ascii="Times New Roman" w:hAnsi="Times New Roman" w:eastAsia="宋体" w:cs="Times New Roman"/>
      <w:sz w:val="18"/>
      <w:szCs w:val="18"/>
    </w:rPr>
  </w:style>
  <w:style w:type="paragraph" w:styleId="17">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napToGrid w:val="0"/>
      <w:spacing w:line="360" w:lineRule="auto"/>
    </w:pPr>
    <w:rPr>
      <w:rFonts w:eastAsia="宋体"/>
      <w:b/>
      <w:sz w:val="24"/>
    </w:rPr>
  </w:style>
  <w:style w:type="paragraph" w:styleId="19">
    <w:name w:val="toc 4"/>
    <w:basedOn w:val="1"/>
    <w:next w:val="1"/>
    <w:unhideWhenUsed/>
    <w:qFormat/>
    <w:uiPriority w:val="39"/>
    <w:pPr>
      <w:ind w:left="1260" w:leftChars="600"/>
    </w:pPr>
    <w:rPr>
      <w:rFonts w:eastAsiaTheme="minorEastAsia"/>
      <w:sz w:val="21"/>
    </w:rPr>
  </w:style>
  <w:style w:type="paragraph" w:styleId="20">
    <w:name w:val="toc 6"/>
    <w:basedOn w:val="1"/>
    <w:next w:val="1"/>
    <w:unhideWhenUsed/>
    <w:qFormat/>
    <w:uiPriority w:val="39"/>
    <w:pPr>
      <w:ind w:left="2100" w:leftChars="1000"/>
    </w:pPr>
    <w:rPr>
      <w:rFonts w:eastAsiaTheme="minorEastAsia"/>
      <w:sz w:val="21"/>
    </w:rPr>
  </w:style>
  <w:style w:type="paragraph" w:styleId="21">
    <w:name w:val="toc 2"/>
    <w:basedOn w:val="1"/>
    <w:next w:val="1"/>
    <w:unhideWhenUsed/>
    <w:qFormat/>
    <w:uiPriority w:val="39"/>
    <w:pPr>
      <w:snapToGrid w:val="0"/>
      <w:spacing w:line="360" w:lineRule="auto"/>
      <w:ind w:left="100" w:leftChars="100"/>
    </w:pPr>
    <w:rPr>
      <w:rFonts w:ascii="Times New Roman" w:hAnsi="Times New Roman" w:eastAsia="宋体" w:cs="Times New Roman"/>
      <w:sz w:val="24"/>
    </w:rPr>
  </w:style>
  <w:style w:type="paragraph" w:styleId="22">
    <w:name w:val="toc 9"/>
    <w:basedOn w:val="1"/>
    <w:next w:val="1"/>
    <w:unhideWhenUsed/>
    <w:qFormat/>
    <w:uiPriority w:val="39"/>
    <w:pPr>
      <w:ind w:left="3360" w:leftChars="1600"/>
    </w:pPr>
    <w:rPr>
      <w:rFonts w:eastAsiaTheme="minorEastAsia"/>
      <w:sz w:val="21"/>
    </w:rPr>
  </w:style>
  <w:style w:type="paragraph" w:styleId="23">
    <w:name w:val="HTML Preformatted"/>
    <w:basedOn w:val="1"/>
    <w:link w:val="93"/>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annotation subject"/>
    <w:basedOn w:val="9"/>
    <w:next w:val="9"/>
    <w:link w:val="47"/>
    <w:semiHidden/>
    <w:unhideWhenUsed/>
    <w:qFormat/>
    <w:uiPriority w:val="99"/>
    <w:rPr>
      <w:b/>
      <w:bCs/>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bCs/>
    </w:rPr>
  </w:style>
  <w:style w:type="character" w:styleId="30">
    <w:name w:val="page number"/>
    <w:basedOn w:val="28"/>
    <w:qFormat/>
    <w:uiPriority w:val="0"/>
  </w:style>
  <w:style w:type="character" w:styleId="31">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2">
    <w:name w:val="Hyperlink"/>
    <w:basedOn w:val="28"/>
    <w:unhideWhenUsed/>
    <w:qFormat/>
    <w:uiPriority w:val="99"/>
    <w:rPr>
      <w:color w:val="0563C1" w:themeColor="hyperlink"/>
      <w:u w:val="single"/>
      <w14:textFill>
        <w14:solidFill>
          <w14:schemeClr w14:val="hlink"/>
        </w14:solidFill>
      </w14:textFill>
    </w:rPr>
  </w:style>
  <w:style w:type="character" w:styleId="33">
    <w:name w:val="HTML Code"/>
    <w:basedOn w:val="28"/>
    <w:semiHidden/>
    <w:unhideWhenUsed/>
    <w:qFormat/>
    <w:uiPriority w:val="99"/>
    <w:rPr>
      <w:rFonts w:ascii="宋体" w:hAnsi="宋体" w:eastAsia="宋体" w:cs="宋体"/>
      <w:sz w:val="24"/>
      <w:szCs w:val="24"/>
    </w:rPr>
  </w:style>
  <w:style w:type="character" w:styleId="34">
    <w:name w:val="annotation reference"/>
    <w:basedOn w:val="28"/>
    <w:unhideWhenUsed/>
    <w:qFormat/>
    <w:uiPriority w:val="99"/>
    <w:rPr>
      <w:sz w:val="21"/>
      <w:szCs w:val="21"/>
    </w:rPr>
  </w:style>
  <w:style w:type="character" w:customStyle="1" w:styleId="35">
    <w:name w:val="批注框文本 字符"/>
    <w:basedOn w:val="28"/>
    <w:link w:val="15"/>
    <w:semiHidden/>
    <w:qFormat/>
    <w:uiPriority w:val="99"/>
    <w:rPr>
      <w:sz w:val="18"/>
      <w:szCs w:val="18"/>
    </w:rPr>
  </w:style>
  <w:style w:type="character" w:customStyle="1" w:styleId="36">
    <w:name w:val="标题 1 字符"/>
    <w:basedOn w:val="28"/>
    <w:link w:val="2"/>
    <w:qFormat/>
    <w:uiPriority w:val="0"/>
    <w:rPr>
      <w:rFonts w:ascii="Times New Roman" w:hAnsi="Times New Roman" w:eastAsia="宋体" w:cs="Times New Roman"/>
      <w:b/>
      <w:spacing w:val="8"/>
      <w:sz w:val="32"/>
      <w:szCs w:val="32"/>
    </w:rPr>
  </w:style>
  <w:style w:type="character" w:customStyle="1" w:styleId="37">
    <w:name w:val="正文文本 字符"/>
    <w:basedOn w:val="28"/>
    <w:link w:val="10"/>
    <w:qFormat/>
    <w:uiPriority w:val="0"/>
    <w:rPr>
      <w:rFonts w:ascii="Times New Roman" w:hAnsi="Times New Roman" w:eastAsia="宋体" w:cs="Times New Roman"/>
      <w:szCs w:val="24"/>
    </w:rPr>
  </w:style>
  <w:style w:type="character" w:customStyle="1" w:styleId="38">
    <w:name w:val="页脚 字符"/>
    <w:basedOn w:val="28"/>
    <w:link w:val="16"/>
    <w:qFormat/>
    <w:uiPriority w:val="99"/>
    <w:rPr>
      <w:rFonts w:ascii="Times New Roman" w:hAnsi="Times New Roman" w:eastAsia="宋体" w:cs="Times New Roman"/>
      <w:sz w:val="18"/>
      <w:szCs w:val="18"/>
    </w:rPr>
  </w:style>
  <w:style w:type="paragraph" w:customStyle="1" w:styleId="39">
    <w:name w:val="标准标志"/>
    <w:next w:val="1"/>
    <w:qFormat/>
    <w:uiPriority w:val="0"/>
    <w:pPr>
      <w:framePr w:w="2268" w:h="1392" w:hRule="exact" w:wrap="around" w:vAnchor="margin" w:hAnchor="margin" w:x="6748" w:y="171" w:anchorLock="1"/>
      <w:shd w:val="solid" w:color="FFFFFF" w:fill="FFFFFF"/>
      <w:spacing w:after="160" w:line="0" w:lineRule="atLeast"/>
      <w:jc w:val="right"/>
    </w:pPr>
    <w:rPr>
      <w:rFonts w:ascii="Times New Roman" w:hAnsi="Times New Roman" w:eastAsia="宋体" w:cs="Times New Roman"/>
      <w:b/>
      <w:w w:val="130"/>
      <w:sz w:val="96"/>
      <w:lang w:val="en-US" w:eastAsia="zh-CN" w:bidi="ar-SA"/>
    </w:rPr>
  </w:style>
  <w:style w:type="paragraph" w:customStyle="1" w:styleId="40">
    <w:name w:val="封面标准号1"/>
    <w:qFormat/>
    <w:uiPriority w:val="0"/>
    <w:pPr>
      <w:widowControl w:val="0"/>
      <w:kinsoku w:val="0"/>
      <w:overflowPunct w:val="0"/>
      <w:autoSpaceDE w:val="0"/>
      <w:autoSpaceDN w:val="0"/>
      <w:spacing w:before="308" w:after="160" w:line="259" w:lineRule="auto"/>
      <w:jc w:val="right"/>
      <w:textAlignment w:val="center"/>
    </w:pPr>
    <w:rPr>
      <w:rFonts w:ascii="Times New Roman" w:hAnsi="Times New Roman" w:eastAsia="宋体" w:cs="Times New Roman"/>
      <w:sz w:val="28"/>
      <w:lang w:val="en-US" w:eastAsia="zh-CN" w:bidi="ar-SA"/>
    </w:rPr>
  </w:style>
  <w:style w:type="paragraph" w:styleId="41">
    <w:name w:val="List Paragraph"/>
    <w:basedOn w:val="1"/>
    <w:qFormat/>
    <w:uiPriority w:val="34"/>
    <w:pPr>
      <w:ind w:firstLine="420" w:firstLineChars="200"/>
    </w:pPr>
  </w:style>
  <w:style w:type="paragraph" w:customStyle="1" w:styleId="42">
    <w:name w:val="规范标题2"/>
    <w:basedOn w:val="3"/>
    <w:link w:val="43"/>
    <w:qFormat/>
    <w:uiPriority w:val="0"/>
    <w:pPr>
      <w:keepNext w:val="0"/>
      <w:keepLines w:val="0"/>
      <w:numPr>
        <w:numId w:val="2"/>
      </w:numPr>
      <w:spacing w:before="0" w:after="0"/>
    </w:pPr>
    <w:rPr>
      <w:rFonts w:eastAsia="宋体" w:cs="Times New Roman"/>
      <w:b w:val="0"/>
    </w:rPr>
  </w:style>
  <w:style w:type="character" w:customStyle="1" w:styleId="43">
    <w:name w:val="规范标题2 字符"/>
    <w:link w:val="42"/>
    <w:qFormat/>
    <w:uiPriority w:val="0"/>
    <w:rPr>
      <w:rFonts w:ascii="Times New Roman" w:hAnsi="Times New Roman" w:eastAsia="宋体" w:cs="Times New Roman"/>
      <w:bCs/>
      <w:kern w:val="2"/>
      <w:sz w:val="28"/>
      <w:szCs w:val="32"/>
    </w:rPr>
  </w:style>
  <w:style w:type="character" w:customStyle="1" w:styleId="44">
    <w:name w:val="标题 2 字符"/>
    <w:basedOn w:val="28"/>
    <w:link w:val="3"/>
    <w:qFormat/>
    <w:uiPriority w:val="0"/>
    <w:rPr>
      <w:rFonts w:ascii="Times New Roman" w:hAnsi="Times New Roman" w:eastAsia="黑体" w:cstheme="majorBidi"/>
      <w:b/>
      <w:bCs/>
      <w:kern w:val="2"/>
      <w:sz w:val="28"/>
      <w:szCs w:val="32"/>
    </w:rPr>
  </w:style>
  <w:style w:type="character" w:customStyle="1" w:styleId="45">
    <w:name w:val="页眉 字符"/>
    <w:basedOn w:val="28"/>
    <w:link w:val="17"/>
    <w:qFormat/>
    <w:uiPriority w:val="99"/>
    <w:rPr>
      <w:sz w:val="18"/>
      <w:szCs w:val="18"/>
    </w:rPr>
  </w:style>
  <w:style w:type="character" w:customStyle="1" w:styleId="46">
    <w:name w:val="批注文字 字符"/>
    <w:basedOn w:val="28"/>
    <w:link w:val="9"/>
    <w:qFormat/>
    <w:uiPriority w:val="99"/>
  </w:style>
  <w:style w:type="character" w:customStyle="1" w:styleId="47">
    <w:name w:val="批注主题 字符"/>
    <w:basedOn w:val="46"/>
    <w:link w:val="25"/>
    <w:semiHidden/>
    <w:qFormat/>
    <w:uiPriority w:val="99"/>
    <w:rPr>
      <w:b/>
      <w:bCs/>
    </w:rPr>
  </w:style>
  <w:style w:type="character" w:customStyle="1" w:styleId="48">
    <w:name w:val="标题 3 字符"/>
    <w:basedOn w:val="28"/>
    <w:link w:val="4"/>
    <w:qFormat/>
    <w:uiPriority w:val="9"/>
    <w:rPr>
      <w:b/>
      <w:bCs/>
      <w:sz w:val="32"/>
      <w:szCs w:val="32"/>
    </w:rPr>
  </w:style>
  <w:style w:type="paragraph" w:customStyle="1" w:styleId="49">
    <w:name w:val="规范标题3"/>
    <w:basedOn w:val="4"/>
    <w:link w:val="50"/>
    <w:qFormat/>
    <w:uiPriority w:val="0"/>
    <w:pPr>
      <w:keepNext w:val="0"/>
      <w:keepLines w:val="0"/>
      <w:spacing w:line="415" w:lineRule="auto"/>
      <w:ind w:firstLine="561"/>
      <w:jc w:val="left"/>
    </w:pPr>
    <w:rPr>
      <w:rFonts w:ascii="Times New Roman" w:hAnsi="Times New Roman" w:eastAsia="宋体" w:cs="Times New Roman"/>
      <w:b w:val="0"/>
      <w:sz w:val="28"/>
    </w:rPr>
  </w:style>
  <w:style w:type="character" w:customStyle="1" w:styleId="50">
    <w:name w:val="规范标题3 字符"/>
    <w:basedOn w:val="48"/>
    <w:link w:val="49"/>
    <w:qFormat/>
    <w:uiPriority w:val="0"/>
    <w:rPr>
      <w:rFonts w:ascii="Times New Roman" w:hAnsi="Times New Roman" w:eastAsia="宋体" w:cs="Times New Roman"/>
      <w:b w:val="0"/>
      <w:kern w:val="2"/>
      <w:sz w:val="28"/>
      <w:szCs w:val="32"/>
    </w:rPr>
  </w:style>
  <w:style w:type="paragraph" w:customStyle="1" w:styleId="51">
    <w:name w:val="TOC 标题1"/>
    <w:basedOn w:val="2"/>
    <w:next w:val="1"/>
    <w:unhideWhenUsed/>
    <w:qFormat/>
    <w:uiPriority w:val="39"/>
    <w:pPr>
      <w:widowControl/>
      <w:spacing w:beforeLines="0" w:afterLines="0" w:line="259" w:lineRule="auto"/>
      <w:jc w:val="left"/>
      <w:outlineLvl w:val="9"/>
    </w:pPr>
    <w:rPr>
      <w:rFonts w:asciiTheme="majorHAnsi" w:hAnsiTheme="majorHAnsi" w:eastAsiaTheme="majorEastAsia" w:cstheme="majorBidi"/>
      <w:b w:val="0"/>
      <w:color w:val="2F5597" w:themeColor="accent1" w:themeShade="BF"/>
      <w:spacing w:val="0"/>
    </w:rPr>
  </w:style>
  <w:style w:type="character" w:customStyle="1" w:styleId="52">
    <w:name w:val="日期 字符"/>
    <w:basedOn w:val="28"/>
    <w:link w:val="14"/>
    <w:semiHidden/>
    <w:qFormat/>
    <w:uiPriority w:val="99"/>
    <w:rPr>
      <w:rFonts w:eastAsia="仿宋"/>
      <w:sz w:val="28"/>
    </w:rPr>
  </w:style>
  <w:style w:type="character" w:customStyle="1" w:styleId="53">
    <w:name w:val="规范标题2 Char Char"/>
    <w:qFormat/>
    <w:uiPriority w:val="0"/>
    <w:rPr>
      <w:rFonts w:ascii="Times New Roman" w:hAnsi="Times New Roman" w:eastAsia="宋体" w:cs="Times New Roman"/>
      <w:bCs/>
      <w:sz w:val="24"/>
      <w:szCs w:val="32"/>
    </w:rPr>
  </w:style>
  <w:style w:type="paragraph" w:customStyle="1" w:styleId="54">
    <w:name w:val="Default"/>
    <w:link w:val="55"/>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character" w:customStyle="1" w:styleId="55">
    <w:name w:val="Default Char"/>
    <w:link w:val="54"/>
    <w:qFormat/>
    <w:uiPriority w:val="0"/>
    <w:rPr>
      <w:rFonts w:ascii="宋体" w:hAnsi="Calibri" w:eastAsia="宋体" w:cs="Times New Roman"/>
      <w:color w:val="000000"/>
      <w:kern w:val="0"/>
      <w:sz w:val="24"/>
      <w:szCs w:val="24"/>
    </w:rPr>
  </w:style>
  <w:style w:type="paragraph" w:customStyle="1" w:styleId="56">
    <w:name w:val="列出段落1"/>
    <w:basedOn w:val="1"/>
    <w:qFormat/>
    <w:uiPriority w:val="99"/>
    <w:pPr>
      <w:ind w:firstLine="420" w:firstLineChars="200"/>
    </w:pPr>
    <w:rPr>
      <w:rFonts w:ascii="Calibri" w:hAnsi="Calibri" w:eastAsia="宋体" w:cs="Times New Roman"/>
      <w:sz w:val="21"/>
    </w:rPr>
  </w:style>
  <w:style w:type="character" w:customStyle="1" w:styleId="57">
    <w:name w:val="文档结构图 字符"/>
    <w:basedOn w:val="28"/>
    <w:link w:val="8"/>
    <w:semiHidden/>
    <w:qFormat/>
    <w:uiPriority w:val="99"/>
    <w:rPr>
      <w:rFonts w:ascii="宋体" w:eastAsia="宋体"/>
      <w:sz w:val="18"/>
      <w:szCs w:val="18"/>
    </w:rPr>
  </w:style>
  <w:style w:type="character" w:customStyle="1" w:styleId="58">
    <w:name w:val="未处理的提及1"/>
    <w:basedOn w:val="28"/>
    <w:semiHidden/>
    <w:unhideWhenUsed/>
    <w:qFormat/>
    <w:uiPriority w:val="99"/>
    <w:rPr>
      <w:color w:val="605E5C"/>
      <w:shd w:val="clear" w:color="auto" w:fill="E1DFDD"/>
    </w:rPr>
  </w:style>
  <w:style w:type="paragraph" w:customStyle="1" w:styleId="59">
    <w:name w:val="2"/>
    <w:basedOn w:val="1"/>
    <w:next w:val="41"/>
    <w:qFormat/>
    <w:uiPriority w:val="34"/>
    <w:pPr>
      <w:ind w:firstLine="420" w:firstLineChars="200"/>
    </w:pPr>
    <w:rPr>
      <w:rFonts w:ascii="等线" w:hAnsi="等线" w:cs="Times New Roman"/>
    </w:rPr>
  </w:style>
  <w:style w:type="paragraph" w:customStyle="1" w:styleId="60">
    <w:name w:val="1"/>
    <w:basedOn w:val="1"/>
    <w:next w:val="41"/>
    <w:qFormat/>
    <w:uiPriority w:val="34"/>
    <w:pPr>
      <w:ind w:firstLine="420" w:firstLineChars="200"/>
    </w:pPr>
    <w:rPr>
      <w:rFonts w:ascii="等线" w:hAnsi="等线" w:cs="Times New Roman"/>
    </w:rPr>
  </w:style>
  <w:style w:type="character" w:customStyle="1" w:styleId="61">
    <w:name w:val="未处理的提及2"/>
    <w:basedOn w:val="28"/>
    <w:semiHidden/>
    <w:unhideWhenUsed/>
    <w:qFormat/>
    <w:uiPriority w:val="99"/>
    <w:rPr>
      <w:color w:val="605E5C"/>
      <w:shd w:val="clear" w:color="auto" w:fill="E1DFDD"/>
    </w:rPr>
  </w:style>
  <w:style w:type="character" w:customStyle="1" w:styleId="62">
    <w:name w:val="批注文字 Char"/>
    <w:basedOn w:val="28"/>
    <w:qFormat/>
    <w:uiPriority w:val="99"/>
  </w:style>
  <w:style w:type="character" w:customStyle="1" w:styleId="63">
    <w:name w:val="apple-converted-space"/>
    <w:basedOn w:val="28"/>
    <w:qFormat/>
    <w:uiPriority w:val="0"/>
  </w:style>
  <w:style w:type="character" w:customStyle="1" w:styleId="64">
    <w:name w:val="bjh-p"/>
    <w:basedOn w:val="28"/>
    <w:qFormat/>
    <w:uiPriority w:val="0"/>
  </w:style>
  <w:style w:type="paragraph" w:customStyle="1" w:styleId="65">
    <w:name w:val="修订1"/>
    <w:hidden/>
    <w:semiHidden/>
    <w:qFormat/>
    <w:uiPriority w:val="99"/>
    <w:rPr>
      <w:rFonts w:eastAsia="仿宋" w:asciiTheme="minorHAnsi" w:hAnsiTheme="minorHAnsi" w:cstheme="minorBidi"/>
      <w:kern w:val="2"/>
      <w:sz w:val="28"/>
      <w:szCs w:val="22"/>
      <w:lang w:val="en-US" w:eastAsia="zh-CN" w:bidi="ar-SA"/>
    </w:rPr>
  </w:style>
  <w:style w:type="paragraph" w:customStyle="1" w:styleId="66">
    <w:name w:val="修订11"/>
    <w:hidden/>
    <w:semiHidden/>
    <w:qFormat/>
    <w:uiPriority w:val="99"/>
    <w:rPr>
      <w:rFonts w:eastAsia="仿宋" w:asciiTheme="minorHAnsi" w:hAnsiTheme="minorHAnsi" w:cstheme="minorBidi"/>
      <w:kern w:val="2"/>
      <w:sz w:val="28"/>
      <w:szCs w:val="22"/>
      <w:lang w:val="en-US" w:eastAsia="zh-CN" w:bidi="ar-SA"/>
    </w:rPr>
  </w:style>
  <w:style w:type="character" w:styleId="67">
    <w:name w:val="Placeholder Text"/>
    <w:basedOn w:val="28"/>
    <w:unhideWhenUsed/>
    <w:qFormat/>
    <w:uiPriority w:val="99"/>
    <w:rPr>
      <w:color w:val="808080"/>
    </w:rPr>
  </w:style>
  <w:style w:type="character" w:customStyle="1" w:styleId="68">
    <w:name w:val="标题 2 Char"/>
    <w:qFormat/>
    <w:uiPriority w:val="0"/>
    <w:rPr>
      <w:rFonts w:ascii="Arial" w:hAnsi="Arial" w:eastAsia="黑体"/>
      <w:b/>
      <w:kern w:val="2"/>
      <w:sz w:val="28"/>
    </w:rPr>
  </w:style>
  <w:style w:type="paragraph" w:customStyle="1" w:styleId="69">
    <w:name w:val="表格标题"/>
    <w:basedOn w:val="1"/>
    <w:link w:val="70"/>
    <w:qFormat/>
    <w:uiPriority w:val="0"/>
    <w:pPr>
      <w:adjustRightInd w:val="0"/>
      <w:snapToGrid w:val="0"/>
      <w:jc w:val="center"/>
    </w:pPr>
    <w:rPr>
      <w:rFonts w:ascii="Times New Roman" w:hAnsi="Times New Roman" w:eastAsia="宋体" w:cs="Times New Roman"/>
      <w:b/>
      <w:sz w:val="21"/>
    </w:rPr>
  </w:style>
  <w:style w:type="character" w:customStyle="1" w:styleId="70">
    <w:name w:val="表格标题 Char"/>
    <w:link w:val="69"/>
    <w:qFormat/>
    <w:uiPriority w:val="0"/>
    <w:rPr>
      <w:b/>
      <w:kern w:val="2"/>
      <w:sz w:val="21"/>
      <w:szCs w:val="22"/>
    </w:rPr>
  </w:style>
  <w:style w:type="paragraph" w:customStyle="1" w:styleId="71">
    <w:name w:val="章"/>
    <w:basedOn w:val="1"/>
    <w:qFormat/>
    <w:uiPriority w:val="0"/>
    <w:pPr>
      <w:spacing w:beforeLines="100" w:afterLines="100" w:line="300" w:lineRule="auto"/>
      <w:jc w:val="center"/>
      <w:outlineLvl w:val="0"/>
    </w:pPr>
    <w:rPr>
      <w:rFonts w:ascii="Times New Roman" w:hAnsi="Times New Roman" w:eastAsia="宋体" w:cs="Times New Roman"/>
      <w:b/>
      <w:bCs/>
      <w:szCs w:val="28"/>
    </w:rPr>
  </w:style>
  <w:style w:type="character" w:customStyle="1" w:styleId="72">
    <w:name w:val="图表正文 Char"/>
    <w:link w:val="73"/>
    <w:qFormat/>
    <w:uiPriority w:val="0"/>
    <w:rPr>
      <w:color w:val="000000"/>
      <w:szCs w:val="21"/>
    </w:rPr>
  </w:style>
  <w:style w:type="paragraph" w:customStyle="1" w:styleId="73">
    <w:name w:val="图表正文"/>
    <w:basedOn w:val="1"/>
    <w:link w:val="72"/>
    <w:qFormat/>
    <w:uiPriority w:val="0"/>
    <w:pPr>
      <w:jc w:val="center"/>
    </w:pPr>
    <w:rPr>
      <w:rFonts w:eastAsiaTheme="minorEastAsia"/>
      <w:color w:val="000000"/>
      <w:kern w:val="0"/>
      <w:sz w:val="20"/>
      <w:szCs w:val="21"/>
    </w:rPr>
  </w:style>
  <w:style w:type="character" w:customStyle="1" w:styleId="74">
    <w:name w:val="表头文字 Char"/>
    <w:link w:val="75"/>
    <w:qFormat/>
    <w:uiPriority w:val="0"/>
    <w:rPr>
      <w:b/>
      <w:szCs w:val="21"/>
    </w:rPr>
  </w:style>
  <w:style w:type="paragraph" w:customStyle="1" w:styleId="75">
    <w:name w:val="表头文字"/>
    <w:basedOn w:val="1"/>
    <w:link w:val="74"/>
    <w:qFormat/>
    <w:uiPriority w:val="0"/>
    <w:pPr>
      <w:jc w:val="center"/>
    </w:pPr>
    <w:rPr>
      <w:rFonts w:eastAsiaTheme="minorEastAsia"/>
      <w:b/>
      <w:kern w:val="0"/>
      <w:sz w:val="20"/>
      <w:szCs w:val="21"/>
    </w:rPr>
  </w:style>
  <w:style w:type="table" w:customStyle="1" w:styleId="76">
    <w:name w:val="网格型1"/>
    <w:basedOn w:val="26"/>
    <w:qFormat/>
    <w:uiPriority w:val="0"/>
    <w:pPr>
      <w:spacing w:line="360" w:lineRule="auto"/>
      <w:jc w:val="both"/>
    </w:pPr>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2"/>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TOC 标题2"/>
    <w:basedOn w:val="2"/>
    <w:next w:val="1"/>
    <w:unhideWhenUsed/>
    <w:qFormat/>
    <w:uiPriority w:val="39"/>
    <w:pPr>
      <w:widowControl/>
      <w:numPr>
        <w:numId w:val="0"/>
      </w:numPr>
      <w:spacing w:before="240" w:beforeLines="0" w:afterLines="0" w:line="259" w:lineRule="auto"/>
      <w:jc w:val="left"/>
      <w:outlineLvl w:val="9"/>
    </w:pPr>
    <w:rPr>
      <w:rFonts w:asciiTheme="majorHAnsi" w:hAnsiTheme="majorHAnsi" w:eastAsiaTheme="majorEastAsia" w:cstheme="majorBidi"/>
      <w:b w:val="0"/>
      <w:color w:val="2F5597" w:themeColor="accent1" w:themeShade="BF"/>
      <w:spacing w:val="0"/>
    </w:rPr>
  </w:style>
  <w:style w:type="character" w:customStyle="1" w:styleId="80">
    <w:name w:val="katex-mathml"/>
    <w:basedOn w:val="28"/>
    <w:qFormat/>
    <w:uiPriority w:val="0"/>
  </w:style>
  <w:style w:type="paragraph" w:customStyle="1" w:styleId="81">
    <w:name w:val="修订2"/>
    <w:hidden/>
    <w:unhideWhenUsed/>
    <w:qFormat/>
    <w:uiPriority w:val="99"/>
    <w:rPr>
      <w:rFonts w:eastAsia="仿宋" w:asciiTheme="minorHAnsi" w:hAnsiTheme="minorHAnsi" w:cstheme="minorBidi"/>
      <w:kern w:val="2"/>
      <w:sz w:val="28"/>
      <w:szCs w:val="22"/>
      <w:lang w:val="en-US" w:eastAsia="zh-CN" w:bidi="ar-SA"/>
    </w:rPr>
  </w:style>
  <w:style w:type="character" w:customStyle="1" w:styleId="82">
    <w:name w:val="mord"/>
    <w:basedOn w:val="28"/>
    <w:qFormat/>
    <w:uiPriority w:val="0"/>
  </w:style>
  <w:style w:type="character" w:customStyle="1" w:styleId="83">
    <w:name w:val="mrel"/>
    <w:basedOn w:val="28"/>
    <w:qFormat/>
    <w:uiPriority w:val="0"/>
  </w:style>
  <w:style w:type="character" w:customStyle="1" w:styleId="84">
    <w:name w:val="mop"/>
    <w:basedOn w:val="28"/>
    <w:qFormat/>
    <w:uiPriority w:val="0"/>
  </w:style>
  <w:style w:type="character" w:customStyle="1" w:styleId="85">
    <w:name w:val="mopen"/>
    <w:basedOn w:val="28"/>
    <w:qFormat/>
    <w:uiPriority w:val="0"/>
  </w:style>
  <w:style w:type="character" w:customStyle="1" w:styleId="86">
    <w:name w:val="vlist-s"/>
    <w:basedOn w:val="28"/>
    <w:qFormat/>
    <w:uiPriority w:val="0"/>
  </w:style>
  <w:style w:type="character" w:customStyle="1" w:styleId="87">
    <w:name w:val="mbin"/>
    <w:basedOn w:val="28"/>
    <w:qFormat/>
    <w:uiPriority w:val="0"/>
  </w:style>
  <w:style w:type="character" w:customStyle="1" w:styleId="88">
    <w:name w:val="mclose"/>
    <w:basedOn w:val="28"/>
    <w:qFormat/>
    <w:uiPriority w:val="0"/>
  </w:style>
  <w:style w:type="character" w:customStyle="1" w:styleId="89">
    <w:name w:val="text_qs7xs"/>
    <w:basedOn w:val="28"/>
    <w:qFormat/>
    <w:uiPriority w:val="0"/>
  </w:style>
  <w:style w:type="character" w:customStyle="1" w:styleId="90">
    <w:name w:val="supwrap_aetl9"/>
    <w:basedOn w:val="28"/>
    <w:qFormat/>
    <w:uiPriority w:val="0"/>
  </w:style>
  <w:style w:type="character" w:customStyle="1" w:styleId="91">
    <w:name w:val="delimsizing"/>
    <w:basedOn w:val="28"/>
    <w:qFormat/>
    <w:uiPriority w:val="0"/>
  </w:style>
  <w:style w:type="character" w:customStyle="1" w:styleId="92">
    <w:name w:val="mpunct"/>
    <w:basedOn w:val="28"/>
    <w:qFormat/>
    <w:uiPriority w:val="0"/>
  </w:style>
  <w:style w:type="character" w:customStyle="1" w:styleId="93">
    <w:name w:val="HTML 预设格式 字符"/>
    <w:basedOn w:val="28"/>
    <w:link w:val="23"/>
    <w:semiHidden/>
    <w:qFormat/>
    <w:uiPriority w:val="99"/>
    <w:rPr>
      <w:rFonts w:ascii="宋体" w:hAnsi="宋体" w:cs="宋体"/>
      <w:sz w:val="24"/>
      <w:szCs w:val="24"/>
    </w:rPr>
  </w:style>
  <w:style w:type="character" w:customStyle="1" w:styleId="94">
    <w:name w:val="标题 4 字符"/>
    <w:basedOn w:val="28"/>
    <w:link w:val="5"/>
    <w:semiHidden/>
    <w:qFormat/>
    <w:uiPriority w:val="9"/>
    <w:rPr>
      <w:rFonts w:asciiTheme="majorHAnsi" w:hAnsiTheme="majorHAnsi" w:eastAsiaTheme="majorEastAsia" w:cstheme="majorBidi"/>
      <w:b/>
      <w:bCs/>
      <w:kern w:val="2"/>
      <w:sz w:val="28"/>
      <w:szCs w:val="28"/>
    </w:rPr>
  </w:style>
  <w:style w:type="table" w:customStyle="1" w:styleId="95">
    <w:name w:val="样式1"/>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
    <w:name w:val="container-yqu5sm"/>
    <w:basedOn w:val="28"/>
    <w:qFormat/>
    <w:uiPriority w:val="0"/>
  </w:style>
  <w:style w:type="paragraph" w:customStyle="1" w:styleId="97">
    <w:name w:val="gongshibianhao"/>
    <w:basedOn w:val="1"/>
    <w:link w:val="98"/>
    <w:qFormat/>
    <w:uiPriority w:val="0"/>
    <w:pPr>
      <w:tabs>
        <w:tab w:val="center" w:pos="4256"/>
        <w:tab w:val="right" w:pos="8221"/>
      </w:tabs>
      <w:adjustRightInd w:val="0"/>
      <w:snapToGrid w:val="0"/>
      <w:jc w:val="left"/>
      <w:textAlignment w:val="center"/>
    </w:pPr>
    <w:rPr>
      <w:rFonts w:ascii="Times New Roman" w:hAnsi="Times New Roman" w:eastAsia="宋体" w:cs="Times New Roman"/>
      <w:color w:val="000000" w:themeColor="text1"/>
      <w:sz w:val="24"/>
      <w:szCs w:val="24"/>
      <w14:textFill>
        <w14:solidFill>
          <w14:schemeClr w14:val="tx1"/>
        </w14:solidFill>
      </w14:textFill>
    </w:rPr>
  </w:style>
  <w:style w:type="character" w:customStyle="1" w:styleId="98">
    <w:name w:val="gongshibianhao 字符"/>
    <w:basedOn w:val="28"/>
    <w:link w:val="97"/>
    <w:qFormat/>
    <w:uiPriority w:val="0"/>
    <w:rPr>
      <w:color w:val="000000" w:themeColor="text1"/>
      <w:kern w:val="2"/>
      <w:sz w:val="24"/>
      <w:szCs w:val="24"/>
      <w14:textFill>
        <w14:solidFill>
          <w14:schemeClr w14:val="tx1"/>
        </w14:solidFill>
      </w14:textFill>
    </w:rPr>
  </w:style>
  <w:style w:type="paragraph" w:customStyle="1" w:styleId="99">
    <w:name w:val="前言、引言标题"/>
    <w:next w:val="1"/>
    <w:qFormat/>
    <w:uiPriority w:val="0"/>
    <w:pPr>
      <w:numPr>
        <w:ilvl w:val="0"/>
        <w:numId w:val="3"/>
      </w:numPr>
      <w:shd w:val="clear" w:color="auto"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100">
    <w:name w:val="TOC Heading"/>
    <w:basedOn w:val="2"/>
    <w:next w:val="1"/>
    <w:unhideWhenUsed/>
    <w:qFormat/>
    <w:uiPriority w:val="39"/>
    <w:pPr>
      <w:widowControl/>
      <w:numPr>
        <w:numId w:val="0"/>
      </w:numPr>
      <w:spacing w:before="240" w:beforeLines="0" w:afterLines="0" w:line="259" w:lineRule="auto"/>
      <w:jc w:val="left"/>
      <w:outlineLvl w:val="9"/>
    </w:pPr>
    <w:rPr>
      <w:rFonts w:asciiTheme="majorHAnsi" w:hAnsiTheme="majorHAnsi" w:eastAsiaTheme="majorEastAsia" w:cstheme="majorBidi"/>
      <w:b w:val="0"/>
      <w:color w:val="2F5597" w:themeColor="accent1" w:themeShade="BF"/>
      <w:spacing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9297</Words>
  <Characters>10792</Characters>
  <Lines>1632</Lines>
  <Paragraphs>1731</Paragraphs>
  <TotalTime>2</TotalTime>
  <ScaleCrop>false</ScaleCrop>
  <LinksUpToDate>false</LinksUpToDate>
  <CharactersWithSpaces>12178</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2025-06-25T11:30:00Z</dcterms:created>
  <dc:creator>songlei HAN</dc:creator>
  <cp:lastModifiedBy>szj</cp:lastModifiedBy>
  <cp:lastPrinted>2025-06-25T12:14:00Z</cp:lastPrinted>
  <dcterms:modified xsi:type="dcterms:W3CDTF">2025-06-25T14:51:36Z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KSOTemplateDocerSaveRecord">
    <vt:lpwstr>eyJoZGlkIjoiNzI1NDc4ZGFkZDAyYjdhMmI2NTVjYmRiODU1OTc3YTciLCJ1c2VySWQiOiIxMDE1NTY4NDk4In0=</vt:lpwstr>
  </property>
  <property fmtid="{D5CDD505-2E9C-101B-9397-08002B2CF9AE}" pid="4" name="ICV">
    <vt:lpwstr>77EC3EE90F6D4D77AA3627ED150BA273_13</vt:lpwstr>
  </property>
</Properties>
</file>